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A9C1" w14:textId="77777777" w:rsidR="00C56ECB" w:rsidRDefault="00C56ECB">
      <w:pPr>
        <w:jc w:val="center"/>
        <w:rPr>
          <w:rFonts w:ascii="黑体" w:eastAsia="黑体" w:hAnsi="宋体"/>
          <w:color w:val="000000" w:themeColor="text1"/>
          <w:sz w:val="52"/>
          <w:szCs w:val="52"/>
        </w:rPr>
      </w:pPr>
    </w:p>
    <w:p w14:paraId="17E23E5D" w14:textId="77777777" w:rsidR="00C56ECB" w:rsidRDefault="00C56ECB">
      <w:pPr>
        <w:jc w:val="center"/>
        <w:rPr>
          <w:rFonts w:ascii="黑体" w:eastAsia="黑体" w:hAnsi="宋体"/>
          <w:color w:val="000000" w:themeColor="text1"/>
          <w:sz w:val="52"/>
          <w:szCs w:val="52"/>
        </w:rPr>
      </w:pPr>
    </w:p>
    <w:p w14:paraId="5D7F22D1" w14:textId="77777777" w:rsidR="00C56ECB" w:rsidRDefault="00C56ECB">
      <w:pPr>
        <w:jc w:val="center"/>
        <w:rPr>
          <w:rFonts w:ascii="黑体" w:eastAsia="黑体" w:hAnsi="宋体"/>
          <w:color w:val="000000" w:themeColor="text1"/>
          <w:sz w:val="52"/>
          <w:szCs w:val="52"/>
        </w:rPr>
      </w:pPr>
    </w:p>
    <w:p w14:paraId="71678C22" w14:textId="77777777" w:rsidR="00C56ECB" w:rsidRDefault="00C56ECB">
      <w:pPr>
        <w:jc w:val="center"/>
        <w:rPr>
          <w:rFonts w:ascii="黑体" w:eastAsia="黑体" w:hAnsi="宋体"/>
          <w:color w:val="000000" w:themeColor="text1"/>
          <w:sz w:val="52"/>
          <w:szCs w:val="52"/>
        </w:rPr>
      </w:pPr>
    </w:p>
    <w:p w14:paraId="2C77D6E2" w14:textId="60E7654E" w:rsidR="00C56ECB" w:rsidRPr="00313773" w:rsidRDefault="00313773">
      <w:pPr>
        <w:jc w:val="center"/>
        <w:rPr>
          <w:rFonts w:ascii="黑体" w:eastAsia="黑体" w:hAnsi="宋体"/>
          <w:color w:val="000000" w:themeColor="text1"/>
          <w:sz w:val="52"/>
          <w:szCs w:val="52"/>
        </w:rPr>
      </w:pPr>
      <w:r w:rsidRPr="00313773">
        <w:rPr>
          <w:rFonts w:ascii="黑体" w:eastAsia="黑体" w:hAnsi="宋体" w:hint="eastAsia"/>
          <w:color w:val="000000" w:themeColor="text1"/>
          <w:sz w:val="52"/>
          <w:szCs w:val="52"/>
        </w:rPr>
        <w:t>隐私计算</w:t>
      </w:r>
      <w:r w:rsidRPr="00313773">
        <w:rPr>
          <w:rFonts w:ascii="黑体" w:eastAsia="黑体" w:hAnsi="宋体"/>
          <w:color w:val="000000" w:themeColor="text1"/>
          <w:sz w:val="52"/>
          <w:szCs w:val="52"/>
        </w:rPr>
        <w:t xml:space="preserve"> 脱敏算法能力评估技术要求</w:t>
      </w:r>
    </w:p>
    <w:p w14:paraId="0C7B708D" w14:textId="77777777" w:rsidR="00C56ECB" w:rsidRPr="00313773" w:rsidRDefault="00C56ECB">
      <w:pPr>
        <w:jc w:val="center"/>
        <w:rPr>
          <w:rFonts w:ascii="黑体" w:eastAsia="黑体" w:hAnsi="宋体"/>
          <w:color w:val="000000" w:themeColor="text1"/>
          <w:sz w:val="52"/>
          <w:szCs w:val="52"/>
        </w:rPr>
      </w:pPr>
    </w:p>
    <w:p w14:paraId="76997988" w14:textId="77777777" w:rsidR="00C56ECB" w:rsidRDefault="003F5D50">
      <w:pPr>
        <w:jc w:val="center"/>
        <w:rPr>
          <w:rFonts w:ascii="黑体" w:eastAsia="黑体" w:hAnsi="宋体"/>
          <w:color w:val="000000" w:themeColor="text1"/>
          <w:sz w:val="48"/>
          <w:szCs w:val="48"/>
        </w:rPr>
      </w:pPr>
      <w:r>
        <w:rPr>
          <w:rFonts w:ascii="黑体" w:eastAsia="黑体" w:hAnsi="宋体" w:hint="eastAsia"/>
          <w:color w:val="000000" w:themeColor="text1"/>
          <w:sz w:val="48"/>
          <w:szCs w:val="48"/>
        </w:rPr>
        <w:t>编 制 说 明</w:t>
      </w:r>
    </w:p>
    <w:p w14:paraId="78D84BF7" w14:textId="77777777" w:rsidR="00C56ECB" w:rsidRDefault="00C56ECB">
      <w:pPr>
        <w:widowControl/>
        <w:jc w:val="left"/>
        <w:rPr>
          <w:rFonts w:ascii="黑体" w:eastAsia="黑体" w:hAnsi="宋体"/>
          <w:color w:val="000000" w:themeColor="text1"/>
          <w:sz w:val="48"/>
          <w:szCs w:val="48"/>
        </w:rPr>
      </w:pPr>
    </w:p>
    <w:p w14:paraId="1CE742C9" w14:textId="77777777" w:rsidR="00C56ECB" w:rsidRDefault="00C56ECB">
      <w:pPr>
        <w:widowControl/>
        <w:jc w:val="left"/>
        <w:rPr>
          <w:rFonts w:ascii="黑体" w:eastAsia="黑体" w:hAnsi="宋体"/>
          <w:color w:val="000000" w:themeColor="text1"/>
          <w:sz w:val="48"/>
          <w:szCs w:val="48"/>
        </w:rPr>
      </w:pPr>
    </w:p>
    <w:p w14:paraId="6EF9DCD4" w14:textId="77777777" w:rsidR="00C56ECB" w:rsidRDefault="00C56ECB">
      <w:pPr>
        <w:widowControl/>
        <w:jc w:val="left"/>
        <w:rPr>
          <w:rFonts w:ascii="黑体" w:eastAsia="黑体" w:hAnsi="宋体"/>
          <w:color w:val="000000" w:themeColor="text1"/>
          <w:sz w:val="48"/>
          <w:szCs w:val="48"/>
        </w:rPr>
      </w:pPr>
    </w:p>
    <w:p w14:paraId="0299999F" w14:textId="77777777" w:rsidR="00C56ECB" w:rsidRDefault="00C56ECB">
      <w:pPr>
        <w:widowControl/>
        <w:jc w:val="left"/>
        <w:rPr>
          <w:rFonts w:ascii="黑体" w:eastAsia="黑体" w:hAnsi="宋体"/>
          <w:color w:val="000000" w:themeColor="text1"/>
          <w:sz w:val="48"/>
          <w:szCs w:val="48"/>
        </w:rPr>
      </w:pPr>
    </w:p>
    <w:p w14:paraId="59A70BC1" w14:textId="77777777" w:rsidR="00C56ECB" w:rsidRDefault="00C56ECB">
      <w:pPr>
        <w:widowControl/>
        <w:jc w:val="left"/>
        <w:rPr>
          <w:rFonts w:ascii="黑体" w:eastAsia="黑体" w:hAnsi="宋体"/>
          <w:color w:val="000000" w:themeColor="text1"/>
          <w:sz w:val="48"/>
          <w:szCs w:val="48"/>
        </w:rPr>
      </w:pPr>
    </w:p>
    <w:p w14:paraId="787ABE48" w14:textId="77777777" w:rsidR="00C56ECB" w:rsidRDefault="00C56ECB">
      <w:pPr>
        <w:widowControl/>
        <w:jc w:val="left"/>
        <w:rPr>
          <w:rFonts w:ascii="黑体" w:eastAsia="黑体" w:hAnsi="宋体"/>
          <w:color w:val="000000" w:themeColor="text1"/>
          <w:sz w:val="48"/>
          <w:szCs w:val="48"/>
        </w:rPr>
      </w:pPr>
    </w:p>
    <w:p w14:paraId="17E2D8D4" w14:textId="77777777" w:rsidR="00C56ECB" w:rsidRDefault="00C56ECB">
      <w:pPr>
        <w:widowControl/>
        <w:jc w:val="left"/>
        <w:rPr>
          <w:rFonts w:ascii="黑体" w:eastAsia="黑体" w:hAnsi="宋体"/>
          <w:color w:val="000000" w:themeColor="text1"/>
          <w:sz w:val="48"/>
          <w:szCs w:val="48"/>
        </w:rPr>
      </w:pPr>
    </w:p>
    <w:p w14:paraId="74A4FC7A" w14:textId="77777777" w:rsidR="00C56ECB" w:rsidRDefault="00C56ECB">
      <w:pPr>
        <w:widowControl/>
        <w:jc w:val="left"/>
        <w:rPr>
          <w:rFonts w:ascii="黑体" w:eastAsia="黑体" w:hAnsi="宋体"/>
          <w:color w:val="000000" w:themeColor="text1"/>
          <w:sz w:val="48"/>
          <w:szCs w:val="48"/>
        </w:rPr>
      </w:pPr>
    </w:p>
    <w:p w14:paraId="7876CEC0" w14:textId="77777777" w:rsidR="00C56ECB" w:rsidRDefault="003F5D50">
      <w:pPr>
        <w:widowControl/>
        <w:jc w:val="center"/>
        <w:rPr>
          <w:rFonts w:ascii="宋体" w:eastAsia="宋体" w:hAnsi="宋体"/>
          <w:color w:val="000000" w:themeColor="text1"/>
          <w:sz w:val="32"/>
          <w:szCs w:val="32"/>
        </w:rPr>
      </w:pPr>
      <w:r>
        <w:rPr>
          <w:rFonts w:ascii="宋体" w:eastAsia="宋体" w:hAnsi="宋体" w:hint="eastAsia"/>
          <w:color w:val="000000" w:themeColor="text1"/>
          <w:sz w:val="32"/>
          <w:szCs w:val="32"/>
        </w:rPr>
        <w:t>标准起草工作组</w:t>
      </w:r>
    </w:p>
    <w:p w14:paraId="00E69477" w14:textId="0B89F033" w:rsidR="00C56ECB" w:rsidRDefault="003F5D50">
      <w:pPr>
        <w:widowControl/>
        <w:jc w:val="center"/>
        <w:rPr>
          <w:rFonts w:ascii="黑体" w:eastAsia="黑体" w:hAnsi="宋体"/>
          <w:color w:val="000000" w:themeColor="text1"/>
          <w:sz w:val="48"/>
          <w:szCs w:val="48"/>
        </w:rPr>
      </w:pPr>
      <w:r>
        <w:rPr>
          <w:rFonts w:ascii="宋体" w:eastAsia="宋体" w:hAnsi="宋体" w:hint="eastAsia"/>
          <w:color w:val="000000" w:themeColor="text1"/>
          <w:sz w:val="32"/>
          <w:szCs w:val="32"/>
        </w:rPr>
        <w:t>2</w:t>
      </w:r>
      <w:r w:rsidR="00945397">
        <w:rPr>
          <w:rFonts w:ascii="宋体" w:eastAsia="宋体" w:hAnsi="宋体"/>
          <w:color w:val="000000" w:themeColor="text1"/>
          <w:sz w:val="32"/>
          <w:szCs w:val="32"/>
        </w:rPr>
        <w:t>02</w:t>
      </w:r>
      <w:r w:rsidR="006A5EE1">
        <w:rPr>
          <w:rFonts w:ascii="宋体" w:eastAsia="宋体" w:hAnsi="宋体"/>
          <w:color w:val="000000" w:themeColor="text1"/>
          <w:sz w:val="32"/>
          <w:szCs w:val="32"/>
        </w:rPr>
        <w:t>4</w:t>
      </w:r>
      <w:r>
        <w:rPr>
          <w:rFonts w:ascii="宋体" w:eastAsia="宋体" w:hAnsi="宋体" w:hint="eastAsia"/>
          <w:color w:val="000000" w:themeColor="text1"/>
          <w:sz w:val="32"/>
          <w:szCs w:val="32"/>
        </w:rPr>
        <w:t>年</w:t>
      </w:r>
      <w:r w:rsidR="00BD7D56">
        <w:rPr>
          <w:rFonts w:ascii="宋体" w:eastAsia="宋体" w:hAnsi="宋体"/>
          <w:color w:val="000000" w:themeColor="text1"/>
          <w:sz w:val="32"/>
          <w:szCs w:val="32"/>
        </w:rPr>
        <w:t>8</w:t>
      </w:r>
      <w:r>
        <w:rPr>
          <w:rFonts w:ascii="宋体" w:eastAsia="宋体" w:hAnsi="宋体" w:hint="eastAsia"/>
          <w:color w:val="000000" w:themeColor="text1"/>
          <w:sz w:val="32"/>
          <w:szCs w:val="32"/>
        </w:rPr>
        <w:t>月</w:t>
      </w:r>
      <w:r>
        <w:rPr>
          <w:rFonts w:ascii="黑体" w:eastAsia="黑体" w:hAnsi="宋体"/>
          <w:color w:val="000000" w:themeColor="text1"/>
          <w:sz w:val="48"/>
          <w:szCs w:val="48"/>
        </w:rPr>
        <w:br w:type="page"/>
      </w:r>
    </w:p>
    <w:p w14:paraId="28DA3E52" w14:textId="77777777" w:rsidR="00C56ECB" w:rsidRDefault="003F5D50">
      <w:pPr>
        <w:numPr>
          <w:ilvl w:val="0"/>
          <w:numId w:val="1"/>
        </w:numPr>
        <w:spacing w:beforeLines="50" w:before="156" w:line="348" w:lineRule="auto"/>
        <w:ind w:left="0" w:right="96" w:firstLine="0"/>
        <w:rPr>
          <w:rFonts w:ascii="黑体" w:eastAsia="黑体" w:cs="宋体"/>
          <w:b/>
          <w:bCs/>
          <w:sz w:val="32"/>
          <w:szCs w:val="32"/>
        </w:rPr>
      </w:pPr>
      <w:r>
        <w:rPr>
          <w:rFonts w:ascii="黑体" w:eastAsia="黑体" w:cs="宋体" w:hint="eastAsia"/>
          <w:b/>
          <w:bCs/>
          <w:sz w:val="32"/>
          <w:szCs w:val="32"/>
        </w:rPr>
        <w:lastRenderedPageBreak/>
        <w:t>目的意义</w:t>
      </w:r>
    </w:p>
    <w:p w14:paraId="3DAF79CC" w14:textId="5A87A26A" w:rsidR="00F04015" w:rsidRDefault="007E5F62" w:rsidP="004D61B9">
      <w:pPr>
        <w:ind w:firstLineChars="200" w:firstLine="640"/>
        <w:rPr>
          <w:rFonts w:ascii="仿宋_GB2312" w:eastAsia="仿宋_GB2312" w:cs="宋体"/>
          <w:sz w:val="32"/>
          <w:szCs w:val="32"/>
        </w:rPr>
      </w:pPr>
      <w:r w:rsidRPr="007E5F62">
        <w:rPr>
          <w:rFonts w:ascii="仿宋_GB2312" w:eastAsia="仿宋_GB2312" w:cs="宋体" w:hint="eastAsia"/>
          <w:sz w:val="32"/>
          <w:szCs w:val="32"/>
        </w:rPr>
        <w:t>数据作为“信息时代的石油”，已成为国家基础性战略资源，在推动经济高质量发展的同时，也带来</w:t>
      </w:r>
      <w:r w:rsidR="00A37368">
        <w:rPr>
          <w:rFonts w:ascii="仿宋_GB2312" w:eastAsia="仿宋_GB2312" w:cs="宋体" w:hint="eastAsia"/>
          <w:sz w:val="32"/>
          <w:szCs w:val="32"/>
        </w:rPr>
        <w:t>了</w:t>
      </w:r>
      <w:r w:rsidRPr="007E5F62">
        <w:rPr>
          <w:rFonts w:ascii="仿宋_GB2312" w:eastAsia="仿宋_GB2312" w:cs="宋体" w:hint="eastAsia"/>
          <w:sz w:val="32"/>
          <w:szCs w:val="32"/>
        </w:rPr>
        <w:t>数据泄露等</w:t>
      </w:r>
      <w:r w:rsidR="00F04015">
        <w:rPr>
          <w:rFonts w:ascii="仿宋_GB2312" w:eastAsia="仿宋_GB2312" w:cs="宋体" w:hint="eastAsia"/>
          <w:sz w:val="32"/>
          <w:szCs w:val="32"/>
        </w:rPr>
        <w:t>安全问题</w:t>
      </w:r>
      <w:r w:rsidR="0032434C">
        <w:rPr>
          <w:rFonts w:ascii="仿宋_GB2312" w:eastAsia="仿宋_GB2312" w:cs="宋体" w:hint="eastAsia"/>
          <w:sz w:val="32"/>
          <w:szCs w:val="32"/>
        </w:rPr>
        <w:t>。隐私计算</w:t>
      </w:r>
      <w:r w:rsidR="00741ABD">
        <w:rPr>
          <w:rFonts w:ascii="仿宋_GB2312" w:eastAsia="仿宋_GB2312" w:cs="宋体" w:hint="eastAsia"/>
          <w:sz w:val="32"/>
          <w:szCs w:val="32"/>
        </w:rPr>
        <w:t>的</w:t>
      </w:r>
      <w:r w:rsidR="0032434C">
        <w:rPr>
          <w:rFonts w:ascii="仿宋_GB2312" w:eastAsia="仿宋_GB2312" w:cs="宋体" w:hint="eastAsia"/>
          <w:sz w:val="32"/>
          <w:szCs w:val="32"/>
        </w:rPr>
        <w:t>算法能力评估</w:t>
      </w:r>
      <w:r w:rsidR="00741ABD">
        <w:rPr>
          <w:rFonts w:ascii="仿宋_GB2312" w:eastAsia="仿宋_GB2312" w:cs="宋体" w:hint="eastAsia"/>
          <w:sz w:val="32"/>
          <w:szCs w:val="32"/>
        </w:rPr>
        <w:t>缺乏统一的</w:t>
      </w:r>
      <w:r w:rsidR="0032434C">
        <w:rPr>
          <w:rFonts w:ascii="仿宋_GB2312" w:eastAsia="仿宋_GB2312" w:cs="宋体" w:hint="eastAsia"/>
          <w:sz w:val="32"/>
          <w:szCs w:val="32"/>
        </w:rPr>
        <w:t>标准和方法</w:t>
      </w:r>
      <w:r w:rsidR="00741ABD">
        <w:rPr>
          <w:rFonts w:ascii="仿宋_GB2312" w:eastAsia="仿宋_GB2312" w:cs="宋体" w:hint="eastAsia"/>
          <w:sz w:val="32"/>
          <w:szCs w:val="32"/>
        </w:rPr>
        <w:t>，增加了数据安全的风险，</w:t>
      </w:r>
      <w:r w:rsidR="00B77D4F">
        <w:rPr>
          <w:rFonts w:ascii="仿宋_GB2312" w:eastAsia="仿宋_GB2312" w:cs="宋体" w:hint="eastAsia"/>
          <w:sz w:val="32"/>
          <w:szCs w:val="32"/>
        </w:rPr>
        <w:t>对</w:t>
      </w:r>
      <w:r w:rsidR="00741ABD">
        <w:rPr>
          <w:rFonts w:ascii="仿宋_GB2312" w:eastAsia="仿宋_GB2312" w:cs="宋体" w:hint="eastAsia"/>
          <w:sz w:val="32"/>
          <w:szCs w:val="32"/>
        </w:rPr>
        <w:t>国家信息安全</w:t>
      </w:r>
      <w:r w:rsidR="00B77D4F">
        <w:rPr>
          <w:rFonts w:ascii="仿宋_GB2312" w:eastAsia="仿宋_GB2312" w:cs="宋体" w:hint="eastAsia"/>
          <w:sz w:val="32"/>
          <w:szCs w:val="32"/>
        </w:rPr>
        <w:t>构成了威胁</w:t>
      </w:r>
      <w:r w:rsidR="00741ABD">
        <w:rPr>
          <w:rFonts w:ascii="仿宋_GB2312" w:eastAsia="仿宋_GB2312" w:cs="宋体" w:hint="eastAsia"/>
          <w:sz w:val="32"/>
          <w:szCs w:val="32"/>
        </w:rPr>
        <w:t>。</w:t>
      </w:r>
    </w:p>
    <w:p w14:paraId="71E69019" w14:textId="0EDCEFCF" w:rsidR="00741ABD" w:rsidRDefault="00225C94" w:rsidP="00225C94">
      <w:pPr>
        <w:ind w:firstLineChars="200" w:firstLine="640"/>
        <w:rPr>
          <w:rFonts w:ascii="仿宋_GB2312" w:eastAsia="仿宋_GB2312" w:cs="宋体"/>
          <w:sz w:val="32"/>
          <w:szCs w:val="32"/>
        </w:rPr>
      </w:pPr>
      <w:r w:rsidRPr="00225C94">
        <w:rPr>
          <w:rFonts w:ascii="仿宋_GB2312" w:eastAsia="仿宋_GB2312" w:cs="宋体"/>
          <w:sz w:val="32"/>
          <w:szCs w:val="32"/>
        </w:rPr>
        <w:t>2020年由国家发改委发布的《关于加快构建全国一体化大数据中心协同创新体系的指导意见》中指出要</w:t>
      </w:r>
      <w:r w:rsidRPr="00225C94">
        <w:rPr>
          <w:rFonts w:ascii="仿宋_GB2312" w:eastAsia="仿宋_GB2312" w:cs="宋体" w:hint="eastAsia"/>
          <w:sz w:val="32"/>
          <w:szCs w:val="32"/>
        </w:rPr>
        <w:t>开展通信网络安全防护工作，同步规划、同步建设和同步运行网络安全设施，提升应对高级威胁攻击能力。加快研究完善海量数据汇聚融合的风险识别与防护技术、数据脱敏技术、数据安全合规性评估认证、数据加密保护机制及相关技术监测手段等。</w:t>
      </w:r>
      <w:r w:rsidR="00741ABD">
        <w:rPr>
          <w:rFonts w:ascii="仿宋_GB2312" w:eastAsia="仿宋_GB2312" w:cs="宋体" w:hint="eastAsia"/>
          <w:sz w:val="32"/>
          <w:szCs w:val="32"/>
        </w:rPr>
        <w:t>2</w:t>
      </w:r>
      <w:r w:rsidR="00741ABD">
        <w:rPr>
          <w:rFonts w:ascii="仿宋_GB2312" w:eastAsia="仿宋_GB2312" w:cs="宋体"/>
          <w:sz w:val="32"/>
          <w:szCs w:val="32"/>
        </w:rPr>
        <w:t>022</w:t>
      </w:r>
      <w:r w:rsidR="00741ABD">
        <w:rPr>
          <w:rFonts w:ascii="仿宋_GB2312" w:eastAsia="仿宋_GB2312" w:cs="宋体" w:hint="eastAsia"/>
          <w:sz w:val="32"/>
          <w:szCs w:val="32"/>
        </w:rPr>
        <w:t>年工信部发布的《</w:t>
      </w:r>
      <w:r w:rsidR="00741ABD" w:rsidRPr="00741ABD">
        <w:rPr>
          <w:rFonts w:ascii="仿宋_GB2312" w:eastAsia="仿宋_GB2312" w:cs="宋体" w:hint="eastAsia"/>
          <w:sz w:val="32"/>
          <w:szCs w:val="32"/>
        </w:rPr>
        <w:t>工业和信息化部等十六部门关于促进数据安全产业发展的指导意见</w:t>
      </w:r>
      <w:r w:rsidR="00741ABD">
        <w:rPr>
          <w:rFonts w:ascii="仿宋_GB2312" w:eastAsia="仿宋_GB2312" w:cs="宋体" w:hint="eastAsia"/>
          <w:sz w:val="32"/>
          <w:szCs w:val="32"/>
        </w:rPr>
        <w:t>》提出要</w:t>
      </w:r>
      <w:r w:rsidR="00741ABD" w:rsidRPr="00741ABD">
        <w:rPr>
          <w:rFonts w:ascii="仿宋_GB2312" w:eastAsia="仿宋_GB2312" w:cs="宋体" w:hint="eastAsia"/>
          <w:sz w:val="32"/>
          <w:szCs w:val="32"/>
        </w:rPr>
        <w:t>积极发展检测、评估、认证服务。建立数据安全检测评估体系，加强与网络安全等级保护评测等相关体系衔接。鼓励检测、评估、认证机构跨行业跨领域发展，推动跨行业标准互通和结果互认。推动检测、评估等服务与数据安全相关标准体系的动态衔接。</w:t>
      </w:r>
    </w:p>
    <w:p w14:paraId="52CD6110" w14:textId="1BDA0827" w:rsidR="008622D0" w:rsidRDefault="008622D0" w:rsidP="004D61B9">
      <w:pPr>
        <w:ind w:firstLineChars="200" w:firstLine="640"/>
        <w:rPr>
          <w:rFonts w:ascii="仿宋_GB2312" w:eastAsia="仿宋_GB2312" w:cs="宋体"/>
          <w:sz w:val="32"/>
          <w:szCs w:val="32"/>
        </w:rPr>
      </w:pPr>
      <w:r>
        <w:rPr>
          <w:rFonts w:ascii="仿宋_GB2312" w:eastAsia="仿宋_GB2312" w:cs="宋体" w:hint="eastAsia"/>
          <w:sz w:val="32"/>
          <w:szCs w:val="32"/>
        </w:rPr>
        <w:t>因此，开展脱敏算法能力评估是确保</w:t>
      </w:r>
      <w:r w:rsidRPr="00741ABD">
        <w:rPr>
          <w:rFonts w:ascii="仿宋_GB2312" w:eastAsia="仿宋_GB2312" w:cs="宋体" w:hint="eastAsia"/>
          <w:sz w:val="32"/>
          <w:szCs w:val="32"/>
        </w:rPr>
        <w:t>数据安全检测评估</w:t>
      </w:r>
      <w:r>
        <w:rPr>
          <w:rFonts w:ascii="仿宋_GB2312" w:eastAsia="仿宋_GB2312" w:cs="宋体" w:hint="eastAsia"/>
          <w:sz w:val="32"/>
          <w:szCs w:val="32"/>
        </w:rPr>
        <w:t>的一项重要工作，通过脱敏算法能力评估将有助于全面了解和掌握脱敏算法的脱敏能力和存在的问题，进而</w:t>
      </w:r>
      <w:r w:rsidRPr="00980B0C">
        <w:rPr>
          <w:rFonts w:ascii="仿宋_GB2312" w:eastAsia="仿宋_GB2312" w:cs="宋体"/>
          <w:sz w:val="32"/>
          <w:szCs w:val="32"/>
        </w:rPr>
        <w:t>有针对性的补齐短板</w:t>
      </w:r>
      <w:r>
        <w:rPr>
          <w:rFonts w:ascii="仿宋_GB2312" w:eastAsia="仿宋_GB2312" w:cs="宋体" w:hint="eastAsia"/>
          <w:sz w:val="32"/>
          <w:szCs w:val="32"/>
        </w:rPr>
        <w:t>，推动隐私计算与数据安全能力建设协同发展。尤其在我国</w:t>
      </w:r>
      <w:r w:rsidR="00AC1016">
        <w:rPr>
          <w:rFonts w:ascii="仿宋_GB2312" w:eastAsia="仿宋_GB2312" w:cs="宋体" w:hint="eastAsia"/>
          <w:sz w:val="32"/>
          <w:szCs w:val="32"/>
        </w:rPr>
        <w:t>提高</w:t>
      </w:r>
      <w:r w:rsidR="00AC1016" w:rsidRPr="00AC1016">
        <w:rPr>
          <w:rFonts w:ascii="仿宋_GB2312" w:eastAsia="仿宋_GB2312" w:cs="宋体" w:hint="eastAsia"/>
          <w:sz w:val="32"/>
          <w:szCs w:val="32"/>
        </w:rPr>
        <w:t>数据安全管理和个人信息保护</w:t>
      </w:r>
      <w:r w:rsidR="00AC1016">
        <w:rPr>
          <w:rFonts w:ascii="仿宋_GB2312" w:eastAsia="仿宋_GB2312" w:cs="宋体" w:hint="eastAsia"/>
          <w:sz w:val="32"/>
          <w:szCs w:val="32"/>
        </w:rPr>
        <w:t xml:space="preserve">水平的过程中， </w:t>
      </w:r>
      <w:r w:rsidR="00AC1016" w:rsidRPr="00AC1016">
        <w:rPr>
          <w:rFonts w:ascii="仿宋_GB2312" w:eastAsia="仿宋_GB2312" w:cs="宋体" w:hint="eastAsia"/>
          <w:sz w:val="32"/>
          <w:szCs w:val="32"/>
        </w:rPr>
        <w:lastRenderedPageBreak/>
        <w:t>这项工作是非常重要和必不可少的。其中，</w:t>
      </w:r>
      <w:r w:rsidR="00AC1016">
        <w:rPr>
          <w:rFonts w:ascii="仿宋_GB2312" w:eastAsia="仿宋_GB2312" w:cs="宋体" w:hint="eastAsia"/>
          <w:sz w:val="32"/>
          <w:szCs w:val="32"/>
        </w:rPr>
        <w:t>脱敏算法能力评估技术要求</w:t>
      </w:r>
      <w:r w:rsidR="00AC1016" w:rsidRPr="00AC1016">
        <w:rPr>
          <w:rFonts w:ascii="仿宋_GB2312" w:eastAsia="仿宋_GB2312" w:cs="宋体" w:hint="eastAsia"/>
          <w:sz w:val="32"/>
          <w:szCs w:val="32"/>
        </w:rPr>
        <w:t>的关键作用在于：</w:t>
      </w:r>
    </w:p>
    <w:p w14:paraId="5790641D" w14:textId="05071F08" w:rsidR="008664A3" w:rsidRPr="00980B0C" w:rsidRDefault="008664A3" w:rsidP="008664A3">
      <w:pPr>
        <w:ind w:firstLineChars="200" w:firstLine="640"/>
        <w:rPr>
          <w:rFonts w:ascii="仿宋_GB2312" w:eastAsia="仿宋_GB2312" w:cs="宋体"/>
          <w:sz w:val="32"/>
          <w:szCs w:val="32"/>
        </w:rPr>
      </w:pPr>
      <w:r w:rsidRPr="00980B0C">
        <w:rPr>
          <w:rFonts w:ascii="仿宋_GB2312" w:eastAsia="仿宋_GB2312" w:cs="宋体"/>
          <w:sz w:val="32"/>
          <w:szCs w:val="32"/>
        </w:rPr>
        <w:t>1</w:t>
      </w:r>
      <w:r w:rsidRPr="00980B0C">
        <w:rPr>
          <w:rFonts w:ascii="仿宋_GB2312" w:eastAsia="仿宋_GB2312" w:cs="宋体" w:hint="eastAsia"/>
          <w:sz w:val="32"/>
          <w:szCs w:val="32"/>
        </w:rPr>
        <w:t>、</w:t>
      </w:r>
      <w:r>
        <w:rPr>
          <w:rFonts w:ascii="仿宋_GB2312" w:eastAsia="仿宋_GB2312" w:cs="宋体" w:hint="eastAsia"/>
          <w:sz w:val="32"/>
          <w:szCs w:val="32"/>
        </w:rPr>
        <w:t>社会各方都亟需可以统一评估脱敏算法能力的技术要求，以实现</w:t>
      </w:r>
      <w:r w:rsidRPr="008664A3">
        <w:rPr>
          <w:rFonts w:ascii="仿宋_GB2312" w:eastAsia="仿宋_GB2312" w:cs="宋体" w:hint="eastAsia"/>
          <w:sz w:val="32"/>
          <w:szCs w:val="32"/>
        </w:rPr>
        <w:t>规范脱敏算法在数据处理中的应用流程和操作规范</w:t>
      </w:r>
      <w:r>
        <w:rPr>
          <w:rFonts w:ascii="仿宋_GB2312" w:eastAsia="仿宋_GB2312" w:cs="宋体" w:hint="eastAsia"/>
          <w:sz w:val="32"/>
          <w:szCs w:val="32"/>
        </w:rPr>
        <w:t>。</w:t>
      </w:r>
    </w:p>
    <w:p w14:paraId="595D9D4D" w14:textId="7D3E2A5A" w:rsidR="008664A3" w:rsidRDefault="008664A3" w:rsidP="008664A3">
      <w:pPr>
        <w:ind w:firstLineChars="200" w:firstLine="640"/>
        <w:rPr>
          <w:rFonts w:ascii="仿宋_GB2312" w:eastAsia="仿宋_GB2312" w:cs="宋体"/>
          <w:sz w:val="32"/>
          <w:szCs w:val="32"/>
        </w:rPr>
      </w:pPr>
      <w:r>
        <w:rPr>
          <w:rFonts w:ascii="仿宋_GB2312" w:eastAsia="仿宋_GB2312" w:cs="宋体" w:hint="eastAsia"/>
          <w:sz w:val="32"/>
          <w:szCs w:val="32"/>
        </w:rPr>
        <w:t>2、社会各方</w:t>
      </w:r>
      <w:r w:rsidRPr="008664A3">
        <w:rPr>
          <w:rFonts w:ascii="仿宋_GB2312" w:eastAsia="仿宋_GB2312" w:cs="宋体" w:hint="eastAsia"/>
          <w:sz w:val="32"/>
          <w:szCs w:val="32"/>
        </w:rPr>
        <w:t>通过对脱敏算法能力的评估，可以有效降低敏感数据泄露和滥用的风险，保障个人隐私和敏感信息的安全。</w:t>
      </w:r>
    </w:p>
    <w:p w14:paraId="54EBC497" w14:textId="7B831D8D" w:rsidR="008664A3" w:rsidRDefault="008664A3" w:rsidP="008664A3">
      <w:pPr>
        <w:ind w:firstLineChars="200" w:firstLine="640"/>
        <w:rPr>
          <w:rFonts w:ascii="仿宋_GB2312" w:eastAsia="仿宋_GB2312" w:cs="宋体"/>
          <w:sz w:val="32"/>
          <w:szCs w:val="32"/>
        </w:rPr>
      </w:pPr>
      <w:r>
        <w:rPr>
          <w:rFonts w:ascii="仿宋_GB2312" w:eastAsia="仿宋_GB2312" w:cs="宋体"/>
          <w:sz w:val="32"/>
          <w:szCs w:val="32"/>
        </w:rPr>
        <w:t>3</w:t>
      </w:r>
      <w:r>
        <w:rPr>
          <w:rFonts w:ascii="仿宋_GB2312" w:eastAsia="仿宋_GB2312" w:cs="宋体" w:hint="eastAsia"/>
          <w:sz w:val="32"/>
          <w:szCs w:val="32"/>
        </w:rPr>
        <w:t>、社会各方</w:t>
      </w:r>
      <w:r w:rsidRPr="008664A3">
        <w:rPr>
          <w:rFonts w:ascii="仿宋_GB2312" w:eastAsia="仿宋_GB2312" w:cs="宋体" w:hint="eastAsia"/>
          <w:sz w:val="32"/>
          <w:szCs w:val="32"/>
        </w:rPr>
        <w:t>通过对脱敏算法能力的评估</w:t>
      </w:r>
      <w:r>
        <w:rPr>
          <w:rFonts w:ascii="仿宋_GB2312" w:eastAsia="仿宋_GB2312" w:cs="宋体" w:hint="eastAsia"/>
          <w:sz w:val="32"/>
          <w:szCs w:val="32"/>
        </w:rPr>
        <w:t>，</w:t>
      </w:r>
      <w:r w:rsidRPr="008664A3">
        <w:rPr>
          <w:rFonts w:ascii="仿宋_GB2312" w:eastAsia="仿宋_GB2312" w:cs="宋体" w:hint="eastAsia"/>
          <w:sz w:val="32"/>
          <w:szCs w:val="32"/>
        </w:rPr>
        <w:t>有助于提高数据安全信任，促进数据共享和合作，推动数据的开放和创新应用。</w:t>
      </w:r>
    </w:p>
    <w:p w14:paraId="70119F55" w14:textId="407A1A5E" w:rsidR="008664A3" w:rsidRDefault="008664A3" w:rsidP="008664A3">
      <w:pPr>
        <w:ind w:firstLineChars="200" w:firstLine="640"/>
        <w:rPr>
          <w:rFonts w:ascii="仿宋_GB2312" w:eastAsia="仿宋_GB2312" w:cs="宋体"/>
          <w:sz w:val="32"/>
          <w:szCs w:val="32"/>
        </w:rPr>
      </w:pPr>
      <w:r>
        <w:rPr>
          <w:rFonts w:ascii="仿宋_GB2312" w:eastAsia="仿宋_GB2312" w:cs="宋体" w:hint="eastAsia"/>
          <w:sz w:val="32"/>
          <w:szCs w:val="32"/>
        </w:rPr>
        <w:t>4、脱敏算法</w:t>
      </w:r>
      <w:r w:rsidRPr="008664A3">
        <w:rPr>
          <w:rFonts w:ascii="仿宋_GB2312" w:eastAsia="仿宋_GB2312" w:cs="宋体" w:hint="eastAsia"/>
          <w:sz w:val="32"/>
          <w:szCs w:val="32"/>
        </w:rPr>
        <w:t>评估技术要求的制定有助于提升国家信息安全防护能力，防范数据泄露和滥用对国家安全的威胁。</w:t>
      </w:r>
    </w:p>
    <w:p w14:paraId="14BF0A71" w14:textId="1E2BAF70" w:rsidR="004D61B9" w:rsidRPr="008664A3" w:rsidRDefault="008664A3" w:rsidP="008664A3">
      <w:pPr>
        <w:ind w:firstLineChars="200" w:firstLine="640"/>
        <w:rPr>
          <w:rFonts w:ascii="仿宋_GB2312" w:eastAsia="仿宋_GB2312" w:cs="宋体"/>
          <w:sz w:val="32"/>
          <w:szCs w:val="32"/>
        </w:rPr>
      </w:pPr>
      <w:r>
        <w:rPr>
          <w:rFonts w:ascii="仿宋_GB2312" w:eastAsia="仿宋_GB2312" w:cs="宋体" w:hint="eastAsia"/>
          <w:sz w:val="32"/>
          <w:szCs w:val="32"/>
        </w:rPr>
        <w:t>5、各国缺乏一套统一的规范化的脱敏算法能力评估标准，用以促进国际间数据安全技术的交流与合作。</w:t>
      </w:r>
    </w:p>
    <w:p w14:paraId="00004CEC" w14:textId="77777777" w:rsidR="00C56ECB" w:rsidRDefault="003F5D50" w:rsidP="004D61B9">
      <w:pPr>
        <w:numPr>
          <w:ilvl w:val="0"/>
          <w:numId w:val="1"/>
        </w:numPr>
        <w:spacing w:beforeLines="50" w:before="156" w:line="348" w:lineRule="auto"/>
        <w:ind w:left="0" w:right="96" w:firstLine="0"/>
        <w:rPr>
          <w:rFonts w:ascii="黑体" w:eastAsia="黑体" w:cs="宋体"/>
          <w:b/>
          <w:bCs/>
          <w:sz w:val="32"/>
          <w:szCs w:val="32"/>
        </w:rPr>
      </w:pPr>
      <w:r>
        <w:rPr>
          <w:rFonts w:ascii="黑体" w:eastAsia="黑体" w:cs="宋体" w:hint="eastAsia"/>
          <w:b/>
          <w:bCs/>
          <w:sz w:val="32"/>
          <w:szCs w:val="32"/>
        </w:rPr>
        <w:t>任务来源</w:t>
      </w:r>
    </w:p>
    <w:p w14:paraId="2693B23B" w14:textId="7159744E" w:rsidR="00B4522D" w:rsidRDefault="004D5127" w:rsidP="007C6DC2">
      <w:pPr>
        <w:ind w:firstLineChars="200" w:firstLine="640"/>
        <w:rPr>
          <w:rFonts w:ascii="仿宋_GB2312" w:eastAsia="仿宋_GB2312" w:cs="宋体"/>
          <w:sz w:val="32"/>
          <w:szCs w:val="32"/>
        </w:rPr>
      </w:pPr>
      <w:r>
        <w:rPr>
          <w:rFonts w:ascii="仿宋_GB2312" w:eastAsia="仿宋_GB2312" w:cs="宋体" w:hint="eastAsia"/>
          <w:sz w:val="32"/>
          <w:szCs w:val="32"/>
        </w:rPr>
        <w:t>在国际上，一些国际标准组织和技术机构已经制定和发布了脱敏算法能力评估的相关标准</w:t>
      </w:r>
      <w:r w:rsidR="009B7A31">
        <w:rPr>
          <w:rFonts w:ascii="仿宋_GB2312" w:eastAsia="仿宋_GB2312" w:cs="宋体" w:hint="eastAsia"/>
          <w:sz w:val="32"/>
          <w:szCs w:val="32"/>
        </w:rPr>
        <w:t>和指南</w:t>
      </w:r>
      <w:r>
        <w:rPr>
          <w:rFonts w:ascii="仿宋_GB2312" w:eastAsia="仿宋_GB2312" w:cs="宋体" w:hint="eastAsia"/>
          <w:sz w:val="32"/>
          <w:szCs w:val="32"/>
        </w:rPr>
        <w:t>。例如，</w:t>
      </w:r>
      <w:r w:rsidRPr="004D5127">
        <w:rPr>
          <w:rFonts w:ascii="仿宋_GB2312" w:eastAsia="仿宋_GB2312" w:cs="宋体"/>
          <w:sz w:val="32"/>
          <w:szCs w:val="32"/>
        </w:rPr>
        <w:t>ISO/IEC</w:t>
      </w:r>
      <w:r w:rsidR="009B7A31">
        <w:rPr>
          <w:rFonts w:ascii="仿宋_GB2312" w:eastAsia="仿宋_GB2312" w:cs="宋体"/>
          <w:sz w:val="32"/>
          <w:szCs w:val="32"/>
        </w:rPr>
        <w:t xml:space="preserve"> </w:t>
      </w:r>
      <w:r w:rsidRPr="004D5127">
        <w:rPr>
          <w:rFonts w:ascii="仿宋_GB2312" w:eastAsia="仿宋_GB2312" w:cs="宋体"/>
          <w:sz w:val="32"/>
          <w:szCs w:val="32"/>
        </w:rPr>
        <w:t>27002</w:t>
      </w:r>
      <w:r>
        <w:rPr>
          <w:rFonts w:ascii="仿宋_GB2312" w:eastAsia="仿宋_GB2312" w:cs="宋体" w:hint="eastAsia"/>
          <w:sz w:val="32"/>
          <w:szCs w:val="32"/>
        </w:rPr>
        <w:t>《</w:t>
      </w:r>
      <w:r w:rsidRPr="004D5127">
        <w:rPr>
          <w:rFonts w:ascii="仿宋_GB2312" w:eastAsia="仿宋_GB2312" w:cs="宋体" w:hint="eastAsia"/>
          <w:sz w:val="32"/>
          <w:szCs w:val="32"/>
        </w:rPr>
        <w:t>信息安全、网络安全和隐私</w:t>
      </w:r>
      <w:r>
        <w:rPr>
          <w:rFonts w:ascii="仿宋_GB2312" w:eastAsia="仿宋_GB2312" w:cs="宋体" w:hint="eastAsia"/>
          <w:sz w:val="32"/>
          <w:szCs w:val="32"/>
        </w:rPr>
        <w:t>保护</w:t>
      </w:r>
      <w:r w:rsidR="009B7A31">
        <w:rPr>
          <w:rFonts w:ascii="仿宋_GB2312" w:eastAsia="仿宋_GB2312" w:cs="宋体"/>
          <w:sz w:val="32"/>
          <w:szCs w:val="32"/>
        </w:rPr>
        <w:t>—</w:t>
      </w:r>
      <w:r w:rsidRPr="004D5127">
        <w:rPr>
          <w:rFonts w:ascii="仿宋_GB2312" w:eastAsia="仿宋_GB2312" w:cs="宋体"/>
          <w:sz w:val="32"/>
          <w:szCs w:val="32"/>
        </w:rPr>
        <w:t>信息安全</w:t>
      </w:r>
      <w:r w:rsidR="009B7A31">
        <w:rPr>
          <w:rFonts w:ascii="仿宋_GB2312" w:eastAsia="仿宋_GB2312" w:cs="宋体" w:hint="eastAsia"/>
          <w:sz w:val="32"/>
          <w:szCs w:val="32"/>
        </w:rPr>
        <w:t>管理</w:t>
      </w:r>
      <w:r>
        <w:rPr>
          <w:rFonts w:ascii="仿宋_GB2312" w:eastAsia="仿宋_GB2312" w:cs="宋体" w:hint="eastAsia"/>
          <w:sz w:val="32"/>
          <w:szCs w:val="32"/>
        </w:rPr>
        <w:t>》</w:t>
      </w:r>
      <w:r w:rsidR="009B7A31">
        <w:rPr>
          <w:rFonts w:ascii="仿宋_GB2312" w:eastAsia="仿宋_GB2312" w:cs="宋体" w:hint="eastAsia"/>
          <w:sz w:val="32"/>
          <w:szCs w:val="32"/>
        </w:rPr>
        <w:t>和</w:t>
      </w:r>
      <w:r w:rsidR="009B7A31" w:rsidRPr="004D5127">
        <w:rPr>
          <w:rFonts w:ascii="仿宋_GB2312" w:eastAsia="仿宋_GB2312" w:cs="宋体"/>
          <w:sz w:val="32"/>
          <w:szCs w:val="32"/>
        </w:rPr>
        <w:t>ISO/IEC</w:t>
      </w:r>
      <w:r w:rsidR="009B7A31">
        <w:rPr>
          <w:rFonts w:ascii="仿宋_GB2312" w:eastAsia="仿宋_GB2312" w:cs="宋体"/>
          <w:sz w:val="32"/>
          <w:szCs w:val="32"/>
        </w:rPr>
        <w:t xml:space="preserve"> 29101</w:t>
      </w:r>
      <w:r w:rsidR="009B7A31">
        <w:rPr>
          <w:rFonts w:ascii="仿宋_GB2312" w:eastAsia="仿宋_GB2312" w:cs="宋体" w:hint="eastAsia"/>
          <w:sz w:val="32"/>
          <w:szCs w:val="32"/>
        </w:rPr>
        <w:t>《信息技术</w:t>
      </w:r>
      <w:r w:rsidR="009B7A31">
        <w:rPr>
          <w:rFonts w:ascii="仿宋_GB2312" w:eastAsia="仿宋_GB2312" w:cs="宋体"/>
          <w:sz w:val="32"/>
          <w:szCs w:val="32"/>
        </w:rPr>
        <w:t>—</w:t>
      </w:r>
      <w:r w:rsidR="009B7A31">
        <w:rPr>
          <w:rFonts w:ascii="仿宋_GB2312" w:eastAsia="仿宋_GB2312" w:cs="宋体" w:hint="eastAsia"/>
          <w:sz w:val="32"/>
          <w:szCs w:val="32"/>
        </w:rPr>
        <w:t>安全技术</w:t>
      </w:r>
      <w:r w:rsidR="009B7A31">
        <w:rPr>
          <w:rFonts w:ascii="仿宋_GB2312" w:eastAsia="仿宋_GB2312" w:cs="宋体"/>
          <w:sz w:val="32"/>
          <w:szCs w:val="32"/>
        </w:rPr>
        <w:t>—</w:t>
      </w:r>
      <w:r w:rsidR="009B7A31">
        <w:rPr>
          <w:rFonts w:ascii="仿宋_GB2312" w:eastAsia="仿宋_GB2312" w:cs="宋体" w:hint="eastAsia"/>
          <w:sz w:val="32"/>
          <w:szCs w:val="32"/>
        </w:rPr>
        <w:t>隐私架构框架》等标准，提供了信息安全管理与隐私架构框架的要求和指南，其中包括了隐私计算和脱敏技术的相关内容。</w:t>
      </w:r>
      <w:r w:rsidR="009B7A31" w:rsidRPr="009B7A31">
        <w:rPr>
          <w:rFonts w:ascii="仿宋_GB2312" w:eastAsia="仿宋_GB2312" w:cs="宋体"/>
          <w:sz w:val="32"/>
          <w:szCs w:val="32"/>
        </w:rPr>
        <w:t>GDPR（《通用</w:t>
      </w:r>
      <w:r w:rsidR="009B7A31" w:rsidRPr="009B7A31">
        <w:rPr>
          <w:rFonts w:ascii="仿宋_GB2312" w:eastAsia="仿宋_GB2312" w:cs="宋体"/>
          <w:sz w:val="32"/>
          <w:szCs w:val="32"/>
        </w:rPr>
        <w:lastRenderedPageBreak/>
        <w:t>数据保护条例》）</w:t>
      </w:r>
      <w:r w:rsidR="009B7A31">
        <w:rPr>
          <w:rFonts w:ascii="仿宋_GB2312" w:eastAsia="仿宋_GB2312" w:cs="宋体" w:hint="eastAsia"/>
          <w:sz w:val="32"/>
          <w:szCs w:val="32"/>
        </w:rPr>
        <w:t>规定了个人数据的处理方式，包括</w:t>
      </w:r>
      <w:r w:rsidR="009B7A31" w:rsidRPr="009B7A31">
        <w:rPr>
          <w:rFonts w:ascii="仿宋_GB2312" w:eastAsia="仿宋_GB2312" w:cs="宋体" w:hint="eastAsia"/>
          <w:sz w:val="32"/>
          <w:szCs w:val="32"/>
        </w:rPr>
        <w:t>了对个人</w:t>
      </w:r>
      <w:r w:rsidR="009026F7">
        <w:rPr>
          <w:rFonts w:ascii="仿宋_GB2312" w:eastAsia="仿宋_GB2312" w:cs="宋体" w:hint="eastAsia"/>
          <w:sz w:val="32"/>
          <w:szCs w:val="32"/>
        </w:rPr>
        <w:t>隐私信息</w:t>
      </w:r>
      <w:r w:rsidR="009B7A31" w:rsidRPr="009B7A31">
        <w:rPr>
          <w:rFonts w:ascii="仿宋_GB2312" w:eastAsia="仿宋_GB2312" w:cs="宋体" w:hint="eastAsia"/>
          <w:sz w:val="32"/>
          <w:szCs w:val="32"/>
        </w:rPr>
        <w:t>进行脱敏</w:t>
      </w:r>
      <w:r w:rsidR="009B7A31">
        <w:rPr>
          <w:rFonts w:ascii="仿宋_GB2312" w:eastAsia="仿宋_GB2312" w:cs="宋体" w:hint="eastAsia"/>
          <w:sz w:val="32"/>
          <w:szCs w:val="32"/>
        </w:rPr>
        <w:t>的要求</w:t>
      </w:r>
      <w:r w:rsidR="009B7A31" w:rsidRPr="009B7A31">
        <w:rPr>
          <w:rFonts w:ascii="仿宋_GB2312" w:eastAsia="仿宋_GB2312" w:cs="宋体" w:hint="eastAsia"/>
          <w:sz w:val="32"/>
          <w:szCs w:val="32"/>
        </w:rPr>
        <w:t>和</w:t>
      </w:r>
      <w:r w:rsidR="009B7A31">
        <w:rPr>
          <w:rFonts w:ascii="仿宋_GB2312" w:eastAsia="仿宋_GB2312" w:cs="宋体" w:hint="eastAsia"/>
          <w:sz w:val="32"/>
          <w:szCs w:val="32"/>
        </w:rPr>
        <w:t>脱敏算法能力评估的相关内容</w:t>
      </w:r>
      <w:r w:rsidR="009B7A31" w:rsidRPr="009B7A31">
        <w:rPr>
          <w:rFonts w:ascii="仿宋_GB2312" w:eastAsia="仿宋_GB2312" w:cs="宋体" w:hint="eastAsia"/>
          <w:sz w:val="32"/>
          <w:szCs w:val="32"/>
        </w:rPr>
        <w:t>。</w:t>
      </w:r>
    </w:p>
    <w:p w14:paraId="351F2D3F" w14:textId="3480E458" w:rsidR="009B7A31" w:rsidRPr="009B7A31" w:rsidRDefault="009B7A31" w:rsidP="007C6DC2">
      <w:pPr>
        <w:ind w:firstLineChars="200" w:firstLine="640"/>
        <w:rPr>
          <w:rFonts w:ascii="仿宋_GB2312" w:eastAsia="仿宋_GB2312" w:cs="宋体"/>
          <w:sz w:val="32"/>
          <w:szCs w:val="32"/>
        </w:rPr>
      </w:pPr>
      <w:r>
        <w:rPr>
          <w:rFonts w:ascii="仿宋_GB2312" w:eastAsia="仿宋_GB2312" w:cs="宋体" w:hint="eastAsia"/>
          <w:sz w:val="32"/>
          <w:szCs w:val="32"/>
        </w:rPr>
        <w:t>在国内，</w:t>
      </w:r>
      <w:r w:rsidRPr="00B64240">
        <w:rPr>
          <w:rFonts w:ascii="仿宋_GB2312" w:eastAsia="仿宋_GB2312" w:cs="宋体" w:hint="eastAsia"/>
          <w:sz w:val="32"/>
          <w:szCs w:val="32"/>
        </w:rPr>
        <w:t>一些行业组织和标准化机构也开始关注脱敏效果评估的标准制定和实践</w:t>
      </w:r>
      <w:r>
        <w:rPr>
          <w:rFonts w:ascii="仿宋_GB2312" w:eastAsia="仿宋_GB2312" w:cs="宋体" w:hint="eastAsia"/>
          <w:sz w:val="32"/>
          <w:szCs w:val="32"/>
        </w:rPr>
        <w:t>。例如，</w:t>
      </w:r>
      <w:r w:rsidR="009026F7">
        <w:rPr>
          <w:rFonts w:ascii="仿宋_GB2312" w:eastAsia="仿宋_GB2312" w:cs="宋体" w:hint="eastAsia"/>
          <w:sz w:val="32"/>
          <w:szCs w:val="32"/>
        </w:rPr>
        <w:t>国家市场监督管理总局与国家标准化管理委员会发布的《信息安全技术 个人信息安全规范》标准，规定了个人隐私信息处理活动的原则和安全要求，其中包括了脱敏算法能力的相关内容。此外，标准制定机构和</w:t>
      </w:r>
      <w:r w:rsidR="008854AA">
        <w:rPr>
          <w:rFonts w:ascii="仿宋_GB2312" w:eastAsia="仿宋_GB2312" w:cs="宋体" w:hint="eastAsia"/>
          <w:sz w:val="32"/>
          <w:szCs w:val="32"/>
        </w:rPr>
        <w:t>一些</w:t>
      </w:r>
      <w:r w:rsidR="009026F7">
        <w:rPr>
          <w:rFonts w:ascii="仿宋_GB2312" w:eastAsia="仿宋_GB2312" w:cs="宋体" w:hint="eastAsia"/>
          <w:sz w:val="32"/>
          <w:szCs w:val="32"/>
        </w:rPr>
        <w:t>行业组织(如金融行业、医疗保健行业等</w:t>
      </w:r>
      <w:r w:rsidR="009026F7">
        <w:rPr>
          <w:rFonts w:ascii="仿宋_GB2312" w:eastAsia="仿宋_GB2312" w:cs="宋体"/>
          <w:sz w:val="32"/>
          <w:szCs w:val="32"/>
        </w:rPr>
        <w:t>)</w:t>
      </w:r>
      <w:r w:rsidR="009026F7">
        <w:rPr>
          <w:rFonts w:ascii="仿宋_GB2312" w:eastAsia="仿宋_GB2312" w:cs="宋体" w:hint="eastAsia"/>
          <w:sz w:val="32"/>
          <w:szCs w:val="32"/>
        </w:rPr>
        <w:t>也开展了脱敏算法能力评估相关的指南和标准的实践研究工作，</w:t>
      </w:r>
      <w:r w:rsidR="009026F7" w:rsidRPr="009B7A31">
        <w:rPr>
          <w:rFonts w:ascii="仿宋_GB2312" w:eastAsia="仿宋_GB2312" w:cs="宋体" w:hint="eastAsia"/>
          <w:sz w:val="32"/>
          <w:szCs w:val="32"/>
        </w:rPr>
        <w:t xml:space="preserve"> </w:t>
      </w:r>
      <w:r w:rsidR="008854AA">
        <w:rPr>
          <w:rFonts w:ascii="仿宋_GB2312" w:eastAsia="仿宋_GB2312" w:cs="宋体" w:hint="eastAsia"/>
          <w:sz w:val="32"/>
          <w:szCs w:val="32"/>
        </w:rPr>
        <w:t>完善脱敏算法能力评估的方法和技术。</w:t>
      </w:r>
    </w:p>
    <w:p w14:paraId="22127D90" w14:textId="3C7CDB24" w:rsidR="007C6DC2" w:rsidRDefault="00073BC5" w:rsidP="00B4522D">
      <w:pPr>
        <w:ind w:firstLineChars="200" w:firstLine="640"/>
        <w:rPr>
          <w:rFonts w:ascii="仿宋_GB2312" w:eastAsia="仿宋_GB2312" w:cs="宋体"/>
          <w:sz w:val="32"/>
          <w:szCs w:val="32"/>
        </w:rPr>
      </w:pPr>
      <w:r>
        <w:rPr>
          <w:rFonts w:ascii="仿宋_GB2312" w:eastAsia="仿宋_GB2312" w:cs="宋体" w:hint="eastAsia"/>
          <w:sz w:val="32"/>
          <w:szCs w:val="32"/>
        </w:rPr>
        <w:t>并且，</w:t>
      </w:r>
      <w:r w:rsidR="007C6DC2">
        <w:rPr>
          <w:rFonts w:ascii="仿宋_GB2312" w:eastAsia="仿宋_GB2312" w:cs="宋体" w:hint="eastAsia"/>
          <w:sz w:val="32"/>
          <w:szCs w:val="32"/>
        </w:rPr>
        <w:t>进行脱敏算法能力评估能够明确脱敏算法的算法类别、优势以及不足，有助于进一步采取有针对性的改进措施，持续改进和提高脱敏算法的能力和水平，匹配脱敏算法的</w:t>
      </w:r>
      <w:r w:rsidR="006C6D93">
        <w:rPr>
          <w:rFonts w:ascii="仿宋_GB2312" w:eastAsia="仿宋_GB2312" w:cs="宋体" w:hint="eastAsia"/>
          <w:sz w:val="32"/>
          <w:szCs w:val="32"/>
        </w:rPr>
        <w:t>应用</w:t>
      </w:r>
      <w:r w:rsidR="007C6DC2">
        <w:rPr>
          <w:rFonts w:ascii="仿宋_GB2312" w:eastAsia="仿宋_GB2312" w:cs="宋体" w:hint="eastAsia"/>
          <w:sz w:val="32"/>
          <w:szCs w:val="32"/>
        </w:rPr>
        <w:t>场景。</w:t>
      </w:r>
      <w:r w:rsidR="006C6D93">
        <w:rPr>
          <w:rFonts w:ascii="仿宋_GB2312" w:eastAsia="仿宋_GB2312" w:cs="宋体" w:hint="eastAsia"/>
          <w:sz w:val="32"/>
          <w:szCs w:val="32"/>
        </w:rPr>
        <w:t>脱敏算法能力评估需保障</w:t>
      </w:r>
      <w:r w:rsidR="006C6D93" w:rsidRPr="006C6D93">
        <w:rPr>
          <w:rFonts w:ascii="仿宋_GB2312" w:eastAsia="仿宋_GB2312" w:cs="宋体" w:hint="eastAsia"/>
          <w:sz w:val="32"/>
          <w:szCs w:val="32"/>
        </w:rPr>
        <w:t>不同的单位和团体所采用的脱敏算法具有合规性和一致性，</w:t>
      </w:r>
      <w:r w:rsidR="006C6D93">
        <w:rPr>
          <w:rFonts w:ascii="仿宋_GB2312" w:eastAsia="仿宋_GB2312" w:cs="宋体" w:hint="eastAsia"/>
          <w:sz w:val="32"/>
          <w:szCs w:val="32"/>
        </w:rPr>
        <w:t>谨防</w:t>
      </w:r>
      <w:r w:rsidR="006C6D93" w:rsidRPr="006C6D93">
        <w:rPr>
          <w:rFonts w:ascii="仿宋_GB2312" w:eastAsia="仿宋_GB2312" w:cs="宋体" w:hint="eastAsia"/>
          <w:sz w:val="32"/>
          <w:szCs w:val="32"/>
        </w:rPr>
        <w:t>跨系统中的隐私泄露问题，预防全社会各系统隐私保护的短板效应。</w:t>
      </w:r>
    </w:p>
    <w:p w14:paraId="15C87C4D" w14:textId="26E9CDF3" w:rsidR="007C6DC2" w:rsidRPr="007C6DC2" w:rsidRDefault="006C6D93" w:rsidP="00B4522D">
      <w:pPr>
        <w:ind w:firstLineChars="200" w:firstLine="640"/>
        <w:rPr>
          <w:rFonts w:ascii="仿宋_GB2312" w:eastAsia="仿宋_GB2312" w:cs="宋体"/>
          <w:sz w:val="32"/>
          <w:szCs w:val="32"/>
        </w:rPr>
      </w:pPr>
      <w:r>
        <w:rPr>
          <w:rFonts w:ascii="仿宋_GB2312" w:eastAsia="仿宋_GB2312" w:cs="宋体" w:hint="eastAsia"/>
          <w:sz w:val="32"/>
          <w:szCs w:val="32"/>
        </w:rPr>
        <w:t>目前，国内外还未对脱敏算法能力评估进行标准化，社会各方在对脱敏算法能力评估的实践中积累了丰富的经验，但</w:t>
      </w:r>
      <w:r w:rsidRPr="006C6D93">
        <w:rPr>
          <w:rFonts w:ascii="仿宋_GB2312" w:eastAsia="仿宋_GB2312" w:cs="宋体" w:hint="eastAsia"/>
          <w:sz w:val="32"/>
          <w:szCs w:val="32"/>
        </w:rPr>
        <w:t>存在维度考虑不足，体系化程度不足等问题，亟需制定相关标准，</w:t>
      </w:r>
      <w:r w:rsidR="0042703C">
        <w:rPr>
          <w:rFonts w:ascii="仿宋_GB2312" w:eastAsia="仿宋_GB2312" w:cs="宋体" w:hint="eastAsia"/>
          <w:sz w:val="32"/>
          <w:szCs w:val="32"/>
        </w:rPr>
        <w:t>用以</w:t>
      </w:r>
      <w:r w:rsidRPr="006C6D93">
        <w:rPr>
          <w:rFonts w:ascii="仿宋_GB2312" w:eastAsia="仿宋_GB2312" w:cs="宋体" w:hint="eastAsia"/>
          <w:sz w:val="32"/>
          <w:szCs w:val="32"/>
        </w:rPr>
        <w:t>体系化、全面</w:t>
      </w:r>
      <w:r w:rsidR="0042703C">
        <w:rPr>
          <w:rFonts w:ascii="仿宋_GB2312" w:eastAsia="仿宋_GB2312" w:cs="宋体" w:hint="eastAsia"/>
          <w:sz w:val="32"/>
          <w:szCs w:val="32"/>
        </w:rPr>
        <w:t>化</w:t>
      </w:r>
      <w:r w:rsidRPr="006C6D93">
        <w:rPr>
          <w:rFonts w:ascii="仿宋_GB2312" w:eastAsia="仿宋_GB2312" w:cs="宋体" w:hint="eastAsia"/>
          <w:sz w:val="32"/>
          <w:szCs w:val="32"/>
        </w:rPr>
        <w:t>地对实践进行指导，</w:t>
      </w:r>
      <w:r>
        <w:rPr>
          <w:rFonts w:ascii="仿宋_GB2312" w:eastAsia="仿宋_GB2312" w:cs="宋体" w:hint="eastAsia"/>
          <w:sz w:val="32"/>
          <w:szCs w:val="32"/>
        </w:rPr>
        <w:t>完善脱敏算法能力评估技术要求。</w:t>
      </w:r>
      <w:r w:rsidR="0042703C">
        <w:rPr>
          <w:rFonts w:ascii="仿宋_GB2312" w:eastAsia="仿宋_GB2312" w:cs="宋体" w:hint="eastAsia"/>
          <w:sz w:val="32"/>
          <w:szCs w:val="32"/>
        </w:rPr>
        <w:t>制定</w:t>
      </w:r>
      <w:r>
        <w:rPr>
          <w:rFonts w:ascii="仿宋_GB2312" w:eastAsia="仿宋_GB2312" w:cs="宋体" w:hint="eastAsia"/>
          <w:sz w:val="32"/>
          <w:szCs w:val="32"/>
        </w:rPr>
        <w:t>脱敏算法能力评估技术要求标准</w:t>
      </w:r>
      <w:r w:rsidRPr="006C6D93">
        <w:rPr>
          <w:rFonts w:ascii="仿宋_GB2312" w:eastAsia="仿宋_GB2312" w:cs="宋体" w:hint="eastAsia"/>
          <w:sz w:val="32"/>
          <w:szCs w:val="32"/>
        </w:rPr>
        <w:t>将有助于解决这一难题，</w:t>
      </w:r>
      <w:r>
        <w:rPr>
          <w:rFonts w:ascii="仿宋_GB2312" w:eastAsia="仿宋_GB2312" w:cs="宋体" w:hint="eastAsia"/>
          <w:sz w:val="32"/>
          <w:szCs w:val="32"/>
        </w:rPr>
        <w:t>推动数据安全</w:t>
      </w:r>
      <w:r w:rsidR="0042703C">
        <w:rPr>
          <w:rFonts w:ascii="仿宋_GB2312" w:eastAsia="仿宋_GB2312" w:cs="宋体" w:hint="eastAsia"/>
          <w:sz w:val="32"/>
          <w:szCs w:val="32"/>
        </w:rPr>
        <w:t>和隐私保护的发展、</w:t>
      </w:r>
      <w:r w:rsidR="0042703C">
        <w:rPr>
          <w:rFonts w:ascii="仿宋_GB2312" w:eastAsia="仿宋_GB2312" w:cs="宋体" w:hint="eastAsia"/>
          <w:sz w:val="32"/>
          <w:szCs w:val="32"/>
        </w:rPr>
        <w:lastRenderedPageBreak/>
        <w:t>实现评估的系统化和全面性；同时，标准也有助于进行脱敏算法能力评估的实践，从而进一步维护数据安全，促进数据共享与应用。</w:t>
      </w:r>
    </w:p>
    <w:p w14:paraId="20EDB372" w14:textId="77777777" w:rsidR="00C56ECB" w:rsidRPr="009B4830" w:rsidRDefault="003F5D50">
      <w:pPr>
        <w:numPr>
          <w:ilvl w:val="0"/>
          <w:numId w:val="1"/>
        </w:numPr>
        <w:spacing w:beforeLines="50" w:before="156" w:line="348" w:lineRule="auto"/>
        <w:ind w:left="0" w:right="96" w:firstLine="0"/>
        <w:rPr>
          <w:rFonts w:ascii="黑体" w:eastAsia="黑体" w:cs="宋体"/>
          <w:b/>
          <w:bCs/>
          <w:sz w:val="32"/>
          <w:szCs w:val="32"/>
        </w:rPr>
      </w:pPr>
      <w:r w:rsidRPr="009B4830">
        <w:rPr>
          <w:rFonts w:ascii="黑体" w:eastAsia="黑体" w:cs="宋体" w:hint="eastAsia"/>
          <w:b/>
          <w:bCs/>
          <w:sz w:val="32"/>
          <w:szCs w:val="32"/>
        </w:rPr>
        <w:t>编制过程</w:t>
      </w:r>
    </w:p>
    <w:p w14:paraId="5A09EB63" w14:textId="0CB57411" w:rsidR="00C56ECB" w:rsidRPr="009B4830" w:rsidRDefault="003F5D50">
      <w:pPr>
        <w:spacing w:line="348" w:lineRule="auto"/>
        <w:ind w:right="96" w:firstLineChars="200" w:firstLine="640"/>
        <w:rPr>
          <w:rFonts w:ascii="仿宋_GB2312" w:eastAsia="仿宋_GB2312" w:cs="宋体"/>
          <w:sz w:val="32"/>
          <w:szCs w:val="32"/>
        </w:rPr>
      </w:pPr>
      <w:r w:rsidRPr="009B4830">
        <w:rPr>
          <w:rFonts w:ascii="仿宋_GB2312" w:eastAsia="仿宋_GB2312" w:cs="宋体"/>
          <w:sz w:val="32"/>
          <w:szCs w:val="32"/>
        </w:rPr>
        <w:t>1</w:t>
      </w:r>
      <w:r w:rsidRPr="009B4830">
        <w:rPr>
          <w:rFonts w:ascii="仿宋_GB2312" w:eastAsia="仿宋_GB2312" w:cs="宋体" w:hint="eastAsia"/>
          <w:sz w:val="32"/>
          <w:szCs w:val="32"/>
        </w:rPr>
        <w:t>)</w:t>
      </w:r>
      <w:r w:rsidRPr="009B4830">
        <w:rPr>
          <w:rFonts w:ascii="仿宋_GB2312" w:eastAsia="仿宋_GB2312" w:cs="宋体" w:hint="eastAsia"/>
          <w:sz w:val="32"/>
          <w:szCs w:val="32"/>
        </w:rPr>
        <w:tab/>
        <w:t>20</w:t>
      </w:r>
      <w:r w:rsidR="00B545EC" w:rsidRPr="009B4830">
        <w:rPr>
          <w:rFonts w:ascii="仿宋_GB2312" w:eastAsia="仿宋_GB2312" w:cs="宋体"/>
          <w:sz w:val="32"/>
          <w:szCs w:val="32"/>
        </w:rPr>
        <w:t>2</w:t>
      </w:r>
      <w:r w:rsidR="009B4830">
        <w:rPr>
          <w:rFonts w:ascii="仿宋_GB2312" w:eastAsia="仿宋_GB2312" w:cs="宋体"/>
          <w:sz w:val="32"/>
          <w:szCs w:val="32"/>
        </w:rPr>
        <w:t>3</w:t>
      </w:r>
      <w:r w:rsidRPr="009B4830">
        <w:rPr>
          <w:rFonts w:ascii="仿宋_GB2312" w:eastAsia="仿宋_GB2312" w:cs="宋体" w:hint="eastAsia"/>
          <w:sz w:val="32"/>
          <w:szCs w:val="32"/>
        </w:rPr>
        <w:t>年</w:t>
      </w:r>
      <w:r w:rsidR="00B545EC" w:rsidRPr="009B4830">
        <w:rPr>
          <w:rFonts w:ascii="仿宋_GB2312" w:eastAsia="仿宋_GB2312" w:cs="宋体"/>
          <w:sz w:val="32"/>
          <w:szCs w:val="32"/>
        </w:rPr>
        <w:t>4</w:t>
      </w:r>
      <w:r w:rsidRPr="009B4830">
        <w:rPr>
          <w:rFonts w:ascii="仿宋_GB2312" w:eastAsia="仿宋_GB2312" w:cs="宋体" w:hint="eastAsia"/>
          <w:sz w:val="32"/>
          <w:szCs w:val="32"/>
        </w:rPr>
        <w:t>月</w:t>
      </w:r>
      <w:r w:rsidR="00B545EC" w:rsidRPr="009B4830">
        <w:rPr>
          <w:rFonts w:ascii="仿宋_GB2312" w:eastAsia="仿宋_GB2312" w:cs="宋体"/>
          <w:sz w:val="32"/>
          <w:szCs w:val="32"/>
        </w:rPr>
        <w:t>5</w:t>
      </w:r>
      <w:r w:rsidRPr="009B4830">
        <w:rPr>
          <w:rFonts w:ascii="仿宋_GB2312" w:eastAsia="仿宋_GB2312" w:cs="宋体" w:hint="eastAsia"/>
          <w:sz w:val="32"/>
          <w:szCs w:val="32"/>
        </w:rPr>
        <w:t>日，规范研制正式启动会。标准牵头单位对前期的研究工作进行了汇报。确定了标准的研究思路和分工。</w:t>
      </w:r>
    </w:p>
    <w:p w14:paraId="4998200A" w14:textId="3275F4B3" w:rsidR="00C56ECB" w:rsidRPr="009B4830" w:rsidRDefault="003F5D50">
      <w:pPr>
        <w:spacing w:line="348" w:lineRule="auto"/>
        <w:ind w:right="96" w:firstLineChars="200" w:firstLine="640"/>
        <w:rPr>
          <w:rFonts w:ascii="仿宋_GB2312" w:eastAsia="仿宋_GB2312" w:cs="宋体"/>
          <w:sz w:val="32"/>
          <w:szCs w:val="32"/>
        </w:rPr>
      </w:pPr>
      <w:r w:rsidRPr="009B4830">
        <w:rPr>
          <w:rFonts w:ascii="仿宋_GB2312" w:eastAsia="仿宋_GB2312" w:cs="宋体" w:hint="eastAsia"/>
          <w:sz w:val="32"/>
          <w:szCs w:val="32"/>
        </w:rPr>
        <w:t>2)</w:t>
      </w:r>
      <w:r w:rsidRPr="009B4830">
        <w:rPr>
          <w:rFonts w:ascii="仿宋_GB2312" w:eastAsia="仿宋_GB2312" w:cs="宋体" w:hint="eastAsia"/>
          <w:sz w:val="32"/>
          <w:szCs w:val="32"/>
        </w:rPr>
        <w:tab/>
      </w:r>
      <w:r w:rsidR="00B545EC" w:rsidRPr="009B4830">
        <w:rPr>
          <w:rFonts w:ascii="仿宋_GB2312" w:eastAsia="仿宋_GB2312" w:cs="宋体"/>
          <w:sz w:val="32"/>
          <w:szCs w:val="32"/>
        </w:rPr>
        <w:t>202</w:t>
      </w:r>
      <w:r w:rsidR="009B4830">
        <w:rPr>
          <w:rFonts w:ascii="仿宋_GB2312" w:eastAsia="仿宋_GB2312" w:cs="宋体"/>
          <w:sz w:val="32"/>
          <w:szCs w:val="32"/>
        </w:rPr>
        <w:t>3</w:t>
      </w:r>
      <w:r w:rsidRPr="009B4830">
        <w:rPr>
          <w:rFonts w:ascii="仿宋_GB2312" w:eastAsia="仿宋_GB2312" w:cs="宋体" w:hint="eastAsia"/>
          <w:sz w:val="32"/>
          <w:szCs w:val="32"/>
        </w:rPr>
        <w:t>年</w:t>
      </w:r>
      <w:r w:rsidR="00B545EC" w:rsidRPr="009B4830">
        <w:rPr>
          <w:rFonts w:ascii="仿宋_GB2312" w:eastAsia="仿宋_GB2312" w:cs="宋体"/>
          <w:sz w:val="32"/>
          <w:szCs w:val="32"/>
        </w:rPr>
        <w:t>4</w:t>
      </w:r>
      <w:r w:rsidRPr="009B4830">
        <w:rPr>
          <w:rFonts w:ascii="仿宋_GB2312" w:eastAsia="仿宋_GB2312" w:cs="宋体" w:hint="eastAsia"/>
          <w:sz w:val="32"/>
          <w:szCs w:val="32"/>
        </w:rPr>
        <w:t>月</w:t>
      </w:r>
      <w:r w:rsidR="00B545EC" w:rsidRPr="009B4830">
        <w:rPr>
          <w:rFonts w:ascii="仿宋_GB2312" w:eastAsia="仿宋_GB2312" w:cs="宋体"/>
          <w:sz w:val="32"/>
          <w:szCs w:val="32"/>
        </w:rPr>
        <w:t>15</w:t>
      </w:r>
      <w:r w:rsidRPr="009B4830">
        <w:rPr>
          <w:rFonts w:ascii="仿宋_GB2312" w:eastAsia="仿宋_GB2312" w:cs="宋体" w:hint="eastAsia"/>
          <w:sz w:val="32"/>
          <w:szCs w:val="32"/>
        </w:rPr>
        <w:t>日，提交项目立项申请书。</w:t>
      </w:r>
    </w:p>
    <w:p w14:paraId="6C11E8C3" w14:textId="1B112FA2" w:rsidR="00C56ECB" w:rsidRPr="009B4830" w:rsidRDefault="003F5D50">
      <w:pPr>
        <w:spacing w:line="348" w:lineRule="auto"/>
        <w:ind w:right="96" w:firstLineChars="200" w:firstLine="640"/>
        <w:rPr>
          <w:rFonts w:ascii="仿宋_GB2312" w:eastAsia="仿宋_GB2312" w:cs="宋体"/>
          <w:sz w:val="32"/>
          <w:szCs w:val="32"/>
        </w:rPr>
      </w:pPr>
      <w:r w:rsidRPr="009B4830">
        <w:rPr>
          <w:rFonts w:ascii="仿宋_GB2312" w:eastAsia="仿宋_GB2312" w:cs="宋体" w:hint="eastAsia"/>
          <w:sz w:val="32"/>
          <w:szCs w:val="32"/>
        </w:rPr>
        <w:t>3)</w:t>
      </w:r>
      <w:r w:rsidRPr="009B4830">
        <w:rPr>
          <w:rFonts w:ascii="仿宋_GB2312" w:eastAsia="仿宋_GB2312" w:cs="宋体" w:hint="eastAsia"/>
          <w:sz w:val="32"/>
          <w:szCs w:val="32"/>
        </w:rPr>
        <w:tab/>
        <w:t>20</w:t>
      </w:r>
      <w:r w:rsidR="00B545EC" w:rsidRPr="009B4830">
        <w:rPr>
          <w:rFonts w:ascii="仿宋_GB2312" w:eastAsia="仿宋_GB2312" w:cs="宋体"/>
          <w:sz w:val="32"/>
          <w:szCs w:val="32"/>
        </w:rPr>
        <w:t>2</w:t>
      </w:r>
      <w:r w:rsidR="009B4830">
        <w:rPr>
          <w:rFonts w:ascii="仿宋_GB2312" w:eastAsia="仿宋_GB2312" w:cs="宋体"/>
          <w:sz w:val="32"/>
          <w:szCs w:val="32"/>
        </w:rPr>
        <w:t>3</w:t>
      </w:r>
      <w:r w:rsidRPr="009B4830">
        <w:rPr>
          <w:rFonts w:ascii="仿宋_GB2312" w:eastAsia="仿宋_GB2312" w:cs="宋体" w:hint="eastAsia"/>
          <w:sz w:val="32"/>
          <w:szCs w:val="32"/>
        </w:rPr>
        <w:t>年</w:t>
      </w:r>
      <w:r w:rsidR="00B545EC" w:rsidRPr="009B4830">
        <w:rPr>
          <w:rFonts w:ascii="仿宋_GB2312" w:eastAsia="仿宋_GB2312" w:cs="宋体"/>
          <w:sz w:val="32"/>
          <w:szCs w:val="32"/>
        </w:rPr>
        <w:t>4</w:t>
      </w:r>
      <w:r w:rsidRPr="009B4830">
        <w:rPr>
          <w:rFonts w:ascii="仿宋_GB2312" w:eastAsia="仿宋_GB2312" w:cs="宋体" w:hint="eastAsia"/>
          <w:sz w:val="32"/>
          <w:szCs w:val="32"/>
        </w:rPr>
        <w:t>月</w:t>
      </w:r>
      <w:r w:rsidR="00B545EC" w:rsidRPr="009B4830">
        <w:rPr>
          <w:rFonts w:ascii="仿宋_GB2312" w:eastAsia="仿宋_GB2312" w:cs="宋体"/>
          <w:sz w:val="32"/>
          <w:szCs w:val="32"/>
        </w:rPr>
        <w:t>16</w:t>
      </w:r>
      <w:r w:rsidRPr="009B4830">
        <w:rPr>
          <w:rFonts w:ascii="仿宋_GB2312" w:eastAsia="仿宋_GB2312" w:cs="宋体" w:hint="eastAsia"/>
          <w:sz w:val="32"/>
          <w:szCs w:val="32"/>
        </w:rPr>
        <w:t>日至2</w:t>
      </w:r>
      <w:r w:rsidR="00B545EC" w:rsidRPr="009B4830">
        <w:rPr>
          <w:rFonts w:ascii="仿宋_GB2312" w:eastAsia="仿宋_GB2312" w:cs="宋体"/>
          <w:sz w:val="32"/>
          <w:szCs w:val="32"/>
        </w:rPr>
        <w:t>022</w:t>
      </w:r>
      <w:r w:rsidRPr="009B4830">
        <w:rPr>
          <w:rFonts w:ascii="仿宋_GB2312" w:eastAsia="仿宋_GB2312" w:cs="宋体" w:hint="eastAsia"/>
          <w:sz w:val="32"/>
          <w:szCs w:val="32"/>
        </w:rPr>
        <w:t>年</w:t>
      </w:r>
      <w:r w:rsidR="00B545EC" w:rsidRPr="009B4830">
        <w:rPr>
          <w:rFonts w:ascii="仿宋_GB2312" w:eastAsia="仿宋_GB2312" w:cs="宋体"/>
          <w:sz w:val="32"/>
          <w:szCs w:val="32"/>
        </w:rPr>
        <w:t>6</w:t>
      </w:r>
      <w:r w:rsidRPr="009B4830">
        <w:rPr>
          <w:rFonts w:ascii="仿宋_GB2312" w:eastAsia="仿宋_GB2312" w:cs="宋体" w:hint="eastAsia"/>
          <w:sz w:val="32"/>
          <w:szCs w:val="32"/>
        </w:rPr>
        <w:t>月</w:t>
      </w:r>
      <w:r w:rsidR="00C07092" w:rsidRPr="009B4830">
        <w:rPr>
          <w:rFonts w:ascii="仿宋_GB2312" w:eastAsia="仿宋_GB2312" w:cs="宋体"/>
          <w:sz w:val="32"/>
          <w:szCs w:val="32"/>
        </w:rPr>
        <w:t>24</w:t>
      </w:r>
      <w:r w:rsidRPr="009B4830">
        <w:rPr>
          <w:rFonts w:ascii="仿宋_GB2312" w:eastAsia="仿宋_GB2312" w:cs="宋体" w:hint="eastAsia"/>
          <w:sz w:val="32"/>
          <w:szCs w:val="32"/>
        </w:rPr>
        <w:t>日，期间进行了多次标准工作组内部讨论，并针对标准大体框架与内容方向进行了修改与调整</w:t>
      </w:r>
      <w:r w:rsidR="00C07092" w:rsidRPr="009B4830">
        <w:rPr>
          <w:rFonts w:ascii="仿宋_GB2312" w:eastAsia="仿宋_GB2312" w:cs="宋体" w:hint="eastAsia"/>
          <w:sz w:val="32"/>
          <w:szCs w:val="32"/>
        </w:rPr>
        <w:t>，形成第一版标准草案</w:t>
      </w:r>
      <w:r w:rsidRPr="009B4830">
        <w:rPr>
          <w:rFonts w:ascii="仿宋_GB2312" w:eastAsia="仿宋_GB2312" w:cs="宋体" w:hint="eastAsia"/>
          <w:sz w:val="32"/>
          <w:szCs w:val="32"/>
        </w:rPr>
        <w:t>。</w:t>
      </w:r>
    </w:p>
    <w:p w14:paraId="061B6579" w14:textId="7A027113" w:rsidR="00C56ECB" w:rsidRPr="009B4830" w:rsidRDefault="003F5D50">
      <w:pPr>
        <w:spacing w:line="348" w:lineRule="auto"/>
        <w:ind w:right="96" w:firstLineChars="200" w:firstLine="640"/>
        <w:rPr>
          <w:rFonts w:ascii="仿宋_GB2312" w:eastAsia="仿宋_GB2312" w:cs="宋体"/>
          <w:sz w:val="32"/>
          <w:szCs w:val="32"/>
        </w:rPr>
      </w:pPr>
      <w:r w:rsidRPr="009B4830">
        <w:rPr>
          <w:rFonts w:ascii="仿宋_GB2312" w:eastAsia="仿宋_GB2312" w:cs="宋体" w:hint="eastAsia"/>
          <w:sz w:val="32"/>
          <w:szCs w:val="32"/>
        </w:rPr>
        <w:t>4)</w:t>
      </w:r>
      <w:r w:rsidRPr="009B4830">
        <w:rPr>
          <w:rFonts w:ascii="仿宋_GB2312" w:eastAsia="仿宋_GB2312" w:cs="宋体" w:hint="eastAsia"/>
          <w:sz w:val="32"/>
          <w:szCs w:val="32"/>
        </w:rPr>
        <w:tab/>
        <w:t>20</w:t>
      </w:r>
      <w:r w:rsidR="00B545EC" w:rsidRPr="009B4830">
        <w:rPr>
          <w:rFonts w:ascii="仿宋_GB2312" w:eastAsia="仿宋_GB2312" w:cs="宋体"/>
          <w:sz w:val="32"/>
          <w:szCs w:val="32"/>
        </w:rPr>
        <w:t>2</w:t>
      </w:r>
      <w:r w:rsidR="009B4830">
        <w:rPr>
          <w:rFonts w:ascii="仿宋_GB2312" w:eastAsia="仿宋_GB2312" w:cs="宋体"/>
          <w:sz w:val="32"/>
          <w:szCs w:val="32"/>
        </w:rPr>
        <w:t>3</w:t>
      </w:r>
      <w:r w:rsidRPr="009B4830">
        <w:rPr>
          <w:rFonts w:ascii="仿宋_GB2312" w:eastAsia="仿宋_GB2312" w:cs="宋体" w:hint="eastAsia"/>
          <w:sz w:val="32"/>
          <w:szCs w:val="32"/>
        </w:rPr>
        <w:t>年</w:t>
      </w:r>
      <w:r w:rsidR="00B545EC" w:rsidRPr="009B4830">
        <w:rPr>
          <w:rFonts w:ascii="仿宋_GB2312" w:eastAsia="仿宋_GB2312" w:cs="宋体"/>
          <w:sz w:val="32"/>
          <w:szCs w:val="32"/>
        </w:rPr>
        <w:t>7</w:t>
      </w:r>
      <w:r w:rsidRPr="009B4830">
        <w:rPr>
          <w:rFonts w:ascii="仿宋_GB2312" w:eastAsia="仿宋_GB2312" w:cs="宋体" w:hint="eastAsia"/>
          <w:sz w:val="32"/>
          <w:szCs w:val="32"/>
        </w:rPr>
        <w:t>月</w:t>
      </w:r>
      <w:r w:rsidR="00B545EC" w:rsidRPr="009B4830">
        <w:rPr>
          <w:rFonts w:ascii="仿宋_GB2312" w:eastAsia="仿宋_GB2312" w:cs="宋体"/>
          <w:sz w:val="32"/>
          <w:szCs w:val="32"/>
        </w:rPr>
        <w:t>1</w:t>
      </w:r>
      <w:r w:rsidRPr="009B4830">
        <w:rPr>
          <w:rFonts w:ascii="仿宋_GB2312" w:eastAsia="仿宋_GB2312" w:cs="宋体" w:hint="eastAsia"/>
          <w:sz w:val="32"/>
          <w:szCs w:val="32"/>
        </w:rPr>
        <w:t>日，</w:t>
      </w:r>
      <w:r w:rsidR="00B545EC" w:rsidRPr="009B4830">
        <w:rPr>
          <w:rFonts w:ascii="仿宋_GB2312" w:eastAsia="仿宋_GB2312" w:cs="宋体" w:hint="eastAsia"/>
          <w:sz w:val="32"/>
          <w:szCs w:val="32"/>
        </w:rPr>
        <w:t>召开立项评审会，</w:t>
      </w:r>
      <w:r w:rsidRPr="009B4830">
        <w:rPr>
          <w:rFonts w:ascii="仿宋_GB2312" w:eastAsia="仿宋_GB2312" w:cs="宋体" w:hint="eastAsia"/>
          <w:sz w:val="32"/>
          <w:szCs w:val="32"/>
        </w:rPr>
        <w:t>邀请专家对草案给出建议。</w:t>
      </w:r>
    </w:p>
    <w:p w14:paraId="64108455" w14:textId="328E697D" w:rsidR="00C56ECB" w:rsidRPr="009B4830" w:rsidRDefault="003F5D50">
      <w:pPr>
        <w:spacing w:line="348" w:lineRule="auto"/>
        <w:ind w:right="96" w:firstLineChars="200" w:firstLine="640"/>
        <w:rPr>
          <w:rFonts w:ascii="仿宋_GB2312" w:eastAsia="仿宋_GB2312" w:cs="宋体"/>
          <w:sz w:val="32"/>
          <w:szCs w:val="32"/>
        </w:rPr>
      </w:pPr>
      <w:r w:rsidRPr="009B4830">
        <w:rPr>
          <w:rFonts w:ascii="仿宋_GB2312" w:eastAsia="仿宋_GB2312" w:cs="宋体"/>
          <w:sz w:val="32"/>
          <w:szCs w:val="32"/>
        </w:rPr>
        <w:t>5</w:t>
      </w:r>
      <w:r w:rsidRPr="009B4830">
        <w:rPr>
          <w:rFonts w:ascii="仿宋_GB2312" w:eastAsia="仿宋_GB2312" w:cs="宋体" w:hint="eastAsia"/>
          <w:sz w:val="32"/>
          <w:szCs w:val="32"/>
        </w:rPr>
        <w:t>)</w:t>
      </w:r>
      <w:r w:rsidRPr="009B4830">
        <w:rPr>
          <w:rFonts w:ascii="仿宋_GB2312" w:eastAsia="仿宋_GB2312" w:cs="宋体" w:hint="eastAsia"/>
          <w:sz w:val="32"/>
          <w:szCs w:val="32"/>
        </w:rPr>
        <w:tab/>
        <w:t>20</w:t>
      </w:r>
      <w:r w:rsidR="00B545EC" w:rsidRPr="009B4830">
        <w:rPr>
          <w:rFonts w:ascii="仿宋_GB2312" w:eastAsia="仿宋_GB2312" w:cs="宋体"/>
          <w:sz w:val="32"/>
          <w:szCs w:val="32"/>
        </w:rPr>
        <w:t>2</w:t>
      </w:r>
      <w:r w:rsidR="009B4830">
        <w:rPr>
          <w:rFonts w:ascii="仿宋_GB2312" w:eastAsia="仿宋_GB2312" w:cs="宋体"/>
          <w:sz w:val="32"/>
          <w:szCs w:val="32"/>
        </w:rPr>
        <w:t>3</w:t>
      </w:r>
      <w:r w:rsidRPr="009B4830">
        <w:rPr>
          <w:rFonts w:ascii="仿宋_GB2312" w:eastAsia="仿宋_GB2312" w:cs="宋体" w:hint="eastAsia"/>
          <w:sz w:val="32"/>
          <w:szCs w:val="32"/>
        </w:rPr>
        <w:t>年</w:t>
      </w:r>
      <w:r w:rsidR="00B545EC" w:rsidRPr="009B4830">
        <w:rPr>
          <w:rFonts w:ascii="仿宋_GB2312" w:eastAsia="仿宋_GB2312" w:cs="宋体"/>
          <w:sz w:val="32"/>
          <w:szCs w:val="32"/>
        </w:rPr>
        <w:t>7</w:t>
      </w:r>
      <w:r w:rsidRPr="009B4830">
        <w:rPr>
          <w:rFonts w:ascii="仿宋_GB2312" w:eastAsia="仿宋_GB2312" w:cs="宋体" w:hint="eastAsia"/>
          <w:sz w:val="32"/>
          <w:szCs w:val="32"/>
        </w:rPr>
        <w:t>月</w:t>
      </w:r>
      <w:r w:rsidR="001D3B20" w:rsidRPr="009B4830">
        <w:rPr>
          <w:rFonts w:ascii="仿宋_GB2312" w:eastAsia="仿宋_GB2312" w:cs="宋体"/>
          <w:sz w:val="32"/>
          <w:szCs w:val="32"/>
        </w:rPr>
        <w:t>4</w:t>
      </w:r>
      <w:r w:rsidRPr="009B4830">
        <w:rPr>
          <w:rFonts w:ascii="仿宋_GB2312" w:eastAsia="仿宋_GB2312" w:cs="宋体" w:hint="eastAsia"/>
          <w:sz w:val="32"/>
          <w:szCs w:val="32"/>
        </w:rPr>
        <w:t>日至2</w:t>
      </w:r>
      <w:r w:rsidRPr="009B4830">
        <w:rPr>
          <w:rFonts w:ascii="仿宋_GB2312" w:eastAsia="仿宋_GB2312" w:cs="宋体"/>
          <w:sz w:val="32"/>
          <w:szCs w:val="32"/>
        </w:rPr>
        <w:t>022</w:t>
      </w:r>
      <w:r w:rsidRPr="009B4830">
        <w:rPr>
          <w:rFonts w:ascii="仿宋_GB2312" w:eastAsia="仿宋_GB2312" w:cs="宋体" w:hint="eastAsia"/>
          <w:sz w:val="32"/>
          <w:szCs w:val="32"/>
        </w:rPr>
        <w:t>年1</w:t>
      </w:r>
      <w:r w:rsidR="00B545EC" w:rsidRPr="009B4830">
        <w:rPr>
          <w:rFonts w:ascii="仿宋_GB2312" w:eastAsia="仿宋_GB2312" w:cs="宋体"/>
          <w:sz w:val="32"/>
          <w:szCs w:val="32"/>
        </w:rPr>
        <w:t>1</w:t>
      </w:r>
      <w:r w:rsidRPr="009B4830">
        <w:rPr>
          <w:rFonts w:ascii="仿宋_GB2312" w:eastAsia="仿宋_GB2312" w:cs="宋体" w:hint="eastAsia"/>
          <w:sz w:val="32"/>
          <w:szCs w:val="32"/>
        </w:rPr>
        <w:t>月</w:t>
      </w:r>
      <w:r w:rsidR="00B545EC" w:rsidRPr="009B4830">
        <w:rPr>
          <w:rFonts w:ascii="仿宋_GB2312" w:eastAsia="仿宋_GB2312" w:cs="宋体"/>
          <w:sz w:val="32"/>
          <w:szCs w:val="32"/>
        </w:rPr>
        <w:t>4</w:t>
      </w:r>
      <w:r w:rsidRPr="009B4830">
        <w:rPr>
          <w:rFonts w:ascii="仿宋_GB2312" w:eastAsia="仿宋_GB2312" w:cs="宋体" w:hint="eastAsia"/>
          <w:sz w:val="32"/>
          <w:szCs w:val="32"/>
        </w:rPr>
        <w:t>日，期间进行了多次标准工作组内部讨论，针对标准内容进行了细节的修改与调整。</w:t>
      </w:r>
    </w:p>
    <w:p w14:paraId="68B1A59D" w14:textId="4EDB3F43" w:rsidR="00C56ECB" w:rsidRPr="009B4830" w:rsidRDefault="003F5D50">
      <w:pPr>
        <w:spacing w:line="348" w:lineRule="auto"/>
        <w:ind w:right="96" w:firstLineChars="200" w:firstLine="640"/>
        <w:rPr>
          <w:rFonts w:ascii="仿宋_GB2312" w:eastAsia="仿宋_GB2312" w:cs="宋体"/>
          <w:sz w:val="32"/>
          <w:szCs w:val="32"/>
        </w:rPr>
      </w:pPr>
      <w:r w:rsidRPr="009B4830">
        <w:rPr>
          <w:rFonts w:ascii="仿宋_GB2312" w:eastAsia="仿宋_GB2312" w:cs="宋体"/>
          <w:sz w:val="32"/>
          <w:szCs w:val="32"/>
        </w:rPr>
        <w:t>6</w:t>
      </w:r>
      <w:r w:rsidRPr="009B4830">
        <w:rPr>
          <w:rFonts w:ascii="仿宋_GB2312" w:eastAsia="仿宋_GB2312" w:cs="宋体" w:hint="eastAsia"/>
          <w:sz w:val="32"/>
          <w:szCs w:val="32"/>
        </w:rPr>
        <w:t>)</w:t>
      </w:r>
      <w:r w:rsidRPr="009B4830">
        <w:rPr>
          <w:rFonts w:ascii="仿宋_GB2312" w:eastAsia="仿宋_GB2312" w:cs="宋体" w:hint="eastAsia"/>
          <w:sz w:val="32"/>
          <w:szCs w:val="32"/>
        </w:rPr>
        <w:tab/>
        <w:t>20</w:t>
      </w:r>
      <w:r w:rsidRPr="009B4830">
        <w:rPr>
          <w:rFonts w:ascii="仿宋_GB2312" w:eastAsia="仿宋_GB2312" w:cs="宋体"/>
          <w:sz w:val="32"/>
          <w:szCs w:val="32"/>
        </w:rPr>
        <w:t>2</w:t>
      </w:r>
      <w:r w:rsidR="009B4830">
        <w:rPr>
          <w:rFonts w:ascii="仿宋_GB2312" w:eastAsia="仿宋_GB2312" w:cs="宋体"/>
          <w:sz w:val="32"/>
          <w:szCs w:val="32"/>
        </w:rPr>
        <w:t>3</w:t>
      </w:r>
      <w:r w:rsidRPr="009B4830">
        <w:rPr>
          <w:rFonts w:ascii="仿宋_GB2312" w:eastAsia="仿宋_GB2312" w:cs="宋体" w:hint="eastAsia"/>
          <w:sz w:val="32"/>
          <w:szCs w:val="32"/>
        </w:rPr>
        <w:t>年</w:t>
      </w:r>
      <w:r w:rsidRPr="009B4830">
        <w:rPr>
          <w:rFonts w:ascii="仿宋_GB2312" w:eastAsia="仿宋_GB2312" w:cs="宋体"/>
          <w:sz w:val="32"/>
          <w:szCs w:val="32"/>
        </w:rPr>
        <w:t>1</w:t>
      </w:r>
      <w:r w:rsidR="00B545EC" w:rsidRPr="009B4830">
        <w:rPr>
          <w:rFonts w:ascii="仿宋_GB2312" w:eastAsia="仿宋_GB2312" w:cs="宋体"/>
          <w:sz w:val="32"/>
          <w:szCs w:val="32"/>
        </w:rPr>
        <w:t>1</w:t>
      </w:r>
      <w:r w:rsidRPr="009B4830">
        <w:rPr>
          <w:rFonts w:ascii="仿宋_GB2312" w:eastAsia="仿宋_GB2312" w:cs="宋体" w:hint="eastAsia"/>
          <w:sz w:val="32"/>
          <w:szCs w:val="32"/>
        </w:rPr>
        <w:t>月</w:t>
      </w:r>
      <w:r w:rsidR="00B545EC" w:rsidRPr="009B4830">
        <w:rPr>
          <w:rFonts w:ascii="仿宋_GB2312" w:eastAsia="仿宋_GB2312" w:cs="宋体"/>
          <w:sz w:val="32"/>
          <w:szCs w:val="32"/>
        </w:rPr>
        <w:t>6</w:t>
      </w:r>
      <w:r w:rsidRPr="009B4830">
        <w:rPr>
          <w:rFonts w:ascii="仿宋_GB2312" w:eastAsia="仿宋_GB2312" w:cs="宋体" w:hint="eastAsia"/>
          <w:sz w:val="32"/>
          <w:szCs w:val="32"/>
        </w:rPr>
        <w:t>日，形成第二版标准草案，并召集了标准草案的内部闭门研讨会。</w:t>
      </w:r>
    </w:p>
    <w:p w14:paraId="3B8482A5" w14:textId="77777777" w:rsidR="00C5693B" w:rsidRDefault="00C5693B" w:rsidP="00C5693B">
      <w:pPr>
        <w:spacing w:line="348" w:lineRule="auto"/>
        <w:ind w:right="96" w:firstLineChars="200" w:firstLine="640"/>
        <w:rPr>
          <w:rFonts w:ascii="仿宋_GB2312" w:eastAsia="仿宋_GB2312" w:cs="宋体"/>
          <w:sz w:val="32"/>
          <w:szCs w:val="32"/>
        </w:rPr>
      </w:pPr>
      <w:r>
        <w:rPr>
          <w:rFonts w:ascii="仿宋_GB2312" w:eastAsia="仿宋_GB2312" w:cs="宋体"/>
          <w:sz w:val="32"/>
          <w:szCs w:val="32"/>
        </w:rPr>
        <w:t>7</w:t>
      </w:r>
      <w:r>
        <w:rPr>
          <w:rFonts w:ascii="仿宋_GB2312" w:eastAsia="仿宋_GB2312" w:cs="宋体" w:hint="eastAsia"/>
          <w:sz w:val="32"/>
          <w:szCs w:val="32"/>
        </w:rPr>
        <w:t>)</w:t>
      </w:r>
      <w:r>
        <w:rPr>
          <w:rFonts w:ascii="仿宋_GB2312" w:eastAsia="仿宋_GB2312" w:cs="宋体" w:hint="eastAsia"/>
          <w:sz w:val="32"/>
          <w:szCs w:val="32"/>
        </w:rPr>
        <w:tab/>
      </w:r>
      <w:r w:rsidRPr="00664C75">
        <w:rPr>
          <w:rFonts w:ascii="仿宋_GB2312" w:eastAsia="仿宋_GB2312" w:cs="宋体"/>
          <w:sz w:val="32"/>
          <w:szCs w:val="32"/>
        </w:rPr>
        <w:t>202</w:t>
      </w:r>
      <w:r>
        <w:rPr>
          <w:rFonts w:ascii="仿宋_GB2312" w:eastAsia="仿宋_GB2312" w:cs="宋体"/>
          <w:sz w:val="32"/>
          <w:szCs w:val="32"/>
        </w:rPr>
        <w:t>4</w:t>
      </w:r>
      <w:r w:rsidRPr="00664C75">
        <w:rPr>
          <w:rFonts w:ascii="仿宋_GB2312" w:eastAsia="仿宋_GB2312" w:cs="宋体"/>
          <w:sz w:val="32"/>
          <w:szCs w:val="32"/>
        </w:rPr>
        <w:t>年1月30日，</w:t>
      </w:r>
      <w:r>
        <w:rPr>
          <w:rFonts w:ascii="仿宋_GB2312" w:eastAsia="仿宋_GB2312" w:cs="宋体" w:hint="eastAsia"/>
          <w:sz w:val="32"/>
          <w:szCs w:val="32"/>
        </w:rPr>
        <w:t>继续完善标准草稿，形成第三版</w:t>
      </w:r>
      <w:r w:rsidRPr="00664C75">
        <w:rPr>
          <w:rFonts w:ascii="仿宋_GB2312" w:eastAsia="仿宋_GB2312" w:cs="宋体"/>
          <w:sz w:val="32"/>
          <w:szCs w:val="32"/>
        </w:rPr>
        <w:t>。</w:t>
      </w:r>
    </w:p>
    <w:p w14:paraId="6594D80B" w14:textId="77777777" w:rsidR="00C5693B" w:rsidRDefault="00C5693B" w:rsidP="00C5693B">
      <w:pPr>
        <w:spacing w:line="348" w:lineRule="auto"/>
        <w:ind w:right="96" w:firstLineChars="200" w:firstLine="640"/>
        <w:rPr>
          <w:rFonts w:ascii="仿宋_GB2312" w:eastAsia="仿宋_GB2312" w:cs="宋体"/>
          <w:sz w:val="32"/>
          <w:szCs w:val="32"/>
        </w:rPr>
      </w:pPr>
      <w:r>
        <w:rPr>
          <w:rFonts w:ascii="仿宋_GB2312" w:eastAsia="仿宋_GB2312" w:cs="宋体" w:hint="eastAsia"/>
          <w:sz w:val="32"/>
          <w:szCs w:val="32"/>
        </w:rPr>
        <w:t>8）2024年6月28日，召开专家评审会，邀请专家对修改后的版本进行评审。</w:t>
      </w:r>
    </w:p>
    <w:p w14:paraId="1A31119D" w14:textId="77777777" w:rsidR="00C5693B" w:rsidRDefault="00C5693B" w:rsidP="00C5693B">
      <w:pPr>
        <w:spacing w:line="348" w:lineRule="auto"/>
        <w:ind w:right="96" w:firstLineChars="200" w:firstLine="640"/>
        <w:rPr>
          <w:rFonts w:ascii="仿宋_GB2312" w:eastAsia="仿宋_GB2312" w:cs="宋体"/>
          <w:sz w:val="32"/>
          <w:szCs w:val="32"/>
        </w:rPr>
      </w:pPr>
      <w:r>
        <w:rPr>
          <w:rFonts w:ascii="仿宋_GB2312" w:eastAsia="仿宋_GB2312" w:cs="宋体" w:hint="eastAsia"/>
          <w:sz w:val="32"/>
          <w:szCs w:val="32"/>
        </w:rPr>
        <w:lastRenderedPageBreak/>
        <w:t>9）2024年8月，形成征求意见稿。</w:t>
      </w:r>
    </w:p>
    <w:p w14:paraId="58AACE17" w14:textId="77777777" w:rsidR="00C56ECB" w:rsidRDefault="003F5D50">
      <w:pPr>
        <w:numPr>
          <w:ilvl w:val="0"/>
          <w:numId w:val="1"/>
        </w:numPr>
        <w:spacing w:beforeLines="50" w:before="156" w:line="348" w:lineRule="auto"/>
        <w:ind w:left="0" w:right="96" w:firstLine="0"/>
        <w:rPr>
          <w:rFonts w:ascii="黑体" w:eastAsia="黑体" w:cs="宋体"/>
          <w:b/>
          <w:bCs/>
          <w:sz w:val="32"/>
          <w:szCs w:val="32"/>
        </w:rPr>
      </w:pPr>
      <w:r>
        <w:rPr>
          <w:rFonts w:ascii="黑体" w:eastAsia="黑体" w:cs="宋体" w:hint="eastAsia"/>
          <w:b/>
          <w:bCs/>
          <w:sz w:val="32"/>
          <w:szCs w:val="32"/>
        </w:rPr>
        <w:t>主要内容技术指标确立</w:t>
      </w:r>
    </w:p>
    <w:p w14:paraId="1E79A818" w14:textId="6813A58C" w:rsidR="00B442B0" w:rsidRDefault="00B442B0" w:rsidP="00643A91">
      <w:pPr>
        <w:ind w:firstLineChars="200" w:firstLine="640"/>
        <w:rPr>
          <w:rFonts w:ascii="仿宋_GB2312" w:eastAsia="仿宋_GB2312" w:cs="宋体"/>
          <w:sz w:val="32"/>
          <w:szCs w:val="32"/>
        </w:rPr>
      </w:pPr>
      <w:r>
        <w:rPr>
          <w:rFonts w:ascii="仿宋_GB2312" w:eastAsia="仿宋_GB2312" w:cs="宋体" w:hint="eastAsia"/>
          <w:sz w:val="32"/>
          <w:szCs w:val="32"/>
        </w:rPr>
        <w:t>本标准规范了脱敏算法能力评估技术要求的概述、</w:t>
      </w:r>
      <w:r w:rsidR="00BD7D56">
        <w:rPr>
          <w:rFonts w:ascii="仿宋_GB2312" w:eastAsia="仿宋_GB2312" w:cs="宋体" w:hint="eastAsia"/>
          <w:sz w:val="32"/>
          <w:szCs w:val="32"/>
        </w:rPr>
        <w:t>脱敏算法能力评估通用技术要求及脱敏算法能力评估的报告要求</w:t>
      </w:r>
      <w:r>
        <w:rPr>
          <w:rFonts w:ascii="仿宋_GB2312" w:eastAsia="仿宋_GB2312" w:cs="宋体" w:hint="eastAsia"/>
          <w:sz w:val="32"/>
          <w:szCs w:val="32"/>
        </w:rPr>
        <w:t>。详情如下：</w:t>
      </w:r>
    </w:p>
    <w:p w14:paraId="0E5CEB8B" w14:textId="45917521" w:rsidR="00B442B0" w:rsidRDefault="00B442B0" w:rsidP="00643A91">
      <w:pPr>
        <w:ind w:firstLineChars="200" w:firstLine="640"/>
        <w:rPr>
          <w:rFonts w:ascii="仿宋_GB2312" w:eastAsia="仿宋_GB2312" w:cs="宋体"/>
          <w:sz w:val="32"/>
          <w:szCs w:val="32"/>
        </w:rPr>
      </w:pPr>
      <w:r>
        <w:rPr>
          <w:rFonts w:ascii="仿宋_GB2312" w:eastAsia="仿宋_GB2312" w:cs="宋体" w:hint="eastAsia"/>
          <w:sz w:val="32"/>
          <w:szCs w:val="32"/>
        </w:rPr>
        <w:t>1、概述：</w:t>
      </w:r>
      <w:r w:rsidR="009D4903">
        <w:rPr>
          <w:rFonts w:ascii="仿宋_GB2312" w:eastAsia="仿宋_GB2312" w:cs="宋体" w:hint="eastAsia"/>
          <w:sz w:val="32"/>
          <w:szCs w:val="32"/>
        </w:rPr>
        <w:t>脱敏算法能力评估技术要求的概括性描述，其中包括目的、算法评估的基本原则和用途三个方面。</w:t>
      </w:r>
    </w:p>
    <w:p w14:paraId="491B3A4C" w14:textId="60DB22E6" w:rsidR="00B442B0" w:rsidRDefault="00B442B0" w:rsidP="00760C30">
      <w:pPr>
        <w:ind w:firstLine="640"/>
        <w:rPr>
          <w:rFonts w:ascii="仿宋_GB2312" w:eastAsia="仿宋_GB2312" w:cs="宋体"/>
          <w:sz w:val="32"/>
          <w:szCs w:val="32"/>
        </w:rPr>
      </w:pPr>
      <w:r>
        <w:rPr>
          <w:rFonts w:ascii="仿宋_GB2312" w:eastAsia="仿宋_GB2312" w:cs="宋体"/>
          <w:sz w:val="32"/>
          <w:szCs w:val="32"/>
        </w:rPr>
        <w:t>2</w:t>
      </w:r>
      <w:r w:rsidRPr="00B442B0">
        <w:rPr>
          <w:rFonts w:ascii="仿宋_GB2312" w:eastAsia="仿宋_GB2312" w:cs="宋体" w:hint="eastAsia"/>
          <w:sz w:val="32"/>
          <w:szCs w:val="32"/>
        </w:rPr>
        <w:t>、</w:t>
      </w:r>
      <w:r w:rsidR="00A22C4A">
        <w:rPr>
          <w:rFonts w:ascii="仿宋_GB2312" w:eastAsia="仿宋_GB2312" w:cs="宋体" w:hint="eastAsia"/>
          <w:sz w:val="32"/>
          <w:szCs w:val="32"/>
        </w:rPr>
        <w:t>脱敏算法能力评估通用技术要求</w:t>
      </w:r>
      <w:r w:rsidRPr="00B442B0">
        <w:rPr>
          <w:rFonts w:ascii="仿宋_GB2312" w:eastAsia="仿宋_GB2312" w:cs="宋体" w:hint="eastAsia"/>
          <w:sz w:val="32"/>
          <w:szCs w:val="32"/>
        </w:rPr>
        <w:t>：</w:t>
      </w:r>
      <w:r w:rsidR="00A22C4A">
        <w:rPr>
          <w:rFonts w:ascii="仿宋_GB2312" w:eastAsia="仿宋_GB2312" w:cs="宋体" w:hint="eastAsia"/>
          <w:sz w:val="32"/>
          <w:szCs w:val="32"/>
        </w:rPr>
        <w:t>用以评估脱敏算法能力的通用技术要求，包括脱敏算法分类、脱敏算法能力评估指标体系、脱敏算法可逆性评估、脱敏算法</w:t>
      </w:r>
      <w:r w:rsidR="00760C30">
        <w:rPr>
          <w:rFonts w:ascii="仿宋_GB2312" w:eastAsia="仿宋_GB2312" w:cs="宋体" w:hint="eastAsia"/>
          <w:sz w:val="32"/>
          <w:szCs w:val="32"/>
        </w:rPr>
        <w:t>信息偏差性评估、脱敏算法信息损失性评估、脱敏算法复杂性评估六</w:t>
      </w:r>
      <w:r w:rsidR="00761E41">
        <w:rPr>
          <w:rFonts w:ascii="仿宋_GB2312" w:eastAsia="仿宋_GB2312" w:cs="宋体" w:hint="eastAsia"/>
          <w:sz w:val="32"/>
          <w:szCs w:val="32"/>
        </w:rPr>
        <w:t>个</w:t>
      </w:r>
      <w:r w:rsidR="00760C30">
        <w:rPr>
          <w:rFonts w:ascii="仿宋_GB2312" w:eastAsia="仿宋_GB2312" w:cs="宋体" w:hint="eastAsia"/>
          <w:sz w:val="32"/>
          <w:szCs w:val="32"/>
        </w:rPr>
        <w:t>部分。</w:t>
      </w:r>
    </w:p>
    <w:p w14:paraId="4F9094E2" w14:textId="6AE1F4C4" w:rsidR="00B442B0" w:rsidRPr="00B442B0" w:rsidRDefault="00802AEB" w:rsidP="00B442B0">
      <w:pPr>
        <w:ind w:firstLine="640"/>
        <w:rPr>
          <w:rFonts w:ascii="仿宋_GB2312" w:eastAsia="仿宋_GB2312" w:cs="宋体"/>
          <w:sz w:val="32"/>
          <w:szCs w:val="32"/>
        </w:rPr>
      </w:pPr>
      <w:r>
        <w:rPr>
          <w:rFonts w:ascii="仿宋_GB2312" w:eastAsia="仿宋_GB2312" w:cs="宋体"/>
          <w:sz w:val="32"/>
          <w:szCs w:val="32"/>
        </w:rPr>
        <w:t>3</w:t>
      </w:r>
      <w:r w:rsidR="00B442B0">
        <w:rPr>
          <w:rFonts w:ascii="仿宋_GB2312" w:eastAsia="仿宋_GB2312" w:cs="宋体" w:hint="eastAsia"/>
          <w:sz w:val="32"/>
          <w:szCs w:val="32"/>
        </w:rPr>
        <w:t>、</w:t>
      </w:r>
      <w:r w:rsidR="00760C30">
        <w:rPr>
          <w:rFonts w:ascii="仿宋_GB2312" w:eastAsia="仿宋_GB2312" w:cs="宋体" w:hint="eastAsia"/>
          <w:sz w:val="32"/>
          <w:szCs w:val="32"/>
        </w:rPr>
        <w:t>脱敏算法能力评估的报告要求</w:t>
      </w:r>
      <w:r w:rsidR="00B442B0">
        <w:rPr>
          <w:rFonts w:ascii="仿宋_GB2312" w:eastAsia="仿宋_GB2312" w:cs="宋体" w:hint="eastAsia"/>
          <w:sz w:val="32"/>
          <w:szCs w:val="32"/>
        </w:rPr>
        <w:t>：</w:t>
      </w:r>
      <w:r w:rsidR="009D4903">
        <w:rPr>
          <w:rFonts w:ascii="仿宋_GB2312" w:eastAsia="仿宋_GB2312" w:cs="宋体" w:hint="eastAsia"/>
          <w:sz w:val="32"/>
          <w:szCs w:val="32"/>
        </w:rPr>
        <w:t>用以规范生成的脱敏算法能力评估报告，</w:t>
      </w:r>
      <w:r w:rsidR="00761E41">
        <w:rPr>
          <w:rFonts w:ascii="仿宋_GB2312" w:eastAsia="仿宋_GB2312" w:cs="宋体" w:hint="eastAsia"/>
          <w:sz w:val="32"/>
          <w:szCs w:val="32"/>
        </w:rPr>
        <w:t>帮助主管监管部门、第三方评估机构灯组织对隐私信息脱敏处理活动进行监督、管理和评估，包括</w:t>
      </w:r>
      <w:r w:rsidR="009D4903">
        <w:rPr>
          <w:rFonts w:ascii="仿宋_GB2312" w:eastAsia="仿宋_GB2312" w:cs="宋体" w:hint="eastAsia"/>
          <w:sz w:val="32"/>
          <w:szCs w:val="32"/>
        </w:rPr>
        <w:t>形成评估报告的目的、评估报告的组成内容、评估项目概述组成内容、</w:t>
      </w:r>
      <w:r w:rsidR="00760C30">
        <w:rPr>
          <w:rFonts w:ascii="仿宋_GB2312" w:eastAsia="仿宋_GB2312" w:cs="宋体" w:hint="eastAsia"/>
          <w:sz w:val="32"/>
          <w:szCs w:val="32"/>
        </w:rPr>
        <w:t>评估指标</w:t>
      </w:r>
      <w:r w:rsidR="009D4903">
        <w:rPr>
          <w:rFonts w:ascii="仿宋_GB2312" w:eastAsia="仿宋_GB2312" w:cs="宋体" w:hint="eastAsia"/>
          <w:sz w:val="32"/>
          <w:szCs w:val="32"/>
        </w:rPr>
        <w:t>、</w:t>
      </w:r>
      <w:r w:rsidR="00760C30">
        <w:rPr>
          <w:rFonts w:ascii="仿宋_GB2312" w:eastAsia="仿宋_GB2312" w:cs="宋体" w:hint="eastAsia"/>
          <w:sz w:val="32"/>
          <w:szCs w:val="32"/>
        </w:rPr>
        <w:t>单项评估结果分析、</w:t>
      </w:r>
      <w:r w:rsidR="009D4903">
        <w:rPr>
          <w:rFonts w:ascii="仿宋_GB2312" w:eastAsia="仿宋_GB2312" w:cs="宋体" w:hint="eastAsia"/>
          <w:sz w:val="32"/>
          <w:szCs w:val="32"/>
        </w:rPr>
        <w:t>整体评估组成内容及等级评估结论组成内容</w:t>
      </w:r>
      <w:r w:rsidR="00760C30">
        <w:rPr>
          <w:rFonts w:ascii="仿宋_GB2312" w:eastAsia="仿宋_GB2312" w:cs="宋体" w:hint="eastAsia"/>
          <w:sz w:val="32"/>
          <w:szCs w:val="32"/>
        </w:rPr>
        <w:t>七</w:t>
      </w:r>
      <w:r w:rsidR="00761E41">
        <w:rPr>
          <w:rFonts w:ascii="仿宋_GB2312" w:eastAsia="仿宋_GB2312" w:cs="宋体" w:hint="eastAsia"/>
          <w:sz w:val="32"/>
          <w:szCs w:val="32"/>
        </w:rPr>
        <w:t>个</w:t>
      </w:r>
      <w:r w:rsidR="009D4903">
        <w:rPr>
          <w:rFonts w:ascii="仿宋_GB2312" w:eastAsia="仿宋_GB2312" w:cs="宋体" w:hint="eastAsia"/>
          <w:sz w:val="32"/>
          <w:szCs w:val="32"/>
        </w:rPr>
        <w:t>部分。</w:t>
      </w:r>
    </w:p>
    <w:p w14:paraId="56CD7475" w14:textId="77777777" w:rsidR="009D4903" w:rsidRDefault="009D4903" w:rsidP="00306E39">
      <w:pPr>
        <w:ind w:firstLineChars="200" w:firstLine="640"/>
        <w:rPr>
          <w:rFonts w:ascii="仿宋_GB2312" w:eastAsia="仿宋_GB2312" w:cs="宋体"/>
          <w:sz w:val="32"/>
          <w:szCs w:val="32"/>
        </w:rPr>
      </w:pPr>
      <w:r w:rsidRPr="009D4903">
        <w:rPr>
          <w:rFonts w:ascii="仿宋_GB2312" w:eastAsia="仿宋_GB2312" w:cs="宋体" w:hint="eastAsia"/>
          <w:sz w:val="32"/>
          <w:szCs w:val="32"/>
        </w:rPr>
        <w:t>本文件适用于规范各类组织的隐私信息脱敏处理活动，也可为主管监管部门、第三方评估机构等组织对隐私信息脱敏处理活动进行监督、管理和评估提供参考。</w:t>
      </w:r>
    </w:p>
    <w:p w14:paraId="4AF24B78" w14:textId="5A188C5E" w:rsidR="00C56ECB" w:rsidRPr="00857F09" w:rsidRDefault="003F5D50" w:rsidP="00857F09">
      <w:pPr>
        <w:pStyle w:val="af1"/>
        <w:spacing w:line="620" w:lineRule="exact"/>
        <w:ind w:left="640" w:right="125"/>
        <w:rPr>
          <w:rFonts w:ascii="仿宋_GB2312" w:eastAsia="仿宋_GB2312" w:hAnsi="仿宋_GB2312" w:cs="仿宋_GB2312"/>
          <w:kern w:val="2"/>
          <w:sz w:val="32"/>
          <w:szCs w:val="32"/>
          <w:lang w:val="en-US" w:bidi="ar-SA"/>
        </w:rPr>
      </w:pPr>
      <w:r>
        <w:rPr>
          <w:rFonts w:ascii="仿宋_GB2312" w:eastAsia="仿宋_GB2312" w:hint="eastAsia"/>
          <w:sz w:val="32"/>
          <w:szCs w:val="32"/>
        </w:rPr>
        <w:t>本标准</w:t>
      </w:r>
      <w:r w:rsidR="00306E39">
        <w:rPr>
          <w:rFonts w:ascii="仿宋_GB2312" w:eastAsia="仿宋_GB2312" w:hint="eastAsia"/>
          <w:sz w:val="32"/>
          <w:szCs w:val="32"/>
        </w:rPr>
        <w:t>牵头单位</w:t>
      </w:r>
      <w:r>
        <w:rPr>
          <w:rFonts w:ascii="仿宋_GB2312" w:eastAsia="仿宋_GB2312" w:hint="eastAsia"/>
          <w:sz w:val="32"/>
          <w:szCs w:val="32"/>
        </w:rPr>
        <w:t>为</w:t>
      </w:r>
      <w:r w:rsidR="00802AEB" w:rsidRPr="0031011F">
        <w:rPr>
          <w:rFonts w:ascii="仿宋_GB2312" w:eastAsia="仿宋_GB2312" w:hint="eastAsia"/>
          <w:sz w:val="32"/>
          <w:szCs w:val="32"/>
        </w:rPr>
        <w:t>西安电子科技大学</w:t>
      </w:r>
      <w:r w:rsidR="009B4830" w:rsidRPr="0031011F">
        <w:rPr>
          <w:rFonts w:ascii="仿宋_GB2312" w:eastAsia="仿宋_GB2312" w:hint="eastAsia"/>
          <w:sz w:val="32"/>
          <w:szCs w:val="32"/>
        </w:rPr>
        <w:t>，</w:t>
      </w:r>
      <w:r w:rsidR="00802AEB" w:rsidRPr="0031011F">
        <w:rPr>
          <w:rFonts w:ascii="仿宋_GB2312" w:eastAsia="仿宋_GB2312" w:hint="eastAsia"/>
          <w:sz w:val="32"/>
          <w:szCs w:val="32"/>
        </w:rPr>
        <w:t>参与</w:t>
      </w:r>
      <w:r w:rsidR="009B4830" w:rsidRPr="0031011F">
        <w:rPr>
          <w:rFonts w:ascii="仿宋_GB2312" w:eastAsia="仿宋_GB2312" w:hint="eastAsia"/>
          <w:sz w:val="32"/>
          <w:szCs w:val="32"/>
        </w:rPr>
        <w:t>单位包括</w:t>
      </w:r>
      <w:r w:rsidR="00857F09" w:rsidRPr="00624983">
        <w:rPr>
          <w:rFonts w:ascii="仿宋_GB2312" w:eastAsia="仿宋_GB2312" w:hAnsi="仿宋_GB2312" w:cs="仿宋_GB2312"/>
          <w:kern w:val="2"/>
          <w:sz w:val="32"/>
          <w:szCs w:val="32"/>
          <w:lang w:val="en-US" w:bidi="ar-SA"/>
        </w:rPr>
        <w:lastRenderedPageBreak/>
        <w:t>中国科学院信息工程研究所</w:t>
      </w:r>
      <w:r w:rsidR="00857F09" w:rsidRPr="00624983">
        <w:rPr>
          <w:rFonts w:ascii="仿宋_GB2312" w:eastAsia="仿宋_GB2312" w:hAnsi="仿宋_GB2312" w:cs="仿宋_GB2312" w:hint="eastAsia"/>
          <w:kern w:val="2"/>
          <w:sz w:val="32"/>
          <w:szCs w:val="32"/>
          <w:lang w:val="en-US" w:bidi="ar-SA"/>
        </w:rPr>
        <w:t>、</w:t>
      </w:r>
      <w:r w:rsidR="00857F09" w:rsidRPr="00624983">
        <w:rPr>
          <w:rFonts w:ascii="仿宋_GB2312" w:eastAsia="仿宋_GB2312" w:hAnsi="仿宋_GB2312" w:cs="仿宋_GB2312" w:hint="eastAsia"/>
          <w:sz w:val="32"/>
          <w:szCs w:val="32"/>
          <w:lang w:val="en-US"/>
        </w:rPr>
        <w:t>中国网络安全审查认证和市场监管大数据中心、</w:t>
      </w:r>
      <w:r w:rsidR="00857F09" w:rsidRPr="00624983">
        <w:rPr>
          <w:rFonts w:ascii="仿宋_GB2312" w:eastAsia="仿宋_GB2312" w:hAnsi="仿宋_GB2312" w:cs="仿宋_GB2312" w:hint="eastAsia"/>
          <w:kern w:val="2"/>
          <w:sz w:val="32"/>
          <w:szCs w:val="32"/>
          <w:lang w:val="en-US" w:bidi="ar-SA"/>
        </w:rPr>
        <w:t>北京理工大学、</w:t>
      </w:r>
      <w:r w:rsidR="00857F09" w:rsidRPr="00624983">
        <w:rPr>
          <w:rFonts w:ascii="仿宋_GB2312" w:eastAsia="仿宋_GB2312" w:hAnsi="仿宋_GB2312" w:cs="仿宋_GB2312" w:hint="eastAsia"/>
          <w:sz w:val="32"/>
          <w:szCs w:val="32"/>
          <w:lang w:val="en-US"/>
        </w:rPr>
        <w:t>四川昊华锐恒科技有限公司、成都西电网络安全研究院、</w:t>
      </w:r>
      <w:r w:rsidR="00857F09" w:rsidRPr="00624983">
        <w:rPr>
          <w:rFonts w:ascii="仿宋_GB2312" w:eastAsia="仿宋_GB2312" w:hAnsi="仿宋_GB2312" w:cs="仿宋_GB2312" w:hint="eastAsia"/>
          <w:kern w:val="2"/>
          <w:sz w:val="32"/>
          <w:szCs w:val="32"/>
          <w:lang w:val="en-US" w:bidi="ar-SA"/>
        </w:rPr>
        <w:t>长春吉大正元信息技术股份有限公司</w:t>
      </w:r>
      <w:r w:rsidR="00857F09" w:rsidRPr="00624983">
        <w:rPr>
          <w:rFonts w:ascii="仿宋_GB2312" w:eastAsia="仿宋_GB2312" w:hAnsi="仿宋_GB2312" w:cs="仿宋_GB2312"/>
          <w:kern w:val="2"/>
          <w:sz w:val="32"/>
          <w:szCs w:val="32"/>
          <w:lang w:val="en-US" w:bidi="ar-SA"/>
        </w:rPr>
        <w:t>、国网上海研究院</w:t>
      </w:r>
      <w:r w:rsidR="00857F09" w:rsidRPr="00624983">
        <w:rPr>
          <w:rFonts w:ascii="仿宋_GB2312" w:eastAsia="仿宋_GB2312" w:hAnsi="仿宋_GB2312" w:cs="仿宋_GB2312" w:hint="eastAsia"/>
          <w:kern w:val="2"/>
          <w:sz w:val="32"/>
          <w:szCs w:val="32"/>
          <w:lang w:val="en-US" w:bidi="ar-SA"/>
        </w:rPr>
        <w:t>、普华永道商务咨询</w:t>
      </w:r>
      <w:r w:rsidR="00857F09" w:rsidRPr="00624983">
        <w:rPr>
          <w:rFonts w:ascii="仿宋_GB2312" w:eastAsia="仿宋_GB2312" w:hAnsi="仿宋_GB2312" w:cs="仿宋_GB2312"/>
          <w:kern w:val="2"/>
          <w:sz w:val="32"/>
          <w:szCs w:val="32"/>
          <w:lang w:val="en-US" w:bidi="ar-SA"/>
        </w:rPr>
        <w:t>(上海)有限公司</w:t>
      </w:r>
      <w:r w:rsidR="0031011F" w:rsidRPr="0031011F">
        <w:rPr>
          <w:rFonts w:ascii="仿宋_GB2312" w:eastAsia="仿宋_GB2312" w:hint="eastAsia"/>
          <w:sz w:val="32"/>
          <w:szCs w:val="32"/>
        </w:rPr>
        <w:t>等</w:t>
      </w:r>
      <w:r w:rsidR="009B4830">
        <w:rPr>
          <w:rFonts w:ascii="仿宋_GB2312" w:eastAsia="仿宋_GB2312" w:hint="eastAsia"/>
          <w:sz w:val="32"/>
          <w:szCs w:val="32"/>
          <w:lang w:eastAsia="zh-Hans"/>
        </w:rPr>
        <w:t>。</w:t>
      </w:r>
    </w:p>
    <w:p w14:paraId="4C4618EE" w14:textId="77777777" w:rsidR="00C56ECB" w:rsidRDefault="003F5D50">
      <w:pPr>
        <w:numPr>
          <w:ilvl w:val="0"/>
          <w:numId w:val="1"/>
        </w:numPr>
        <w:spacing w:beforeLines="50" w:before="156" w:line="348" w:lineRule="auto"/>
        <w:ind w:left="0" w:right="96" w:firstLine="0"/>
        <w:rPr>
          <w:rFonts w:ascii="黑体" w:eastAsia="黑体" w:cs="宋体"/>
          <w:b/>
          <w:bCs/>
          <w:sz w:val="32"/>
          <w:szCs w:val="32"/>
        </w:rPr>
      </w:pPr>
      <w:r>
        <w:rPr>
          <w:rFonts w:ascii="黑体" w:eastAsia="黑体" w:cs="宋体" w:hint="eastAsia"/>
          <w:b/>
          <w:bCs/>
          <w:sz w:val="32"/>
          <w:szCs w:val="32"/>
        </w:rPr>
        <w:t>与相关法律法规和国家标准的关系</w:t>
      </w:r>
    </w:p>
    <w:p w14:paraId="3837303D" w14:textId="169C6CA0" w:rsidR="00C56ECB" w:rsidRDefault="003F5D50">
      <w:pPr>
        <w:ind w:firstLineChars="200" w:firstLine="640"/>
        <w:rPr>
          <w:rFonts w:ascii="仿宋_GB2312" w:eastAsia="仿宋_GB2312" w:cs="宋体"/>
          <w:sz w:val="32"/>
          <w:szCs w:val="32"/>
        </w:rPr>
      </w:pPr>
      <w:r>
        <w:rPr>
          <w:rFonts w:ascii="仿宋_GB2312" w:eastAsia="仿宋_GB2312" w:cs="宋体" w:hint="eastAsia"/>
          <w:sz w:val="32"/>
          <w:szCs w:val="32"/>
        </w:rPr>
        <w:t>本标准的总体结构和编写方法按照GB/T 1.1-2020《标准化工作导则 第一部分：标准化文件的结构和起草规则》的规定执行。本标准参考的相关法律、法规和标准文件如下：</w:t>
      </w:r>
    </w:p>
    <w:p w14:paraId="79B481EE" w14:textId="29109A58" w:rsidR="0042703C" w:rsidRPr="0042703C" w:rsidRDefault="0042703C" w:rsidP="0042703C">
      <w:pPr>
        <w:ind w:firstLineChars="200" w:firstLine="640"/>
        <w:rPr>
          <w:rFonts w:ascii="仿宋_GB2312" w:eastAsia="仿宋_GB2312" w:cs="宋体"/>
          <w:sz w:val="32"/>
          <w:szCs w:val="32"/>
        </w:rPr>
      </w:pPr>
      <w:r w:rsidRPr="0042703C">
        <w:rPr>
          <w:rFonts w:ascii="仿宋_GB2312" w:eastAsia="仿宋_GB2312" w:cs="宋体"/>
          <w:sz w:val="32"/>
          <w:szCs w:val="32"/>
        </w:rPr>
        <w:t>GB/T 35273</w:t>
      </w:r>
      <w:r w:rsidRPr="0042703C">
        <w:rPr>
          <w:rFonts w:ascii="仿宋_GB2312" w:eastAsia="仿宋_GB2312" w:cs="宋体"/>
          <w:sz w:val="32"/>
          <w:szCs w:val="32"/>
        </w:rPr>
        <w:t>—</w:t>
      </w:r>
      <w:r w:rsidRPr="0042703C">
        <w:rPr>
          <w:rFonts w:ascii="仿宋_GB2312" w:eastAsia="仿宋_GB2312" w:cs="宋体"/>
          <w:sz w:val="32"/>
          <w:szCs w:val="32"/>
        </w:rPr>
        <w:t>2020《信息安全技术 个人信息安全规范》</w:t>
      </w:r>
    </w:p>
    <w:p w14:paraId="50F265EF" w14:textId="77777777" w:rsidR="00B442B0" w:rsidRPr="0042703C" w:rsidRDefault="00B442B0" w:rsidP="00B442B0">
      <w:pPr>
        <w:ind w:firstLineChars="200" w:firstLine="640"/>
        <w:rPr>
          <w:rFonts w:ascii="仿宋_GB2312" w:eastAsia="仿宋_GB2312" w:cs="宋体"/>
          <w:sz w:val="32"/>
          <w:szCs w:val="32"/>
        </w:rPr>
      </w:pPr>
      <w:r w:rsidRPr="0042703C">
        <w:rPr>
          <w:rFonts w:ascii="仿宋_GB2312" w:eastAsia="仿宋_GB2312" w:cs="宋体"/>
          <w:sz w:val="32"/>
          <w:szCs w:val="32"/>
        </w:rPr>
        <w:t>GB/T 25069-2022《信息安全技术 术语》</w:t>
      </w:r>
    </w:p>
    <w:p w14:paraId="7E3D6D45" w14:textId="77777777" w:rsidR="00B442B0" w:rsidRDefault="00B442B0" w:rsidP="00B442B0">
      <w:pPr>
        <w:ind w:firstLineChars="200" w:firstLine="640"/>
        <w:rPr>
          <w:rFonts w:ascii="仿宋_GB2312" w:eastAsia="仿宋_GB2312" w:cs="宋体"/>
          <w:sz w:val="32"/>
          <w:szCs w:val="32"/>
        </w:rPr>
      </w:pPr>
      <w:r w:rsidRPr="0042703C">
        <w:rPr>
          <w:rFonts w:ascii="仿宋_GB2312" w:eastAsia="仿宋_GB2312" w:cs="宋体"/>
          <w:sz w:val="32"/>
          <w:szCs w:val="32"/>
        </w:rPr>
        <w:t>GB/T 37988-2019《信息安全技术 数据安全能力成熟度模型》</w:t>
      </w:r>
    </w:p>
    <w:p w14:paraId="6E3AFD47" w14:textId="31273BBB" w:rsidR="00B442B0" w:rsidRPr="00B442B0" w:rsidRDefault="00B442B0" w:rsidP="00B442B0">
      <w:pPr>
        <w:ind w:firstLineChars="200" w:firstLine="640"/>
        <w:rPr>
          <w:rFonts w:ascii="仿宋_GB2312" w:eastAsia="仿宋_GB2312" w:cs="宋体"/>
          <w:sz w:val="32"/>
          <w:szCs w:val="32"/>
        </w:rPr>
      </w:pPr>
      <w:r w:rsidRPr="00B442B0">
        <w:rPr>
          <w:rFonts w:ascii="仿宋_GB2312" w:eastAsia="仿宋_GB2312" w:cs="宋体"/>
          <w:sz w:val="32"/>
          <w:szCs w:val="32"/>
        </w:rPr>
        <w:t>GB/T 37964-2019《信息安全技术 个人信息去标识化指南》</w:t>
      </w:r>
    </w:p>
    <w:p w14:paraId="4637343B" w14:textId="7CFDDFDB" w:rsidR="0042703C" w:rsidRPr="0042703C" w:rsidRDefault="0042703C" w:rsidP="0042703C">
      <w:pPr>
        <w:ind w:firstLineChars="200" w:firstLine="640"/>
        <w:rPr>
          <w:rFonts w:ascii="仿宋_GB2312" w:eastAsia="仿宋_GB2312" w:cs="宋体"/>
          <w:sz w:val="32"/>
          <w:szCs w:val="32"/>
        </w:rPr>
      </w:pPr>
      <w:r w:rsidRPr="0042703C">
        <w:rPr>
          <w:rFonts w:ascii="仿宋_GB2312" w:eastAsia="仿宋_GB2312" w:cs="宋体"/>
          <w:sz w:val="32"/>
          <w:szCs w:val="32"/>
        </w:rPr>
        <w:t>《中华人民共和国网络安全法》</w:t>
      </w:r>
    </w:p>
    <w:p w14:paraId="4EDB9B7E" w14:textId="5568EBBE" w:rsidR="0042703C" w:rsidRPr="0042703C" w:rsidRDefault="0042703C" w:rsidP="0042703C">
      <w:pPr>
        <w:ind w:firstLineChars="200" w:firstLine="640"/>
        <w:rPr>
          <w:rFonts w:ascii="仿宋_GB2312" w:eastAsia="仿宋_GB2312" w:cs="宋体"/>
          <w:sz w:val="32"/>
          <w:szCs w:val="32"/>
        </w:rPr>
      </w:pPr>
      <w:r w:rsidRPr="0042703C">
        <w:rPr>
          <w:rFonts w:ascii="仿宋_GB2312" w:eastAsia="仿宋_GB2312" w:cs="宋体"/>
          <w:sz w:val="32"/>
          <w:szCs w:val="32"/>
        </w:rPr>
        <w:t>《中华人民共和国数据安全法》</w:t>
      </w:r>
    </w:p>
    <w:p w14:paraId="59E9055E" w14:textId="5A3190D3" w:rsidR="0042703C" w:rsidRPr="0042703C" w:rsidRDefault="0042703C" w:rsidP="0042703C">
      <w:pPr>
        <w:ind w:firstLineChars="200" w:firstLine="640"/>
        <w:rPr>
          <w:rFonts w:ascii="仿宋_GB2312" w:eastAsia="仿宋_GB2312" w:cs="宋体"/>
          <w:sz w:val="32"/>
          <w:szCs w:val="32"/>
        </w:rPr>
      </w:pPr>
      <w:r w:rsidRPr="0042703C">
        <w:rPr>
          <w:rFonts w:ascii="仿宋_GB2312" w:eastAsia="仿宋_GB2312" w:cs="宋体"/>
          <w:sz w:val="32"/>
          <w:szCs w:val="32"/>
        </w:rPr>
        <w:t>《中华人民共和国个人信息保护法》</w:t>
      </w:r>
    </w:p>
    <w:p w14:paraId="5B7FC3C2" w14:textId="079E47AC" w:rsidR="0042703C" w:rsidRPr="0042703C" w:rsidRDefault="0042703C" w:rsidP="0042703C">
      <w:pPr>
        <w:ind w:firstLineChars="200" w:firstLine="640"/>
        <w:rPr>
          <w:rFonts w:ascii="仿宋_GB2312" w:eastAsia="仿宋_GB2312" w:cs="宋体"/>
          <w:sz w:val="32"/>
          <w:szCs w:val="32"/>
        </w:rPr>
      </w:pPr>
      <w:r w:rsidRPr="0042703C">
        <w:rPr>
          <w:rFonts w:ascii="仿宋_GB2312" w:eastAsia="仿宋_GB2312" w:cs="宋体"/>
          <w:sz w:val="32"/>
          <w:szCs w:val="32"/>
        </w:rPr>
        <w:t>《关键信息基础设施安全保护条例》</w:t>
      </w:r>
    </w:p>
    <w:p w14:paraId="4F85D6CC" w14:textId="43CCA4CB" w:rsidR="0042703C" w:rsidRPr="0042703C" w:rsidRDefault="0042703C" w:rsidP="0042703C">
      <w:pPr>
        <w:ind w:firstLineChars="200" w:firstLine="640"/>
        <w:rPr>
          <w:rFonts w:ascii="仿宋_GB2312" w:eastAsia="仿宋_GB2312" w:cs="宋体"/>
          <w:sz w:val="32"/>
          <w:szCs w:val="32"/>
        </w:rPr>
      </w:pPr>
      <w:r w:rsidRPr="0042703C">
        <w:rPr>
          <w:rFonts w:ascii="仿宋_GB2312" w:eastAsia="仿宋_GB2312" w:cs="宋体"/>
          <w:sz w:val="32"/>
          <w:szCs w:val="32"/>
        </w:rPr>
        <w:t>《网络安全审查办法》</w:t>
      </w:r>
    </w:p>
    <w:p w14:paraId="5C8E2A79" w14:textId="04E7B8F2" w:rsidR="0042703C" w:rsidRPr="0042703C" w:rsidRDefault="0042703C" w:rsidP="0042703C">
      <w:pPr>
        <w:ind w:firstLineChars="200" w:firstLine="640"/>
        <w:rPr>
          <w:rFonts w:ascii="仿宋_GB2312" w:eastAsia="仿宋_GB2312" w:cs="宋体"/>
          <w:sz w:val="32"/>
          <w:szCs w:val="32"/>
        </w:rPr>
      </w:pPr>
      <w:r w:rsidRPr="0042703C">
        <w:rPr>
          <w:rFonts w:ascii="仿宋_GB2312" w:eastAsia="仿宋_GB2312" w:cs="宋体"/>
          <w:sz w:val="32"/>
          <w:szCs w:val="32"/>
        </w:rPr>
        <w:t>《网络数据安全管理条例（征求意见稿）》</w:t>
      </w:r>
    </w:p>
    <w:p w14:paraId="14E24B01" w14:textId="614AF9F6" w:rsidR="00C56ECB" w:rsidRDefault="003F5D50" w:rsidP="003B6058">
      <w:pPr>
        <w:ind w:firstLineChars="200" w:firstLine="640"/>
        <w:rPr>
          <w:rFonts w:ascii="仿宋_GB2312" w:eastAsia="仿宋_GB2312" w:cs="宋体"/>
          <w:sz w:val="32"/>
          <w:szCs w:val="32"/>
          <w:lang w:eastAsia="zh-Hans"/>
        </w:rPr>
      </w:pPr>
      <w:r>
        <w:rPr>
          <w:rFonts w:ascii="仿宋_GB2312" w:eastAsia="仿宋_GB2312" w:cs="宋体" w:hint="eastAsia"/>
          <w:sz w:val="32"/>
          <w:szCs w:val="32"/>
          <w:lang w:eastAsia="zh-Hans"/>
        </w:rPr>
        <w:t>目前尚未有类似的</w:t>
      </w:r>
      <w:r w:rsidR="00760C30">
        <w:rPr>
          <w:rFonts w:ascii="仿宋_GB2312" w:eastAsia="仿宋_GB2312" w:cs="宋体" w:hint="eastAsia"/>
          <w:sz w:val="32"/>
          <w:szCs w:val="32"/>
          <w:lang w:eastAsia="zh-Hans"/>
        </w:rPr>
        <w:t>脱敏算法能力评估技术要求</w:t>
      </w:r>
      <w:r>
        <w:rPr>
          <w:rFonts w:ascii="仿宋_GB2312" w:eastAsia="仿宋_GB2312" w:cs="宋体" w:hint="eastAsia"/>
          <w:sz w:val="32"/>
          <w:szCs w:val="32"/>
          <w:lang w:eastAsia="zh-Hans"/>
        </w:rPr>
        <w:t>的国家</w:t>
      </w:r>
      <w:r>
        <w:rPr>
          <w:rFonts w:ascii="仿宋_GB2312" w:eastAsia="仿宋_GB2312" w:cs="宋体" w:hint="eastAsia"/>
          <w:sz w:val="32"/>
          <w:szCs w:val="32"/>
          <w:lang w:eastAsia="zh-Hans"/>
        </w:rPr>
        <w:lastRenderedPageBreak/>
        <w:t>标准，本标准内容与现有国家标准不存在冲突，相关术语定义与其他网络安全国家标准保持一致。</w:t>
      </w:r>
    </w:p>
    <w:sectPr w:rsidR="00C56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BED1" w14:textId="77777777" w:rsidR="000D2B77" w:rsidRDefault="000D2B77" w:rsidP="00E87323">
      <w:r>
        <w:separator/>
      </w:r>
    </w:p>
  </w:endnote>
  <w:endnote w:type="continuationSeparator" w:id="0">
    <w:p w14:paraId="6FE86054" w14:textId="77777777" w:rsidR="000D2B77" w:rsidRDefault="000D2B77" w:rsidP="00E8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0711" w14:textId="77777777" w:rsidR="000D2B77" w:rsidRDefault="000D2B77" w:rsidP="00E87323">
      <w:r>
        <w:separator/>
      </w:r>
    </w:p>
  </w:footnote>
  <w:footnote w:type="continuationSeparator" w:id="0">
    <w:p w14:paraId="3036EDB9" w14:textId="77777777" w:rsidR="000D2B77" w:rsidRDefault="000D2B77" w:rsidP="00E8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93193"/>
    <w:multiLevelType w:val="multilevel"/>
    <w:tmpl w:val="29D9319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F747923"/>
    <w:multiLevelType w:val="hybridMultilevel"/>
    <w:tmpl w:val="4E5A24E0"/>
    <w:lvl w:ilvl="0" w:tplc="65F6EDE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ED"/>
    <w:rsid w:val="CEE3FEC7"/>
    <w:rsid w:val="00060828"/>
    <w:rsid w:val="000652F1"/>
    <w:rsid w:val="00073BC5"/>
    <w:rsid w:val="000A5663"/>
    <w:rsid w:val="000C1BFA"/>
    <w:rsid w:val="000D2B77"/>
    <w:rsid w:val="0011445F"/>
    <w:rsid w:val="00135A48"/>
    <w:rsid w:val="00157D4F"/>
    <w:rsid w:val="001942D3"/>
    <w:rsid w:val="001960A3"/>
    <w:rsid w:val="001D3B20"/>
    <w:rsid w:val="002206BC"/>
    <w:rsid w:val="00225C94"/>
    <w:rsid w:val="00273780"/>
    <w:rsid w:val="002F2DF5"/>
    <w:rsid w:val="00306E39"/>
    <w:rsid w:val="0031011F"/>
    <w:rsid w:val="00313773"/>
    <w:rsid w:val="0032434C"/>
    <w:rsid w:val="00344DF4"/>
    <w:rsid w:val="00355D7C"/>
    <w:rsid w:val="00386B25"/>
    <w:rsid w:val="003B6058"/>
    <w:rsid w:val="003C6F66"/>
    <w:rsid w:val="003F1503"/>
    <w:rsid w:val="003F5D50"/>
    <w:rsid w:val="00422135"/>
    <w:rsid w:val="0042703C"/>
    <w:rsid w:val="00465FD3"/>
    <w:rsid w:val="00493135"/>
    <w:rsid w:val="004A00E7"/>
    <w:rsid w:val="004C3442"/>
    <w:rsid w:val="004D5127"/>
    <w:rsid w:val="004D61B9"/>
    <w:rsid w:val="00514E08"/>
    <w:rsid w:val="00553B1D"/>
    <w:rsid w:val="00562C9B"/>
    <w:rsid w:val="0061644A"/>
    <w:rsid w:val="0063731E"/>
    <w:rsid w:val="00643A91"/>
    <w:rsid w:val="006A5EE1"/>
    <w:rsid w:val="006C6D93"/>
    <w:rsid w:val="006E09C2"/>
    <w:rsid w:val="00724490"/>
    <w:rsid w:val="00741ABD"/>
    <w:rsid w:val="00760C30"/>
    <w:rsid w:val="00761E41"/>
    <w:rsid w:val="00780900"/>
    <w:rsid w:val="007C6DC2"/>
    <w:rsid w:val="007D7415"/>
    <w:rsid w:val="007E5F62"/>
    <w:rsid w:val="007F41ED"/>
    <w:rsid w:val="00802AEB"/>
    <w:rsid w:val="0081397E"/>
    <w:rsid w:val="008273D9"/>
    <w:rsid w:val="008277CE"/>
    <w:rsid w:val="00857F09"/>
    <w:rsid w:val="008622D0"/>
    <w:rsid w:val="008664A3"/>
    <w:rsid w:val="008854AA"/>
    <w:rsid w:val="008E6C4B"/>
    <w:rsid w:val="008F51E5"/>
    <w:rsid w:val="009026F7"/>
    <w:rsid w:val="00934750"/>
    <w:rsid w:val="00945397"/>
    <w:rsid w:val="00980B0C"/>
    <w:rsid w:val="00984E23"/>
    <w:rsid w:val="00995AFE"/>
    <w:rsid w:val="009B4830"/>
    <w:rsid w:val="009B7A31"/>
    <w:rsid w:val="009D4903"/>
    <w:rsid w:val="009D7411"/>
    <w:rsid w:val="009E04EA"/>
    <w:rsid w:val="00A22C4A"/>
    <w:rsid w:val="00A37368"/>
    <w:rsid w:val="00A4038A"/>
    <w:rsid w:val="00AC1016"/>
    <w:rsid w:val="00AC418E"/>
    <w:rsid w:val="00AE5179"/>
    <w:rsid w:val="00B442B0"/>
    <w:rsid w:val="00B4522D"/>
    <w:rsid w:val="00B545EC"/>
    <w:rsid w:val="00B77D4F"/>
    <w:rsid w:val="00B94663"/>
    <w:rsid w:val="00BA153F"/>
    <w:rsid w:val="00BD78FA"/>
    <w:rsid w:val="00BD7D56"/>
    <w:rsid w:val="00C07092"/>
    <w:rsid w:val="00C13B95"/>
    <w:rsid w:val="00C5603F"/>
    <w:rsid w:val="00C5693B"/>
    <w:rsid w:val="00C56ECB"/>
    <w:rsid w:val="00C761FB"/>
    <w:rsid w:val="00C84C0F"/>
    <w:rsid w:val="00D6531F"/>
    <w:rsid w:val="00E149DE"/>
    <w:rsid w:val="00E4688A"/>
    <w:rsid w:val="00E57CC3"/>
    <w:rsid w:val="00E87323"/>
    <w:rsid w:val="00EF0BA0"/>
    <w:rsid w:val="00F04015"/>
    <w:rsid w:val="00F45CED"/>
    <w:rsid w:val="00F77399"/>
    <w:rsid w:val="00FC5E5E"/>
    <w:rsid w:val="6E75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13B2B"/>
  <w15:docId w15:val="{A4CF33E8-36E8-4E4A-8199-7B128B43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ae">
    <w:name w:val="标准文件_段"/>
    <w:link w:val="Char"/>
    <w:qFormat/>
    <w:pPr>
      <w:autoSpaceDE w:val="0"/>
      <w:autoSpaceDN w:val="0"/>
      <w:ind w:firstLineChars="200" w:firstLine="200"/>
      <w:jc w:val="both"/>
    </w:pPr>
    <w:rPr>
      <w:rFonts w:ascii="宋体" w:eastAsia="宋体" w:hAnsi="Times New Roman" w:cs="Times New Roman"/>
      <w:sz w:val="21"/>
    </w:rPr>
  </w:style>
  <w:style w:type="character" w:customStyle="1" w:styleId="Char">
    <w:name w:val="标准文件_段 Char"/>
    <w:link w:val="ae"/>
    <w:qFormat/>
    <w:rPr>
      <w:rFonts w:ascii="宋体" w:eastAsia="宋体" w:hAnsi="Times New Roman" w:cs="Times New Roman"/>
      <w:kern w:val="0"/>
      <w:szCs w:val="20"/>
    </w:rPr>
  </w:style>
  <w:style w:type="paragraph" w:customStyle="1" w:styleId="af">
    <w:name w:val="段"/>
    <w:link w:val="Char0"/>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0">
    <w:name w:val="段 Char"/>
    <w:link w:val="af"/>
    <w:qFormat/>
    <w:rPr>
      <w:rFonts w:ascii="宋体" w:eastAsia="宋体" w:hAnsi="Times New Roman" w:cs="Times New Roman"/>
      <w:kern w:val="0"/>
      <w:szCs w:val="20"/>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0">
    <w:name w:val="List Paragraph"/>
    <w:basedOn w:val="a"/>
    <w:uiPriority w:val="99"/>
    <w:rsid w:val="00B4522D"/>
    <w:pPr>
      <w:ind w:firstLineChars="200" w:firstLine="420"/>
    </w:pPr>
  </w:style>
  <w:style w:type="paragraph" w:styleId="af1">
    <w:name w:val="Body Text"/>
    <w:basedOn w:val="a"/>
    <w:link w:val="af2"/>
    <w:uiPriority w:val="1"/>
    <w:qFormat/>
    <w:rsid w:val="00857F09"/>
    <w:pPr>
      <w:autoSpaceDE w:val="0"/>
      <w:autoSpaceDN w:val="0"/>
      <w:jc w:val="left"/>
    </w:pPr>
    <w:rPr>
      <w:rFonts w:ascii="宋体" w:eastAsia="宋体" w:hAnsi="宋体" w:cs="宋体"/>
      <w:kern w:val="0"/>
      <w:sz w:val="28"/>
      <w:szCs w:val="28"/>
      <w:lang w:val="zh-CN" w:bidi="zh-CN"/>
    </w:rPr>
  </w:style>
  <w:style w:type="character" w:customStyle="1" w:styleId="af2">
    <w:name w:val="正文文本 字符"/>
    <w:basedOn w:val="a0"/>
    <w:link w:val="af1"/>
    <w:uiPriority w:val="1"/>
    <w:rsid w:val="00857F09"/>
    <w:rPr>
      <w:rFonts w:ascii="宋体" w:eastAsia="宋体" w:hAnsi="宋体" w:cs="宋体"/>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4720">
      <w:bodyDiv w:val="1"/>
      <w:marLeft w:val="0"/>
      <w:marRight w:val="0"/>
      <w:marTop w:val="0"/>
      <w:marBottom w:val="0"/>
      <w:divBdr>
        <w:top w:val="none" w:sz="0" w:space="0" w:color="auto"/>
        <w:left w:val="none" w:sz="0" w:space="0" w:color="auto"/>
        <w:bottom w:val="none" w:sz="0" w:space="0" w:color="auto"/>
        <w:right w:val="none" w:sz="0" w:space="0" w:color="auto"/>
      </w:divBdr>
      <w:divsChild>
        <w:div w:id="2005157349">
          <w:marLeft w:val="-8895"/>
          <w:marRight w:val="0"/>
          <w:marTop w:val="0"/>
          <w:marBottom w:val="0"/>
          <w:divBdr>
            <w:top w:val="none" w:sz="0" w:space="0" w:color="auto"/>
            <w:left w:val="none" w:sz="0" w:space="0" w:color="auto"/>
            <w:bottom w:val="none" w:sz="0" w:space="0" w:color="auto"/>
            <w:right w:val="none" w:sz="0" w:space="0" w:color="auto"/>
          </w:divBdr>
        </w:div>
        <w:div w:id="1972857765">
          <w:marLeft w:val="0"/>
          <w:marRight w:val="0"/>
          <w:marTop w:val="0"/>
          <w:marBottom w:val="0"/>
          <w:divBdr>
            <w:top w:val="none" w:sz="0" w:space="0" w:color="auto"/>
            <w:left w:val="none" w:sz="0" w:space="0" w:color="auto"/>
            <w:bottom w:val="none" w:sz="0" w:space="0" w:color="auto"/>
            <w:right w:val="none" w:sz="0" w:space="0" w:color="auto"/>
          </w:divBdr>
        </w:div>
      </w:divsChild>
    </w:div>
    <w:div w:id="2062904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455</Words>
  <Characters>2600</Characters>
  <Application>Microsoft Office Word</Application>
  <DocSecurity>0</DocSecurity>
  <Lines>21</Lines>
  <Paragraphs>6</Paragraphs>
  <ScaleCrop>false</ScaleCrop>
  <Company>Qihoo360</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binz_zhang</dc:creator>
  <cp:lastModifiedBy>玲翠 张</cp:lastModifiedBy>
  <cp:revision>17</cp:revision>
  <dcterms:created xsi:type="dcterms:W3CDTF">2024-02-22T09:32:00Z</dcterms:created>
  <dcterms:modified xsi:type="dcterms:W3CDTF">2024-08-20T02:56:00Z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