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0C34" w14:textId="77777777" w:rsidR="0077150B" w:rsidRDefault="0077150B">
      <w:pPr>
        <w:jc w:val="center"/>
        <w:rPr>
          <w:rFonts w:ascii="黑体" w:eastAsia="黑体" w:hAnsi="宋体"/>
          <w:color w:val="000000"/>
          <w:sz w:val="52"/>
          <w:szCs w:val="52"/>
        </w:rPr>
      </w:pPr>
    </w:p>
    <w:p w14:paraId="592DF74A" w14:textId="77777777" w:rsidR="0077150B" w:rsidRDefault="0077150B">
      <w:pPr>
        <w:jc w:val="center"/>
        <w:rPr>
          <w:rFonts w:ascii="黑体" w:eastAsia="黑体" w:hAnsi="宋体"/>
          <w:color w:val="000000"/>
          <w:sz w:val="52"/>
          <w:szCs w:val="52"/>
        </w:rPr>
      </w:pPr>
    </w:p>
    <w:p w14:paraId="5374A7E6" w14:textId="77777777" w:rsidR="0077150B" w:rsidRDefault="0077150B">
      <w:pPr>
        <w:jc w:val="center"/>
        <w:rPr>
          <w:rFonts w:ascii="黑体" w:eastAsia="黑体" w:hAnsi="宋体"/>
          <w:color w:val="000000"/>
          <w:sz w:val="52"/>
          <w:szCs w:val="52"/>
        </w:rPr>
      </w:pPr>
    </w:p>
    <w:p w14:paraId="3D5A107A" w14:textId="77777777" w:rsidR="0077150B" w:rsidRDefault="0077150B">
      <w:pPr>
        <w:jc w:val="center"/>
        <w:rPr>
          <w:rFonts w:ascii="黑体" w:eastAsia="黑体" w:hAnsi="宋体"/>
          <w:color w:val="000000"/>
          <w:sz w:val="52"/>
          <w:szCs w:val="52"/>
        </w:rPr>
      </w:pPr>
    </w:p>
    <w:p w14:paraId="4336DDB4" w14:textId="523925AD" w:rsidR="0077150B" w:rsidRDefault="00E90348">
      <w:pPr>
        <w:jc w:val="center"/>
        <w:rPr>
          <w:rFonts w:ascii="黑体" w:eastAsia="黑体" w:hAnsi="宋体"/>
          <w:color w:val="000000"/>
          <w:sz w:val="52"/>
          <w:szCs w:val="52"/>
        </w:rPr>
      </w:pPr>
      <w:r>
        <w:rPr>
          <w:rFonts w:ascii="黑体" w:eastAsia="黑体" w:hAnsi="宋体" w:hint="eastAsia"/>
          <w:color w:val="000000"/>
          <w:sz w:val="52"/>
          <w:szCs w:val="52"/>
        </w:rPr>
        <w:t>隐私计算</w:t>
      </w:r>
      <w:r>
        <w:rPr>
          <w:rFonts w:ascii="黑体" w:eastAsia="黑体" w:hAnsi="宋体"/>
          <w:color w:val="000000"/>
          <w:sz w:val="52"/>
          <w:szCs w:val="52"/>
        </w:rPr>
        <w:t xml:space="preserve"> 脱敏控制技术要求</w:t>
      </w:r>
    </w:p>
    <w:p w14:paraId="2AE423E0" w14:textId="77777777" w:rsidR="0077150B" w:rsidRDefault="0077150B">
      <w:pPr>
        <w:jc w:val="center"/>
        <w:rPr>
          <w:rFonts w:ascii="黑体" w:eastAsia="黑体" w:hAnsi="宋体"/>
          <w:color w:val="000000"/>
          <w:sz w:val="52"/>
          <w:szCs w:val="52"/>
        </w:rPr>
      </w:pPr>
    </w:p>
    <w:p w14:paraId="0D4107EB" w14:textId="77777777" w:rsidR="0077150B" w:rsidRDefault="00E90348">
      <w:pPr>
        <w:jc w:val="center"/>
        <w:rPr>
          <w:rFonts w:ascii="黑体" w:eastAsia="黑体" w:hAnsi="宋体"/>
          <w:color w:val="000000"/>
          <w:sz w:val="48"/>
          <w:szCs w:val="48"/>
        </w:rPr>
      </w:pPr>
      <w:r>
        <w:rPr>
          <w:rFonts w:ascii="黑体" w:eastAsia="黑体" w:hAnsi="宋体" w:hint="eastAsia"/>
          <w:color w:val="000000"/>
          <w:sz w:val="48"/>
          <w:szCs w:val="48"/>
        </w:rPr>
        <w:t>编 制 说 明</w:t>
      </w:r>
    </w:p>
    <w:p w14:paraId="12D9770C" w14:textId="77777777" w:rsidR="0077150B" w:rsidRDefault="0077150B">
      <w:pPr>
        <w:widowControl/>
        <w:jc w:val="left"/>
        <w:rPr>
          <w:rFonts w:ascii="黑体" w:eastAsia="黑体" w:hAnsi="宋体"/>
          <w:color w:val="000000"/>
          <w:sz w:val="48"/>
          <w:szCs w:val="48"/>
        </w:rPr>
      </w:pPr>
    </w:p>
    <w:p w14:paraId="3BB8D56F" w14:textId="77777777" w:rsidR="0077150B" w:rsidRDefault="0077150B">
      <w:pPr>
        <w:widowControl/>
        <w:jc w:val="left"/>
        <w:rPr>
          <w:rFonts w:ascii="黑体" w:eastAsia="黑体" w:hAnsi="宋体"/>
          <w:color w:val="000000"/>
          <w:sz w:val="48"/>
          <w:szCs w:val="48"/>
        </w:rPr>
      </w:pPr>
    </w:p>
    <w:p w14:paraId="3CE0E781" w14:textId="77777777" w:rsidR="0077150B" w:rsidRDefault="0077150B">
      <w:pPr>
        <w:widowControl/>
        <w:jc w:val="left"/>
        <w:rPr>
          <w:rFonts w:ascii="黑体" w:eastAsia="黑体" w:hAnsi="宋体"/>
          <w:color w:val="000000"/>
          <w:sz w:val="48"/>
          <w:szCs w:val="48"/>
        </w:rPr>
      </w:pPr>
    </w:p>
    <w:p w14:paraId="1B1E1416" w14:textId="77777777" w:rsidR="0077150B" w:rsidRDefault="0077150B">
      <w:pPr>
        <w:widowControl/>
        <w:jc w:val="left"/>
        <w:rPr>
          <w:rFonts w:ascii="黑体" w:eastAsia="黑体" w:hAnsi="宋体"/>
          <w:color w:val="000000"/>
          <w:sz w:val="48"/>
          <w:szCs w:val="48"/>
        </w:rPr>
      </w:pPr>
    </w:p>
    <w:p w14:paraId="6BF549C2" w14:textId="77777777" w:rsidR="0077150B" w:rsidRDefault="0077150B">
      <w:pPr>
        <w:widowControl/>
        <w:jc w:val="left"/>
        <w:rPr>
          <w:rFonts w:ascii="黑体" w:eastAsia="黑体" w:hAnsi="宋体"/>
          <w:color w:val="000000"/>
          <w:sz w:val="48"/>
          <w:szCs w:val="48"/>
        </w:rPr>
      </w:pPr>
    </w:p>
    <w:p w14:paraId="3C1B9967" w14:textId="77777777" w:rsidR="0077150B" w:rsidRDefault="0077150B">
      <w:pPr>
        <w:widowControl/>
        <w:jc w:val="left"/>
        <w:rPr>
          <w:rFonts w:ascii="黑体" w:eastAsia="黑体" w:hAnsi="宋体"/>
          <w:color w:val="000000"/>
          <w:sz w:val="48"/>
          <w:szCs w:val="48"/>
        </w:rPr>
      </w:pPr>
    </w:p>
    <w:p w14:paraId="09D8DD10" w14:textId="77777777" w:rsidR="0077150B" w:rsidRDefault="0077150B">
      <w:pPr>
        <w:widowControl/>
        <w:jc w:val="left"/>
        <w:rPr>
          <w:rFonts w:ascii="黑体" w:eastAsia="黑体" w:hAnsi="宋体"/>
          <w:color w:val="000000"/>
          <w:sz w:val="48"/>
          <w:szCs w:val="48"/>
        </w:rPr>
      </w:pPr>
    </w:p>
    <w:p w14:paraId="5FA55DB7" w14:textId="77777777" w:rsidR="0077150B" w:rsidRDefault="0077150B">
      <w:pPr>
        <w:widowControl/>
        <w:jc w:val="left"/>
        <w:rPr>
          <w:rFonts w:ascii="黑体" w:eastAsia="黑体" w:hAnsi="宋体"/>
          <w:color w:val="000000"/>
          <w:sz w:val="48"/>
          <w:szCs w:val="48"/>
        </w:rPr>
      </w:pPr>
    </w:p>
    <w:p w14:paraId="66092A71" w14:textId="77777777" w:rsidR="0077150B" w:rsidRDefault="00E90348">
      <w:pPr>
        <w:widowControl/>
        <w:jc w:val="center"/>
        <w:rPr>
          <w:rFonts w:ascii="宋体" w:eastAsia="宋体" w:hAnsi="宋体"/>
          <w:color w:val="000000"/>
          <w:sz w:val="32"/>
          <w:szCs w:val="32"/>
        </w:rPr>
      </w:pPr>
      <w:r>
        <w:rPr>
          <w:rFonts w:ascii="宋体" w:eastAsia="宋体" w:hAnsi="宋体" w:hint="eastAsia"/>
          <w:color w:val="000000"/>
          <w:sz w:val="32"/>
          <w:szCs w:val="32"/>
        </w:rPr>
        <w:t>标准起草工作组</w:t>
      </w:r>
    </w:p>
    <w:p w14:paraId="08AE1FA6" w14:textId="28B404B6" w:rsidR="0077150B" w:rsidRDefault="00E90348">
      <w:pPr>
        <w:widowControl/>
        <w:jc w:val="center"/>
        <w:rPr>
          <w:rFonts w:ascii="黑体" w:eastAsia="黑体" w:hAnsi="宋体"/>
          <w:color w:val="000000"/>
          <w:sz w:val="48"/>
          <w:szCs w:val="48"/>
        </w:rPr>
      </w:pPr>
      <w:r>
        <w:rPr>
          <w:rFonts w:ascii="宋体" w:eastAsia="宋体" w:hAnsi="宋体" w:hint="eastAsia"/>
          <w:color w:val="000000"/>
          <w:sz w:val="32"/>
          <w:szCs w:val="32"/>
        </w:rPr>
        <w:t>2</w:t>
      </w:r>
      <w:r>
        <w:rPr>
          <w:rFonts w:ascii="宋体" w:eastAsia="宋体" w:hAnsi="宋体"/>
          <w:color w:val="000000"/>
          <w:sz w:val="32"/>
          <w:szCs w:val="32"/>
        </w:rPr>
        <w:t>024</w:t>
      </w:r>
      <w:r>
        <w:rPr>
          <w:rFonts w:ascii="宋体" w:eastAsia="宋体" w:hAnsi="宋体" w:hint="eastAsia"/>
          <w:color w:val="000000"/>
          <w:sz w:val="32"/>
          <w:szCs w:val="32"/>
        </w:rPr>
        <w:t>年</w:t>
      </w:r>
      <w:r w:rsidR="00DC1CD4">
        <w:rPr>
          <w:rFonts w:ascii="宋体" w:eastAsia="宋体" w:hAnsi="宋体" w:hint="eastAsia"/>
          <w:color w:val="000000"/>
          <w:sz w:val="32"/>
          <w:szCs w:val="32"/>
        </w:rPr>
        <w:t>8</w:t>
      </w:r>
      <w:r>
        <w:rPr>
          <w:rFonts w:ascii="宋体" w:eastAsia="宋体" w:hAnsi="宋体" w:hint="eastAsia"/>
          <w:color w:val="000000"/>
          <w:sz w:val="32"/>
          <w:szCs w:val="32"/>
        </w:rPr>
        <w:t>月</w:t>
      </w:r>
      <w:r>
        <w:rPr>
          <w:rFonts w:ascii="黑体" w:eastAsia="黑体" w:hAnsi="宋体"/>
          <w:color w:val="000000"/>
          <w:sz w:val="48"/>
          <w:szCs w:val="48"/>
        </w:rPr>
        <w:br w:type="page"/>
      </w:r>
    </w:p>
    <w:p w14:paraId="1B00DAAE" w14:textId="77777777" w:rsidR="0077150B" w:rsidRDefault="00E90348">
      <w:pPr>
        <w:numPr>
          <w:ilvl w:val="0"/>
          <w:numId w:val="1"/>
        </w:numPr>
        <w:spacing w:beforeLines="50" w:before="156" w:line="348" w:lineRule="auto"/>
        <w:ind w:left="0" w:right="96" w:firstLine="0"/>
        <w:rPr>
          <w:rFonts w:ascii="黑体" w:eastAsia="黑体"/>
          <w:b/>
          <w:bCs/>
          <w:sz w:val="32"/>
          <w:szCs w:val="32"/>
        </w:rPr>
      </w:pPr>
      <w:r>
        <w:rPr>
          <w:rFonts w:ascii="黑体" w:eastAsia="黑体" w:hint="eastAsia"/>
          <w:b/>
          <w:bCs/>
          <w:sz w:val="32"/>
          <w:szCs w:val="32"/>
        </w:rPr>
        <w:lastRenderedPageBreak/>
        <w:t>目的意义</w:t>
      </w:r>
    </w:p>
    <w:p w14:paraId="35945A38" w14:textId="77777777" w:rsidR="0077150B" w:rsidRDefault="00E90348">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022</w:t>
      </w:r>
      <w:r>
        <w:rPr>
          <w:rFonts w:ascii="仿宋_GB2312" w:eastAsia="仿宋_GB2312" w:hint="eastAsia"/>
          <w:sz w:val="32"/>
          <w:szCs w:val="32"/>
        </w:rPr>
        <w:t>年，</w:t>
      </w:r>
      <w:r>
        <w:rPr>
          <w:rFonts w:ascii="仿宋_GB2312" w:eastAsia="仿宋_GB2312"/>
          <w:sz w:val="32"/>
          <w:szCs w:val="32"/>
        </w:rPr>
        <w:t>中央全面深化改革委员会审议通过了《关于构建数据基础制度更好发挥数据要素作用的意见》，提出加速建设数据基础制度，以促进数据</w:t>
      </w:r>
      <w:r>
        <w:rPr>
          <w:rFonts w:ascii="仿宋_GB2312" w:eastAsia="仿宋_GB2312" w:hint="eastAsia"/>
          <w:sz w:val="32"/>
          <w:szCs w:val="32"/>
        </w:rPr>
        <w:t>要素的</w:t>
      </w:r>
      <w:r>
        <w:rPr>
          <w:rFonts w:ascii="仿宋_GB2312" w:eastAsia="仿宋_GB2312"/>
          <w:sz w:val="32"/>
          <w:szCs w:val="32"/>
        </w:rPr>
        <w:t>高效</w:t>
      </w:r>
      <w:r>
        <w:rPr>
          <w:rFonts w:ascii="仿宋_GB2312" w:eastAsia="仿宋_GB2312" w:hint="eastAsia"/>
          <w:sz w:val="32"/>
          <w:szCs w:val="32"/>
        </w:rPr>
        <w:t>合规</w:t>
      </w:r>
      <w:r>
        <w:rPr>
          <w:rFonts w:ascii="仿宋_GB2312" w:eastAsia="仿宋_GB2312"/>
          <w:sz w:val="32"/>
          <w:szCs w:val="32"/>
        </w:rPr>
        <w:t>流通使用</w:t>
      </w:r>
      <w:r>
        <w:rPr>
          <w:rFonts w:ascii="仿宋_GB2312" w:eastAsia="仿宋_GB2312" w:hint="eastAsia"/>
          <w:sz w:val="32"/>
          <w:szCs w:val="32"/>
        </w:rPr>
        <w:t>，在保护公民个人信息权益的前提下，挖掘数据价值，</w:t>
      </w:r>
      <w:r>
        <w:rPr>
          <w:rFonts w:ascii="仿宋_GB2312" w:eastAsia="仿宋_GB2312"/>
          <w:sz w:val="32"/>
          <w:szCs w:val="32"/>
        </w:rPr>
        <w:t>赋能实体经济。</w:t>
      </w:r>
    </w:p>
    <w:p w14:paraId="1755F80E" w14:textId="1B232054" w:rsidR="0077150B" w:rsidRDefault="00E90348">
      <w:pPr>
        <w:ind w:firstLineChars="200" w:firstLine="640"/>
        <w:rPr>
          <w:rFonts w:ascii="仿宋_GB2312" w:eastAsia="仿宋_GB2312"/>
          <w:sz w:val="32"/>
          <w:szCs w:val="32"/>
        </w:rPr>
      </w:pPr>
      <w:r>
        <w:rPr>
          <w:rFonts w:ascii="仿宋_GB2312" w:eastAsia="仿宋_GB2312" w:hint="eastAsia"/>
          <w:sz w:val="32"/>
          <w:szCs w:val="32"/>
        </w:rPr>
        <w:t>然而，随着互联网和数字技术的普及，大量个人信息被收集和处理，这些信息收集和使用，虽然极大促进了技术的进步，但也导致了个人隐私泄露和滥用。未经授权的数据访问、数据泄露事件和对个人信息的商业化使用已引发了全球性的关注和担忧。在数字经济时代，</w:t>
      </w:r>
      <w:r>
        <w:rPr>
          <w:rFonts w:ascii="仿宋_GB2312" w:eastAsia="仿宋_GB2312"/>
          <w:sz w:val="32"/>
          <w:szCs w:val="32"/>
        </w:rPr>
        <w:t>数据共享和</w:t>
      </w:r>
      <w:r>
        <w:rPr>
          <w:rFonts w:ascii="仿宋_GB2312" w:eastAsia="仿宋_GB2312" w:hint="eastAsia"/>
          <w:sz w:val="32"/>
          <w:szCs w:val="32"/>
        </w:rPr>
        <w:t>数据</w:t>
      </w:r>
      <w:r>
        <w:rPr>
          <w:rFonts w:ascii="仿宋_GB2312" w:eastAsia="仿宋_GB2312"/>
          <w:sz w:val="32"/>
          <w:szCs w:val="32"/>
        </w:rPr>
        <w:t>安全需要协同发展，数字技术和国民经济、社会发展融合得越深，面临的数据安全和个人信息保护的挑战也就越大。在维护国家数据安全、个人信息保护和商业秘密的同时，打破数据孤岛、畅通经济大动脉，</w:t>
      </w:r>
      <w:r>
        <w:rPr>
          <w:rFonts w:ascii="仿宋_GB2312" w:eastAsia="仿宋_GB2312" w:hint="eastAsia"/>
          <w:sz w:val="32"/>
          <w:szCs w:val="32"/>
        </w:rPr>
        <w:t>就必须将数据安全和隐私保护贯穿于数据开发和流通的全过程。</w:t>
      </w:r>
    </w:p>
    <w:p w14:paraId="738989CE" w14:textId="5B1FFD9D" w:rsidR="0077150B" w:rsidRDefault="00E90348">
      <w:pPr>
        <w:ind w:firstLineChars="200" w:firstLine="640"/>
        <w:rPr>
          <w:rFonts w:ascii="仿宋_GB2312" w:eastAsia="仿宋_GB2312"/>
          <w:sz w:val="32"/>
          <w:szCs w:val="32"/>
        </w:rPr>
      </w:pPr>
      <w:r>
        <w:rPr>
          <w:rFonts w:ascii="仿宋_GB2312" w:eastAsia="仿宋_GB2312" w:hint="eastAsia"/>
          <w:sz w:val="32"/>
          <w:szCs w:val="32"/>
        </w:rPr>
        <w:t>脱敏控制是指个人信息流转过程中，针对信息在不同个人信息控制者之间流转的各环节（例如：采集、分享、交换等过程），结合不同信息主体，不同处理阶段的差异化脱敏要求，对隐私信息进行合理控制和迭代脱敏操作的技术。为了促进</w:t>
      </w:r>
      <w:r>
        <w:rPr>
          <w:rFonts w:ascii="仿宋_GB2312" w:eastAsia="仿宋_GB2312"/>
          <w:sz w:val="32"/>
          <w:szCs w:val="32"/>
        </w:rPr>
        <w:t>数据共享和</w:t>
      </w:r>
      <w:r>
        <w:rPr>
          <w:rFonts w:ascii="仿宋_GB2312" w:eastAsia="仿宋_GB2312" w:hint="eastAsia"/>
          <w:sz w:val="32"/>
          <w:szCs w:val="32"/>
        </w:rPr>
        <w:t>数据</w:t>
      </w:r>
      <w:r>
        <w:rPr>
          <w:rFonts w:ascii="仿宋_GB2312" w:eastAsia="仿宋_GB2312"/>
          <w:sz w:val="32"/>
          <w:szCs w:val="32"/>
        </w:rPr>
        <w:t>安全需要协同发展</w:t>
      </w:r>
      <w:r>
        <w:rPr>
          <w:rFonts w:ascii="仿宋_GB2312" w:eastAsia="仿宋_GB2312" w:hint="eastAsia"/>
          <w:sz w:val="32"/>
          <w:szCs w:val="32"/>
        </w:rPr>
        <w:t>，开展脱敏控制相关的标注制定，</w:t>
      </w:r>
      <w:r>
        <w:rPr>
          <w:rFonts w:ascii="仿宋_GB2312" w:eastAsia="仿宋_GB2312"/>
          <w:sz w:val="32"/>
          <w:szCs w:val="32"/>
        </w:rPr>
        <w:t>对于</w:t>
      </w:r>
      <w:r>
        <w:rPr>
          <w:rFonts w:ascii="仿宋_GB2312" w:eastAsia="仿宋_GB2312" w:hint="eastAsia"/>
          <w:sz w:val="32"/>
          <w:szCs w:val="32"/>
        </w:rPr>
        <w:t>确保数据的合规跨域流通至关重要。通过</w:t>
      </w:r>
      <w:r>
        <w:rPr>
          <w:rFonts w:ascii="仿宋_GB2312" w:eastAsia="仿宋_GB2312" w:hint="eastAsia"/>
          <w:sz w:val="32"/>
          <w:szCs w:val="32"/>
        </w:rPr>
        <w:lastRenderedPageBreak/>
        <w:t>制定脱敏控制相关标准，将</w:t>
      </w:r>
      <w:r>
        <w:rPr>
          <w:rFonts w:ascii="仿宋_GB2312" w:eastAsia="仿宋_GB2312"/>
          <w:sz w:val="32"/>
          <w:szCs w:val="32"/>
        </w:rPr>
        <w:t>有助于全面</w:t>
      </w:r>
      <w:r>
        <w:rPr>
          <w:rFonts w:ascii="仿宋_GB2312" w:eastAsia="仿宋_GB2312" w:hint="eastAsia"/>
          <w:sz w:val="32"/>
          <w:szCs w:val="32"/>
        </w:rPr>
        <w:t>梳理信息跨域流通共享过程中存</w:t>
      </w:r>
      <w:r>
        <w:rPr>
          <w:rFonts w:ascii="仿宋_GB2312" w:eastAsia="仿宋_GB2312"/>
          <w:sz w:val="32"/>
          <w:szCs w:val="32"/>
        </w:rPr>
        <w:t>在的问题，进而</w:t>
      </w:r>
      <w:r>
        <w:rPr>
          <w:rFonts w:ascii="仿宋_GB2312" w:eastAsia="仿宋_GB2312" w:hint="eastAsia"/>
          <w:sz w:val="32"/>
          <w:szCs w:val="32"/>
        </w:rPr>
        <w:t>针对个人信息控制者提出技术要求</w:t>
      </w:r>
      <w:r>
        <w:rPr>
          <w:rFonts w:ascii="仿宋_GB2312" w:eastAsia="仿宋_GB2312"/>
          <w:sz w:val="32"/>
          <w:szCs w:val="32"/>
        </w:rPr>
        <w:t>，推动</w:t>
      </w:r>
      <w:r>
        <w:rPr>
          <w:rFonts w:ascii="仿宋_GB2312" w:eastAsia="仿宋_GB2312" w:hint="eastAsia"/>
          <w:sz w:val="32"/>
          <w:szCs w:val="32"/>
        </w:rPr>
        <w:t>数据要素流通机制与个人信息权益保障技术体</w:t>
      </w:r>
      <w:r>
        <w:rPr>
          <w:rFonts w:ascii="仿宋_GB2312" w:eastAsia="仿宋_GB2312"/>
          <w:sz w:val="32"/>
          <w:szCs w:val="32"/>
        </w:rPr>
        <w:t>系</w:t>
      </w:r>
      <w:r>
        <w:rPr>
          <w:rFonts w:ascii="仿宋_GB2312" w:eastAsia="仿宋_GB2312" w:hint="eastAsia"/>
          <w:sz w:val="32"/>
          <w:szCs w:val="32"/>
        </w:rPr>
        <w:t>的</w:t>
      </w:r>
      <w:r>
        <w:rPr>
          <w:rFonts w:ascii="仿宋_GB2312" w:eastAsia="仿宋_GB2312"/>
          <w:sz w:val="32"/>
          <w:szCs w:val="32"/>
        </w:rPr>
        <w:t>协同发展。</w:t>
      </w:r>
      <w:r>
        <w:rPr>
          <w:rFonts w:ascii="仿宋_GB2312" w:eastAsia="仿宋_GB2312" w:hint="eastAsia"/>
          <w:sz w:val="32"/>
          <w:szCs w:val="32"/>
        </w:rPr>
        <w:t>尤其在我国全面</w:t>
      </w:r>
      <w:r>
        <w:rPr>
          <w:rFonts w:ascii="仿宋_GB2312" w:eastAsia="仿宋_GB2312"/>
          <w:sz w:val="32"/>
          <w:szCs w:val="32"/>
        </w:rPr>
        <w:t>加速建设数据基础制度</w:t>
      </w:r>
      <w:r>
        <w:rPr>
          <w:rFonts w:ascii="仿宋_GB2312" w:eastAsia="仿宋_GB2312" w:hint="eastAsia"/>
          <w:sz w:val="32"/>
          <w:szCs w:val="32"/>
        </w:rPr>
        <w:t>过程中，</w:t>
      </w:r>
      <w:r>
        <w:rPr>
          <w:rFonts w:ascii="仿宋_GB2312" w:eastAsia="仿宋_GB2312"/>
          <w:sz w:val="32"/>
          <w:szCs w:val="32"/>
        </w:rPr>
        <w:t>这项工作是非常重要和必不可少的</w:t>
      </w:r>
      <w:r>
        <w:rPr>
          <w:rFonts w:ascii="仿宋_GB2312" w:eastAsia="仿宋_GB2312" w:hint="eastAsia"/>
          <w:sz w:val="32"/>
          <w:szCs w:val="32"/>
        </w:rPr>
        <w:t>。其中，</w:t>
      </w:r>
      <w:r>
        <w:rPr>
          <w:rFonts w:ascii="仿宋_GB2312" w:eastAsia="仿宋_GB2312"/>
          <w:sz w:val="32"/>
          <w:szCs w:val="32"/>
        </w:rPr>
        <w:t>脱敏控制技术要求</w:t>
      </w:r>
      <w:r>
        <w:rPr>
          <w:rFonts w:ascii="仿宋_GB2312" w:eastAsia="仿宋_GB2312" w:hint="eastAsia"/>
          <w:sz w:val="32"/>
          <w:szCs w:val="32"/>
        </w:rPr>
        <w:t>的关键作用在于：</w:t>
      </w:r>
    </w:p>
    <w:p w14:paraId="7E78A3E3" w14:textId="1C96663B" w:rsidR="0077150B" w:rsidRDefault="00E90348">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、业界</w:t>
      </w:r>
      <w:r>
        <w:rPr>
          <w:rFonts w:ascii="仿宋_GB2312" w:eastAsia="仿宋_GB2312"/>
          <w:sz w:val="32"/>
          <w:szCs w:val="32"/>
        </w:rPr>
        <w:t>亟需</w:t>
      </w:r>
      <w:r>
        <w:rPr>
          <w:rFonts w:ascii="仿宋_GB2312" w:eastAsia="仿宋_GB2312" w:hint="eastAsia"/>
          <w:sz w:val="32"/>
          <w:szCs w:val="32"/>
        </w:rPr>
        <w:t>面向数据要素流通场景下的脱敏控制技术框架，以便支撑隐私保护合规产品的开发</w:t>
      </w:r>
      <w:r>
        <w:rPr>
          <w:rFonts w:ascii="仿宋_GB2312" w:eastAsia="仿宋_GB2312"/>
          <w:sz w:val="32"/>
          <w:szCs w:val="32"/>
        </w:rPr>
        <w:t>。</w:t>
      </w:r>
    </w:p>
    <w:p w14:paraId="753425A3" w14:textId="0E3E450F" w:rsidR="0077150B" w:rsidRDefault="00E90348">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、业界</w:t>
      </w:r>
      <w:r>
        <w:rPr>
          <w:rFonts w:ascii="仿宋_GB2312" w:eastAsia="仿宋_GB2312"/>
          <w:sz w:val="32"/>
          <w:szCs w:val="32"/>
        </w:rPr>
        <w:t>缺乏</w:t>
      </w:r>
      <w:r>
        <w:rPr>
          <w:rFonts w:ascii="仿宋_GB2312" w:eastAsia="仿宋_GB2312" w:hint="eastAsia"/>
          <w:sz w:val="32"/>
          <w:szCs w:val="32"/>
        </w:rPr>
        <w:t>对脱敏控制技术的全面了解，</w:t>
      </w:r>
      <w:r>
        <w:rPr>
          <w:rFonts w:ascii="仿宋_GB2312" w:eastAsia="仿宋_GB2312"/>
          <w:sz w:val="32"/>
          <w:szCs w:val="32"/>
        </w:rPr>
        <w:t>导致</w:t>
      </w:r>
      <w:r>
        <w:rPr>
          <w:rFonts w:ascii="仿宋_GB2312" w:eastAsia="仿宋_GB2312" w:hint="eastAsia"/>
          <w:sz w:val="32"/>
          <w:szCs w:val="32"/>
        </w:rPr>
        <w:t>数据要素流通过程中，因为短板效应引发的隐私泄露问题。</w:t>
      </w:r>
    </w:p>
    <w:p w14:paraId="6C94C6E3" w14:textId="49F231AF" w:rsidR="0077150B" w:rsidRDefault="00E90348">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、脱敏控制技术要求的制定，有助于提升个人信息权益保障能力，防范数据泄露和滥用对个人合法权益的侵犯。</w:t>
      </w:r>
    </w:p>
    <w:p w14:paraId="229EE93A" w14:textId="00A9484E" w:rsidR="0077150B" w:rsidRDefault="00E90348">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Pr>
          <w:rFonts w:ascii="仿宋_GB2312" w:eastAsia="仿宋_GB2312"/>
          <w:sz w:val="32"/>
          <w:szCs w:val="32"/>
        </w:rPr>
        <w:t>主管</w:t>
      </w:r>
      <w:r>
        <w:rPr>
          <w:rFonts w:ascii="仿宋_GB2312" w:eastAsia="仿宋_GB2312" w:hint="eastAsia"/>
          <w:sz w:val="32"/>
          <w:szCs w:val="32"/>
        </w:rPr>
        <w:t>监管</w:t>
      </w:r>
      <w:r>
        <w:rPr>
          <w:rFonts w:ascii="仿宋_GB2312" w:eastAsia="仿宋_GB2312"/>
          <w:sz w:val="32"/>
          <w:szCs w:val="32"/>
        </w:rPr>
        <w:t>部门在了解</w:t>
      </w:r>
      <w:r>
        <w:rPr>
          <w:rFonts w:ascii="仿宋_GB2312" w:eastAsia="仿宋_GB2312" w:hint="eastAsia"/>
          <w:sz w:val="32"/>
          <w:szCs w:val="32"/>
        </w:rPr>
        <w:t>数据要素流通场景下脱敏操作</w:t>
      </w:r>
      <w:r>
        <w:rPr>
          <w:rFonts w:ascii="仿宋_GB2312" w:eastAsia="仿宋_GB2312"/>
          <w:sz w:val="32"/>
          <w:szCs w:val="32"/>
        </w:rPr>
        <w:t>方面的抓手不够成熟</w:t>
      </w:r>
      <w:r>
        <w:rPr>
          <w:rFonts w:ascii="仿宋_GB2312" w:eastAsia="仿宋_GB2312" w:hint="eastAsia"/>
          <w:sz w:val="32"/>
          <w:szCs w:val="32"/>
        </w:rPr>
        <w:t>，</w:t>
      </w:r>
      <w:r>
        <w:rPr>
          <w:rFonts w:ascii="仿宋_GB2312" w:eastAsia="仿宋_GB2312"/>
          <w:sz w:val="32"/>
          <w:szCs w:val="32"/>
        </w:rPr>
        <w:t>无法支撑相关决策的制</w:t>
      </w:r>
      <w:r>
        <w:rPr>
          <w:rFonts w:ascii="仿宋_GB2312" w:eastAsia="仿宋_GB2312" w:hint="eastAsia"/>
          <w:sz w:val="32"/>
          <w:szCs w:val="32"/>
        </w:rPr>
        <w:t>定</w:t>
      </w:r>
      <w:r>
        <w:rPr>
          <w:rFonts w:ascii="仿宋_GB2312" w:eastAsia="仿宋_GB2312"/>
          <w:sz w:val="32"/>
          <w:szCs w:val="32"/>
        </w:rPr>
        <w:t>。</w:t>
      </w:r>
    </w:p>
    <w:p w14:paraId="45662C2A" w14:textId="04F8EF74" w:rsidR="0077150B" w:rsidRDefault="00E90348">
      <w:pPr>
        <w:ind w:firstLineChars="200" w:firstLine="640"/>
        <w:rPr>
          <w:rFonts w:ascii="仿宋_GB2312" w:eastAsia="仿宋_GB2312"/>
          <w:sz w:val="32"/>
          <w:szCs w:val="32"/>
        </w:rPr>
      </w:pPr>
      <w:r>
        <w:rPr>
          <w:rFonts w:ascii="仿宋_GB2312" w:eastAsia="仿宋_GB2312" w:hint="eastAsia"/>
          <w:sz w:val="32"/>
          <w:szCs w:val="32"/>
        </w:rPr>
        <w:t>5、世界范围内缺乏一套统一的规范化的脱敏控制流程，以促进国际间数据安全技术的交流与合作。</w:t>
      </w:r>
    </w:p>
    <w:p w14:paraId="7BB915C8" w14:textId="77777777" w:rsidR="0077150B" w:rsidRDefault="00E90348">
      <w:pPr>
        <w:numPr>
          <w:ilvl w:val="0"/>
          <w:numId w:val="1"/>
        </w:numPr>
        <w:spacing w:beforeLines="50" w:before="156" w:line="348" w:lineRule="auto"/>
        <w:ind w:left="0" w:right="96" w:firstLine="0"/>
        <w:rPr>
          <w:rFonts w:ascii="黑体" w:eastAsia="黑体"/>
          <w:b/>
          <w:bCs/>
          <w:sz w:val="32"/>
          <w:szCs w:val="32"/>
        </w:rPr>
      </w:pPr>
      <w:r>
        <w:rPr>
          <w:rFonts w:ascii="黑体" w:eastAsia="黑体" w:hint="eastAsia"/>
          <w:b/>
          <w:bCs/>
          <w:sz w:val="32"/>
          <w:szCs w:val="32"/>
        </w:rPr>
        <w:t>任务来源</w:t>
      </w:r>
    </w:p>
    <w:p w14:paraId="6440FA57" w14:textId="29AB4FE1" w:rsidR="0077150B" w:rsidRDefault="00E90348">
      <w:pPr>
        <w:ind w:firstLineChars="200" w:firstLine="640"/>
        <w:rPr>
          <w:rFonts w:ascii="仿宋_GB2312" w:eastAsia="仿宋_GB2312"/>
          <w:sz w:val="32"/>
          <w:szCs w:val="32"/>
        </w:rPr>
      </w:pPr>
      <w:r>
        <w:rPr>
          <w:rFonts w:ascii="仿宋_GB2312" w:eastAsia="仿宋_GB2312" w:hint="eastAsia"/>
          <w:sz w:val="32"/>
          <w:szCs w:val="32"/>
        </w:rPr>
        <w:t>在当前我国个人信息权益保障技术体系建设过程中，虽然存在一些与脱敏相关的标准，但这些标准的关注点各异。例如：单一数据域内的脱敏流程规范化问题、脱敏算法能力评估问题、脱敏算法脱敏效果评估问题以及行业性的脱敏流程规范化等。既有</w:t>
      </w:r>
      <w:r>
        <w:rPr>
          <w:rFonts w:ascii="仿宋_GB2312" w:eastAsia="仿宋_GB2312"/>
          <w:sz w:val="32"/>
          <w:szCs w:val="32"/>
        </w:rPr>
        <w:t>标准在一定程度上促进了</w:t>
      </w:r>
      <w:r>
        <w:rPr>
          <w:rFonts w:ascii="仿宋_GB2312" w:eastAsia="仿宋_GB2312" w:hint="eastAsia"/>
          <w:sz w:val="32"/>
          <w:szCs w:val="32"/>
        </w:rPr>
        <w:t>脱敏技术标准化</w:t>
      </w:r>
      <w:r>
        <w:rPr>
          <w:rFonts w:ascii="仿宋_GB2312" w:eastAsia="仿宋_GB2312" w:hint="eastAsia"/>
          <w:sz w:val="32"/>
          <w:szCs w:val="32"/>
        </w:rPr>
        <w:lastRenderedPageBreak/>
        <w:t>与规范化</w:t>
      </w:r>
      <w:r>
        <w:rPr>
          <w:rFonts w:ascii="仿宋_GB2312" w:eastAsia="仿宋_GB2312"/>
          <w:sz w:val="32"/>
          <w:szCs w:val="32"/>
        </w:rPr>
        <w:t>，但</w:t>
      </w:r>
      <w:r>
        <w:rPr>
          <w:rFonts w:ascii="仿宋_GB2312" w:eastAsia="仿宋_GB2312" w:hint="eastAsia"/>
          <w:sz w:val="32"/>
          <w:szCs w:val="32"/>
        </w:rPr>
        <w:t>无法有效针对</w:t>
      </w:r>
      <w:r>
        <w:rPr>
          <w:rFonts w:ascii="仿宋_GB2312" w:eastAsia="仿宋_GB2312"/>
          <w:sz w:val="32"/>
          <w:szCs w:val="32"/>
        </w:rPr>
        <w:t>数据</w:t>
      </w:r>
      <w:r>
        <w:rPr>
          <w:rFonts w:ascii="仿宋_GB2312" w:eastAsia="仿宋_GB2312" w:hint="eastAsia"/>
          <w:sz w:val="32"/>
          <w:szCs w:val="32"/>
        </w:rPr>
        <w:t>要素</w:t>
      </w:r>
      <w:r>
        <w:rPr>
          <w:rFonts w:ascii="仿宋_GB2312" w:eastAsia="仿宋_GB2312"/>
          <w:sz w:val="32"/>
          <w:szCs w:val="32"/>
        </w:rPr>
        <w:t>跨域流通</w:t>
      </w:r>
      <w:r>
        <w:rPr>
          <w:rFonts w:ascii="仿宋_GB2312" w:eastAsia="仿宋_GB2312" w:hint="eastAsia"/>
          <w:sz w:val="32"/>
          <w:szCs w:val="32"/>
        </w:rPr>
        <w:t>场景下的个人信息保护问题</w:t>
      </w:r>
      <w:r>
        <w:rPr>
          <w:rFonts w:ascii="仿宋_GB2312" w:eastAsia="仿宋_GB2312"/>
          <w:sz w:val="32"/>
          <w:szCs w:val="32"/>
        </w:rPr>
        <w:t>。</w:t>
      </w:r>
    </w:p>
    <w:p w14:paraId="2BD0C448" w14:textId="77777777" w:rsidR="0077150B" w:rsidRDefault="00E90348">
      <w:pPr>
        <w:ind w:firstLineChars="200" w:firstLine="640"/>
        <w:rPr>
          <w:rFonts w:ascii="仿宋_GB2312" w:eastAsia="仿宋_GB2312"/>
          <w:sz w:val="32"/>
          <w:szCs w:val="32"/>
        </w:rPr>
      </w:pPr>
      <w:r>
        <w:rPr>
          <w:rFonts w:ascii="仿宋_GB2312" w:eastAsia="仿宋_GB2312" w:hint="eastAsia"/>
          <w:sz w:val="32"/>
          <w:szCs w:val="32"/>
        </w:rPr>
        <w:t>在当前全球化和数字化的经济环境中，数据的跨域流通成为了推动商业和技术创新的关键动力。对于个人信息控制者而言，充分利用各型业务流程中采集的个人数据，已经成为提升服务效率、优化资源配置、增强客户满意度的重要手段。然而，这一过程中对用户数据的收集、处理和分析必须建立在严格遵守法律法规、保护信息安全和数据安全的基础之上。</w:t>
      </w:r>
    </w:p>
    <w:p w14:paraId="0306CE7C" w14:textId="77777777" w:rsidR="0077150B" w:rsidRDefault="00E90348">
      <w:pPr>
        <w:ind w:firstLineChars="200" w:firstLine="640"/>
        <w:rPr>
          <w:rFonts w:ascii="仿宋_GB2312" w:eastAsia="仿宋_GB2312"/>
          <w:sz w:val="32"/>
          <w:szCs w:val="32"/>
        </w:rPr>
      </w:pPr>
      <w:r>
        <w:rPr>
          <w:rFonts w:ascii="仿宋_GB2312" w:eastAsia="仿宋_GB2312" w:hint="eastAsia"/>
          <w:sz w:val="32"/>
          <w:szCs w:val="32"/>
        </w:rPr>
        <w:t>目前，国内外尚未制定出数据跨域流通场景下个人信息控制者应遵循的脱敏控制技术标准。这一空缺不仅限制了各行业数据利用和服务创新方面的潜力，也增加了各行业在处理跨域数据时面临的合规风险。因此，作为隐私计算技术体系的重要组成部分，制定一套脱敏控制技术标准，特别是从数据要素跨域流通的角度出发，对于个人控制者合规地收集、使用和保护用户数据，促进数据安全和个人信息保护，具有重要意义。</w:t>
      </w:r>
    </w:p>
    <w:p w14:paraId="2D57D388" w14:textId="58DA707D" w:rsidR="0077150B" w:rsidRPr="00941403" w:rsidRDefault="00E90348" w:rsidP="00941403">
      <w:pPr>
        <w:numPr>
          <w:ilvl w:val="0"/>
          <w:numId w:val="1"/>
        </w:numPr>
        <w:spacing w:beforeLines="50" w:before="156" w:line="348" w:lineRule="auto"/>
        <w:ind w:left="0" w:right="96" w:firstLine="0"/>
        <w:rPr>
          <w:rFonts w:ascii="黑体" w:eastAsia="黑体"/>
          <w:b/>
          <w:bCs/>
          <w:sz w:val="32"/>
          <w:szCs w:val="32"/>
        </w:rPr>
      </w:pPr>
      <w:r>
        <w:rPr>
          <w:rFonts w:ascii="黑体" w:eastAsia="黑体" w:hint="eastAsia"/>
          <w:b/>
          <w:bCs/>
          <w:sz w:val="32"/>
          <w:szCs w:val="32"/>
        </w:rPr>
        <w:t>编制过程</w:t>
      </w:r>
    </w:p>
    <w:p w14:paraId="4C04ED8D" w14:textId="0E75864D" w:rsidR="00941403" w:rsidRPr="00152961" w:rsidRDefault="00941403" w:rsidP="00941403">
      <w:pPr>
        <w:spacing w:line="348" w:lineRule="auto"/>
        <w:ind w:right="96" w:firstLineChars="200" w:firstLine="640"/>
        <w:rPr>
          <w:rFonts w:ascii="仿宋_GB2312" w:eastAsia="仿宋_GB2312" w:hAnsiTheme="minorHAnsi"/>
          <w:sz w:val="32"/>
          <w:szCs w:val="32"/>
          <w:lang w:eastAsia="zh-Hans"/>
        </w:rPr>
      </w:pPr>
      <w:r>
        <w:rPr>
          <w:rFonts w:ascii="仿宋_GB2312" w:eastAsia="仿宋_GB2312" w:hint="eastAsia"/>
          <w:sz w:val="32"/>
          <w:szCs w:val="32"/>
        </w:rPr>
        <w:t>1</w:t>
      </w:r>
      <w:r w:rsidR="00152961">
        <w:rPr>
          <w:rFonts w:ascii="仿宋_GB2312" w:eastAsia="仿宋_GB2312" w:hint="eastAsia"/>
          <w:sz w:val="32"/>
          <w:szCs w:val="32"/>
        </w:rPr>
        <w:t>）</w:t>
      </w:r>
      <w:r w:rsidRPr="00152961">
        <w:rPr>
          <w:rFonts w:ascii="仿宋_GB2312" w:eastAsia="仿宋_GB2312" w:hAnsiTheme="minorHAnsi" w:hint="eastAsia"/>
          <w:sz w:val="32"/>
          <w:szCs w:val="32"/>
          <w:lang w:eastAsia="zh-Hans"/>
        </w:rPr>
        <w:t>2023年3月2日，规范研制正式启动会。标准牵头单位对前期的研究工作进行了汇报。确定了标准的研究思路和分工。</w:t>
      </w:r>
    </w:p>
    <w:p w14:paraId="741A1183" w14:textId="222903BB" w:rsidR="00941403" w:rsidRPr="00152961" w:rsidRDefault="00941403" w:rsidP="00941403">
      <w:pPr>
        <w:spacing w:line="348" w:lineRule="auto"/>
        <w:ind w:right="96" w:firstLineChars="200" w:firstLine="640"/>
        <w:rPr>
          <w:rFonts w:ascii="仿宋_GB2312" w:eastAsia="仿宋_GB2312" w:hAnsiTheme="minorHAnsi"/>
          <w:sz w:val="32"/>
          <w:szCs w:val="32"/>
          <w:lang w:eastAsia="zh-Hans"/>
        </w:rPr>
      </w:pPr>
      <w:r w:rsidRPr="00152961">
        <w:rPr>
          <w:rFonts w:ascii="仿宋_GB2312" w:eastAsia="仿宋_GB2312" w:hAnsiTheme="minorHAnsi" w:hint="eastAsia"/>
          <w:sz w:val="32"/>
          <w:szCs w:val="32"/>
          <w:lang w:eastAsia="zh-Hans"/>
        </w:rPr>
        <w:t>2</w:t>
      </w:r>
      <w:r w:rsidR="00152961">
        <w:rPr>
          <w:rFonts w:ascii="仿宋_GB2312" w:eastAsia="仿宋_GB2312" w:hAnsiTheme="minorHAnsi" w:hint="eastAsia"/>
          <w:sz w:val="32"/>
          <w:szCs w:val="32"/>
          <w:lang w:eastAsia="zh-Hans"/>
        </w:rPr>
        <w:t>）</w:t>
      </w:r>
      <w:r w:rsidRPr="00152961">
        <w:rPr>
          <w:rFonts w:ascii="仿宋_GB2312" w:eastAsia="仿宋_GB2312" w:hAnsiTheme="minorHAnsi" w:hint="eastAsia"/>
          <w:sz w:val="32"/>
          <w:szCs w:val="32"/>
          <w:lang w:eastAsia="zh-Hans"/>
        </w:rPr>
        <w:t>2023年3月29日，提交项目立项申请书。</w:t>
      </w:r>
    </w:p>
    <w:p w14:paraId="271EBFE2" w14:textId="5CA54859" w:rsidR="00941403" w:rsidRPr="00152961" w:rsidRDefault="00941403" w:rsidP="00941403">
      <w:pPr>
        <w:spacing w:line="348" w:lineRule="auto"/>
        <w:ind w:right="96" w:firstLineChars="200" w:firstLine="640"/>
        <w:rPr>
          <w:rFonts w:ascii="仿宋_GB2312" w:eastAsia="仿宋_GB2312" w:hAnsiTheme="minorHAnsi"/>
          <w:sz w:val="32"/>
          <w:szCs w:val="32"/>
          <w:lang w:eastAsia="zh-Hans"/>
        </w:rPr>
      </w:pPr>
      <w:r w:rsidRPr="00152961">
        <w:rPr>
          <w:rFonts w:ascii="仿宋_GB2312" w:eastAsia="仿宋_GB2312" w:hAnsiTheme="minorHAnsi" w:hint="eastAsia"/>
          <w:sz w:val="32"/>
          <w:szCs w:val="32"/>
          <w:lang w:eastAsia="zh-Hans"/>
        </w:rPr>
        <w:lastRenderedPageBreak/>
        <w:t>3</w:t>
      </w:r>
      <w:r w:rsidR="00152961">
        <w:rPr>
          <w:rFonts w:ascii="仿宋_GB2312" w:eastAsia="仿宋_GB2312" w:hAnsiTheme="minorHAnsi" w:hint="eastAsia"/>
          <w:sz w:val="32"/>
          <w:szCs w:val="32"/>
          <w:lang w:eastAsia="zh-Hans"/>
        </w:rPr>
        <w:t>）</w:t>
      </w:r>
      <w:r w:rsidRPr="00152961">
        <w:rPr>
          <w:rFonts w:ascii="仿宋_GB2312" w:eastAsia="仿宋_GB2312" w:hAnsiTheme="minorHAnsi" w:hint="eastAsia"/>
          <w:sz w:val="32"/>
          <w:szCs w:val="32"/>
          <w:lang w:eastAsia="zh-Hans"/>
        </w:rPr>
        <w:t>2023年4月3日至2023年5月20日，期间进行了多次标准工作组内部讨论，并针对标准大体框架与内容方向进行了修改与调整，形成第一版标准草案。</w:t>
      </w:r>
    </w:p>
    <w:p w14:paraId="61B40D27" w14:textId="7F8C06EF" w:rsidR="00941403" w:rsidRPr="00152961" w:rsidRDefault="00941403" w:rsidP="00941403">
      <w:pPr>
        <w:spacing w:line="348" w:lineRule="auto"/>
        <w:ind w:right="96" w:firstLineChars="200" w:firstLine="640"/>
        <w:rPr>
          <w:rFonts w:ascii="仿宋_GB2312" w:eastAsia="仿宋_GB2312" w:hAnsiTheme="minorHAnsi"/>
          <w:sz w:val="32"/>
          <w:szCs w:val="32"/>
          <w:lang w:eastAsia="zh-Hans"/>
        </w:rPr>
      </w:pPr>
      <w:r w:rsidRPr="00152961">
        <w:rPr>
          <w:rFonts w:ascii="仿宋_GB2312" w:eastAsia="仿宋_GB2312" w:hAnsiTheme="minorHAnsi" w:hint="eastAsia"/>
          <w:sz w:val="32"/>
          <w:szCs w:val="32"/>
          <w:lang w:eastAsia="zh-Hans"/>
        </w:rPr>
        <w:t>4</w:t>
      </w:r>
      <w:r w:rsidR="00152961">
        <w:rPr>
          <w:rFonts w:ascii="仿宋_GB2312" w:eastAsia="仿宋_GB2312" w:hAnsiTheme="minorHAnsi" w:hint="eastAsia"/>
          <w:sz w:val="32"/>
          <w:szCs w:val="32"/>
          <w:lang w:eastAsia="zh-Hans"/>
        </w:rPr>
        <w:t>）</w:t>
      </w:r>
      <w:r w:rsidRPr="00152961">
        <w:rPr>
          <w:rFonts w:ascii="仿宋_GB2312" w:eastAsia="仿宋_GB2312" w:hAnsiTheme="minorHAnsi" w:hint="eastAsia"/>
          <w:sz w:val="32"/>
          <w:szCs w:val="32"/>
          <w:lang w:eastAsia="zh-Hans"/>
        </w:rPr>
        <w:t>2023年5月25日，召开立项评审会，邀请专家对草案给出建议。</w:t>
      </w:r>
    </w:p>
    <w:p w14:paraId="53697905" w14:textId="3B7ED216" w:rsidR="00941403" w:rsidRPr="00152961" w:rsidRDefault="00941403" w:rsidP="00941403">
      <w:pPr>
        <w:spacing w:line="348" w:lineRule="auto"/>
        <w:ind w:right="96" w:firstLineChars="200" w:firstLine="640"/>
        <w:rPr>
          <w:rFonts w:ascii="仿宋_GB2312" w:eastAsia="仿宋_GB2312" w:hAnsiTheme="minorHAnsi"/>
          <w:sz w:val="32"/>
          <w:szCs w:val="32"/>
          <w:lang w:eastAsia="zh-Hans"/>
        </w:rPr>
      </w:pPr>
      <w:r w:rsidRPr="00152961">
        <w:rPr>
          <w:rFonts w:ascii="仿宋_GB2312" w:eastAsia="仿宋_GB2312" w:hAnsiTheme="minorHAnsi" w:hint="eastAsia"/>
          <w:sz w:val="32"/>
          <w:szCs w:val="32"/>
          <w:lang w:eastAsia="zh-Hans"/>
        </w:rPr>
        <w:t>5</w:t>
      </w:r>
      <w:r w:rsidR="00152961">
        <w:rPr>
          <w:rFonts w:ascii="仿宋_GB2312" w:eastAsia="仿宋_GB2312" w:hAnsiTheme="minorHAnsi" w:hint="eastAsia"/>
          <w:sz w:val="32"/>
          <w:szCs w:val="32"/>
          <w:lang w:eastAsia="zh-Hans"/>
        </w:rPr>
        <w:t>）</w:t>
      </w:r>
      <w:r w:rsidRPr="00152961">
        <w:rPr>
          <w:rFonts w:ascii="仿宋_GB2312" w:eastAsia="仿宋_GB2312" w:hAnsiTheme="minorHAnsi" w:hint="eastAsia"/>
          <w:sz w:val="32"/>
          <w:szCs w:val="32"/>
          <w:lang w:eastAsia="zh-Hans"/>
        </w:rPr>
        <w:t>2023年7月10日至2023年12月10日，期间进行了多次标准工作组内部讨论，针对标准内容进行了细节的修改与调整。</w:t>
      </w:r>
    </w:p>
    <w:p w14:paraId="10548538" w14:textId="57CF5676" w:rsidR="00941403" w:rsidRPr="00152961" w:rsidRDefault="00941403" w:rsidP="00941403">
      <w:pPr>
        <w:spacing w:line="348" w:lineRule="auto"/>
        <w:ind w:right="96" w:firstLineChars="200" w:firstLine="640"/>
        <w:rPr>
          <w:rFonts w:ascii="仿宋_GB2312" w:eastAsia="仿宋_GB2312" w:hAnsiTheme="minorHAnsi"/>
          <w:sz w:val="32"/>
          <w:szCs w:val="32"/>
          <w:lang w:eastAsia="zh-Hans"/>
        </w:rPr>
      </w:pPr>
      <w:r w:rsidRPr="00152961">
        <w:rPr>
          <w:rFonts w:ascii="仿宋_GB2312" w:eastAsia="仿宋_GB2312" w:hAnsiTheme="minorHAnsi" w:hint="eastAsia"/>
          <w:sz w:val="32"/>
          <w:szCs w:val="32"/>
          <w:lang w:eastAsia="zh-Hans"/>
        </w:rPr>
        <w:t>6</w:t>
      </w:r>
      <w:r w:rsidR="00152961">
        <w:rPr>
          <w:rFonts w:ascii="仿宋_GB2312" w:eastAsia="仿宋_GB2312" w:hAnsiTheme="minorHAnsi" w:hint="eastAsia"/>
          <w:sz w:val="32"/>
          <w:szCs w:val="32"/>
          <w:lang w:eastAsia="zh-Hans"/>
        </w:rPr>
        <w:t>）</w:t>
      </w:r>
      <w:r w:rsidRPr="00152961">
        <w:rPr>
          <w:rFonts w:ascii="仿宋_GB2312" w:eastAsia="仿宋_GB2312" w:hAnsiTheme="minorHAnsi" w:hint="eastAsia"/>
          <w:sz w:val="32"/>
          <w:szCs w:val="32"/>
          <w:lang w:eastAsia="zh-Hans"/>
        </w:rPr>
        <w:t>2023年12月16日，形成第二版标准草案，并召集了标准草案的内部闭门研讨会。</w:t>
      </w:r>
    </w:p>
    <w:p w14:paraId="439E7220" w14:textId="77777777" w:rsidR="00F02B94" w:rsidRDefault="00F02B94" w:rsidP="00F02B94">
      <w:pPr>
        <w:spacing w:line="348" w:lineRule="auto"/>
        <w:ind w:right="96"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ab/>
        <w:t>2024年1月30日，继续完善标准草稿，形成第三版。</w:t>
      </w:r>
    </w:p>
    <w:p w14:paraId="308D1C94" w14:textId="77777777" w:rsidR="00F02B94" w:rsidRDefault="00F02B94" w:rsidP="00F02B94">
      <w:pPr>
        <w:spacing w:line="348" w:lineRule="auto"/>
        <w:ind w:right="96" w:firstLineChars="200" w:firstLine="640"/>
        <w:rPr>
          <w:rFonts w:ascii="仿宋_GB2312" w:eastAsia="仿宋_GB2312" w:hint="eastAsia"/>
          <w:sz w:val="32"/>
          <w:szCs w:val="32"/>
        </w:rPr>
      </w:pPr>
      <w:r>
        <w:rPr>
          <w:rFonts w:ascii="仿宋_GB2312" w:eastAsia="仿宋_GB2312" w:hint="eastAsia"/>
          <w:sz w:val="32"/>
          <w:szCs w:val="32"/>
        </w:rPr>
        <w:t>8）2024年6月28日，召开专家评审会，邀请专家对修改后的版本进行评审。</w:t>
      </w:r>
    </w:p>
    <w:p w14:paraId="308E2346" w14:textId="77777777" w:rsidR="00F02B94" w:rsidRDefault="00F02B94" w:rsidP="00F02B94">
      <w:pPr>
        <w:spacing w:line="348" w:lineRule="auto"/>
        <w:ind w:right="96" w:firstLineChars="200" w:firstLine="640"/>
        <w:rPr>
          <w:rFonts w:ascii="仿宋_GB2312" w:eastAsia="仿宋_GB2312" w:hint="eastAsia"/>
          <w:sz w:val="32"/>
          <w:szCs w:val="32"/>
        </w:rPr>
      </w:pPr>
      <w:r>
        <w:rPr>
          <w:rFonts w:ascii="仿宋_GB2312" w:eastAsia="仿宋_GB2312" w:hint="eastAsia"/>
          <w:sz w:val="32"/>
          <w:szCs w:val="32"/>
        </w:rPr>
        <w:t>9）2024年8月，形成征求意见稿。</w:t>
      </w:r>
    </w:p>
    <w:p w14:paraId="1D5AD3A3" w14:textId="77777777" w:rsidR="0077150B" w:rsidRDefault="00E90348">
      <w:pPr>
        <w:numPr>
          <w:ilvl w:val="0"/>
          <w:numId w:val="1"/>
        </w:numPr>
        <w:spacing w:beforeLines="50" w:before="156" w:line="348" w:lineRule="auto"/>
        <w:ind w:left="0" w:right="96" w:firstLine="0"/>
        <w:rPr>
          <w:rFonts w:ascii="黑体" w:eastAsia="黑体"/>
          <w:b/>
          <w:bCs/>
          <w:sz w:val="32"/>
          <w:szCs w:val="32"/>
        </w:rPr>
      </w:pPr>
      <w:r>
        <w:rPr>
          <w:rFonts w:ascii="黑体" w:eastAsia="黑体" w:hint="eastAsia"/>
          <w:b/>
          <w:bCs/>
          <w:sz w:val="32"/>
          <w:szCs w:val="32"/>
        </w:rPr>
        <w:t>主要内容技术指标确立</w:t>
      </w:r>
    </w:p>
    <w:p w14:paraId="03970AAA" w14:textId="4AAE978A" w:rsidR="0077150B" w:rsidRDefault="00E90348">
      <w:pPr>
        <w:ind w:firstLineChars="200" w:firstLine="640"/>
        <w:rPr>
          <w:rFonts w:ascii="仿宋_GB2312" w:eastAsia="仿宋_GB2312"/>
          <w:sz w:val="32"/>
          <w:szCs w:val="32"/>
        </w:rPr>
      </w:pPr>
      <w:r>
        <w:rPr>
          <w:rFonts w:ascii="仿宋_GB2312" w:eastAsia="仿宋_GB2312" w:hint="eastAsia"/>
          <w:sz w:val="32"/>
          <w:szCs w:val="32"/>
        </w:rPr>
        <w:t>本标准描述了个人信息流转传播下，隐私信息全生命周期脱敏控制技术要求，规范了脱敏控制合规性验证、违反脱敏控制违规事件处置与通报、脱敏控制监管接口的技术要求等。详情如下：</w:t>
      </w:r>
    </w:p>
    <w:p w14:paraId="5480C74A" w14:textId="77777777" w:rsidR="0077150B" w:rsidRDefault="00E90348">
      <w:pPr>
        <w:ind w:firstLineChars="200" w:firstLine="640"/>
        <w:rPr>
          <w:rFonts w:ascii="仿宋_GB2312" w:eastAsia="仿宋_GB2312"/>
          <w:sz w:val="32"/>
          <w:szCs w:val="32"/>
        </w:rPr>
      </w:pPr>
      <w:r>
        <w:rPr>
          <w:rFonts w:ascii="仿宋_GB2312" w:eastAsia="仿宋_GB2312" w:hint="eastAsia"/>
          <w:sz w:val="32"/>
          <w:szCs w:val="32"/>
        </w:rPr>
        <w:t>1、脱敏控制概述：描述了脱敏控制的目的，应遵循的基本原则以及脱敏控制的流程，主要包括：脱敏意图理解、脱</w:t>
      </w:r>
      <w:r>
        <w:rPr>
          <w:rFonts w:ascii="仿宋_GB2312" w:eastAsia="仿宋_GB2312" w:hint="eastAsia"/>
          <w:sz w:val="32"/>
          <w:szCs w:val="32"/>
        </w:rPr>
        <w:lastRenderedPageBreak/>
        <w:t>敏控制集合生成、脱敏算法选择、脱敏算法执行以及脱敏控制存证。</w:t>
      </w:r>
    </w:p>
    <w:p w14:paraId="6B6A502D" w14:textId="4D9732A7" w:rsidR="0077150B" w:rsidRDefault="00E90348">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、脱敏控制</w:t>
      </w:r>
      <w:r w:rsidR="00332070">
        <w:rPr>
          <w:rFonts w:ascii="仿宋_GB2312" w:eastAsia="仿宋_GB2312" w:hint="eastAsia"/>
          <w:sz w:val="32"/>
          <w:szCs w:val="32"/>
        </w:rPr>
        <w:t>通用</w:t>
      </w:r>
      <w:r>
        <w:rPr>
          <w:rFonts w:ascii="仿宋_GB2312" w:eastAsia="仿宋_GB2312" w:hint="eastAsia"/>
          <w:sz w:val="32"/>
          <w:szCs w:val="32"/>
        </w:rPr>
        <w:t>技术要求</w:t>
      </w:r>
      <w:r>
        <w:rPr>
          <w:rFonts w:ascii="仿宋_GB2312" w:eastAsia="仿宋_GB2312"/>
          <w:sz w:val="32"/>
          <w:szCs w:val="32"/>
        </w:rPr>
        <w:t>：</w:t>
      </w:r>
      <w:r>
        <w:rPr>
          <w:rFonts w:ascii="仿宋_GB2312" w:eastAsia="仿宋_GB2312" w:hint="eastAsia"/>
          <w:sz w:val="32"/>
          <w:szCs w:val="32"/>
        </w:rPr>
        <w:t>针对脱敏控制流程的各个阶段，提出针对性的技术要求。主要包括：脱敏意图理解技术要求、脱敏控制集合生成的技术要求、脱敏算法选择技术要求以及脱敏控制存证技术要求。</w:t>
      </w:r>
      <w:r>
        <w:rPr>
          <w:rFonts w:ascii="仿宋_GB2312" w:eastAsia="仿宋_GB2312"/>
          <w:sz w:val="32"/>
          <w:szCs w:val="32"/>
        </w:rPr>
        <w:t xml:space="preserve"> </w:t>
      </w:r>
    </w:p>
    <w:p w14:paraId="6892B692" w14:textId="583C7186" w:rsidR="0077150B" w:rsidRDefault="00E90348">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、脱敏控制的合规性验证技术要求</w:t>
      </w:r>
      <w:r>
        <w:rPr>
          <w:rFonts w:ascii="仿宋_GB2312" w:eastAsia="仿宋_GB2312"/>
          <w:sz w:val="32"/>
          <w:szCs w:val="32"/>
        </w:rPr>
        <w:t>：</w:t>
      </w:r>
      <w:r>
        <w:rPr>
          <w:rFonts w:ascii="仿宋_GB2312" w:eastAsia="仿宋_GB2312" w:hint="eastAsia"/>
          <w:sz w:val="32"/>
          <w:szCs w:val="32"/>
        </w:rPr>
        <w:t>用以验证个人信息控制者对接收到的信息进行脱敏操作过程中，是否按照预定约束进行了脱敏控制集合生成、脱敏操作以及存证</w:t>
      </w:r>
      <w:r>
        <w:rPr>
          <w:rFonts w:ascii="仿宋_GB2312" w:eastAsia="仿宋_GB2312"/>
          <w:sz w:val="32"/>
          <w:szCs w:val="32"/>
        </w:rPr>
        <w:t>。</w:t>
      </w:r>
    </w:p>
    <w:p w14:paraId="5F72F25A" w14:textId="720E1865" w:rsidR="0077150B" w:rsidRDefault="00E90348">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脱敏控制监管接口技术要求：为了便于对个人信息控制者的脱敏控制过程进行合规监管，个人信息控制者应提供面向主管监管机构的存证接口、通报与处置接口，以便后者对个人信息控制者的操作进行监管、违规通报以及处置</w:t>
      </w:r>
      <w:r>
        <w:rPr>
          <w:rFonts w:ascii="仿宋_GB2312" w:eastAsia="仿宋_GB2312"/>
          <w:sz w:val="32"/>
          <w:szCs w:val="32"/>
        </w:rPr>
        <w:t>。</w:t>
      </w:r>
    </w:p>
    <w:p w14:paraId="3B82955C" w14:textId="77777777" w:rsidR="0077150B" w:rsidRDefault="00E90348">
      <w:pPr>
        <w:ind w:firstLineChars="200" w:firstLine="640"/>
        <w:rPr>
          <w:rFonts w:ascii="仿宋_GB2312" w:eastAsia="仿宋_GB2312"/>
          <w:sz w:val="32"/>
          <w:szCs w:val="32"/>
        </w:rPr>
      </w:pPr>
      <w:r>
        <w:rPr>
          <w:rFonts w:ascii="仿宋_GB2312" w:eastAsia="仿宋_GB2312" w:hint="eastAsia"/>
          <w:sz w:val="32"/>
          <w:szCs w:val="32"/>
        </w:rPr>
        <w:t>本标准适用于规范各类组织在个人信息流转下的个人信息脱敏处理活动，也可为主管监管部门、第三方评估机构等组织，对隐私信息脱敏处理进行监督、管理、评估提供参考。</w:t>
      </w:r>
    </w:p>
    <w:p w14:paraId="1BA8C4F0" w14:textId="66EF2414" w:rsidR="0077150B" w:rsidRPr="008867BC" w:rsidRDefault="00E90348" w:rsidP="008867BC">
      <w:pPr>
        <w:pStyle w:val="af2"/>
        <w:spacing w:line="620" w:lineRule="exact"/>
        <w:ind w:left="640" w:right="125"/>
        <w:rPr>
          <w:rFonts w:ascii="仿宋_GB2312" w:eastAsia="仿宋_GB2312" w:hAnsi="仿宋_GB2312" w:cs="仿宋_GB2312"/>
          <w:kern w:val="2"/>
          <w:sz w:val="32"/>
          <w:szCs w:val="32"/>
          <w:lang w:val="en-US" w:bidi="ar-SA"/>
        </w:rPr>
      </w:pPr>
      <w:r w:rsidRPr="007D2511">
        <w:rPr>
          <w:rFonts w:ascii="仿宋_GB2312" w:eastAsia="仿宋_GB2312" w:hint="eastAsia"/>
          <w:sz w:val="32"/>
          <w:szCs w:val="32"/>
        </w:rPr>
        <w:t>本标准牵头单位为</w:t>
      </w:r>
      <w:r w:rsidR="00872456">
        <w:rPr>
          <w:rFonts w:ascii="仿宋_GB2312" w:eastAsia="仿宋_GB2312" w:hint="eastAsia"/>
          <w:sz w:val="32"/>
          <w:szCs w:val="32"/>
        </w:rPr>
        <w:t>中国科学院信息工程研究所</w:t>
      </w:r>
      <w:r w:rsidRPr="007D2511">
        <w:rPr>
          <w:rFonts w:ascii="仿宋_GB2312" w:eastAsia="仿宋_GB2312" w:hint="eastAsia"/>
          <w:sz w:val="32"/>
          <w:szCs w:val="32"/>
        </w:rPr>
        <w:t>，参加单位包括</w:t>
      </w:r>
      <w:r w:rsidR="008867BC" w:rsidRPr="00624983">
        <w:rPr>
          <w:rFonts w:ascii="仿宋_GB2312" w:eastAsia="仿宋_GB2312" w:hAnsi="仿宋_GB2312" w:cs="仿宋_GB2312"/>
          <w:kern w:val="2"/>
          <w:sz w:val="32"/>
          <w:szCs w:val="32"/>
          <w:lang w:val="en-US" w:bidi="ar-SA"/>
        </w:rPr>
        <w:t>西安电子科技大学、</w:t>
      </w:r>
      <w:r w:rsidR="008867BC" w:rsidRPr="00624983">
        <w:rPr>
          <w:rFonts w:ascii="仿宋_GB2312" w:eastAsia="仿宋_GB2312" w:hAnsi="仿宋_GB2312" w:cs="仿宋_GB2312" w:hint="eastAsia"/>
          <w:sz w:val="32"/>
          <w:szCs w:val="32"/>
          <w:lang w:val="en-US"/>
        </w:rPr>
        <w:t>中国网络安全审查认证和市场监管大数据中心、</w:t>
      </w:r>
      <w:r w:rsidR="008867BC" w:rsidRPr="00624983">
        <w:rPr>
          <w:rFonts w:ascii="仿宋_GB2312" w:eastAsia="仿宋_GB2312" w:hAnsi="仿宋_GB2312" w:cs="仿宋_GB2312" w:hint="eastAsia"/>
          <w:kern w:val="2"/>
          <w:sz w:val="32"/>
          <w:szCs w:val="32"/>
          <w:lang w:val="en-US" w:bidi="ar-SA"/>
        </w:rPr>
        <w:t>电子科技大学</w:t>
      </w:r>
      <w:r w:rsidR="008867BC" w:rsidRPr="00624983">
        <w:rPr>
          <w:rFonts w:ascii="仿宋_GB2312" w:eastAsia="仿宋_GB2312" w:hAnsi="仿宋_GB2312" w:cs="仿宋_GB2312"/>
          <w:kern w:val="2"/>
          <w:sz w:val="32"/>
          <w:szCs w:val="32"/>
          <w:lang w:val="en-US" w:bidi="ar-SA"/>
        </w:rPr>
        <w:t>、国网智能电网研究院有限公司</w:t>
      </w:r>
      <w:r w:rsidR="008867BC" w:rsidRPr="00624983">
        <w:rPr>
          <w:rFonts w:ascii="仿宋_GB2312" w:eastAsia="仿宋_GB2312" w:hAnsi="仿宋_GB2312" w:cs="仿宋_GB2312" w:hint="eastAsia"/>
          <w:kern w:val="2"/>
          <w:sz w:val="32"/>
          <w:szCs w:val="32"/>
          <w:lang w:val="en-US" w:bidi="ar-SA"/>
        </w:rPr>
        <w:t>、北京理工大学、四川昊华锐恒科技有限公司、成都西电网络安全研究院、长春吉大正</w:t>
      </w:r>
      <w:r w:rsidR="008867BC" w:rsidRPr="00624983">
        <w:rPr>
          <w:rFonts w:ascii="仿宋_GB2312" w:eastAsia="仿宋_GB2312" w:hAnsi="仿宋_GB2312" w:cs="仿宋_GB2312" w:hint="eastAsia"/>
          <w:kern w:val="2"/>
          <w:sz w:val="32"/>
          <w:szCs w:val="32"/>
          <w:lang w:val="en-US" w:bidi="ar-SA"/>
        </w:rPr>
        <w:lastRenderedPageBreak/>
        <w:t>元信息技术股份有限公司、普华永道商务咨询</w:t>
      </w:r>
      <w:r w:rsidR="008867BC" w:rsidRPr="00624983">
        <w:rPr>
          <w:rFonts w:ascii="仿宋_GB2312" w:eastAsia="仿宋_GB2312" w:hAnsi="仿宋_GB2312" w:cs="仿宋_GB2312"/>
          <w:kern w:val="2"/>
          <w:sz w:val="32"/>
          <w:szCs w:val="32"/>
          <w:lang w:val="en-US" w:bidi="ar-SA"/>
        </w:rPr>
        <w:t>(上海)有限公司、</w:t>
      </w:r>
      <w:r w:rsidR="008867BC" w:rsidRPr="00624983">
        <w:rPr>
          <w:rFonts w:ascii="仿宋_GB2312" w:eastAsia="仿宋_GB2312" w:hAnsi="仿宋_GB2312" w:cs="仿宋_GB2312" w:hint="eastAsia"/>
          <w:sz w:val="32"/>
          <w:szCs w:val="32"/>
          <w:lang w:val="en-US"/>
        </w:rPr>
        <w:t>北京市计算中心有限公司、</w:t>
      </w:r>
      <w:r w:rsidR="008867BC" w:rsidRPr="00624983">
        <w:rPr>
          <w:rFonts w:ascii="仿宋_GB2312" w:eastAsia="仿宋_GB2312" w:hAnsi="仿宋_GB2312" w:cs="仿宋_GB2312" w:hint="eastAsia"/>
          <w:kern w:val="2"/>
          <w:sz w:val="32"/>
          <w:szCs w:val="32"/>
          <w:lang w:val="en-US" w:bidi="ar-SA"/>
        </w:rPr>
        <w:t>中移</w:t>
      </w:r>
      <w:r w:rsidR="008867BC" w:rsidRPr="00624983">
        <w:rPr>
          <w:rFonts w:ascii="仿宋_GB2312" w:eastAsia="仿宋_GB2312" w:hAnsi="仿宋_GB2312" w:cs="仿宋_GB2312"/>
          <w:kern w:val="2"/>
          <w:sz w:val="32"/>
          <w:szCs w:val="32"/>
          <w:lang w:val="en-US" w:bidi="ar-SA"/>
        </w:rPr>
        <w:t>(杭州)信息技术有限公司</w:t>
      </w:r>
      <w:r w:rsidR="008867BC" w:rsidRPr="00624983">
        <w:rPr>
          <w:rFonts w:ascii="仿宋_GB2312" w:eastAsia="仿宋_GB2312" w:hAnsi="仿宋_GB2312" w:cs="仿宋_GB2312" w:hint="eastAsia"/>
          <w:kern w:val="2"/>
          <w:sz w:val="32"/>
          <w:szCs w:val="32"/>
          <w:lang w:val="en-US" w:bidi="ar-SA"/>
        </w:rPr>
        <w:t>等</w:t>
      </w:r>
      <w:r w:rsidRPr="007D2511">
        <w:rPr>
          <w:rFonts w:ascii="仿宋_GB2312" w:eastAsia="仿宋_GB2312" w:hint="eastAsia"/>
          <w:sz w:val="32"/>
          <w:szCs w:val="32"/>
        </w:rPr>
        <w:t>。</w:t>
      </w:r>
    </w:p>
    <w:p w14:paraId="3497EED9" w14:textId="77777777" w:rsidR="0077150B" w:rsidRDefault="00E90348">
      <w:pPr>
        <w:numPr>
          <w:ilvl w:val="0"/>
          <w:numId w:val="1"/>
        </w:numPr>
        <w:spacing w:beforeLines="50" w:before="156" w:line="348" w:lineRule="auto"/>
        <w:ind w:left="0" w:right="96" w:firstLine="0"/>
        <w:rPr>
          <w:rFonts w:ascii="黑体" w:eastAsia="黑体"/>
          <w:b/>
          <w:bCs/>
          <w:sz w:val="32"/>
          <w:szCs w:val="32"/>
        </w:rPr>
      </w:pPr>
      <w:r>
        <w:rPr>
          <w:rFonts w:ascii="黑体" w:eastAsia="黑体" w:hint="eastAsia"/>
          <w:b/>
          <w:bCs/>
          <w:sz w:val="32"/>
          <w:szCs w:val="32"/>
        </w:rPr>
        <w:t>与相关法律法规和国家标准的关系</w:t>
      </w:r>
    </w:p>
    <w:p w14:paraId="33660836" w14:textId="490DBA1E" w:rsidR="0077150B" w:rsidRDefault="00E90348" w:rsidP="00D8636D">
      <w:pPr>
        <w:ind w:firstLineChars="200" w:firstLine="640"/>
        <w:rPr>
          <w:rFonts w:ascii="仿宋_GB2312" w:eastAsia="仿宋_GB2312"/>
          <w:sz w:val="32"/>
          <w:szCs w:val="32"/>
        </w:rPr>
      </w:pPr>
      <w:r>
        <w:rPr>
          <w:rFonts w:ascii="仿宋_GB2312" w:eastAsia="仿宋_GB2312" w:hint="eastAsia"/>
          <w:sz w:val="32"/>
          <w:szCs w:val="32"/>
        </w:rPr>
        <w:t>本标准的总体结构和编写方法按照GB/T 1.1-2020《标准化工作导则 第一部分：标准化文件的结构和起草规则》的规定执行。本标准参考的相关法律、法规和标准文件如下：</w:t>
      </w:r>
    </w:p>
    <w:p w14:paraId="6C55CEBD" w14:textId="70317F68" w:rsidR="0077150B" w:rsidRDefault="00E90348">
      <w:pPr>
        <w:ind w:firstLineChars="200" w:firstLine="640"/>
        <w:rPr>
          <w:rFonts w:ascii="仿宋_GB2312" w:eastAsia="仿宋_GB2312"/>
          <w:sz w:val="32"/>
          <w:szCs w:val="32"/>
        </w:rPr>
      </w:pPr>
      <w:r>
        <w:rPr>
          <w:rFonts w:ascii="仿宋_GB2312" w:eastAsia="仿宋_GB2312"/>
          <w:sz w:val="32"/>
          <w:szCs w:val="32"/>
        </w:rPr>
        <w:t>GB/T 22239-2019 信息安全技术 信息系统安全等级保护基本要求</w:t>
      </w:r>
    </w:p>
    <w:p w14:paraId="32E921AC" w14:textId="56C230F9" w:rsidR="0077150B" w:rsidRDefault="00E90348">
      <w:pPr>
        <w:ind w:firstLineChars="200" w:firstLine="640"/>
        <w:rPr>
          <w:rFonts w:ascii="仿宋_GB2312" w:eastAsia="仿宋_GB2312"/>
          <w:sz w:val="32"/>
          <w:szCs w:val="32"/>
        </w:rPr>
      </w:pPr>
      <w:r>
        <w:rPr>
          <w:rFonts w:ascii="仿宋_GB2312" w:eastAsia="仿宋_GB2312"/>
          <w:sz w:val="32"/>
          <w:szCs w:val="32"/>
        </w:rPr>
        <w:t>GB/T 35273-2020 信息安全技术 个人信息安全规范</w:t>
      </w:r>
    </w:p>
    <w:p w14:paraId="34BD8473" w14:textId="77777777" w:rsidR="0077150B" w:rsidRDefault="00E90348">
      <w:pPr>
        <w:ind w:firstLineChars="200" w:firstLine="640"/>
        <w:rPr>
          <w:rFonts w:ascii="仿宋_GB2312" w:eastAsia="仿宋_GB2312"/>
          <w:sz w:val="32"/>
          <w:szCs w:val="32"/>
        </w:rPr>
      </w:pPr>
      <w:r>
        <w:rPr>
          <w:rFonts w:ascii="仿宋_GB2312" w:eastAsia="仿宋_GB2312"/>
          <w:sz w:val="32"/>
          <w:szCs w:val="32"/>
        </w:rPr>
        <w:t>GB/T 25069-2022 信息安全技术 术语</w:t>
      </w:r>
    </w:p>
    <w:p w14:paraId="658EF5C2" w14:textId="2CE19F1C" w:rsidR="0077150B" w:rsidRDefault="00E90348">
      <w:pPr>
        <w:ind w:firstLineChars="200" w:firstLine="640"/>
        <w:rPr>
          <w:rFonts w:ascii="仿宋_GB2312" w:eastAsia="仿宋_GB2312"/>
          <w:sz w:val="32"/>
          <w:szCs w:val="32"/>
        </w:rPr>
      </w:pPr>
      <w:r>
        <w:rPr>
          <w:rFonts w:ascii="仿宋_GB2312" w:eastAsia="仿宋_GB2312"/>
          <w:sz w:val="32"/>
          <w:szCs w:val="32"/>
        </w:rPr>
        <w:t>GB/T 37988-2019 信息安全技术 数据安全能力成熟度模型</w:t>
      </w:r>
    </w:p>
    <w:p w14:paraId="433D0F4A" w14:textId="7342C049" w:rsidR="00D8636D" w:rsidRDefault="00D8636D" w:rsidP="00D8636D">
      <w:pPr>
        <w:ind w:firstLineChars="200" w:firstLine="640"/>
        <w:rPr>
          <w:rFonts w:ascii="仿宋_GB2312" w:eastAsia="仿宋_GB2312"/>
          <w:sz w:val="32"/>
          <w:szCs w:val="32"/>
        </w:rPr>
      </w:pPr>
      <w:r>
        <w:rPr>
          <w:rFonts w:ascii="仿宋_GB2312" w:eastAsia="仿宋_GB2312" w:hint="eastAsia"/>
          <w:sz w:val="32"/>
          <w:szCs w:val="32"/>
        </w:rPr>
        <w:t>《中华人民共和国网络安全法》</w:t>
      </w:r>
    </w:p>
    <w:p w14:paraId="23DDD0C1" w14:textId="42783C9E" w:rsidR="007223FF" w:rsidRPr="007223FF" w:rsidRDefault="007223FF" w:rsidP="00D8636D">
      <w:pPr>
        <w:ind w:firstLineChars="200" w:firstLine="640"/>
        <w:rPr>
          <w:rFonts w:ascii="仿宋_GB2312" w:eastAsia="仿宋_GB2312"/>
          <w:sz w:val="32"/>
          <w:szCs w:val="32"/>
        </w:rPr>
      </w:pPr>
      <w:r>
        <w:rPr>
          <w:rFonts w:ascii="仿宋_GB2312" w:eastAsia="仿宋_GB2312" w:hint="eastAsia"/>
          <w:sz w:val="32"/>
          <w:szCs w:val="32"/>
        </w:rPr>
        <w:t>《中华人民共和国数据安全法》</w:t>
      </w:r>
    </w:p>
    <w:p w14:paraId="10B23F8E" w14:textId="7B505676" w:rsidR="00D8636D" w:rsidRDefault="00D8636D" w:rsidP="00D8636D">
      <w:pPr>
        <w:ind w:firstLineChars="200" w:firstLine="640"/>
        <w:rPr>
          <w:rFonts w:ascii="仿宋_GB2312" w:eastAsia="仿宋_GB2312"/>
          <w:sz w:val="32"/>
          <w:szCs w:val="32"/>
        </w:rPr>
      </w:pPr>
      <w:r>
        <w:rPr>
          <w:rFonts w:ascii="仿宋_GB2312" w:eastAsia="仿宋_GB2312" w:hint="eastAsia"/>
          <w:sz w:val="32"/>
          <w:szCs w:val="32"/>
        </w:rPr>
        <w:t>《中华人民共和国个人信息保护法》</w:t>
      </w:r>
    </w:p>
    <w:p w14:paraId="213CE029" w14:textId="2AB0A7CD" w:rsidR="00D8636D" w:rsidRDefault="00D8636D" w:rsidP="00D8636D">
      <w:pPr>
        <w:ind w:firstLineChars="200" w:firstLine="640"/>
        <w:rPr>
          <w:rFonts w:ascii="仿宋_GB2312" w:eastAsia="仿宋_GB2312"/>
          <w:sz w:val="32"/>
          <w:szCs w:val="32"/>
        </w:rPr>
      </w:pPr>
      <w:r>
        <w:rPr>
          <w:rFonts w:ascii="仿宋_GB2312" w:eastAsia="仿宋_GB2312" w:hint="eastAsia"/>
          <w:sz w:val="32"/>
          <w:szCs w:val="32"/>
        </w:rPr>
        <w:t>《关键信息基础设施安全保护条例》</w:t>
      </w:r>
    </w:p>
    <w:p w14:paraId="4928F49D" w14:textId="7A3DDBBD" w:rsidR="00D8636D" w:rsidRDefault="00D8636D" w:rsidP="00D8636D">
      <w:pPr>
        <w:ind w:firstLineChars="200" w:firstLine="640"/>
        <w:rPr>
          <w:rFonts w:ascii="仿宋_GB2312" w:eastAsia="仿宋_GB2312"/>
          <w:sz w:val="32"/>
          <w:szCs w:val="32"/>
        </w:rPr>
      </w:pPr>
      <w:r>
        <w:rPr>
          <w:rFonts w:ascii="仿宋_GB2312" w:eastAsia="仿宋_GB2312" w:hint="eastAsia"/>
          <w:sz w:val="32"/>
          <w:szCs w:val="32"/>
        </w:rPr>
        <w:t>《网络安全审查办法》</w:t>
      </w:r>
    </w:p>
    <w:p w14:paraId="4D3C2F7C" w14:textId="6CDE760E" w:rsidR="0077150B" w:rsidRDefault="00E90348">
      <w:pPr>
        <w:ind w:firstLineChars="200" w:firstLine="640"/>
        <w:rPr>
          <w:rFonts w:ascii="仿宋_GB2312" w:eastAsia="仿宋_GB2312"/>
          <w:sz w:val="32"/>
          <w:szCs w:val="32"/>
        </w:rPr>
      </w:pPr>
      <w:r>
        <w:rPr>
          <w:rFonts w:ascii="仿宋_GB2312" w:eastAsia="仿宋_GB2312" w:hint="eastAsia"/>
          <w:sz w:val="32"/>
          <w:szCs w:val="32"/>
        </w:rPr>
        <w:t>目前尚未有类似的</w:t>
      </w:r>
      <w:r>
        <w:rPr>
          <w:rFonts w:ascii="仿宋_GB2312" w:eastAsia="仿宋_GB2312"/>
          <w:sz w:val="32"/>
          <w:szCs w:val="32"/>
        </w:rPr>
        <w:t>脱敏控制</w:t>
      </w:r>
      <w:r>
        <w:rPr>
          <w:rFonts w:ascii="仿宋_GB2312" w:eastAsia="仿宋_GB2312" w:hint="eastAsia"/>
          <w:sz w:val="32"/>
          <w:szCs w:val="32"/>
        </w:rPr>
        <w:t>相关的国家标准，本标准内容与现有国家标准不存在冲突，相关术语定义与其他网络安全国家标准保持一致。</w:t>
      </w:r>
    </w:p>
    <w:sectPr w:rsidR="007715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77F9B" w14:textId="77777777" w:rsidR="00EC09E8" w:rsidRDefault="00EC09E8" w:rsidP="00152961">
      <w:r>
        <w:separator/>
      </w:r>
    </w:p>
  </w:endnote>
  <w:endnote w:type="continuationSeparator" w:id="0">
    <w:p w14:paraId="580D2B6D" w14:textId="77777777" w:rsidR="00EC09E8" w:rsidRDefault="00EC09E8" w:rsidP="0015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E1C64" w14:textId="77777777" w:rsidR="00EC09E8" w:rsidRDefault="00EC09E8" w:rsidP="00152961">
      <w:r>
        <w:separator/>
      </w:r>
    </w:p>
  </w:footnote>
  <w:footnote w:type="continuationSeparator" w:id="0">
    <w:p w14:paraId="1CABFB2B" w14:textId="77777777" w:rsidR="00EC09E8" w:rsidRDefault="00EC09E8" w:rsidP="00152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A5760"/>
    <w:multiLevelType w:val="multilevel"/>
    <w:tmpl w:val="29D9319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50B"/>
    <w:rsid w:val="000255F0"/>
    <w:rsid w:val="000A772E"/>
    <w:rsid w:val="00152961"/>
    <w:rsid w:val="00332070"/>
    <w:rsid w:val="00684522"/>
    <w:rsid w:val="0070289E"/>
    <w:rsid w:val="007223FF"/>
    <w:rsid w:val="0077150B"/>
    <w:rsid w:val="007D2511"/>
    <w:rsid w:val="00872456"/>
    <w:rsid w:val="008867BC"/>
    <w:rsid w:val="008B5A3D"/>
    <w:rsid w:val="00941403"/>
    <w:rsid w:val="00A07847"/>
    <w:rsid w:val="00A875FE"/>
    <w:rsid w:val="00AB1E39"/>
    <w:rsid w:val="00AD75BF"/>
    <w:rsid w:val="00B37C6C"/>
    <w:rsid w:val="00B51595"/>
    <w:rsid w:val="00BC44F6"/>
    <w:rsid w:val="00D8636D"/>
    <w:rsid w:val="00DC1CD4"/>
    <w:rsid w:val="00E14CB9"/>
    <w:rsid w:val="00E90348"/>
    <w:rsid w:val="00E94F49"/>
    <w:rsid w:val="00EC09E8"/>
    <w:rsid w:val="00F02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CED50"/>
  <w15:docId w15:val="{5E2F57F1-0EEA-4A46-A7C6-FC0C1A18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rPr>
      <w:b/>
      <w:bCs/>
    </w:rPr>
  </w:style>
  <w:style w:type="paragraph" w:styleId="a4">
    <w:name w:val="annotation text"/>
    <w:basedOn w:val="a"/>
    <w:link w:val="a6"/>
    <w:uiPriority w:val="99"/>
    <w:pPr>
      <w:jc w:val="left"/>
    </w:pPr>
  </w:style>
  <w:style w:type="paragraph" w:styleId="a7">
    <w:name w:val="Balloon Text"/>
    <w:basedOn w:val="a"/>
    <w:link w:val="a8"/>
    <w:uiPriority w:val="99"/>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ae">
    <w:name w:val="标准文件_段"/>
    <w:link w:val="Char"/>
    <w:qFormat/>
    <w:pPr>
      <w:autoSpaceDE w:val="0"/>
      <w:autoSpaceDN w:val="0"/>
      <w:ind w:firstLineChars="200" w:firstLine="200"/>
      <w:jc w:val="both"/>
    </w:pPr>
    <w:rPr>
      <w:rFonts w:ascii="宋体" w:eastAsia="宋体" w:hAnsi="Times New Roman" w:cs="Times New Roman"/>
      <w:sz w:val="21"/>
    </w:rPr>
  </w:style>
  <w:style w:type="character" w:customStyle="1" w:styleId="Char">
    <w:name w:val="标准文件_段 Char"/>
    <w:link w:val="ae"/>
    <w:qFormat/>
    <w:rPr>
      <w:rFonts w:ascii="宋体" w:eastAsia="宋体" w:hAnsi="Times New Roman" w:cs="Times New Roman"/>
      <w:kern w:val="0"/>
      <w:szCs w:val="20"/>
    </w:rPr>
  </w:style>
  <w:style w:type="paragraph" w:customStyle="1" w:styleId="af">
    <w:name w:val="段"/>
    <w:link w:val="Char0"/>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0">
    <w:name w:val="段 Char"/>
    <w:link w:val="af"/>
    <w:qFormat/>
    <w:rPr>
      <w:rFonts w:ascii="宋体" w:eastAsia="宋体" w:hAnsi="Times New Roman" w:cs="Times New Roman"/>
      <w:kern w:val="0"/>
      <w:szCs w:val="20"/>
    </w:rPr>
  </w:style>
  <w:style w:type="character" w:customStyle="1" w:styleId="a6">
    <w:name w:val="批注文字 字符"/>
    <w:basedOn w:val="a0"/>
    <w:link w:val="a4"/>
    <w:uiPriority w:val="99"/>
    <w:qFormat/>
  </w:style>
  <w:style w:type="character" w:customStyle="1" w:styleId="a5">
    <w:name w:val="批注主题 字符"/>
    <w:basedOn w:val="a6"/>
    <w:link w:val="a3"/>
    <w:uiPriority w:val="99"/>
    <w:qFormat/>
    <w:rPr>
      <w:b/>
      <w:bCs/>
    </w:rPr>
  </w:style>
  <w:style w:type="character" w:customStyle="1" w:styleId="a8">
    <w:name w:val="批注框文本 字符"/>
    <w:basedOn w:val="a0"/>
    <w:link w:val="a7"/>
    <w:uiPriority w:val="99"/>
    <w:qFormat/>
    <w:rPr>
      <w:sz w:val="18"/>
      <w:szCs w:val="18"/>
    </w:rPr>
  </w:style>
  <w:style w:type="paragraph" w:styleId="af0">
    <w:name w:val="List Paragraph"/>
    <w:basedOn w:val="a"/>
    <w:uiPriority w:val="99"/>
    <w:pPr>
      <w:ind w:firstLineChars="200" w:firstLine="420"/>
    </w:pPr>
  </w:style>
  <w:style w:type="paragraph" w:styleId="af1">
    <w:name w:val="Revision"/>
    <w:hidden/>
    <w:uiPriority w:val="99"/>
    <w:semiHidden/>
    <w:rsid w:val="00941403"/>
    <w:rPr>
      <w:kern w:val="2"/>
      <w:sz w:val="21"/>
      <w:szCs w:val="22"/>
    </w:rPr>
  </w:style>
  <w:style w:type="paragraph" w:styleId="af2">
    <w:name w:val="Body Text"/>
    <w:basedOn w:val="a"/>
    <w:link w:val="af3"/>
    <w:uiPriority w:val="1"/>
    <w:qFormat/>
    <w:rsid w:val="008867BC"/>
    <w:pPr>
      <w:autoSpaceDE w:val="0"/>
      <w:autoSpaceDN w:val="0"/>
      <w:jc w:val="left"/>
    </w:pPr>
    <w:rPr>
      <w:rFonts w:ascii="宋体" w:eastAsia="宋体" w:hAnsi="宋体"/>
      <w:kern w:val="0"/>
      <w:sz w:val="28"/>
      <w:szCs w:val="28"/>
      <w:lang w:val="zh-CN" w:bidi="zh-CN"/>
    </w:rPr>
  </w:style>
  <w:style w:type="character" w:customStyle="1" w:styleId="af3">
    <w:name w:val="正文文本 字符"/>
    <w:basedOn w:val="a0"/>
    <w:link w:val="af2"/>
    <w:uiPriority w:val="1"/>
    <w:rsid w:val="008867BC"/>
    <w:rPr>
      <w:rFonts w:ascii="宋体" w:eastAsia="宋体" w:hAnsi="宋体"/>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726709">
      <w:bodyDiv w:val="1"/>
      <w:marLeft w:val="0"/>
      <w:marRight w:val="0"/>
      <w:marTop w:val="0"/>
      <w:marBottom w:val="0"/>
      <w:divBdr>
        <w:top w:val="none" w:sz="0" w:space="0" w:color="auto"/>
        <w:left w:val="none" w:sz="0" w:space="0" w:color="auto"/>
        <w:bottom w:val="none" w:sz="0" w:space="0" w:color="auto"/>
        <w:right w:val="none" w:sz="0" w:space="0" w:color="auto"/>
      </w:divBdr>
    </w:div>
    <w:div w:id="2028830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433</Words>
  <Characters>2470</Characters>
  <Application>Microsoft Office Word</Application>
  <DocSecurity>0</DocSecurity>
  <Lines>20</Lines>
  <Paragraphs>5</Paragraphs>
  <ScaleCrop>false</ScaleCrop>
  <Company>Qihoo360</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binz_zhang</dc:creator>
  <cp:lastModifiedBy>玲翠 张</cp:lastModifiedBy>
  <cp:revision>14</cp:revision>
  <dcterms:created xsi:type="dcterms:W3CDTF">2024-08-12T13:48:00Z</dcterms:created>
  <dcterms:modified xsi:type="dcterms:W3CDTF">2024-08-20T02:56:00Z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c26f380c98d44f70932d0e5b7c5a746a</vt:lpwstr>
  </property>
</Properties>
</file>