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642A8">
      <w:pPr>
        <w:jc w:val="center"/>
        <w:rPr>
          <w:rFonts w:ascii="黑体" w:hAnsi="宋体" w:eastAsia="黑体"/>
          <w:color w:val="000000" w:themeColor="text1"/>
          <w:sz w:val="52"/>
          <w:szCs w:val="52"/>
          <w14:textFill>
            <w14:solidFill>
              <w14:schemeClr w14:val="tx1"/>
            </w14:solidFill>
          </w14:textFill>
        </w:rPr>
      </w:pPr>
    </w:p>
    <w:p w14:paraId="22E7DBDC">
      <w:pPr>
        <w:jc w:val="center"/>
        <w:rPr>
          <w:rFonts w:ascii="黑体" w:hAnsi="宋体" w:eastAsia="黑体"/>
          <w:color w:val="000000" w:themeColor="text1"/>
          <w:sz w:val="52"/>
          <w:szCs w:val="52"/>
          <w14:textFill>
            <w14:solidFill>
              <w14:schemeClr w14:val="tx1"/>
            </w14:solidFill>
          </w14:textFill>
        </w:rPr>
      </w:pPr>
    </w:p>
    <w:p w14:paraId="33EA3C92">
      <w:pPr>
        <w:jc w:val="center"/>
        <w:rPr>
          <w:rFonts w:ascii="黑体" w:hAnsi="宋体" w:eastAsia="黑体"/>
          <w:color w:val="000000" w:themeColor="text1"/>
          <w:sz w:val="52"/>
          <w:szCs w:val="52"/>
          <w14:textFill>
            <w14:solidFill>
              <w14:schemeClr w14:val="tx1"/>
            </w14:solidFill>
          </w14:textFill>
        </w:rPr>
      </w:pPr>
    </w:p>
    <w:p w14:paraId="3C2288FA">
      <w:pPr>
        <w:jc w:val="center"/>
        <w:rPr>
          <w:rFonts w:ascii="黑体" w:hAnsi="宋体" w:eastAsia="黑体"/>
          <w:color w:val="000000" w:themeColor="text1"/>
          <w:sz w:val="52"/>
          <w:szCs w:val="52"/>
          <w14:textFill>
            <w14:solidFill>
              <w14:schemeClr w14:val="tx1"/>
            </w14:solidFill>
          </w14:textFill>
        </w:rPr>
      </w:pPr>
    </w:p>
    <w:p w14:paraId="13EDB3CB">
      <w:pPr>
        <w:jc w:val="center"/>
        <w:rPr>
          <w:rFonts w:ascii="黑体" w:hAnsi="宋体" w:eastAsia="黑体"/>
          <w:color w:val="000000" w:themeColor="text1"/>
          <w:sz w:val="52"/>
          <w:szCs w:val="52"/>
          <w14:textFill>
            <w14:solidFill>
              <w14:schemeClr w14:val="tx1"/>
            </w14:solidFill>
          </w14:textFill>
        </w:rPr>
      </w:pPr>
      <w:r>
        <w:rPr>
          <w:rFonts w:hint="eastAsia" w:ascii="黑体" w:hAnsi="宋体" w:eastAsia="黑体"/>
          <w:color w:val="000000" w:themeColor="text1"/>
          <w:sz w:val="52"/>
          <w:szCs w:val="52"/>
          <w14:textFill>
            <w14:solidFill>
              <w14:schemeClr w14:val="tx1"/>
            </w14:solidFill>
          </w14:textFill>
        </w:rPr>
        <w:t>隐私计算</w:t>
      </w:r>
      <w:r>
        <w:rPr>
          <w:rFonts w:ascii="黑体" w:hAnsi="宋体" w:eastAsia="黑体"/>
          <w:color w:val="000000" w:themeColor="text1"/>
          <w:sz w:val="52"/>
          <w:szCs w:val="52"/>
          <w14:textFill>
            <w14:solidFill>
              <w14:schemeClr w14:val="tx1"/>
            </w14:solidFill>
          </w14:textFill>
        </w:rPr>
        <w:t xml:space="preserve"> </w:t>
      </w:r>
      <w:r>
        <w:rPr>
          <w:rFonts w:hint="eastAsia" w:ascii="黑体" w:hAnsi="宋体" w:eastAsia="黑体"/>
          <w:color w:val="000000" w:themeColor="text1"/>
          <w:sz w:val="52"/>
          <w:szCs w:val="52"/>
          <w14:textFill>
            <w14:solidFill>
              <w14:schemeClr w14:val="tx1"/>
            </w14:solidFill>
          </w14:textFill>
        </w:rPr>
        <w:t>总体框架</w:t>
      </w:r>
    </w:p>
    <w:p w14:paraId="2117257A">
      <w:pPr>
        <w:jc w:val="center"/>
        <w:rPr>
          <w:rFonts w:ascii="黑体" w:hAnsi="宋体" w:eastAsia="黑体"/>
          <w:color w:val="000000" w:themeColor="text1"/>
          <w:sz w:val="52"/>
          <w:szCs w:val="52"/>
          <w14:textFill>
            <w14:solidFill>
              <w14:schemeClr w14:val="tx1"/>
            </w14:solidFill>
          </w14:textFill>
        </w:rPr>
      </w:pPr>
    </w:p>
    <w:p w14:paraId="10056BAD">
      <w:pPr>
        <w:jc w:val="center"/>
        <w:rPr>
          <w:rFonts w:ascii="黑体" w:hAnsi="宋体" w:eastAsia="黑体"/>
          <w:color w:val="000000" w:themeColor="text1"/>
          <w:sz w:val="48"/>
          <w:szCs w:val="48"/>
          <w14:textFill>
            <w14:solidFill>
              <w14:schemeClr w14:val="tx1"/>
            </w14:solidFill>
          </w14:textFill>
        </w:rPr>
      </w:pPr>
      <w:r>
        <w:rPr>
          <w:rFonts w:hint="eastAsia" w:ascii="黑体" w:hAnsi="宋体" w:eastAsia="黑体"/>
          <w:color w:val="000000" w:themeColor="text1"/>
          <w:sz w:val="48"/>
          <w:szCs w:val="48"/>
          <w14:textFill>
            <w14:solidFill>
              <w14:schemeClr w14:val="tx1"/>
            </w14:solidFill>
          </w14:textFill>
        </w:rPr>
        <w:t>编 制 说 明</w:t>
      </w:r>
    </w:p>
    <w:p w14:paraId="3B0081B9">
      <w:pPr>
        <w:widowControl/>
        <w:jc w:val="left"/>
        <w:rPr>
          <w:rFonts w:ascii="黑体" w:hAnsi="宋体" w:eastAsia="黑体"/>
          <w:color w:val="000000" w:themeColor="text1"/>
          <w:sz w:val="48"/>
          <w:szCs w:val="48"/>
          <w14:textFill>
            <w14:solidFill>
              <w14:schemeClr w14:val="tx1"/>
            </w14:solidFill>
          </w14:textFill>
        </w:rPr>
      </w:pPr>
    </w:p>
    <w:p w14:paraId="1D7D60B0">
      <w:pPr>
        <w:widowControl/>
        <w:jc w:val="left"/>
        <w:rPr>
          <w:rFonts w:ascii="黑体" w:hAnsi="宋体" w:eastAsia="黑体"/>
          <w:color w:val="000000" w:themeColor="text1"/>
          <w:sz w:val="48"/>
          <w:szCs w:val="48"/>
          <w14:textFill>
            <w14:solidFill>
              <w14:schemeClr w14:val="tx1"/>
            </w14:solidFill>
          </w14:textFill>
        </w:rPr>
      </w:pPr>
    </w:p>
    <w:p w14:paraId="6DF3088A">
      <w:pPr>
        <w:widowControl/>
        <w:jc w:val="left"/>
        <w:rPr>
          <w:rFonts w:ascii="黑体" w:hAnsi="宋体" w:eastAsia="黑体"/>
          <w:color w:val="000000" w:themeColor="text1"/>
          <w:sz w:val="48"/>
          <w:szCs w:val="48"/>
          <w14:textFill>
            <w14:solidFill>
              <w14:schemeClr w14:val="tx1"/>
            </w14:solidFill>
          </w14:textFill>
        </w:rPr>
      </w:pPr>
    </w:p>
    <w:p w14:paraId="1F9B96B6">
      <w:pPr>
        <w:widowControl/>
        <w:jc w:val="left"/>
        <w:rPr>
          <w:rFonts w:ascii="黑体" w:hAnsi="宋体" w:eastAsia="黑体"/>
          <w:color w:val="000000" w:themeColor="text1"/>
          <w:sz w:val="48"/>
          <w:szCs w:val="48"/>
          <w14:textFill>
            <w14:solidFill>
              <w14:schemeClr w14:val="tx1"/>
            </w14:solidFill>
          </w14:textFill>
        </w:rPr>
      </w:pPr>
    </w:p>
    <w:p w14:paraId="2EF19245">
      <w:pPr>
        <w:widowControl/>
        <w:jc w:val="left"/>
        <w:rPr>
          <w:rFonts w:ascii="黑体" w:hAnsi="宋体" w:eastAsia="黑体"/>
          <w:color w:val="000000" w:themeColor="text1"/>
          <w:sz w:val="48"/>
          <w:szCs w:val="48"/>
          <w14:textFill>
            <w14:solidFill>
              <w14:schemeClr w14:val="tx1"/>
            </w14:solidFill>
          </w14:textFill>
        </w:rPr>
      </w:pPr>
    </w:p>
    <w:p w14:paraId="048525DB">
      <w:pPr>
        <w:widowControl/>
        <w:jc w:val="left"/>
        <w:rPr>
          <w:rFonts w:ascii="黑体" w:hAnsi="宋体" w:eastAsia="黑体"/>
          <w:color w:val="000000" w:themeColor="text1"/>
          <w:sz w:val="48"/>
          <w:szCs w:val="48"/>
          <w14:textFill>
            <w14:solidFill>
              <w14:schemeClr w14:val="tx1"/>
            </w14:solidFill>
          </w14:textFill>
        </w:rPr>
      </w:pPr>
    </w:p>
    <w:p w14:paraId="0309EC4C">
      <w:pPr>
        <w:widowControl/>
        <w:jc w:val="left"/>
        <w:rPr>
          <w:rFonts w:ascii="黑体" w:hAnsi="宋体" w:eastAsia="黑体"/>
          <w:color w:val="000000" w:themeColor="text1"/>
          <w:sz w:val="48"/>
          <w:szCs w:val="48"/>
          <w14:textFill>
            <w14:solidFill>
              <w14:schemeClr w14:val="tx1"/>
            </w14:solidFill>
          </w14:textFill>
        </w:rPr>
      </w:pPr>
    </w:p>
    <w:p w14:paraId="2EBAD9C1">
      <w:pPr>
        <w:widowControl/>
        <w:jc w:val="left"/>
        <w:rPr>
          <w:rFonts w:ascii="黑体" w:hAnsi="宋体" w:eastAsia="黑体"/>
          <w:color w:val="000000" w:themeColor="text1"/>
          <w:sz w:val="48"/>
          <w:szCs w:val="48"/>
          <w14:textFill>
            <w14:solidFill>
              <w14:schemeClr w14:val="tx1"/>
            </w14:solidFill>
          </w14:textFill>
        </w:rPr>
      </w:pPr>
    </w:p>
    <w:p w14:paraId="51409928">
      <w:pPr>
        <w:widowControl/>
        <w:jc w:val="center"/>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标准起草工作组</w:t>
      </w:r>
    </w:p>
    <w:p w14:paraId="36406E6C">
      <w:pPr>
        <w:widowControl/>
        <w:jc w:val="center"/>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2</w:t>
      </w:r>
      <w:r>
        <w:rPr>
          <w:rFonts w:ascii="宋体" w:hAnsi="宋体" w:eastAsia="宋体"/>
          <w:color w:val="000000" w:themeColor="text1"/>
          <w:sz w:val="32"/>
          <w:szCs w:val="32"/>
          <w14:textFill>
            <w14:solidFill>
              <w14:schemeClr w14:val="tx1"/>
            </w14:solidFill>
          </w14:textFill>
        </w:rPr>
        <w:t>02</w:t>
      </w:r>
      <w:r>
        <w:rPr>
          <w:rFonts w:hint="eastAsia" w:ascii="宋体" w:hAnsi="宋体" w:eastAsia="宋体"/>
          <w:color w:val="000000" w:themeColor="text1"/>
          <w:sz w:val="32"/>
          <w:szCs w:val="32"/>
          <w14:textFill>
            <w14:solidFill>
              <w14:schemeClr w14:val="tx1"/>
            </w14:solidFill>
          </w14:textFill>
        </w:rPr>
        <w:t>4年</w:t>
      </w:r>
      <w:r>
        <w:rPr>
          <w:rFonts w:hint="eastAsia" w:ascii="宋体" w:hAnsi="宋体" w:eastAsia="宋体"/>
          <w:color w:val="000000" w:themeColor="text1"/>
          <w:sz w:val="32"/>
          <w:szCs w:val="32"/>
          <w:lang w:val="en-US" w:eastAsia="zh-CN"/>
          <w14:textFill>
            <w14:solidFill>
              <w14:schemeClr w14:val="tx1"/>
            </w14:solidFill>
          </w14:textFill>
        </w:rPr>
        <w:t>8</w:t>
      </w:r>
      <w:bookmarkStart w:id="0" w:name="_GoBack"/>
      <w:bookmarkEnd w:id="0"/>
      <w:r>
        <w:rPr>
          <w:rFonts w:hint="eastAsia" w:ascii="宋体" w:hAnsi="宋体" w:eastAsia="宋体"/>
          <w:color w:val="000000" w:themeColor="text1"/>
          <w:sz w:val="32"/>
          <w:szCs w:val="32"/>
          <w14:textFill>
            <w14:solidFill>
              <w14:schemeClr w14:val="tx1"/>
            </w14:solidFill>
          </w14:textFill>
        </w:rPr>
        <w:t>月</w:t>
      </w:r>
      <w:r>
        <w:rPr>
          <w:rFonts w:ascii="黑体" w:hAnsi="宋体" w:eastAsia="黑体"/>
          <w:color w:val="000000" w:themeColor="text1"/>
          <w:sz w:val="48"/>
          <w:szCs w:val="48"/>
          <w14:textFill>
            <w14:solidFill>
              <w14:schemeClr w14:val="tx1"/>
            </w14:solidFill>
          </w14:textFill>
        </w:rPr>
        <w:br w:type="page"/>
      </w:r>
    </w:p>
    <w:p w14:paraId="60D8E55F">
      <w:pPr>
        <w:numPr>
          <w:ilvl w:val="0"/>
          <w:numId w:val="1"/>
        </w:numPr>
        <w:spacing w:before="156" w:beforeLines="50" w:line="348" w:lineRule="auto"/>
        <w:ind w:left="0" w:right="96" w:firstLine="0"/>
        <w:rPr>
          <w:rFonts w:ascii="黑体" w:eastAsia="黑体" w:cs="宋体"/>
          <w:b/>
          <w:bCs/>
          <w:sz w:val="32"/>
          <w:szCs w:val="32"/>
        </w:rPr>
      </w:pPr>
      <w:r>
        <w:rPr>
          <w:rFonts w:hint="eastAsia" w:ascii="黑体" w:eastAsia="黑体" w:cs="宋体"/>
          <w:b/>
          <w:bCs/>
          <w:sz w:val="32"/>
          <w:szCs w:val="32"/>
        </w:rPr>
        <w:t>目的意义</w:t>
      </w:r>
    </w:p>
    <w:p w14:paraId="274D6E8D">
      <w:pPr>
        <w:ind w:firstLine="640" w:firstLineChars="200"/>
        <w:rPr>
          <w:rFonts w:ascii="仿宋_GB2312" w:eastAsia="仿宋_GB2312" w:cs="宋体"/>
          <w:sz w:val="32"/>
          <w:szCs w:val="32"/>
        </w:rPr>
      </w:pPr>
      <w:r>
        <w:rPr>
          <w:rFonts w:hint="eastAsia" w:ascii="仿宋_GB2312" w:eastAsia="仿宋_GB2312" w:cs="宋体"/>
          <w:sz w:val="32"/>
          <w:szCs w:val="32"/>
        </w:rPr>
        <w:t>随着大数据、人工智能技术的发展，数据成为生产要素，数据流通利用成为促进数字经济发展的迫切需求。党和国家通过出台《中共中央国务院关于构建数据基础制度更好发挥数据要素作用的意见》等文件，引领促进数据要素的泛在流通。数据要素流通已上升为国家重大发展战略。</w:t>
      </w:r>
    </w:p>
    <w:p w14:paraId="3CB384AC">
      <w:pPr>
        <w:ind w:firstLine="640" w:firstLineChars="200"/>
        <w:rPr>
          <w:rFonts w:ascii="仿宋_GB2312" w:eastAsia="仿宋_GB2312" w:cs="宋体"/>
          <w:sz w:val="32"/>
          <w:szCs w:val="32"/>
        </w:rPr>
      </w:pPr>
      <w:r>
        <w:rPr>
          <w:rFonts w:hint="eastAsia" w:ascii="仿宋_GB2312" w:eastAsia="仿宋_GB2312" w:cs="宋体"/>
          <w:sz w:val="32"/>
          <w:szCs w:val="32"/>
        </w:rPr>
        <w:t>与此同时，个人隐私保护与数据流通之间的矛盾愈发凸显。泛在互联的数据共享加大了隐私信息在不同信息系统中有意或无意留存的可能性，个人信息保护面临的问题与日俱增。世界各主要国家和经济体高度重视公民的个人信息权益保障问题。例如：欧盟颁布了《通用数据保护条例》（GDPR），美国颁布了《加州隐私权法案》，我国先后颁布《数据安全法》，《个人信息保护法》等。</w:t>
      </w:r>
    </w:p>
    <w:p w14:paraId="043F5F42">
      <w:pPr>
        <w:ind w:firstLine="640" w:firstLineChars="200"/>
        <w:rPr>
          <w:rFonts w:ascii="仿宋_GB2312" w:eastAsia="仿宋_GB2312" w:cs="宋体"/>
          <w:sz w:val="32"/>
          <w:szCs w:val="32"/>
        </w:rPr>
      </w:pPr>
      <w:r>
        <w:rPr>
          <w:rFonts w:hint="eastAsia" w:ascii="仿宋_GB2312" w:eastAsia="仿宋_GB2312" w:cs="宋体"/>
          <w:sz w:val="32"/>
          <w:szCs w:val="32"/>
        </w:rPr>
        <w:t>隐私计算技术旨在为流通共享的数据提供全生命周期供保护，成为数据共享和流通中至关重要的一环。隐私计算的目标在于构建一个覆盖隐私信息全生命周期的隐私保护体系，确保隐私信息在不同系统下不同处理环节均能得到有效保护，支撑隐私信息的泛在受控共享和流通利用。因此，隐私计算发挥着至关重要的作用：</w:t>
      </w:r>
    </w:p>
    <w:p w14:paraId="18D1CEC8">
      <w:pPr>
        <w:ind w:firstLine="640" w:firstLineChars="200"/>
        <w:rPr>
          <w:rFonts w:ascii="仿宋_GB2312" w:eastAsia="仿宋_GB2312" w:cs="宋体"/>
          <w:sz w:val="32"/>
          <w:szCs w:val="32"/>
        </w:rPr>
      </w:pPr>
      <w:r>
        <w:rPr>
          <w:rFonts w:hint="eastAsia" w:ascii="仿宋_GB2312" w:eastAsia="仿宋_GB2312" w:cs="宋体"/>
          <w:sz w:val="32"/>
          <w:szCs w:val="32"/>
        </w:rPr>
        <w:t>（1）促进数据要素流通。在确保数据安全和个人隐私的前提下，隐私计算总体框架可以保证隐私信息出域的全生命周期保护，增强公众对数据使用的信任感，推动基于数据的服务业态创新，强化数据作为关键生产要素的作用，为数字经济的健康持续发展奠定坚实的基础。</w:t>
      </w:r>
    </w:p>
    <w:p w14:paraId="4FC7CF74">
      <w:pPr>
        <w:ind w:firstLine="640" w:firstLineChars="200"/>
        <w:rPr>
          <w:rFonts w:ascii="仿宋_GB2312" w:eastAsia="仿宋_GB2312" w:cs="宋体"/>
          <w:sz w:val="32"/>
          <w:szCs w:val="32"/>
        </w:rPr>
      </w:pPr>
      <w:r>
        <w:rPr>
          <w:rFonts w:hint="eastAsia" w:ascii="仿宋_GB2312" w:eastAsia="仿宋_GB2312" w:cs="宋体"/>
          <w:sz w:val="32"/>
          <w:szCs w:val="32"/>
        </w:rPr>
        <w:t>（2）助企业降本增效。通过制定并实施隐私计算总体框架标准，指导企业在数据保护与处理上实现成本节约与效率提升。标准化的隐私计算框架为企业提供统一的技术框架和操作指南，减少了企业采用不正确的技术方案造成的巨大额外开支，增强企业的市场竞争力，使企业在保障数据安全的同时，能更高效地进行数据分析与应用，实现业务增长。</w:t>
      </w:r>
    </w:p>
    <w:p w14:paraId="32C4CFFF">
      <w:pPr>
        <w:numPr>
          <w:ilvl w:val="0"/>
          <w:numId w:val="1"/>
        </w:numPr>
        <w:spacing w:before="156" w:beforeLines="50" w:line="348" w:lineRule="auto"/>
        <w:ind w:left="0" w:right="96" w:firstLine="0"/>
        <w:rPr>
          <w:rFonts w:ascii="黑体" w:eastAsia="黑体" w:cs="宋体"/>
          <w:b/>
          <w:bCs/>
          <w:sz w:val="32"/>
          <w:szCs w:val="32"/>
        </w:rPr>
      </w:pPr>
      <w:r>
        <w:rPr>
          <w:rFonts w:hint="eastAsia" w:ascii="黑体" w:eastAsia="黑体" w:cs="宋体"/>
          <w:b/>
          <w:bCs/>
          <w:sz w:val="32"/>
          <w:szCs w:val="32"/>
        </w:rPr>
        <w:t>任务来源</w:t>
      </w:r>
    </w:p>
    <w:p w14:paraId="2F3C16C3">
      <w:pPr>
        <w:ind w:firstLine="640" w:firstLineChars="200"/>
        <w:rPr>
          <w:rFonts w:ascii="仿宋_GB2312" w:eastAsia="仿宋_GB2312" w:cs="宋体"/>
          <w:sz w:val="32"/>
          <w:szCs w:val="32"/>
        </w:rPr>
      </w:pPr>
      <w:r>
        <w:rPr>
          <w:rFonts w:hint="eastAsia" w:ascii="仿宋_GB2312" w:eastAsia="仿宋_GB2312" w:cs="宋体"/>
          <w:sz w:val="32"/>
          <w:szCs w:val="32"/>
        </w:rPr>
        <w:t>尽管国内外在隐私保护计算技术方面积累了一定的经验，但其通常聚焦于相对孤立的应用场景和技术点，解决特定应用场景中存在的具体问题，缺乏能够将隐私信息与保护需求一体化的描述方法及计算模型，并缺乏能实现跨系统隐私信息交换、多业务需求隐私信息共享、动态去隐私化等复杂应用场景下的按需隐私保护计算架构，无法满足复杂信息系统的隐私保护需求，导致电子商务、导航、物流、社交、数据流通利用等典型应用场景下的隐私保护问题尚未得到根本性解决。因此，隐私计算总体框架需要达到以下目的：</w:t>
      </w:r>
    </w:p>
    <w:p w14:paraId="2F41F10F">
      <w:pPr>
        <w:ind w:firstLine="640" w:firstLineChars="200"/>
        <w:rPr>
          <w:rFonts w:ascii="仿宋_GB2312" w:eastAsia="仿宋_GB2312" w:cs="宋体"/>
          <w:sz w:val="32"/>
          <w:szCs w:val="32"/>
        </w:rPr>
      </w:pPr>
      <w:r>
        <w:rPr>
          <w:rFonts w:hint="eastAsia" w:ascii="仿宋_GB2312" w:eastAsia="仿宋_GB2312" w:cs="宋体"/>
          <w:sz w:val="32"/>
          <w:szCs w:val="32"/>
        </w:rPr>
        <w:t>（1）全生命周期保护。确保隐私信息在收集、存储、使用、交换、删除、脱敏、存证与取证等全生命周期各个环节得到充分的保护</w:t>
      </w:r>
    </w:p>
    <w:p w14:paraId="0FC9AB76">
      <w:pPr>
        <w:ind w:firstLine="640" w:firstLineChars="200"/>
        <w:rPr>
          <w:rFonts w:ascii="仿宋_GB2312" w:eastAsia="仿宋_GB2312" w:cs="宋体"/>
          <w:sz w:val="32"/>
          <w:szCs w:val="32"/>
        </w:rPr>
      </w:pPr>
      <w:r>
        <w:rPr>
          <w:rFonts w:hint="eastAsia" w:ascii="仿宋_GB2312" w:eastAsia="仿宋_GB2312" w:cs="宋体"/>
          <w:sz w:val="32"/>
          <w:szCs w:val="32"/>
        </w:rPr>
        <w:t>（2）一致性保护。隐私信息在多个信息系统保存时，存在短板效应和一损俱损的风险，需要实现跨系统隐私信息流转的一致性保护。</w:t>
      </w:r>
    </w:p>
    <w:p w14:paraId="46C38DA2">
      <w:pPr>
        <w:ind w:firstLine="640" w:firstLineChars="200"/>
        <w:rPr>
          <w:rFonts w:ascii="仿宋_GB2312" w:eastAsia="仿宋_GB2312" w:cs="宋体"/>
          <w:sz w:val="32"/>
          <w:szCs w:val="32"/>
        </w:rPr>
      </w:pPr>
      <w:r>
        <w:rPr>
          <w:rFonts w:hint="eastAsia" w:ascii="仿宋_GB2312" w:eastAsia="仿宋_GB2312" w:cs="宋体"/>
          <w:sz w:val="32"/>
          <w:szCs w:val="32"/>
        </w:rPr>
        <w:t>（3）支持多次传播的延伸控制。通过延伸控制机制解决多次传播场景下的受控利用。</w:t>
      </w:r>
    </w:p>
    <w:p w14:paraId="571D496E">
      <w:pPr>
        <w:ind w:firstLine="640" w:firstLineChars="200"/>
        <w:rPr>
          <w:rFonts w:ascii="仿宋_GB2312" w:eastAsia="仿宋_GB2312" w:cs="宋体"/>
          <w:sz w:val="32"/>
          <w:szCs w:val="32"/>
        </w:rPr>
      </w:pPr>
      <w:r>
        <w:rPr>
          <w:rFonts w:hint="eastAsia" w:ascii="仿宋_GB2312" w:eastAsia="仿宋_GB2312" w:cs="宋体"/>
          <w:sz w:val="32"/>
          <w:szCs w:val="32"/>
        </w:rPr>
        <w:t>（4）支持按需脱敏。数据流通利用时对同一隐私信息在同一应用场景的不同阶段、或者同一隐私信息在不同应用场景下实现脱敏粒度差异的按需脱敏，解决隐私信息利用与隐私保护的平衡问题。</w:t>
      </w:r>
    </w:p>
    <w:p w14:paraId="0A186909">
      <w:pPr>
        <w:ind w:firstLine="640" w:firstLineChars="200"/>
        <w:rPr>
          <w:rFonts w:ascii="仿宋_GB2312" w:eastAsia="仿宋_GB2312" w:cs="宋体"/>
          <w:sz w:val="32"/>
          <w:szCs w:val="32"/>
        </w:rPr>
      </w:pPr>
      <w:r>
        <w:rPr>
          <w:rFonts w:hint="eastAsia" w:ascii="仿宋_GB2312" w:eastAsia="仿宋_GB2312" w:cs="宋体"/>
          <w:sz w:val="32"/>
          <w:szCs w:val="32"/>
        </w:rPr>
        <w:t>（5）提供基于脱敏效果评估反馈的脱敏自适应改进机制。隐私脱敏和隐私挖掘博弈相长，信息系统通过脱敏效果评估可以动态调整脱敏算法及其参数选择，在满足隐私信息利用的前提供下提高隐私保护强度，减少因隐私信息脱敏控制策略长期不变而导致隐私泄露。</w:t>
      </w:r>
    </w:p>
    <w:p w14:paraId="25FEF358">
      <w:pPr>
        <w:ind w:firstLine="640" w:firstLineChars="200"/>
        <w:rPr>
          <w:rFonts w:ascii="仿宋_GB2312" w:eastAsia="仿宋_GB2312" w:cs="宋体"/>
          <w:sz w:val="32"/>
          <w:szCs w:val="32"/>
        </w:rPr>
      </w:pPr>
      <w:r>
        <w:rPr>
          <w:rFonts w:hint="eastAsia" w:ascii="仿宋_GB2312" w:eastAsia="仿宋_GB2312" w:cs="宋体"/>
          <w:sz w:val="32"/>
          <w:szCs w:val="32"/>
        </w:rPr>
        <w:t>综上所述，隐私计算的研究动机在于构建一个覆盖隐私信息全生命周期的隐私保护体系，提出隐私计算总体框架，实现对隐私信息以及隐私信息处理者保护能力的量化，并构建基于反馈的隐私保护策略调整机制，确保隐私信息在不同系统下不同处理环节均能得到有效保护，支撑隐私信息的泛在受控共享和流通利用。</w:t>
      </w:r>
    </w:p>
    <w:p w14:paraId="3DB05F6F">
      <w:pPr>
        <w:numPr>
          <w:ilvl w:val="0"/>
          <w:numId w:val="1"/>
        </w:numPr>
        <w:spacing w:before="156" w:beforeLines="50" w:line="348" w:lineRule="auto"/>
        <w:ind w:left="0" w:right="96" w:firstLine="0"/>
        <w:rPr>
          <w:rFonts w:ascii="黑体" w:eastAsia="黑体" w:cs="宋体"/>
          <w:b/>
          <w:bCs/>
          <w:sz w:val="32"/>
          <w:szCs w:val="32"/>
        </w:rPr>
      </w:pPr>
      <w:r>
        <w:rPr>
          <w:rFonts w:hint="eastAsia" w:ascii="黑体" w:eastAsia="黑体" w:cs="宋体"/>
          <w:b/>
          <w:bCs/>
          <w:sz w:val="32"/>
          <w:szCs w:val="32"/>
        </w:rPr>
        <w:t>编制过程</w:t>
      </w:r>
    </w:p>
    <w:p w14:paraId="06B54722">
      <w:pPr>
        <w:spacing w:line="348" w:lineRule="auto"/>
        <w:ind w:right="96" w:firstLine="640" w:firstLineChars="200"/>
        <w:rPr>
          <w:rFonts w:ascii="仿宋_GB2312" w:eastAsia="仿宋_GB2312" w:cs="宋体"/>
          <w:sz w:val="32"/>
          <w:szCs w:val="32"/>
        </w:rPr>
      </w:pPr>
      <w:r>
        <w:rPr>
          <w:rFonts w:ascii="仿宋_GB2312" w:eastAsia="仿宋_GB2312" w:cs="宋体"/>
          <w:sz w:val="32"/>
          <w:szCs w:val="32"/>
        </w:rPr>
        <w:t>1</w:t>
      </w:r>
      <w:r>
        <w:rPr>
          <w:rFonts w:hint="eastAsia" w:ascii="仿宋_GB2312" w:eastAsia="仿宋_GB2312" w:cs="宋体"/>
          <w:sz w:val="32"/>
          <w:szCs w:val="32"/>
        </w:rPr>
        <w:t>）</w:t>
      </w:r>
      <w:r>
        <w:rPr>
          <w:rFonts w:ascii="仿宋_GB2312" w:eastAsia="仿宋_GB2312" w:cs="宋体"/>
          <w:sz w:val="32"/>
          <w:szCs w:val="32"/>
        </w:rPr>
        <w:t>2023年3月2日，规范研制正式启动会。标准牵头单位对前期的研究工作进行了汇报。确定了标准的研究思路和分工。</w:t>
      </w:r>
    </w:p>
    <w:p w14:paraId="73768A63">
      <w:pPr>
        <w:spacing w:line="348" w:lineRule="auto"/>
        <w:ind w:right="96" w:firstLine="640" w:firstLineChars="200"/>
        <w:rPr>
          <w:rFonts w:ascii="仿宋_GB2312" w:eastAsia="仿宋_GB2312" w:cs="宋体"/>
          <w:sz w:val="32"/>
          <w:szCs w:val="32"/>
        </w:rPr>
      </w:pPr>
      <w:r>
        <w:rPr>
          <w:rFonts w:ascii="仿宋_GB2312" w:eastAsia="仿宋_GB2312" w:cs="宋体"/>
          <w:sz w:val="32"/>
          <w:szCs w:val="32"/>
        </w:rPr>
        <w:t>2</w:t>
      </w:r>
      <w:r>
        <w:rPr>
          <w:rFonts w:hint="eastAsia" w:ascii="仿宋_GB2312" w:eastAsia="仿宋_GB2312" w:cs="宋体"/>
          <w:sz w:val="32"/>
          <w:szCs w:val="32"/>
        </w:rPr>
        <w:t>）</w:t>
      </w:r>
      <w:r>
        <w:rPr>
          <w:rFonts w:ascii="仿宋_GB2312" w:eastAsia="仿宋_GB2312" w:cs="宋体"/>
          <w:sz w:val="32"/>
          <w:szCs w:val="32"/>
        </w:rPr>
        <w:t>2023年3月29日，提交项目立项申请书。</w:t>
      </w:r>
    </w:p>
    <w:p w14:paraId="263CD49D">
      <w:pPr>
        <w:spacing w:line="348" w:lineRule="auto"/>
        <w:ind w:right="96" w:firstLine="640" w:firstLineChars="200"/>
        <w:rPr>
          <w:rFonts w:ascii="仿宋_GB2312" w:eastAsia="仿宋_GB2312" w:cs="宋体"/>
          <w:sz w:val="32"/>
          <w:szCs w:val="32"/>
        </w:rPr>
      </w:pPr>
      <w:r>
        <w:rPr>
          <w:rFonts w:ascii="仿宋_GB2312" w:eastAsia="仿宋_GB2312" w:cs="宋体"/>
          <w:sz w:val="32"/>
          <w:szCs w:val="32"/>
        </w:rPr>
        <w:t>3</w:t>
      </w:r>
      <w:r>
        <w:rPr>
          <w:rFonts w:hint="eastAsia" w:ascii="仿宋_GB2312" w:eastAsia="仿宋_GB2312" w:cs="宋体"/>
          <w:sz w:val="32"/>
          <w:szCs w:val="32"/>
        </w:rPr>
        <w:t>）</w:t>
      </w:r>
      <w:r>
        <w:rPr>
          <w:rFonts w:ascii="仿宋_GB2312" w:eastAsia="仿宋_GB2312" w:cs="宋体"/>
          <w:sz w:val="32"/>
          <w:szCs w:val="32"/>
        </w:rPr>
        <w:t>2023年5月25日，召开立项评审会，邀请专家对草案给出建议。</w:t>
      </w:r>
    </w:p>
    <w:p w14:paraId="7D582FA3">
      <w:pPr>
        <w:spacing w:line="348" w:lineRule="auto"/>
        <w:ind w:right="96" w:firstLine="640" w:firstLineChars="200"/>
        <w:rPr>
          <w:rFonts w:ascii="仿宋_GB2312" w:eastAsia="仿宋_GB2312" w:cs="宋体"/>
          <w:sz w:val="32"/>
          <w:szCs w:val="32"/>
        </w:rPr>
      </w:pPr>
      <w:r>
        <w:rPr>
          <w:rFonts w:hint="eastAsia" w:ascii="仿宋_GB2312" w:eastAsia="仿宋_GB2312" w:cs="宋体"/>
          <w:sz w:val="32"/>
          <w:szCs w:val="32"/>
        </w:rPr>
        <w:t>4）2</w:t>
      </w:r>
      <w:r>
        <w:rPr>
          <w:rFonts w:ascii="仿宋_GB2312" w:eastAsia="仿宋_GB2312" w:cs="宋体"/>
          <w:sz w:val="32"/>
          <w:szCs w:val="32"/>
        </w:rPr>
        <w:t>023</w:t>
      </w:r>
      <w:r>
        <w:rPr>
          <w:rFonts w:hint="eastAsia" w:ascii="仿宋_GB2312" w:eastAsia="仿宋_GB2312" w:cs="宋体"/>
          <w:sz w:val="32"/>
          <w:szCs w:val="32"/>
        </w:rPr>
        <w:t>年6月1</w:t>
      </w:r>
      <w:r>
        <w:rPr>
          <w:rFonts w:ascii="仿宋_GB2312" w:eastAsia="仿宋_GB2312" w:cs="宋体"/>
          <w:sz w:val="32"/>
          <w:szCs w:val="32"/>
        </w:rPr>
        <w:t>1</w:t>
      </w:r>
      <w:r>
        <w:rPr>
          <w:rFonts w:hint="eastAsia" w:ascii="仿宋_GB2312" w:eastAsia="仿宋_GB2312" w:cs="宋体"/>
          <w:sz w:val="32"/>
          <w:szCs w:val="32"/>
        </w:rPr>
        <w:t>日至20</w:t>
      </w:r>
      <w:r>
        <w:rPr>
          <w:rFonts w:ascii="仿宋_GB2312" w:eastAsia="仿宋_GB2312" w:cs="宋体"/>
          <w:sz w:val="32"/>
          <w:szCs w:val="32"/>
        </w:rPr>
        <w:t>23</w:t>
      </w:r>
      <w:r>
        <w:rPr>
          <w:rFonts w:hint="eastAsia" w:ascii="仿宋_GB2312" w:eastAsia="仿宋_GB2312" w:cs="宋体"/>
          <w:sz w:val="32"/>
          <w:szCs w:val="32"/>
        </w:rPr>
        <w:t>年</w:t>
      </w:r>
      <w:r>
        <w:rPr>
          <w:rFonts w:ascii="仿宋_GB2312" w:eastAsia="仿宋_GB2312" w:cs="宋体"/>
          <w:sz w:val="32"/>
          <w:szCs w:val="32"/>
        </w:rPr>
        <w:t>8</w:t>
      </w:r>
      <w:r>
        <w:rPr>
          <w:rFonts w:hint="eastAsia" w:ascii="仿宋_GB2312" w:eastAsia="仿宋_GB2312" w:cs="宋体"/>
          <w:sz w:val="32"/>
          <w:szCs w:val="32"/>
        </w:rPr>
        <w:t>月</w:t>
      </w:r>
      <w:r>
        <w:rPr>
          <w:rFonts w:ascii="仿宋_GB2312" w:eastAsia="仿宋_GB2312" w:cs="宋体"/>
          <w:sz w:val="32"/>
          <w:szCs w:val="32"/>
        </w:rPr>
        <w:t>15</w:t>
      </w:r>
      <w:r>
        <w:rPr>
          <w:rFonts w:hint="eastAsia" w:ascii="仿宋_GB2312" w:eastAsia="仿宋_GB2312" w:cs="宋体"/>
          <w:sz w:val="32"/>
          <w:szCs w:val="32"/>
        </w:rPr>
        <w:t>日，期间进行了多次标准工作组内部讨论，并根据专家提出的建议进行修改，形成第二版草案。</w:t>
      </w:r>
    </w:p>
    <w:p w14:paraId="4036D46B">
      <w:pPr>
        <w:spacing w:line="348" w:lineRule="auto"/>
        <w:ind w:right="96" w:firstLine="640" w:firstLineChars="200"/>
        <w:rPr>
          <w:rFonts w:ascii="仿宋_GB2312" w:eastAsia="仿宋_GB2312" w:cs="宋体"/>
          <w:sz w:val="32"/>
          <w:szCs w:val="32"/>
        </w:rPr>
      </w:pPr>
      <w:r>
        <w:rPr>
          <w:rFonts w:ascii="仿宋_GB2312" w:eastAsia="仿宋_GB2312" w:cs="宋体"/>
          <w:sz w:val="32"/>
          <w:szCs w:val="32"/>
        </w:rPr>
        <w:t>5</w:t>
      </w:r>
      <w:r>
        <w:rPr>
          <w:rFonts w:hint="eastAsia" w:ascii="仿宋_GB2312" w:eastAsia="仿宋_GB2312" w:cs="宋体"/>
          <w:sz w:val="32"/>
          <w:szCs w:val="32"/>
        </w:rPr>
        <w:t>）20</w:t>
      </w:r>
      <w:r>
        <w:rPr>
          <w:rFonts w:ascii="仿宋_GB2312" w:eastAsia="仿宋_GB2312" w:cs="宋体"/>
          <w:sz w:val="32"/>
          <w:szCs w:val="32"/>
        </w:rPr>
        <w:t>23</w:t>
      </w:r>
      <w:r>
        <w:rPr>
          <w:rFonts w:hint="eastAsia" w:ascii="仿宋_GB2312" w:eastAsia="仿宋_GB2312" w:cs="宋体"/>
          <w:sz w:val="32"/>
          <w:szCs w:val="32"/>
        </w:rPr>
        <w:t>年</w:t>
      </w:r>
      <w:r>
        <w:rPr>
          <w:rFonts w:ascii="仿宋_GB2312" w:eastAsia="仿宋_GB2312" w:cs="宋体"/>
          <w:sz w:val="32"/>
          <w:szCs w:val="32"/>
        </w:rPr>
        <w:t>8</w:t>
      </w:r>
      <w:r>
        <w:rPr>
          <w:rFonts w:hint="eastAsia" w:ascii="仿宋_GB2312" w:eastAsia="仿宋_GB2312" w:cs="宋体"/>
          <w:sz w:val="32"/>
          <w:szCs w:val="32"/>
        </w:rPr>
        <w:t>月</w:t>
      </w:r>
      <w:r>
        <w:rPr>
          <w:rFonts w:ascii="仿宋_GB2312" w:eastAsia="仿宋_GB2312" w:cs="宋体"/>
          <w:sz w:val="32"/>
          <w:szCs w:val="32"/>
        </w:rPr>
        <w:t>20</w:t>
      </w:r>
      <w:r>
        <w:rPr>
          <w:rFonts w:hint="eastAsia" w:ascii="仿宋_GB2312" w:eastAsia="仿宋_GB2312" w:cs="宋体"/>
          <w:sz w:val="32"/>
          <w:szCs w:val="32"/>
        </w:rPr>
        <w:t>日，邀请专家对第二版草案给出建议。</w:t>
      </w:r>
    </w:p>
    <w:p w14:paraId="127FD3C2">
      <w:pPr>
        <w:spacing w:line="348" w:lineRule="auto"/>
        <w:ind w:right="96" w:firstLine="640" w:firstLineChars="200"/>
        <w:rPr>
          <w:rFonts w:ascii="仿宋_GB2312" w:eastAsia="仿宋_GB2312" w:cs="宋体"/>
          <w:sz w:val="32"/>
          <w:szCs w:val="32"/>
        </w:rPr>
      </w:pPr>
      <w:r>
        <w:rPr>
          <w:rFonts w:ascii="仿宋_GB2312" w:eastAsia="仿宋_GB2312" w:cs="宋体"/>
          <w:sz w:val="32"/>
          <w:szCs w:val="32"/>
        </w:rPr>
        <w:t>6</w:t>
      </w:r>
      <w:r>
        <w:rPr>
          <w:rFonts w:hint="eastAsia" w:ascii="仿宋_GB2312" w:eastAsia="仿宋_GB2312" w:cs="宋体"/>
          <w:sz w:val="32"/>
          <w:szCs w:val="32"/>
        </w:rPr>
        <w:t>）20</w:t>
      </w:r>
      <w:r>
        <w:rPr>
          <w:rFonts w:ascii="仿宋_GB2312" w:eastAsia="仿宋_GB2312" w:cs="宋体"/>
          <w:sz w:val="32"/>
          <w:szCs w:val="32"/>
        </w:rPr>
        <w:t>23</w:t>
      </w:r>
      <w:r>
        <w:rPr>
          <w:rFonts w:hint="eastAsia" w:ascii="仿宋_GB2312" w:eastAsia="仿宋_GB2312" w:cs="宋体"/>
          <w:sz w:val="32"/>
          <w:szCs w:val="32"/>
        </w:rPr>
        <w:t>年</w:t>
      </w:r>
      <w:r>
        <w:rPr>
          <w:rFonts w:ascii="仿宋_GB2312" w:eastAsia="仿宋_GB2312" w:cs="宋体"/>
          <w:sz w:val="32"/>
          <w:szCs w:val="32"/>
        </w:rPr>
        <w:t>8</w:t>
      </w:r>
      <w:r>
        <w:rPr>
          <w:rFonts w:hint="eastAsia" w:ascii="仿宋_GB2312" w:eastAsia="仿宋_GB2312" w:cs="宋体"/>
          <w:sz w:val="32"/>
          <w:szCs w:val="32"/>
        </w:rPr>
        <w:t>月</w:t>
      </w:r>
      <w:r>
        <w:rPr>
          <w:rFonts w:ascii="仿宋_GB2312" w:eastAsia="仿宋_GB2312" w:cs="宋体"/>
          <w:sz w:val="32"/>
          <w:szCs w:val="32"/>
        </w:rPr>
        <w:t>25</w:t>
      </w:r>
      <w:r>
        <w:rPr>
          <w:rFonts w:hint="eastAsia" w:ascii="仿宋_GB2312" w:eastAsia="仿宋_GB2312" w:cs="宋体"/>
          <w:sz w:val="32"/>
          <w:szCs w:val="32"/>
        </w:rPr>
        <w:t>日至2</w:t>
      </w:r>
      <w:r>
        <w:rPr>
          <w:rFonts w:ascii="仿宋_GB2312" w:eastAsia="仿宋_GB2312" w:cs="宋体"/>
          <w:sz w:val="32"/>
          <w:szCs w:val="32"/>
        </w:rPr>
        <w:t>023</w:t>
      </w:r>
      <w:r>
        <w:rPr>
          <w:rFonts w:hint="eastAsia" w:ascii="仿宋_GB2312" w:eastAsia="仿宋_GB2312" w:cs="宋体"/>
          <w:sz w:val="32"/>
          <w:szCs w:val="32"/>
        </w:rPr>
        <w:t>年</w:t>
      </w:r>
      <w:r>
        <w:rPr>
          <w:rFonts w:ascii="仿宋_GB2312" w:eastAsia="仿宋_GB2312" w:cs="宋体"/>
          <w:sz w:val="32"/>
          <w:szCs w:val="32"/>
        </w:rPr>
        <w:t>9</w:t>
      </w:r>
      <w:r>
        <w:rPr>
          <w:rFonts w:hint="eastAsia" w:ascii="仿宋_GB2312" w:eastAsia="仿宋_GB2312" w:cs="宋体"/>
          <w:sz w:val="32"/>
          <w:szCs w:val="32"/>
        </w:rPr>
        <w:t>月</w:t>
      </w:r>
      <w:r>
        <w:rPr>
          <w:rFonts w:ascii="仿宋_GB2312" w:eastAsia="仿宋_GB2312" w:cs="宋体"/>
          <w:sz w:val="32"/>
          <w:szCs w:val="32"/>
        </w:rPr>
        <w:t>28</w:t>
      </w:r>
      <w:r>
        <w:rPr>
          <w:rFonts w:hint="eastAsia" w:ascii="仿宋_GB2312" w:eastAsia="仿宋_GB2312" w:cs="宋体"/>
          <w:sz w:val="32"/>
          <w:szCs w:val="32"/>
        </w:rPr>
        <w:t>日，期间进行了多次标准工作组内部讨论，并根据专家提出的建议针对草案部分内容进行了细节的修改与调整，形成第三版草案。</w:t>
      </w:r>
    </w:p>
    <w:p w14:paraId="4CEB6682">
      <w:pPr>
        <w:spacing w:line="348" w:lineRule="auto"/>
        <w:ind w:right="96" w:firstLine="640" w:firstLineChars="200"/>
        <w:rPr>
          <w:rFonts w:ascii="仿宋_GB2312" w:eastAsia="仿宋_GB2312" w:cs="宋体"/>
          <w:sz w:val="32"/>
          <w:szCs w:val="32"/>
        </w:rPr>
      </w:pPr>
      <w:r>
        <w:rPr>
          <w:rFonts w:ascii="仿宋_GB2312" w:eastAsia="仿宋_GB2312" w:cs="宋体"/>
          <w:sz w:val="32"/>
          <w:szCs w:val="32"/>
        </w:rPr>
        <w:t>7</w:t>
      </w:r>
      <w:r>
        <w:rPr>
          <w:rFonts w:hint="eastAsia" w:ascii="仿宋_GB2312" w:eastAsia="仿宋_GB2312" w:cs="宋体"/>
          <w:sz w:val="32"/>
          <w:szCs w:val="32"/>
        </w:rPr>
        <w:t>）20</w:t>
      </w:r>
      <w:r>
        <w:rPr>
          <w:rFonts w:ascii="仿宋_GB2312" w:eastAsia="仿宋_GB2312" w:cs="宋体"/>
          <w:sz w:val="32"/>
          <w:szCs w:val="32"/>
        </w:rPr>
        <w:t>23</w:t>
      </w:r>
      <w:r>
        <w:rPr>
          <w:rFonts w:hint="eastAsia" w:ascii="仿宋_GB2312" w:eastAsia="仿宋_GB2312" w:cs="宋体"/>
          <w:sz w:val="32"/>
          <w:szCs w:val="32"/>
        </w:rPr>
        <w:t>年</w:t>
      </w:r>
      <w:r>
        <w:rPr>
          <w:rFonts w:ascii="仿宋_GB2312" w:eastAsia="仿宋_GB2312" w:cs="宋体"/>
          <w:sz w:val="32"/>
          <w:szCs w:val="32"/>
        </w:rPr>
        <w:t>10</w:t>
      </w:r>
      <w:r>
        <w:rPr>
          <w:rFonts w:hint="eastAsia" w:ascii="仿宋_GB2312" w:eastAsia="仿宋_GB2312" w:cs="宋体"/>
          <w:sz w:val="32"/>
          <w:szCs w:val="32"/>
        </w:rPr>
        <w:t>月</w:t>
      </w:r>
      <w:r>
        <w:rPr>
          <w:rFonts w:ascii="仿宋_GB2312" w:eastAsia="仿宋_GB2312" w:cs="宋体"/>
          <w:sz w:val="32"/>
          <w:szCs w:val="32"/>
        </w:rPr>
        <w:t>14</w:t>
      </w:r>
      <w:r>
        <w:rPr>
          <w:rFonts w:hint="eastAsia" w:ascii="仿宋_GB2312" w:eastAsia="仿宋_GB2312" w:cs="宋体"/>
          <w:sz w:val="32"/>
          <w:szCs w:val="32"/>
        </w:rPr>
        <w:t>日，邀请专家对第三版草案给出建议。</w:t>
      </w:r>
    </w:p>
    <w:p w14:paraId="59A3DC40">
      <w:pPr>
        <w:spacing w:line="348" w:lineRule="auto"/>
        <w:ind w:right="96" w:firstLine="640" w:firstLineChars="200"/>
        <w:rPr>
          <w:rFonts w:ascii="仿宋_GB2312" w:eastAsia="仿宋_GB2312" w:cs="宋体"/>
          <w:sz w:val="32"/>
          <w:szCs w:val="32"/>
        </w:rPr>
      </w:pPr>
      <w:r>
        <w:rPr>
          <w:rFonts w:ascii="仿宋_GB2312" w:eastAsia="仿宋_GB2312" w:cs="宋体"/>
          <w:sz w:val="32"/>
          <w:szCs w:val="32"/>
        </w:rPr>
        <w:t>8</w:t>
      </w:r>
      <w:r>
        <w:rPr>
          <w:rFonts w:hint="eastAsia" w:ascii="仿宋_GB2312" w:eastAsia="仿宋_GB2312" w:cs="宋体"/>
          <w:sz w:val="32"/>
          <w:szCs w:val="32"/>
        </w:rPr>
        <w:t>）2</w:t>
      </w:r>
      <w:r>
        <w:rPr>
          <w:rFonts w:ascii="仿宋_GB2312" w:eastAsia="仿宋_GB2312" w:cs="宋体"/>
          <w:sz w:val="32"/>
          <w:szCs w:val="32"/>
        </w:rPr>
        <w:t>024</w:t>
      </w:r>
      <w:r>
        <w:rPr>
          <w:rFonts w:hint="eastAsia" w:ascii="仿宋_GB2312" w:eastAsia="仿宋_GB2312" w:cs="宋体"/>
          <w:sz w:val="32"/>
          <w:szCs w:val="32"/>
        </w:rPr>
        <w:t>年</w:t>
      </w:r>
      <w:r>
        <w:rPr>
          <w:rFonts w:ascii="仿宋_GB2312" w:eastAsia="仿宋_GB2312" w:cs="宋体"/>
          <w:sz w:val="32"/>
          <w:szCs w:val="32"/>
        </w:rPr>
        <w:t>6</w:t>
      </w:r>
      <w:r>
        <w:rPr>
          <w:rFonts w:hint="eastAsia" w:ascii="仿宋_GB2312" w:eastAsia="仿宋_GB2312" w:cs="宋体"/>
          <w:sz w:val="32"/>
          <w:szCs w:val="32"/>
        </w:rPr>
        <w:t>月2</w:t>
      </w:r>
      <w:r>
        <w:rPr>
          <w:rFonts w:ascii="仿宋_GB2312" w:eastAsia="仿宋_GB2312" w:cs="宋体"/>
          <w:sz w:val="32"/>
          <w:szCs w:val="32"/>
        </w:rPr>
        <w:t>8</w:t>
      </w:r>
      <w:r>
        <w:rPr>
          <w:rFonts w:hint="eastAsia" w:ascii="仿宋_GB2312" w:eastAsia="仿宋_GB2312" w:cs="宋体"/>
          <w:sz w:val="32"/>
          <w:szCs w:val="32"/>
        </w:rPr>
        <w:t>日，召开专家评审会，邀请专家对修改后的版本进行评审。</w:t>
      </w:r>
    </w:p>
    <w:p w14:paraId="78EAAC63">
      <w:pPr>
        <w:spacing w:line="348" w:lineRule="auto"/>
        <w:ind w:right="96" w:firstLine="640" w:firstLineChars="200"/>
        <w:rPr>
          <w:rFonts w:ascii="仿宋_GB2312" w:eastAsia="仿宋_GB2312" w:cs="宋体"/>
          <w:sz w:val="32"/>
          <w:szCs w:val="32"/>
        </w:rPr>
      </w:pPr>
      <w:r>
        <w:rPr>
          <w:rFonts w:hint="eastAsia" w:ascii="仿宋_GB2312" w:eastAsia="仿宋_GB2312" w:cs="宋体"/>
          <w:sz w:val="32"/>
          <w:szCs w:val="32"/>
        </w:rPr>
        <w:t>9</w:t>
      </w:r>
      <w:r>
        <w:rPr>
          <w:rFonts w:ascii="仿宋_GB2312" w:eastAsia="仿宋_GB2312" w:cs="宋体"/>
          <w:sz w:val="32"/>
          <w:szCs w:val="32"/>
        </w:rPr>
        <w:t>）2024年8月，形成征求意见稿</w:t>
      </w:r>
      <w:r>
        <w:rPr>
          <w:rFonts w:hint="eastAsia" w:ascii="仿宋_GB2312" w:eastAsia="仿宋_GB2312" w:cs="宋体"/>
          <w:sz w:val="32"/>
          <w:szCs w:val="32"/>
        </w:rPr>
        <w:t>。</w:t>
      </w:r>
    </w:p>
    <w:p w14:paraId="0C81A9DC">
      <w:pPr>
        <w:numPr>
          <w:ilvl w:val="0"/>
          <w:numId w:val="1"/>
        </w:numPr>
        <w:spacing w:before="156" w:beforeLines="50" w:line="348" w:lineRule="auto"/>
        <w:ind w:left="0" w:right="96" w:firstLine="0"/>
        <w:rPr>
          <w:rFonts w:ascii="黑体" w:eastAsia="黑体" w:cs="宋体"/>
          <w:b/>
          <w:bCs/>
          <w:sz w:val="32"/>
          <w:szCs w:val="32"/>
        </w:rPr>
      </w:pPr>
      <w:r>
        <w:rPr>
          <w:rFonts w:hint="eastAsia" w:ascii="黑体" w:eastAsia="黑体" w:cs="宋体"/>
          <w:b/>
          <w:bCs/>
          <w:sz w:val="32"/>
          <w:szCs w:val="32"/>
        </w:rPr>
        <w:t>主要内容技术指标确立</w:t>
      </w:r>
    </w:p>
    <w:p w14:paraId="2EDFB3EC">
      <w:pPr>
        <w:ind w:firstLine="640" w:firstLineChars="200"/>
        <w:rPr>
          <w:rFonts w:ascii="仿宋_GB2312" w:eastAsia="仿宋_GB2312" w:cs="宋体"/>
          <w:sz w:val="32"/>
          <w:szCs w:val="32"/>
        </w:rPr>
      </w:pPr>
      <w:r>
        <w:rPr>
          <w:rFonts w:hint="eastAsia" w:ascii="仿宋_GB2312" w:eastAsia="仿宋_GB2312" w:cs="宋体"/>
          <w:sz w:val="32"/>
          <w:szCs w:val="32"/>
        </w:rPr>
        <w:t>本标准包含隐私计算框架、隐私信息抽取与度量、隐私度量动态调整、隐私延伸控制、隐私按需保护、保护效果评估、存证与取证等内容。</w:t>
      </w:r>
      <w:r>
        <w:rPr>
          <w:rFonts w:ascii="仿宋_GB2312" w:eastAsia="仿宋_GB2312" w:cs="宋体"/>
          <w:sz w:val="32"/>
          <w:szCs w:val="32"/>
        </w:rPr>
        <w:t>详情如下：</w:t>
      </w:r>
    </w:p>
    <w:p w14:paraId="5FEDDD91">
      <w:pPr>
        <w:ind w:firstLine="640" w:firstLineChars="200"/>
        <w:rPr>
          <w:rFonts w:ascii="仿宋_GB2312" w:eastAsia="仿宋_GB2312" w:cs="宋体"/>
          <w:sz w:val="32"/>
          <w:szCs w:val="32"/>
        </w:rPr>
      </w:pPr>
      <w:r>
        <w:rPr>
          <w:rFonts w:ascii="仿宋_GB2312" w:eastAsia="仿宋_GB2312" w:cs="宋体"/>
          <w:sz w:val="32"/>
          <w:szCs w:val="32"/>
        </w:rPr>
        <w:t>1</w:t>
      </w:r>
      <w:r>
        <w:rPr>
          <w:rFonts w:hint="eastAsia" w:ascii="仿宋_GB2312" w:eastAsia="仿宋_GB2312" w:cs="宋体"/>
          <w:sz w:val="32"/>
          <w:szCs w:val="32"/>
        </w:rPr>
        <w:t>、隐私计算框架：</w:t>
      </w:r>
      <w:r>
        <w:rPr>
          <w:rFonts w:ascii="仿宋_GB2312" w:eastAsia="仿宋_GB2312" w:cs="宋体"/>
          <w:sz w:val="32"/>
          <w:szCs w:val="32"/>
        </w:rPr>
        <w:t>包括隐私信息抽取与度量、隐私度量动态调整、隐私延伸控制、隐私按需保护、保护效果评估、存证与取证等功能组件</w:t>
      </w:r>
      <w:r>
        <w:rPr>
          <w:rFonts w:hint="eastAsia" w:ascii="仿宋_GB2312" w:eastAsia="仿宋_GB2312" w:cs="宋体"/>
          <w:sz w:val="32"/>
          <w:szCs w:val="32"/>
        </w:rPr>
        <w:t>。</w:t>
      </w:r>
    </w:p>
    <w:p w14:paraId="6C1E9396">
      <w:pPr>
        <w:ind w:firstLine="640" w:firstLineChars="200"/>
        <w:rPr>
          <w:rFonts w:ascii="仿宋_GB2312" w:eastAsia="仿宋_GB2312" w:cs="宋体"/>
          <w:sz w:val="32"/>
          <w:szCs w:val="32"/>
        </w:rPr>
      </w:pPr>
      <w:r>
        <w:rPr>
          <w:rFonts w:ascii="仿宋_GB2312" w:eastAsia="仿宋_GB2312" w:cs="宋体"/>
          <w:sz w:val="32"/>
          <w:szCs w:val="32"/>
        </w:rPr>
        <w:t>2</w:t>
      </w:r>
      <w:r>
        <w:rPr>
          <w:rFonts w:hint="eastAsia" w:ascii="仿宋_GB2312" w:eastAsia="仿宋_GB2312" w:cs="宋体"/>
          <w:sz w:val="32"/>
          <w:szCs w:val="32"/>
        </w:rPr>
        <w:t>、隐私信息抽取与度量：通过对采集或接收的信息进行隐私信息分量识别和抽取，然后对隐私信息分量进行分类和度量。</w:t>
      </w:r>
    </w:p>
    <w:p w14:paraId="7E25F7F3">
      <w:pPr>
        <w:ind w:firstLine="640" w:firstLineChars="200"/>
        <w:rPr>
          <w:rFonts w:ascii="仿宋_GB2312" w:eastAsia="仿宋_GB2312" w:cs="宋体"/>
          <w:sz w:val="32"/>
          <w:szCs w:val="32"/>
        </w:rPr>
      </w:pPr>
      <w:r>
        <w:rPr>
          <w:rFonts w:hint="eastAsia" w:ascii="仿宋_GB2312" w:eastAsia="仿宋_GB2312" w:cs="宋体"/>
          <w:sz w:val="32"/>
          <w:szCs w:val="32"/>
        </w:rPr>
        <w:t>3、隐私度量动态调整：在隐私信息抽取与度量的基础上，识别隐私信息所属的应用场景，并针对性地动态调整隐私信息分量的敏感度或保护程度。</w:t>
      </w:r>
    </w:p>
    <w:p w14:paraId="584E219C">
      <w:pPr>
        <w:ind w:firstLine="640" w:firstLineChars="200"/>
        <w:rPr>
          <w:rFonts w:ascii="仿宋_GB2312" w:eastAsia="仿宋_GB2312" w:cs="宋体"/>
          <w:sz w:val="32"/>
          <w:szCs w:val="32"/>
        </w:rPr>
      </w:pPr>
      <w:r>
        <w:rPr>
          <w:rFonts w:hint="eastAsia" w:ascii="仿宋_GB2312" w:eastAsia="仿宋_GB2312" w:cs="宋体"/>
          <w:sz w:val="32"/>
          <w:szCs w:val="32"/>
        </w:rPr>
        <w:t>4、隐私延伸控制：对数据泛在流通与共享过程中脱敏、存储、使用、交换、发布、删除等进行操作约束。</w:t>
      </w:r>
    </w:p>
    <w:p w14:paraId="62EF58D0">
      <w:pPr>
        <w:ind w:firstLine="640" w:firstLineChars="200"/>
        <w:rPr>
          <w:rFonts w:ascii="仿宋_GB2312" w:eastAsia="仿宋_GB2312" w:cs="宋体"/>
          <w:sz w:val="32"/>
          <w:szCs w:val="32"/>
        </w:rPr>
      </w:pPr>
      <w:r>
        <w:rPr>
          <w:rFonts w:hint="eastAsia" w:ascii="仿宋_GB2312" w:eastAsia="仿宋_GB2312" w:cs="宋体"/>
          <w:sz w:val="32"/>
          <w:szCs w:val="32"/>
        </w:rPr>
        <w:t>5、隐私按需保护：用于隐私信息处理者根据隐私信息所有者或隐私信息提供者的脱敏要求、隐私信息模态以及隐私信息接收者的隐私保护能力等因素，</w:t>
      </w:r>
      <w:r>
        <w:rPr>
          <w:rFonts w:ascii="仿宋_GB2312" w:eastAsia="仿宋_GB2312" w:cs="宋体"/>
          <w:sz w:val="32"/>
          <w:szCs w:val="32"/>
        </w:rPr>
        <w:t>对隐私信息分量进行场景自适应的脱敏和删除操作。</w:t>
      </w:r>
    </w:p>
    <w:p w14:paraId="70566883">
      <w:pPr>
        <w:ind w:firstLine="640" w:firstLineChars="200"/>
        <w:rPr>
          <w:rFonts w:ascii="仿宋_GB2312" w:eastAsia="仿宋_GB2312" w:cs="宋体"/>
          <w:sz w:val="32"/>
          <w:szCs w:val="32"/>
        </w:rPr>
      </w:pPr>
      <w:r>
        <w:rPr>
          <w:rFonts w:hint="eastAsia" w:ascii="仿宋_GB2312" w:eastAsia="仿宋_GB2312" w:cs="宋体"/>
          <w:sz w:val="32"/>
          <w:szCs w:val="32"/>
        </w:rPr>
        <w:t>6、保护效果评估：是对从脱敏后的隐私信息中恢复损失信息的难度，或者恢复已删除隐私信息的可能性进行评价。</w:t>
      </w:r>
    </w:p>
    <w:p w14:paraId="28A89337">
      <w:pPr>
        <w:ind w:firstLine="640" w:firstLineChars="200"/>
        <w:rPr>
          <w:rFonts w:ascii="仿宋_GB2312" w:eastAsia="仿宋_GB2312" w:cs="宋体"/>
          <w:sz w:val="32"/>
          <w:szCs w:val="32"/>
        </w:rPr>
      </w:pPr>
      <w:r>
        <w:rPr>
          <w:rFonts w:hint="eastAsia" w:ascii="仿宋_GB2312" w:eastAsia="仿宋_GB2312" w:cs="宋体"/>
          <w:sz w:val="32"/>
          <w:szCs w:val="32"/>
        </w:rPr>
        <w:t>7、存证与取证：主要是对隐私计算其他功能组件的运行、隐私信息的处理等情况进行可信记录，以便于开展内部监测、或者按照法律法规接受外部监管者的合规审查、侵权行为追踪溯源的服务请求提供必要的证据和技术接口。</w:t>
      </w:r>
    </w:p>
    <w:p w14:paraId="255ED40C">
      <w:pPr>
        <w:ind w:firstLine="640" w:firstLineChars="200"/>
        <w:rPr>
          <w:rFonts w:ascii="仿宋_GB2312" w:eastAsia="仿宋_GB2312" w:cs="宋体"/>
          <w:sz w:val="32"/>
          <w:szCs w:val="32"/>
        </w:rPr>
      </w:pPr>
      <w:r>
        <w:rPr>
          <w:rFonts w:hint="eastAsia" w:ascii="仿宋_GB2312" w:eastAsia="仿宋_GB2312" w:cs="宋体"/>
          <w:sz w:val="32"/>
          <w:szCs w:val="32"/>
        </w:rPr>
        <w:t>本标准适用于数据泛在流通与共享过程中隐私信息全生命周期保护、跨平台</w:t>
      </w:r>
      <w:r>
        <w:rPr>
          <w:rFonts w:ascii="仿宋_GB2312" w:eastAsia="仿宋_GB2312" w:cs="宋体"/>
          <w:sz w:val="32"/>
          <w:szCs w:val="32"/>
        </w:rPr>
        <w:t>/跨系统/跨域流通利用的隐私延伸控制、隐私按需保护、保护效果评估等，适用于互联网、通信等领域的企业为主体的个人信息处理者、个人信息保护产品提供商、产品评测机构、个人信息保护合规审计评估机构、认证监管机构等，为隐私信息保护、隐私计算服务安全评估提供参考。</w:t>
      </w:r>
    </w:p>
    <w:p w14:paraId="2E7D7716">
      <w:pPr>
        <w:ind w:firstLine="640" w:firstLineChars="200"/>
        <w:rPr>
          <w:rFonts w:ascii="仿宋_GB2312" w:eastAsia="仿宋_GB2312" w:cs="宋体"/>
          <w:sz w:val="32"/>
          <w:szCs w:val="32"/>
        </w:rPr>
      </w:pPr>
      <w:r>
        <w:rPr>
          <w:rFonts w:hint="eastAsia" w:ascii="仿宋_GB2312" w:eastAsia="仿宋_GB2312" w:cs="宋体"/>
          <w:sz w:val="32"/>
          <w:szCs w:val="32"/>
        </w:rPr>
        <w:t>本标准牵头单位为中国科学院信息工程研究所，参加单位包括</w:t>
      </w:r>
      <w:r>
        <w:rPr>
          <w:rFonts w:ascii="仿宋_GB2312" w:hAnsi="仿宋_GB2312" w:eastAsia="仿宋_GB2312" w:cs="仿宋_GB2312"/>
          <w:sz w:val="32"/>
          <w:szCs w:val="32"/>
        </w:rPr>
        <w:t>中国科学院信息工程研究所、</w:t>
      </w:r>
      <w:r>
        <w:rPr>
          <w:rFonts w:hint="eastAsia" w:ascii="仿宋_GB2312" w:hAnsi="仿宋_GB2312" w:eastAsia="仿宋_GB2312" w:cs="仿宋_GB2312"/>
          <w:sz w:val="32"/>
          <w:szCs w:val="32"/>
        </w:rPr>
        <w:t>中国电信股份有限公司、中国网络安全审查认证和市场监管大数据中心、四川昊华锐恒科技有限公司、成都西电网络安全研究院、</w:t>
      </w:r>
      <w:r>
        <w:rPr>
          <w:rFonts w:ascii="仿宋_GB2312" w:hAnsi="仿宋_GB2312" w:eastAsia="仿宋_GB2312" w:cs="仿宋_GB2312"/>
          <w:sz w:val="32"/>
          <w:szCs w:val="32"/>
        </w:rPr>
        <w:t>国网上海研究院</w:t>
      </w:r>
      <w:r>
        <w:rPr>
          <w:rFonts w:hint="eastAsia" w:ascii="仿宋_GB2312" w:hAnsi="仿宋_GB2312" w:eastAsia="仿宋_GB2312" w:cs="仿宋_GB2312"/>
          <w:sz w:val="32"/>
          <w:szCs w:val="32"/>
        </w:rPr>
        <w:t>、北京市计算中心有限公司、普华永道商务咨询</w:t>
      </w:r>
      <w:r>
        <w:rPr>
          <w:rFonts w:ascii="仿宋_GB2312" w:hAnsi="仿宋_GB2312" w:eastAsia="仿宋_GB2312" w:cs="仿宋_GB2312"/>
          <w:sz w:val="32"/>
          <w:szCs w:val="32"/>
        </w:rPr>
        <w:t>(上海)有限公司</w:t>
      </w:r>
      <w:r>
        <w:rPr>
          <w:rFonts w:hint="eastAsia" w:ascii="仿宋_GB2312" w:hAnsi="仿宋_GB2312" w:eastAsia="仿宋_GB2312" w:cs="仿宋_GB2312"/>
          <w:sz w:val="32"/>
          <w:szCs w:val="32"/>
        </w:rPr>
        <w:t>等</w:t>
      </w:r>
      <w:r>
        <w:rPr>
          <w:rFonts w:hint="eastAsia" w:ascii="仿宋_GB2312" w:eastAsia="仿宋_GB2312" w:cs="宋体"/>
          <w:sz w:val="32"/>
          <w:szCs w:val="32"/>
          <w:lang w:eastAsia="zh-Hans"/>
        </w:rPr>
        <w:t>。</w:t>
      </w:r>
    </w:p>
    <w:p w14:paraId="1E4E5D63">
      <w:pPr>
        <w:numPr>
          <w:ilvl w:val="0"/>
          <w:numId w:val="1"/>
        </w:numPr>
        <w:spacing w:before="156" w:beforeLines="50" w:line="348" w:lineRule="auto"/>
        <w:ind w:left="0" w:right="96" w:firstLine="0"/>
        <w:rPr>
          <w:rFonts w:ascii="黑体" w:eastAsia="黑体" w:cs="宋体"/>
          <w:b/>
          <w:bCs/>
          <w:sz w:val="32"/>
          <w:szCs w:val="32"/>
        </w:rPr>
      </w:pPr>
      <w:r>
        <w:rPr>
          <w:rFonts w:hint="eastAsia" w:ascii="黑体" w:eastAsia="黑体" w:cs="宋体"/>
          <w:b/>
          <w:bCs/>
          <w:sz w:val="32"/>
          <w:szCs w:val="32"/>
        </w:rPr>
        <w:t>与相关法律法规和国家标准的关系</w:t>
      </w:r>
    </w:p>
    <w:p w14:paraId="3F616300">
      <w:pPr>
        <w:ind w:firstLine="640" w:firstLineChars="200"/>
        <w:rPr>
          <w:rFonts w:ascii="仿宋_GB2312" w:eastAsia="仿宋_GB2312" w:cs="宋体"/>
          <w:sz w:val="32"/>
          <w:szCs w:val="32"/>
        </w:rPr>
      </w:pPr>
      <w:r>
        <w:rPr>
          <w:rFonts w:hint="eastAsia" w:ascii="仿宋_GB2312" w:eastAsia="仿宋_GB2312" w:cs="宋体"/>
          <w:sz w:val="32"/>
          <w:szCs w:val="32"/>
        </w:rPr>
        <w:t>本标准的总体结构和编写方法按照GB/T 1.1-2020《标准化工作导则 第一部分：标准化文件的结构和起草规则》的规定执行。本标准参考的相关法律、法规和标准文件如下：</w:t>
      </w:r>
    </w:p>
    <w:p w14:paraId="157872FB">
      <w:pPr>
        <w:ind w:firstLine="640" w:firstLineChars="200"/>
        <w:rPr>
          <w:rFonts w:ascii="仿宋_GB2312" w:eastAsia="仿宋_GB2312" w:cs="宋体"/>
          <w:sz w:val="32"/>
          <w:szCs w:val="32"/>
        </w:rPr>
      </w:pPr>
      <w:r>
        <w:rPr>
          <w:rFonts w:ascii="仿宋_GB2312" w:eastAsia="仿宋_GB2312" w:cs="宋体"/>
          <w:sz w:val="32"/>
          <w:szCs w:val="32"/>
        </w:rPr>
        <w:t>GB/T 25069-2022 信息安全技术 术语</w:t>
      </w:r>
    </w:p>
    <w:p w14:paraId="48DFBE8E">
      <w:pPr>
        <w:ind w:firstLine="640" w:firstLineChars="200"/>
        <w:rPr>
          <w:rFonts w:ascii="仿宋_GB2312" w:eastAsia="仿宋_GB2312" w:cs="宋体"/>
          <w:sz w:val="32"/>
          <w:szCs w:val="32"/>
        </w:rPr>
      </w:pPr>
      <w:r>
        <w:rPr>
          <w:rFonts w:ascii="仿宋_GB2312" w:eastAsia="仿宋_GB2312" w:cs="宋体"/>
          <w:sz w:val="32"/>
          <w:szCs w:val="32"/>
        </w:rPr>
        <w:t>GB/T 31500-2015 信息安全技术 存储介质数据恢复服务要求</w:t>
      </w:r>
    </w:p>
    <w:p w14:paraId="4A9E3057">
      <w:pPr>
        <w:ind w:firstLine="640" w:firstLineChars="200"/>
        <w:rPr>
          <w:rFonts w:ascii="仿宋_GB2312" w:eastAsia="仿宋_GB2312" w:cs="宋体"/>
          <w:sz w:val="32"/>
          <w:szCs w:val="32"/>
        </w:rPr>
      </w:pPr>
      <w:r>
        <w:rPr>
          <w:rFonts w:ascii="仿宋_GB2312" w:eastAsia="仿宋_GB2312" w:cs="宋体"/>
          <w:sz w:val="32"/>
          <w:szCs w:val="32"/>
        </w:rPr>
        <w:t>GB/T 35273-2020 信息安全技术 个人信息安全规范</w:t>
      </w:r>
    </w:p>
    <w:p w14:paraId="31B162E2">
      <w:pPr>
        <w:ind w:firstLine="640" w:firstLineChars="200"/>
        <w:rPr>
          <w:rFonts w:ascii="仿宋_GB2312" w:eastAsia="仿宋_GB2312" w:cs="宋体"/>
          <w:sz w:val="32"/>
          <w:szCs w:val="32"/>
        </w:rPr>
      </w:pPr>
      <w:r>
        <w:rPr>
          <w:rFonts w:ascii="仿宋_GB2312" w:eastAsia="仿宋_GB2312" w:cs="宋体"/>
          <w:sz w:val="32"/>
          <w:szCs w:val="32"/>
        </w:rPr>
        <w:t>GB/T 37988-2019 信息安全技术 数据安全能力成熟度模型</w:t>
      </w:r>
    </w:p>
    <w:p w14:paraId="64D6FA2D">
      <w:pPr>
        <w:ind w:firstLine="640" w:firstLineChars="200"/>
        <w:rPr>
          <w:rFonts w:ascii="仿宋_GB2312" w:eastAsia="仿宋_GB2312" w:cs="宋体"/>
          <w:sz w:val="32"/>
          <w:szCs w:val="32"/>
        </w:rPr>
      </w:pPr>
      <w:r>
        <w:rPr>
          <w:rFonts w:ascii="仿宋_GB2312" w:eastAsia="仿宋_GB2312" w:cs="宋体"/>
          <w:sz w:val="32"/>
          <w:szCs w:val="32"/>
        </w:rPr>
        <w:t>GB/T 37964-2019 信息安全技术 个人信息去标识化指南</w:t>
      </w:r>
    </w:p>
    <w:p w14:paraId="4A9F9EA7">
      <w:pPr>
        <w:ind w:firstLine="640" w:firstLineChars="200"/>
        <w:rPr>
          <w:rFonts w:ascii="仿宋_GB2312" w:eastAsia="仿宋_GB2312" w:cs="宋体"/>
          <w:sz w:val="32"/>
          <w:szCs w:val="32"/>
        </w:rPr>
      </w:pPr>
      <w:r>
        <w:rPr>
          <w:rFonts w:hint="eastAsia" w:ascii="仿宋_GB2312" w:eastAsia="仿宋_GB2312" w:cs="宋体"/>
          <w:sz w:val="32"/>
          <w:szCs w:val="32"/>
        </w:rPr>
        <w:t>《</w:t>
      </w:r>
      <w:r>
        <w:rPr>
          <w:rFonts w:ascii="仿宋_GB2312" w:eastAsia="仿宋_GB2312" w:cs="宋体"/>
          <w:sz w:val="32"/>
          <w:szCs w:val="32"/>
        </w:rPr>
        <w:t>中华人民共和国网络安全法</w:t>
      </w:r>
      <w:r>
        <w:rPr>
          <w:rFonts w:hint="eastAsia" w:ascii="仿宋_GB2312" w:eastAsia="仿宋_GB2312" w:cs="宋体"/>
          <w:sz w:val="32"/>
          <w:szCs w:val="32"/>
        </w:rPr>
        <w:t>》</w:t>
      </w:r>
    </w:p>
    <w:p w14:paraId="6A2CA31A">
      <w:pPr>
        <w:ind w:firstLine="640" w:firstLineChars="200"/>
        <w:rPr>
          <w:rFonts w:ascii="仿宋_GB2312" w:eastAsia="仿宋_GB2312" w:cs="宋体"/>
          <w:sz w:val="32"/>
          <w:szCs w:val="32"/>
        </w:rPr>
      </w:pPr>
      <w:r>
        <w:rPr>
          <w:rFonts w:hint="eastAsia" w:ascii="仿宋_GB2312" w:eastAsia="仿宋_GB2312" w:cs="宋体"/>
          <w:sz w:val="32"/>
          <w:szCs w:val="32"/>
        </w:rPr>
        <w:t>《</w:t>
      </w:r>
      <w:r>
        <w:rPr>
          <w:rFonts w:ascii="仿宋_GB2312" w:eastAsia="仿宋_GB2312" w:cs="宋体"/>
          <w:sz w:val="32"/>
          <w:szCs w:val="32"/>
        </w:rPr>
        <w:t>中华人民共和国个人信息保护法</w:t>
      </w:r>
      <w:r>
        <w:rPr>
          <w:rFonts w:hint="eastAsia" w:ascii="仿宋_GB2312" w:eastAsia="仿宋_GB2312" w:cs="宋体"/>
          <w:sz w:val="32"/>
          <w:szCs w:val="32"/>
        </w:rPr>
        <w:t>》</w:t>
      </w:r>
    </w:p>
    <w:p w14:paraId="4E3B348A">
      <w:pPr>
        <w:ind w:firstLine="640" w:firstLineChars="200"/>
        <w:rPr>
          <w:rFonts w:ascii="仿宋_GB2312" w:eastAsia="仿宋_GB2312" w:cs="宋体"/>
          <w:sz w:val="32"/>
          <w:szCs w:val="32"/>
          <w:lang w:eastAsia="zh-Hans"/>
        </w:rPr>
      </w:pPr>
      <w:r>
        <w:rPr>
          <w:rFonts w:hint="eastAsia" w:ascii="仿宋_GB2312" w:eastAsia="仿宋_GB2312" w:cs="宋体"/>
          <w:sz w:val="32"/>
          <w:szCs w:val="32"/>
          <w:lang w:eastAsia="zh-Hans"/>
        </w:rPr>
        <w:t>目前尚未有类似的</w:t>
      </w:r>
      <w:r>
        <w:rPr>
          <w:rFonts w:hint="eastAsia" w:ascii="仿宋_GB2312" w:eastAsia="仿宋_GB2312" w:cs="宋体"/>
          <w:sz w:val="32"/>
          <w:szCs w:val="32"/>
        </w:rPr>
        <w:t>隐私计算总体框架</w:t>
      </w:r>
      <w:r>
        <w:rPr>
          <w:rFonts w:hint="eastAsia" w:ascii="仿宋_GB2312" w:eastAsia="仿宋_GB2312" w:cs="宋体"/>
          <w:sz w:val="32"/>
          <w:szCs w:val="32"/>
          <w:lang w:eastAsia="zh-Hans"/>
        </w:rPr>
        <w:t>的国家标准，本标准术语定义与内容和现有国家标准不存在冲突。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D93193"/>
    <w:multiLevelType w:val="multilevel"/>
    <w:tmpl w:val="29D9319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jZjUzZDRiOThlNjM4NmE1MjZhNWU5MWU0MWYyNDkifQ=="/>
  </w:docVars>
  <w:rsids>
    <w:rsidRoot w:val="00F45CED"/>
    <w:rsid w:val="00026E59"/>
    <w:rsid w:val="00046321"/>
    <w:rsid w:val="00060426"/>
    <w:rsid w:val="000652F1"/>
    <w:rsid w:val="00067CEE"/>
    <w:rsid w:val="0008237C"/>
    <w:rsid w:val="000926EC"/>
    <w:rsid w:val="000A5663"/>
    <w:rsid w:val="000B5885"/>
    <w:rsid w:val="000B78A7"/>
    <w:rsid w:val="000C1BFA"/>
    <w:rsid w:val="000C267F"/>
    <w:rsid w:val="000C6EE9"/>
    <w:rsid w:val="000F28C7"/>
    <w:rsid w:val="000F46D3"/>
    <w:rsid w:val="000F6C88"/>
    <w:rsid w:val="00107633"/>
    <w:rsid w:val="0011445F"/>
    <w:rsid w:val="0011541D"/>
    <w:rsid w:val="00130DBB"/>
    <w:rsid w:val="00150940"/>
    <w:rsid w:val="00157D4F"/>
    <w:rsid w:val="00175167"/>
    <w:rsid w:val="001975D4"/>
    <w:rsid w:val="001B29D7"/>
    <w:rsid w:val="001D3B20"/>
    <w:rsid w:val="001F6EBE"/>
    <w:rsid w:val="00201E48"/>
    <w:rsid w:val="002024ED"/>
    <w:rsid w:val="002206BC"/>
    <w:rsid w:val="00227B78"/>
    <w:rsid w:val="00230901"/>
    <w:rsid w:val="0024774F"/>
    <w:rsid w:val="00251258"/>
    <w:rsid w:val="00257074"/>
    <w:rsid w:val="00272D58"/>
    <w:rsid w:val="002A725F"/>
    <w:rsid w:val="002B6CB7"/>
    <w:rsid w:val="002C07E4"/>
    <w:rsid w:val="002D4E91"/>
    <w:rsid w:val="002F2DF5"/>
    <w:rsid w:val="00306E39"/>
    <w:rsid w:val="00344DF4"/>
    <w:rsid w:val="003473DB"/>
    <w:rsid w:val="00355D7C"/>
    <w:rsid w:val="00386B25"/>
    <w:rsid w:val="0039194E"/>
    <w:rsid w:val="0039675F"/>
    <w:rsid w:val="003A3C0E"/>
    <w:rsid w:val="003B3143"/>
    <w:rsid w:val="003B6058"/>
    <w:rsid w:val="003B71A5"/>
    <w:rsid w:val="003C6F66"/>
    <w:rsid w:val="003E09A4"/>
    <w:rsid w:val="003F1503"/>
    <w:rsid w:val="003F5D50"/>
    <w:rsid w:val="00416D25"/>
    <w:rsid w:val="004235AA"/>
    <w:rsid w:val="00425082"/>
    <w:rsid w:val="004502A7"/>
    <w:rsid w:val="0045490D"/>
    <w:rsid w:val="00462683"/>
    <w:rsid w:val="00486D34"/>
    <w:rsid w:val="00493135"/>
    <w:rsid w:val="004A00E7"/>
    <w:rsid w:val="004A5932"/>
    <w:rsid w:val="004B66D6"/>
    <w:rsid w:val="004C69A3"/>
    <w:rsid w:val="004D61B9"/>
    <w:rsid w:val="004E7710"/>
    <w:rsid w:val="004F50E5"/>
    <w:rsid w:val="00512EBC"/>
    <w:rsid w:val="00514E08"/>
    <w:rsid w:val="0052112E"/>
    <w:rsid w:val="00527D11"/>
    <w:rsid w:val="0054029F"/>
    <w:rsid w:val="00540EC6"/>
    <w:rsid w:val="0055365A"/>
    <w:rsid w:val="00553B1D"/>
    <w:rsid w:val="00562C9B"/>
    <w:rsid w:val="005A5BE1"/>
    <w:rsid w:val="005C1B81"/>
    <w:rsid w:val="005C4131"/>
    <w:rsid w:val="00624E3A"/>
    <w:rsid w:val="00643A91"/>
    <w:rsid w:val="006520E3"/>
    <w:rsid w:val="00683534"/>
    <w:rsid w:val="00693224"/>
    <w:rsid w:val="006A284B"/>
    <w:rsid w:val="006A7EF6"/>
    <w:rsid w:val="006B1852"/>
    <w:rsid w:val="006C0BF1"/>
    <w:rsid w:val="006C3F14"/>
    <w:rsid w:val="006E09C2"/>
    <w:rsid w:val="006F22A0"/>
    <w:rsid w:val="006F276B"/>
    <w:rsid w:val="00713D22"/>
    <w:rsid w:val="00715DA5"/>
    <w:rsid w:val="00725D7B"/>
    <w:rsid w:val="00751E60"/>
    <w:rsid w:val="00762770"/>
    <w:rsid w:val="00767EA1"/>
    <w:rsid w:val="007808CE"/>
    <w:rsid w:val="00780E9C"/>
    <w:rsid w:val="00796AD3"/>
    <w:rsid w:val="007B31EC"/>
    <w:rsid w:val="007D7415"/>
    <w:rsid w:val="007F2FEB"/>
    <w:rsid w:val="007F41ED"/>
    <w:rsid w:val="007F5EB0"/>
    <w:rsid w:val="00804CA8"/>
    <w:rsid w:val="00807731"/>
    <w:rsid w:val="0081397E"/>
    <w:rsid w:val="00815AA4"/>
    <w:rsid w:val="00824943"/>
    <w:rsid w:val="008273D9"/>
    <w:rsid w:val="008277CE"/>
    <w:rsid w:val="00880969"/>
    <w:rsid w:val="00891BF6"/>
    <w:rsid w:val="00897D93"/>
    <w:rsid w:val="008C066F"/>
    <w:rsid w:val="008C0AE0"/>
    <w:rsid w:val="008F5B37"/>
    <w:rsid w:val="00923E2D"/>
    <w:rsid w:val="009323DB"/>
    <w:rsid w:val="00932416"/>
    <w:rsid w:val="00934750"/>
    <w:rsid w:val="00945397"/>
    <w:rsid w:val="00954A65"/>
    <w:rsid w:val="00975C00"/>
    <w:rsid w:val="00980B0C"/>
    <w:rsid w:val="00981F34"/>
    <w:rsid w:val="009947C3"/>
    <w:rsid w:val="00995AFE"/>
    <w:rsid w:val="009A1769"/>
    <w:rsid w:val="009B0863"/>
    <w:rsid w:val="009B1253"/>
    <w:rsid w:val="009B1C35"/>
    <w:rsid w:val="009B363A"/>
    <w:rsid w:val="009D7411"/>
    <w:rsid w:val="00A0169F"/>
    <w:rsid w:val="00A22D04"/>
    <w:rsid w:val="00A4038A"/>
    <w:rsid w:val="00A66039"/>
    <w:rsid w:val="00A70C04"/>
    <w:rsid w:val="00A90303"/>
    <w:rsid w:val="00AA1845"/>
    <w:rsid w:val="00AC418E"/>
    <w:rsid w:val="00AE5179"/>
    <w:rsid w:val="00B2514D"/>
    <w:rsid w:val="00B3786A"/>
    <w:rsid w:val="00B450BC"/>
    <w:rsid w:val="00B4522D"/>
    <w:rsid w:val="00B52FA0"/>
    <w:rsid w:val="00B545EC"/>
    <w:rsid w:val="00B75816"/>
    <w:rsid w:val="00B8062C"/>
    <w:rsid w:val="00B83891"/>
    <w:rsid w:val="00BA0059"/>
    <w:rsid w:val="00BA153F"/>
    <w:rsid w:val="00BA431D"/>
    <w:rsid w:val="00BB33E1"/>
    <w:rsid w:val="00BD2FF5"/>
    <w:rsid w:val="00BE776C"/>
    <w:rsid w:val="00BF31AD"/>
    <w:rsid w:val="00BF43F6"/>
    <w:rsid w:val="00C07092"/>
    <w:rsid w:val="00C21767"/>
    <w:rsid w:val="00C25DA0"/>
    <w:rsid w:val="00C30B77"/>
    <w:rsid w:val="00C41B66"/>
    <w:rsid w:val="00C45CFF"/>
    <w:rsid w:val="00C56ECB"/>
    <w:rsid w:val="00C61164"/>
    <w:rsid w:val="00C66312"/>
    <w:rsid w:val="00C761FB"/>
    <w:rsid w:val="00C84C0F"/>
    <w:rsid w:val="00C92420"/>
    <w:rsid w:val="00CA5021"/>
    <w:rsid w:val="00CA6C20"/>
    <w:rsid w:val="00CB794D"/>
    <w:rsid w:val="00CC47A4"/>
    <w:rsid w:val="00D278F4"/>
    <w:rsid w:val="00D34860"/>
    <w:rsid w:val="00D42CD8"/>
    <w:rsid w:val="00D51CC8"/>
    <w:rsid w:val="00D62F16"/>
    <w:rsid w:val="00D649A6"/>
    <w:rsid w:val="00D6531F"/>
    <w:rsid w:val="00D84377"/>
    <w:rsid w:val="00D9357E"/>
    <w:rsid w:val="00DA3A8F"/>
    <w:rsid w:val="00DB09F3"/>
    <w:rsid w:val="00DB56CF"/>
    <w:rsid w:val="00DB67F1"/>
    <w:rsid w:val="00DD60FE"/>
    <w:rsid w:val="00DE4136"/>
    <w:rsid w:val="00DF7227"/>
    <w:rsid w:val="00E1089D"/>
    <w:rsid w:val="00E116B3"/>
    <w:rsid w:val="00E144CD"/>
    <w:rsid w:val="00E27F56"/>
    <w:rsid w:val="00E34D5D"/>
    <w:rsid w:val="00E3715E"/>
    <w:rsid w:val="00E55052"/>
    <w:rsid w:val="00E57CC3"/>
    <w:rsid w:val="00E64198"/>
    <w:rsid w:val="00E65357"/>
    <w:rsid w:val="00E83B75"/>
    <w:rsid w:val="00E87323"/>
    <w:rsid w:val="00E9110F"/>
    <w:rsid w:val="00ED6DEF"/>
    <w:rsid w:val="00EE2E6B"/>
    <w:rsid w:val="00EF0BA0"/>
    <w:rsid w:val="00EF5E09"/>
    <w:rsid w:val="00F03D59"/>
    <w:rsid w:val="00F25AB8"/>
    <w:rsid w:val="00F3610A"/>
    <w:rsid w:val="00F45CED"/>
    <w:rsid w:val="00F713AD"/>
    <w:rsid w:val="00F7291B"/>
    <w:rsid w:val="00F77311"/>
    <w:rsid w:val="00F77399"/>
    <w:rsid w:val="00F81B80"/>
    <w:rsid w:val="00F9478F"/>
    <w:rsid w:val="00FA387C"/>
    <w:rsid w:val="00FC5E5E"/>
    <w:rsid w:val="00FD5FEE"/>
    <w:rsid w:val="00FE1904"/>
    <w:rsid w:val="00FE2307"/>
    <w:rsid w:val="00FF179B"/>
    <w:rsid w:val="00FF65D1"/>
    <w:rsid w:val="576C716E"/>
    <w:rsid w:val="6E7565B0"/>
    <w:rsid w:val="CEE3F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unhideWhenUsed/>
    <w:uiPriority w:val="99"/>
    <w:pPr>
      <w:jc w:val="left"/>
    </w:pPr>
  </w:style>
  <w:style w:type="paragraph" w:styleId="3">
    <w:name w:val="Date"/>
    <w:basedOn w:val="1"/>
    <w:next w:val="1"/>
    <w:link w:val="22"/>
    <w:semiHidden/>
    <w:unhideWhenUsed/>
    <w:uiPriority w:val="99"/>
    <w:pPr>
      <w:ind w:left="100" w:leftChars="2500"/>
    </w:pPr>
  </w:style>
  <w:style w:type="paragraph" w:styleId="4">
    <w:name w:val="Balloon Text"/>
    <w:basedOn w:val="1"/>
    <w:link w:val="20"/>
    <w:unhideWhenUsed/>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unhideWhenUsed/>
    <w:uiPriority w:val="99"/>
    <w:rPr>
      <w:b/>
      <w:bCs/>
    </w:rPr>
  </w:style>
  <w:style w:type="character" w:styleId="10">
    <w:name w:val="annotation reference"/>
    <w:basedOn w:val="9"/>
    <w:unhideWhenUsed/>
    <w:uiPriority w:val="99"/>
    <w:rPr>
      <w:sz w:val="21"/>
      <w:szCs w:val="21"/>
    </w:rPr>
  </w:style>
  <w:style w:type="character" w:customStyle="1" w:styleId="11">
    <w:name w:val="页眉 字符"/>
    <w:basedOn w:val="9"/>
    <w:link w:val="6"/>
    <w:uiPriority w:val="99"/>
    <w:rPr>
      <w:sz w:val="18"/>
      <w:szCs w:val="18"/>
    </w:rPr>
  </w:style>
  <w:style w:type="character" w:customStyle="1" w:styleId="12">
    <w:name w:val="页脚 字符"/>
    <w:basedOn w:val="9"/>
    <w:link w:val="5"/>
    <w:qFormat/>
    <w:uiPriority w:val="99"/>
    <w:rPr>
      <w:sz w:val="18"/>
      <w:szCs w:val="18"/>
    </w:rPr>
  </w:style>
  <w:style w:type="paragraph" w:customStyle="1" w:styleId="13">
    <w:name w:val="列出段落1"/>
    <w:basedOn w:val="1"/>
    <w:qFormat/>
    <w:uiPriority w:val="34"/>
    <w:pPr>
      <w:ind w:firstLine="420" w:firstLineChars="200"/>
    </w:pPr>
  </w:style>
  <w:style w:type="paragraph" w:customStyle="1" w:styleId="14">
    <w:name w:val="标准文件_段"/>
    <w:link w:val="1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5">
    <w:name w:val="标准文件_段 Char"/>
    <w:link w:val="14"/>
    <w:qFormat/>
    <w:uiPriority w:val="0"/>
    <w:rPr>
      <w:rFonts w:ascii="宋体" w:hAnsi="Times New Roman" w:eastAsia="宋体" w:cs="Times New Roman"/>
      <w:kern w:val="0"/>
      <w:szCs w:val="20"/>
    </w:rPr>
  </w:style>
  <w:style w:type="paragraph" w:customStyle="1" w:styleId="16">
    <w:name w:val="段"/>
    <w:link w:val="1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7">
    <w:name w:val="段 Char"/>
    <w:link w:val="16"/>
    <w:qFormat/>
    <w:uiPriority w:val="0"/>
    <w:rPr>
      <w:rFonts w:ascii="宋体" w:hAnsi="Times New Roman" w:eastAsia="宋体" w:cs="Times New Roman"/>
      <w:kern w:val="0"/>
      <w:szCs w:val="20"/>
    </w:rPr>
  </w:style>
  <w:style w:type="character" w:customStyle="1" w:styleId="18">
    <w:name w:val="批注文字 字符"/>
    <w:basedOn w:val="9"/>
    <w:link w:val="2"/>
    <w:semiHidden/>
    <w:qFormat/>
    <w:uiPriority w:val="99"/>
  </w:style>
  <w:style w:type="character" w:customStyle="1" w:styleId="19">
    <w:name w:val="批注主题 字符"/>
    <w:basedOn w:val="18"/>
    <w:link w:val="7"/>
    <w:semiHidden/>
    <w:qFormat/>
    <w:uiPriority w:val="99"/>
    <w:rPr>
      <w:b/>
      <w:bCs/>
    </w:rPr>
  </w:style>
  <w:style w:type="character" w:customStyle="1" w:styleId="20">
    <w:name w:val="批注框文本 字符"/>
    <w:basedOn w:val="9"/>
    <w:link w:val="4"/>
    <w:semiHidden/>
    <w:qFormat/>
    <w:uiPriority w:val="99"/>
    <w:rPr>
      <w:sz w:val="18"/>
      <w:szCs w:val="18"/>
    </w:rPr>
  </w:style>
  <w:style w:type="paragraph" w:styleId="21">
    <w:name w:val="List Paragraph"/>
    <w:basedOn w:val="1"/>
    <w:uiPriority w:val="99"/>
    <w:pPr>
      <w:ind w:firstLine="420" w:firstLineChars="200"/>
    </w:pPr>
  </w:style>
  <w:style w:type="character" w:customStyle="1" w:styleId="22">
    <w:name w:val="日期 字符"/>
    <w:basedOn w:val="9"/>
    <w:link w:val="3"/>
    <w:semiHidden/>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52FB0-76DF-4BA7-BCC5-C11D4D65AFCD}">
  <ds:schemaRefs/>
</ds:datastoreItem>
</file>

<file path=docProps/app.xml><?xml version="1.0" encoding="utf-8"?>
<Properties xmlns="http://schemas.openxmlformats.org/officeDocument/2006/extended-properties" xmlns:vt="http://schemas.openxmlformats.org/officeDocument/2006/docPropsVTypes">
  <Template>Normal.dotm</Template>
  <Company>Qihoo360</Company>
  <Pages>8</Pages>
  <Words>2877</Words>
  <Characters>2996</Characters>
  <Lines>21</Lines>
  <Paragraphs>6</Paragraphs>
  <TotalTime>194</TotalTime>
  <ScaleCrop>false</ScaleCrop>
  <LinksUpToDate>false</LinksUpToDate>
  <CharactersWithSpaces>3017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2024-03-14T08:44:00Z</dcterms:created>
  <dc:creator>binz_zhang</dc:creator>
  <cp:lastModifiedBy>阳光的味道</cp:lastModifiedBy>
  <dcterms:modified xsi:type="dcterms:W3CDTF">2024-08-20T03:13:46Z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7FA216CAF70341E79B04633F9D254934_12</vt:lpwstr>
  </property>
</Properties>
</file>