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70B232">
      <w:pPr>
        <w:pStyle w:val="173"/>
        <w:framePr w:wrap="around"/>
      </w:pPr>
      <w:r>
        <w:rPr>
          <w:rFonts w:ascii="Times New Roman"/>
        </w:rPr>
        <w:t>ICS</w:t>
      </w:r>
      <w:r>
        <w:rPr>
          <w:rFonts w:ascii="Cambria Math" w:hAnsi="Cambria Math" w:cs="Cambria Math"/>
        </w:rPr>
        <w:t> </w:t>
      </w:r>
    </w:p>
    <w:p w14:paraId="1C70FF4F">
      <w:pPr>
        <w:pStyle w:val="113"/>
        <w:framePr w:w="4734" w:wrap="around" w:vAnchor="page" w:hAnchor="page" w:x="6074" w:y="840"/>
        <w:spacing w:line="240" w:lineRule="auto"/>
        <w:rPr>
          <w:sz w:val="180"/>
        </w:rPr>
      </w:pPr>
      <w:r>
        <w:t>T/CSAC</w:t>
      </w:r>
    </w:p>
    <w:p w14:paraId="35FF36B1">
      <w:pPr>
        <w:pStyle w:val="113"/>
        <w:framePr w:w="4734" w:wrap="around" w:vAnchor="page" w:hAnchor="page" w:x="6074" w:y="840"/>
        <w:spacing w:line="240" w:lineRule="auto"/>
      </w:pPr>
    </w:p>
    <w:p w14:paraId="1AE1F899">
      <w:pPr>
        <w:pStyle w:val="114"/>
        <w:framePr w:wrap="around"/>
        <w:spacing w:line="240" w:lineRule="auto"/>
        <w:rPr>
          <w:rFonts w:ascii="黑体" w:hAnsi="黑体" w:eastAsia="黑体"/>
          <w:b w:val="0"/>
          <w:bCs w:val="0"/>
        </w:rPr>
      </w:pPr>
      <w:r>
        <w:rPr>
          <w:rFonts w:hint="eastAsia" w:ascii="黑体" w:hAnsi="黑体" w:eastAsia="黑体"/>
          <w:b w:val="0"/>
          <w:bCs w:val="0"/>
        </w:rPr>
        <w:t>团体标准</w:t>
      </w:r>
    </w:p>
    <w:p w14:paraId="6A0AC651">
      <w:pPr>
        <w:pStyle w:val="92"/>
        <w:framePr w:wrap="around"/>
        <w:spacing w:line="240" w:lineRule="auto"/>
      </w:pPr>
    </w:p>
    <w:p w14:paraId="3A670F3B">
      <w:pPr>
        <w:pStyle w:val="180"/>
        <w:framePr w:wrap="around" w:hAnchor="page" w:x="1300" w:y="14217"/>
      </w:pPr>
      <w:bookmarkStart w:id="0" w:name="FY"/>
      <w:r>
        <w:rPr>
          <w:rFonts w:ascii="黑体"/>
        </w:rPr>
        <w:fldChar w:fldCharType="begin">
          <w:ffData>
            <w:name w:val="F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bookmarkEnd w:id="0"/>
      <w:r>
        <w:t xml:space="preserve"> </w:t>
      </w:r>
      <w:r>
        <w:rPr>
          <w:rFonts w:ascii="黑体"/>
        </w:rPr>
        <w:t>-</w:t>
      </w:r>
      <w:r>
        <w:t xml:space="preserve"> </w:t>
      </w:r>
      <w:bookmarkStart w:id="1" w:name="FM"/>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
      <w:r>
        <w:t xml:space="preserve"> </w:t>
      </w:r>
      <w:r>
        <w:rPr>
          <w:rFonts w:ascii="黑体"/>
        </w:rPr>
        <w:t>-</w:t>
      </w:r>
      <w:r>
        <w:t xml:space="preserve"> </w:t>
      </w:r>
      <w:bookmarkStart w:id="2" w:name="FD"/>
      <w:r>
        <w:rPr>
          <w:rFonts w:ascii="黑体"/>
        </w:rPr>
        <w:fldChar w:fldCharType="begin">
          <w:ffData>
            <w:name w:val="FD"/>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2"/>
      <w:r>
        <w:rPr>
          <w:rFonts w:hint="eastAsia"/>
        </w:rPr>
        <w:t>发布</w:t>
      </w:r>
    </w:p>
    <w:p w14:paraId="1EC0234D">
      <w:pPr>
        <w:pStyle w:val="181"/>
        <w:framePr w:wrap="around" w:hAnchor="page" w:x="6930" w:y="14238"/>
      </w:pPr>
      <w:bookmarkStart w:id="3" w:name="SY"/>
      <w:r>
        <w:rPr>
          <w:rFonts w:ascii="黑体"/>
        </w:rPr>
        <w:fldChar w:fldCharType="begin">
          <w:ffData>
            <w:name w:val="SY"/>
            <w:enabled/>
            <w:calcOnExit w:val="0"/>
            <w:entryMacro w:val="ShowHelp9"/>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bookmarkEnd w:id="3"/>
      <w:r>
        <w:t xml:space="preserve"> </w:t>
      </w:r>
      <w:r>
        <w:rPr>
          <w:rFonts w:ascii="黑体"/>
        </w:rPr>
        <w:t>-</w:t>
      </w:r>
      <w:r>
        <w:t xml:space="preserve"> </w:t>
      </w:r>
      <w:bookmarkStart w:id="4" w:name="SM"/>
      <w:r>
        <w:rPr>
          <w:rFonts w:ascii="黑体"/>
        </w:rPr>
        <w:fldChar w:fldCharType="begin">
          <w:ffData>
            <w:name w:val="SM"/>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4"/>
      <w:r>
        <w:t xml:space="preserve"> </w:t>
      </w:r>
      <w:r>
        <w:rPr>
          <w:rFonts w:ascii="黑体"/>
        </w:rPr>
        <w:t>-</w:t>
      </w:r>
      <w:r>
        <w:t xml:space="preserve"> </w:t>
      </w:r>
      <w:bookmarkStart w:id="5" w:name="SD"/>
      <w:r>
        <w:rPr>
          <w:rFonts w:ascii="黑体"/>
        </w:rPr>
        <w:fldChar w:fldCharType="begin">
          <w:ffData>
            <w:name w:val="SD"/>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5"/>
      <w:r>
        <w:rPr>
          <w:rFonts w:hint="eastAsia"/>
        </w:rPr>
        <w:t>实施</w:t>
      </w:r>
    </w:p>
    <w:p w14:paraId="4C1704C8">
      <w:pPr>
        <w:pStyle w:val="92"/>
        <w:framePr w:wrap="around"/>
        <w:spacing w:line="240" w:lineRule="auto"/>
      </w:pPr>
    </w:p>
    <w:p w14:paraId="2A1F5542">
      <w:pPr>
        <w:pStyle w:val="92"/>
        <w:framePr w:wrap="around"/>
        <w:spacing w:line="240" w:lineRule="auto"/>
      </w:pPr>
      <w:bookmarkStart w:id="6" w:name="StdName"/>
    </w:p>
    <w:bookmarkEnd w:id="6"/>
    <w:p w14:paraId="0F168E56">
      <w:pPr>
        <w:pStyle w:val="125"/>
        <w:framePr w:wrap="around"/>
        <w:spacing w:line="240" w:lineRule="auto"/>
        <w:rPr>
          <w:rFonts w:hAnsi="黑体"/>
        </w:rPr>
      </w:pPr>
      <w:r>
        <w:rPr>
          <w:rFonts w:hint="eastAsia" w:hAnsi="黑体"/>
        </w:rPr>
        <w:t>隐私计算 总体框架</w:t>
      </w:r>
    </w:p>
    <w:p w14:paraId="6F5F260C">
      <w:pPr>
        <w:pStyle w:val="127"/>
        <w:framePr w:wrap="around"/>
        <w:spacing w:line="240" w:lineRule="auto"/>
        <w:rPr>
          <w:rFonts w:ascii="Times New Roman" w:eastAsia="黑体"/>
        </w:rPr>
      </w:pPr>
      <w:r>
        <w:rPr>
          <w:rFonts w:hint="eastAsia" w:ascii="Times New Roman" w:eastAsia="黑体"/>
        </w:rPr>
        <w:t>Privacy computing</w:t>
      </w:r>
      <w:r>
        <w:rPr>
          <w:rFonts w:ascii="Times New Roman" w:eastAsia="黑体"/>
        </w:rPr>
        <w:t>:</w:t>
      </w:r>
      <w:r>
        <w:rPr>
          <w:rFonts w:hint="eastAsia" w:ascii="Times New Roman" w:eastAsia="黑体"/>
        </w:rPr>
        <w:t xml:space="preserve"> </w:t>
      </w:r>
      <w:r>
        <w:rPr>
          <w:rFonts w:hint="eastAsia" w:ascii="Times New Roman"/>
        </w:rPr>
        <w:t>Overall</w:t>
      </w:r>
      <w:r>
        <w:rPr>
          <w:rFonts w:ascii="Times New Roman"/>
        </w:rPr>
        <w:t xml:space="preserve"> framework</w:t>
      </w:r>
    </w:p>
    <w:tbl>
      <w:tblPr>
        <w:tblStyle w:val="57"/>
        <w:tblW w:w="197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gridCol w:w="9855"/>
      </w:tblGrid>
      <w:tr w14:paraId="341BD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30438C07">
            <w:pPr>
              <w:pStyle w:val="128"/>
              <w:framePr w:wrap="around"/>
            </w:pPr>
            <w:r>
              <mc:AlternateContent>
                <mc:Choice Requires="wps">
                  <w:drawing>
                    <wp:anchor distT="0" distB="0" distL="114300" distR="114300" simplePos="0" relativeHeight="251662336"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3.3pt;margin-top:45.15pt;height:20pt;width:150pt;z-index:-251654144;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qj6CdhgCAAAmBAAADgAAAGRycy9lMm9Eb2MueG1srVPBjtMw&#10;EL0j8Q+W7zRJ1cJu1HS1alWEtMBKCx/gOk5i4XjM2G26/AwSNz6Cz0H8BmOnW8py2QM5RDOemed5&#10;b8aLq0Nv2F6h12ArXkxyzpSVUGvbVvzjh82LC858ELYWBqyq+L3y/Gr5/NlicKWaQgemVsgIxPpy&#10;cBXvQnBllnnZqV74CThlKdgA9iKQi21WoxgIvTfZNM9fZgNg7RCk8p5O12OQHxHxKYDQNFqqNchd&#10;r2wYUVEZEYiS77TzfJm6bRolw/um8SowU3FiGtKfLiF7G//ZciHKFoXrtDy2IJ7SwiNOvdCWLj1B&#10;rUUQbIf6H6heSwQPTZhI6LORSFKEWBT5I23uOuFU4kJSe3cS3f8/WPluf4tM1xWnsVvR08B/ff3+&#10;88c3dhG1GZwvKeXO3WJk590NyE+eWVh1wrbqGhGGTomaOipifvZXQXQ8lbLt8BZqgha7AEmmQ4N9&#10;BCQB2CFN4/40DXUITNJhcZnP85wGJSk2nc+iHa8Q5UO1Qx9eK+hZNCqONO2ELvY3PoypDympezC6&#10;3mhjkoPtdmWQ7QVtxiZ9R3R/nmZsTLYQy0bEeJJoRmajQluo74klwrhe9LjI6AC/cDbQalXcf94J&#10;VJyZN5aUuixms7iLyZnNX03JwfPI9jwirCSoigfORnMVxv3dOdRtRzcVibSFa1K30Yl4VH7s6tgs&#10;rU+S7rjqcT/P/ZT153k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ia6S1QAAAAoBAAAPAAAA&#10;AAAAAAEAIAAAACIAAABkcnMvZG93bnJldi54bWxQSwECFAAUAAAACACHTuJAqj6CdhgCAAAmBAAA&#10;DgAAAAAAAAABACAAAAAkAQAAZHJzL2Uyb0RvYy54bWxQSwUGAAAAAAYABgBZAQAArgUAAAAA&#10;">
                      <v:fill on="t" focussize="0,0"/>
                      <v:stroke on="f"/>
                      <v:imagedata o:title=""/>
                      <o:lock v:ext="edit" aspectratio="f"/>
                      <w10:anchorlock/>
                    </v:rect>
                  </w:pict>
                </mc:Fallback>
              </mc:AlternateContent>
            </w:r>
            <w:r>
              <mc:AlternateContent>
                <mc:Choice Requires="wps">
                  <w:drawing>
                    <wp:anchor distT="0" distB="0" distL="114300" distR="114300" simplePos="0" relativeHeight="251662336"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3.3pt;margin-top:20.15pt;height:24pt;width:100pt;z-index:-251654144;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IUhq68XAgAAJgQAAA4AAABkcnMvZTJvRG9jLnhtbK1TwY7T&#10;MBC9I/EPlu80SSl0iZquVq2KkBZYaeEDXMdJLByPGbtNl59B4sZH8DmI32DsdEtZLnvAB2vGM/M8&#10;73m8uDz0hu0Veg224sUk50xZCbW2bcU/ftg8u+DMB2FrYcCqit8pzy+XT58sBleqKXRgaoWMQKwv&#10;B1fxLgRXZpmXneqFn4BTloINYC8CudhmNYqB0HuTTfP8ZTYA1g5BKu/pdD0G+RERHwMITaOlWoPc&#10;9cqGERWVEYEo+U47z5ep26ZRMrxvGq8CMxUnpiHtdAnZ27hny4UoWxSu0/LYgnhMCw849UJbuvQE&#10;tRZBsB3qf6B6LRE8NGEioc9GIkkRYlHkD7S57YRTiQtJ7d1JdP//YOW7/Q0yXVd8zpkVPT34r6/f&#10;f/74xuZRm8H5klJu3Q1Gdt5dg/zkmYVVJ2yrrhBh6JSoqaMi5md/FUTHUynbDm+hJmixC5BkOjTY&#10;R0ASgB3Sa9ydXkMdApN0WEznOS3OJMWe57MLsuMVoryvdujDawU9i0bFkV47oYv9tQ9j6n1K6h6M&#10;rjfamORgu10ZZHtBk7FJ64juz9OMjckWYtmIGE8SzchsVGgL9R2xRBjHiz4XGR3gF84GGq2K+887&#10;gYoz88aSUq+K2SzOYnJmL+ZTcvA8sj2PCCsJquKBs9FchXF+dw5129FNRSJt4YrUbXQiHpUfuzo2&#10;S+OTpDuOepzPcz9l/fne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4Yvl1gAAAAkBAAAPAAAA&#10;AAAAAAEAIAAAACIAAABkcnMvZG93bnJldi54bWxQSwECFAAUAAAACACHTuJAhSGrrxcCAAAmBAAA&#10;DgAAAAAAAAABACAAAAAlAQAAZHJzL2Uyb0RvYy54bWxQSwUGAAAAAAYABgBZAQAArgUAAAAA&#10;">
                      <v:fill on="t" focussize="0,0"/>
                      <v:stroke on="f"/>
                      <v:imagedata o:title=""/>
                      <o:lock v:ext="edit" aspectratio="f"/>
                    </v:rect>
                  </w:pict>
                </mc:Fallback>
              </mc:AlternateContent>
            </w:r>
            <w:r>
              <w:rPr>
                <w:rFonts w:hint="eastAsia"/>
              </w:rPr>
              <w:t>（征求意见稿）</w:t>
            </w:r>
          </w:p>
        </w:tc>
        <w:tc>
          <w:tcPr>
            <w:tcW w:w="9855" w:type="dxa"/>
            <w:tcBorders>
              <w:top w:val="nil"/>
              <w:left w:val="nil"/>
              <w:bottom w:val="nil"/>
              <w:right w:val="nil"/>
            </w:tcBorders>
            <w:shd w:val="clear" w:color="auto" w:fill="auto"/>
          </w:tcPr>
          <w:p w14:paraId="2A5FB126">
            <w:pPr>
              <w:pStyle w:val="128"/>
              <w:framePr w:wrap="around"/>
            </w:pPr>
            <w:r>
              <mc:AlternateContent>
                <mc:Choice Requires="wps">
                  <w:drawing>
                    <wp:anchor distT="0" distB="0" distL="114300" distR="114300" simplePos="0" relativeHeight="251661312"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3.3pt;margin-top:45.15pt;height:20pt;width:150pt;z-index:-251655168;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4cIhCBgCAAAmBAAADgAAAGRycy9lMm9Eb2MueG1srVPBjtMw&#10;EL0j8Q+W7zRp1RY2arpatSpCWmClhQ9wHSexcDxm7DYtP4PEjY/gcxC/wdjplrJc9kAO0Yxn5nne&#10;m/Hi+tAZtlfoNdiSj0c5Z8pKqLRtSv7xw+bFK858ELYSBqwq+VF5fr18/mzRu0JNoAVTKWQEYn3R&#10;u5K3Ibgiy7xsVSf8CJyyFKwBOxHIxSarUPSE3plskufzrAesHIJU3tPpegjyEyI+BRDqWku1Brnr&#10;lA0DKiojAlHyrXaeL1O3da1keF/XXgVmSk5MQ/rTJWRv4z9bLkTRoHCtlqcWxFNaeMSpE9rSpWeo&#10;tQiC7VD/A9VpieChDiMJXTYQSYoQi3H+SJv7VjiVuJDU3p1F9/8PVr7b3yHTVcnnnFnR0cB/ff3+&#10;88c3No/a9M4XlHLv7jCy8+4W5CfPLKxaYRt1gwh9q0RFHY1jfvZXQXQ8lbJt/xYqgha7AEmmQ41d&#10;BCQB2CFN43iehjoEJulwfJXP8pwGJSk2mU2jHa8QxUO1Qx9eK+hYNEqONO2ELva3PgypDympezC6&#10;2mhjkoPNdmWQ7QVtxiZ9J3R/mWZsTLYQywbEeJJoRmaDQluojsQSYVgvelxktIBfOOtptUruP+8E&#10;Ks7MG0tKXY2n07iLyZnOXk7IwcvI9jIirCSokgfOBnMVhv3dOdRNSzeNE2kLN6RurRPxqPzQ1alZ&#10;Wp8k3WnV435e+inrz/N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ia6S1QAAAAoBAAAPAAAA&#10;AAAAAAEAIAAAACIAAABkcnMvZG93bnJldi54bWxQSwECFAAUAAAACACHTuJA4cIhCBgCAAAmBAAA&#10;DgAAAAAAAAABACAAAAAkAQAAZHJzL2Uyb0RvYy54bWxQSwUGAAAAAAYABgBZAQAArgUAAAAA&#10;">
                      <v:fill on="t" focussize="0,0"/>
                      <v:stroke on="f"/>
                      <v:imagedata o:title=""/>
                      <o:lock v:ext="edit" aspectratio="f"/>
                      <w10:anchorlock/>
                    </v:rect>
                  </w:pict>
                </mc:Fallback>
              </mc:AlternateContent>
            </w:r>
            <w:r>
              <mc:AlternateContent>
                <mc:Choice Requires="wps">
                  <w:drawing>
                    <wp:anchor distT="0" distB="0" distL="114300" distR="114300" simplePos="0" relativeHeight="251660288"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3.3pt;margin-top:20.15pt;height:24pt;width:100pt;z-index:-251656192;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PDekL0YAgAAJgQAAA4AAABkcnMvZTJvRG9jLnhtbK1TwY7T&#10;MBC9I/EPlu80aWnZJWq6WrUqQlpgpYUPcB0nsXA8Zuw2LT+DxG0/gs9B/AZjp1vKctkDPlgznpnn&#10;ec/j+dW+M2yn0GuwJR+Pcs6UlVBp25T808f1i0vOfBC2EgasKvlBeX61eP5s3rtCTaAFUylkBGJ9&#10;0buStyG4Isu8bFUn/AicshSsATsRyMUmq1D0hN6ZbJLnr7IesHIIUnlPp6shyI+I+BRAqGst1Qrk&#10;tlM2DKiojAhEybfaeb5I3da1kuFDXXsVmCk5MQ1pp0vI3sQ9W8xF0aBwrZbHFsRTWnjEqRPa0qUn&#10;qJUIgm1R/wPVaYngoQ4jCV02EEmKEItx/kibu1Y4lbiQ1N6dRPf/D1a+390i01XJZ5xZ0dGD//p2&#10;//PHdzaL2vTOF5Ry524xsvPuBuRnzywsW2EbdY0IfatERR2NY372V0F0PJWyTf8OKoIW2wBJpn2N&#10;XQQkAdg+vcbh9BpqH5ikw/HkIqfFmaTYy3x6SXa8QhQP1Q59eKOgY9EoOdJrJ3Sxu/FhSH1ISd2D&#10;0dVaG5McbDZLg2wnaDLWaR3R/XmasTHZQiwbEONJohmZDQptoDoQS4RhvOhzkdECfuWsp9Equf+y&#10;Fag4M28tKfV6PJ3GWUzOdHYxIQfPI5vziLCSoEoeOBvMZRjmd+tQNy3dNE6kLVyTurVOxKPyQ1fH&#10;Zml8knTHUY/zee6nrD/fe/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GL5dYAAAAJAQAADwAA&#10;AAAAAAABACAAAAAiAAAAZHJzL2Rvd25yZXYueG1sUEsBAhQAFAAAAAgAh07iQPDekL0YAgAAJgQA&#10;AA4AAAAAAAAAAQAgAAAAJQEAAGRycy9lMm9Eb2MueG1sUEsFBgAAAAAGAAYAWQEAAK8FAAAAAA==&#10;">
                      <v:fill on="t" focussize="0,0"/>
                      <v:stroke on="f"/>
                      <v:imagedata o:title=""/>
                      <o:lock v:ext="edit" aspectratio="f"/>
                    </v:rect>
                  </w:pict>
                </mc:Fallback>
              </mc:AlternateContent>
            </w:r>
            <w:r>
              <w:rPr>
                <w:rFonts w:hint="eastAsia"/>
              </w:rPr>
              <w:t>（征求意见稿）</w:t>
            </w:r>
          </w:p>
        </w:tc>
      </w:tr>
      <w:tr w14:paraId="5F7EC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2B6162F8">
            <w:pPr>
              <w:pStyle w:val="129"/>
              <w:framePr w:wrap="around"/>
              <w:spacing w:line="240" w:lineRule="auto"/>
            </w:pPr>
            <w:r>
              <w:rPr>
                <w:rFonts w:hint="eastAsia"/>
              </w:rPr>
              <w:t>（本稿完成日期：2024/</w:t>
            </w:r>
            <w:r>
              <w:t>xx</w:t>
            </w:r>
            <w:r>
              <w:rPr>
                <w:rFonts w:hint="eastAsia"/>
              </w:rPr>
              <w:t>/</w:t>
            </w:r>
            <w:r>
              <w:t>xx</w:t>
            </w:r>
            <w:r>
              <w:rPr>
                <w:rFonts w:hint="eastAsia"/>
              </w:rPr>
              <w:t>）</w:t>
            </w:r>
          </w:p>
          <w:p w14:paraId="521E88E1">
            <w:pPr>
              <w:pStyle w:val="129"/>
              <w:framePr w:wrap="around"/>
              <w:spacing w:line="240" w:lineRule="auto"/>
            </w:pPr>
          </w:p>
        </w:tc>
        <w:tc>
          <w:tcPr>
            <w:tcW w:w="9855" w:type="dxa"/>
            <w:tcBorders>
              <w:top w:val="nil"/>
              <w:left w:val="nil"/>
              <w:bottom w:val="nil"/>
              <w:right w:val="nil"/>
            </w:tcBorders>
            <w:shd w:val="clear" w:color="auto" w:fill="auto"/>
          </w:tcPr>
          <w:p w14:paraId="7875EFD5">
            <w:pPr>
              <w:pStyle w:val="128"/>
              <w:framePr w:wrap="around"/>
            </w:pPr>
          </w:p>
        </w:tc>
      </w:tr>
    </w:tbl>
    <w:p w14:paraId="1D62004B">
      <w:pPr>
        <w:pStyle w:val="126"/>
        <w:framePr w:wrap="around"/>
        <w:spacing w:line="240" w:lineRule="auto"/>
      </w:pPr>
    </w:p>
    <w:p w14:paraId="53B20121">
      <w:pPr>
        <w:pStyle w:val="126"/>
        <w:framePr w:wrap="around"/>
        <w:spacing w:line="240" w:lineRule="auto"/>
      </w:pPr>
      <w:bookmarkStart w:id="1172" w:name="_GoBack"/>
      <w:bookmarkEnd w:id="1172"/>
    </w:p>
    <w:p w14:paraId="6EE23E8E">
      <w:pPr>
        <w:pStyle w:val="126"/>
        <w:framePr w:wrap="around"/>
        <w:spacing w:line="240" w:lineRule="auto"/>
      </w:pPr>
    </w:p>
    <w:tbl>
      <w:tblPr>
        <w:tblStyle w:val="5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637B1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7886B92E">
            <w:pPr>
              <w:pStyle w:val="128"/>
              <w:framePr w:wrap="around"/>
            </w:pPr>
          </w:p>
        </w:tc>
      </w:tr>
      <w:tr w14:paraId="0C1BC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03AC829F">
            <w:pPr>
              <w:pStyle w:val="129"/>
              <w:framePr w:wrap="around"/>
              <w:spacing w:line="240" w:lineRule="auto"/>
            </w:pPr>
          </w:p>
        </w:tc>
      </w:tr>
    </w:tbl>
    <w:p w14:paraId="20EDA608">
      <w:pPr>
        <w:pStyle w:val="126"/>
        <w:framePr w:wrap="around"/>
        <w:spacing w:line="240" w:lineRule="auto"/>
      </w:pPr>
    </w:p>
    <w:p w14:paraId="580741F1">
      <w:pPr>
        <w:pStyle w:val="121"/>
        <w:framePr w:wrap="around"/>
      </w:pPr>
      <w:r>
        <w:rPr>
          <w:rFonts w:hint="eastAsia"/>
        </w:rPr>
        <w:t>中国网络空间安全协会发布</w:t>
      </w:r>
    </w:p>
    <w:p w14:paraId="2979ADDE">
      <w:pPr>
        <w:pStyle w:val="92"/>
        <w:framePr w:wrap="around"/>
      </w:pPr>
      <w:r>
        <w:rPr>
          <w:rFonts w:ascii="Times New Roman"/>
        </w:rPr>
        <w:t xml:space="preserve">T/CSAC </w:t>
      </w:r>
      <w:bookmarkStart w:id="7" w:name="StdNo1"/>
      <w:r>
        <w:rPr>
          <w:lang w:val="de-DE"/>
        </w:rPr>
        <w:fldChar w:fldCharType="begin">
          <w:ffData>
            <w:name w:val="StdNo1"/>
            <w:enabled/>
            <w:calcOnExit w:val="0"/>
            <w:textInput>
              <w:default w:val="XXXXX"/>
            </w:textInput>
          </w:ffData>
        </w:fldChar>
      </w:r>
      <w:r>
        <w:instrText xml:space="preserve"> FORMTEXT </w:instrText>
      </w:r>
      <w:r>
        <w:rPr>
          <w:lang w:val="de-DE"/>
        </w:rPr>
        <w:fldChar w:fldCharType="separate"/>
      </w:r>
      <w:r>
        <w:t>XXXXX</w:t>
      </w:r>
      <w:r>
        <w:rPr>
          <w:lang w:val="de-DE"/>
        </w:rPr>
        <w:fldChar w:fldCharType="end"/>
      </w:r>
      <w:bookmarkEnd w:id="7"/>
      <w:r>
        <w:t>—</w:t>
      </w:r>
      <w:bookmarkStart w:id="8" w:name="StdNo2"/>
      <w:r>
        <w:rPr>
          <w:lang w:val="de-DE"/>
        </w:rPr>
        <w:fldChar w:fldCharType="begin">
          <w:ffData>
            <w:name w:val="StdNo2"/>
            <w:enabled/>
            <w:calcOnExit w:val="0"/>
            <w:textInput>
              <w:default w:val="XXXX"/>
            </w:textInput>
          </w:ffData>
        </w:fldChar>
      </w:r>
      <w:r>
        <w:rPr>
          <w:lang w:val="de-DE"/>
        </w:rPr>
        <w:instrText xml:space="preserve"> FORMTEXT </w:instrText>
      </w:r>
      <w:r>
        <w:rPr>
          <w:lang w:val="de-DE"/>
        </w:rPr>
        <w:fldChar w:fldCharType="separate"/>
      </w:r>
      <w:r>
        <w:rPr>
          <w:lang w:val="de-DE"/>
        </w:rPr>
        <w:t>XXXX</w:t>
      </w:r>
      <w:r>
        <w:rPr>
          <w:lang w:val="de-DE"/>
        </w:rPr>
        <w:fldChar w:fldCharType="end"/>
      </w:r>
      <w:bookmarkEnd w:id="8"/>
    </w:p>
    <w:tbl>
      <w:tblPr>
        <w:tblStyle w:val="5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78"/>
        <w:gridCol w:w="4678"/>
      </w:tblGrid>
      <w:tr w14:paraId="0141C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8" w:type="dxa"/>
            <w:tcBorders>
              <w:top w:val="nil"/>
              <w:left w:val="nil"/>
              <w:bottom w:val="nil"/>
              <w:right w:val="nil"/>
            </w:tcBorders>
          </w:tcPr>
          <w:p w14:paraId="3C0FE608">
            <w:pPr>
              <w:pStyle w:val="123"/>
              <w:framePr w:wrap="around"/>
              <w:spacing w:before="156" w:after="156"/>
            </w:pPr>
            <w:bookmarkStart w:id="9" w:name="DT"/>
            <w:r>
              <mc:AlternateContent>
                <mc:Choice Requires="wps">
                  <w:drawing>
                    <wp:anchor distT="0" distB="0" distL="114300" distR="114300" simplePos="0" relativeHeight="251663360" behindDoc="1" locked="0" layoutInCell="1" allowOverlap="1">
                      <wp:simplePos x="0" y="0"/>
                      <wp:positionH relativeFrom="column">
                        <wp:posOffset>4734560</wp:posOffset>
                      </wp:positionH>
                      <wp:positionV relativeFrom="paragraph">
                        <wp:posOffset>1521460</wp:posOffset>
                      </wp:positionV>
                      <wp:extent cx="1143000" cy="228600"/>
                      <wp:effectExtent l="0" t="1270" r="3175" b="0"/>
                      <wp:wrapNone/>
                      <wp:docPr id="4"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119.8pt;height:18pt;width:90pt;z-index:-251653120;mso-width-relative:page;mso-height-relative:page;" fillcolor="#FFFFFF" filled="t" stroked="f" coordsize="21600,21600" o:gfxdata="UEsDBAoAAAAAAIdO4kAAAAAAAAAAAAAAAAAEAAAAZHJzL1BLAwQUAAAACACHTuJAQxU6INgAAAAL&#10;AQAADwAAAGRycy9kb3ducmV2LnhtbE2PMU/DMBCFdyT+g3VIbNRu2qYkjdMBqRMw0CKxXmM3iRqf&#10;Q+y04d9znWB79+7p3XfFdnKduNghtJ40zGcKhKXKm5ZqDZ+H3dMziBCRDHaerIYfG2Bb3t8VmBt/&#10;pQ972cdacAmFHDU0Mfa5lKFqrMMw870l3p384DDyONTSDHjlctfJRKlUOmyJLzTY25fGVuf96DRg&#10;ujTf76fF2+F1TDGrJ7VbfSmtHx/magMi2in+heGGz+hQMtPRj2SC6DSsl6uUoxqSRcaCE1lyc47s&#10;rFnIspD/fyh/AVBLAwQUAAAACACHTuJAzgru1AkCAAAgBAAADgAAAGRycy9lMm9Eb2MueG1srVPB&#10;btswDL0P2D8Iui+2s6zrjDhFkSDDgG4t0O4DFFm2hcmiRilxsq8fJbtZ1l16mA8GKZJPfI/U8ubY&#10;G3ZQ6DXYiheznDNlJdTathX//rR9d82ZD8LWwoBVFT8pz29Wb98sB1eqOXRgaoWMQKwvB1fxLgRX&#10;ZpmXneqFn4FTloINYC8CudhmNYqB0HuTzfP8KhsAa4cglfd0uhmDfELE1wBC02ipNiD3vbJhREVl&#10;RCBKvtPO81XqtmmUDPdN41VgpuLENKQ/XUL2Lv6z1VKULQrXaTm1IF7TwgtOvdCWLj1DbUQQbI/6&#10;H6heSwQPTZhJ6LORSFKEWBT5C20eO+FU4kJSe3cW3f8/WPnt8IBM1xVfcGZFTwPfPEVVBudLCj66&#10;B4y8vLsD+cMzC+tO2FbdIsLQKVFTL0XMz/4qiI6nUrYbvkJNoGIfIAl0bLCPgESdHdMcTuc5qGNg&#10;kg6LYvE+z2lEkmLz+fUV2fEKUT5XO/Ths4KeRaPiSHNO6OJw58OY+pySugej6602JjnY7tYG2UHQ&#10;TmzTN6H7yzRjY7KFWDYixpNEMzIbFdpBfSKWCONi0bMiowP8xdlAS1Vx/3MvUHFmvlhS6lOxWMQt&#10;TM7iw8c5OXgZ2V1GhJUEVfHA2Wiuw7i5e4e67eimIpG2cEvqNjoRj8qPXU3N0uIk6aYlj5t56aes&#10;Pw97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FTog2AAAAAsBAAAPAAAAAAAAAAEAIAAAACIA&#10;AABkcnMvZG93bnJldi54bWxQSwECFAAUAAAACACHTuJAzgru1AkCAAAgBAAADgAAAAAAAAABACAA&#10;AAAnAQAAZHJzL2Uyb0RvYy54bWxQSwUGAAAAAAYABgBZAQAAogUAAAAA&#10;">
                      <v:fill on="t" focussize="0,0"/>
                      <v:stroke on="f"/>
                      <v:imagedata o:title=""/>
                      <o:lock v:ext="edit" aspectratio="f"/>
                    </v:rect>
                  </w:pict>
                </mc:Fallback>
              </mc:AlternateContent>
            </w:r>
            <w:bookmarkEnd w:id="9"/>
          </w:p>
        </w:tc>
        <w:tc>
          <w:tcPr>
            <w:tcW w:w="4678" w:type="dxa"/>
            <w:tcBorders>
              <w:top w:val="nil"/>
              <w:left w:val="nil"/>
              <w:bottom w:val="nil"/>
              <w:right w:val="nil"/>
            </w:tcBorders>
          </w:tcPr>
          <w:p w14:paraId="48F88637">
            <w:pPr>
              <w:pStyle w:val="123"/>
              <w:framePr w:wrap="around"/>
              <w:spacing w:before="156" w:after="156"/>
            </w:pPr>
          </w:p>
        </w:tc>
      </w:tr>
    </w:tbl>
    <w:p w14:paraId="5368B9CC">
      <w:pPr>
        <w:pStyle w:val="92"/>
        <w:framePr w:wrap="around"/>
      </w:pPr>
    </w:p>
    <w:p w14:paraId="73ACA1C5">
      <w:pPr>
        <w:pStyle w:val="92"/>
        <w:framePr w:wrap="around"/>
      </w:pPr>
    </w:p>
    <w:p w14:paraId="5FFCD4CF">
      <w:pPr>
        <w:pStyle w:val="272"/>
        <w:ind w:firstLine="560"/>
      </w:pPr>
      <w:r>
        <w:rPr>
          <w:rFonts w:hint="eastAsia" w:hAnsi="宋体"/>
          <w:sz w:val="28"/>
          <w:szCs w:val="28"/>
        </w:rPr>
        <mc:AlternateContent>
          <mc:Choice Requires="wps">
            <w:drawing>
              <wp:anchor distT="0" distB="0" distL="114300" distR="114300" simplePos="0" relativeHeight="251664384" behindDoc="0" locked="1" layoutInCell="1" allowOverlap="1">
                <wp:simplePos x="0" y="0"/>
                <wp:positionH relativeFrom="margin">
                  <wp:align>center</wp:align>
                </wp:positionH>
                <wp:positionV relativeFrom="page">
                  <wp:posOffset>9352280</wp:posOffset>
                </wp:positionV>
                <wp:extent cx="6120130" cy="0"/>
                <wp:effectExtent l="0" t="0" r="0" b="0"/>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top:736.4pt;height:0pt;width:481.9pt;mso-position-horizontal:center;mso-position-horizontal-relative:margin;mso-position-vertical-relative:page;z-index:251664384;mso-width-relative:page;mso-height-relative:page;" filled="f" stroked="t" coordsize="21600,21600" o:gfxdata="UEsDBAoAAAAAAIdO4kAAAAAAAAAAAAAAAAAEAAAAZHJzL1BLAwQUAAAACACHTuJAz9qpPNUAAAAK&#10;AQAADwAAAGRycy9kb3ducmV2LnhtbE2PT0/DMAzF70h8h8hIXCaWrEMblKY7AL1xYTBx9RrTVjRO&#10;12R/4NNjDghu9nvW8+8Vq5Pv1YHG2AW2MJsaUMR1cB03Fl5fqqsbUDEhO+wDk4VPirAqz88KzF04&#10;8jMd1qlREsIxRwttSkOudaxb8hinYSAW7z2MHpOsY6PdiEcJ973OjFlojx3LhxYHum+p/ljvvYVY&#10;bWhXfU3qiXmbN4Gy3cPTI1p7eTEzd6ASndLfMfzgCzqUwrQNe3ZR9RakSBL1eplJA/FvF3MZtr+S&#10;Lgv9v0L5DVBLAwQUAAAACACHTuJAMXm5w+QBAACsAwAADgAAAGRycy9lMm9Eb2MueG1srVOxjhMx&#10;EO2R+AfLPdkkKCdYZXNFoqM5INIdH+B4vVkL22N5nOzmJ/gBJDqoKOn5mzs+g7E3CcfRXMEWlscz&#10;82bem9n5ZW8N26uAGlzFJ6MxZ8pJqLXbVvzD7dWLV5xhFK4WBpyq+EEhv1w8fzbvfKmm0IKpVWAE&#10;4rDsfMXbGH1ZFChbZQWOwCtHzgaCFZHMsC3qIDpCt6aYjscXRQeh9gGkQqTX1eDkR8TwFEBoGi3V&#10;CuTOKhcH1KCMiEQJW+2RL3K3TaNkfN80qCIzFSemMZ9UhO6bdBaLuSi3QfhWy2ML4iktPOJkhXZU&#10;9Ay1ElGwXdD/QFktAyA0cSTBFgORrAixmIwfaXPTCq8yF5Ia/Vl0/H+w8t1+HZiuaRNmnDlhaeL3&#10;n3/cffr66+cXOu+/f2PkIZk6jyVFL906JKKydzf+GuRHZA6WrXBbldu9PXiCmKSM4q+UZKCnYpvu&#10;LdQUI3YRsmZ9E2yCJDVYn0dzOI9G9ZFJeryYkD4vaWry5CtEeUr0AeMbBZalS8WNdkk1UYr9NcbU&#10;iChPIenZwZU2Jk/eONZV/PVsOssJCEbXyZnCMGw3SxPYXqTdyV9mRZ6HYQF2rh6KGHcknXgOim2g&#10;PqzDSQwaYu7muHBpSx7aOfvPT7b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aqTzVAAAACgEA&#10;AA8AAAAAAAAAAQAgAAAAIgAAAGRycy9kb3ducmV2LnhtbFBLAQIUABQAAAAIAIdO4kAxebnD5AEA&#10;AKwDAAAOAAAAAAAAAAEAIAAAACQBAABkcnMvZTJvRG9jLnhtbFBLBQYAAAAABgAGAFkBAAB6BQAA&#10;AAA=&#10;">
                <v:fill on="f" focussize="0,0"/>
                <v:stroke color="#000000" joinstyle="round"/>
                <v:imagedata o:title=""/>
                <o:lock v:ext="edit" aspectratio="f"/>
                <w10:anchorlock/>
              </v:line>
            </w:pict>
          </mc:Fallback>
        </mc:AlternateContent>
      </w:r>
    </w:p>
    <w:p w14:paraId="2FF82B52"/>
    <w:p w14:paraId="205A227B"/>
    <w:p w14:paraId="64E83B95"/>
    <w:p w14:paraId="63A09B59">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1530985</wp:posOffset>
                </wp:positionV>
                <wp:extent cx="5954395" cy="0"/>
                <wp:effectExtent l="0" t="0" r="0" b="0"/>
                <wp:wrapNone/>
                <wp:docPr id="3" name="Line 18"/>
                <wp:cNvGraphicFramePr/>
                <a:graphic xmlns:a="http://schemas.openxmlformats.org/drawingml/2006/main">
                  <a:graphicData uri="http://schemas.microsoft.com/office/word/2010/wordprocessingShape">
                    <wps:wsp>
                      <wps:cNvCnPr>
                        <a:cxnSpLocks noChangeShapeType="1"/>
                      </wps:cNvCnPr>
                      <wps:spPr bwMode="auto">
                        <a:xfrm>
                          <a:off x="0" y="0"/>
                          <a:ext cx="5954395" cy="0"/>
                        </a:xfrm>
                        <a:prstGeom prst="line">
                          <a:avLst/>
                        </a:prstGeom>
                        <a:noFill/>
                        <a:ln w="9525">
                          <a:solidFill>
                            <a:srgbClr val="000000"/>
                          </a:solidFill>
                          <a:round/>
                        </a:ln>
                      </wps:spPr>
                      <wps:bodyPr/>
                    </wps:wsp>
                  </a:graphicData>
                </a:graphic>
              </wp:anchor>
            </w:drawing>
          </mc:Choice>
          <mc:Fallback>
            <w:pict>
              <v:line id="Line 18" o:spid="_x0000_s1026" o:spt="20" style="position:absolute;left:0pt;margin-top:120.55pt;height:0pt;width:468.85pt;mso-position-horizontal:left;mso-position-horizontal-relative:margin;z-index:251659264;mso-width-relative:page;mso-height-relative:page;" filled="f" stroked="t" coordsize="21600,21600" o:gfxdata="UEsDBAoAAAAAAIdO4kAAAAAAAAAAAAAAAAAEAAAAZHJzL1BLAwQUAAAACACHTuJA/Q/E89UAAAAI&#10;AQAADwAAAGRycy9kb3ducmV2LnhtbE2PzU7DMBCE70i8g7VIXCpqJ0UUQpwegNy4UEBct/GSRMTr&#10;NHZ/4OlZJCQ4zs5q5ptydfSD2tMU+8AWsrkBRdwE13Nr4eW5vrgGFROywyEwWfikCKvq9KTEwoUD&#10;P9F+nVolIRwLtNClNBZax6Yjj3EeRmLx3sPkMYmcWu0mPEi4H3RuzJX22LM0dDjSXUfNx3rnLcT6&#10;lbb116yZmbdFGyjf3j8+oLXnZ5m5BZXomP6e4Qdf0KESpk3YsYtqsCBDkoX8MstAiX2zWC5BbX4v&#10;uir1/wHVN1BLAwQUAAAACACHTuJADxCozcsBAACgAwAADgAAAGRycy9lMm9Eb2MueG1srVPBbtsw&#10;DL0P2D8Iui9O0mVojDg9JOgu2Rag3QcosmwLlURBVGLn70fJSdZ1lx7qgyCJ5ON7j/LqYbCGnVRA&#10;Da7is8mUM+Uk1Nq1Ff/9/PjlnjOMwtXCgFMVPyvkD+vPn1a9L9UcOjC1CoxAHJa9r3gXoy+LAmWn&#10;rMAJeOUo2ECwItIxtEUdRE/o1hTz6fRb0UOofQCpEOl2Owb5BTG8BxCaRku1BXm0ysURNSgjIknC&#10;Tnvk68y2aZSMv5oGVWSm4qQ05pWa0P6Q1mK9EmUbhO+0vFAQ76HwRpMV2lHTG9RWRMGOQf8HZbUM&#10;gNDEiQRbjEKyI6RiNn3jzVMnvMpayGr0N9Px42Dlz9M+MF1X/I4zJywNfKedYrP7ZE3vsaSMjduH&#10;JE4O7snvQL4gc7DphGtVpvh89lQ3SxXFPyXpgJ4aHPofUFOOOEbIPg1NsAmSHGBDHsf5Ng41RCbp&#10;crFcfL1bLjiT11ghymuhDxi/K7AsbSpuiHQGFqcdxkRElNeU1MfBozYmT9s41ld8uZgvcgGC0XUK&#10;pjQM7WFjAjuJ9F7yl1VR5HVagKOrxybGXUQnnaNjB6jP+3A1gwaX2VweWXoZr8+5+u+Ptf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E89UAAAAIAQAADwAAAAAAAAABACAAAAAiAAAAZHJzL2Rv&#10;d25yZXYueG1sUEsBAhQAFAAAAAgAh07iQA8QqM3LAQAAoAMAAA4AAAAAAAAAAQAgAAAAJAEAAGRy&#10;cy9lMm9Eb2MueG1sUEsFBgAAAAAGAAYAWQEAAGEFAAAAAA==&#10;">
                <v:fill on="f" focussize="0,0"/>
                <v:stroke color="#000000" joinstyle="round"/>
                <v:imagedata o:title=""/>
                <o:lock v:ext="edit" aspectratio="f"/>
              </v:line>
            </w:pict>
          </mc:Fallback>
        </mc:AlternateContent>
      </w:r>
    </w:p>
    <w:p w14:paraId="4B221FE9"/>
    <w:p w14:paraId="61367D9D"/>
    <w:p w14:paraId="33BE2E1C">
      <w:pPr>
        <w:tabs>
          <w:tab w:val="left" w:pos="3174"/>
        </w:tabs>
      </w:pPr>
      <w:r>
        <w:tab/>
      </w:r>
    </w:p>
    <w:p w14:paraId="51859ED1"/>
    <w:p w14:paraId="13B66BE7"/>
    <w:p w14:paraId="7DDEC09C"/>
    <w:p w14:paraId="648F2B9A"/>
    <w:p w14:paraId="0A795695"/>
    <w:p w14:paraId="1F799634"/>
    <w:p w14:paraId="1D7F4719">
      <w:pPr>
        <w:sectPr>
          <w:headerReference r:id="rId3" w:type="even"/>
          <w:footerReference r:id="rId4" w:type="even"/>
          <w:pgSz w:w="11906" w:h="16838"/>
          <w:pgMar w:top="567" w:right="1134" w:bottom="1134" w:left="1417" w:header="0" w:footer="0" w:gutter="0"/>
          <w:pgNumType w:start="1"/>
          <w:cols w:space="425" w:num="1"/>
          <w:docGrid w:type="lines" w:linePitch="312" w:charSpace="0"/>
        </w:sectPr>
      </w:pPr>
    </w:p>
    <w:p w14:paraId="2E3DABD4">
      <w:pPr>
        <w:pStyle w:val="346"/>
        <w:spacing w:after="468"/>
      </w:pPr>
      <w:bookmarkStart w:id="10" w:name="_Toc492660172"/>
      <w:bookmarkStart w:id="11" w:name="_Toc463939919"/>
      <w:bookmarkStart w:id="12" w:name="_Toc488072031"/>
      <w:bookmarkStart w:id="13" w:name="_Toc292384966"/>
      <w:bookmarkStart w:id="14" w:name="_Toc292384944"/>
      <w:bookmarkStart w:id="15" w:name="_Toc460769793"/>
      <w:bookmarkStart w:id="16" w:name="_Toc459764667"/>
      <w:bookmarkStart w:id="17" w:name="_Toc460242798"/>
      <w:bookmarkStart w:id="18" w:name="_Toc417309302"/>
      <w:bookmarkStart w:id="19" w:name="_Toc460769629"/>
      <w:bookmarkStart w:id="20" w:name="_Toc292383071"/>
      <w:bookmarkStart w:id="21" w:name="_Toc292382712"/>
      <w:bookmarkStart w:id="22" w:name="_Toc292371527"/>
      <w:bookmarkStart w:id="23" w:name="_Toc292370483"/>
      <w:r>
        <w:rPr>
          <w:rFonts w:hint="eastAsia"/>
        </w:rPr>
        <w:t>目</w:t>
      </w:r>
      <w:bookmarkStart w:id="24" w:name="BKML"/>
      <w:r>
        <w:rPr>
          <w:rFonts w:ascii="Cambria Math" w:hAnsi="Cambria Math" w:cs="Cambria Math"/>
        </w:rPr>
        <w:t>  </w:t>
      </w:r>
      <w:r>
        <w:rPr>
          <w:rFonts w:hint="eastAsia"/>
        </w:rPr>
        <w:t>次</w:t>
      </w:r>
      <w:bookmarkEnd w:id="10"/>
      <w:bookmarkEnd w:id="11"/>
      <w:bookmarkEnd w:id="12"/>
      <w:bookmarkEnd w:id="13"/>
      <w:bookmarkEnd w:id="14"/>
      <w:bookmarkEnd w:id="15"/>
      <w:bookmarkEnd w:id="16"/>
      <w:bookmarkEnd w:id="17"/>
      <w:bookmarkEnd w:id="18"/>
      <w:bookmarkEnd w:id="19"/>
      <w:bookmarkEnd w:id="24"/>
    </w:p>
    <w:p w14:paraId="68C1BF6E">
      <w:pPr>
        <w:pStyle w:val="35"/>
        <w:rPr>
          <w:rFonts w:asciiTheme="minorHAnsi" w:hAnsiTheme="minorHAnsi" w:eastAsiaTheme="minorEastAsia" w:cstheme="minorBidi"/>
          <w:szCs w:val="22"/>
        </w:rPr>
      </w:pPr>
      <w:r>
        <w:rPr>
          <w:rFonts w:hAnsi="宋体"/>
          <w:kern w:val="0"/>
        </w:rPr>
        <w:fldChar w:fldCharType="begin"/>
      </w:r>
      <w:r>
        <w:rPr>
          <w:rFonts w:hAnsi="宋体"/>
          <w:kern w:val="0"/>
        </w:rPr>
        <w:instrText xml:space="preserve"> TOC \o "1-2" \h \z \u </w:instrText>
      </w:r>
      <w:r>
        <w:rPr>
          <w:rFonts w:hAnsi="宋体"/>
          <w:kern w:val="0"/>
        </w:rPr>
        <w:fldChar w:fldCharType="separate"/>
      </w:r>
      <w:r>
        <w:fldChar w:fldCharType="begin"/>
      </w:r>
      <w:r>
        <w:instrText xml:space="preserve"> HYPERLINK \l "_Toc172280866" </w:instrText>
      </w:r>
      <w:r>
        <w:fldChar w:fldCharType="separate"/>
      </w:r>
      <w:r>
        <w:rPr>
          <w:rStyle w:val="68"/>
        </w:rPr>
        <w:t>前言</w:t>
      </w:r>
      <w:r>
        <w:tab/>
      </w:r>
      <w:r>
        <w:fldChar w:fldCharType="begin"/>
      </w:r>
      <w:r>
        <w:instrText xml:space="preserve"> PAGEREF _Toc172280866 \h </w:instrText>
      </w:r>
      <w:r>
        <w:fldChar w:fldCharType="separate"/>
      </w:r>
      <w:r>
        <w:t>III</w:t>
      </w:r>
      <w:r>
        <w:fldChar w:fldCharType="end"/>
      </w:r>
      <w:r>
        <w:fldChar w:fldCharType="end"/>
      </w:r>
    </w:p>
    <w:p w14:paraId="6BD9DB6A">
      <w:pPr>
        <w:pStyle w:val="35"/>
        <w:rPr>
          <w:rFonts w:asciiTheme="minorHAnsi" w:hAnsiTheme="minorHAnsi" w:eastAsiaTheme="minorEastAsia" w:cstheme="minorBidi"/>
          <w:szCs w:val="22"/>
        </w:rPr>
      </w:pPr>
      <w:r>
        <w:fldChar w:fldCharType="begin"/>
      </w:r>
      <w:r>
        <w:instrText xml:space="preserve"> HYPERLINK \l "_Toc172280867" </w:instrText>
      </w:r>
      <w:r>
        <w:fldChar w:fldCharType="separate"/>
      </w:r>
      <w:r>
        <w:rPr>
          <w:rStyle w:val="68"/>
        </w:rPr>
        <w:t>1 范围</w:t>
      </w:r>
      <w:r>
        <w:tab/>
      </w:r>
      <w:r>
        <w:fldChar w:fldCharType="begin"/>
      </w:r>
      <w:r>
        <w:instrText xml:space="preserve"> PAGEREF _Toc172280867 \h </w:instrText>
      </w:r>
      <w:r>
        <w:fldChar w:fldCharType="separate"/>
      </w:r>
      <w:r>
        <w:t>1</w:t>
      </w:r>
      <w:r>
        <w:fldChar w:fldCharType="end"/>
      </w:r>
      <w:r>
        <w:fldChar w:fldCharType="end"/>
      </w:r>
    </w:p>
    <w:p w14:paraId="1FC36666">
      <w:pPr>
        <w:pStyle w:val="35"/>
        <w:rPr>
          <w:rFonts w:asciiTheme="minorHAnsi" w:hAnsiTheme="minorHAnsi" w:eastAsiaTheme="minorEastAsia" w:cstheme="minorBidi"/>
          <w:szCs w:val="22"/>
        </w:rPr>
      </w:pPr>
      <w:r>
        <w:fldChar w:fldCharType="begin"/>
      </w:r>
      <w:r>
        <w:instrText xml:space="preserve"> HYPERLINK \l "_Toc172280868" </w:instrText>
      </w:r>
      <w:r>
        <w:fldChar w:fldCharType="separate"/>
      </w:r>
      <w:r>
        <w:rPr>
          <w:rStyle w:val="68"/>
        </w:rPr>
        <w:t>2 规范性引用文件</w:t>
      </w:r>
      <w:r>
        <w:tab/>
      </w:r>
      <w:r>
        <w:fldChar w:fldCharType="begin"/>
      </w:r>
      <w:r>
        <w:instrText xml:space="preserve"> PAGEREF _Toc172280868 \h </w:instrText>
      </w:r>
      <w:r>
        <w:fldChar w:fldCharType="separate"/>
      </w:r>
      <w:r>
        <w:t>1</w:t>
      </w:r>
      <w:r>
        <w:fldChar w:fldCharType="end"/>
      </w:r>
      <w:r>
        <w:fldChar w:fldCharType="end"/>
      </w:r>
    </w:p>
    <w:p w14:paraId="263C1852">
      <w:pPr>
        <w:pStyle w:val="35"/>
        <w:rPr>
          <w:rFonts w:asciiTheme="minorHAnsi" w:hAnsiTheme="minorHAnsi" w:eastAsiaTheme="minorEastAsia" w:cstheme="minorBidi"/>
          <w:szCs w:val="22"/>
        </w:rPr>
      </w:pPr>
      <w:r>
        <w:fldChar w:fldCharType="begin"/>
      </w:r>
      <w:r>
        <w:instrText xml:space="preserve"> HYPERLINK \l "_Toc172280869" </w:instrText>
      </w:r>
      <w:r>
        <w:fldChar w:fldCharType="separate"/>
      </w:r>
      <w:r>
        <w:rPr>
          <w:rStyle w:val="68"/>
        </w:rPr>
        <w:t>3 术语和定义</w:t>
      </w:r>
      <w:r>
        <w:tab/>
      </w:r>
      <w:r>
        <w:fldChar w:fldCharType="begin"/>
      </w:r>
      <w:r>
        <w:instrText xml:space="preserve"> PAGEREF _Toc172280869 \h </w:instrText>
      </w:r>
      <w:r>
        <w:fldChar w:fldCharType="separate"/>
      </w:r>
      <w:r>
        <w:t>1</w:t>
      </w:r>
      <w:r>
        <w:fldChar w:fldCharType="end"/>
      </w:r>
      <w:r>
        <w:fldChar w:fldCharType="end"/>
      </w:r>
    </w:p>
    <w:p w14:paraId="6A7DBD48">
      <w:pPr>
        <w:pStyle w:val="35"/>
        <w:rPr>
          <w:rFonts w:asciiTheme="minorHAnsi" w:hAnsiTheme="minorHAnsi" w:eastAsiaTheme="minorEastAsia" w:cstheme="minorBidi"/>
          <w:szCs w:val="22"/>
        </w:rPr>
      </w:pPr>
      <w:r>
        <w:fldChar w:fldCharType="begin"/>
      </w:r>
      <w:r>
        <w:instrText xml:space="preserve"> HYPERLINK \l "_Toc172280870" </w:instrText>
      </w:r>
      <w:r>
        <w:fldChar w:fldCharType="separate"/>
      </w:r>
      <w:r>
        <w:rPr>
          <w:rStyle w:val="68"/>
        </w:rPr>
        <w:t>4 缩略语</w:t>
      </w:r>
      <w:r>
        <w:tab/>
      </w:r>
      <w:r>
        <w:fldChar w:fldCharType="begin"/>
      </w:r>
      <w:r>
        <w:instrText xml:space="preserve"> PAGEREF _Toc172280870 \h </w:instrText>
      </w:r>
      <w:r>
        <w:fldChar w:fldCharType="separate"/>
      </w:r>
      <w:r>
        <w:t>5</w:t>
      </w:r>
      <w:r>
        <w:fldChar w:fldCharType="end"/>
      </w:r>
      <w:r>
        <w:fldChar w:fldCharType="end"/>
      </w:r>
    </w:p>
    <w:p w14:paraId="74D35589">
      <w:pPr>
        <w:pStyle w:val="35"/>
        <w:rPr>
          <w:rFonts w:asciiTheme="minorHAnsi" w:hAnsiTheme="minorHAnsi" w:eastAsiaTheme="minorEastAsia" w:cstheme="minorBidi"/>
          <w:szCs w:val="22"/>
        </w:rPr>
      </w:pPr>
      <w:r>
        <w:fldChar w:fldCharType="begin"/>
      </w:r>
      <w:r>
        <w:instrText xml:space="preserve"> HYPERLINK \l "_Toc172280871" </w:instrText>
      </w:r>
      <w:r>
        <w:fldChar w:fldCharType="separate"/>
      </w:r>
      <w:r>
        <w:rPr>
          <w:rStyle w:val="68"/>
        </w:rPr>
        <w:t>5 概述</w:t>
      </w:r>
      <w:r>
        <w:tab/>
      </w:r>
      <w:r>
        <w:fldChar w:fldCharType="begin"/>
      </w:r>
      <w:r>
        <w:instrText xml:space="preserve"> PAGEREF _Toc172280871 \h </w:instrText>
      </w:r>
      <w:r>
        <w:fldChar w:fldCharType="separate"/>
      </w:r>
      <w:r>
        <w:t>5</w:t>
      </w:r>
      <w:r>
        <w:fldChar w:fldCharType="end"/>
      </w:r>
      <w:r>
        <w:fldChar w:fldCharType="end"/>
      </w:r>
    </w:p>
    <w:p w14:paraId="6A855590">
      <w:pPr>
        <w:pStyle w:val="46"/>
        <w:rPr>
          <w:rFonts w:asciiTheme="minorHAnsi" w:hAnsiTheme="minorHAnsi" w:eastAsiaTheme="minorEastAsia" w:cstheme="minorBidi"/>
          <w:szCs w:val="22"/>
        </w:rPr>
      </w:pPr>
      <w:r>
        <w:fldChar w:fldCharType="begin"/>
      </w:r>
      <w:r>
        <w:instrText xml:space="preserve"> HYPERLINK \l "_Toc172280872"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5.1</w:t>
      </w:r>
      <w:r>
        <w:rPr>
          <w:rStyle w:val="68"/>
          <w:color w:val="000000" w:themeColor="text1"/>
          <w14:textFill>
            <w14:solidFill>
              <w14:schemeClr w14:val="tx1"/>
            </w14:solidFill>
          </w14:textFill>
        </w:rPr>
        <w:t xml:space="preserve"> </w:t>
      </w:r>
      <w:r>
        <w:rPr>
          <w:rStyle w:val="68"/>
        </w:rPr>
        <w:t>隐私计算概述</w:t>
      </w:r>
      <w:r>
        <w:tab/>
      </w:r>
      <w:r>
        <w:fldChar w:fldCharType="begin"/>
      </w:r>
      <w:r>
        <w:instrText xml:space="preserve"> PAGEREF _Toc172280872 \h </w:instrText>
      </w:r>
      <w:r>
        <w:fldChar w:fldCharType="separate"/>
      </w:r>
      <w:r>
        <w:t>5</w:t>
      </w:r>
      <w:r>
        <w:fldChar w:fldCharType="end"/>
      </w:r>
      <w:r>
        <w:fldChar w:fldCharType="end"/>
      </w:r>
    </w:p>
    <w:p w14:paraId="18306BA1">
      <w:pPr>
        <w:pStyle w:val="46"/>
        <w:rPr>
          <w:rFonts w:asciiTheme="minorHAnsi" w:hAnsiTheme="minorHAnsi" w:eastAsiaTheme="minorEastAsia" w:cstheme="minorBidi"/>
          <w:szCs w:val="22"/>
        </w:rPr>
      </w:pPr>
      <w:r>
        <w:fldChar w:fldCharType="begin"/>
      </w:r>
      <w:r>
        <w:instrText xml:space="preserve"> HYPERLINK \l "_Toc172280873"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5.2</w:t>
      </w:r>
      <w:r>
        <w:rPr>
          <w:rStyle w:val="68"/>
          <w:color w:val="000000" w:themeColor="text1"/>
          <w14:textFill>
            <w14:solidFill>
              <w14:schemeClr w14:val="tx1"/>
            </w14:solidFill>
          </w14:textFill>
        </w:rPr>
        <w:t xml:space="preserve"> </w:t>
      </w:r>
      <w:r>
        <w:rPr>
          <w:rStyle w:val="68"/>
        </w:rPr>
        <w:t>隐私信息全生命期过程的计算操作</w:t>
      </w:r>
      <w:r>
        <w:tab/>
      </w:r>
      <w:r>
        <w:fldChar w:fldCharType="begin"/>
      </w:r>
      <w:r>
        <w:instrText xml:space="preserve"> PAGEREF _Toc172280873 \h </w:instrText>
      </w:r>
      <w:r>
        <w:fldChar w:fldCharType="separate"/>
      </w:r>
      <w:r>
        <w:t>7</w:t>
      </w:r>
      <w:r>
        <w:fldChar w:fldCharType="end"/>
      </w:r>
      <w:r>
        <w:fldChar w:fldCharType="end"/>
      </w:r>
    </w:p>
    <w:p w14:paraId="149DABB3">
      <w:pPr>
        <w:pStyle w:val="46"/>
        <w:rPr>
          <w:rFonts w:asciiTheme="minorHAnsi" w:hAnsiTheme="minorHAnsi" w:eastAsiaTheme="minorEastAsia" w:cstheme="minorBidi"/>
          <w:szCs w:val="22"/>
        </w:rPr>
      </w:pPr>
      <w:r>
        <w:fldChar w:fldCharType="begin"/>
      </w:r>
      <w:r>
        <w:instrText xml:space="preserve"> HYPERLINK \l "_Toc172280874"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5.3</w:t>
      </w:r>
      <w:r>
        <w:rPr>
          <w:rStyle w:val="68"/>
        </w:rPr>
        <w:t xml:space="preserve"> 隐私计算技术</w:t>
      </w:r>
      <w:r>
        <w:tab/>
      </w:r>
      <w:r>
        <w:fldChar w:fldCharType="begin"/>
      </w:r>
      <w:r>
        <w:instrText xml:space="preserve"> PAGEREF _Toc172280874 \h </w:instrText>
      </w:r>
      <w:r>
        <w:fldChar w:fldCharType="separate"/>
      </w:r>
      <w:r>
        <w:t>9</w:t>
      </w:r>
      <w:r>
        <w:fldChar w:fldCharType="end"/>
      </w:r>
      <w:r>
        <w:fldChar w:fldCharType="end"/>
      </w:r>
    </w:p>
    <w:p w14:paraId="7FD0ABF1">
      <w:pPr>
        <w:pStyle w:val="35"/>
        <w:rPr>
          <w:rFonts w:asciiTheme="minorHAnsi" w:hAnsiTheme="minorHAnsi" w:eastAsiaTheme="minorEastAsia" w:cstheme="minorBidi"/>
          <w:szCs w:val="22"/>
        </w:rPr>
      </w:pPr>
      <w:r>
        <w:fldChar w:fldCharType="begin"/>
      </w:r>
      <w:r>
        <w:instrText xml:space="preserve"> HYPERLINK \l "_Toc172280875" </w:instrText>
      </w:r>
      <w:r>
        <w:fldChar w:fldCharType="separate"/>
      </w:r>
      <w:r>
        <w:rPr>
          <w:rStyle w:val="68"/>
        </w:rPr>
        <w:t>6 隐私计算框架</w:t>
      </w:r>
      <w:r>
        <w:tab/>
      </w:r>
      <w:r>
        <w:fldChar w:fldCharType="begin"/>
      </w:r>
      <w:r>
        <w:instrText xml:space="preserve"> PAGEREF _Toc172280875 \h </w:instrText>
      </w:r>
      <w:r>
        <w:fldChar w:fldCharType="separate"/>
      </w:r>
      <w:r>
        <w:t>10</w:t>
      </w:r>
      <w:r>
        <w:fldChar w:fldCharType="end"/>
      </w:r>
      <w:r>
        <w:fldChar w:fldCharType="end"/>
      </w:r>
    </w:p>
    <w:p w14:paraId="03614C6B">
      <w:pPr>
        <w:pStyle w:val="46"/>
        <w:rPr>
          <w:rFonts w:asciiTheme="minorHAnsi" w:hAnsiTheme="minorHAnsi" w:eastAsiaTheme="minorEastAsia" w:cstheme="minorBidi"/>
          <w:szCs w:val="22"/>
        </w:rPr>
      </w:pPr>
      <w:r>
        <w:fldChar w:fldCharType="begin"/>
      </w:r>
      <w:r>
        <w:instrText xml:space="preserve"> HYPERLINK \l "_Toc172280876"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6.1</w:t>
      </w:r>
      <w:r>
        <w:rPr>
          <w:rStyle w:val="68"/>
          <w:color w:val="000000" w:themeColor="text1"/>
          <w14:textFill>
            <w14:solidFill>
              <w14:schemeClr w14:val="tx1"/>
            </w14:solidFill>
          </w14:textFill>
        </w:rPr>
        <w:t xml:space="preserve"> </w:t>
      </w:r>
      <w:r>
        <w:rPr>
          <w:rStyle w:val="68"/>
        </w:rPr>
        <w:t>隐私计算框架组件</w:t>
      </w:r>
      <w:r>
        <w:tab/>
      </w:r>
      <w:r>
        <w:fldChar w:fldCharType="begin"/>
      </w:r>
      <w:r>
        <w:instrText xml:space="preserve"> PAGEREF _Toc172280876 \h </w:instrText>
      </w:r>
      <w:r>
        <w:fldChar w:fldCharType="separate"/>
      </w:r>
      <w:r>
        <w:t>10</w:t>
      </w:r>
      <w:r>
        <w:fldChar w:fldCharType="end"/>
      </w:r>
      <w:r>
        <w:fldChar w:fldCharType="end"/>
      </w:r>
    </w:p>
    <w:p w14:paraId="46BD4EC2">
      <w:pPr>
        <w:pStyle w:val="46"/>
        <w:rPr>
          <w:rFonts w:asciiTheme="minorHAnsi" w:hAnsiTheme="minorHAnsi" w:eastAsiaTheme="minorEastAsia" w:cstheme="minorBidi"/>
          <w:szCs w:val="22"/>
        </w:rPr>
      </w:pPr>
      <w:r>
        <w:fldChar w:fldCharType="begin"/>
      </w:r>
      <w:r>
        <w:instrText xml:space="preserve"> HYPERLINK \l "_Toc172280877"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6.2</w:t>
      </w:r>
      <w:r>
        <w:rPr>
          <w:rStyle w:val="68"/>
        </w:rPr>
        <w:t xml:space="preserve"> 隐私计算系统的组件风险</w:t>
      </w:r>
      <w:r>
        <w:tab/>
      </w:r>
      <w:r>
        <w:fldChar w:fldCharType="begin"/>
      </w:r>
      <w:r>
        <w:instrText xml:space="preserve"> PAGEREF _Toc172280877 \h </w:instrText>
      </w:r>
      <w:r>
        <w:fldChar w:fldCharType="separate"/>
      </w:r>
      <w:r>
        <w:t>11</w:t>
      </w:r>
      <w:r>
        <w:fldChar w:fldCharType="end"/>
      </w:r>
      <w:r>
        <w:fldChar w:fldCharType="end"/>
      </w:r>
    </w:p>
    <w:p w14:paraId="6783308E">
      <w:pPr>
        <w:pStyle w:val="46"/>
        <w:rPr>
          <w:rFonts w:asciiTheme="minorHAnsi" w:hAnsiTheme="minorHAnsi" w:eastAsiaTheme="minorEastAsia" w:cstheme="minorBidi"/>
          <w:szCs w:val="22"/>
        </w:rPr>
      </w:pPr>
      <w:r>
        <w:fldChar w:fldCharType="begin"/>
      </w:r>
      <w:r>
        <w:instrText xml:space="preserve"> HYPERLINK \l "_Toc172280878"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6.3</w:t>
      </w:r>
      <w:r>
        <w:rPr>
          <w:rStyle w:val="68"/>
        </w:rPr>
        <w:t xml:space="preserve"> 隐私计算的互联互通</w:t>
      </w:r>
      <w:r>
        <w:tab/>
      </w:r>
      <w:r>
        <w:fldChar w:fldCharType="begin"/>
      </w:r>
      <w:r>
        <w:instrText xml:space="preserve"> PAGEREF _Toc172280878 \h </w:instrText>
      </w:r>
      <w:r>
        <w:fldChar w:fldCharType="separate"/>
      </w:r>
      <w:r>
        <w:t>11</w:t>
      </w:r>
      <w:r>
        <w:fldChar w:fldCharType="end"/>
      </w:r>
      <w:r>
        <w:fldChar w:fldCharType="end"/>
      </w:r>
    </w:p>
    <w:p w14:paraId="2EEAADC0">
      <w:pPr>
        <w:pStyle w:val="35"/>
        <w:rPr>
          <w:rFonts w:asciiTheme="minorHAnsi" w:hAnsiTheme="minorHAnsi" w:eastAsiaTheme="minorEastAsia" w:cstheme="minorBidi"/>
          <w:szCs w:val="22"/>
        </w:rPr>
      </w:pPr>
      <w:r>
        <w:fldChar w:fldCharType="begin"/>
      </w:r>
      <w:r>
        <w:instrText xml:space="preserve"> HYPERLINK \l "_Toc172280879" </w:instrText>
      </w:r>
      <w:r>
        <w:fldChar w:fldCharType="separate"/>
      </w:r>
      <w:r>
        <w:rPr>
          <w:rStyle w:val="68"/>
        </w:rPr>
        <w:t>7 隐私信息抽取与度量</w:t>
      </w:r>
      <w:r>
        <w:tab/>
      </w:r>
      <w:r>
        <w:fldChar w:fldCharType="begin"/>
      </w:r>
      <w:r>
        <w:instrText xml:space="preserve"> PAGEREF _Toc172280879 \h </w:instrText>
      </w:r>
      <w:r>
        <w:fldChar w:fldCharType="separate"/>
      </w:r>
      <w:r>
        <w:t>11</w:t>
      </w:r>
      <w:r>
        <w:fldChar w:fldCharType="end"/>
      </w:r>
      <w:r>
        <w:fldChar w:fldCharType="end"/>
      </w:r>
    </w:p>
    <w:p w14:paraId="7C186362">
      <w:pPr>
        <w:pStyle w:val="46"/>
        <w:rPr>
          <w:rFonts w:asciiTheme="minorHAnsi" w:hAnsiTheme="minorHAnsi" w:eastAsiaTheme="minorEastAsia" w:cstheme="minorBidi"/>
          <w:szCs w:val="22"/>
        </w:rPr>
      </w:pPr>
      <w:r>
        <w:fldChar w:fldCharType="begin"/>
      </w:r>
      <w:r>
        <w:instrText xml:space="preserve"> HYPERLINK \l "_Toc172280880"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7.1</w:t>
      </w:r>
      <w:r>
        <w:rPr>
          <w:rStyle w:val="68"/>
        </w:rPr>
        <w:t xml:space="preserve"> 概述</w:t>
      </w:r>
      <w:r>
        <w:tab/>
      </w:r>
      <w:r>
        <w:fldChar w:fldCharType="begin"/>
      </w:r>
      <w:r>
        <w:instrText xml:space="preserve"> PAGEREF _Toc172280880 \h </w:instrText>
      </w:r>
      <w:r>
        <w:fldChar w:fldCharType="separate"/>
      </w:r>
      <w:r>
        <w:t>11</w:t>
      </w:r>
      <w:r>
        <w:fldChar w:fldCharType="end"/>
      </w:r>
      <w:r>
        <w:fldChar w:fldCharType="end"/>
      </w:r>
    </w:p>
    <w:p w14:paraId="4EA98F20">
      <w:pPr>
        <w:pStyle w:val="46"/>
        <w:rPr>
          <w:rFonts w:asciiTheme="minorHAnsi" w:hAnsiTheme="minorHAnsi" w:eastAsiaTheme="minorEastAsia" w:cstheme="minorBidi"/>
          <w:szCs w:val="22"/>
        </w:rPr>
      </w:pPr>
      <w:r>
        <w:fldChar w:fldCharType="begin"/>
      </w:r>
      <w:r>
        <w:instrText xml:space="preserve"> HYPERLINK \l "_Toc172280881"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7.2</w:t>
      </w:r>
      <w:r>
        <w:rPr>
          <w:rStyle w:val="68"/>
        </w:rPr>
        <w:t xml:space="preserve"> 隐私信息抽取</w:t>
      </w:r>
      <w:r>
        <w:tab/>
      </w:r>
      <w:r>
        <w:fldChar w:fldCharType="begin"/>
      </w:r>
      <w:r>
        <w:instrText xml:space="preserve"> PAGEREF _Toc172280881 \h </w:instrText>
      </w:r>
      <w:r>
        <w:fldChar w:fldCharType="separate"/>
      </w:r>
      <w:r>
        <w:t>12</w:t>
      </w:r>
      <w:r>
        <w:fldChar w:fldCharType="end"/>
      </w:r>
      <w:r>
        <w:fldChar w:fldCharType="end"/>
      </w:r>
    </w:p>
    <w:p w14:paraId="59E4A773">
      <w:pPr>
        <w:pStyle w:val="46"/>
        <w:rPr>
          <w:rFonts w:asciiTheme="minorHAnsi" w:hAnsiTheme="minorHAnsi" w:eastAsiaTheme="minorEastAsia" w:cstheme="minorBidi"/>
          <w:szCs w:val="22"/>
        </w:rPr>
      </w:pPr>
      <w:r>
        <w:fldChar w:fldCharType="begin"/>
      </w:r>
      <w:r>
        <w:instrText xml:space="preserve"> HYPERLINK \l "_Toc172280882"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7.3</w:t>
      </w:r>
      <w:r>
        <w:rPr>
          <w:rStyle w:val="68"/>
        </w:rPr>
        <w:t xml:space="preserve"> 隐私信息分类</w:t>
      </w:r>
      <w:r>
        <w:tab/>
      </w:r>
      <w:r>
        <w:fldChar w:fldCharType="begin"/>
      </w:r>
      <w:r>
        <w:instrText xml:space="preserve"> PAGEREF _Toc172280882 \h </w:instrText>
      </w:r>
      <w:r>
        <w:fldChar w:fldCharType="separate"/>
      </w:r>
      <w:r>
        <w:t>12</w:t>
      </w:r>
      <w:r>
        <w:fldChar w:fldCharType="end"/>
      </w:r>
      <w:r>
        <w:fldChar w:fldCharType="end"/>
      </w:r>
    </w:p>
    <w:p w14:paraId="33F8C50A">
      <w:pPr>
        <w:pStyle w:val="46"/>
        <w:rPr>
          <w:rFonts w:asciiTheme="minorHAnsi" w:hAnsiTheme="minorHAnsi" w:eastAsiaTheme="minorEastAsia" w:cstheme="minorBidi"/>
          <w:szCs w:val="22"/>
        </w:rPr>
      </w:pPr>
      <w:r>
        <w:fldChar w:fldCharType="begin"/>
      </w:r>
      <w:r>
        <w:instrText xml:space="preserve"> HYPERLINK \l "_Toc172280883"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7.4</w:t>
      </w:r>
      <w:r>
        <w:rPr>
          <w:rStyle w:val="68"/>
        </w:rPr>
        <w:t xml:space="preserve"> 隐私信息度量</w:t>
      </w:r>
      <w:r>
        <w:tab/>
      </w:r>
      <w:r>
        <w:fldChar w:fldCharType="begin"/>
      </w:r>
      <w:r>
        <w:instrText xml:space="preserve"> PAGEREF _Toc172280883 \h </w:instrText>
      </w:r>
      <w:r>
        <w:fldChar w:fldCharType="separate"/>
      </w:r>
      <w:r>
        <w:t>12</w:t>
      </w:r>
      <w:r>
        <w:fldChar w:fldCharType="end"/>
      </w:r>
      <w:r>
        <w:fldChar w:fldCharType="end"/>
      </w:r>
    </w:p>
    <w:p w14:paraId="69ABD770">
      <w:pPr>
        <w:pStyle w:val="35"/>
        <w:rPr>
          <w:rFonts w:asciiTheme="minorHAnsi" w:hAnsiTheme="minorHAnsi" w:eastAsiaTheme="minorEastAsia" w:cstheme="minorBidi"/>
          <w:szCs w:val="22"/>
        </w:rPr>
      </w:pPr>
      <w:r>
        <w:fldChar w:fldCharType="begin"/>
      </w:r>
      <w:r>
        <w:instrText xml:space="preserve"> HYPERLINK \l "_Toc172280884" </w:instrText>
      </w:r>
      <w:r>
        <w:fldChar w:fldCharType="separate"/>
      </w:r>
      <w:r>
        <w:rPr>
          <w:rStyle w:val="68"/>
        </w:rPr>
        <w:t>8 隐私度量动态调整</w:t>
      </w:r>
      <w:r>
        <w:tab/>
      </w:r>
      <w:r>
        <w:fldChar w:fldCharType="begin"/>
      </w:r>
      <w:r>
        <w:instrText xml:space="preserve"> PAGEREF _Toc172280884 \h </w:instrText>
      </w:r>
      <w:r>
        <w:fldChar w:fldCharType="separate"/>
      </w:r>
      <w:r>
        <w:t>12</w:t>
      </w:r>
      <w:r>
        <w:fldChar w:fldCharType="end"/>
      </w:r>
      <w:r>
        <w:fldChar w:fldCharType="end"/>
      </w:r>
    </w:p>
    <w:p w14:paraId="0074D67B">
      <w:pPr>
        <w:pStyle w:val="46"/>
        <w:rPr>
          <w:rFonts w:asciiTheme="minorHAnsi" w:hAnsiTheme="minorHAnsi" w:eastAsiaTheme="minorEastAsia" w:cstheme="minorBidi"/>
          <w:szCs w:val="22"/>
        </w:rPr>
      </w:pPr>
      <w:r>
        <w:fldChar w:fldCharType="begin"/>
      </w:r>
      <w:r>
        <w:instrText xml:space="preserve"> HYPERLINK \l "_Toc172280885"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8.1</w:t>
      </w:r>
      <w:r>
        <w:rPr>
          <w:rStyle w:val="68"/>
        </w:rPr>
        <w:t xml:space="preserve"> 概述</w:t>
      </w:r>
      <w:r>
        <w:tab/>
      </w:r>
      <w:r>
        <w:fldChar w:fldCharType="begin"/>
      </w:r>
      <w:r>
        <w:instrText xml:space="preserve"> PAGEREF _Toc172280885 \h </w:instrText>
      </w:r>
      <w:r>
        <w:fldChar w:fldCharType="separate"/>
      </w:r>
      <w:r>
        <w:t>12</w:t>
      </w:r>
      <w:r>
        <w:fldChar w:fldCharType="end"/>
      </w:r>
      <w:r>
        <w:fldChar w:fldCharType="end"/>
      </w:r>
    </w:p>
    <w:p w14:paraId="1D54EAA7">
      <w:pPr>
        <w:pStyle w:val="46"/>
        <w:rPr>
          <w:rFonts w:asciiTheme="minorHAnsi" w:hAnsiTheme="minorHAnsi" w:eastAsiaTheme="minorEastAsia" w:cstheme="minorBidi"/>
          <w:szCs w:val="22"/>
        </w:rPr>
      </w:pPr>
      <w:r>
        <w:fldChar w:fldCharType="begin"/>
      </w:r>
      <w:r>
        <w:instrText xml:space="preserve"> HYPERLINK \l "_Toc172280886"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8.2</w:t>
      </w:r>
      <w:r>
        <w:rPr>
          <w:rStyle w:val="68"/>
        </w:rPr>
        <w:t xml:space="preserve"> 场景识别</w:t>
      </w:r>
      <w:r>
        <w:tab/>
      </w:r>
      <w:r>
        <w:fldChar w:fldCharType="begin"/>
      </w:r>
      <w:r>
        <w:instrText xml:space="preserve"> PAGEREF _Toc172280886 \h </w:instrText>
      </w:r>
      <w:r>
        <w:fldChar w:fldCharType="separate"/>
      </w:r>
      <w:r>
        <w:t>13</w:t>
      </w:r>
      <w:r>
        <w:fldChar w:fldCharType="end"/>
      </w:r>
      <w:r>
        <w:fldChar w:fldCharType="end"/>
      </w:r>
    </w:p>
    <w:p w14:paraId="5DBAC476">
      <w:pPr>
        <w:pStyle w:val="46"/>
        <w:rPr>
          <w:rFonts w:asciiTheme="minorHAnsi" w:hAnsiTheme="minorHAnsi" w:eastAsiaTheme="minorEastAsia" w:cstheme="minorBidi"/>
          <w:szCs w:val="22"/>
        </w:rPr>
      </w:pPr>
      <w:r>
        <w:fldChar w:fldCharType="begin"/>
      </w:r>
      <w:r>
        <w:instrText xml:space="preserve"> HYPERLINK \l "_Toc172280887"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8.3</w:t>
      </w:r>
      <w:r>
        <w:rPr>
          <w:rStyle w:val="68"/>
        </w:rPr>
        <w:t xml:space="preserve"> 度量调整</w:t>
      </w:r>
      <w:r>
        <w:tab/>
      </w:r>
      <w:r>
        <w:fldChar w:fldCharType="begin"/>
      </w:r>
      <w:r>
        <w:instrText xml:space="preserve"> PAGEREF _Toc172280887 \h </w:instrText>
      </w:r>
      <w:r>
        <w:fldChar w:fldCharType="separate"/>
      </w:r>
      <w:r>
        <w:t>13</w:t>
      </w:r>
      <w:r>
        <w:fldChar w:fldCharType="end"/>
      </w:r>
      <w:r>
        <w:fldChar w:fldCharType="end"/>
      </w:r>
    </w:p>
    <w:p w14:paraId="610FC642">
      <w:pPr>
        <w:pStyle w:val="35"/>
        <w:rPr>
          <w:rFonts w:asciiTheme="minorHAnsi" w:hAnsiTheme="minorHAnsi" w:eastAsiaTheme="minorEastAsia" w:cstheme="minorBidi"/>
          <w:szCs w:val="22"/>
        </w:rPr>
      </w:pPr>
      <w:r>
        <w:fldChar w:fldCharType="begin"/>
      </w:r>
      <w:r>
        <w:instrText xml:space="preserve"> HYPERLINK \l "_Toc172280888" </w:instrText>
      </w:r>
      <w:r>
        <w:fldChar w:fldCharType="separate"/>
      </w:r>
      <w:r>
        <w:rPr>
          <w:rStyle w:val="68"/>
        </w:rPr>
        <w:t>9 隐私延伸控制</w:t>
      </w:r>
      <w:r>
        <w:tab/>
      </w:r>
      <w:r>
        <w:fldChar w:fldCharType="begin"/>
      </w:r>
      <w:r>
        <w:instrText xml:space="preserve"> PAGEREF _Toc172280888 \h </w:instrText>
      </w:r>
      <w:r>
        <w:fldChar w:fldCharType="separate"/>
      </w:r>
      <w:r>
        <w:t>13</w:t>
      </w:r>
      <w:r>
        <w:fldChar w:fldCharType="end"/>
      </w:r>
      <w:r>
        <w:fldChar w:fldCharType="end"/>
      </w:r>
    </w:p>
    <w:p w14:paraId="3535BCFA">
      <w:pPr>
        <w:pStyle w:val="46"/>
        <w:rPr>
          <w:rFonts w:asciiTheme="minorHAnsi" w:hAnsiTheme="minorHAnsi" w:eastAsiaTheme="minorEastAsia" w:cstheme="minorBidi"/>
          <w:szCs w:val="22"/>
        </w:rPr>
      </w:pPr>
      <w:r>
        <w:fldChar w:fldCharType="begin"/>
      </w:r>
      <w:r>
        <w:instrText xml:space="preserve"> HYPERLINK \l "_Toc172280889"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9.1</w:t>
      </w:r>
      <w:r>
        <w:rPr>
          <w:rStyle w:val="68"/>
        </w:rPr>
        <w:t xml:space="preserve"> 概述</w:t>
      </w:r>
      <w:r>
        <w:tab/>
      </w:r>
      <w:r>
        <w:fldChar w:fldCharType="begin"/>
      </w:r>
      <w:r>
        <w:instrText xml:space="preserve"> PAGEREF _Toc172280889 \h </w:instrText>
      </w:r>
      <w:r>
        <w:fldChar w:fldCharType="separate"/>
      </w:r>
      <w:r>
        <w:t>13</w:t>
      </w:r>
      <w:r>
        <w:fldChar w:fldCharType="end"/>
      </w:r>
      <w:r>
        <w:fldChar w:fldCharType="end"/>
      </w:r>
    </w:p>
    <w:p w14:paraId="699F84FB">
      <w:pPr>
        <w:pStyle w:val="46"/>
        <w:rPr>
          <w:rFonts w:asciiTheme="minorHAnsi" w:hAnsiTheme="minorHAnsi" w:eastAsiaTheme="minorEastAsia" w:cstheme="minorBidi"/>
          <w:szCs w:val="22"/>
        </w:rPr>
      </w:pPr>
      <w:r>
        <w:fldChar w:fldCharType="begin"/>
      </w:r>
      <w:r>
        <w:instrText xml:space="preserve"> HYPERLINK \l "_Toc172280890"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9.2</w:t>
      </w:r>
      <w:r>
        <w:rPr>
          <w:rStyle w:val="68"/>
        </w:rPr>
        <w:t xml:space="preserve"> 延伸控制策略生成</w:t>
      </w:r>
      <w:r>
        <w:tab/>
      </w:r>
      <w:r>
        <w:fldChar w:fldCharType="begin"/>
      </w:r>
      <w:r>
        <w:instrText xml:space="preserve"> PAGEREF _Toc172280890 \h </w:instrText>
      </w:r>
      <w:r>
        <w:fldChar w:fldCharType="separate"/>
      </w:r>
      <w:r>
        <w:t>13</w:t>
      </w:r>
      <w:r>
        <w:fldChar w:fldCharType="end"/>
      </w:r>
      <w:r>
        <w:fldChar w:fldCharType="end"/>
      </w:r>
    </w:p>
    <w:p w14:paraId="27BD79EF">
      <w:pPr>
        <w:pStyle w:val="46"/>
        <w:rPr>
          <w:rFonts w:asciiTheme="minorHAnsi" w:hAnsiTheme="minorHAnsi" w:eastAsiaTheme="minorEastAsia" w:cstheme="minorBidi"/>
          <w:szCs w:val="22"/>
        </w:rPr>
      </w:pPr>
      <w:r>
        <w:fldChar w:fldCharType="begin"/>
      </w:r>
      <w:r>
        <w:instrText xml:space="preserve"> HYPERLINK \l "_Toc172280891"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9.3</w:t>
      </w:r>
      <w:r>
        <w:rPr>
          <w:rStyle w:val="68"/>
        </w:rPr>
        <w:t xml:space="preserve"> 控制策略可控传递</w:t>
      </w:r>
      <w:r>
        <w:tab/>
      </w:r>
      <w:r>
        <w:fldChar w:fldCharType="begin"/>
      </w:r>
      <w:r>
        <w:instrText xml:space="preserve"> PAGEREF _Toc172280891 \h </w:instrText>
      </w:r>
      <w:r>
        <w:fldChar w:fldCharType="separate"/>
      </w:r>
      <w:r>
        <w:t>14</w:t>
      </w:r>
      <w:r>
        <w:fldChar w:fldCharType="end"/>
      </w:r>
      <w:r>
        <w:fldChar w:fldCharType="end"/>
      </w:r>
    </w:p>
    <w:p w14:paraId="2AFB9D1E">
      <w:pPr>
        <w:pStyle w:val="46"/>
        <w:rPr>
          <w:rFonts w:asciiTheme="minorHAnsi" w:hAnsiTheme="minorHAnsi" w:eastAsiaTheme="minorEastAsia" w:cstheme="minorBidi"/>
          <w:szCs w:val="22"/>
        </w:rPr>
      </w:pPr>
      <w:r>
        <w:fldChar w:fldCharType="begin"/>
      </w:r>
      <w:r>
        <w:instrText xml:space="preserve"> HYPERLINK \l "_Toc172280892"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9.4</w:t>
      </w:r>
      <w:r>
        <w:rPr>
          <w:rStyle w:val="68"/>
        </w:rPr>
        <w:t xml:space="preserve"> 控制策略迭代调整</w:t>
      </w:r>
      <w:r>
        <w:tab/>
      </w:r>
      <w:r>
        <w:fldChar w:fldCharType="begin"/>
      </w:r>
      <w:r>
        <w:instrText xml:space="preserve"> PAGEREF _Toc172280892 \h </w:instrText>
      </w:r>
      <w:r>
        <w:fldChar w:fldCharType="separate"/>
      </w:r>
      <w:r>
        <w:t>14</w:t>
      </w:r>
      <w:r>
        <w:fldChar w:fldCharType="end"/>
      </w:r>
      <w:r>
        <w:fldChar w:fldCharType="end"/>
      </w:r>
    </w:p>
    <w:p w14:paraId="11C752D4">
      <w:pPr>
        <w:pStyle w:val="46"/>
        <w:rPr>
          <w:rFonts w:asciiTheme="minorHAnsi" w:hAnsiTheme="minorHAnsi" w:eastAsiaTheme="minorEastAsia" w:cstheme="minorBidi"/>
          <w:szCs w:val="22"/>
        </w:rPr>
      </w:pPr>
      <w:r>
        <w:fldChar w:fldCharType="begin"/>
      </w:r>
      <w:r>
        <w:instrText xml:space="preserve"> HYPERLINK \l "_Toc172280893"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9.5</w:t>
      </w:r>
      <w:r>
        <w:rPr>
          <w:rStyle w:val="68"/>
        </w:rPr>
        <w:t xml:space="preserve"> 策略执行可信验证</w:t>
      </w:r>
      <w:r>
        <w:tab/>
      </w:r>
      <w:r>
        <w:fldChar w:fldCharType="begin"/>
      </w:r>
      <w:r>
        <w:instrText xml:space="preserve"> PAGEREF _Toc172280893 \h </w:instrText>
      </w:r>
      <w:r>
        <w:fldChar w:fldCharType="separate"/>
      </w:r>
      <w:r>
        <w:t>14</w:t>
      </w:r>
      <w:r>
        <w:fldChar w:fldCharType="end"/>
      </w:r>
      <w:r>
        <w:fldChar w:fldCharType="end"/>
      </w:r>
    </w:p>
    <w:p w14:paraId="26C15B12">
      <w:pPr>
        <w:pStyle w:val="35"/>
        <w:rPr>
          <w:rFonts w:asciiTheme="minorHAnsi" w:hAnsiTheme="minorHAnsi" w:eastAsiaTheme="minorEastAsia" w:cstheme="minorBidi"/>
          <w:szCs w:val="22"/>
        </w:rPr>
      </w:pPr>
      <w:r>
        <w:fldChar w:fldCharType="begin"/>
      </w:r>
      <w:r>
        <w:instrText xml:space="preserve"> HYPERLINK \l "_Toc172280894" </w:instrText>
      </w:r>
      <w:r>
        <w:fldChar w:fldCharType="separate"/>
      </w:r>
      <w:r>
        <w:rPr>
          <w:rStyle w:val="68"/>
        </w:rPr>
        <w:t>10 隐私按需保护</w:t>
      </w:r>
      <w:r>
        <w:tab/>
      </w:r>
      <w:r>
        <w:fldChar w:fldCharType="begin"/>
      </w:r>
      <w:r>
        <w:instrText xml:space="preserve"> PAGEREF _Toc172280894 \h </w:instrText>
      </w:r>
      <w:r>
        <w:fldChar w:fldCharType="separate"/>
      </w:r>
      <w:r>
        <w:t>15</w:t>
      </w:r>
      <w:r>
        <w:fldChar w:fldCharType="end"/>
      </w:r>
      <w:r>
        <w:fldChar w:fldCharType="end"/>
      </w:r>
    </w:p>
    <w:p w14:paraId="62CF8306">
      <w:pPr>
        <w:pStyle w:val="46"/>
        <w:rPr>
          <w:rFonts w:asciiTheme="minorHAnsi" w:hAnsiTheme="minorHAnsi" w:eastAsiaTheme="minorEastAsia" w:cstheme="minorBidi"/>
          <w:szCs w:val="22"/>
        </w:rPr>
      </w:pPr>
      <w:r>
        <w:fldChar w:fldCharType="begin"/>
      </w:r>
      <w:r>
        <w:instrText xml:space="preserve"> HYPERLINK \l "_Toc172280895"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10.1</w:t>
      </w:r>
      <w:r>
        <w:rPr>
          <w:rStyle w:val="68"/>
        </w:rPr>
        <w:t xml:space="preserve"> 概述</w:t>
      </w:r>
      <w:r>
        <w:tab/>
      </w:r>
      <w:r>
        <w:fldChar w:fldCharType="begin"/>
      </w:r>
      <w:r>
        <w:instrText xml:space="preserve"> PAGEREF _Toc172280895 \h </w:instrText>
      </w:r>
      <w:r>
        <w:fldChar w:fldCharType="separate"/>
      </w:r>
      <w:r>
        <w:t>15</w:t>
      </w:r>
      <w:r>
        <w:fldChar w:fldCharType="end"/>
      </w:r>
      <w:r>
        <w:fldChar w:fldCharType="end"/>
      </w:r>
    </w:p>
    <w:p w14:paraId="4DE273F1">
      <w:pPr>
        <w:pStyle w:val="46"/>
        <w:rPr>
          <w:rFonts w:asciiTheme="minorHAnsi" w:hAnsiTheme="minorHAnsi" w:eastAsiaTheme="minorEastAsia" w:cstheme="minorBidi"/>
          <w:szCs w:val="22"/>
        </w:rPr>
      </w:pPr>
      <w:r>
        <w:fldChar w:fldCharType="begin"/>
      </w:r>
      <w:r>
        <w:instrText xml:space="preserve"> HYPERLINK \l "_Toc172280896"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10.2</w:t>
      </w:r>
      <w:r>
        <w:rPr>
          <w:rStyle w:val="68"/>
        </w:rPr>
        <w:t xml:space="preserve"> 脱敏算法能力评估</w:t>
      </w:r>
      <w:r>
        <w:tab/>
      </w:r>
      <w:r>
        <w:fldChar w:fldCharType="begin"/>
      </w:r>
      <w:r>
        <w:instrText xml:space="preserve"> PAGEREF _Toc172280896 \h </w:instrText>
      </w:r>
      <w:r>
        <w:fldChar w:fldCharType="separate"/>
      </w:r>
      <w:r>
        <w:t>15</w:t>
      </w:r>
      <w:r>
        <w:fldChar w:fldCharType="end"/>
      </w:r>
      <w:r>
        <w:fldChar w:fldCharType="end"/>
      </w:r>
    </w:p>
    <w:p w14:paraId="0386BA93">
      <w:pPr>
        <w:pStyle w:val="46"/>
        <w:rPr>
          <w:rFonts w:asciiTheme="minorHAnsi" w:hAnsiTheme="minorHAnsi" w:eastAsiaTheme="minorEastAsia" w:cstheme="minorBidi"/>
          <w:szCs w:val="22"/>
        </w:rPr>
      </w:pPr>
      <w:r>
        <w:fldChar w:fldCharType="begin"/>
      </w:r>
      <w:r>
        <w:instrText xml:space="preserve"> HYPERLINK \l "_Toc172280897"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10.3</w:t>
      </w:r>
      <w:r>
        <w:rPr>
          <w:rStyle w:val="68"/>
        </w:rPr>
        <w:t xml:space="preserve"> 按需脱敏</w:t>
      </w:r>
      <w:r>
        <w:tab/>
      </w:r>
      <w:r>
        <w:fldChar w:fldCharType="begin"/>
      </w:r>
      <w:r>
        <w:instrText xml:space="preserve"> PAGEREF _Toc172280897 \h </w:instrText>
      </w:r>
      <w:r>
        <w:fldChar w:fldCharType="separate"/>
      </w:r>
      <w:r>
        <w:t>18</w:t>
      </w:r>
      <w:r>
        <w:fldChar w:fldCharType="end"/>
      </w:r>
      <w:r>
        <w:fldChar w:fldCharType="end"/>
      </w:r>
    </w:p>
    <w:p w14:paraId="62B03A98">
      <w:pPr>
        <w:pStyle w:val="46"/>
        <w:rPr>
          <w:rFonts w:asciiTheme="minorHAnsi" w:hAnsiTheme="minorHAnsi" w:eastAsiaTheme="minorEastAsia" w:cstheme="minorBidi"/>
          <w:szCs w:val="22"/>
        </w:rPr>
      </w:pPr>
      <w:r>
        <w:fldChar w:fldCharType="begin"/>
      </w:r>
      <w:r>
        <w:instrText xml:space="preserve"> HYPERLINK \l "_Toc172280898"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10.4</w:t>
      </w:r>
      <w:r>
        <w:rPr>
          <w:rStyle w:val="68"/>
        </w:rPr>
        <w:t xml:space="preserve"> 按需删除</w:t>
      </w:r>
      <w:r>
        <w:tab/>
      </w:r>
      <w:r>
        <w:fldChar w:fldCharType="begin"/>
      </w:r>
      <w:r>
        <w:instrText xml:space="preserve"> PAGEREF _Toc172280898 \h </w:instrText>
      </w:r>
      <w:r>
        <w:fldChar w:fldCharType="separate"/>
      </w:r>
      <w:r>
        <w:t>18</w:t>
      </w:r>
      <w:r>
        <w:fldChar w:fldCharType="end"/>
      </w:r>
      <w:r>
        <w:fldChar w:fldCharType="end"/>
      </w:r>
    </w:p>
    <w:p w14:paraId="1DC4C4F8">
      <w:pPr>
        <w:pStyle w:val="35"/>
        <w:rPr>
          <w:rFonts w:asciiTheme="minorHAnsi" w:hAnsiTheme="minorHAnsi" w:eastAsiaTheme="minorEastAsia" w:cstheme="minorBidi"/>
          <w:szCs w:val="22"/>
        </w:rPr>
      </w:pPr>
      <w:r>
        <w:fldChar w:fldCharType="begin"/>
      </w:r>
      <w:r>
        <w:instrText xml:space="preserve"> HYPERLINK \l "_Toc172280899" </w:instrText>
      </w:r>
      <w:r>
        <w:fldChar w:fldCharType="separate"/>
      </w:r>
      <w:r>
        <w:rPr>
          <w:rStyle w:val="68"/>
        </w:rPr>
        <w:t>11 保护效果评估</w:t>
      </w:r>
      <w:r>
        <w:tab/>
      </w:r>
      <w:r>
        <w:fldChar w:fldCharType="begin"/>
      </w:r>
      <w:r>
        <w:instrText xml:space="preserve"> PAGEREF _Toc172280899 \h </w:instrText>
      </w:r>
      <w:r>
        <w:fldChar w:fldCharType="separate"/>
      </w:r>
      <w:r>
        <w:t>19</w:t>
      </w:r>
      <w:r>
        <w:fldChar w:fldCharType="end"/>
      </w:r>
      <w:r>
        <w:fldChar w:fldCharType="end"/>
      </w:r>
    </w:p>
    <w:p w14:paraId="20C51937">
      <w:pPr>
        <w:pStyle w:val="46"/>
        <w:rPr>
          <w:rFonts w:asciiTheme="minorHAnsi" w:hAnsiTheme="minorHAnsi" w:eastAsiaTheme="minorEastAsia" w:cstheme="minorBidi"/>
          <w:szCs w:val="22"/>
        </w:rPr>
      </w:pPr>
      <w:r>
        <w:fldChar w:fldCharType="begin"/>
      </w:r>
      <w:r>
        <w:instrText xml:space="preserve"> HYPERLINK \l "_Toc172280900"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11.1</w:t>
      </w:r>
      <w:r>
        <w:rPr>
          <w:rStyle w:val="68"/>
          <w:color w:val="000000" w:themeColor="text1"/>
          <w14:textFill>
            <w14:solidFill>
              <w14:schemeClr w14:val="tx1"/>
            </w14:solidFill>
          </w14:textFill>
        </w:rPr>
        <w:t xml:space="preserve"> </w:t>
      </w:r>
      <w:r>
        <w:rPr>
          <w:rStyle w:val="68"/>
        </w:rPr>
        <w:t>概述</w:t>
      </w:r>
      <w:r>
        <w:tab/>
      </w:r>
      <w:r>
        <w:fldChar w:fldCharType="begin"/>
      </w:r>
      <w:r>
        <w:instrText xml:space="preserve"> PAGEREF _Toc172280900 \h </w:instrText>
      </w:r>
      <w:r>
        <w:fldChar w:fldCharType="separate"/>
      </w:r>
      <w:r>
        <w:t>19</w:t>
      </w:r>
      <w:r>
        <w:fldChar w:fldCharType="end"/>
      </w:r>
      <w:r>
        <w:fldChar w:fldCharType="end"/>
      </w:r>
    </w:p>
    <w:p w14:paraId="44651285">
      <w:pPr>
        <w:pStyle w:val="46"/>
        <w:rPr>
          <w:rFonts w:asciiTheme="minorHAnsi" w:hAnsiTheme="minorHAnsi" w:eastAsiaTheme="minorEastAsia" w:cstheme="minorBidi"/>
          <w:szCs w:val="22"/>
        </w:rPr>
      </w:pPr>
      <w:r>
        <w:fldChar w:fldCharType="begin"/>
      </w:r>
      <w:r>
        <w:instrText xml:space="preserve"> HYPERLINK \l "_Toc172280901"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11.2</w:t>
      </w:r>
      <w:r>
        <w:rPr>
          <w:rStyle w:val="68"/>
        </w:rPr>
        <w:t xml:space="preserve"> 单次脱敏效果评估</w:t>
      </w:r>
      <w:r>
        <w:tab/>
      </w:r>
      <w:r>
        <w:fldChar w:fldCharType="begin"/>
      </w:r>
      <w:r>
        <w:instrText xml:space="preserve"> PAGEREF _Toc172280901 \h </w:instrText>
      </w:r>
      <w:r>
        <w:fldChar w:fldCharType="separate"/>
      </w:r>
      <w:r>
        <w:t>20</w:t>
      </w:r>
      <w:r>
        <w:fldChar w:fldCharType="end"/>
      </w:r>
      <w:r>
        <w:fldChar w:fldCharType="end"/>
      </w:r>
    </w:p>
    <w:p w14:paraId="7484535A">
      <w:pPr>
        <w:pStyle w:val="46"/>
        <w:rPr>
          <w:rFonts w:asciiTheme="minorHAnsi" w:hAnsiTheme="minorHAnsi" w:eastAsiaTheme="minorEastAsia" w:cstheme="minorBidi"/>
          <w:szCs w:val="22"/>
        </w:rPr>
      </w:pPr>
      <w:r>
        <w:fldChar w:fldCharType="begin"/>
      </w:r>
      <w:r>
        <w:instrText xml:space="preserve"> HYPERLINK \l "_Toc172280902"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11.3</w:t>
      </w:r>
      <w:r>
        <w:rPr>
          <w:rStyle w:val="68"/>
        </w:rPr>
        <w:t xml:space="preserve"> 基于数据挖掘的脱敏效果评估</w:t>
      </w:r>
      <w:r>
        <w:tab/>
      </w:r>
      <w:r>
        <w:fldChar w:fldCharType="begin"/>
      </w:r>
      <w:r>
        <w:instrText xml:space="preserve"> PAGEREF _Toc172280902 \h </w:instrText>
      </w:r>
      <w:r>
        <w:fldChar w:fldCharType="separate"/>
      </w:r>
      <w:r>
        <w:t>20</w:t>
      </w:r>
      <w:r>
        <w:fldChar w:fldCharType="end"/>
      </w:r>
      <w:r>
        <w:fldChar w:fldCharType="end"/>
      </w:r>
    </w:p>
    <w:p w14:paraId="137E9823">
      <w:pPr>
        <w:pStyle w:val="46"/>
        <w:rPr>
          <w:rFonts w:asciiTheme="minorHAnsi" w:hAnsiTheme="minorHAnsi" w:eastAsiaTheme="minorEastAsia" w:cstheme="minorBidi"/>
          <w:szCs w:val="22"/>
        </w:rPr>
      </w:pPr>
      <w:r>
        <w:fldChar w:fldCharType="begin"/>
      </w:r>
      <w:r>
        <w:instrText xml:space="preserve"> HYPERLINK \l "_Toc172280903"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11.4</w:t>
      </w:r>
      <w:r>
        <w:rPr>
          <w:rStyle w:val="68"/>
        </w:rPr>
        <w:t xml:space="preserve"> 脱敏系统效果评估</w:t>
      </w:r>
      <w:r>
        <w:tab/>
      </w:r>
      <w:r>
        <w:fldChar w:fldCharType="begin"/>
      </w:r>
      <w:r>
        <w:instrText xml:space="preserve"> PAGEREF _Toc172280903 \h </w:instrText>
      </w:r>
      <w:r>
        <w:fldChar w:fldCharType="separate"/>
      </w:r>
      <w:r>
        <w:t>20</w:t>
      </w:r>
      <w:r>
        <w:fldChar w:fldCharType="end"/>
      </w:r>
      <w:r>
        <w:fldChar w:fldCharType="end"/>
      </w:r>
    </w:p>
    <w:p w14:paraId="7A9F34AD">
      <w:pPr>
        <w:pStyle w:val="46"/>
        <w:rPr>
          <w:rFonts w:asciiTheme="minorHAnsi" w:hAnsiTheme="minorHAnsi" w:eastAsiaTheme="minorEastAsia" w:cstheme="minorBidi"/>
          <w:szCs w:val="22"/>
        </w:rPr>
      </w:pPr>
      <w:r>
        <w:fldChar w:fldCharType="begin"/>
      </w:r>
      <w:r>
        <w:instrText xml:space="preserve"> HYPERLINK \l "_Toc172280904"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11.5</w:t>
      </w:r>
      <w:r>
        <w:rPr>
          <w:rStyle w:val="68"/>
        </w:rPr>
        <w:t xml:space="preserve"> 删除效果评估</w:t>
      </w:r>
      <w:r>
        <w:tab/>
      </w:r>
      <w:r>
        <w:fldChar w:fldCharType="begin"/>
      </w:r>
      <w:r>
        <w:instrText xml:space="preserve"> PAGEREF _Toc172280904 \h </w:instrText>
      </w:r>
      <w:r>
        <w:fldChar w:fldCharType="separate"/>
      </w:r>
      <w:r>
        <w:t>21</w:t>
      </w:r>
      <w:r>
        <w:fldChar w:fldCharType="end"/>
      </w:r>
      <w:r>
        <w:fldChar w:fldCharType="end"/>
      </w:r>
    </w:p>
    <w:p w14:paraId="48B4D95E">
      <w:pPr>
        <w:pStyle w:val="35"/>
        <w:rPr>
          <w:rFonts w:asciiTheme="minorHAnsi" w:hAnsiTheme="minorHAnsi" w:eastAsiaTheme="minorEastAsia" w:cstheme="minorBidi"/>
          <w:szCs w:val="22"/>
        </w:rPr>
      </w:pPr>
      <w:r>
        <w:fldChar w:fldCharType="begin"/>
      </w:r>
      <w:r>
        <w:instrText xml:space="preserve"> HYPERLINK \l "_Toc172280905" </w:instrText>
      </w:r>
      <w:r>
        <w:fldChar w:fldCharType="separate"/>
      </w:r>
      <w:r>
        <w:rPr>
          <w:rStyle w:val="68"/>
        </w:rPr>
        <w:t>12 存证与取证</w:t>
      </w:r>
      <w:r>
        <w:tab/>
      </w:r>
      <w:r>
        <w:fldChar w:fldCharType="begin"/>
      </w:r>
      <w:r>
        <w:instrText xml:space="preserve"> PAGEREF _Toc172280905 \h </w:instrText>
      </w:r>
      <w:r>
        <w:fldChar w:fldCharType="separate"/>
      </w:r>
      <w:r>
        <w:t>21</w:t>
      </w:r>
      <w:r>
        <w:fldChar w:fldCharType="end"/>
      </w:r>
      <w:r>
        <w:fldChar w:fldCharType="end"/>
      </w:r>
    </w:p>
    <w:p w14:paraId="5D03C330">
      <w:pPr>
        <w:pStyle w:val="46"/>
        <w:rPr>
          <w:rFonts w:asciiTheme="minorHAnsi" w:hAnsiTheme="minorHAnsi" w:eastAsiaTheme="minorEastAsia" w:cstheme="minorBidi"/>
          <w:szCs w:val="22"/>
        </w:rPr>
      </w:pPr>
      <w:r>
        <w:fldChar w:fldCharType="begin"/>
      </w:r>
      <w:r>
        <w:instrText xml:space="preserve"> HYPERLINK \l "_Toc172280906"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12.1</w:t>
      </w:r>
      <w:r>
        <w:rPr>
          <w:rStyle w:val="68"/>
        </w:rPr>
        <w:t xml:space="preserve"> 概述</w:t>
      </w:r>
      <w:r>
        <w:tab/>
      </w:r>
      <w:r>
        <w:fldChar w:fldCharType="begin"/>
      </w:r>
      <w:r>
        <w:instrText xml:space="preserve"> PAGEREF _Toc172280906 \h </w:instrText>
      </w:r>
      <w:r>
        <w:fldChar w:fldCharType="separate"/>
      </w:r>
      <w:r>
        <w:t>21</w:t>
      </w:r>
      <w:r>
        <w:fldChar w:fldCharType="end"/>
      </w:r>
      <w:r>
        <w:fldChar w:fldCharType="end"/>
      </w:r>
    </w:p>
    <w:p w14:paraId="7463F2AF">
      <w:pPr>
        <w:pStyle w:val="46"/>
        <w:rPr>
          <w:rFonts w:asciiTheme="minorHAnsi" w:hAnsiTheme="minorHAnsi" w:eastAsiaTheme="minorEastAsia" w:cstheme="minorBidi"/>
          <w:szCs w:val="22"/>
        </w:rPr>
      </w:pPr>
      <w:r>
        <w:fldChar w:fldCharType="begin"/>
      </w:r>
      <w:r>
        <w:instrText xml:space="preserve"> HYPERLINK \l "_Toc172280907"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12.2</w:t>
      </w:r>
      <w:r>
        <w:rPr>
          <w:rStyle w:val="68"/>
        </w:rPr>
        <w:t xml:space="preserve"> 存证收集</w:t>
      </w:r>
      <w:r>
        <w:tab/>
      </w:r>
      <w:r>
        <w:fldChar w:fldCharType="begin"/>
      </w:r>
      <w:r>
        <w:instrText xml:space="preserve"> PAGEREF _Toc172280907 \h </w:instrText>
      </w:r>
      <w:r>
        <w:fldChar w:fldCharType="separate"/>
      </w:r>
      <w:r>
        <w:t>21</w:t>
      </w:r>
      <w:r>
        <w:fldChar w:fldCharType="end"/>
      </w:r>
      <w:r>
        <w:fldChar w:fldCharType="end"/>
      </w:r>
    </w:p>
    <w:p w14:paraId="39621325">
      <w:pPr>
        <w:pStyle w:val="46"/>
        <w:rPr>
          <w:rFonts w:asciiTheme="minorHAnsi" w:hAnsiTheme="minorHAnsi" w:eastAsiaTheme="minorEastAsia" w:cstheme="minorBidi"/>
          <w:szCs w:val="22"/>
        </w:rPr>
      </w:pPr>
      <w:r>
        <w:fldChar w:fldCharType="begin"/>
      </w:r>
      <w:r>
        <w:instrText xml:space="preserve"> HYPERLINK \l "_Toc172280908"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12.3</w:t>
      </w:r>
      <w:r>
        <w:rPr>
          <w:rStyle w:val="68"/>
        </w:rPr>
        <w:t xml:space="preserve"> 存证存储</w:t>
      </w:r>
      <w:r>
        <w:tab/>
      </w:r>
      <w:r>
        <w:fldChar w:fldCharType="begin"/>
      </w:r>
      <w:r>
        <w:instrText xml:space="preserve"> PAGEREF _Toc172280908 \h </w:instrText>
      </w:r>
      <w:r>
        <w:fldChar w:fldCharType="separate"/>
      </w:r>
      <w:r>
        <w:t>22</w:t>
      </w:r>
      <w:r>
        <w:fldChar w:fldCharType="end"/>
      </w:r>
      <w:r>
        <w:fldChar w:fldCharType="end"/>
      </w:r>
    </w:p>
    <w:p w14:paraId="028537C1">
      <w:pPr>
        <w:pStyle w:val="46"/>
        <w:rPr>
          <w:rFonts w:asciiTheme="minorHAnsi" w:hAnsiTheme="minorHAnsi" w:eastAsiaTheme="minorEastAsia" w:cstheme="minorBidi"/>
          <w:szCs w:val="22"/>
        </w:rPr>
      </w:pPr>
      <w:r>
        <w:fldChar w:fldCharType="begin"/>
      </w:r>
      <w:r>
        <w:instrText xml:space="preserve"> HYPERLINK \l "_Toc172280909" </w:instrText>
      </w:r>
      <w:r>
        <w:fldChar w:fldCharType="separate"/>
      </w:r>
      <w:r>
        <w:rPr>
          <w:rStyle w:val="68"/>
          <w:color w:val="000000" w:themeColor="text1"/>
          <w14:textFill>
            <w14:solidFill>
              <w14:schemeClr w14:val="tx1"/>
            </w14:solidFill>
          </w14:textFill>
          <w14:scene3d>
            <w14:lightRig w14:rig="threePt" w14:dir="t">
              <w14:rot w14:lat="0" w14:lon="0" w14:rev="0"/>
            </w14:lightRig>
          </w14:scene3d>
        </w:rPr>
        <w:t>12.4</w:t>
      </w:r>
      <w:r>
        <w:rPr>
          <w:rStyle w:val="68"/>
        </w:rPr>
        <w:t xml:space="preserve"> 证据生成</w:t>
      </w:r>
      <w:r>
        <w:tab/>
      </w:r>
      <w:r>
        <w:fldChar w:fldCharType="begin"/>
      </w:r>
      <w:r>
        <w:instrText xml:space="preserve"> PAGEREF _Toc172280909 \h </w:instrText>
      </w:r>
      <w:r>
        <w:fldChar w:fldCharType="separate"/>
      </w:r>
      <w:r>
        <w:t>23</w:t>
      </w:r>
      <w:r>
        <w:fldChar w:fldCharType="end"/>
      </w:r>
      <w:r>
        <w:fldChar w:fldCharType="end"/>
      </w:r>
    </w:p>
    <w:p w14:paraId="4BB89B43">
      <w:pPr>
        <w:pStyle w:val="35"/>
        <w:rPr>
          <w:rFonts w:asciiTheme="minorHAnsi" w:hAnsiTheme="minorHAnsi" w:eastAsiaTheme="minorEastAsia" w:cstheme="minorBidi"/>
          <w:szCs w:val="22"/>
        </w:rPr>
      </w:pPr>
      <w:r>
        <w:fldChar w:fldCharType="begin"/>
      </w:r>
      <w:r>
        <w:instrText xml:space="preserve"> HYPERLINK \l "_Toc172280910" </w:instrText>
      </w:r>
      <w:r>
        <w:fldChar w:fldCharType="separate"/>
      </w:r>
      <w:r>
        <w:rPr>
          <w:rStyle w:val="68"/>
          <w:color w:val="auto"/>
          <w:u w:val="none"/>
        </w:rPr>
        <w:t>附录A （资料性） 隐私信息描述示例</w:t>
      </w:r>
      <w:r>
        <w:tab/>
      </w:r>
      <w:r>
        <w:fldChar w:fldCharType="begin"/>
      </w:r>
      <w:r>
        <w:instrText xml:space="preserve"> PAGEREF _Toc172280910 \h </w:instrText>
      </w:r>
      <w:r>
        <w:fldChar w:fldCharType="separate"/>
      </w:r>
      <w:r>
        <w:t>24</w:t>
      </w:r>
      <w:r>
        <w:fldChar w:fldCharType="end"/>
      </w:r>
      <w:r>
        <w:fldChar w:fldCharType="end"/>
      </w:r>
    </w:p>
    <w:p w14:paraId="0429435F">
      <w:pPr>
        <w:pStyle w:val="46"/>
        <w:rPr>
          <w:rFonts w:asciiTheme="minorHAnsi" w:hAnsiTheme="minorHAnsi" w:eastAsiaTheme="minorEastAsia" w:cstheme="minorBidi"/>
          <w:szCs w:val="22"/>
        </w:rPr>
      </w:pPr>
      <w:r>
        <w:fldChar w:fldCharType="begin"/>
      </w:r>
      <w:r>
        <w:instrText xml:space="preserve"> HYPERLINK \l "_Toc172280911" </w:instrText>
      </w:r>
      <w:r>
        <w:fldChar w:fldCharType="separate"/>
      </w:r>
      <w:r>
        <w:rPr>
          <w:rStyle w:val="68"/>
        </w:rPr>
        <w:t>A.1 概述</w:t>
      </w:r>
      <w:r>
        <w:tab/>
      </w:r>
      <w:r>
        <w:fldChar w:fldCharType="begin"/>
      </w:r>
      <w:r>
        <w:instrText xml:space="preserve"> PAGEREF _Toc172280911 \h </w:instrText>
      </w:r>
      <w:r>
        <w:fldChar w:fldCharType="separate"/>
      </w:r>
      <w:r>
        <w:t>24</w:t>
      </w:r>
      <w:r>
        <w:fldChar w:fldCharType="end"/>
      </w:r>
      <w:r>
        <w:fldChar w:fldCharType="end"/>
      </w:r>
    </w:p>
    <w:p w14:paraId="3E0A3874">
      <w:pPr>
        <w:pStyle w:val="46"/>
        <w:rPr>
          <w:rFonts w:asciiTheme="minorHAnsi" w:hAnsiTheme="minorHAnsi" w:eastAsiaTheme="minorEastAsia" w:cstheme="minorBidi"/>
          <w:szCs w:val="22"/>
        </w:rPr>
      </w:pPr>
      <w:r>
        <w:fldChar w:fldCharType="begin"/>
      </w:r>
      <w:r>
        <w:instrText xml:space="preserve"> HYPERLINK \l "_Toc172280912" </w:instrText>
      </w:r>
      <w:r>
        <w:fldChar w:fldCharType="separate"/>
      </w:r>
      <w:r>
        <w:rPr>
          <w:rStyle w:val="68"/>
        </w:rPr>
        <w:t>A.2 隐私信息描述六元组生成过程</w:t>
      </w:r>
      <w:r>
        <w:tab/>
      </w:r>
      <w:r>
        <w:fldChar w:fldCharType="begin"/>
      </w:r>
      <w:r>
        <w:instrText xml:space="preserve"> PAGEREF _Toc172280912 \h </w:instrText>
      </w:r>
      <w:r>
        <w:fldChar w:fldCharType="separate"/>
      </w:r>
      <w:r>
        <w:t>24</w:t>
      </w:r>
      <w:r>
        <w:fldChar w:fldCharType="end"/>
      </w:r>
      <w:r>
        <w:fldChar w:fldCharType="end"/>
      </w:r>
    </w:p>
    <w:p w14:paraId="292482AC">
      <w:pPr>
        <w:pStyle w:val="46"/>
        <w:rPr>
          <w:rFonts w:asciiTheme="minorHAnsi" w:hAnsiTheme="minorHAnsi" w:eastAsiaTheme="minorEastAsia" w:cstheme="minorBidi"/>
          <w:szCs w:val="22"/>
        </w:rPr>
      </w:pPr>
      <w:r>
        <w:fldChar w:fldCharType="begin"/>
      </w:r>
      <w:r>
        <w:instrText xml:space="preserve"> HYPERLINK \l "_Toc172280913" </w:instrText>
      </w:r>
      <w:r>
        <w:fldChar w:fldCharType="separate"/>
      </w:r>
      <w:r>
        <w:rPr>
          <w:rStyle w:val="68"/>
        </w:rPr>
        <w:t>A.3 文本类隐私信息描述生成示例</w:t>
      </w:r>
      <w:r>
        <w:tab/>
      </w:r>
      <w:r>
        <w:fldChar w:fldCharType="begin"/>
      </w:r>
      <w:r>
        <w:instrText xml:space="preserve"> PAGEREF _Toc172280913 \h </w:instrText>
      </w:r>
      <w:r>
        <w:fldChar w:fldCharType="separate"/>
      </w:r>
      <w:r>
        <w:t>25</w:t>
      </w:r>
      <w:r>
        <w:fldChar w:fldCharType="end"/>
      </w:r>
      <w:r>
        <w:fldChar w:fldCharType="end"/>
      </w:r>
    </w:p>
    <w:p w14:paraId="78B5D3BA">
      <w:pPr>
        <w:pStyle w:val="46"/>
        <w:rPr>
          <w:rFonts w:asciiTheme="minorHAnsi" w:hAnsiTheme="minorHAnsi" w:eastAsiaTheme="minorEastAsia" w:cstheme="minorBidi"/>
          <w:szCs w:val="22"/>
        </w:rPr>
      </w:pPr>
      <w:r>
        <w:fldChar w:fldCharType="begin"/>
      </w:r>
      <w:r>
        <w:instrText xml:space="preserve"> HYPERLINK \l "_Toc172280914" </w:instrText>
      </w:r>
      <w:r>
        <w:fldChar w:fldCharType="separate"/>
      </w:r>
      <w:r>
        <w:rPr>
          <w:rStyle w:val="68"/>
        </w:rPr>
        <w:t>A.4 图片类隐私信息描述生成示例</w:t>
      </w:r>
      <w:r>
        <w:tab/>
      </w:r>
      <w:r>
        <w:fldChar w:fldCharType="begin"/>
      </w:r>
      <w:r>
        <w:instrText xml:space="preserve"> PAGEREF _Toc172280914 \h </w:instrText>
      </w:r>
      <w:r>
        <w:fldChar w:fldCharType="separate"/>
      </w:r>
      <w:r>
        <w:t>27</w:t>
      </w:r>
      <w:r>
        <w:fldChar w:fldCharType="end"/>
      </w:r>
      <w:r>
        <w:fldChar w:fldCharType="end"/>
      </w:r>
    </w:p>
    <w:p w14:paraId="72887F34">
      <w:pPr>
        <w:pStyle w:val="35"/>
        <w:rPr>
          <w:rFonts w:asciiTheme="minorHAnsi" w:hAnsiTheme="minorHAnsi" w:eastAsiaTheme="minorEastAsia" w:cstheme="minorBidi"/>
          <w:szCs w:val="22"/>
        </w:rPr>
      </w:pPr>
      <w:r>
        <w:fldChar w:fldCharType="begin"/>
      </w:r>
      <w:r>
        <w:instrText xml:space="preserve"> HYPERLINK \l "_Toc172280915" </w:instrText>
      </w:r>
      <w:r>
        <w:fldChar w:fldCharType="separate"/>
      </w:r>
      <w:r>
        <w:rPr>
          <w:rStyle w:val="68"/>
          <w:color w:val="auto"/>
          <w:u w:val="none"/>
        </w:rPr>
        <w:t>附录B （资料性） 迭代延伸控制示例</w:t>
      </w:r>
      <w:r>
        <w:tab/>
      </w:r>
      <w:r>
        <w:fldChar w:fldCharType="begin"/>
      </w:r>
      <w:r>
        <w:instrText xml:space="preserve"> PAGEREF _Toc172280915 \h </w:instrText>
      </w:r>
      <w:r>
        <w:fldChar w:fldCharType="separate"/>
      </w:r>
      <w:r>
        <w:t>29</w:t>
      </w:r>
      <w:r>
        <w:fldChar w:fldCharType="end"/>
      </w:r>
      <w:r>
        <w:fldChar w:fldCharType="end"/>
      </w:r>
    </w:p>
    <w:p w14:paraId="7984D8CF">
      <w:pPr>
        <w:pStyle w:val="46"/>
        <w:rPr>
          <w:rFonts w:asciiTheme="minorHAnsi" w:hAnsiTheme="minorHAnsi" w:eastAsiaTheme="minorEastAsia" w:cstheme="minorBidi"/>
          <w:szCs w:val="22"/>
        </w:rPr>
      </w:pPr>
      <w:r>
        <w:fldChar w:fldCharType="begin"/>
      </w:r>
      <w:r>
        <w:instrText xml:space="preserve"> HYPERLINK \l "_Toc172280916" </w:instrText>
      </w:r>
      <w:r>
        <w:fldChar w:fldCharType="separate"/>
      </w:r>
      <w:r>
        <w:rPr>
          <w:rStyle w:val="68"/>
        </w:rPr>
        <w:t>B.1 概述</w:t>
      </w:r>
      <w:r>
        <w:tab/>
      </w:r>
      <w:r>
        <w:fldChar w:fldCharType="begin"/>
      </w:r>
      <w:r>
        <w:instrText xml:space="preserve"> PAGEREF _Toc172280916 \h </w:instrText>
      </w:r>
      <w:r>
        <w:fldChar w:fldCharType="separate"/>
      </w:r>
      <w:r>
        <w:t>29</w:t>
      </w:r>
      <w:r>
        <w:fldChar w:fldCharType="end"/>
      </w:r>
      <w:r>
        <w:fldChar w:fldCharType="end"/>
      </w:r>
    </w:p>
    <w:p w14:paraId="787E8531">
      <w:pPr>
        <w:pStyle w:val="46"/>
        <w:rPr>
          <w:rFonts w:asciiTheme="minorHAnsi" w:hAnsiTheme="minorHAnsi" w:eastAsiaTheme="minorEastAsia" w:cstheme="minorBidi"/>
          <w:szCs w:val="22"/>
        </w:rPr>
      </w:pPr>
      <w:r>
        <w:fldChar w:fldCharType="begin"/>
      </w:r>
      <w:r>
        <w:instrText xml:space="preserve"> HYPERLINK \l "_Toc172280917" </w:instrText>
      </w:r>
      <w:r>
        <w:fldChar w:fldCharType="separate"/>
      </w:r>
      <w:r>
        <w:rPr>
          <w:rStyle w:val="68"/>
        </w:rPr>
        <w:t>B.2 隐私信息全生命周期中的迭代延伸控制</w:t>
      </w:r>
      <w:r>
        <w:tab/>
      </w:r>
      <w:r>
        <w:fldChar w:fldCharType="begin"/>
      </w:r>
      <w:r>
        <w:instrText xml:space="preserve"> PAGEREF _Toc172280917 \h </w:instrText>
      </w:r>
      <w:r>
        <w:fldChar w:fldCharType="separate"/>
      </w:r>
      <w:r>
        <w:t>29</w:t>
      </w:r>
      <w:r>
        <w:fldChar w:fldCharType="end"/>
      </w:r>
      <w:r>
        <w:fldChar w:fldCharType="end"/>
      </w:r>
    </w:p>
    <w:p w14:paraId="28C89CB7">
      <w:pPr>
        <w:pStyle w:val="46"/>
        <w:rPr>
          <w:rFonts w:asciiTheme="minorHAnsi" w:hAnsiTheme="minorHAnsi" w:eastAsiaTheme="minorEastAsia" w:cstheme="minorBidi"/>
          <w:szCs w:val="22"/>
        </w:rPr>
      </w:pPr>
      <w:r>
        <w:fldChar w:fldCharType="begin"/>
      </w:r>
      <w:r>
        <w:instrText xml:space="preserve"> HYPERLINK \l "_Toc172280918" </w:instrText>
      </w:r>
      <w:r>
        <w:fldChar w:fldCharType="separate"/>
      </w:r>
      <w:r>
        <w:rPr>
          <w:rStyle w:val="68"/>
        </w:rPr>
        <w:t>B.3 脱敏延伸控制</w:t>
      </w:r>
      <w:r>
        <w:tab/>
      </w:r>
      <w:r>
        <w:fldChar w:fldCharType="begin"/>
      </w:r>
      <w:r>
        <w:instrText xml:space="preserve"> PAGEREF _Toc172280918 \h </w:instrText>
      </w:r>
      <w:r>
        <w:fldChar w:fldCharType="separate"/>
      </w:r>
      <w:r>
        <w:t>30</w:t>
      </w:r>
      <w:r>
        <w:fldChar w:fldCharType="end"/>
      </w:r>
      <w:r>
        <w:fldChar w:fldCharType="end"/>
      </w:r>
    </w:p>
    <w:p w14:paraId="3330F252">
      <w:pPr>
        <w:pStyle w:val="46"/>
        <w:rPr>
          <w:rFonts w:asciiTheme="minorHAnsi" w:hAnsiTheme="minorHAnsi" w:eastAsiaTheme="minorEastAsia" w:cstheme="minorBidi"/>
          <w:szCs w:val="22"/>
        </w:rPr>
      </w:pPr>
      <w:r>
        <w:fldChar w:fldCharType="begin"/>
      </w:r>
      <w:r>
        <w:instrText xml:space="preserve"> HYPERLINK \l "_Toc172280919" </w:instrText>
      </w:r>
      <w:r>
        <w:fldChar w:fldCharType="separate"/>
      </w:r>
      <w:r>
        <w:rPr>
          <w:rStyle w:val="68"/>
        </w:rPr>
        <w:t>B.4 删除延伸控制</w:t>
      </w:r>
      <w:r>
        <w:tab/>
      </w:r>
      <w:r>
        <w:fldChar w:fldCharType="begin"/>
      </w:r>
      <w:r>
        <w:instrText xml:space="preserve"> PAGEREF _Toc172280919 \h </w:instrText>
      </w:r>
      <w:r>
        <w:fldChar w:fldCharType="separate"/>
      </w:r>
      <w:r>
        <w:t>32</w:t>
      </w:r>
      <w:r>
        <w:fldChar w:fldCharType="end"/>
      </w:r>
      <w:r>
        <w:fldChar w:fldCharType="end"/>
      </w:r>
    </w:p>
    <w:p w14:paraId="77CD0575">
      <w:pPr>
        <w:pStyle w:val="35"/>
        <w:rPr>
          <w:rFonts w:asciiTheme="minorHAnsi" w:hAnsiTheme="minorHAnsi" w:eastAsiaTheme="minorEastAsia" w:cstheme="minorBidi"/>
          <w:szCs w:val="22"/>
        </w:rPr>
      </w:pPr>
      <w:r>
        <w:fldChar w:fldCharType="begin"/>
      </w:r>
      <w:r>
        <w:instrText xml:space="preserve"> HYPERLINK \l "_Toc172280920" </w:instrText>
      </w:r>
      <w:r>
        <w:fldChar w:fldCharType="separate"/>
      </w:r>
      <w:r>
        <w:rPr>
          <w:rStyle w:val="68"/>
          <w:color w:val="auto"/>
          <w:u w:val="none"/>
        </w:rPr>
        <w:t>附录C （资料性） 出行服务应用场景示例</w:t>
      </w:r>
      <w:r>
        <w:tab/>
      </w:r>
      <w:r>
        <w:fldChar w:fldCharType="begin"/>
      </w:r>
      <w:r>
        <w:instrText xml:space="preserve"> PAGEREF _Toc172280920 \h </w:instrText>
      </w:r>
      <w:r>
        <w:fldChar w:fldCharType="separate"/>
      </w:r>
      <w:r>
        <w:t>34</w:t>
      </w:r>
      <w:r>
        <w:fldChar w:fldCharType="end"/>
      </w:r>
      <w:r>
        <w:fldChar w:fldCharType="end"/>
      </w:r>
    </w:p>
    <w:p w14:paraId="0F575943">
      <w:pPr>
        <w:pStyle w:val="46"/>
        <w:rPr>
          <w:rFonts w:asciiTheme="minorHAnsi" w:hAnsiTheme="minorHAnsi" w:eastAsiaTheme="minorEastAsia" w:cstheme="minorBidi"/>
          <w:szCs w:val="22"/>
        </w:rPr>
      </w:pPr>
      <w:r>
        <w:fldChar w:fldCharType="begin"/>
      </w:r>
      <w:r>
        <w:instrText xml:space="preserve"> HYPERLINK \l "_Toc172280921" </w:instrText>
      </w:r>
      <w:r>
        <w:fldChar w:fldCharType="separate"/>
      </w:r>
      <w:r>
        <w:rPr>
          <w:rStyle w:val="68"/>
        </w:rPr>
        <w:t>C.1 概述</w:t>
      </w:r>
      <w:r>
        <w:tab/>
      </w:r>
      <w:r>
        <w:fldChar w:fldCharType="begin"/>
      </w:r>
      <w:r>
        <w:instrText xml:space="preserve"> PAGEREF _Toc172280921 \h </w:instrText>
      </w:r>
      <w:r>
        <w:fldChar w:fldCharType="separate"/>
      </w:r>
      <w:r>
        <w:t>34</w:t>
      </w:r>
      <w:r>
        <w:fldChar w:fldCharType="end"/>
      </w:r>
      <w:r>
        <w:fldChar w:fldCharType="end"/>
      </w:r>
    </w:p>
    <w:p w14:paraId="25080747">
      <w:pPr>
        <w:pStyle w:val="46"/>
        <w:rPr>
          <w:rFonts w:asciiTheme="minorHAnsi" w:hAnsiTheme="minorHAnsi" w:eastAsiaTheme="minorEastAsia" w:cstheme="minorBidi"/>
          <w:szCs w:val="22"/>
        </w:rPr>
      </w:pPr>
      <w:r>
        <w:fldChar w:fldCharType="begin"/>
      </w:r>
      <w:r>
        <w:instrText xml:space="preserve"> HYPERLINK \l "_Toc172280922" </w:instrText>
      </w:r>
      <w:r>
        <w:fldChar w:fldCharType="separate"/>
      </w:r>
      <w:r>
        <w:rPr>
          <w:rStyle w:val="68"/>
        </w:rPr>
        <w:t>C.2 出行服务中的隐私信息处理</w:t>
      </w:r>
      <w:r>
        <w:tab/>
      </w:r>
      <w:r>
        <w:fldChar w:fldCharType="begin"/>
      </w:r>
      <w:r>
        <w:instrText xml:space="preserve"> PAGEREF _Toc172280922 \h </w:instrText>
      </w:r>
      <w:r>
        <w:fldChar w:fldCharType="separate"/>
      </w:r>
      <w:r>
        <w:t>34</w:t>
      </w:r>
      <w:r>
        <w:fldChar w:fldCharType="end"/>
      </w:r>
      <w:r>
        <w:fldChar w:fldCharType="end"/>
      </w:r>
    </w:p>
    <w:p w14:paraId="400C0184">
      <w:pPr>
        <w:pStyle w:val="35"/>
        <w:rPr>
          <w:rFonts w:asciiTheme="minorHAnsi" w:hAnsiTheme="minorHAnsi" w:eastAsiaTheme="minorEastAsia" w:cstheme="minorBidi"/>
          <w:szCs w:val="22"/>
        </w:rPr>
      </w:pPr>
      <w:r>
        <w:fldChar w:fldCharType="begin"/>
      </w:r>
      <w:r>
        <w:instrText xml:space="preserve"> HYPERLINK \l "_Toc172280923" </w:instrText>
      </w:r>
      <w:r>
        <w:fldChar w:fldCharType="separate"/>
      </w:r>
      <w:r>
        <w:rPr>
          <w:rStyle w:val="68"/>
          <w:color w:val="auto"/>
          <w:u w:val="none"/>
        </w:rPr>
        <w:t>附录D （资料性） 信用计算应用场景示例</w:t>
      </w:r>
      <w:r>
        <w:tab/>
      </w:r>
      <w:r>
        <w:fldChar w:fldCharType="begin"/>
      </w:r>
      <w:r>
        <w:instrText xml:space="preserve"> PAGEREF _Toc172280923 \h </w:instrText>
      </w:r>
      <w:r>
        <w:fldChar w:fldCharType="separate"/>
      </w:r>
      <w:r>
        <w:t>36</w:t>
      </w:r>
      <w:r>
        <w:fldChar w:fldCharType="end"/>
      </w:r>
      <w:r>
        <w:fldChar w:fldCharType="end"/>
      </w:r>
    </w:p>
    <w:p w14:paraId="27A2ECD0">
      <w:pPr>
        <w:pStyle w:val="46"/>
        <w:rPr>
          <w:rFonts w:asciiTheme="minorHAnsi" w:hAnsiTheme="minorHAnsi" w:eastAsiaTheme="minorEastAsia" w:cstheme="minorBidi"/>
          <w:szCs w:val="22"/>
        </w:rPr>
      </w:pPr>
      <w:r>
        <w:fldChar w:fldCharType="begin"/>
      </w:r>
      <w:r>
        <w:instrText xml:space="preserve"> HYPERLINK \l "_Toc172280924" </w:instrText>
      </w:r>
      <w:r>
        <w:fldChar w:fldCharType="separate"/>
      </w:r>
      <w:r>
        <w:rPr>
          <w:rStyle w:val="68"/>
        </w:rPr>
        <w:t>D.1 概述</w:t>
      </w:r>
      <w:r>
        <w:tab/>
      </w:r>
      <w:r>
        <w:fldChar w:fldCharType="begin"/>
      </w:r>
      <w:r>
        <w:instrText xml:space="preserve"> PAGEREF _Toc172280924 \h </w:instrText>
      </w:r>
      <w:r>
        <w:fldChar w:fldCharType="separate"/>
      </w:r>
      <w:r>
        <w:t>36</w:t>
      </w:r>
      <w:r>
        <w:fldChar w:fldCharType="end"/>
      </w:r>
      <w:r>
        <w:fldChar w:fldCharType="end"/>
      </w:r>
    </w:p>
    <w:p w14:paraId="3063A275">
      <w:pPr>
        <w:pStyle w:val="46"/>
        <w:rPr>
          <w:rFonts w:asciiTheme="minorHAnsi" w:hAnsiTheme="minorHAnsi" w:eastAsiaTheme="minorEastAsia" w:cstheme="minorBidi"/>
          <w:szCs w:val="22"/>
        </w:rPr>
      </w:pPr>
      <w:r>
        <w:fldChar w:fldCharType="begin"/>
      </w:r>
      <w:r>
        <w:instrText xml:space="preserve"> HYPERLINK \l "_Toc172280925" </w:instrText>
      </w:r>
      <w:r>
        <w:fldChar w:fldCharType="separate"/>
      </w:r>
      <w:r>
        <w:rPr>
          <w:rStyle w:val="68"/>
        </w:rPr>
        <w:t>D.2 隐私信息所有者或隐私信息提供者的计算操作</w:t>
      </w:r>
      <w:r>
        <w:tab/>
      </w:r>
      <w:r>
        <w:fldChar w:fldCharType="begin"/>
      </w:r>
      <w:r>
        <w:instrText xml:space="preserve"> PAGEREF _Toc172280925 \h </w:instrText>
      </w:r>
      <w:r>
        <w:fldChar w:fldCharType="separate"/>
      </w:r>
      <w:r>
        <w:t>36</w:t>
      </w:r>
      <w:r>
        <w:fldChar w:fldCharType="end"/>
      </w:r>
      <w:r>
        <w:fldChar w:fldCharType="end"/>
      </w:r>
    </w:p>
    <w:p w14:paraId="795C3380">
      <w:pPr>
        <w:pStyle w:val="46"/>
        <w:rPr>
          <w:rFonts w:asciiTheme="minorHAnsi" w:hAnsiTheme="minorHAnsi" w:eastAsiaTheme="minorEastAsia" w:cstheme="minorBidi"/>
          <w:szCs w:val="22"/>
        </w:rPr>
      </w:pPr>
      <w:r>
        <w:fldChar w:fldCharType="begin"/>
      </w:r>
      <w:r>
        <w:instrText xml:space="preserve"> HYPERLINK \l "_Toc172280926" </w:instrText>
      </w:r>
      <w:r>
        <w:fldChar w:fldCharType="separate"/>
      </w:r>
      <w:r>
        <w:rPr>
          <w:rStyle w:val="68"/>
        </w:rPr>
        <w:t>D.3 隐私信息接收者或隐私信息使用者的计算操作</w:t>
      </w:r>
      <w:r>
        <w:tab/>
      </w:r>
      <w:r>
        <w:fldChar w:fldCharType="begin"/>
      </w:r>
      <w:r>
        <w:instrText xml:space="preserve"> PAGEREF _Toc172280926 \h </w:instrText>
      </w:r>
      <w:r>
        <w:fldChar w:fldCharType="separate"/>
      </w:r>
      <w:r>
        <w:t>37</w:t>
      </w:r>
      <w:r>
        <w:fldChar w:fldCharType="end"/>
      </w:r>
      <w:r>
        <w:fldChar w:fldCharType="end"/>
      </w:r>
    </w:p>
    <w:p w14:paraId="61309CE6">
      <w:pPr>
        <w:pStyle w:val="35"/>
        <w:rPr>
          <w:rFonts w:asciiTheme="minorHAnsi" w:hAnsiTheme="minorHAnsi" w:eastAsiaTheme="minorEastAsia" w:cstheme="minorBidi"/>
          <w:szCs w:val="22"/>
        </w:rPr>
      </w:pPr>
      <w:r>
        <w:fldChar w:fldCharType="begin"/>
      </w:r>
      <w:r>
        <w:instrText xml:space="preserve"> HYPERLINK \l "_Toc172280927" </w:instrText>
      </w:r>
      <w:r>
        <w:fldChar w:fldCharType="separate"/>
      </w:r>
      <w:r>
        <w:rPr>
          <w:rStyle w:val="68"/>
          <w:color w:val="auto"/>
          <w:u w:val="none"/>
        </w:rPr>
        <w:t>参考文献</w:t>
      </w:r>
      <w:r>
        <w:tab/>
      </w:r>
      <w:r>
        <w:fldChar w:fldCharType="begin"/>
      </w:r>
      <w:r>
        <w:instrText xml:space="preserve"> PAGEREF _Toc172280927 \h </w:instrText>
      </w:r>
      <w:r>
        <w:fldChar w:fldCharType="separate"/>
      </w:r>
      <w:r>
        <w:t>38</w:t>
      </w:r>
      <w:r>
        <w:fldChar w:fldCharType="end"/>
      </w:r>
      <w:r>
        <w:fldChar w:fldCharType="end"/>
      </w:r>
    </w:p>
    <w:p w14:paraId="0EBF99E4">
      <w:pPr>
        <w:pStyle w:val="272"/>
        <w:ind w:firstLine="0" w:firstLineChars="0"/>
      </w:pPr>
      <w:r>
        <w:fldChar w:fldCharType="end"/>
      </w:r>
    </w:p>
    <w:p w14:paraId="2E54D655">
      <w:pPr>
        <w:widowControl/>
        <w:jc w:val="left"/>
        <w:rPr>
          <w:rFonts w:ascii="黑体" w:eastAsia="黑体"/>
          <w:kern w:val="0"/>
          <w:sz w:val="32"/>
          <w:szCs w:val="20"/>
        </w:rPr>
      </w:pPr>
      <w:r>
        <w:br w:type="page"/>
      </w:r>
    </w:p>
    <w:p w14:paraId="677F8103">
      <w:pPr>
        <w:pStyle w:val="344"/>
        <w:spacing w:after="468"/>
        <w:ind w:left="0" w:firstLine="0"/>
      </w:pPr>
      <w:bookmarkStart w:id="25" w:name="_Toc292383579"/>
      <w:bookmarkStart w:id="26" w:name="BKQY"/>
      <w:bookmarkStart w:id="27" w:name="_Toc292384967"/>
      <w:bookmarkStart w:id="28" w:name="_Toc292384945"/>
      <w:bookmarkStart w:id="29" w:name="_Toc460242799"/>
      <w:bookmarkStart w:id="30" w:name="_Toc172280866"/>
      <w:r>
        <w:rPr>
          <w:rFonts w:hint="eastAsia"/>
        </w:rPr>
        <w:t>前</w:t>
      </w:r>
      <w:r>
        <w:t>  </w:t>
      </w:r>
      <w:bookmarkEnd w:id="20"/>
      <w:bookmarkEnd w:id="21"/>
      <w:bookmarkEnd w:id="22"/>
      <w:bookmarkEnd w:id="23"/>
      <w:bookmarkEnd w:id="25"/>
      <w:bookmarkEnd w:id="26"/>
      <w:bookmarkEnd w:id="27"/>
      <w:bookmarkEnd w:id="28"/>
      <w:bookmarkEnd w:id="29"/>
      <w:r>
        <w:rPr>
          <w:rFonts w:hint="eastAsia"/>
        </w:rPr>
        <w:t>言</w:t>
      </w:r>
      <w:bookmarkEnd w:id="30"/>
    </w:p>
    <w:p w14:paraId="000BA9DD">
      <w:pPr>
        <w:pStyle w:val="272"/>
      </w:pPr>
      <w:bookmarkStart w:id="31" w:name="_Toc459764670"/>
      <w:bookmarkStart w:id="32" w:name="_Toc460242801"/>
      <w:bookmarkStart w:id="33" w:name="_Toc292384947"/>
      <w:bookmarkStart w:id="34" w:name="StandardName"/>
      <w:bookmarkStart w:id="35" w:name="_Toc304193190"/>
      <w:bookmarkStart w:id="36" w:name="_Toc292384969"/>
      <w:bookmarkStart w:id="37" w:name="_Toc417309305"/>
      <w:bookmarkStart w:id="38" w:name="_Toc460769796"/>
      <w:r>
        <w:rPr>
          <w:rFonts w:hint="eastAsia"/>
        </w:rPr>
        <w:t>本文件按照GB/T 1.1—2020《标准化工作导则  第1部分：标准化文件的结构和起草规则》的规定起草。</w:t>
      </w:r>
    </w:p>
    <w:p w14:paraId="5A802334">
      <w:pPr>
        <w:pStyle w:val="272"/>
      </w:pPr>
      <w:r>
        <w:rPr>
          <w:rFonts w:hint="eastAsia"/>
        </w:rPr>
        <w:t>请注意本文件的某些内容可能涉及专利。本文件的发布机构不承担识别专利的责任。</w:t>
      </w:r>
    </w:p>
    <w:p w14:paraId="00D36A45">
      <w:pPr>
        <w:pStyle w:val="272"/>
      </w:pPr>
      <w:r>
        <w:rPr>
          <w:rFonts w:hint="eastAsia"/>
        </w:rPr>
        <w:t>本文件由中国网络空间安全协会提出并归口。</w:t>
      </w:r>
    </w:p>
    <w:p w14:paraId="3EFD3927">
      <w:pPr>
        <w:pStyle w:val="272"/>
      </w:pPr>
      <w:r>
        <w:rPr>
          <w:rFonts w:hint="eastAsia"/>
        </w:rPr>
        <w:t>本文件起草单位：中国科学院信息工程研究所、西安电子科技大学、中央网信办数据与技术保障中心、中国网络安全审查认证和市场监管大数据中心、航天信息股份有限公司、中讯邮电咨询设计院有限公司、国网智能电网研究院有限公司、北京理工大学、长春吉大正元信息技术股份有限公司、海光信息技术股份有限公司、普华永道商务咨询(上海)有限公司、四川昊华锐恒科技有限公司、成都西电网络安全研究院、北京市计算中心有限公司、中移(杭州)信息技术有限公司等</w:t>
      </w:r>
    </w:p>
    <w:p w14:paraId="3524D03F">
      <w:pPr>
        <w:pStyle w:val="272"/>
        <w:rPr>
          <w:rFonts w:hint="default" w:eastAsia="宋体"/>
          <w:lang w:val="en-US" w:eastAsia="zh-CN"/>
        </w:rPr>
      </w:pPr>
      <w:r>
        <w:rPr>
          <w:rFonts w:hint="eastAsia"/>
        </w:rPr>
        <w:t>本文件主要起草人：李凤华、李晖、牛犇、刁毅刚、闫小良、崔琦、张平、田心、王首媛、于鹏飞、张子剑、陈科名、杨朋霖、马驰、崔艳鹏、赵琉涛、杨万禄</w:t>
      </w:r>
      <w:r>
        <w:rPr>
          <w:rFonts w:hint="eastAsia"/>
          <w:lang w:val="en-US" w:eastAsia="zh-CN"/>
        </w:rPr>
        <w:t>...</w:t>
      </w:r>
    </w:p>
    <w:p w14:paraId="656F3033">
      <w:pPr>
        <w:pStyle w:val="272"/>
        <w:ind w:firstLine="0" w:firstLineChars="0"/>
      </w:pPr>
    </w:p>
    <w:p w14:paraId="21AC4126">
      <w:pPr>
        <w:pStyle w:val="272"/>
        <w:sectPr>
          <w:headerReference r:id="rId5" w:type="default"/>
          <w:footerReference r:id="rId6" w:type="default"/>
          <w:footerReference r:id="rId7" w:type="even"/>
          <w:pgSz w:w="11906" w:h="16838"/>
          <w:pgMar w:top="1985" w:right="1134" w:bottom="1134" w:left="1418" w:header="1418" w:footer="1134" w:gutter="0"/>
          <w:pgNumType w:fmt="upperRoman" w:start="1"/>
          <w:cols w:space="425" w:num="1"/>
          <w:formProt w:val="0"/>
          <w:docGrid w:type="lines" w:linePitch="312" w:charSpace="0"/>
        </w:sectPr>
      </w:pPr>
    </w:p>
    <w:bookmarkEnd w:id="31"/>
    <w:bookmarkEnd w:id="32"/>
    <w:bookmarkEnd w:id="33"/>
    <w:bookmarkEnd w:id="34"/>
    <w:bookmarkEnd w:id="35"/>
    <w:bookmarkEnd w:id="36"/>
    <w:bookmarkEnd w:id="37"/>
    <w:bookmarkEnd w:id="38"/>
    <w:p w14:paraId="55BB2583">
      <w:pPr>
        <w:pStyle w:val="400"/>
        <w:spacing w:before="62"/>
      </w:pPr>
      <w:r>
        <w:rPr>
          <w:rFonts w:hint="eastAsia"/>
        </w:rPr>
        <w:t>隐私计算总体框架</w:t>
      </w:r>
    </w:p>
    <w:p w14:paraId="079AFDE4">
      <w:pPr>
        <w:pStyle w:val="276"/>
      </w:pPr>
      <w:bookmarkStart w:id="39" w:name="_Toc172280867"/>
      <w:bookmarkStart w:id="40" w:name="_Hlk98421961"/>
      <w:r>
        <w:rPr>
          <w:rFonts w:hint="eastAsia"/>
        </w:rPr>
        <w:t>范围</w:t>
      </w:r>
      <w:bookmarkEnd w:id="39"/>
    </w:p>
    <w:p w14:paraId="47D8B823">
      <w:pPr>
        <w:pStyle w:val="272"/>
      </w:pPr>
      <w:r>
        <w:rPr>
          <w:rFonts w:hint="eastAsia"/>
        </w:rPr>
        <w:t>本文件描述了隐私保护的目标、隐私信息全生命周期过程的计算操作，给出了隐私计算总体框架和参与者，描述了隐私信息抽取与度量、隐私度量动态调整、隐私延伸控制、隐私按需保护、保护效果评估、存证与取证等框架核心组件的功能。</w:t>
      </w:r>
    </w:p>
    <w:p w14:paraId="6FCD106E">
      <w:pPr>
        <w:pStyle w:val="272"/>
      </w:pPr>
      <w:r>
        <w:rPr>
          <w:rFonts w:hint="eastAsia"/>
        </w:rPr>
        <w:t>本文件适用于数据泛在流通与共享过程中隐私信息全生命周期保护、跨平台/跨系统/跨域流通利用的隐私延伸控制、隐私按需保护、保护效果评估等，适用于互联网、通信等领域的企业为主体的个人信息处理者、个人信息保护产品提供商、产品评测机构、个人信息保护合规审计评估机构、认证监管机构等，为隐私信息保护、隐私计算服务安全评估提供参考。</w:t>
      </w:r>
    </w:p>
    <w:bookmarkEnd w:id="40"/>
    <w:p w14:paraId="0C08C8FF">
      <w:pPr>
        <w:pStyle w:val="276"/>
      </w:pPr>
      <w:bookmarkStart w:id="41" w:name="_Toc99389419"/>
      <w:bookmarkStart w:id="42" w:name="_Toc172280868"/>
      <w:r>
        <w:rPr>
          <w:rFonts w:hint="eastAsia"/>
        </w:rPr>
        <w:t>规范性引用文件</w:t>
      </w:r>
      <w:bookmarkEnd w:id="41"/>
      <w:bookmarkEnd w:id="42"/>
    </w:p>
    <w:sdt>
      <w:sdtPr>
        <w:rPr>
          <w:rFonts w:hint="eastAsia"/>
        </w:rPr>
        <w:id w:val="715848253"/>
        <w:placeholder>
          <w:docPart w:val="89029CB1A52F4920B02B7585E04C389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43D57AEF">
          <w:pPr>
            <w:pStyle w:val="272"/>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FDA0936">
      <w:pPr>
        <w:pStyle w:val="272"/>
        <w:rPr>
          <w:bCs/>
        </w:rPr>
      </w:pPr>
      <w:r>
        <w:rPr>
          <w:rFonts w:hint="eastAsia"/>
          <w:bCs/>
        </w:rPr>
        <w:t>GB/T 25069</w:t>
      </w:r>
      <w:r>
        <w:rPr>
          <w:bCs/>
        </w:rPr>
        <w:t>-2022</w:t>
      </w:r>
      <w:r>
        <w:rPr>
          <w:rFonts w:hint="eastAsia"/>
          <w:bCs/>
        </w:rPr>
        <w:t xml:space="preserve"> 信息安全技术 术语</w:t>
      </w:r>
    </w:p>
    <w:p w14:paraId="1AA051CF">
      <w:pPr>
        <w:pStyle w:val="272"/>
        <w:rPr>
          <w:bCs/>
        </w:rPr>
      </w:pPr>
      <w:r>
        <w:rPr>
          <w:rFonts w:hint="eastAsia"/>
          <w:bCs/>
        </w:rPr>
        <w:t>GB/T 31500-2015 信息安全技术 存储介质数据恢复服务要求</w:t>
      </w:r>
    </w:p>
    <w:p w14:paraId="136F28FA">
      <w:pPr>
        <w:pStyle w:val="272"/>
        <w:rPr>
          <w:bCs/>
        </w:rPr>
      </w:pPr>
      <w:r>
        <w:rPr>
          <w:rFonts w:hint="eastAsia"/>
          <w:bCs/>
        </w:rPr>
        <w:t xml:space="preserve">GB/T </w:t>
      </w:r>
      <w:r>
        <w:rPr>
          <w:bCs/>
        </w:rPr>
        <w:t>3</w:t>
      </w:r>
      <w:r>
        <w:rPr>
          <w:rFonts w:hint="eastAsia"/>
          <w:bCs/>
        </w:rPr>
        <w:t>5</w:t>
      </w:r>
      <w:r>
        <w:rPr>
          <w:bCs/>
        </w:rPr>
        <w:t>273-2020</w:t>
      </w:r>
      <w:r>
        <w:rPr>
          <w:rFonts w:hint="eastAsia"/>
          <w:bCs/>
        </w:rPr>
        <w:t xml:space="preserve"> 信息安全技术 个人信息安全规范</w:t>
      </w:r>
    </w:p>
    <w:p w14:paraId="2A83A9D5">
      <w:pPr>
        <w:pStyle w:val="272"/>
        <w:rPr>
          <w:bCs/>
        </w:rPr>
      </w:pPr>
      <w:r>
        <w:rPr>
          <w:rFonts w:hint="eastAsia"/>
          <w:bCs/>
        </w:rPr>
        <w:t xml:space="preserve">GB/T </w:t>
      </w:r>
      <w:r>
        <w:rPr>
          <w:bCs/>
        </w:rPr>
        <w:t>37988-2019</w:t>
      </w:r>
      <w:r>
        <w:rPr>
          <w:rFonts w:hint="eastAsia"/>
          <w:bCs/>
        </w:rPr>
        <w:t xml:space="preserve"> 信息安全技术 数据安全能力成熟度模型</w:t>
      </w:r>
    </w:p>
    <w:p w14:paraId="13F89E16">
      <w:pPr>
        <w:pStyle w:val="272"/>
        <w:rPr>
          <w:bCs/>
        </w:rPr>
      </w:pPr>
      <w:r>
        <w:rPr>
          <w:rFonts w:hint="eastAsia"/>
          <w:bCs/>
        </w:rPr>
        <w:t>GB/T 37964-2019 信息安全技术 个人信息去标识化指南</w:t>
      </w:r>
    </w:p>
    <w:p w14:paraId="1EC16C80">
      <w:pPr>
        <w:pStyle w:val="276"/>
      </w:pPr>
      <w:bookmarkStart w:id="43" w:name="_Toc99389420"/>
      <w:bookmarkStart w:id="44" w:name="_Toc172280869"/>
      <w:r>
        <w:rPr>
          <w:rFonts w:hint="eastAsia"/>
        </w:rPr>
        <w:t>术语和定义</w:t>
      </w:r>
      <w:bookmarkEnd w:id="43"/>
      <w:bookmarkEnd w:id="44"/>
      <w:bookmarkStart w:id="45" w:name="_Toc99389421"/>
    </w:p>
    <w:sdt>
      <w:sdtPr>
        <w:id w:val="-1909835108"/>
        <w:placeholder>
          <w:docPart w:val="CDD168FC801F4DCBA3A702EB3212A09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472EBBDD">
          <w:pPr>
            <w:pStyle w:val="272"/>
          </w:pPr>
          <w:bookmarkStart w:id="46" w:name="_Toc100822663"/>
          <w:bookmarkEnd w:id="46"/>
          <w:bookmarkStart w:id="47" w:name="_Toc26986532"/>
          <w:bookmarkEnd w:id="47"/>
          <w:bookmarkStart w:id="48" w:name="_Toc99409650"/>
          <w:bookmarkEnd w:id="48"/>
          <w:bookmarkStart w:id="49" w:name="_Toc100822774"/>
          <w:bookmarkEnd w:id="49"/>
          <w:r>
            <w:t>GB/T 25069-2022界定的以及下列术语和定义适用于本文件。</w:t>
          </w:r>
        </w:p>
      </w:sdtContent>
    </w:sdt>
    <w:p w14:paraId="66E9DE6E">
      <w:pPr>
        <w:pStyle w:val="288"/>
        <w:numPr>
          <w:ilvl w:val="0"/>
          <w:numId w:val="0"/>
        </w:numPr>
        <w:tabs>
          <w:tab w:val="left" w:pos="420"/>
        </w:tabs>
        <w:ind w:left="420"/>
        <w:rPr>
          <w:rFonts w:ascii="黑体" w:hAnsi="黑体"/>
        </w:rPr>
      </w:pPr>
    </w:p>
    <w:p w14:paraId="3507174D">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bCs/>
        </w:rPr>
        <w:t>个人信息</w:t>
      </w:r>
      <w:r>
        <w:rPr>
          <w:rFonts w:hint="eastAsia" w:ascii="黑体" w:hAnsi="黑体"/>
        </w:rPr>
        <w:t>　</w:t>
      </w:r>
      <w:r>
        <w:rPr>
          <w:rFonts w:hint="eastAsia" w:ascii="黑体" w:hAnsi="黑体"/>
          <w:bCs/>
        </w:rPr>
        <w:t>personal information</w:t>
      </w:r>
    </w:p>
    <w:p w14:paraId="6C15A9AE">
      <w:pPr>
        <w:pStyle w:val="272"/>
      </w:pPr>
      <w:r>
        <w:rPr>
          <w:rFonts w:hint="eastAsia"/>
        </w:rPr>
        <w:t>以电子或者其他方式记录的能够单独或者与其他信息结合识别特定自然人身份或者反映特定自然人活动情况的各种信息，包含个人信息本身及其衍生信息,不包括匿名化处理后的信息。</w:t>
      </w:r>
    </w:p>
    <w:p w14:paraId="161B67B5">
      <w:pPr>
        <w:pStyle w:val="272"/>
      </w:pPr>
      <w:r>
        <w:rPr>
          <w:rFonts w:hint="eastAsia"/>
        </w:rPr>
        <w:t xml:space="preserve">[来源：GB/T 35273—2020,3.1,有修改] </w:t>
      </w:r>
    </w:p>
    <w:p w14:paraId="34664905">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标识符　identity</w:t>
      </w:r>
    </w:p>
    <w:p w14:paraId="530C1C7B">
      <w:pPr>
        <w:pStyle w:val="272"/>
      </w:pPr>
      <w:r>
        <w:rPr>
          <w:rFonts w:hint="eastAsia"/>
        </w:rPr>
        <w:t>可以明显识别记录主体身份的属性集合，包括姓名、电话号码、身份证号码等信息。</w:t>
      </w:r>
    </w:p>
    <w:p w14:paraId="12AD8875">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准标识符　implied identity</w:t>
      </w:r>
    </w:p>
    <w:p w14:paraId="2658A7F4">
      <w:pPr>
        <w:widowControl/>
        <w:autoSpaceDE w:val="0"/>
        <w:autoSpaceDN w:val="0"/>
        <w:ind w:firstLine="420" w:firstLineChars="200"/>
        <w:rPr>
          <w:rFonts w:ascii="宋体"/>
          <w:kern w:val="0"/>
          <w:szCs w:val="20"/>
        </w:rPr>
      </w:pPr>
      <w:r>
        <w:rPr>
          <w:rFonts w:hint="eastAsia" w:ascii="宋体"/>
          <w:kern w:val="0"/>
          <w:szCs w:val="20"/>
        </w:rPr>
        <w:t>组合起来可以识别记录主体身份的属性集合，包括年龄、性别、邮编等信息。</w:t>
      </w:r>
    </w:p>
    <w:p w14:paraId="322FFF01">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隐私信息　private information</w:t>
      </w:r>
    </w:p>
    <w:p w14:paraId="76568826">
      <w:pPr>
        <w:pStyle w:val="272"/>
      </w:pPr>
      <w:r>
        <w:rPr>
          <w:rFonts w:hint="eastAsia"/>
        </w:rPr>
        <w:t>能通过信息系统进行处理的敏感个人信息，是个人信息记录中的标识符、准标识符和敏感属性的集合。</w:t>
      </w:r>
    </w:p>
    <w:p w14:paraId="70B2223F">
      <w:pPr>
        <w:pStyle w:val="294"/>
        <w:numPr>
          <w:ilvl w:val="0"/>
          <w:numId w:val="38"/>
        </w:numPr>
      </w:pPr>
      <w:r>
        <w:rPr>
          <w:rFonts w:hint="eastAsia"/>
        </w:rPr>
        <w:t>隐私信息包括个人生物特征信息、银行账号、通信记录和内容、财产信息、征信信息、行踪轨迹、住宿信息、健康生理信息、交易信息、14岁以下（含）儿童的个人信息等。</w:t>
      </w:r>
    </w:p>
    <w:p w14:paraId="7CD8C23E">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bCs/>
        </w:rPr>
        <w:t>隐私计算</w:t>
      </w:r>
      <w:r>
        <w:rPr>
          <w:rFonts w:hint="eastAsia" w:ascii="黑体" w:hAnsi="黑体"/>
        </w:rPr>
        <w:t>　</w:t>
      </w:r>
      <w:r>
        <w:rPr>
          <w:rFonts w:hint="eastAsia" w:ascii="黑体" w:hAnsi="黑体"/>
          <w:bCs/>
        </w:rPr>
        <w:t>privacy computing</w:t>
      </w:r>
    </w:p>
    <w:p w14:paraId="22A0D25D">
      <w:pPr>
        <w:pStyle w:val="272"/>
      </w:pPr>
      <w:r>
        <w:rPr>
          <w:rFonts w:hint="eastAsia"/>
        </w:rPr>
        <w:t>面向隐私信息全生命周期保护的计算理论、方法和技术，涵盖了收集、脱敏、存储、使用、交换、删除、存证与取证等全生命周期过程的所有计算操作，包含处理视频、音频、图像、图形、文字、数值、泛在网络行为信息流等信息时，对所涉及的隐私信息进行描述、度量、控制、脱敏、使用、评价、删除等处理。</w:t>
      </w:r>
    </w:p>
    <w:p w14:paraId="0EB30DC8">
      <w:pPr>
        <w:pStyle w:val="288"/>
        <w:numPr>
          <w:ilvl w:val="2"/>
          <w:numId w:val="37"/>
        </w:numPr>
        <w:tabs>
          <w:tab w:val="left" w:pos="420"/>
        </w:tabs>
        <w:ind w:left="420" w:hanging="420" w:hangingChars="200"/>
        <w:rPr>
          <w:rFonts w:ascii="黑体" w:hAnsi="黑体"/>
        </w:rPr>
      </w:pPr>
      <w:r>
        <w:rPr>
          <w:rFonts w:hint="eastAsia" w:ascii="黑体" w:hAnsi="黑体"/>
        </w:rPr>
        <w:br w:type="textWrapping"/>
      </w:r>
      <w:bookmarkStart w:id="50" w:name="_Toc166436381"/>
      <w:r>
        <w:rPr>
          <w:rFonts w:hint="eastAsia" w:ascii="黑体" w:hAnsi="黑体"/>
        </w:rPr>
        <w:t>敏感属性　private attribute</w:t>
      </w:r>
      <w:bookmarkEnd w:id="50"/>
    </w:p>
    <w:p w14:paraId="06247CE3">
      <w:pPr>
        <w:pStyle w:val="272"/>
      </w:pPr>
      <w:r>
        <w:rPr>
          <w:rFonts w:hint="eastAsia"/>
        </w:rPr>
        <w:t>信息载体中含有敏感个人信息的属性，泄露、修改或破坏该属性值会对个人权益产生影响。</w:t>
      </w:r>
    </w:p>
    <w:p w14:paraId="40D7D207">
      <w:pPr>
        <w:pStyle w:val="294"/>
        <w:numPr>
          <w:ilvl w:val="0"/>
          <w:numId w:val="38"/>
        </w:numPr>
      </w:pPr>
      <w:r>
        <w:rPr>
          <w:rFonts w:hint="eastAsia"/>
        </w:rPr>
        <w:t>在潜在的重标识攻击期间需要防止其值与任何一个隐私信息主体相关联。</w:t>
      </w:r>
    </w:p>
    <w:p w14:paraId="32A12DE9">
      <w:pPr>
        <w:pStyle w:val="272"/>
        <w:ind w:left="420" w:leftChars="200" w:firstLine="0" w:firstLineChars="0"/>
      </w:pPr>
      <w:r>
        <w:rPr>
          <w:rFonts w:hint="eastAsia"/>
        </w:rPr>
        <w:t>[来源：GB/T 37964-2019,3.10]</w:t>
      </w:r>
    </w:p>
    <w:p w14:paraId="6C6B158A">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隐私信息向量 private information vector</w:t>
      </w:r>
    </w:p>
    <w:p w14:paraId="63263D6D">
      <w:pPr>
        <w:pStyle w:val="272"/>
      </w:pPr>
      <w:r>
        <w:rPr>
          <w:rFonts w:hint="eastAsia"/>
        </w:rPr>
        <w:t>隐私信息提取的输出结果，由一个向量标识和若干隐私信息分量组成，隐私信息分量是指具有一定语义的、彼此之间互不相交的原子隐私信息。</w:t>
      </w:r>
    </w:p>
    <w:p w14:paraId="4D0F66D3">
      <w:pPr>
        <w:pStyle w:val="294"/>
        <w:numPr>
          <w:ilvl w:val="0"/>
          <w:numId w:val="38"/>
        </w:numPr>
      </w:pPr>
      <w:r>
        <w:rPr>
          <w:rFonts w:hint="eastAsia"/>
        </w:rPr>
        <w:t>向量标识是该隐私信息向量的唯一标识。</w:t>
      </w:r>
    </w:p>
    <w:p w14:paraId="62E87987">
      <w:pPr>
        <w:pStyle w:val="288"/>
        <w:numPr>
          <w:ilvl w:val="2"/>
          <w:numId w:val="37"/>
        </w:numPr>
        <w:tabs>
          <w:tab w:val="left" w:pos="420"/>
        </w:tabs>
        <w:ind w:left="420" w:hanging="420" w:hangingChars="200"/>
        <w:rPr>
          <w:rFonts w:ascii="黑体" w:hAnsi="黑体"/>
        </w:rPr>
      </w:pPr>
      <w:bookmarkStart w:id="51" w:name="_Toc166922371"/>
      <w:r>
        <w:rPr>
          <w:rFonts w:hint="eastAsia" w:ascii="黑体" w:hAnsi="黑体"/>
        </w:rPr>
        <w:br w:type="textWrapping"/>
      </w:r>
      <w:r>
        <w:rPr>
          <w:rFonts w:hint="eastAsia" w:ascii="黑体" w:hAnsi="黑体"/>
        </w:rPr>
        <w:t xml:space="preserve">约束条件集合 constraint condition set </w:t>
      </w:r>
    </w:p>
    <w:p w14:paraId="0B8B17D2">
      <w:pPr>
        <w:pStyle w:val="272"/>
      </w:pPr>
      <w:r>
        <w:rPr>
          <w:rFonts w:hint="eastAsia"/>
        </w:rPr>
        <w:t>由隐私信息分量对应的约束条件向量组成的集合，用于描述在不同场景下实体访问隐私信息分量所需的访问权限，或者使用隐私信息分量时的操作限制要求。</w:t>
      </w:r>
    </w:p>
    <w:p w14:paraId="721D9CB7">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隐私属性向量 private attribute vector</w:t>
      </w:r>
      <w:bookmarkEnd w:id="51"/>
    </w:p>
    <w:p w14:paraId="751218FB">
      <w:pPr>
        <w:pStyle w:val="272"/>
      </w:pPr>
      <w:r>
        <w:rPr>
          <w:rFonts w:hint="eastAsia"/>
        </w:rPr>
        <w:t>由隐私属性分量组成，用于量化隐私信息分量及分量组合的敏感度或者期望保护程度。</w:t>
      </w:r>
    </w:p>
    <w:p w14:paraId="525542CE">
      <w:pPr>
        <w:pStyle w:val="294"/>
        <w:numPr>
          <w:ilvl w:val="0"/>
          <w:numId w:val="38"/>
        </w:numPr>
      </w:pPr>
      <w:r>
        <w:rPr>
          <w:rFonts w:hint="eastAsia"/>
        </w:rPr>
        <w:t>在实际应用时针对不同场景，不同隐私信息分量可进行加权动态组合，隐私属性分量的取值范围可以根据场景定义。</w:t>
      </w:r>
    </w:p>
    <w:p w14:paraId="2BF0A8C9">
      <w:pPr>
        <w:pStyle w:val="288"/>
        <w:numPr>
          <w:ilvl w:val="2"/>
          <w:numId w:val="37"/>
        </w:numPr>
        <w:tabs>
          <w:tab w:val="left" w:pos="420"/>
        </w:tabs>
        <w:ind w:left="420" w:hanging="420" w:hangingChars="200"/>
        <w:rPr>
          <w:rFonts w:ascii="黑体" w:hAnsi="黑体"/>
        </w:rPr>
      </w:pPr>
      <w:bookmarkStart w:id="52" w:name="_Toc166922372"/>
      <w:r>
        <w:rPr>
          <w:rFonts w:hint="eastAsia" w:ascii="黑体" w:hAnsi="黑体"/>
        </w:rPr>
        <w:br w:type="textWrapping"/>
      </w:r>
      <w:r>
        <w:rPr>
          <w:rFonts w:hint="eastAsia" w:ascii="黑体" w:hAnsi="黑体"/>
        </w:rPr>
        <w:t>广义定位信息集合 generalized locating information set</w:t>
      </w:r>
      <w:bookmarkEnd w:id="52"/>
      <w:r>
        <w:rPr>
          <w:rFonts w:hint="eastAsia" w:ascii="黑体" w:hAnsi="黑体"/>
        </w:rPr>
        <w:t xml:space="preserve"> </w:t>
      </w:r>
    </w:p>
    <w:p w14:paraId="4A87F997">
      <w:pPr>
        <w:pStyle w:val="272"/>
      </w:pPr>
      <w:r>
        <w:rPr>
          <w:rFonts w:hint="eastAsia"/>
        </w:rPr>
        <w:t>由广义定位信息向量组成的集合，广义定位信息向量是由隐私信息分量在信息中的位置信息和属性信息组成。</w:t>
      </w:r>
    </w:p>
    <w:p w14:paraId="5D7EF623">
      <w:pPr>
        <w:pStyle w:val="294"/>
        <w:numPr>
          <w:ilvl w:val="0"/>
          <w:numId w:val="38"/>
        </w:numPr>
      </w:pPr>
      <w:r>
        <w:rPr>
          <w:rFonts w:hint="eastAsia"/>
        </w:rPr>
        <w:t>广义定位信息集合可用于对隐私信息分量在信息中快速定位。</w:t>
      </w:r>
    </w:p>
    <w:p w14:paraId="6AB58636">
      <w:pPr>
        <w:pStyle w:val="288"/>
        <w:numPr>
          <w:ilvl w:val="2"/>
          <w:numId w:val="37"/>
        </w:numPr>
        <w:tabs>
          <w:tab w:val="left" w:pos="420"/>
        </w:tabs>
        <w:ind w:left="420" w:hanging="420" w:hangingChars="200"/>
        <w:rPr>
          <w:rFonts w:ascii="黑体" w:hAnsi="黑体"/>
        </w:rPr>
      </w:pPr>
      <w:bookmarkStart w:id="53" w:name="_Toc166922373"/>
      <w:r>
        <w:rPr>
          <w:rFonts w:hint="eastAsia" w:ascii="黑体" w:hAnsi="黑体"/>
        </w:rPr>
        <w:br w:type="textWrapping"/>
      </w:r>
      <w:r>
        <w:rPr>
          <w:rFonts w:hint="eastAsia" w:ascii="黑体" w:hAnsi="黑体"/>
        </w:rPr>
        <w:t>审计控制信息集合 audit control information set</w:t>
      </w:r>
      <w:bookmarkEnd w:id="53"/>
      <w:r>
        <w:rPr>
          <w:rFonts w:hint="eastAsia" w:ascii="黑体" w:hAnsi="黑体"/>
        </w:rPr>
        <w:t xml:space="preserve"> </w:t>
      </w:r>
    </w:p>
    <w:p w14:paraId="50EABC3A">
      <w:pPr>
        <w:pStyle w:val="272"/>
      </w:pPr>
      <w:r>
        <w:rPr>
          <w:rFonts w:hint="eastAsia"/>
        </w:rPr>
        <w:t>由传播过程中具体的审计控制向量组成的集合，用于记录隐私信息分量在流转过程中的主客体信息和被执行的操作。</w:t>
      </w:r>
    </w:p>
    <w:p w14:paraId="5843EB83">
      <w:pPr>
        <w:pStyle w:val="294"/>
        <w:numPr>
          <w:ilvl w:val="0"/>
          <w:numId w:val="38"/>
        </w:numPr>
      </w:pPr>
      <w:r>
        <w:rPr>
          <w:rFonts w:hint="eastAsia"/>
        </w:rPr>
        <w:t>当发生隐私信息泄露时，可基于审计控制信息集合进行追踪溯源。</w:t>
      </w:r>
    </w:p>
    <w:p w14:paraId="40AEF6C1">
      <w:pPr>
        <w:pStyle w:val="288"/>
        <w:numPr>
          <w:ilvl w:val="2"/>
          <w:numId w:val="37"/>
        </w:numPr>
        <w:tabs>
          <w:tab w:val="left" w:pos="420"/>
        </w:tabs>
        <w:ind w:left="420" w:hanging="420" w:hangingChars="200"/>
        <w:rPr>
          <w:rFonts w:ascii="黑体" w:hAnsi="黑体"/>
        </w:rPr>
      </w:pPr>
      <w:bookmarkStart w:id="54" w:name="_Toc166922375"/>
      <w:r>
        <w:rPr>
          <w:rFonts w:hint="eastAsia" w:ascii="黑体" w:hAnsi="黑体"/>
        </w:rPr>
        <w:br w:type="textWrapping"/>
      </w:r>
      <w:r>
        <w:rPr>
          <w:rFonts w:hint="eastAsia" w:ascii="黑体" w:hAnsi="黑体"/>
        </w:rPr>
        <w:t>传播控制操作集合 circulation control operation set</w:t>
      </w:r>
      <w:bookmarkEnd w:id="54"/>
      <w:r>
        <w:rPr>
          <w:rFonts w:hint="eastAsia" w:ascii="黑体" w:hAnsi="黑体"/>
        </w:rPr>
        <w:t xml:space="preserve"> </w:t>
      </w:r>
    </w:p>
    <w:p w14:paraId="133D0EC0">
      <w:pPr>
        <w:pStyle w:val="272"/>
      </w:pPr>
      <w:r>
        <w:rPr>
          <w:rFonts w:hint="eastAsia"/>
        </w:rPr>
        <w:t>由传播控制操作向量组成的集合，用于描述隐私信息分量及其组合的流转限制要求、可被执行的操作限制要求。</w:t>
      </w:r>
    </w:p>
    <w:p w14:paraId="286B9DEA">
      <w:pPr>
        <w:pStyle w:val="288"/>
        <w:numPr>
          <w:ilvl w:val="2"/>
          <w:numId w:val="37"/>
        </w:numPr>
        <w:tabs>
          <w:tab w:val="left" w:pos="420"/>
        </w:tabs>
        <w:ind w:left="420" w:hanging="420" w:hangingChars="200"/>
        <w:rPr>
          <w:rFonts w:ascii="黑体" w:hAnsi="黑体"/>
        </w:rPr>
      </w:pPr>
      <w:bookmarkStart w:id="55" w:name="_Toc166922376"/>
      <w:bookmarkStart w:id="56" w:name="_Hlk167231074"/>
      <w:r>
        <w:rPr>
          <w:rFonts w:hint="eastAsia" w:ascii="黑体" w:hAnsi="黑体"/>
        </w:rPr>
        <w:br w:type="textWrapping"/>
      </w:r>
      <w:r>
        <w:rPr>
          <w:rFonts w:hint="eastAsia" w:ascii="黑体" w:hAnsi="黑体"/>
        </w:rPr>
        <w:t>隐私信息所有者 private information owner</w:t>
      </w:r>
      <w:bookmarkEnd w:id="55"/>
    </w:p>
    <w:p w14:paraId="4395DC65">
      <w:pPr>
        <w:ind w:firstLine="420" w:firstLineChars="200"/>
        <w:rPr>
          <w:rFonts w:ascii="宋体" w:hAnsi="宋体"/>
        </w:rPr>
      </w:pPr>
      <w:r>
        <w:rPr>
          <w:rFonts w:hint="eastAsia" w:ascii="宋体" w:hAnsi="宋体"/>
        </w:rPr>
        <w:t>隐私信息所标识或者关联的自然人、组织、设备或程序等实体。</w:t>
      </w:r>
    </w:p>
    <w:p w14:paraId="6734E5FB">
      <w:pPr>
        <w:pStyle w:val="288"/>
        <w:numPr>
          <w:ilvl w:val="2"/>
          <w:numId w:val="37"/>
        </w:numPr>
        <w:tabs>
          <w:tab w:val="left" w:pos="420"/>
        </w:tabs>
        <w:ind w:left="420" w:hanging="420" w:hangingChars="200"/>
        <w:rPr>
          <w:rFonts w:ascii="黑体" w:hAnsi="黑体"/>
        </w:rPr>
      </w:pPr>
      <w:bookmarkStart w:id="57" w:name="_Toc166922377"/>
      <w:r>
        <w:rPr>
          <w:rFonts w:hint="eastAsia" w:ascii="黑体" w:hAnsi="黑体"/>
        </w:rPr>
        <w:br w:type="textWrapping"/>
      </w:r>
      <w:r>
        <w:rPr>
          <w:rFonts w:hint="eastAsia" w:ascii="黑体" w:hAnsi="黑体"/>
        </w:rPr>
        <w:t>隐私信息提供者 private information provider</w:t>
      </w:r>
    </w:p>
    <w:p w14:paraId="7367BF79">
      <w:pPr>
        <w:ind w:firstLine="420" w:firstLineChars="200"/>
        <w:rPr>
          <w:rFonts w:ascii="宋体" w:hAnsi="宋体"/>
        </w:rPr>
      </w:pPr>
      <w:r>
        <w:rPr>
          <w:rFonts w:hint="eastAsia" w:ascii="宋体" w:hAnsi="宋体"/>
        </w:rPr>
        <w:t>向其他自然人、组织、设备或程序提供隐私信息的实体。</w:t>
      </w:r>
    </w:p>
    <w:bookmarkEnd w:id="57"/>
    <w:p w14:paraId="6E29775F">
      <w:pPr>
        <w:pStyle w:val="288"/>
        <w:numPr>
          <w:ilvl w:val="2"/>
          <w:numId w:val="37"/>
        </w:numPr>
        <w:tabs>
          <w:tab w:val="left" w:pos="420"/>
        </w:tabs>
        <w:ind w:left="420" w:hanging="420" w:hangingChars="200"/>
        <w:rPr>
          <w:rFonts w:hAnsi="黑体"/>
          <w:bCs/>
        </w:rPr>
      </w:pPr>
      <w:bookmarkStart w:id="58" w:name="_Hlk167733187"/>
      <w:r>
        <w:rPr>
          <w:rFonts w:hint="eastAsia" w:ascii="黑体" w:hAnsi="黑体"/>
        </w:rPr>
        <w:br w:type="textWrapping"/>
      </w:r>
      <w:r>
        <w:rPr>
          <w:rFonts w:hint="eastAsia" w:ascii="黑体" w:hAnsi="黑体"/>
        </w:rPr>
        <w:t>隐私信息发布者 private information publisher</w:t>
      </w:r>
      <w:r>
        <w:rPr>
          <w:rFonts w:hint="eastAsia" w:ascii="黑体" w:hAnsi="黑体"/>
          <w:bCs/>
        </w:rPr>
        <w:t xml:space="preserve"> </w:t>
      </w:r>
    </w:p>
    <w:bookmarkEnd w:id="58"/>
    <w:p w14:paraId="47D55F70">
      <w:pPr>
        <w:ind w:firstLine="420" w:firstLineChars="200"/>
        <w:rPr>
          <w:rFonts w:ascii="宋体" w:hAnsi="宋体"/>
        </w:rPr>
      </w:pPr>
      <w:r>
        <w:rPr>
          <w:rFonts w:hint="eastAsia" w:ascii="宋体" w:hAnsi="宋体"/>
        </w:rPr>
        <w:t>基于向特定或所有公众自由访问的目的，向其他自然人、组织、设备或程序提供隐私信息的实体。</w:t>
      </w:r>
    </w:p>
    <w:p w14:paraId="5FBB2321">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隐私信息接收者 private information recipient</w:t>
      </w:r>
    </w:p>
    <w:p w14:paraId="293F81DB">
      <w:pPr>
        <w:ind w:firstLine="420" w:firstLineChars="200"/>
        <w:rPr>
          <w:rFonts w:ascii="宋体" w:hAnsi="宋体"/>
        </w:rPr>
      </w:pPr>
      <w:r>
        <w:rPr>
          <w:rFonts w:hint="eastAsia" w:ascii="宋体" w:hAnsi="宋体"/>
        </w:rPr>
        <w:t>接收其他自然人、组织、设备或程序提供的隐私信息的实体。</w:t>
      </w:r>
    </w:p>
    <w:p w14:paraId="0465725F">
      <w:pPr>
        <w:pStyle w:val="288"/>
        <w:numPr>
          <w:ilvl w:val="2"/>
          <w:numId w:val="37"/>
        </w:numPr>
        <w:tabs>
          <w:tab w:val="left" w:pos="420"/>
        </w:tabs>
        <w:ind w:left="420" w:hanging="420" w:hangingChars="200"/>
        <w:rPr>
          <w:rFonts w:ascii="黑体" w:hAnsi="黑体"/>
        </w:rPr>
      </w:pPr>
      <w:r>
        <w:rPr>
          <w:rFonts w:hint="eastAsia" w:ascii="黑体" w:hAnsi="黑体"/>
        </w:rPr>
        <w:br w:type="textWrapping"/>
      </w:r>
      <w:bookmarkStart w:id="59" w:name="_Toc166922378"/>
      <w:r>
        <w:rPr>
          <w:rFonts w:hint="eastAsia" w:ascii="黑体" w:hAnsi="黑体"/>
        </w:rPr>
        <w:t>隐私信息转发者 private information forwarder</w:t>
      </w:r>
      <w:bookmarkEnd w:id="59"/>
    </w:p>
    <w:p w14:paraId="42E168C0">
      <w:pPr>
        <w:ind w:firstLine="420" w:firstLineChars="200"/>
        <w:rPr>
          <w:rFonts w:ascii="宋体" w:hAnsi="宋体"/>
        </w:rPr>
      </w:pPr>
      <w:r>
        <w:rPr>
          <w:rFonts w:hint="eastAsia" w:ascii="宋体" w:hAnsi="宋体"/>
        </w:rPr>
        <w:t>接收其他自然人、组织、设备或程序提供的隐私信息的实体，该实体对接收到的隐私信息经过使用、或迭代脱敏、或保持原样转发给其他隐私信息接收者。</w:t>
      </w:r>
    </w:p>
    <w:p w14:paraId="5C7C571A">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 xml:space="preserve">隐私信息使用者 private information user </w:t>
      </w:r>
    </w:p>
    <w:p w14:paraId="292679FB">
      <w:pPr>
        <w:ind w:firstLine="420" w:firstLineChars="200"/>
        <w:rPr>
          <w:rFonts w:ascii="宋体" w:hAnsi="宋体"/>
        </w:rPr>
      </w:pPr>
      <w:r>
        <w:rPr>
          <w:rFonts w:hint="eastAsia" w:ascii="宋体" w:hAnsi="宋体"/>
        </w:rPr>
        <w:t>对接收到的隐私信息进行统计、加工、模型训练等操作的实体。</w:t>
      </w:r>
    </w:p>
    <w:p w14:paraId="44225D7D">
      <w:pPr>
        <w:pStyle w:val="288"/>
        <w:numPr>
          <w:ilvl w:val="2"/>
          <w:numId w:val="37"/>
        </w:numPr>
        <w:tabs>
          <w:tab w:val="left" w:pos="420"/>
        </w:tabs>
        <w:ind w:left="420" w:hanging="420" w:hangingChars="200"/>
        <w:rPr>
          <w:rFonts w:hAnsi="黑体"/>
          <w:bCs/>
        </w:rPr>
      </w:pPr>
      <w:bookmarkStart w:id="60" w:name="_Toc166922381"/>
      <w:r>
        <w:rPr>
          <w:rFonts w:hint="eastAsia" w:ascii="黑体" w:hAnsi="黑体"/>
        </w:rPr>
        <w:br w:type="textWrapping"/>
      </w:r>
      <w:r>
        <w:rPr>
          <w:rFonts w:hint="eastAsia" w:ascii="黑体" w:hAnsi="黑体"/>
        </w:rPr>
        <w:t>隐私信息收集者 private information collector</w:t>
      </w:r>
      <w:bookmarkEnd w:id="60"/>
      <w:r>
        <w:rPr>
          <w:rFonts w:hint="eastAsia" w:ascii="黑体" w:hAnsi="黑体"/>
          <w:bCs/>
        </w:rPr>
        <w:t xml:space="preserve"> </w:t>
      </w:r>
    </w:p>
    <w:p w14:paraId="75694CF0">
      <w:pPr>
        <w:ind w:firstLine="420" w:firstLineChars="200"/>
        <w:rPr>
          <w:rFonts w:ascii="宋体" w:hAnsi="宋体"/>
        </w:rPr>
      </w:pPr>
      <w:r>
        <w:rPr>
          <w:rFonts w:hint="eastAsia" w:ascii="宋体" w:hAnsi="宋体"/>
        </w:rPr>
        <w:t>从隐私信息所有者、隐私信息提供者或其他公开渠道获取隐私信息的实体。</w:t>
      </w:r>
    </w:p>
    <w:p w14:paraId="63B98CCB">
      <w:pPr>
        <w:pStyle w:val="288"/>
        <w:numPr>
          <w:ilvl w:val="2"/>
          <w:numId w:val="37"/>
        </w:numPr>
        <w:tabs>
          <w:tab w:val="left" w:pos="420"/>
        </w:tabs>
        <w:ind w:left="420" w:hanging="420" w:hangingChars="200"/>
        <w:rPr>
          <w:rFonts w:ascii="黑体" w:hAnsi="黑体"/>
        </w:rPr>
      </w:pPr>
      <w:bookmarkStart w:id="61" w:name="_Toc166922385"/>
      <w:r>
        <w:rPr>
          <w:rFonts w:hint="eastAsia" w:ascii="黑体" w:hAnsi="黑体"/>
        </w:rPr>
        <w:br w:type="textWrapping"/>
      </w:r>
      <w:r>
        <w:rPr>
          <w:rFonts w:hint="eastAsia" w:ascii="黑体" w:hAnsi="黑体"/>
        </w:rPr>
        <w:t>隐私信息删除者 private information remover</w:t>
      </w:r>
      <w:bookmarkEnd w:id="61"/>
      <w:r>
        <w:rPr>
          <w:rFonts w:hint="eastAsia" w:ascii="黑体" w:hAnsi="黑体"/>
        </w:rPr>
        <w:t xml:space="preserve"> </w:t>
      </w:r>
    </w:p>
    <w:p w14:paraId="605B4074">
      <w:pPr>
        <w:ind w:firstLine="420" w:firstLineChars="200"/>
      </w:pPr>
      <w:r>
        <w:rPr>
          <w:rFonts w:hint="eastAsia" w:ascii="宋体" w:hAnsi="宋体"/>
        </w:rPr>
        <w:t>对持有的隐私信息执行删除操作的实体。</w:t>
      </w:r>
      <w:bookmarkEnd w:id="56"/>
    </w:p>
    <w:p w14:paraId="27C493E2">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隐私信息处理者 private information processor</w:t>
      </w:r>
    </w:p>
    <w:p w14:paraId="3B6A149A">
      <w:pPr>
        <w:pStyle w:val="272"/>
      </w:pPr>
      <w:r>
        <w:rPr>
          <w:rFonts w:hint="eastAsia"/>
        </w:rPr>
        <w:t>对隐私信息进行收集、存储、使用、加工、传输、提供、公开、删除、脱敏、存证与取证等操作的实体。</w:t>
      </w:r>
    </w:p>
    <w:p w14:paraId="6FA52711">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延伸控制　extended control</w:t>
      </w:r>
    </w:p>
    <w:p w14:paraId="2DD8B030">
      <w:pPr>
        <w:pStyle w:val="272"/>
        <w:rPr>
          <w:rFonts w:ascii="黑体" w:hAnsi="黑体" w:eastAsia="黑体"/>
        </w:rPr>
      </w:pPr>
      <w:r>
        <w:rPr>
          <w:rFonts w:hint="eastAsia"/>
        </w:rPr>
        <w:t>在数据流通与共享过程中，收集、存储、使用、加工、传输、提供、公开、删除、脱敏、存证与取证等环节的隐私操作迭代控制、控制策略动态调整、控制策略可控传递，以及控制策略执行可信验证。</w:t>
      </w:r>
      <w:bookmarkStart w:id="62" w:name="_Toc125879725"/>
      <w:bookmarkEnd w:id="62"/>
      <w:bookmarkStart w:id="63" w:name="_Toc126047711"/>
      <w:bookmarkEnd w:id="63"/>
    </w:p>
    <w:p w14:paraId="6CEBE266">
      <w:pPr>
        <w:pStyle w:val="288"/>
        <w:numPr>
          <w:ilvl w:val="2"/>
          <w:numId w:val="37"/>
        </w:numPr>
        <w:tabs>
          <w:tab w:val="left" w:pos="420"/>
        </w:tabs>
        <w:ind w:left="420" w:hanging="420" w:hangingChars="200"/>
        <w:rPr>
          <w:rFonts w:ascii="黑体" w:hAnsi="黑体"/>
        </w:rPr>
      </w:pPr>
      <w:bookmarkStart w:id="64" w:name="_Toc166436394"/>
      <w:bookmarkEnd w:id="64"/>
      <w:bookmarkStart w:id="65" w:name="_Toc166436395"/>
      <w:bookmarkEnd w:id="65"/>
      <w:bookmarkStart w:id="66" w:name="_Toc166436392"/>
      <w:bookmarkEnd w:id="66"/>
      <w:bookmarkStart w:id="67" w:name="_Toc166434176"/>
      <w:bookmarkEnd w:id="67"/>
      <w:bookmarkStart w:id="68" w:name="_Toc166434175"/>
      <w:bookmarkEnd w:id="68"/>
      <w:bookmarkStart w:id="69" w:name="_Toc166436396"/>
      <w:bookmarkEnd w:id="69"/>
      <w:bookmarkStart w:id="70" w:name="_Toc166436393"/>
      <w:bookmarkEnd w:id="70"/>
      <w:bookmarkStart w:id="71" w:name="_Toc166436397"/>
      <w:bookmarkEnd w:id="71"/>
      <w:bookmarkStart w:id="72" w:name="_Toc166434173"/>
      <w:bookmarkEnd w:id="72"/>
      <w:bookmarkStart w:id="73" w:name="_Toc166434172"/>
      <w:bookmarkEnd w:id="73"/>
      <w:bookmarkStart w:id="74" w:name="_Toc166436389"/>
      <w:bookmarkEnd w:id="74"/>
      <w:bookmarkStart w:id="75" w:name="_Toc166434174"/>
      <w:bookmarkEnd w:id="75"/>
      <w:bookmarkStart w:id="76" w:name="_Toc166436391"/>
      <w:bookmarkEnd w:id="76"/>
      <w:bookmarkStart w:id="77" w:name="_Toc166436390"/>
      <w:bookmarkEnd w:id="77"/>
      <w:bookmarkStart w:id="78" w:name="_Toc166436405"/>
      <w:r>
        <w:rPr>
          <w:rFonts w:hint="eastAsia" w:ascii="黑体" w:hAnsi="黑体"/>
        </w:rPr>
        <w:br w:type="textWrapping"/>
      </w:r>
      <w:r>
        <w:rPr>
          <w:rFonts w:hint="eastAsia" w:ascii="黑体" w:hAnsi="黑体"/>
        </w:rPr>
        <w:t>脱敏要求　desensitization requirements</w:t>
      </w:r>
      <w:bookmarkEnd w:id="78"/>
    </w:p>
    <w:p w14:paraId="30594F67">
      <w:pPr>
        <w:widowControl/>
        <w:autoSpaceDE w:val="0"/>
        <w:autoSpaceDN w:val="0"/>
        <w:ind w:firstLine="420" w:firstLineChars="200"/>
        <w:rPr>
          <w:rFonts w:ascii="宋体"/>
          <w:kern w:val="0"/>
          <w:szCs w:val="20"/>
        </w:rPr>
      </w:pPr>
      <w:r>
        <w:rPr>
          <w:rFonts w:hint="eastAsia" w:ascii="宋体"/>
          <w:kern w:val="0"/>
          <w:szCs w:val="20"/>
        </w:rPr>
        <w:t>待脱敏的隐私信息的脱敏等级、脱敏时机、脱敏算法及其参数选择等约束信息。</w:t>
      </w:r>
    </w:p>
    <w:p w14:paraId="6D47EF11">
      <w:pPr>
        <w:pStyle w:val="288"/>
        <w:numPr>
          <w:ilvl w:val="2"/>
          <w:numId w:val="37"/>
        </w:numPr>
        <w:tabs>
          <w:tab w:val="left" w:pos="420"/>
        </w:tabs>
        <w:ind w:left="420" w:hanging="420" w:hangingChars="200"/>
        <w:rPr>
          <w:rFonts w:ascii="黑体" w:hAnsi="黑体"/>
        </w:rPr>
      </w:pPr>
      <w:bookmarkStart w:id="79" w:name="_Toc166434188"/>
      <w:bookmarkEnd w:id="79"/>
      <w:bookmarkStart w:id="80" w:name="_Toc166436408"/>
      <w:bookmarkEnd w:id="80"/>
      <w:bookmarkStart w:id="81" w:name="_Toc166434186"/>
      <w:bookmarkEnd w:id="81"/>
      <w:bookmarkStart w:id="82" w:name="_Toc166436407"/>
      <w:bookmarkEnd w:id="82"/>
      <w:bookmarkStart w:id="83" w:name="_Toc166436409"/>
      <w:bookmarkEnd w:id="83"/>
      <w:bookmarkStart w:id="84" w:name="_Toc166434187"/>
      <w:bookmarkEnd w:id="84"/>
      <w:bookmarkStart w:id="85" w:name="_Toc166436410"/>
      <w:r>
        <w:rPr>
          <w:rFonts w:hint="eastAsia" w:ascii="黑体" w:hAnsi="黑体"/>
        </w:rPr>
        <w:br w:type="textWrapping"/>
      </w:r>
      <w:r>
        <w:rPr>
          <w:rFonts w:hint="eastAsia" w:ascii="黑体" w:hAnsi="黑体"/>
        </w:rPr>
        <w:t>脱敏算法　desensitization algorithm</w:t>
      </w:r>
      <w:bookmarkEnd w:id="85"/>
    </w:p>
    <w:p w14:paraId="7BAB5868">
      <w:pPr>
        <w:widowControl/>
        <w:autoSpaceDE w:val="0"/>
        <w:autoSpaceDN w:val="0"/>
        <w:ind w:firstLine="420" w:firstLineChars="200"/>
        <w:rPr>
          <w:rFonts w:ascii="宋体"/>
          <w:kern w:val="0"/>
          <w:szCs w:val="20"/>
        </w:rPr>
      </w:pPr>
      <w:r>
        <w:rPr>
          <w:rFonts w:hint="eastAsia" w:ascii="宋体"/>
          <w:kern w:val="0"/>
          <w:szCs w:val="20"/>
        </w:rPr>
        <w:t>通过对隐私信息的技术处理,使其在不借助额外信息的情况下,无法识别或者关联隐私信息主体。</w:t>
      </w:r>
    </w:p>
    <w:p w14:paraId="776B8A16">
      <w:pPr>
        <w:pStyle w:val="294"/>
        <w:numPr>
          <w:ilvl w:val="0"/>
          <w:numId w:val="38"/>
        </w:numPr>
        <w:rPr>
          <w:szCs w:val="20"/>
        </w:rPr>
      </w:pPr>
      <w:r>
        <w:rPr>
          <w:rFonts w:hint="eastAsia"/>
        </w:rPr>
        <w:t>脱敏算法包括k-匿名、差分隐私等算法。</w:t>
      </w:r>
    </w:p>
    <w:p w14:paraId="739D5504">
      <w:pPr>
        <w:pStyle w:val="272"/>
      </w:pPr>
      <w:r>
        <w:rPr>
          <w:rFonts w:hint="eastAsia"/>
        </w:rPr>
        <w:t>[来源：GB/T 35273—2020,3.15]</w:t>
      </w:r>
    </w:p>
    <w:p w14:paraId="75D3715D">
      <w:pPr>
        <w:pStyle w:val="288"/>
        <w:numPr>
          <w:ilvl w:val="2"/>
          <w:numId w:val="37"/>
        </w:numPr>
        <w:tabs>
          <w:tab w:val="left" w:pos="420"/>
        </w:tabs>
        <w:ind w:left="420" w:hanging="420" w:hangingChars="200"/>
        <w:rPr>
          <w:rFonts w:ascii="黑体" w:hAnsi="黑体"/>
        </w:rPr>
      </w:pPr>
      <w:bookmarkStart w:id="86" w:name="_Toc166436415"/>
      <w:r>
        <w:rPr>
          <w:rFonts w:hint="eastAsia" w:ascii="黑体" w:hAnsi="黑体"/>
        </w:rPr>
        <w:br w:type="textWrapping"/>
      </w:r>
      <w:r>
        <w:rPr>
          <w:rFonts w:hint="eastAsia" w:ascii="黑体" w:hAnsi="黑体"/>
        </w:rPr>
        <w:t>脱敏效果期望　expectation on desensitization performance</w:t>
      </w:r>
      <w:bookmarkEnd w:id="86"/>
      <w:r>
        <w:rPr>
          <w:rFonts w:hint="eastAsia" w:ascii="黑体" w:hAnsi="黑体"/>
        </w:rPr>
        <w:t xml:space="preserve"> </w:t>
      </w:r>
    </w:p>
    <w:p w14:paraId="4BB0E0D0">
      <w:pPr>
        <w:widowControl/>
        <w:autoSpaceDE w:val="0"/>
        <w:autoSpaceDN w:val="0"/>
        <w:ind w:firstLine="420" w:firstLineChars="200"/>
        <w:rPr>
          <w:rFonts w:ascii="宋体"/>
          <w:kern w:val="0"/>
          <w:szCs w:val="20"/>
        </w:rPr>
      </w:pPr>
      <w:r>
        <w:rPr>
          <w:rFonts w:hint="eastAsia" w:ascii="宋体"/>
          <w:kern w:val="0"/>
          <w:szCs w:val="20"/>
        </w:rPr>
        <w:t>隐私信息执行脱敏操作之后所达到的预期效果。</w:t>
      </w:r>
    </w:p>
    <w:p w14:paraId="5BAD7848">
      <w:pPr>
        <w:pStyle w:val="288"/>
        <w:numPr>
          <w:ilvl w:val="2"/>
          <w:numId w:val="37"/>
        </w:numPr>
        <w:tabs>
          <w:tab w:val="left" w:pos="420"/>
        </w:tabs>
        <w:ind w:left="420" w:hanging="420" w:hangingChars="200"/>
        <w:rPr>
          <w:rFonts w:ascii="黑体" w:hAnsi="黑体"/>
        </w:rPr>
      </w:pPr>
      <w:bookmarkStart w:id="87" w:name="_Toc166436417"/>
      <w:r>
        <w:rPr>
          <w:rFonts w:hint="eastAsia" w:ascii="黑体" w:hAnsi="黑体"/>
        </w:rPr>
        <w:br w:type="textWrapping"/>
      </w:r>
      <w:r>
        <w:rPr>
          <w:rFonts w:hint="eastAsia" w:ascii="黑体" w:hAnsi="黑体"/>
        </w:rPr>
        <w:t>按需脱敏　on-demand desensitization</w:t>
      </w:r>
      <w:bookmarkEnd w:id="87"/>
    </w:p>
    <w:p w14:paraId="28EC5180">
      <w:pPr>
        <w:widowControl/>
        <w:autoSpaceDE w:val="0"/>
        <w:autoSpaceDN w:val="0"/>
        <w:ind w:firstLine="420" w:firstLineChars="200"/>
      </w:pPr>
      <w:r>
        <w:rPr>
          <w:rFonts w:hint="eastAsia" w:ascii="宋体"/>
          <w:kern w:val="0"/>
        </w:rPr>
        <w:t>隐私信息处理者</w:t>
      </w:r>
      <w:r>
        <w:rPr>
          <w:rFonts w:hint="eastAsia" w:ascii="宋体"/>
          <w:kern w:val="0"/>
          <w:szCs w:val="20"/>
        </w:rPr>
        <w:t>按照隐私信息的延伸控制要求进行脱敏的过程。</w:t>
      </w:r>
    </w:p>
    <w:p w14:paraId="0CFF7232">
      <w:pPr>
        <w:pStyle w:val="288"/>
        <w:numPr>
          <w:ilvl w:val="2"/>
          <w:numId w:val="37"/>
        </w:numPr>
        <w:tabs>
          <w:tab w:val="left" w:pos="420"/>
        </w:tabs>
        <w:ind w:left="420" w:hanging="420" w:hangingChars="200"/>
        <w:rPr>
          <w:rFonts w:ascii="黑体" w:hAnsi="黑体"/>
        </w:rPr>
      </w:pPr>
      <w:bookmarkStart w:id="88" w:name="_Toc166436424"/>
      <w:r>
        <w:rPr>
          <w:rFonts w:hint="eastAsia" w:ascii="黑体" w:hAnsi="黑体"/>
        </w:rPr>
        <w:br w:type="textWrapping"/>
      </w:r>
      <w:r>
        <w:rPr>
          <w:rFonts w:hint="eastAsia" w:ascii="黑体" w:hAnsi="黑体"/>
        </w:rPr>
        <w:t>可逆性　reversibility</w:t>
      </w:r>
      <w:bookmarkEnd w:id="88"/>
    </w:p>
    <w:p w14:paraId="3ECCA1B6">
      <w:pPr>
        <w:widowControl/>
        <w:autoSpaceDE w:val="0"/>
        <w:autoSpaceDN w:val="0"/>
        <w:ind w:firstLine="420" w:firstLineChars="200"/>
        <w:rPr>
          <w:rFonts w:ascii="宋体" w:hAnsi="宋体"/>
        </w:rPr>
      </w:pPr>
      <w:r>
        <w:rPr>
          <w:rFonts w:hint="eastAsia" w:ascii="宋体" w:hAnsi="宋体"/>
        </w:rPr>
        <w:t>被脱敏掉的隐私信息被</w:t>
      </w:r>
      <w:r>
        <w:rPr>
          <w:rFonts w:hint="eastAsia" w:ascii="宋体"/>
          <w:kern w:val="0"/>
          <w:szCs w:val="20"/>
        </w:rPr>
        <w:t>复原的可能性。</w:t>
      </w:r>
    </w:p>
    <w:p w14:paraId="4B6489C6">
      <w:pPr>
        <w:pStyle w:val="288"/>
        <w:numPr>
          <w:ilvl w:val="2"/>
          <w:numId w:val="37"/>
        </w:numPr>
        <w:tabs>
          <w:tab w:val="left" w:pos="420"/>
        </w:tabs>
        <w:ind w:left="420" w:hanging="420" w:hangingChars="200"/>
        <w:rPr>
          <w:rFonts w:ascii="黑体" w:hAnsi="黑体"/>
        </w:rPr>
      </w:pPr>
      <w:bookmarkStart w:id="89" w:name="_Toc166436425"/>
      <w:r>
        <w:rPr>
          <w:rFonts w:hint="eastAsia" w:ascii="黑体" w:hAnsi="黑体"/>
        </w:rPr>
        <w:br w:type="textWrapping"/>
      </w:r>
      <w:r>
        <w:rPr>
          <w:rFonts w:hint="eastAsia" w:ascii="黑体" w:hAnsi="黑体"/>
        </w:rPr>
        <w:t>泛化　generalization</w:t>
      </w:r>
      <w:bookmarkEnd w:id="89"/>
    </w:p>
    <w:p w14:paraId="6B0655C8">
      <w:pPr>
        <w:widowControl/>
        <w:autoSpaceDE w:val="0"/>
        <w:autoSpaceDN w:val="0"/>
        <w:ind w:firstLine="420" w:firstLineChars="200"/>
        <w:rPr>
          <w:rFonts w:ascii="宋体"/>
          <w:kern w:val="0"/>
          <w:szCs w:val="20"/>
        </w:rPr>
      </w:pPr>
      <w:r>
        <w:rPr>
          <w:rFonts w:hint="eastAsia" w:ascii="宋体"/>
          <w:kern w:val="0"/>
          <w:szCs w:val="20"/>
        </w:rPr>
        <w:t>将一类属性中的特定值用一个更宽泛的值代替，以更概括、抽象的方式描述数据。</w:t>
      </w:r>
    </w:p>
    <w:p w14:paraId="6D15C63A">
      <w:pPr>
        <w:pStyle w:val="294"/>
        <w:numPr>
          <w:ilvl w:val="0"/>
          <w:numId w:val="38"/>
        </w:numPr>
      </w:pPr>
      <w:r>
        <w:rPr>
          <w:rFonts w:hint="eastAsia"/>
        </w:rPr>
        <w:t>泛化技术包括替换、取整、K-匿名、模糊化、概化等手段。</w:t>
      </w:r>
    </w:p>
    <w:p w14:paraId="7762808D">
      <w:pPr>
        <w:pStyle w:val="272"/>
      </w:pPr>
      <w:r>
        <w:rPr>
          <w:rFonts w:hint="eastAsia"/>
        </w:rPr>
        <w:t>[来源：GB/T 37964—2019,A.5.1,有修改]</w:t>
      </w:r>
    </w:p>
    <w:p w14:paraId="18EA8734">
      <w:pPr>
        <w:pStyle w:val="288"/>
        <w:numPr>
          <w:ilvl w:val="2"/>
          <w:numId w:val="37"/>
        </w:numPr>
        <w:tabs>
          <w:tab w:val="left" w:pos="420"/>
        </w:tabs>
        <w:ind w:left="420" w:hanging="420" w:hangingChars="200"/>
        <w:rPr>
          <w:rFonts w:ascii="黑体" w:hAnsi="黑体"/>
        </w:rPr>
      </w:pPr>
      <w:bookmarkStart w:id="90" w:name="_Toc166436426"/>
      <w:r>
        <w:rPr>
          <w:rFonts w:hint="eastAsia" w:ascii="黑体" w:hAnsi="黑体"/>
        </w:rPr>
        <w:br w:type="textWrapping"/>
      </w:r>
      <w:r>
        <w:rPr>
          <w:rFonts w:hint="eastAsia" w:ascii="黑体" w:hAnsi="黑体"/>
        </w:rPr>
        <w:t>抑制　suppression</w:t>
      </w:r>
      <w:bookmarkEnd w:id="90"/>
    </w:p>
    <w:p w14:paraId="7851919B">
      <w:pPr>
        <w:widowControl/>
        <w:autoSpaceDE w:val="0"/>
        <w:autoSpaceDN w:val="0"/>
        <w:ind w:firstLine="420" w:firstLineChars="200"/>
        <w:rPr>
          <w:rFonts w:ascii="宋体"/>
          <w:kern w:val="0"/>
          <w:szCs w:val="20"/>
          <w:lang w:val="de-DE"/>
        </w:rPr>
      </w:pPr>
      <w:r>
        <w:rPr>
          <w:rFonts w:hint="eastAsia" w:ascii="宋体"/>
          <w:kern w:val="0"/>
          <w:szCs w:val="20"/>
          <w:lang w:val="de-DE"/>
        </w:rPr>
        <w:t>将某个属性、属性的值或者属性值的一部分进行删除或者以特定的符号代替。</w:t>
      </w:r>
    </w:p>
    <w:p w14:paraId="6C4BDE98">
      <w:pPr>
        <w:pStyle w:val="288"/>
        <w:numPr>
          <w:ilvl w:val="2"/>
          <w:numId w:val="37"/>
        </w:numPr>
        <w:tabs>
          <w:tab w:val="left" w:pos="420"/>
        </w:tabs>
        <w:ind w:left="420" w:hanging="420" w:hangingChars="200"/>
        <w:rPr>
          <w:rFonts w:ascii="黑体" w:hAnsi="黑体"/>
        </w:rPr>
      </w:pPr>
      <w:bookmarkStart w:id="91" w:name="_Toc166436427"/>
      <w:r>
        <w:rPr>
          <w:rFonts w:hint="eastAsia" w:ascii="黑体" w:hAnsi="黑体"/>
        </w:rPr>
        <w:br w:type="textWrapping"/>
      </w:r>
      <w:r>
        <w:rPr>
          <w:rFonts w:hint="eastAsia" w:ascii="黑体" w:hAnsi="黑体"/>
        </w:rPr>
        <w:t>解耦和置换 anatomization and permutation</w:t>
      </w:r>
      <w:bookmarkEnd w:id="91"/>
      <w:r>
        <w:rPr>
          <w:rFonts w:hint="eastAsia" w:ascii="黑体" w:hAnsi="黑体"/>
        </w:rPr>
        <w:t xml:space="preserve"> </w:t>
      </w:r>
    </w:p>
    <w:p w14:paraId="35A74DA7">
      <w:pPr>
        <w:widowControl/>
        <w:autoSpaceDE w:val="0"/>
        <w:autoSpaceDN w:val="0"/>
        <w:ind w:firstLine="420" w:firstLineChars="200"/>
        <w:rPr>
          <w:rFonts w:ascii="宋体"/>
          <w:kern w:val="0"/>
          <w:szCs w:val="20"/>
        </w:rPr>
      </w:pPr>
      <w:r>
        <w:rPr>
          <w:rFonts w:hint="eastAsia" w:ascii="宋体"/>
          <w:kern w:val="0"/>
          <w:szCs w:val="20"/>
        </w:rPr>
        <w:t>去除准标识符和敏感属性间的关联性，而不改变准标识符或敏感属性的值。</w:t>
      </w:r>
    </w:p>
    <w:p w14:paraId="6E5AD0D0">
      <w:pPr>
        <w:pStyle w:val="288"/>
        <w:numPr>
          <w:ilvl w:val="2"/>
          <w:numId w:val="37"/>
        </w:numPr>
        <w:tabs>
          <w:tab w:val="left" w:pos="420"/>
        </w:tabs>
        <w:ind w:left="420" w:hanging="420" w:hangingChars="200"/>
        <w:rPr>
          <w:rFonts w:ascii="黑体" w:hAnsi="黑体"/>
        </w:rPr>
      </w:pPr>
      <w:bookmarkStart w:id="92" w:name="_Toc166436428"/>
      <w:r>
        <w:rPr>
          <w:rFonts w:hint="eastAsia" w:ascii="黑体" w:hAnsi="黑体"/>
        </w:rPr>
        <w:br w:type="textWrapping"/>
      </w:r>
      <w:r>
        <w:rPr>
          <w:rFonts w:hint="eastAsia" w:ascii="黑体" w:hAnsi="黑体"/>
        </w:rPr>
        <w:t>扰动　perturbation</w:t>
      </w:r>
      <w:bookmarkEnd w:id="92"/>
    </w:p>
    <w:p w14:paraId="2D09B0E7">
      <w:pPr>
        <w:widowControl/>
        <w:autoSpaceDE w:val="0"/>
        <w:autoSpaceDN w:val="0"/>
        <w:ind w:firstLine="420" w:firstLineChars="200"/>
        <w:rPr>
          <w:rFonts w:ascii="宋体"/>
          <w:kern w:val="0"/>
          <w:szCs w:val="20"/>
        </w:rPr>
      </w:pPr>
      <w:r>
        <w:rPr>
          <w:rFonts w:hint="eastAsia" w:ascii="宋体"/>
          <w:kern w:val="0"/>
          <w:szCs w:val="20"/>
        </w:rPr>
        <w:t>用合成的数据值取代原始的数据值，改变后的数据与真实数据主体失去关联性。</w:t>
      </w:r>
    </w:p>
    <w:p w14:paraId="67D452C6">
      <w:pPr>
        <w:pStyle w:val="406"/>
        <w:numPr>
          <w:ilvl w:val="0"/>
          <w:numId w:val="39"/>
        </w:numPr>
      </w:pPr>
      <w:r>
        <w:rPr>
          <w:rFonts w:hint="eastAsia"/>
        </w:rPr>
        <w:t>扰动后统计信息不发生显著改变。</w:t>
      </w:r>
    </w:p>
    <w:p w14:paraId="5778735C">
      <w:pPr>
        <w:pStyle w:val="406"/>
        <w:numPr>
          <w:ilvl w:val="0"/>
          <w:numId w:val="39"/>
        </w:numPr>
      </w:pPr>
      <w:r>
        <w:rPr>
          <w:rFonts w:hint="eastAsia"/>
        </w:rPr>
        <w:t>扰动化技术包括加噪、数据交换、合成数据生成等。</w:t>
      </w:r>
    </w:p>
    <w:p w14:paraId="42EE6CCF">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差分隐私　differential privacy</w:t>
      </w:r>
    </w:p>
    <w:p w14:paraId="4FD1199D">
      <w:pPr>
        <w:pStyle w:val="272"/>
      </w:pPr>
      <w:r>
        <w:rPr>
          <w:rFonts w:hint="eastAsia"/>
        </w:rPr>
        <w:t>通过扰动的方式对个人隐私信息进行脱敏，且扰动添加的噪声类型和参数满足差分的数学定义。</w:t>
      </w:r>
    </w:p>
    <w:p w14:paraId="23D082C4">
      <w:pPr>
        <w:pStyle w:val="288"/>
        <w:numPr>
          <w:ilvl w:val="2"/>
          <w:numId w:val="37"/>
        </w:numPr>
        <w:tabs>
          <w:tab w:val="left" w:pos="420"/>
        </w:tabs>
        <w:ind w:left="420" w:hanging="420" w:hangingChars="200"/>
        <w:rPr>
          <w:rFonts w:ascii="黑体" w:hAnsi="黑体"/>
        </w:rPr>
      </w:pPr>
      <w:r>
        <w:rPr>
          <w:rFonts w:hint="eastAsia" w:ascii="黑体" w:hAnsi="黑体"/>
        </w:rPr>
        <w:br w:type="textWrapping"/>
      </w:r>
      <w:bookmarkStart w:id="93" w:name="_Toc166436451"/>
      <w:r>
        <w:rPr>
          <w:rFonts w:hint="eastAsia" w:ascii="黑体" w:hAnsi="黑体"/>
        </w:rPr>
        <w:t>信息偏差性　information deviation</w:t>
      </w:r>
      <w:bookmarkEnd w:id="93"/>
    </w:p>
    <w:p w14:paraId="11354DCE">
      <w:pPr>
        <w:pStyle w:val="272"/>
      </w:pPr>
      <w:r>
        <w:rPr>
          <w:rFonts w:hint="eastAsia"/>
        </w:rPr>
        <w:t>脱敏算法执行前后，可观测到的脱敏信息与原始信息的偏差。</w:t>
      </w:r>
    </w:p>
    <w:p w14:paraId="44F69EF1">
      <w:pPr>
        <w:pStyle w:val="288"/>
        <w:numPr>
          <w:ilvl w:val="2"/>
          <w:numId w:val="37"/>
        </w:numPr>
        <w:tabs>
          <w:tab w:val="left" w:pos="420"/>
        </w:tabs>
        <w:ind w:left="420" w:hanging="420" w:hangingChars="200"/>
        <w:rPr>
          <w:rFonts w:ascii="黑体" w:hAnsi="黑体"/>
        </w:rPr>
      </w:pPr>
      <w:bookmarkStart w:id="94" w:name="_Toc166436452"/>
      <w:r>
        <w:rPr>
          <w:rFonts w:hint="eastAsia" w:ascii="黑体" w:hAnsi="黑体"/>
        </w:rPr>
        <w:br w:type="textWrapping"/>
      </w:r>
      <w:r>
        <w:rPr>
          <w:rFonts w:hint="eastAsia" w:ascii="黑体" w:hAnsi="黑体"/>
        </w:rPr>
        <w:t>信息损失性　information loss</w:t>
      </w:r>
      <w:bookmarkEnd w:id="94"/>
    </w:p>
    <w:p w14:paraId="443C6BDA">
      <w:pPr>
        <w:pStyle w:val="272"/>
      </w:pPr>
      <w:r>
        <w:rPr>
          <w:rFonts w:hint="eastAsia"/>
        </w:rPr>
        <w:t>信息被不可逆的脱敏算法作用后，隐私信息损失部分对可用性的影响程度。</w:t>
      </w:r>
    </w:p>
    <w:p w14:paraId="5D025E0A">
      <w:pPr>
        <w:pStyle w:val="288"/>
        <w:numPr>
          <w:ilvl w:val="2"/>
          <w:numId w:val="37"/>
        </w:numPr>
        <w:tabs>
          <w:tab w:val="left" w:pos="420"/>
        </w:tabs>
        <w:ind w:left="420" w:hanging="420" w:hangingChars="200"/>
        <w:rPr>
          <w:rFonts w:ascii="黑体" w:hAnsi="黑体"/>
        </w:rPr>
      </w:pPr>
      <w:bookmarkStart w:id="95" w:name="_Toc166436457"/>
      <w:r>
        <w:rPr>
          <w:rFonts w:hint="eastAsia" w:ascii="黑体" w:hAnsi="黑体"/>
        </w:rPr>
        <w:br w:type="textWrapping"/>
      </w:r>
      <w:r>
        <w:rPr>
          <w:rFonts w:hint="eastAsia" w:ascii="黑体" w:hAnsi="黑体"/>
        </w:rPr>
        <w:t>信息可用性　information usability</w:t>
      </w:r>
      <w:bookmarkEnd w:id="95"/>
    </w:p>
    <w:p w14:paraId="3EDE894A">
      <w:pPr>
        <w:pStyle w:val="272"/>
        <w:rPr>
          <w:lang w:val="de-DE"/>
        </w:rPr>
      </w:pPr>
      <w:r>
        <w:rPr>
          <w:rFonts w:hint="eastAsia"/>
        </w:rPr>
        <w:t>在隐私信息</w:t>
      </w:r>
      <w:r>
        <w:rPr>
          <w:rFonts w:hint="eastAsia"/>
          <w:lang w:val="de-DE"/>
        </w:rPr>
        <w:t>进行脱敏操作后，</w:t>
      </w:r>
      <w:r>
        <w:rPr>
          <w:rFonts w:hint="eastAsia"/>
        </w:rPr>
        <w:t>其</w:t>
      </w:r>
      <w:r>
        <w:rPr>
          <w:rFonts w:hint="eastAsia"/>
          <w:lang w:val="de-DE"/>
        </w:rPr>
        <w:t>在具体应用场景中的可用程度。</w:t>
      </w:r>
    </w:p>
    <w:p w14:paraId="7A45A5AF">
      <w:pPr>
        <w:pStyle w:val="288"/>
        <w:numPr>
          <w:ilvl w:val="2"/>
          <w:numId w:val="37"/>
        </w:numPr>
        <w:tabs>
          <w:tab w:val="left" w:pos="420"/>
        </w:tabs>
        <w:ind w:left="420" w:hanging="420" w:hangingChars="200"/>
        <w:rPr>
          <w:rFonts w:ascii="黑体" w:hAnsi="黑体"/>
        </w:rPr>
      </w:pPr>
      <w:bookmarkStart w:id="96" w:name="_Toc166436458"/>
      <w:r>
        <w:rPr>
          <w:rFonts w:hint="eastAsia" w:ascii="黑体" w:hAnsi="黑体"/>
        </w:rPr>
        <w:br w:type="textWrapping"/>
      </w:r>
      <w:r>
        <w:rPr>
          <w:rFonts w:hint="eastAsia" w:ascii="黑体" w:hAnsi="黑体"/>
        </w:rPr>
        <w:t>复杂性　complexity</w:t>
      </w:r>
      <w:bookmarkEnd w:id="96"/>
    </w:p>
    <w:p w14:paraId="5CF2278E">
      <w:pPr>
        <w:pStyle w:val="272"/>
      </w:pPr>
      <w:r>
        <w:rPr>
          <w:rFonts w:hint="eastAsia"/>
        </w:rPr>
        <w:t>执行脱敏算法所需要的资源开销。</w:t>
      </w:r>
    </w:p>
    <w:p w14:paraId="50E44B86">
      <w:pPr>
        <w:pStyle w:val="294"/>
        <w:numPr>
          <w:ilvl w:val="0"/>
          <w:numId w:val="38"/>
        </w:numPr>
      </w:pPr>
      <w:r>
        <w:rPr>
          <w:rFonts w:hint="eastAsia"/>
        </w:rPr>
        <w:t>复杂性通常用时间开销和空间开销表示。</w:t>
      </w:r>
    </w:p>
    <w:p w14:paraId="613244D2">
      <w:pPr>
        <w:pStyle w:val="288"/>
        <w:numPr>
          <w:ilvl w:val="2"/>
          <w:numId w:val="37"/>
        </w:numPr>
        <w:tabs>
          <w:tab w:val="left" w:pos="420"/>
        </w:tabs>
        <w:ind w:left="420" w:hanging="420" w:hangingChars="200"/>
        <w:rPr>
          <w:rFonts w:ascii="黑体" w:hAnsi="黑体"/>
        </w:rPr>
      </w:pPr>
      <w:bookmarkStart w:id="97" w:name="_Toc166436459"/>
      <w:r>
        <w:rPr>
          <w:rFonts w:hint="eastAsia" w:ascii="黑体" w:hAnsi="黑体"/>
        </w:rPr>
        <w:br w:type="textWrapping"/>
      </w:r>
      <w:r>
        <w:rPr>
          <w:rFonts w:hint="eastAsia" w:ascii="黑体" w:hAnsi="黑体"/>
        </w:rPr>
        <w:t>脱敏效果评估　desensitization performance evaluation</w:t>
      </w:r>
      <w:bookmarkEnd w:id="97"/>
    </w:p>
    <w:p w14:paraId="608710C4">
      <w:pPr>
        <w:pStyle w:val="272"/>
        <w:rPr>
          <w:lang w:val="de-DE"/>
        </w:rPr>
      </w:pPr>
      <w:r>
        <w:rPr>
          <w:rFonts w:hint="eastAsia" w:hAnsi="宋体"/>
        </w:rPr>
        <w:t>隐私信息</w:t>
      </w:r>
      <w:r>
        <w:rPr>
          <w:rFonts w:hint="eastAsia"/>
          <w:lang w:val="de-DE"/>
        </w:rPr>
        <w:t>脱敏</w:t>
      </w:r>
      <w:r>
        <w:rPr>
          <w:rFonts w:hint="eastAsia"/>
        </w:rPr>
        <w:t>后，在可逆性、信息偏差性、信息损失性</w:t>
      </w:r>
      <w:r>
        <w:rPr>
          <w:rFonts w:hint="eastAsia"/>
          <w:lang w:val="de-DE"/>
        </w:rPr>
        <w:t>等方面进行量化评估。</w:t>
      </w:r>
    </w:p>
    <w:p w14:paraId="389B1F4C">
      <w:pPr>
        <w:pStyle w:val="288"/>
        <w:numPr>
          <w:ilvl w:val="2"/>
          <w:numId w:val="37"/>
        </w:numPr>
        <w:tabs>
          <w:tab w:val="left" w:pos="420"/>
        </w:tabs>
        <w:ind w:left="420" w:hanging="420" w:hangingChars="200"/>
        <w:rPr>
          <w:rFonts w:ascii="黑体" w:hAnsi="黑体"/>
        </w:rPr>
      </w:pPr>
      <w:bookmarkStart w:id="98" w:name="_Toc166436481"/>
      <w:r>
        <w:rPr>
          <w:rFonts w:hint="eastAsia" w:ascii="黑体" w:hAnsi="黑体"/>
        </w:rPr>
        <w:br w:type="textWrapping"/>
      </w:r>
      <w:r>
        <w:rPr>
          <w:rFonts w:hint="eastAsia" w:ascii="黑体" w:hAnsi="黑体"/>
        </w:rPr>
        <w:t>删除　delete</w:t>
      </w:r>
      <w:bookmarkEnd w:id="98"/>
    </w:p>
    <w:p w14:paraId="320C7642">
      <w:pPr>
        <w:pStyle w:val="272"/>
      </w:pPr>
      <w:bookmarkStart w:id="99" w:name="_Toc166436462"/>
      <w:bookmarkEnd w:id="99"/>
      <w:bookmarkStart w:id="100" w:name="_Toc166434234"/>
      <w:bookmarkEnd w:id="100"/>
      <w:bookmarkStart w:id="101" w:name="_Toc166434236"/>
      <w:bookmarkEnd w:id="101"/>
      <w:bookmarkStart w:id="102" w:name="_Toc166436461"/>
      <w:bookmarkEnd w:id="102"/>
      <w:bookmarkStart w:id="103" w:name="_Toc166434235"/>
      <w:bookmarkEnd w:id="103"/>
      <w:bookmarkStart w:id="104" w:name="_Toc166436460"/>
      <w:bookmarkEnd w:id="104"/>
      <w:r>
        <w:rPr>
          <w:rFonts w:hint="eastAsia"/>
        </w:rPr>
        <w:t>采用访问控制、消磁、物理破坏等技术或措施，使得信息不能被访问或被检索，或者从物理上去除了信息并保障其难以恢复的操作。</w:t>
      </w:r>
    </w:p>
    <w:p w14:paraId="23219F0A">
      <w:pPr>
        <w:pStyle w:val="294"/>
        <w:numPr>
          <w:ilvl w:val="0"/>
          <w:numId w:val="38"/>
        </w:numPr>
      </w:pPr>
      <w:r>
        <w:rPr>
          <w:rFonts w:hint="eastAsia"/>
        </w:rPr>
        <w:t>删除包括不能被访问或被检索、全部物理删除或部分物理删除。</w:t>
      </w:r>
    </w:p>
    <w:p w14:paraId="5BDF0D09">
      <w:pPr>
        <w:pStyle w:val="272"/>
      </w:pPr>
      <w:r>
        <w:rPr>
          <w:rFonts w:hint="eastAsia"/>
        </w:rPr>
        <w:t>[来源：GB/T 35273—2020,3.10,有修改]</w:t>
      </w:r>
    </w:p>
    <w:p w14:paraId="1703FA46">
      <w:pPr>
        <w:pStyle w:val="288"/>
        <w:numPr>
          <w:ilvl w:val="2"/>
          <w:numId w:val="37"/>
        </w:numPr>
        <w:tabs>
          <w:tab w:val="left" w:pos="420"/>
        </w:tabs>
        <w:ind w:left="420" w:hanging="420" w:hangingChars="200"/>
        <w:rPr>
          <w:rFonts w:ascii="黑体" w:hAnsi="黑体"/>
        </w:rPr>
      </w:pPr>
      <w:bookmarkStart w:id="105" w:name="_Toc19324"/>
      <w:bookmarkStart w:id="106" w:name="_Toc166436484"/>
      <w:r>
        <w:rPr>
          <w:rFonts w:hint="eastAsia" w:ascii="黑体" w:hAnsi="黑体"/>
        </w:rPr>
        <w:br w:type="textWrapping"/>
      </w:r>
      <w:r>
        <w:rPr>
          <w:rFonts w:hint="eastAsia" w:ascii="黑体" w:hAnsi="黑体"/>
        </w:rPr>
        <w:t>删除对象　deleted object</w:t>
      </w:r>
    </w:p>
    <w:p w14:paraId="0EA50768">
      <w:pPr>
        <w:pStyle w:val="272"/>
      </w:pPr>
      <w:r>
        <w:rPr>
          <w:rFonts w:hint="eastAsia"/>
        </w:rPr>
        <w:t>删除操作的客体。</w:t>
      </w:r>
    </w:p>
    <w:p w14:paraId="6C19C831">
      <w:pPr>
        <w:pStyle w:val="294"/>
        <w:numPr>
          <w:ilvl w:val="0"/>
          <w:numId w:val="38"/>
        </w:numPr>
      </w:pPr>
      <w:r>
        <w:rPr>
          <w:rFonts w:hint="eastAsia"/>
        </w:rPr>
        <w:t>删除对象包括个人信息的正本信息、副本信息、正本信息的一部分、副本信息的一部分，以及正本信息与副本信息的全部或者部分的组合。</w:t>
      </w:r>
    </w:p>
    <w:p w14:paraId="3421EE79">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删除等级　delete level</w:t>
      </w:r>
    </w:p>
    <w:p w14:paraId="14C65660">
      <w:pPr>
        <w:pStyle w:val="272"/>
        <w:rPr>
          <w:lang w:val="zh-CN"/>
        </w:rPr>
      </w:pPr>
      <w:r>
        <w:rPr>
          <w:rFonts w:hint="eastAsia"/>
          <w:lang w:val="zh-CN"/>
        </w:rPr>
        <w:t>删除对象可恢复程度和难度的量化分级。</w:t>
      </w:r>
    </w:p>
    <w:p w14:paraId="17EC601E">
      <w:pPr>
        <w:pStyle w:val="288"/>
        <w:numPr>
          <w:ilvl w:val="2"/>
          <w:numId w:val="37"/>
        </w:numPr>
        <w:tabs>
          <w:tab w:val="left" w:pos="420"/>
        </w:tabs>
        <w:ind w:left="420" w:hanging="420" w:hangingChars="200"/>
        <w:rPr>
          <w:rFonts w:ascii="黑体" w:hAnsi="黑体"/>
        </w:rPr>
      </w:pPr>
      <w:r>
        <w:rPr>
          <w:rFonts w:hint="eastAsia" w:ascii="黑体" w:hAnsi="黑体"/>
        </w:rPr>
        <w:br w:type="textWrapping"/>
      </w:r>
      <w:r>
        <w:rPr>
          <w:rFonts w:hint="eastAsia" w:ascii="黑体" w:hAnsi="黑体"/>
        </w:rPr>
        <w:t>数据恢复　data recovery</w:t>
      </w:r>
      <w:bookmarkEnd w:id="105"/>
      <w:bookmarkEnd w:id="106"/>
    </w:p>
    <w:p w14:paraId="46BBBF48">
      <w:pPr>
        <w:pStyle w:val="272"/>
      </w:pPr>
      <w:r>
        <w:rPr>
          <w:rFonts w:hint="eastAsia"/>
        </w:rPr>
        <w:t>通过专门的计算机软件、硬件等技术，从删除对象曾经留存过的存储系统或介质中，重建被删除对象的过程。</w:t>
      </w:r>
      <w:bookmarkEnd w:id="45"/>
    </w:p>
    <w:p w14:paraId="2C922101">
      <w:pPr>
        <w:pStyle w:val="276"/>
      </w:pPr>
      <w:bookmarkStart w:id="107" w:name="_Toc172280870"/>
      <w:r>
        <w:rPr>
          <w:rFonts w:hint="eastAsia"/>
        </w:rPr>
        <w:t>缩略语</w:t>
      </w:r>
      <w:bookmarkEnd w:id="107"/>
    </w:p>
    <w:p w14:paraId="35E6987F">
      <w:pPr>
        <w:pStyle w:val="272"/>
      </w:pPr>
      <w:r>
        <w:rPr>
          <w:rFonts w:hint="eastAsia"/>
        </w:rPr>
        <w:t>下列缩略语</w:t>
      </w:r>
      <w:r>
        <w:t>适用于</w:t>
      </w:r>
      <w:r>
        <w:rPr>
          <w:rFonts w:hint="eastAsia"/>
        </w:rPr>
        <w:t>本文件。</w:t>
      </w:r>
    </w:p>
    <w:p w14:paraId="6A7516FA">
      <w:pPr>
        <w:pStyle w:val="272"/>
      </w:pPr>
      <w:r>
        <w:t>JSON</w:t>
      </w:r>
      <w:r>
        <w:rPr>
          <w:rFonts w:hint="eastAsia"/>
        </w:rPr>
        <w:t>：JavaScript 对象标记(JavaScript Object Notation)</w:t>
      </w:r>
    </w:p>
    <w:p w14:paraId="28FF62AB">
      <w:pPr>
        <w:pStyle w:val="272"/>
      </w:pPr>
      <w:r>
        <w:t>RAID</w:t>
      </w:r>
      <w:r>
        <w:rPr>
          <w:rFonts w:hint="eastAsia"/>
        </w:rPr>
        <w:t>：独立磁盘冗余阵列(</w:t>
      </w:r>
      <w:r>
        <w:t>Redundant Array of Independent Disks)</w:t>
      </w:r>
    </w:p>
    <w:p w14:paraId="00065543">
      <w:pPr>
        <w:pStyle w:val="272"/>
      </w:pPr>
      <w:r>
        <w:t>XML</w:t>
      </w:r>
      <w:r>
        <w:rPr>
          <w:rFonts w:hint="eastAsia"/>
        </w:rPr>
        <w:t>：可扩展标记语言(Extensible Markup Language)</w:t>
      </w:r>
    </w:p>
    <w:p w14:paraId="33815030">
      <w:pPr>
        <w:pStyle w:val="276"/>
      </w:pPr>
      <w:bookmarkStart w:id="108" w:name="_Toc172280871"/>
      <w:bookmarkStart w:id="109" w:name="_Toc171947822"/>
      <w:bookmarkStart w:id="110" w:name="_Toc170638766"/>
      <w:r>
        <w:rPr>
          <w:rFonts w:hint="eastAsia"/>
        </w:rPr>
        <w:t>概述</w:t>
      </w:r>
      <w:bookmarkEnd w:id="108"/>
      <w:bookmarkEnd w:id="109"/>
      <w:bookmarkEnd w:id="110"/>
    </w:p>
    <w:p w14:paraId="02EE12E3">
      <w:pPr>
        <w:pStyle w:val="277"/>
      </w:pPr>
      <w:bookmarkStart w:id="111" w:name="_Toc171947823"/>
      <w:bookmarkStart w:id="112" w:name="_Toc172280872"/>
      <w:bookmarkStart w:id="113" w:name="_Toc170638767"/>
      <w:r>
        <w:rPr>
          <w:rFonts w:hint="eastAsia"/>
        </w:rPr>
        <w:t>隐私计算概述</w:t>
      </w:r>
      <w:bookmarkEnd w:id="111"/>
      <w:bookmarkEnd w:id="112"/>
      <w:bookmarkEnd w:id="113"/>
    </w:p>
    <w:p w14:paraId="025752F4">
      <w:pPr>
        <w:pStyle w:val="271"/>
        <w:numPr>
          <w:ilvl w:val="3"/>
          <w:numId w:val="37"/>
        </w:numPr>
      </w:pPr>
      <w:bookmarkStart w:id="114" w:name="_Toc170638234"/>
      <w:bookmarkStart w:id="115" w:name="_Toc170465206"/>
      <w:bookmarkStart w:id="116" w:name="_Toc170459664"/>
      <w:bookmarkStart w:id="117" w:name="_Toc170478261"/>
      <w:bookmarkStart w:id="118" w:name="_Toc170638768"/>
      <w:r>
        <w:rPr>
          <w:rFonts w:hint="eastAsia"/>
        </w:rPr>
        <w:t>隐私保护的目标</w:t>
      </w:r>
      <w:bookmarkEnd w:id="114"/>
      <w:bookmarkEnd w:id="115"/>
      <w:bookmarkEnd w:id="116"/>
      <w:bookmarkEnd w:id="117"/>
      <w:bookmarkEnd w:id="118"/>
    </w:p>
    <w:p w14:paraId="6B160EDE">
      <w:pPr>
        <w:pStyle w:val="272"/>
      </w:pPr>
      <w:r>
        <w:rPr>
          <w:rFonts w:hint="eastAsia"/>
        </w:rPr>
        <w:t>针对隐私信息在多个信息系统中跨系统泛在传播，隐私保护需要达到如下主要目标:</w:t>
      </w:r>
    </w:p>
    <w:p w14:paraId="48453C46">
      <w:pPr>
        <w:pStyle w:val="272"/>
        <w:numPr>
          <w:ilvl w:val="0"/>
          <w:numId w:val="40"/>
        </w:numPr>
        <w:ind w:left="840" w:leftChars="200" w:hanging="420" w:hangingChars="200"/>
      </w:pPr>
      <w:r>
        <w:rPr>
          <w:rFonts w:hint="eastAsia"/>
        </w:rPr>
        <w:t>支持一致性保护，隐私信息在多个信息系统保存时，如果由于某个信息系统保护能力偏弱而导致隐私泄露，其他信息系统隐私保护能力再强也失去意义，即存在短板效应和一损俱损的风险，需要解决多信息系统对隐私信息的一致性保护问题；</w:t>
      </w:r>
    </w:p>
    <w:p w14:paraId="232635B4">
      <w:pPr>
        <w:pStyle w:val="272"/>
        <w:numPr>
          <w:ilvl w:val="0"/>
          <w:numId w:val="40"/>
        </w:numPr>
        <w:ind w:left="840" w:leftChars="200" w:hanging="420" w:hangingChars="200"/>
      </w:pPr>
      <w:r>
        <w:rPr>
          <w:rFonts w:hint="eastAsia"/>
        </w:rPr>
        <w:t>支持多次传播的延伸控制，由于缺乏隐私信息传播的延伸控制，隐私信息接收者对隐私信息不受控的后续传播将导致隐私泄露，需要通过延伸控制机制解决多次传播场景下的受控利用；</w:t>
      </w:r>
    </w:p>
    <w:p w14:paraId="0BE6FFED">
      <w:pPr>
        <w:pStyle w:val="272"/>
        <w:numPr>
          <w:ilvl w:val="0"/>
          <w:numId w:val="40"/>
        </w:numPr>
        <w:ind w:left="840" w:leftChars="200" w:hanging="420" w:hangingChars="200"/>
      </w:pPr>
      <w:r>
        <w:rPr>
          <w:rFonts w:hint="eastAsia"/>
        </w:rPr>
        <w:t>支持隐私按需保护，数据流通利用时需要对同一隐私信息在同一应用场景的不同阶段、或者同一隐私信息在不同应用场景下实现脱敏粒度差异的按需脱敏或按需删除，解决隐私信息利用与隐私保护的平衡问题；</w:t>
      </w:r>
    </w:p>
    <w:p w14:paraId="37F4F027">
      <w:pPr>
        <w:pStyle w:val="272"/>
        <w:numPr>
          <w:ilvl w:val="0"/>
          <w:numId w:val="40"/>
        </w:numPr>
        <w:ind w:left="840" w:leftChars="200" w:hanging="420" w:hangingChars="200"/>
        <w:rPr>
          <w:szCs w:val="22"/>
        </w:rPr>
      </w:pPr>
      <w:r>
        <w:rPr>
          <w:rFonts w:hint="eastAsia"/>
          <w:szCs w:val="22"/>
        </w:rPr>
        <w:t>提供基于保护效果评估反馈的保护自适应改进机制，隐私脱敏和隐私挖掘博弈相长，信息系统通过保护效果评估可以动态调整脱敏算法及其参数选择、删除方法选择，在满足隐私信息利用的前提下提高隐私保护强度，减少因隐私延伸控制策略长期不变而导致的隐私泄露。</w:t>
      </w:r>
    </w:p>
    <w:p w14:paraId="4AADE5D4">
      <w:pPr>
        <w:pStyle w:val="271"/>
        <w:numPr>
          <w:ilvl w:val="3"/>
          <w:numId w:val="37"/>
        </w:numPr>
      </w:pPr>
      <w:bookmarkStart w:id="119" w:name="_Toc170638235"/>
      <w:bookmarkStart w:id="120" w:name="_Toc170638769"/>
      <w:bookmarkStart w:id="121" w:name="_Toc170459665"/>
      <w:bookmarkStart w:id="122" w:name="_Toc170465207"/>
      <w:bookmarkStart w:id="123" w:name="_Toc170478262"/>
      <w:r>
        <w:rPr>
          <w:rFonts w:hint="eastAsia"/>
        </w:rPr>
        <w:t>隐私计算的参与者</w:t>
      </w:r>
      <w:bookmarkEnd w:id="119"/>
      <w:bookmarkEnd w:id="120"/>
      <w:bookmarkEnd w:id="121"/>
      <w:bookmarkEnd w:id="122"/>
      <w:bookmarkEnd w:id="123"/>
    </w:p>
    <w:p w14:paraId="0C56D1CE">
      <w:pPr>
        <w:pStyle w:val="272"/>
      </w:pPr>
      <w:r>
        <w:rPr>
          <w:rFonts w:hint="eastAsia"/>
        </w:rPr>
        <w:t>隐私计算的参与者包括:隐私信息所有者、隐私信息提供者、隐私信息发布者、隐私信息接收者、隐私信息转发者、隐私信息使用者、隐私信息收集者、隐私信息删除者、隐私信息处理者。隐私信息的参与者在隐私计算的过程中对隐私信息进行相应的隐私信息处理。</w:t>
      </w:r>
    </w:p>
    <w:p w14:paraId="79BB92DD">
      <w:pPr>
        <w:pStyle w:val="271"/>
        <w:numPr>
          <w:ilvl w:val="3"/>
          <w:numId w:val="37"/>
        </w:numPr>
      </w:pPr>
      <w:bookmarkStart w:id="124" w:name="_Toc170465208"/>
      <w:bookmarkStart w:id="125" w:name="_Toc170459666"/>
      <w:bookmarkStart w:id="126" w:name="_Toc170638770"/>
      <w:bookmarkStart w:id="127" w:name="_Toc170478263"/>
      <w:bookmarkStart w:id="128" w:name="_Toc170638236"/>
      <w:r>
        <w:rPr>
          <w:rFonts w:hint="eastAsia"/>
        </w:rPr>
        <w:t>隐私计算与特性</w:t>
      </w:r>
      <w:bookmarkEnd w:id="124"/>
      <w:bookmarkEnd w:id="125"/>
      <w:bookmarkEnd w:id="126"/>
      <w:bookmarkEnd w:id="127"/>
      <w:bookmarkEnd w:id="128"/>
    </w:p>
    <w:p w14:paraId="2BFE2FFB">
      <w:pPr>
        <w:pStyle w:val="272"/>
      </w:pPr>
      <w:r>
        <w:rPr>
          <w:rFonts w:hint="eastAsia"/>
        </w:rPr>
        <w:t>数据安全是指在数据泛在流通与共享过程的各个环节中防止用户对数据进行非授权获取或篡改，数据接收方获得的内容与数据提供方提供的内容完全相同，具体的技术包括机密计算、密文计算、安全多方计算等。隐私保护是指隐私信息在泛在流通与共享过程中进行脱敏，使信息产生偏差或去标识化，接收方获得的隐私信息少于提供方的原始隐私信息，具体的技术包括隐私计算和传统的隐私保护技术（如差分隐私、k-匿名等）。</w:t>
      </w:r>
    </w:p>
    <w:p w14:paraId="51838839">
      <w:pPr>
        <w:pStyle w:val="272"/>
      </w:pPr>
      <w:r>
        <w:rPr>
          <w:rFonts w:hint="eastAsia"/>
        </w:rPr>
        <w:t>隐私计算是面向隐私信息全生命周期保护的计算理论、方法和技术，涵盖了收集、脱敏、存储、使用、交换、删除、存证与取证等全生命周期过程的所有计算操作，包含处理视频、音频、图像、图形、文字、数值、泛在网络行为信息流等信息时，对所涉及的隐私信息进行描述、度量、控制、脱敏、使用、评价、删除等处理。</w:t>
      </w:r>
    </w:p>
    <w:p w14:paraId="3E0DDCF5">
      <w:pPr>
        <w:pStyle w:val="272"/>
      </w:pPr>
      <w:r>
        <w:rPr>
          <w:rFonts w:hint="eastAsia"/>
        </w:rPr>
        <w:t>隐私计算是对隐私信息跨系统的全生命周期保护、全生命周期的延伸控制和按需保护，如差分隐私、k-匿名等传统的隐私保护技术属于隐私计算范畴，在隐私计算全生命周期的使用环节可以采用数据安全技术防止隐私信息的非法获取或篡改，如实现隐私集合求交、隐匿信息查询、联合统计分析、联合建模等部分功能。隐私计算的主要特性包括：</w:t>
      </w:r>
    </w:p>
    <w:p w14:paraId="34E26C36">
      <w:pPr>
        <w:pStyle w:val="272"/>
        <w:numPr>
          <w:ilvl w:val="0"/>
          <w:numId w:val="41"/>
        </w:numPr>
        <w:ind w:left="840" w:leftChars="200" w:hanging="420" w:hangingChars="200"/>
        <w:rPr>
          <w:szCs w:val="22"/>
        </w:rPr>
      </w:pPr>
      <w:r>
        <w:rPr>
          <w:rFonts w:hint="eastAsia"/>
          <w:szCs w:val="22"/>
        </w:rPr>
        <w:t>延伸控制性，是指数据泛在流通与共享过程中全生命周期各环节隐私操作的迭代控制、控制策略的动态调整、控制策略的可控传递、控制策略执行的可信审计。控制策略由隐私信息所有者的控制意图、当前隐私信息使用者的控制约束和隐私信息接收者的防护能力生成，同一隐私信息的控制策略在全生命周期中是差异化的，且随流转过程同步传递不可分割。迭代控制通过泛在流转过程中的差异化控制策略生成与传递机制实现，贯穿于隐私信息从收集到删除的不同流通与共享过程中；</w:t>
      </w:r>
    </w:p>
    <w:p w14:paraId="6D5E18D9">
      <w:pPr>
        <w:pStyle w:val="272"/>
        <w:numPr>
          <w:ilvl w:val="0"/>
          <w:numId w:val="41"/>
        </w:numPr>
        <w:ind w:left="840" w:leftChars="200" w:hanging="420" w:hangingChars="200"/>
        <w:rPr>
          <w:szCs w:val="22"/>
        </w:rPr>
      </w:pPr>
      <w:r>
        <w:rPr>
          <w:rFonts w:hint="eastAsia"/>
          <w:szCs w:val="22"/>
        </w:rPr>
        <w:t>原子性，在对隐私信息的描述过程中，隐私信息分量是隐私信息的最小度量单位，具有原子性；在此基础上，多个隐私信息分量可以组合构成新的隐私属性，对这些组合属性的敏感性也可进行度量；</w:t>
      </w:r>
    </w:p>
    <w:p w14:paraId="4DEC36BD">
      <w:pPr>
        <w:pStyle w:val="272"/>
        <w:numPr>
          <w:ilvl w:val="0"/>
          <w:numId w:val="41"/>
        </w:numPr>
        <w:ind w:left="840" w:leftChars="200" w:hanging="420" w:hangingChars="200"/>
        <w:rPr>
          <w:szCs w:val="22"/>
        </w:rPr>
      </w:pPr>
      <w:r>
        <w:rPr>
          <w:rFonts w:hint="eastAsia"/>
          <w:szCs w:val="22"/>
        </w:rPr>
        <w:t>一致性，对相同的隐私信息，不同算法的隐私保护效果都使隐私信息分量的敏感度趋近于零，即不同算法在不同系统中隐私保护的趋势保持一致性。例如算法A和B在系统1中的保护能力评估是A&gt;B，在映射到系统2中的评估体系时应仍然保持A&gt;B；</w:t>
      </w:r>
    </w:p>
    <w:p w14:paraId="79FCDEE0">
      <w:pPr>
        <w:pStyle w:val="272"/>
        <w:numPr>
          <w:ilvl w:val="0"/>
          <w:numId w:val="41"/>
        </w:numPr>
        <w:ind w:left="840" w:leftChars="200" w:hanging="420" w:hangingChars="200"/>
        <w:rPr>
          <w:szCs w:val="22"/>
        </w:rPr>
      </w:pPr>
      <w:r>
        <w:rPr>
          <w:rFonts w:hint="eastAsia"/>
          <w:szCs w:val="22"/>
        </w:rPr>
        <w:t>顺序性，隐私保护算法中所有操作必须按照设计的顺序执行，部分操作的顺序不同可能导致隐私保护的效果不同；</w:t>
      </w:r>
    </w:p>
    <w:p w14:paraId="74FF3EFE">
      <w:pPr>
        <w:pStyle w:val="272"/>
        <w:numPr>
          <w:ilvl w:val="0"/>
          <w:numId w:val="41"/>
        </w:numPr>
        <w:ind w:left="840" w:leftChars="200" w:hanging="420" w:hangingChars="200"/>
        <w:rPr>
          <w:szCs w:val="22"/>
        </w:rPr>
      </w:pPr>
      <w:r>
        <w:rPr>
          <w:rFonts w:hint="eastAsia"/>
          <w:szCs w:val="22"/>
        </w:rPr>
        <w:t>不可逆性，隐私计算中使用的脱敏算法对隐私信息的处理应是不可逆的，接收方获得的隐私信息少于提供方的原始隐私信息，且无法通过技术手段从脱敏信息中复原原始隐私信息中缺失的部分。</w:t>
      </w:r>
    </w:p>
    <w:p w14:paraId="7F208DC8">
      <w:pPr>
        <w:pStyle w:val="277"/>
        <w:numPr>
          <w:ilvl w:val="2"/>
          <w:numId w:val="37"/>
        </w:numPr>
      </w:pPr>
      <w:bookmarkStart w:id="129" w:name="_Toc172280873"/>
      <w:bookmarkStart w:id="130" w:name="_Toc171947824"/>
      <w:bookmarkStart w:id="131" w:name="_Toc170638771"/>
      <w:bookmarkStart w:id="132" w:name="_Hlk170359336"/>
      <w:r>
        <w:rPr>
          <w:rFonts w:hint="eastAsia"/>
        </w:rPr>
        <w:t>隐私信息全生命期过程的计算操作</w:t>
      </w:r>
      <w:bookmarkEnd w:id="129"/>
      <w:bookmarkEnd w:id="130"/>
      <w:bookmarkEnd w:id="131"/>
    </w:p>
    <w:bookmarkEnd w:id="132"/>
    <w:p w14:paraId="1EEC2712">
      <w:pPr>
        <w:pStyle w:val="272"/>
      </w:pPr>
      <w:r>
        <w:rPr>
          <w:rFonts w:hint="eastAsia"/>
        </w:rPr>
        <w:t>隐私信息全生命周期过程的计算操作如图1所示，包括收集、脱敏、存储、使用、交换、删除、存证与取证等，这些操作在多个信息系统之间不同的业务流程组合可以涵盖大多数隐私信息全生命周期的操作过程。典型的流程示例如下：</w:t>
      </w:r>
    </w:p>
    <w:p w14:paraId="64A3A94A">
      <w:pPr>
        <w:pStyle w:val="272"/>
        <w:numPr>
          <w:ilvl w:val="0"/>
          <w:numId w:val="42"/>
        </w:numPr>
        <w:ind w:left="840" w:leftChars="200" w:hanging="420" w:hangingChars="200"/>
        <w:rPr>
          <w:szCs w:val="22"/>
        </w:rPr>
      </w:pPr>
      <w:r>
        <w:rPr>
          <w:rFonts w:hint="eastAsia"/>
          <w:szCs w:val="22"/>
        </w:rPr>
        <w:t>脱敏后发布，隐私信息收集后进行存储，随后对隐私信息进行脱敏，通过交换操作进行发布（流程为</w:t>
      </w:r>
      <w:r>
        <w:rPr>
          <w:rFonts w:ascii="Cambria Math" w:hAnsi="Cambria Math"/>
          <w:szCs w:val="22"/>
        </w:rPr>
        <w:t>③</w:t>
      </w:r>
      <w:r>
        <w:rPr>
          <w:rFonts w:hint="eastAsia"/>
          <w:szCs w:val="22"/>
        </w:rPr>
        <w:t>-</w:t>
      </w:r>
      <w:r>
        <w:rPr>
          <w:rFonts w:ascii="Cambria Math" w:hAnsi="Cambria Math"/>
          <w:szCs w:val="22"/>
        </w:rPr>
        <w:t>④</w:t>
      </w:r>
      <w:r>
        <w:rPr>
          <w:rFonts w:hint="eastAsia"/>
          <w:szCs w:val="22"/>
        </w:rPr>
        <w:t>-</w:t>
      </w:r>
      <w:r>
        <w:rPr>
          <w:rFonts w:ascii="Cambria Math" w:hAnsi="Cambria Math"/>
          <w:szCs w:val="22"/>
        </w:rPr>
        <w:t>⑩</w:t>
      </w:r>
      <w:r>
        <w:rPr>
          <w:rFonts w:hint="eastAsia"/>
          <w:szCs w:val="22"/>
        </w:rPr>
        <w:t>）；</w:t>
      </w:r>
    </w:p>
    <w:p w14:paraId="75A26E38">
      <w:pPr>
        <w:pStyle w:val="272"/>
        <w:numPr>
          <w:ilvl w:val="0"/>
          <w:numId w:val="42"/>
        </w:numPr>
        <w:ind w:left="840" w:leftChars="200" w:hanging="420" w:hangingChars="200"/>
        <w:rPr>
          <w:szCs w:val="22"/>
        </w:rPr>
      </w:pPr>
      <w:r>
        <w:rPr>
          <w:rFonts w:hint="eastAsia"/>
          <w:szCs w:val="22"/>
        </w:rPr>
        <w:t>出行场景，对出行服务过程中收集的隐私信息先存储和使用，服务结束后，应对隐私信息进行脱敏后存储，再进行后续使用（流程为</w:t>
      </w:r>
      <w:r>
        <w:rPr>
          <w:rFonts w:ascii="Cambria Math" w:hAnsi="Cambria Math"/>
          <w:szCs w:val="22"/>
        </w:rPr>
        <w:t>③</w:t>
      </w:r>
      <w:r>
        <w:rPr>
          <w:rFonts w:hint="eastAsia"/>
          <w:szCs w:val="22"/>
        </w:rPr>
        <w:t>-</w:t>
      </w:r>
      <w:r>
        <w:rPr>
          <w:rFonts w:ascii="Cambria Math" w:hAnsi="Cambria Math"/>
          <w:szCs w:val="22"/>
        </w:rPr>
        <w:t>⑥</w:t>
      </w:r>
      <w:r>
        <w:rPr>
          <w:rFonts w:hint="eastAsia"/>
          <w:szCs w:val="22"/>
        </w:rPr>
        <w:t>-</w:t>
      </w:r>
      <w:r>
        <w:rPr>
          <w:rFonts w:ascii="Cambria Math" w:hAnsi="Cambria Math"/>
          <w:szCs w:val="22"/>
        </w:rPr>
        <w:t>⑦</w:t>
      </w:r>
      <w:r>
        <w:rPr>
          <w:rFonts w:hint="eastAsia"/>
          <w:szCs w:val="22"/>
        </w:rPr>
        <w:t>-</w:t>
      </w:r>
      <w:r>
        <w:rPr>
          <w:rFonts w:ascii="Cambria Math" w:hAnsi="Cambria Math"/>
          <w:szCs w:val="22"/>
        </w:rPr>
        <w:t>④</w:t>
      </w:r>
      <w:r>
        <w:rPr>
          <w:rFonts w:hint="eastAsia"/>
          <w:szCs w:val="22"/>
        </w:rPr>
        <w:t>-</w:t>
      </w:r>
      <w:r>
        <w:rPr>
          <w:rFonts w:ascii="Cambria Math" w:hAnsi="Cambria Math"/>
          <w:szCs w:val="22"/>
        </w:rPr>
        <w:t>⑤</w:t>
      </w:r>
      <w:r>
        <w:rPr>
          <w:rFonts w:hint="eastAsia"/>
          <w:szCs w:val="22"/>
        </w:rPr>
        <w:t>），具体示例见附录C；</w:t>
      </w:r>
    </w:p>
    <w:p w14:paraId="736B6196">
      <w:pPr>
        <w:pStyle w:val="272"/>
        <w:numPr>
          <w:ilvl w:val="0"/>
          <w:numId w:val="42"/>
        </w:numPr>
        <w:ind w:left="840" w:leftChars="200" w:hanging="420" w:hangingChars="200"/>
        <w:rPr>
          <w:szCs w:val="22"/>
        </w:rPr>
      </w:pPr>
      <w:r>
        <w:rPr>
          <w:rFonts w:hint="eastAsia"/>
          <w:szCs w:val="22"/>
        </w:rPr>
        <w:t>数据流通交易，收集的隐私信息先通过去标识化等脱敏操作，然后通过交换操作进行交易，此后根据购买方的出价再进行脱敏，进行二次或者部分交易（流程为</w:t>
      </w:r>
      <w:r>
        <w:rPr>
          <w:rFonts w:ascii="Cambria Math" w:hAnsi="Cambria Math"/>
          <w:szCs w:val="22"/>
        </w:rPr>
        <w:t>①</w:t>
      </w:r>
      <w:r>
        <w:rPr>
          <w:rFonts w:hint="eastAsia"/>
          <w:szCs w:val="22"/>
        </w:rPr>
        <w:t>或</w:t>
      </w:r>
      <w:r>
        <w:rPr>
          <w:rFonts w:ascii="Cambria Math" w:hAnsi="Cambria Math"/>
          <w:szCs w:val="22"/>
        </w:rPr>
        <w:t>④</w:t>
      </w:r>
      <w:r>
        <w:rPr>
          <w:rFonts w:hint="eastAsia"/>
          <w:szCs w:val="22"/>
        </w:rPr>
        <w:t>-</w:t>
      </w:r>
      <w:r>
        <w:rPr>
          <w:rFonts w:ascii="Cambria Math" w:hAnsi="Cambria Math"/>
          <w:szCs w:val="22"/>
        </w:rPr>
        <w:t>⑤</w:t>
      </w:r>
      <w:r>
        <w:rPr>
          <w:rFonts w:hint="eastAsia"/>
          <w:szCs w:val="22"/>
        </w:rPr>
        <w:t>-</w:t>
      </w:r>
      <w:r>
        <w:rPr>
          <w:rFonts w:ascii="Cambria Math" w:hAnsi="Cambria Math" w:cs="Cambria Math"/>
          <w:szCs w:val="22"/>
        </w:rPr>
        <w:t>⑪</w:t>
      </w:r>
      <w:r>
        <w:rPr>
          <w:rFonts w:hint="eastAsia"/>
          <w:szCs w:val="22"/>
        </w:rPr>
        <w:t>-</w:t>
      </w:r>
      <w:r>
        <w:rPr>
          <w:rFonts w:ascii="Cambria Math" w:hAnsi="Cambria Math" w:cs="Cambria Math"/>
          <w:szCs w:val="22"/>
        </w:rPr>
        <w:t>⑫</w:t>
      </w:r>
      <w:r>
        <w:rPr>
          <w:rFonts w:hint="eastAsia"/>
          <w:szCs w:val="22"/>
        </w:rPr>
        <w:t>-</w:t>
      </w:r>
      <w:r>
        <w:rPr>
          <w:rFonts w:ascii="Cambria Math" w:hAnsi="Cambria Math" w:cs="Cambria Math"/>
          <w:szCs w:val="22"/>
        </w:rPr>
        <w:t>⑬</w:t>
      </w:r>
      <w:r>
        <w:rPr>
          <w:rFonts w:hint="eastAsia"/>
          <w:szCs w:val="22"/>
        </w:rPr>
        <w:t>-</w:t>
      </w:r>
      <w:r>
        <w:rPr>
          <w:rFonts w:ascii="Cambria Math" w:hAnsi="Cambria Math" w:cs="Cambria Math"/>
          <w:szCs w:val="22"/>
        </w:rPr>
        <w:t>⑯</w:t>
      </w:r>
      <w:r>
        <w:rPr>
          <w:rFonts w:hint="eastAsia" w:hAnsi="宋体" w:cs="宋体"/>
          <w:szCs w:val="22"/>
        </w:rPr>
        <w:t>）；</w:t>
      </w:r>
    </w:p>
    <w:p w14:paraId="798BB272">
      <w:pPr>
        <w:pStyle w:val="272"/>
        <w:numPr>
          <w:ilvl w:val="0"/>
          <w:numId w:val="42"/>
        </w:numPr>
        <w:ind w:left="840" w:leftChars="200" w:hanging="420" w:hangingChars="200"/>
        <w:rPr>
          <w:szCs w:val="22"/>
        </w:rPr>
      </w:pPr>
      <w:r>
        <w:rPr>
          <w:rFonts w:hint="eastAsia"/>
          <w:szCs w:val="22"/>
        </w:rPr>
        <w:t>差分统计，对收集的敏感属性值等隐私信息先利用泛化、本地化差分隐私等机制脱敏后再进行存储（流程为</w:t>
      </w:r>
      <w:r>
        <w:rPr>
          <w:rFonts w:ascii="Cambria Math" w:hAnsi="Cambria Math"/>
          <w:szCs w:val="22"/>
        </w:rPr>
        <w:t>①</w:t>
      </w:r>
      <w:r>
        <w:rPr>
          <w:rFonts w:hint="eastAsia"/>
          <w:szCs w:val="22"/>
        </w:rPr>
        <w:t>-</w:t>
      </w:r>
      <w:r>
        <w:rPr>
          <w:rFonts w:ascii="Cambria Math" w:hAnsi="Cambria Math"/>
          <w:szCs w:val="22"/>
        </w:rPr>
        <w:t>②</w:t>
      </w:r>
      <w:r>
        <w:rPr>
          <w:rFonts w:hint="eastAsia"/>
          <w:szCs w:val="22"/>
        </w:rPr>
        <w:t>-</w:t>
      </w:r>
      <w:r>
        <w:rPr>
          <w:rFonts w:ascii="Cambria Math" w:hAnsi="Cambria Math"/>
          <w:szCs w:val="22"/>
        </w:rPr>
        <w:t>③</w:t>
      </w:r>
      <w:r>
        <w:rPr>
          <w:rFonts w:hint="eastAsia"/>
          <w:szCs w:val="22"/>
        </w:rPr>
        <w:t>）；</w:t>
      </w:r>
    </w:p>
    <w:p w14:paraId="7F49C276">
      <w:pPr>
        <w:pStyle w:val="272"/>
        <w:numPr>
          <w:ilvl w:val="0"/>
          <w:numId w:val="42"/>
        </w:numPr>
        <w:ind w:left="840" w:leftChars="200" w:hanging="420" w:hangingChars="200"/>
        <w:jc w:val="left"/>
        <w:rPr>
          <w:szCs w:val="22"/>
        </w:rPr>
      </w:pPr>
      <w:r>
        <w:rPr>
          <w:rFonts w:hint="eastAsia"/>
          <w:szCs w:val="22"/>
        </w:rPr>
        <w:t>信用计算，隐私信息所有者存储的隐私信息先交换到隐私信息接收者，隐私信息接收者对其进行脱敏后进行使用，并发布计算结果（流程为</w:t>
      </w:r>
      <w:r>
        <w:rPr>
          <w:rFonts w:ascii="Cambria Math" w:hAnsi="Cambria Math" w:cs="Cambria Math"/>
          <w:szCs w:val="22"/>
        </w:rPr>
        <w:t>⑪</w:t>
      </w:r>
      <w:r>
        <w:rPr>
          <w:rFonts w:hint="eastAsia"/>
          <w:szCs w:val="22"/>
        </w:rPr>
        <w:t>-</w:t>
      </w:r>
      <w:r>
        <w:rPr>
          <w:rFonts w:ascii="Cambria Math" w:hAnsi="Cambria Math" w:cs="Cambria Math"/>
          <w:szCs w:val="22"/>
        </w:rPr>
        <w:t>⑫</w:t>
      </w:r>
      <w:r>
        <w:rPr>
          <w:rFonts w:hint="eastAsia"/>
          <w:szCs w:val="22"/>
        </w:rPr>
        <w:t>-</w:t>
      </w:r>
      <w:r>
        <w:rPr>
          <w:rFonts w:ascii="Cambria Math" w:hAnsi="Cambria Math" w:cs="Cambria Math"/>
          <w:szCs w:val="22"/>
        </w:rPr>
        <w:t>⑬</w:t>
      </w:r>
      <w:r>
        <w:rPr>
          <w:rFonts w:hint="eastAsia"/>
          <w:szCs w:val="22"/>
        </w:rPr>
        <w:t>-</w:t>
      </w:r>
      <w:r>
        <w:rPr>
          <w:rFonts w:ascii="Cambria Math" w:hAnsi="Cambria Math" w:cs="Cambria Math"/>
          <w:szCs w:val="22"/>
        </w:rPr>
        <w:t>⑭</w:t>
      </w:r>
      <w:r>
        <w:rPr>
          <w:rFonts w:hint="eastAsia"/>
          <w:szCs w:val="22"/>
        </w:rPr>
        <w:t>-</w:t>
      </w:r>
      <w:r>
        <w:rPr>
          <w:rFonts w:ascii="Cambria Math" w:hAnsi="Cambria Math" w:cs="Cambria Math"/>
          <w:szCs w:val="22"/>
        </w:rPr>
        <w:t>⑮</w:t>
      </w:r>
      <w:r>
        <w:rPr>
          <w:rFonts w:hint="eastAsia" w:hAnsi="宋体" w:cs="宋体"/>
          <w:szCs w:val="22"/>
        </w:rPr>
        <w:t>），具体示例见附录</w:t>
      </w:r>
      <w:r>
        <w:rPr>
          <w:rFonts w:hint="eastAsia"/>
          <w:szCs w:val="22"/>
        </w:rPr>
        <w:t>D。</w:t>
      </w:r>
    </w:p>
    <w:p w14:paraId="4BB61D3B">
      <w:pPr>
        <w:pStyle w:val="272"/>
        <w:ind w:firstLine="0" w:firstLineChars="0"/>
        <w:jc w:val="center"/>
      </w:pPr>
      <w:r>
        <w:drawing>
          <wp:inline distT="0" distB="0" distL="0" distR="0">
            <wp:extent cx="5939790" cy="1762760"/>
            <wp:effectExtent l="0" t="0" r="0" b="8890"/>
            <wp:docPr id="18821884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88477"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39790" cy="1762760"/>
                    </a:xfrm>
                    <a:prstGeom prst="rect">
                      <a:avLst/>
                    </a:prstGeom>
                    <a:noFill/>
                    <a:ln>
                      <a:noFill/>
                    </a:ln>
                  </pic:spPr>
                </pic:pic>
              </a:graphicData>
            </a:graphic>
          </wp:inline>
        </w:drawing>
      </w:r>
    </w:p>
    <w:p w14:paraId="248C3DB9">
      <w:pPr>
        <w:pStyle w:val="403"/>
        <w:numPr>
          <w:ilvl w:val="0"/>
          <w:numId w:val="43"/>
        </w:numPr>
        <w:spacing w:before="156" w:after="156"/>
      </w:pPr>
      <w:r>
        <w:rPr>
          <w:rFonts w:hint="eastAsia"/>
        </w:rPr>
        <w:t>隐私信息全生命周期过程的计算操作</w:t>
      </w:r>
    </w:p>
    <w:p w14:paraId="33289B27">
      <w:pPr>
        <w:numPr>
          <w:ilvl w:val="3"/>
          <w:numId w:val="37"/>
        </w:numPr>
        <w:spacing w:before="156" w:beforeLines="50" w:after="156" w:afterLines="50"/>
        <w:outlineLvl w:val="2"/>
        <w:rPr>
          <w:rFonts w:ascii="黑体" w:eastAsia="黑体"/>
          <w:kern w:val="0"/>
          <w:szCs w:val="20"/>
        </w:rPr>
      </w:pPr>
      <w:bookmarkStart w:id="133" w:name="_Hlk168834460"/>
      <w:r>
        <w:rPr>
          <w:rFonts w:hint="eastAsia" w:ascii="黑体" w:eastAsia="黑体"/>
          <w:kern w:val="0"/>
          <w:szCs w:val="20"/>
        </w:rPr>
        <w:t>收集</w:t>
      </w:r>
    </w:p>
    <w:p w14:paraId="37D502CE">
      <w:pPr>
        <w:pStyle w:val="272"/>
      </w:pPr>
      <w:r>
        <w:rPr>
          <w:rFonts w:hint="eastAsia"/>
        </w:rPr>
        <w:t>收集操作从隐私信息所有者或者隐私信息提供者采集包含隐私信息的原始信息，收集涉及的功能包括：</w:t>
      </w:r>
    </w:p>
    <w:p w14:paraId="01D9784C">
      <w:pPr>
        <w:pStyle w:val="272"/>
        <w:numPr>
          <w:ilvl w:val="0"/>
          <w:numId w:val="44"/>
        </w:numPr>
        <w:ind w:left="840" w:leftChars="200" w:hanging="420" w:hangingChars="200"/>
        <w:rPr>
          <w:szCs w:val="22"/>
        </w:rPr>
      </w:pPr>
      <w:r>
        <w:rPr>
          <w:rFonts w:hint="eastAsia"/>
          <w:szCs w:val="22"/>
        </w:rPr>
        <w:t>针对标识符、准标识符、其他敏感属性值采用关键词匹配、自然语言理解、图像理解等技术措施在多模态数据中感知识别隐私信息，提取不同信息模态敏感属性；</w:t>
      </w:r>
    </w:p>
    <w:p w14:paraId="0EE8BED3">
      <w:pPr>
        <w:pStyle w:val="272"/>
        <w:numPr>
          <w:ilvl w:val="0"/>
          <w:numId w:val="44"/>
        </w:numPr>
        <w:ind w:left="840" w:leftChars="200" w:hanging="420" w:hangingChars="200"/>
        <w:rPr>
          <w:szCs w:val="22"/>
        </w:rPr>
      </w:pPr>
      <w:r>
        <w:rPr>
          <w:rFonts w:hint="eastAsia"/>
          <w:szCs w:val="22"/>
        </w:rPr>
        <w:t>识别出的隐私信息采用多元组形式表示,可包含：隐私信息向量、约束条件集合、隐私属性向量、广义定位信息集合、审计控制信息集合、传播控制操作集合等；</w:t>
      </w:r>
    </w:p>
    <w:p w14:paraId="11ED5583">
      <w:pPr>
        <w:pStyle w:val="272"/>
        <w:numPr>
          <w:ilvl w:val="0"/>
          <w:numId w:val="44"/>
        </w:numPr>
        <w:ind w:left="840" w:leftChars="200" w:hanging="420" w:hangingChars="200"/>
        <w:rPr>
          <w:szCs w:val="22"/>
        </w:rPr>
      </w:pPr>
      <w:r>
        <w:rPr>
          <w:rFonts w:hint="eastAsia"/>
          <w:szCs w:val="22"/>
        </w:rPr>
        <w:t>部分场景的收集操作会直接对隐私信息采用泛化、差分隐私等处理后作为收集操作的输出。</w:t>
      </w:r>
    </w:p>
    <w:p w14:paraId="58F63730">
      <w:pPr>
        <w:numPr>
          <w:ilvl w:val="3"/>
          <w:numId w:val="37"/>
        </w:numPr>
        <w:spacing w:before="156" w:beforeLines="50" w:after="156" w:afterLines="50"/>
        <w:outlineLvl w:val="2"/>
        <w:rPr>
          <w:rFonts w:ascii="黑体" w:eastAsia="黑体"/>
          <w:kern w:val="0"/>
          <w:szCs w:val="20"/>
        </w:rPr>
      </w:pPr>
      <w:r>
        <w:rPr>
          <w:rFonts w:hint="eastAsia" w:ascii="黑体" w:eastAsia="黑体"/>
          <w:kern w:val="0"/>
          <w:szCs w:val="20"/>
        </w:rPr>
        <w:t>存储</w:t>
      </w:r>
    </w:p>
    <w:p w14:paraId="78B019E8">
      <w:pPr>
        <w:pStyle w:val="272"/>
      </w:pPr>
      <w:r>
        <w:rPr>
          <w:rFonts w:hint="eastAsia"/>
        </w:rPr>
        <w:t>存储操作对收集到的隐私信息进行安全高效存储，或对收集的隐私信息进行脱敏后存储，存储涉及的功能包括：</w:t>
      </w:r>
    </w:p>
    <w:p w14:paraId="16DEC196">
      <w:pPr>
        <w:pStyle w:val="272"/>
        <w:numPr>
          <w:ilvl w:val="0"/>
          <w:numId w:val="45"/>
        </w:numPr>
        <w:ind w:left="840" w:leftChars="200" w:hanging="420" w:hangingChars="200"/>
        <w:rPr>
          <w:szCs w:val="22"/>
        </w:rPr>
      </w:pPr>
      <w:r>
        <w:rPr>
          <w:rFonts w:hint="eastAsia"/>
          <w:szCs w:val="22"/>
        </w:rPr>
        <w:t>机密性，采用加密技术和访问控制技术，防止存储的隐私信息不被非法获取；</w:t>
      </w:r>
    </w:p>
    <w:p w14:paraId="7AB544F8">
      <w:pPr>
        <w:pStyle w:val="272"/>
        <w:numPr>
          <w:ilvl w:val="0"/>
          <w:numId w:val="45"/>
        </w:numPr>
        <w:ind w:left="840" w:leftChars="200" w:hanging="420" w:hangingChars="200"/>
        <w:rPr>
          <w:szCs w:val="22"/>
        </w:rPr>
      </w:pPr>
      <w:r>
        <w:rPr>
          <w:rFonts w:hint="eastAsia"/>
          <w:szCs w:val="22"/>
        </w:rPr>
        <w:t>可靠性，采用数据冗余存储技术保证存储隐私信息的可用性；</w:t>
      </w:r>
    </w:p>
    <w:p w14:paraId="1723E81D">
      <w:pPr>
        <w:pStyle w:val="272"/>
        <w:numPr>
          <w:ilvl w:val="0"/>
          <w:numId w:val="45"/>
        </w:numPr>
        <w:ind w:left="840" w:leftChars="200" w:hanging="420" w:hangingChars="200"/>
        <w:rPr>
          <w:szCs w:val="22"/>
        </w:rPr>
      </w:pPr>
      <w:r>
        <w:rPr>
          <w:rFonts w:hint="eastAsia"/>
          <w:szCs w:val="22"/>
        </w:rPr>
        <w:t>完整性，采用密码校验或数据签名技术保证存储隐私信息不可篡改。</w:t>
      </w:r>
    </w:p>
    <w:p w14:paraId="578C6A7D">
      <w:pPr>
        <w:numPr>
          <w:ilvl w:val="3"/>
          <w:numId w:val="37"/>
        </w:numPr>
        <w:spacing w:before="156" w:beforeLines="50" w:after="156" w:afterLines="50"/>
        <w:outlineLvl w:val="2"/>
        <w:rPr>
          <w:rFonts w:ascii="黑体" w:eastAsia="黑体"/>
          <w:kern w:val="0"/>
          <w:szCs w:val="20"/>
        </w:rPr>
      </w:pPr>
      <w:r>
        <w:rPr>
          <w:rFonts w:hint="eastAsia" w:ascii="黑体" w:eastAsia="黑体"/>
          <w:kern w:val="0"/>
          <w:szCs w:val="20"/>
        </w:rPr>
        <w:t>使用</w:t>
      </w:r>
    </w:p>
    <w:p w14:paraId="40DE21F7">
      <w:pPr>
        <w:pStyle w:val="272"/>
      </w:pPr>
      <w:r>
        <w:rPr>
          <w:rFonts w:hint="eastAsia"/>
        </w:rPr>
        <w:t>使用操作包括《个人信息保护法》规定的个人信息处理中的使用和加工，采用的技术包括但不限于数据挖掘与分析、安全计算、模型训练等，使用涉及的功能包括：</w:t>
      </w:r>
    </w:p>
    <w:p w14:paraId="24C9D16E">
      <w:pPr>
        <w:pStyle w:val="272"/>
        <w:numPr>
          <w:ilvl w:val="0"/>
          <w:numId w:val="46"/>
        </w:numPr>
        <w:ind w:left="840" w:leftChars="200" w:hanging="420" w:hangingChars="200"/>
        <w:rPr>
          <w:szCs w:val="22"/>
        </w:rPr>
      </w:pPr>
      <w:r>
        <w:rPr>
          <w:rFonts w:hint="eastAsia"/>
          <w:szCs w:val="22"/>
        </w:rPr>
        <w:t>可以对未脱敏的隐私信息进行使用操作，也可以对存储的隐私信息经过脱敏后再进行使用操作；</w:t>
      </w:r>
    </w:p>
    <w:p w14:paraId="6D74347C">
      <w:pPr>
        <w:pStyle w:val="272"/>
        <w:numPr>
          <w:ilvl w:val="0"/>
          <w:numId w:val="46"/>
        </w:numPr>
        <w:ind w:left="840" w:leftChars="200" w:hanging="420" w:hangingChars="200"/>
        <w:rPr>
          <w:szCs w:val="22"/>
        </w:rPr>
      </w:pPr>
      <w:r>
        <w:rPr>
          <w:rFonts w:hint="eastAsia"/>
          <w:szCs w:val="22"/>
        </w:rPr>
        <w:t>在使用环节中也可以使用机密计算、安全多方计算、同态加密等数据安全技术保护隐私信息不被泄露。</w:t>
      </w:r>
    </w:p>
    <w:p w14:paraId="1E0E7CD9">
      <w:pPr>
        <w:numPr>
          <w:ilvl w:val="3"/>
          <w:numId w:val="37"/>
        </w:numPr>
        <w:spacing w:before="156" w:beforeLines="50" w:after="156" w:afterLines="50"/>
        <w:outlineLvl w:val="2"/>
        <w:rPr>
          <w:rFonts w:ascii="黑体" w:eastAsia="黑体"/>
          <w:kern w:val="0"/>
          <w:szCs w:val="20"/>
        </w:rPr>
      </w:pPr>
      <w:r>
        <w:rPr>
          <w:rFonts w:hint="eastAsia" w:ascii="黑体" w:eastAsia="黑体"/>
          <w:kern w:val="0"/>
          <w:szCs w:val="20"/>
        </w:rPr>
        <w:t>交换</w:t>
      </w:r>
    </w:p>
    <w:p w14:paraId="2CD857CA">
      <w:pPr>
        <w:pStyle w:val="272"/>
      </w:pPr>
      <w:r>
        <w:rPr>
          <w:rFonts w:hint="eastAsia"/>
        </w:rPr>
        <w:t>交换操作包括《个人信息保护法》规定的个人信息处理中的传输、提供和公开，是隐私信息在不同隐私信息处理者之间受控流通与共享的过程。交换操作可以具有以下安全机制：</w:t>
      </w:r>
    </w:p>
    <w:p w14:paraId="02ACBAC0">
      <w:pPr>
        <w:pStyle w:val="272"/>
        <w:numPr>
          <w:ilvl w:val="0"/>
          <w:numId w:val="47"/>
        </w:numPr>
        <w:ind w:left="840" w:leftChars="200" w:hanging="420" w:hangingChars="200"/>
        <w:rPr>
          <w:szCs w:val="22"/>
        </w:rPr>
      </w:pPr>
      <w:r>
        <w:rPr>
          <w:rFonts w:hint="eastAsia"/>
          <w:szCs w:val="22"/>
        </w:rPr>
        <w:t>认证性，隐私信息交换时进行单向或双向身份认证；</w:t>
      </w:r>
    </w:p>
    <w:p w14:paraId="37850D79">
      <w:pPr>
        <w:pStyle w:val="272"/>
        <w:numPr>
          <w:ilvl w:val="0"/>
          <w:numId w:val="47"/>
        </w:numPr>
        <w:ind w:left="840" w:leftChars="200" w:hanging="420" w:hangingChars="200"/>
        <w:rPr>
          <w:szCs w:val="22"/>
        </w:rPr>
      </w:pPr>
      <w:r>
        <w:rPr>
          <w:rFonts w:hint="eastAsia"/>
          <w:szCs w:val="22"/>
        </w:rPr>
        <w:t>机密性，采用加密技术保障交换的信息不被非法获取；</w:t>
      </w:r>
    </w:p>
    <w:p w14:paraId="0662BDDE">
      <w:pPr>
        <w:pStyle w:val="272"/>
        <w:numPr>
          <w:ilvl w:val="0"/>
          <w:numId w:val="47"/>
        </w:numPr>
        <w:ind w:left="840" w:leftChars="200" w:hanging="420" w:hangingChars="200"/>
        <w:rPr>
          <w:szCs w:val="22"/>
        </w:rPr>
      </w:pPr>
      <w:r>
        <w:rPr>
          <w:rFonts w:hint="eastAsia"/>
          <w:szCs w:val="22"/>
        </w:rPr>
        <w:t>完整性，采用密码校验技术保障交换的信息不被篡改；</w:t>
      </w:r>
    </w:p>
    <w:p w14:paraId="151AAF24">
      <w:pPr>
        <w:pStyle w:val="272"/>
        <w:numPr>
          <w:ilvl w:val="0"/>
          <w:numId w:val="47"/>
        </w:numPr>
        <w:ind w:left="840" w:leftChars="200" w:hanging="420" w:hangingChars="200"/>
        <w:rPr>
          <w:szCs w:val="22"/>
        </w:rPr>
      </w:pPr>
      <w:r>
        <w:rPr>
          <w:rFonts w:hint="eastAsia"/>
          <w:szCs w:val="22"/>
        </w:rPr>
        <w:t>来源真实性，采用数据签名等技术保障信息来源的不可否认性；</w:t>
      </w:r>
    </w:p>
    <w:p w14:paraId="3BBDA21D">
      <w:pPr>
        <w:pStyle w:val="272"/>
        <w:numPr>
          <w:ilvl w:val="0"/>
          <w:numId w:val="47"/>
        </w:numPr>
        <w:ind w:left="840" w:leftChars="200" w:hanging="420" w:hangingChars="200"/>
        <w:rPr>
          <w:szCs w:val="22"/>
        </w:rPr>
      </w:pPr>
      <w:r>
        <w:rPr>
          <w:rFonts w:hint="eastAsia"/>
          <w:szCs w:val="22"/>
        </w:rPr>
        <w:t>延伸控制性，将延伸控制策略与隐私信息绑定传输，控制隐私信息接收者对隐私信息的后续处理。</w:t>
      </w:r>
    </w:p>
    <w:p w14:paraId="7501088D">
      <w:pPr>
        <w:numPr>
          <w:ilvl w:val="3"/>
          <w:numId w:val="37"/>
        </w:numPr>
        <w:spacing w:before="156" w:beforeLines="50" w:after="156" w:afterLines="50"/>
        <w:outlineLvl w:val="2"/>
        <w:rPr>
          <w:rFonts w:ascii="黑体" w:eastAsia="黑体"/>
          <w:kern w:val="0"/>
          <w:szCs w:val="20"/>
        </w:rPr>
      </w:pPr>
      <w:r>
        <w:rPr>
          <w:rFonts w:hint="eastAsia" w:ascii="黑体" w:eastAsia="黑体"/>
          <w:kern w:val="0"/>
          <w:szCs w:val="20"/>
        </w:rPr>
        <w:t>删除</w:t>
      </w:r>
    </w:p>
    <w:p w14:paraId="43B1F724">
      <w:pPr>
        <w:pStyle w:val="272"/>
      </w:pPr>
      <w:r>
        <w:rPr>
          <w:rFonts w:hint="eastAsia"/>
        </w:rPr>
        <w:t>删除操作是隐私信息使用者当隐私信息在业务不需要继续使用时，遵循及时、透明的原则，安全可信且完备地删除存储的隐私信息。删除涉及的功能包括：</w:t>
      </w:r>
    </w:p>
    <w:p w14:paraId="1D630BE7">
      <w:pPr>
        <w:pStyle w:val="272"/>
        <w:numPr>
          <w:ilvl w:val="0"/>
          <w:numId w:val="48"/>
        </w:numPr>
        <w:ind w:left="840" w:leftChars="200" w:hanging="420" w:hangingChars="200"/>
        <w:rPr>
          <w:szCs w:val="22"/>
        </w:rPr>
      </w:pPr>
      <w:r>
        <w:rPr>
          <w:rFonts w:hint="eastAsia"/>
          <w:szCs w:val="22"/>
        </w:rPr>
        <w:t>按需删除，根据隐私信息所有者或前序的隐私信息提供者的删除要求，执行删除操作，履行删除义务；</w:t>
      </w:r>
    </w:p>
    <w:p w14:paraId="7BCC5F00">
      <w:pPr>
        <w:pStyle w:val="272"/>
        <w:numPr>
          <w:ilvl w:val="0"/>
          <w:numId w:val="48"/>
        </w:numPr>
        <w:ind w:left="840" w:leftChars="200" w:hanging="420" w:hangingChars="200"/>
        <w:rPr>
          <w:szCs w:val="22"/>
        </w:rPr>
      </w:pPr>
      <w:r>
        <w:rPr>
          <w:rFonts w:hint="eastAsia"/>
          <w:szCs w:val="22"/>
        </w:rPr>
        <w:t>自动删除，根据隐私信息所有者或前序的隐私信息提供者对隐私信息保留时限的要求，实现到期后，隐私信息使用者自动执行删除操作，履行删除义务；</w:t>
      </w:r>
    </w:p>
    <w:p w14:paraId="6A658B24">
      <w:pPr>
        <w:pStyle w:val="272"/>
        <w:numPr>
          <w:ilvl w:val="0"/>
          <w:numId w:val="48"/>
        </w:numPr>
        <w:ind w:left="840" w:leftChars="200" w:hanging="420" w:hangingChars="200"/>
        <w:rPr>
          <w:szCs w:val="22"/>
        </w:rPr>
      </w:pPr>
      <w:r>
        <w:rPr>
          <w:rFonts w:hint="eastAsia"/>
          <w:szCs w:val="22"/>
        </w:rPr>
        <w:t>删除操作，根据延伸控制策略的约束，选择删除方法，保证删除后信息不能通过技术手段恢复数据，或使删除后的信息不能被访问和不能被检索。</w:t>
      </w:r>
    </w:p>
    <w:p w14:paraId="5497E5EE">
      <w:pPr>
        <w:numPr>
          <w:ilvl w:val="3"/>
          <w:numId w:val="37"/>
        </w:numPr>
        <w:spacing w:before="156" w:beforeLines="50" w:after="156" w:afterLines="50"/>
        <w:outlineLvl w:val="2"/>
        <w:rPr>
          <w:rFonts w:ascii="黑体" w:eastAsia="黑体"/>
          <w:kern w:val="0"/>
          <w:szCs w:val="20"/>
        </w:rPr>
      </w:pPr>
      <w:r>
        <w:rPr>
          <w:rFonts w:hint="eastAsia" w:ascii="黑体" w:eastAsia="黑体"/>
          <w:kern w:val="0"/>
          <w:szCs w:val="20"/>
        </w:rPr>
        <w:t>脱敏</w:t>
      </w:r>
    </w:p>
    <w:p w14:paraId="625CACFB">
      <w:pPr>
        <w:pStyle w:val="272"/>
      </w:pPr>
      <w:r>
        <w:rPr>
          <w:rFonts w:hint="eastAsia"/>
        </w:rPr>
        <w:t>脱敏操作依据脱敏延伸控制策略对隐私信息选择适当的脱敏算法及其参数进行按需脱敏，脱敏涉及的功能包括：</w:t>
      </w:r>
    </w:p>
    <w:p w14:paraId="18650B01">
      <w:pPr>
        <w:pStyle w:val="272"/>
        <w:numPr>
          <w:ilvl w:val="0"/>
          <w:numId w:val="49"/>
        </w:numPr>
        <w:ind w:left="840" w:leftChars="200" w:hanging="420" w:hangingChars="200"/>
        <w:rPr>
          <w:szCs w:val="22"/>
        </w:rPr>
      </w:pPr>
      <w:r>
        <w:rPr>
          <w:rFonts w:hint="eastAsia"/>
          <w:szCs w:val="22"/>
        </w:rPr>
        <w:t>脱敏操作包括脱敏算法能力评估、脱敏算法选择、脱敏效果评估；</w:t>
      </w:r>
    </w:p>
    <w:p w14:paraId="7763D577">
      <w:pPr>
        <w:pStyle w:val="272"/>
        <w:numPr>
          <w:ilvl w:val="0"/>
          <w:numId w:val="49"/>
        </w:numPr>
        <w:ind w:left="840" w:leftChars="200" w:hanging="420" w:hangingChars="200"/>
        <w:rPr>
          <w:szCs w:val="22"/>
        </w:rPr>
      </w:pPr>
      <w:r>
        <w:rPr>
          <w:rFonts w:hint="eastAsia"/>
          <w:szCs w:val="22"/>
        </w:rPr>
        <w:t>对脱敏后的信息如果没有达到预期脱敏效果，则调整算法及其参数进行迭代脱敏，直至达到预期脱敏效果。</w:t>
      </w:r>
    </w:p>
    <w:p w14:paraId="4C012799">
      <w:pPr>
        <w:numPr>
          <w:ilvl w:val="3"/>
          <w:numId w:val="37"/>
        </w:numPr>
        <w:spacing w:before="156" w:beforeLines="50" w:after="156" w:afterLines="50"/>
        <w:outlineLvl w:val="2"/>
        <w:rPr>
          <w:rFonts w:ascii="黑体" w:eastAsia="黑体"/>
          <w:kern w:val="0"/>
          <w:szCs w:val="20"/>
        </w:rPr>
      </w:pPr>
      <w:r>
        <w:rPr>
          <w:rFonts w:hint="eastAsia" w:ascii="黑体" w:eastAsia="黑体"/>
          <w:kern w:val="0"/>
          <w:szCs w:val="20"/>
        </w:rPr>
        <w:t>存证与取证</w:t>
      </w:r>
    </w:p>
    <w:p w14:paraId="6358EBAD">
      <w:pPr>
        <w:pStyle w:val="272"/>
      </w:pPr>
      <w:r>
        <w:rPr>
          <w:rFonts w:hint="eastAsia"/>
        </w:rPr>
        <w:t>存证与取证操作对隐私信息全生命周期各种操作进行定制化的操作记录生成和存储，并响应用户的证据查询请求，返回生成的证据，支撑隐私保护合规审计、隐私侵权行为溯源与追责，存证与取证涉及的功能包括：</w:t>
      </w:r>
    </w:p>
    <w:p w14:paraId="6556368B">
      <w:pPr>
        <w:pStyle w:val="272"/>
        <w:numPr>
          <w:ilvl w:val="0"/>
          <w:numId w:val="50"/>
        </w:numPr>
        <w:ind w:left="840" w:leftChars="200" w:hanging="420" w:hangingChars="200"/>
        <w:rPr>
          <w:szCs w:val="22"/>
        </w:rPr>
      </w:pPr>
      <w:r>
        <w:rPr>
          <w:rFonts w:hint="eastAsia"/>
          <w:szCs w:val="22"/>
        </w:rPr>
        <w:t>客观完整地记录隐私信息全生命周期的各种操作行为；</w:t>
      </w:r>
    </w:p>
    <w:p w14:paraId="37776583">
      <w:pPr>
        <w:pStyle w:val="272"/>
        <w:numPr>
          <w:ilvl w:val="0"/>
          <w:numId w:val="50"/>
        </w:numPr>
        <w:ind w:left="840" w:leftChars="200" w:hanging="420" w:hangingChars="200"/>
        <w:rPr>
          <w:szCs w:val="22"/>
        </w:rPr>
      </w:pPr>
      <w:r>
        <w:rPr>
          <w:rFonts w:hint="eastAsia"/>
          <w:szCs w:val="22"/>
        </w:rPr>
        <w:t>采用密码技术保障操作日志记录的安全性；</w:t>
      </w:r>
    </w:p>
    <w:p w14:paraId="7A7E2575">
      <w:pPr>
        <w:pStyle w:val="272"/>
        <w:numPr>
          <w:ilvl w:val="0"/>
          <w:numId w:val="50"/>
        </w:numPr>
        <w:ind w:left="840" w:leftChars="200" w:hanging="420" w:hangingChars="200"/>
        <w:rPr>
          <w:szCs w:val="22"/>
        </w:rPr>
      </w:pPr>
      <w:r>
        <w:rPr>
          <w:rFonts w:hint="eastAsia"/>
          <w:szCs w:val="22"/>
        </w:rPr>
        <w:t>采用访问控制技术保障操作日志记录受控使用和响应证据服务请求。</w:t>
      </w:r>
    </w:p>
    <w:p w14:paraId="546FF5A9">
      <w:pPr>
        <w:pStyle w:val="277"/>
        <w:numPr>
          <w:ilvl w:val="2"/>
          <w:numId w:val="37"/>
        </w:numPr>
      </w:pPr>
      <w:bookmarkStart w:id="134" w:name="_Toc171947825"/>
      <w:bookmarkStart w:id="135" w:name="_Toc172280874"/>
      <w:bookmarkStart w:id="136" w:name="_Toc170638772"/>
      <w:r>
        <w:rPr>
          <w:rFonts w:hint="eastAsia"/>
        </w:rPr>
        <w:t>隐私计算技术</w:t>
      </w:r>
      <w:bookmarkEnd w:id="134"/>
      <w:bookmarkEnd w:id="135"/>
      <w:bookmarkEnd w:id="136"/>
    </w:p>
    <w:p w14:paraId="66302D7B">
      <w:pPr>
        <w:numPr>
          <w:ilvl w:val="3"/>
          <w:numId w:val="37"/>
        </w:numPr>
        <w:spacing w:before="156" w:beforeLines="50" w:after="156" w:afterLines="50"/>
        <w:outlineLvl w:val="2"/>
        <w:rPr>
          <w:rFonts w:ascii="黑体" w:eastAsia="黑体"/>
        </w:rPr>
      </w:pPr>
      <w:r>
        <w:rPr>
          <w:rFonts w:hint="eastAsia" w:ascii="黑体" w:eastAsia="黑体"/>
          <w:kern w:val="0"/>
          <w:szCs w:val="20"/>
        </w:rPr>
        <w:t>功能层次框架</w:t>
      </w:r>
    </w:p>
    <w:p w14:paraId="614DC6C3">
      <w:pPr>
        <w:pStyle w:val="272"/>
      </w:pPr>
      <w:r>
        <w:rPr>
          <w:rFonts w:hint="eastAsia"/>
        </w:rPr>
        <w:t>在隐私信息全生命周期过程的计算操作中，隐私计算包含隐私信息抽取与度量、隐私度量动态调整、隐私延伸控制、隐私按需保护、保护效果评估等技术。隐私计算技术用于支撑和实现隐私计算服务的功能，隐私计算的功能组件通过层次框架进行组织，隐私计算功能层次框架如图2所示，包括：</w:t>
      </w:r>
    </w:p>
    <w:p w14:paraId="7FCF0313">
      <w:pPr>
        <w:pStyle w:val="272"/>
        <w:numPr>
          <w:ilvl w:val="0"/>
          <w:numId w:val="51"/>
        </w:numPr>
        <w:ind w:left="840" w:leftChars="200" w:hanging="420" w:hangingChars="200"/>
        <w:rPr>
          <w:szCs w:val="22"/>
        </w:rPr>
      </w:pPr>
      <w:r>
        <w:rPr>
          <w:rFonts w:hint="eastAsia"/>
          <w:szCs w:val="22"/>
        </w:rPr>
        <w:t>用户层，用于隐私计算的各参与者执行与用户相关的管理功能,访问、使用和维护隐私计算系统；</w:t>
      </w:r>
    </w:p>
    <w:p w14:paraId="43B5E0BF">
      <w:pPr>
        <w:pStyle w:val="272"/>
        <w:numPr>
          <w:ilvl w:val="0"/>
          <w:numId w:val="51"/>
        </w:numPr>
        <w:ind w:left="840" w:leftChars="200" w:hanging="420" w:hangingChars="200"/>
        <w:rPr>
          <w:szCs w:val="22"/>
        </w:rPr>
      </w:pPr>
      <w:r>
        <w:rPr>
          <w:rFonts w:hint="eastAsia"/>
          <w:szCs w:val="22"/>
        </w:rPr>
        <w:t>服务接口层，通过调用隐私计算核心功能层的功能组件,为隐私信息应用系统提供隐私计算服务支撑；</w:t>
      </w:r>
    </w:p>
    <w:p w14:paraId="337BC825">
      <w:pPr>
        <w:pStyle w:val="272"/>
        <w:numPr>
          <w:ilvl w:val="0"/>
          <w:numId w:val="51"/>
        </w:numPr>
        <w:ind w:left="840" w:leftChars="200" w:hanging="420" w:hangingChars="200"/>
        <w:rPr>
          <w:szCs w:val="22"/>
        </w:rPr>
      </w:pPr>
      <w:r>
        <w:rPr>
          <w:rFonts w:hint="eastAsia"/>
          <w:szCs w:val="22"/>
        </w:rPr>
        <w:t>核心功能层，基于基础设施层实现隐私计算相应功能，为服务接口层提供相关功能支持服务，主要包括隐私动态度量、迭代延伸控制、隐私按需保护、保护效果评估、保护量化映射、操作全程存证等；</w:t>
      </w:r>
    </w:p>
    <w:p w14:paraId="2EB9F53B">
      <w:pPr>
        <w:pStyle w:val="272"/>
        <w:numPr>
          <w:ilvl w:val="0"/>
          <w:numId w:val="51"/>
        </w:numPr>
        <w:ind w:left="840" w:leftChars="200" w:hanging="420" w:hangingChars="200"/>
        <w:rPr>
          <w:szCs w:val="22"/>
        </w:rPr>
      </w:pPr>
      <w:r>
        <w:rPr>
          <w:rFonts w:hint="eastAsia"/>
          <w:szCs w:val="22"/>
        </w:rPr>
        <w:t>基础设施层，提供隐私计算系统正常运行所需要的硬件设备之上的运行环境和基础组件，包括网络、计算和存储等；</w:t>
      </w:r>
    </w:p>
    <w:p w14:paraId="2F019E58">
      <w:pPr>
        <w:pStyle w:val="272"/>
        <w:numPr>
          <w:ilvl w:val="0"/>
          <w:numId w:val="51"/>
        </w:numPr>
        <w:ind w:left="840" w:leftChars="200" w:hanging="420" w:hangingChars="200"/>
        <w:rPr>
          <w:szCs w:val="22"/>
        </w:rPr>
      </w:pPr>
      <w:r>
        <w:rPr>
          <w:rFonts w:hint="eastAsia"/>
          <w:szCs w:val="22"/>
        </w:rPr>
        <w:t>跨层功能，提供跨越多个层次的功能组件,包括监管、操作全程存证、审计等。</w:t>
      </w:r>
    </w:p>
    <w:p w14:paraId="6C245B80">
      <w:pPr>
        <w:widowControl/>
        <w:autoSpaceDE w:val="0"/>
        <w:autoSpaceDN w:val="0"/>
        <w:jc w:val="center"/>
        <w:rPr>
          <w:rFonts w:ascii="宋体"/>
          <w:kern w:val="0"/>
          <w:szCs w:val="20"/>
        </w:rPr>
      </w:pPr>
      <w:r>
        <w:rPr>
          <w:rFonts w:ascii="宋体"/>
          <w:kern w:val="0"/>
          <w:szCs w:val="20"/>
        </w:rPr>
        <w:drawing>
          <wp:inline distT="0" distB="0" distL="0" distR="0">
            <wp:extent cx="1741170" cy="1406525"/>
            <wp:effectExtent l="0" t="0" r="0" b="3175"/>
            <wp:docPr id="2001576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7663"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41170" cy="1406525"/>
                    </a:xfrm>
                    <a:prstGeom prst="rect">
                      <a:avLst/>
                    </a:prstGeom>
                    <a:noFill/>
                    <a:ln>
                      <a:noFill/>
                    </a:ln>
                  </pic:spPr>
                </pic:pic>
              </a:graphicData>
            </a:graphic>
          </wp:inline>
        </w:drawing>
      </w:r>
    </w:p>
    <w:p w14:paraId="49D72CEB">
      <w:pPr>
        <w:pStyle w:val="403"/>
        <w:numPr>
          <w:ilvl w:val="0"/>
          <w:numId w:val="43"/>
        </w:numPr>
        <w:spacing w:before="156" w:after="156"/>
      </w:pPr>
      <w:r>
        <w:rPr>
          <w:rFonts w:hint="eastAsia"/>
        </w:rPr>
        <w:t>隐私计算功能层次框架</w:t>
      </w:r>
    </w:p>
    <w:p w14:paraId="5EE3111B">
      <w:pPr>
        <w:numPr>
          <w:ilvl w:val="3"/>
          <w:numId w:val="37"/>
        </w:numPr>
        <w:spacing w:before="156" w:beforeLines="50" w:after="156" w:afterLines="50"/>
        <w:outlineLvl w:val="2"/>
        <w:rPr>
          <w:rFonts w:ascii="黑体" w:eastAsia="黑体"/>
        </w:rPr>
      </w:pPr>
      <w:r>
        <w:rPr>
          <w:rFonts w:hint="eastAsia" w:ascii="黑体" w:eastAsia="黑体"/>
          <w:kern w:val="0"/>
          <w:szCs w:val="20"/>
        </w:rPr>
        <w:t>技术功能</w:t>
      </w:r>
    </w:p>
    <w:p w14:paraId="48141B90">
      <w:pPr>
        <w:pStyle w:val="272"/>
      </w:pPr>
      <w:r>
        <w:rPr>
          <w:rFonts w:hint="eastAsia"/>
        </w:rPr>
        <w:t>隐私计算技术为隐私计算功能提供支撑，具体如下：</w:t>
      </w:r>
    </w:p>
    <w:p w14:paraId="46724C96">
      <w:pPr>
        <w:pStyle w:val="272"/>
        <w:numPr>
          <w:ilvl w:val="0"/>
          <w:numId w:val="52"/>
        </w:numPr>
        <w:ind w:left="840" w:leftChars="200" w:hanging="420" w:hangingChars="200"/>
        <w:rPr>
          <w:szCs w:val="22"/>
        </w:rPr>
      </w:pPr>
      <w:r>
        <w:rPr>
          <w:rFonts w:hint="eastAsia"/>
          <w:szCs w:val="22"/>
        </w:rPr>
        <w:t>隐私动态度量，根据应用场景的不同，对隐私信息分量的敏感度进行动态度量；</w:t>
      </w:r>
    </w:p>
    <w:p w14:paraId="29F0F833">
      <w:pPr>
        <w:pStyle w:val="272"/>
        <w:numPr>
          <w:ilvl w:val="0"/>
          <w:numId w:val="52"/>
        </w:numPr>
        <w:ind w:left="840" w:leftChars="200" w:hanging="420" w:hangingChars="200"/>
        <w:rPr>
          <w:szCs w:val="22"/>
        </w:rPr>
      </w:pPr>
      <w:r>
        <w:rPr>
          <w:rFonts w:hint="eastAsia"/>
          <w:szCs w:val="22"/>
        </w:rPr>
        <w:t>迭代延伸控制，根据前序隐私信息处理者的控制策略、后续隐私信息处理者的保护能力等因素动态调整控制策略，并随隐私信息一起向后传递，还验证前序隐私信息处理者的策略执行情况；</w:t>
      </w:r>
    </w:p>
    <w:p w14:paraId="1C6E90F9">
      <w:pPr>
        <w:pStyle w:val="272"/>
        <w:numPr>
          <w:ilvl w:val="0"/>
          <w:numId w:val="52"/>
        </w:numPr>
        <w:ind w:left="840" w:leftChars="200" w:hanging="420" w:hangingChars="200"/>
        <w:rPr>
          <w:szCs w:val="22"/>
        </w:rPr>
      </w:pPr>
      <w:r>
        <w:rPr>
          <w:rFonts w:hint="eastAsia"/>
          <w:szCs w:val="22"/>
        </w:rPr>
        <w:t>隐私按需保护，根据延伸控制策略，对隐私信息进行按需脱敏、按需删除、数据联合利用等处理；</w:t>
      </w:r>
    </w:p>
    <w:p w14:paraId="58BC6F21">
      <w:pPr>
        <w:pStyle w:val="272"/>
        <w:numPr>
          <w:ilvl w:val="0"/>
          <w:numId w:val="52"/>
        </w:numPr>
        <w:ind w:left="840" w:leftChars="200" w:hanging="420" w:hangingChars="200"/>
        <w:rPr>
          <w:szCs w:val="22"/>
        </w:rPr>
      </w:pPr>
      <w:r>
        <w:rPr>
          <w:rFonts w:hint="eastAsia"/>
          <w:szCs w:val="22"/>
        </w:rPr>
        <w:t>脱敏效果评估，对脱敏算法所达到的效果按照效果评估指标体系进行评估；</w:t>
      </w:r>
    </w:p>
    <w:p w14:paraId="50003A8D">
      <w:pPr>
        <w:pStyle w:val="272"/>
        <w:numPr>
          <w:ilvl w:val="0"/>
          <w:numId w:val="52"/>
        </w:numPr>
        <w:ind w:left="840" w:leftChars="200" w:hanging="420" w:hangingChars="200"/>
        <w:rPr>
          <w:szCs w:val="22"/>
        </w:rPr>
      </w:pPr>
      <w:r>
        <w:rPr>
          <w:rFonts w:hint="eastAsia"/>
          <w:szCs w:val="22"/>
        </w:rPr>
        <w:t>保护量化映射，隐私信息跨系统交换或数据联合利用时，对隐私信息提供者和隐私信息接收者的算法保护能力和保护效果进行关联的保护量化映射，以支持跨系统交换的隐私信息一致性保护；</w:t>
      </w:r>
    </w:p>
    <w:p w14:paraId="33D30CD7">
      <w:pPr>
        <w:pStyle w:val="272"/>
        <w:numPr>
          <w:ilvl w:val="0"/>
          <w:numId w:val="52"/>
        </w:numPr>
        <w:ind w:left="840" w:leftChars="200" w:hanging="420" w:hangingChars="200"/>
        <w:rPr>
          <w:szCs w:val="22"/>
        </w:rPr>
      </w:pPr>
      <w:r>
        <w:rPr>
          <w:rFonts w:hint="eastAsia"/>
          <w:szCs w:val="22"/>
        </w:rPr>
        <w:t>操作全程存证，对隐私信息全生命周期过程的计算操作进行日志保存。</w:t>
      </w:r>
      <w:bookmarkEnd w:id="133"/>
    </w:p>
    <w:p w14:paraId="2E97382C">
      <w:pPr>
        <w:pStyle w:val="276"/>
        <w:numPr>
          <w:ilvl w:val="1"/>
          <w:numId w:val="37"/>
        </w:numPr>
      </w:pPr>
      <w:bookmarkStart w:id="137" w:name="_Toc171947826"/>
      <w:bookmarkStart w:id="138" w:name="_Toc172280875"/>
      <w:bookmarkStart w:id="139" w:name="_Toc170638773"/>
      <w:r>
        <w:rPr>
          <w:rFonts w:hint="eastAsia"/>
        </w:rPr>
        <w:t>隐私计算框架</w:t>
      </w:r>
      <w:bookmarkEnd w:id="137"/>
      <w:bookmarkEnd w:id="138"/>
      <w:bookmarkEnd w:id="139"/>
    </w:p>
    <w:p w14:paraId="7A52B55D">
      <w:pPr>
        <w:pStyle w:val="277"/>
        <w:numPr>
          <w:ilvl w:val="2"/>
          <w:numId w:val="37"/>
        </w:numPr>
      </w:pPr>
      <w:bookmarkStart w:id="140" w:name="_Toc170638774"/>
      <w:bookmarkStart w:id="141" w:name="_Toc172280876"/>
      <w:bookmarkStart w:id="142" w:name="_Toc171947827"/>
      <w:r>
        <w:rPr>
          <w:rFonts w:hint="eastAsia"/>
        </w:rPr>
        <w:t>隐私计算框架组件</w:t>
      </w:r>
      <w:bookmarkEnd w:id="140"/>
      <w:bookmarkEnd w:id="141"/>
      <w:bookmarkEnd w:id="142"/>
    </w:p>
    <w:p w14:paraId="5204B8A1">
      <w:pPr>
        <w:pStyle w:val="272"/>
      </w:pPr>
      <w:r>
        <w:rPr>
          <w:rFonts w:hint="eastAsia"/>
        </w:rPr>
        <w:t>隐私计算框架如图3所示，包括隐私信息抽取与度量、隐私度量动态调整、隐私延伸控制、隐私按需保护、保护效果评估、存证与取证等功能组件，具体如下：</w:t>
      </w:r>
    </w:p>
    <w:p w14:paraId="1A2BDE78">
      <w:pPr>
        <w:pStyle w:val="272"/>
        <w:ind w:firstLine="0" w:firstLineChars="0"/>
        <w:jc w:val="center"/>
      </w:pPr>
      <w:r>
        <w:rPr>
          <w:rFonts w:hAnsi="宋体"/>
        </w:rPr>
        <w:drawing>
          <wp:inline distT="0" distB="0" distL="0" distR="0">
            <wp:extent cx="5939790" cy="2089150"/>
            <wp:effectExtent l="0" t="0" r="0" b="6350"/>
            <wp:docPr id="2667762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76296"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9790" cy="2089150"/>
                    </a:xfrm>
                    <a:prstGeom prst="rect">
                      <a:avLst/>
                    </a:prstGeom>
                    <a:noFill/>
                    <a:ln>
                      <a:noFill/>
                    </a:ln>
                  </pic:spPr>
                </pic:pic>
              </a:graphicData>
            </a:graphic>
          </wp:inline>
        </w:drawing>
      </w:r>
    </w:p>
    <w:p w14:paraId="20025D3D">
      <w:pPr>
        <w:pStyle w:val="403"/>
        <w:numPr>
          <w:ilvl w:val="0"/>
          <w:numId w:val="43"/>
        </w:numPr>
        <w:spacing w:before="156" w:after="156"/>
        <w:rPr>
          <w:lang w:val="de-DE"/>
        </w:rPr>
      </w:pPr>
      <w:r>
        <w:rPr>
          <w:rFonts w:hint="eastAsia"/>
        </w:rPr>
        <w:t>隐私计算框架</w:t>
      </w:r>
    </w:p>
    <w:p w14:paraId="15BFB71E">
      <w:pPr>
        <w:pStyle w:val="272"/>
        <w:numPr>
          <w:ilvl w:val="0"/>
          <w:numId w:val="53"/>
        </w:numPr>
        <w:ind w:left="840" w:leftChars="200" w:hanging="420" w:hangingChars="200"/>
        <w:rPr>
          <w:szCs w:val="22"/>
        </w:rPr>
      </w:pPr>
      <w:r>
        <w:rPr>
          <w:rFonts w:hint="eastAsia"/>
          <w:szCs w:val="22"/>
        </w:rPr>
        <w:t>隐私信息抽取与度量，通过对采集或接收的信息进行分析，提取不同模态信息中的隐私信息分量，并对隐私信息分量进行分类以及量化隐私信息分量的敏感度或保护程度；当评估未达到预期效果时，还需要重新调整原始度量值。包括隐私信息抽取、隐私信息分类、隐私信息度量；</w:t>
      </w:r>
    </w:p>
    <w:p w14:paraId="76E0B816">
      <w:pPr>
        <w:pStyle w:val="272"/>
        <w:numPr>
          <w:ilvl w:val="0"/>
          <w:numId w:val="53"/>
        </w:numPr>
        <w:ind w:left="840" w:leftChars="200" w:hanging="420" w:hangingChars="200"/>
        <w:rPr>
          <w:szCs w:val="22"/>
        </w:rPr>
      </w:pPr>
      <w:r>
        <w:rPr>
          <w:rFonts w:hint="eastAsia"/>
          <w:szCs w:val="22"/>
        </w:rPr>
        <w:t>隐私度量动态调整，通过识别判断隐私信息所属的应用场景，对隐私信息分量的敏感度或保护程度进行针对性的度量调整；当评估未达到预期效果时，还需要重新更换场景描述。包括场景识别、度量调整；</w:t>
      </w:r>
    </w:p>
    <w:p w14:paraId="26031B0E">
      <w:pPr>
        <w:pStyle w:val="272"/>
        <w:numPr>
          <w:ilvl w:val="0"/>
          <w:numId w:val="53"/>
        </w:numPr>
        <w:ind w:left="840" w:leftChars="200" w:hanging="420" w:hangingChars="200"/>
        <w:rPr>
          <w:szCs w:val="22"/>
        </w:rPr>
      </w:pPr>
      <w:r>
        <w:rPr>
          <w:rFonts w:hint="eastAsia"/>
          <w:szCs w:val="22"/>
        </w:rPr>
        <w:t>隐私延伸控制,在数据泛在流通与共享过程中，对全生命周期各环节的隐私操作进行迭代控制；当评估未达到预期效果时，还需要重新调整控制策略。包括延伸控制策略生成、控制策略可控传递、控制策略迭代调整、策略执行可信验证；</w:t>
      </w:r>
    </w:p>
    <w:p w14:paraId="6031B3B0">
      <w:pPr>
        <w:pStyle w:val="272"/>
        <w:numPr>
          <w:ilvl w:val="0"/>
          <w:numId w:val="53"/>
        </w:numPr>
        <w:ind w:left="840" w:leftChars="200" w:hanging="420" w:hangingChars="200"/>
        <w:rPr>
          <w:szCs w:val="22"/>
        </w:rPr>
      </w:pPr>
      <w:r>
        <w:rPr>
          <w:rFonts w:hint="eastAsia"/>
          <w:szCs w:val="22"/>
        </w:rPr>
        <w:t>隐私按需保护，约束隐私信息处理者根据延伸控制策略，对接收到的隐私信息进行按需脱敏、按需删除等处理，提供场景自适应的隐私保护能力；当评估未达到预期效果时，还需要重新定义隐私保护操作；</w:t>
      </w:r>
    </w:p>
    <w:p w14:paraId="6DC74B57">
      <w:pPr>
        <w:pStyle w:val="272"/>
        <w:numPr>
          <w:ilvl w:val="0"/>
          <w:numId w:val="53"/>
        </w:numPr>
        <w:ind w:left="840" w:leftChars="200" w:hanging="420" w:hangingChars="200"/>
        <w:rPr>
          <w:szCs w:val="22"/>
        </w:rPr>
      </w:pPr>
      <w:r>
        <w:rPr>
          <w:rFonts w:hint="eastAsia"/>
          <w:szCs w:val="22"/>
        </w:rPr>
        <w:t>保护效果评估，根据制定的脱敏效果评估指标体系，对待评估的已脱敏隐私信息的脱敏效果进行量化分析，如未能达到预期效果，则分别视情况从隐私信息抽取与度量、隐私度量动态调整、隐私延伸控制、隐私按需保护等环节进行反馈迭代，直至达到期望的保护效果。包括脱敏效果评估指标体系、单次脱敏效果评估、基于数据挖掘的脱敏效果评估、脱敏系统效果评估、删除效果评估；</w:t>
      </w:r>
    </w:p>
    <w:p w14:paraId="11A231BC">
      <w:pPr>
        <w:pStyle w:val="272"/>
        <w:numPr>
          <w:ilvl w:val="0"/>
          <w:numId w:val="53"/>
        </w:numPr>
        <w:ind w:left="840" w:leftChars="200" w:hanging="420" w:hangingChars="200"/>
        <w:rPr>
          <w:szCs w:val="22"/>
        </w:rPr>
      </w:pPr>
      <w:r>
        <w:rPr>
          <w:rFonts w:hint="eastAsia"/>
          <w:szCs w:val="22"/>
        </w:rPr>
        <w:t>存证与取证，对隐私信息抽取与度量、隐私度量动态调整、隐私延伸控制、隐私按需保护、保护效果评估等功能组件的操作行为进行日志记录，并根据证据获取请求生成证据。包括存证收集、存证存储、证据生成。</w:t>
      </w:r>
    </w:p>
    <w:p w14:paraId="165AA6C8">
      <w:pPr>
        <w:pStyle w:val="277"/>
        <w:numPr>
          <w:ilvl w:val="2"/>
          <w:numId w:val="37"/>
        </w:numPr>
      </w:pPr>
      <w:bookmarkStart w:id="143" w:name="_Toc170459671"/>
      <w:bookmarkEnd w:id="143"/>
      <w:bookmarkStart w:id="144" w:name="_Toc170465213"/>
      <w:bookmarkEnd w:id="144"/>
      <w:bookmarkStart w:id="145" w:name="_Toc170478268"/>
      <w:bookmarkEnd w:id="145"/>
      <w:bookmarkStart w:id="146" w:name="_Toc172280877"/>
      <w:bookmarkStart w:id="147" w:name="_Toc170638775"/>
      <w:bookmarkStart w:id="148" w:name="_Toc171947828"/>
      <w:r>
        <w:rPr>
          <w:rFonts w:hint="eastAsia"/>
        </w:rPr>
        <w:t>隐私计算系统的组件风险</w:t>
      </w:r>
      <w:bookmarkEnd w:id="146"/>
      <w:bookmarkEnd w:id="147"/>
      <w:bookmarkEnd w:id="148"/>
    </w:p>
    <w:p w14:paraId="2EBD03F3">
      <w:pPr>
        <w:pStyle w:val="272"/>
      </w:pPr>
      <w:r>
        <w:rPr>
          <w:rFonts w:hint="eastAsia"/>
        </w:rPr>
        <w:t>基于隐私计算框架所研制的隐私计算系统的各组件面临着与其他信息系统相似的安全风险,在隐私信息抽取与度量、隐私度量动态调整、隐私延伸控制、隐私按需保护、保护效果评估、存证与取证等方面面临的风险包括但不限于：</w:t>
      </w:r>
    </w:p>
    <w:p w14:paraId="244D4B15">
      <w:pPr>
        <w:pStyle w:val="272"/>
        <w:numPr>
          <w:ilvl w:val="0"/>
          <w:numId w:val="54"/>
        </w:numPr>
        <w:ind w:left="840" w:leftChars="200" w:hanging="420" w:hangingChars="200"/>
        <w:rPr>
          <w:szCs w:val="22"/>
        </w:rPr>
      </w:pPr>
      <w:r>
        <w:rPr>
          <w:rFonts w:hint="eastAsia"/>
          <w:szCs w:val="22"/>
        </w:rPr>
        <w:t>隐私信息抽取与度量的风险主要指隐私信息抽取不准或不全、隐私信息分量分类不正确、隐私信息分量敏感度的度量不准确等，</w:t>
      </w:r>
      <w:bookmarkStart w:id="149" w:name="_Hlk168907638"/>
      <w:r>
        <w:rPr>
          <w:rFonts w:hint="eastAsia"/>
          <w:szCs w:val="22"/>
        </w:rPr>
        <w:t>会导致隐私延伸控制策略生成、脱敏算法及其参数选择、删除方法选择的不恰当，从而引起隐私信息泄露；</w:t>
      </w:r>
      <w:bookmarkEnd w:id="149"/>
    </w:p>
    <w:p w14:paraId="44463B3F">
      <w:pPr>
        <w:pStyle w:val="272"/>
        <w:numPr>
          <w:ilvl w:val="0"/>
          <w:numId w:val="54"/>
        </w:numPr>
        <w:ind w:left="840" w:leftChars="200" w:hanging="420" w:hangingChars="200"/>
        <w:rPr>
          <w:szCs w:val="22"/>
        </w:rPr>
      </w:pPr>
      <w:r>
        <w:rPr>
          <w:rFonts w:hint="eastAsia"/>
          <w:szCs w:val="22"/>
        </w:rPr>
        <w:t>隐私度量动态调整的风险主要指场景识别不准确、隐私信息分量敏感度调整不当等，会导致隐私延伸控制策略生成、脱敏算法及其参数选择、删除方法选择的不恰当，从而引起隐私信息泄露；</w:t>
      </w:r>
    </w:p>
    <w:p w14:paraId="555BB8D3">
      <w:pPr>
        <w:pStyle w:val="272"/>
        <w:numPr>
          <w:ilvl w:val="0"/>
          <w:numId w:val="54"/>
        </w:numPr>
        <w:ind w:left="840" w:leftChars="200" w:hanging="420" w:hangingChars="200"/>
        <w:rPr>
          <w:szCs w:val="22"/>
        </w:rPr>
      </w:pPr>
      <w:r>
        <w:rPr>
          <w:rFonts w:hint="eastAsia"/>
          <w:szCs w:val="22"/>
        </w:rPr>
        <w:t>隐私延伸控制的风险主要指延伸控制策略生成不准或不全、控制策略传递过程中被篡改或与隐私信息剥离、控制策略迭代调整时出现偏差、控制策略未被正确执行等，会导致数据泛在流通与共享过程中脱敏、删除和使用等操作失控，从而引起隐私信息泄露；</w:t>
      </w:r>
    </w:p>
    <w:p w14:paraId="3ACE67CB">
      <w:pPr>
        <w:pStyle w:val="272"/>
        <w:numPr>
          <w:ilvl w:val="0"/>
          <w:numId w:val="54"/>
        </w:numPr>
        <w:ind w:left="840" w:leftChars="200" w:hanging="420" w:hangingChars="200"/>
        <w:rPr>
          <w:szCs w:val="22"/>
        </w:rPr>
      </w:pPr>
      <w:r>
        <w:rPr>
          <w:rFonts w:hint="eastAsia"/>
          <w:szCs w:val="22"/>
        </w:rPr>
        <w:t>隐私按需保护的风险主要指未能正确选择脱敏算法及其参数、未能正确选择删除方法等，脱敏时隐私信息被过度脱敏影响服务效果，或脱敏不足导致隐私信息泄露，或未能正确删除导致违规甚至隐私信息泄露，多方联合数据利用时未能正确选择所采用的数据使用安全技术、未能正确选择算法协议及配置其安全参数等问题；</w:t>
      </w:r>
    </w:p>
    <w:p w14:paraId="1B70BB3A">
      <w:pPr>
        <w:pStyle w:val="272"/>
        <w:numPr>
          <w:ilvl w:val="0"/>
          <w:numId w:val="54"/>
        </w:numPr>
        <w:ind w:left="840" w:leftChars="200" w:hanging="420" w:hangingChars="200"/>
        <w:rPr>
          <w:szCs w:val="22"/>
        </w:rPr>
      </w:pPr>
      <w:r>
        <w:rPr>
          <w:rFonts w:hint="eastAsia"/>
          <w:szCs w:val="22"/>
        </w:rPr>
        <w:t>保护效果评估的风险主要指保护效果评估指标体系不完备、评估方法不准确等，使得保护效果评估出现偏差，从而会引起隐私信息泄露；</w:t>
      </w:r>
    </w:p>
    <w:p w14:paraId="4ECB69CD">
      <w:pPr>
        <w:pStyle w:val="272"/>
        <w:numPr>
          <w:ilvl w:val="0"/>
          <w:numId w:val="54"/>
        </w:numPr>
        <w:ind w:left="840" w:leftChars="200" w:hanging="420" w:hangingChars="200"/>
        <w:rPr>
          <w:szCs w:val="22"/>
        </w:rPr>
      </w:pPr>
      <w:r>
        <w:rPr>
          <w:rFonts w:hint="eastAsia"/>
          <w:szCs w:val="22"/>
        </w:rPr>
        <w:t>存证与取证的风险主要指存证信息收集不全、存证存储过程中被非法访问或非法篡改、备份措施不足导致的存证信息丢失、证据生成时信息不全、证据生成错误等，会导致不能对隐私侵权行为进行正确追溯；</w:t>
      </w:r>
    </w:p>
    <w:p w14:paraId="6CA6AD1E">
      <w:pPr>
        <w:pStyle w:val="272"/>
        <w:numPr>
          <w:ilvl w:val="0"/>
          <w:numId w:val="54"/>
        </w:numPr>
        <w:ind w:left="840" w:leftChars="200" w:hanging="420" w:hangingChars="200"/>
        <w:rPr>
          <w:szCs w:val="22"/>
        </w:rPr>
      </w:pPr>
      <w:r>
        <w:rPr>
          <w:rFonts w:hint="eastAsia"/>
          <w:szCs w:val="22"/>
        </w:rPr>
        <w:t>跨系统一致性的风险主要指隐私信息在多个隐私计算系统保存时，如果由于某个系统保护能力偏弱，其他系统隐私保护能力再强也失去意义，即存在短板效应和一损俱损的风险，会导致隐私泄露。</w:t>
      </w:r>
    </w:p>
    <w:p w14:paraId="514C5B52">
      <w:pPr>
        <w:pStyle w:val="277"/>
        <w:numPr>
          <w:ilvl w:val="2"/>
          <w:numId w:val="37"/>
        </w:numPr>
      </w:pPr>
      <w:bookmarkStart w:id="150" w:name="_Toc171947829"/>
      <w:bookmarkStart w:id="151" w:name="_Toc172280878"/>
      <w:bookmarkStart w:id="152" w:name="_Toc170638776"/>
      <w:r>
        <w:rPr>
          <w:rFonts w:hint="eastAsia"/>
        </w:rPr>
        <w:t>隐私计算的互联互通</w:t>
      </w:r>
      <w:bookmarkEnd w:id="150"/>
      <w:bookmarkEnd w:id="151"/>
      <w:bookmarkEnd w:id="152"/>
    </w:p>
    <w:p w14:paraId="795849B4">
      <w:pPr>
        <w:pStyle w:val="272"/>
      </w:pPr>
      <w:r>
        <w:rPr>
          <w:rFonts w:hint="eastAsia"/>
        </w:rPr>
        <w:t>隐私计算是对隐私信息全生命周期过程的计算操作进行控制。相应地，隐私计算互联互通是体现在隐私信息抽取与度量、隐私度量动态调整、隐私延伸控制、隐私按需保护、保护效果评估、存证与取证等组件的隐私信息描述、隐私信息分类、隐私信息度量、场景识别、度量调整、延伸控制策略生成、控制策略迭代调整、控制策略可控传递、策略执行可信验证、脱敏算法能力评估、按需脱敏、按需删除、脱敏效果评估指标体系、保护效果评估结论等方面的具体方法、算法或量化指标等定义和格式规范上。本文件仅规范这些方面的原则要求。</w:t>
      </w:r>
    </w:p>
    <w:p w14:paraId="08B191B6">
      <w:pPr>
        <w:pStyle w:val="276"/>
        <w:numPr>
          <w:ilvl w:val="1"/>
          <w:numId w:val="37"/>
        </w:numPr>
      </w:pPr>
      <w:bookmarkStart w:id="153" w:name="_Toc172280879"/>
      <w:bookmarkStart w:id="154" w:name="_Toc171947830"/>
      <w:bookmarkStart w:id="155" w:name="_Toc170638777"/>
      <w:r>
        <w:rPr>
          <w:rFonts w:hint="eastAsia"/>
        </w:rPr>
        <w:t>隐私信息抽取与度量</w:t>
      </w:r>
      <w:bookmarkEnd w:id="153"/>
      <w:bookmarkEnd w:id="154"/>
      <w:bookmarkEnd w:id="155"/>
    </w:p>
    <w:p w14:paraId="1F2F9EBA">
      <w:pPr>
        <w:pStyle w:val="277"/>
        <w:numPr>
          <w:ilvl w:val="2"/>
          <w:numId w:val="37"/>
        </w:numPr>
      </w:pPr>
      <w:bookmarkStart w:id="156" w:name="_Toc170638778"/>
      <w:bookmarkStart w:id="157" w:name="_Toc171947831"/>
      <w:bookmarkStart w:id="158" w:name="_Toc172280880"/>
      <w:r>
        <w:rPr>
          <w:rFonts w:hint="eastAsia"/>
        </w:rPr>
        <w:t>概述</w:t>
      </w:r>
      <w:bookmarkEnd w:id="156"/>
      <w:bookmarkEnd w:id="157"/>
      <w:bookmarkEnd w:id="158"/>
    </w:p>
    <w:p w14:paraId="00E91479">
      <w:pPr>
        <w:pStyle w:val="272"/>
      </w:pPr>
      <w:r>
        <w:rPr>
          <w:rFonts w:hint="eastAsia"/>
        </w:rPr>
        <w:t>隐私信息抽取与度量通过对采集或接收的信息进行隐私信息分量识别和抽取，然后对隐私信息分量进行分类和度量。若保护效果评估未达到预期效果，则可能重新执行隐私信息抽取与度量。隐私信息抽取与度量具体包括：</w:t>
      </w:r>
    </w:p>
    <w:p w14:paraId="08C323B4">
      <w:pPr>
        <w:pStyle w:val="272"/>
        <w:numPr>
          <w:ilvl w:val="0"/>
          <w:numId w:val="55"/>
        </w:numPr>
        <w:ind w:left="840" w:leftChars="200" w:hanging="420" w:hangingChars="200"/>
        <w:rPr>
          <w:szCs w:val="22"/>
        </w:rPr>
      </w:pPr>
      <w:r>
        <w:rPr>
          <w:rFonts w:hint="eastAsia"/>
          <w:szCs w:val="22"/>
        </w:rPr>
        <w:t>隐私信息抽取，负责对采集或接收到的信息中的隐私信息分量进行识别，根据隐私信息分量的模态进行信息处理，生成初始的隐私信息描述；</w:t>
      </w:r>
    </w:p>
    <w:p w14:paraId="413D5748">
      <w:pPr>
        <w:pStyle w:val="272"/>
        <w:numPr>
          <w:ilvl w:val="0"/>
          <w:numId w:val="55"/>
        </w:numPr>
        <w:ind w:left="840" w:leftChars="200" w:hanging="420" w:hangingChars="200"/>
        <w:rPr>
          <w:szCs w:val="22"/>
        </w:rPr>
      </w:pPr>
      <w:r>
        <w:rPr>
          <w:rFonts w:hint="eastAsia"/>
          <w:szCs w:val="22"/>
        </w:rPr>
        <w:t>隐私信息分类，负责对识别和抽取的隐私信息分量进行分类；</w:t>
      </w:r>
    </w:p>
    <w:p w14:paraId="694A2E8C">
      <w:pPr>
        <w:pStyle w:val="272"/>
        <w:numPr>
          <w:ilvl w:val="0"/>
          <w:numId w:val="55"/>
        </w:numPr>
        <w:ind w:left="840" w:leftChars="200" w:hanging="420" w:hangingChars="200"/>
        <w:rPr>
          <w:szCs w:val="22"/>
        </w:rPr>
      </w:pPr>
      <w:r>
        <w:rPr>
          <w:rFonts w:hint="eastAsia"/>
          <w:szCs w:val="22"/>
        </w:rPr>
        <w:t>隐私信息度量，负责对抽取的隐私信息分量进行敏感度或保护程度量化。</w:t>
      </w:r>
    </w:p>
    <w:p w14:paraId="5DE89AA8">
      <w:pPr>
        <w:pStyle w:val="277"/>
        <w:numPr>
          <w:ilvl w:val="2"/>
          <w:numId w:val="37"/>
        </w:numPr>
      </w:pPr>
      <w:bookmarkStart w:id="159" w:name="_Toc170638779"/>
      <w:bookmarkStart w:id="160" w:name="_Toc171947832"/>
      <w:bookmarkStart w:id="161" w:name="_Toc172280881"/>
      <w:r>
        <w:rPr>
          <w:rFonts w:hint="eastAsia"/>
        </w:rPr>
        <w:t>隐私信息抽取</w:t>
      </w:r>
      <w:bookmarkEnd w:id="159"/>
      <w:bookmarkEnd w:id="160"/>
      <w:bookmarkEnd w:id="161"/>
    </w:p>
    <w:p w14:paraId="3F820B27">
      <w:pPr>
        <w:pStyle w:val="272"/>
      </w:pPr>
      <w:r>
        <w:rPr>
          <w:rFonts w:hint="eastAsia"/>
        </w:rPr>
        <w:t>隐私信息抽取，对采集或接收到的信息中的隐私信息分量进行定位，确定隐私信息分量模态，然后对多模态隐私信息分量进行处理，生成隐私信息描述，具体如下：</w:t>
      </w:r>
    </w:p>
    <w:p w14:paraId="7AF2B520">
      <w:pPr>
        <w:pStyle w:val="272"/>
        <w:numPr>
          <w:ilvl w:val="0"/>
          <w:numId w:val="56"/>
        </w:numPr>
        <w:ind w:left="840" w:leftChars="200" w:hanging="420" w:hangingChars="200"/>
        <w:rPr>
          <w:szCs w:val="22"/>
        </w:rPr>
      </w:pPr>
      <w:r>
        <w:rPr>
          <w:rFonts w:hint="eastAsia"/>
          <w:szCs w:val="22"/>
        </w:rPr>
        <w:t>对文本、音频、视频、图像等模态数据，使用合适的技术和方法从信息中识别隐私信息，如关键词匹配、自然语言处理、图像语义理解、模式匹配等；</w:t>
      </w:r>
    </w:p>
    <w:p w14:paraId="4C1B8449">
      <w:pPr>
        <w:pStyle w:val="272"/>
        <w:numPr>
          <w:ilvl w:val="0"/>
          <w:numId w:val="56"/>
        </w:numPr>
        <w:ind w:left="840" w:leftChars="200" w:hanging="420" w:hangingChars="200"/>
        <w:rPr>
          <w:szCs w:val="22"/>
        </w:rPr>
      </w:pPr>
      <w:r>
        <w:rPr>
          <w:rFonts w:hint="eastAsia"/>
          <w:szCs w:val="22"/>
        </w:rPr>
        <w:t>针对识别的隐私信息生成初始的隐私信息描述，其内容包括隐私信息向量、约束条件集合、隐私属性向量、广义定位信息集合、审计控制信息集合、传播控制操作集合等。具体隐私信息识别示例见附录A。</w:t>
      </w:r>
    </w:p>
    <w:p w14:paraId="56AEC181">
      <w:pPr>
        <w:pStyle w:val="277"/>
        <w:numPr>
          <w:ilvl w:val="2"/>
          <w:numId w:val="37"/>
        </w:numPr>
      </w:pPr>
      <w:bookmarkStart w:id="162" w:name="_Toc170459677"/>
      <w:bookmarkEnd w:id="162"/>
      <w:bookmarkStart w:id="163" w:name="_Toc170459678"/>
      <w:bookmarkEnd w:id="163"/>
      <w:bookmarkStart w:id="164" w:name="_Toc170465220"/>
      <w:bookmarkEnd w:id="164"/>
      <w:bookmarkStart w:id="165" w:name="_Toc170478274"/>
      <w:bookmarkEnd w:id="165"/>
      <w:bookmarkStart w:id="166" w:name="_Toc170465219"/>
      <w:bookmarkEnd w:id="166"/>
      <w:bookmarkStart w:id="167" w:name="_Toc170478275"/>
      <w:bookmarkEnd w:id="167"/>
      <w:bookmarkStart w:id="168" w:name="_Toc172280882"/>
      <w:bookmarkStart w:id="169" w:name="_Toc171947833"/>
      <w:bookmarkStart w:id="170" w:name="_Toc170638780"/>
      <w:r>
        <w:rPr>
          <w:rFonts w:hint="eastAsia"/>
        </w:rPr>
        <w:t>隐私信息分类</w:t>
      </w:r>
      <w:bookmarkEnd w:id="168"/>
      <w:bookmarkEnd w:id="169"/>
      <w:bookmarkEnd w:id="170"/>
    </w:p>
    <w:p w14:paraId="09425BAA">
      <w:pPr>
        <w:pStyle w:val="272"/>
      </w:pPr>
      <w:r>
        <w:rPr>
          <w:rFonts w:hint="eastAsia"/>
        </w:rPr>
        <w:t>隐私信息分类，通过对识别和抽取的隐私信息分量进行分类，具体如下：</w:t>
      </w:r>
    </w:p>
    <w:p w14:paraId="51C34E84">
      <w:pPr>
        <w:pStyle w:val="272"/>
        <w:numPr>
          <w:ilvl w:val="0"/>
          <w:numId w:val="57"/>
        </w:numPr>
        <w:ind w:left="840" w:leftChars="200" w:hanging="420" w:hangingChars="200"/>
        <w:rPr>
          <w:szCs w:val="22"/>
        </w:rPr>
      </w:pPr>
      <w:r>
        <w:rPr>
          <w:rFonts w:hint="eastAsia"/>
          <w:szCs w:val="22"/>
        </w:rPr>
        <w:t>针对法律法规和应用场景，建立分类分级模板库，以满足不同应用场景的隐私信息分类需求；</w:t>
      </w:r>
    </w:p>
    <w:p w14:paraId="4CA7FBEA">
      <w:pPr>
        <w:pStyle w:val="272"/>
        <w:numPr>
          <w:ilvl w:val="0"/>
          <w:numId w:val="57"/>
        </w:numPr>
        <w:ind w:left="840" w:leftChars="200" w:hanging="420" w:hangingChars="200"/>
        <w:rPr>
          <w:szCs w:val="22"/>
        </w:rPr>
      </w:pPr>
      <w:r>
        <w:rPr>
          <w:rFonts w:hint="eastAsia"/>
          <w:szCs w:val="22"/>
        </w:rPr>
        <w:t>可采用知识图谱等技术，结合分类分级模板库，对隐私信息分量进行分类，再结合应用场景对隐私信息分量进行分级；</w:t>
      </w:r>
    </w:p>
    <w:p w14:paraId="6378114E">
      <w:pPr>
        <w:pStyle w:val="272"/>
        <w:numPr>
          <w:ilvl w:val="0"/>
          <w:numId w:val="57"/>
        </w:numPr>
        <w:ind w:left="840" w:leftChars="200" w:hanging="420" w:hangingChars="200"/>
        <w:rPr>
          <w:szCs w:val="22"/>
        </w:rPr>
      </w:pPr>
      <w:r>
        <w:rPr>
          <w:rFonts w:hint="eastAsia"/>
          <w:szCs w:val="22"/>
        </w:rPr>
        <w:t>隐私信息分类分级的结果记录在隐私信息描述的隐私属性向量中。</w:t>
      </w:r>
    </w:p>
    <w:p w14:paraId="103CBA40">
      <w:pPr>
        <w:pStyle w:val="277"/>
        <w:numPr>
          <w:ilvl w:val="2"/>
          <w:numId w:val="37"/>
        </w:numPr>
      </w:pPr>
      <w:bookmarkStart w:id="171" w:name="_Toc168868960"/>
      <w:bookmarkEnd w:id="171"/>
      <w:bookmarkStart w:id="172" w:name="_Toc168862335"/>
      <w:bookmarkEnd w:id="172"/>
      <w:bookmarkStart w:id="173" w:name="_Toc168868958"/>
      <w:bookmarkEnd w:id="173"/>
      <w:bookmarkStart w:id="174" w:name="_Toc168868961"/>
      <w:bookmarkEnd w:id="174"/>
      <w:bookmarkStart w:id="175" w:name="_Toc168868962"/>
      <w:bookmarkEnd w:id="175"/>
      <w:bookmarkStart w:id="176" w:name="_Toc168868957"/>
      <w:bookmarkEnd w:id="176"/>
      <w:bookmarkStart w:id="177" w:name="_Toc168862341"/>
      <w:bookmarkEnd w:id="177"/>
      <w:bookmarkStart w:id="178" w:name="_Toc168868963"/>
      <w:bookmarkEnd w:id="178"/>
      <w:bookmarkStart w:id="179" w:name="_Toc168862336"/>
      <w:bookmarkEnd w:id="179"/>
      <w:bookmarkStart w:id="180" w:name="_Toc168862340"/>
      <w:bookmarkEnd w:id="180"/>
      <w:bookmarkStart w:id="181" w:name="_Toc168862339"/>
      <w:bookmarkEnd w:id="181"/>
      <w:bookmarkStart w:id="182" w:name="_Toc168862338"/>
      <w:bookmarkEnd w:id="182"/>
      <w:bookmarkStart w:id="183" w:name="_Toc168862337"/>
      <w:bookmarkEnd w:id="183"/>
      <w:bookmarkStart w:id="184" w:name="_Toc168862342"/>
      <w:bookmarkEnd w:id="184"/>
      <w:bookmarkStart w:id="185" w:name="_Toc168868956"/>
      <w:bookmarkEnd w:id="185"/>
      <w:bookmarkStart w:id="186" w:name="_Toc168868959"/>
      <w:bookmarkEnd w:id="186"/>
      <w:bookmarkStart w:id="187" w:name="_Toc172280883"/>
      <w:bookmarkStart w:id="188" w:name="_Toc170638781"/>
      <w:bookmarkStart w:id="189" w:name="_Toc171947834"/>
      <w:r>
        <w:rPr>
          <w:rFonts w:hint="eastAsia"/>
        </w:rPr>
        <w:t>隐私信息度量</w:t>
      </w:r>
      <w:bookmarkEnd w:id="187"/>
      <w:bookmarkEnd w:id="188"/>
      <w:bookmarkEnd w:id="189"/>
    </w:p>
    <w:p w14:paraId="04C1E5B9">
      <w:pPr>
        <w:pStyle w:val="272"/>
      </w:pPr>
      <w:r>
        <w:rPr>
          <w:rFonts w:hint="eastAsia"/>
        </w:rPr>
        <w:t>隐私信息度量，负责对抽取的隐私信息分量的敏感度或保护程度进行量化，具体如下：</w:t>
      </w:r>
    </w:p>
    <w:p w14:paraId="1D968DBA">
      <w:pPr>
        <w:pStyle w:val="272"/>
        <w:numPr>
          <w:ilvl w:val="0"/>
          <w:numId w:val="58"/>
        </w:numPr>
        <w:ind w:left="840" w:leftChars="200" w:hanging="420" w:hangingChars="200"/>
        <w:rPr>
          <w:szCs w:val="22"/>
        </w:rPr>
      </w:pPr>
      <w:r>
        <w:rPr>
          <w:rFonts w:hint="eastAsia"/>
          <w:szCs w:val="22"/>
        </w:rPr>
        <w:t>可根据隐私信息分类分级，构建粗粒度隐私信息量化模型；</w:t>
      </w:r>
    </w:p>
    <w:p w14:paraId="33C7CFCB">
      <w:pPr>
        <w:pStyle w:val="272"/>
        <w:numPr>
          <w:ilvl w:val="0"/>
          <w:numId w:val="58"/>
        </w:numPr>
        <w:ind w:left="840" w:leftChars="200" w:hanging="420" w:hangingChars="200"/>
        <w:rPr>
          <w:szCs w:val="22"/>
        </w:rPr>
      </w:pPr>
      <w:r>
        <w:rPr>
          <w:rFonts w:hint="eastAsia"/>
          <w:szCs w:val="22"/>
        </w:rPr>
        <w:t>可选择基于信息论、差分隐私、人工智能等多种不同技术，构建细粒度隐私信息量化模型；</w:t>
      </w:r>
    </w:p>
    <w:p w14:paraId="137B7391">
      <w:pPr>
        <w:pStyle w:val="272"/>
        <w:numPr>
          <w:ilvl w:val="0"/>
          <w:numId w:val="58"/>
        </w:numPr>
        <w:ind w:left="840" w:leftChars="200" w:hanging="420" w:hangingChars="200"/>
        <w:rPr>
          <w:szCs w:val="22"/>
        </w:rPr>
      </w:pPr>
      <w:r>
        <w:rPr>
          <w:rFonts w:hint="eastAsia"/>
          <w:szCs w:val="22"/>
        </w:rPr>
        <w:t>选用适合的隐私信息量化模型，对隐私信息向量中不同信息模态的隐私信息分量进行量化；</w:t>
      </w:r>
    </w:p>
    <w:p w14:paraId="020D4CD5">
      <w:pPr>
        <w:pStyle w:val="272"/>
        <w:numPr>
          <w:ilvl w:val="0"/>
          <w:numId w:val="58"/>
        </w:numPr>
        <w:ind w:left="840" w:leftChars="200" w:hanging="420" w:hangingChars="200"/>
        <w:rPr>
          <w:szCs w:val="22"/>
        </w:rPr>
      </w:pPr>
      <w:r>
        <w:rPr>
          <w:rFonts w:hint="eastAsia"/>
          <w:szCs w:val="22"/>
        </w:rPr>
        <w:t>可对隐私属性向量中的各属性分量进行联合度量，对不同隐私属性向量进行自定义权重的加权平均，获取隐私信息的整体度量；</w:t>
      </w:r>
    </w:p>
    <w:p w14:paraId="534941F9">
      <w:pPr>
        <w:pStyle w:val="272"/>
        <w:numPr>
          <w:ilvl w:val="0"/>
          <w:numId w:val="58"/>
        </w:numPr>
        <w:ind w:left="840" w:leftChars="200" w:hanging="420" w:hangingChars="200"/>
        <w:rPr>
          <w:szCs w:val="22"/>
        </w:rPr>
      </w:pPr>
      <w:r>
        <w:rPr>
          <w:rFonts w:hint="eastAsia"/>
          <w:szCs w:val="22"/>
        </w:rPr>
        <w:t>隐私信息度量结果记录在隐私信息描述中的隐私属性向量中；</w:t>
      </w:r>
    </w:p>
    <w:p w14:paraId="3C74C8F3">
      <w:pPr>
        <w:pStyle w:val="272"/>
        <w:numPr>
          <w:ilvl w:val="0"/>
          <w:numId w:val="58"/>
        </w:numPr>
        <w:ind w:left="840" w:leftChars="200" w:hanging="420" w:hangingChars="200"/>
        <w:rPr>
          <w:szCs w:val="22"/>
        </w:rPr>
      </w:pPr>
      <w:r>
        <w:rPr>
          <w:rFonts w:hint="eastAsia"/>
          <w:szCs w:val="22"/>
        </w:rPr>
        <w:t>可选地，完成隐私信息度量之后，对隐私度量过程开展合规性验证，确保其实施过程符合隐私保护要求。</w:t>
      </w:r>
    </w:p>
    <w:p w14:paraId="4B8279B5">
      <w:pPr>
        <w:pStyle w:val="276"/>
        <w:numPr>
          <w:ilvl w:val="1"/>
          <w:numId w:val="37"/>
        </w:numPr>
      </w:pPr>
      <w:bookmarkStart w:id="190" w:name="_Toc170638782"/>
      <w:bookmarkStart w:id="191" w:name="_Toc171947835"/>
      <w:bookmarkStart w:id="192" w:name="_Toc172280884"/>
      <w:r>
        <w:rPr>
          <w:rFonts w:hint="eastAsia"/>
        </w:rPr>
        <w:t>隐私度量动态调整</w:t>
      </w:r>
      <w:bookmarkEnd w:id="190"/>
      <w:bookmarkEnd w:id="191"/>
      <w:bookmarkEnd w:id="192"/>
    </w:p>
    <w:p w14:paraId="6783E3CD">
      <w:pPr>
        <w:pStyle w:val="277"/>
        <w:numPr>
          <w:ilvl w:val="2"/>
          <w:numId w:val="37"/>
        </w:numPr>
      </w:pPr>
      <w:bookmarkStart w:id="193" w:name="_Toc171947836"/>
      <w:bookmarkStart w:id="194" w:name="_Toc170638783"/>
      <w:bookmarkStart w:id="195" w:name="_Toc172280885"/>
      <w:r>
        <w:rPr>
          <w:rFonts w:hint="eastAsia"/>
        </w:rPr>
        <w:t>概述</w:t>
      </w:r>
      <w:bookmarkEnd w:id="193"/>
      <w:bookmarkEnd w:id="194"/>
      <w:bookmarkEnd w:id="195"/>
    </w:p>
    <w:p w14:paraId="49C72183">
      <w:pPr>
        <w:pStyle w:val="272"/>
      </w:pPr>
      <w:r>
        <w:rPr>
          <w:rFonts w:hint="eastAsia"/>
        </w:rPr>
        <w:t>隐私度量动态调整，在隐私信息抽取与度量的基础上，识别隐私信息所属的应用场景，并针对性地动态调整隐私信息分量的敏感度或保护程度。若保护效果评估未达到预期效果，则可能重新执行隐私信息动态调整。隐私度量动态调整具体包括：</w:t>
      </w:r>
    </w:p>
    <w:p w14:paraId="775D89F6">
      <w:pPr>
        <w:pStyle w:val="272"/>
        <w:numPr>
          <w:ilvl w:val="0"/>
          <w:numId w:val="59"/>
        </w:numPr>
        <w:ind w:left="840" w:leftChars="200" w:hanging="420" w:hangingChars="200"/>
        <w:rPr>
          <w:szCs w:val="22"/>
        </w:rPr>
      </w:pPr>
      <w:r>
        <w:rPr>
          <w:rFonts w:hint="eastAsia"/>
          <w:szCs w:val="22"/>
        </w:rPr>
        <w:t>场景识别，根据提取的隐私信息分量，识别其所属应用场景；</w:t>
      </w:r>
    </w:p>
    <w:p w14:paraId="5A82875F">
      <w:pPr>
        <w:pStyle w:val="272"/>
        <w:numPr>
          <w:ilvl w:val="0"/>
          <w:numId w:val="59"/>
        </w:numPr>
        <w:ind w:left="840" w:leftChars="200" w:hanging="420" w:hangingChars="200"/>
        <w:rPr>
          <w:szCs w:val="22"/>
        </w:rPr>
      </w:pPr>
      <w:r>
        <w:rPr>
          <w:rFonts w:hint="eastAsia"/>
          <w:szCs w:val="22"/>
        </w:rPr>
        <w:t>度量调整，结合识别的应用场景，动态调整隐私信息分量的量化结果。</w:t>
      </w:r>
    </w:p>
    <w:p w14:paraId="5C901BA8">
      <w:pPr>
        <w:pStyle w:val="277"/>
        <w:numPr>
          <w:ilvl w:val="2"/>
          <w:numId w:val="37"/>
        </w:numPr>
      </w:pPr>
      <w:bookmarkStart w:id="196" w:name="_Toc171947837"/>
      <w:bookmarkStart w:id="197" w:name="_Toc172280886"/>
      <w:bookmarkStart w:id="198" w:name="_Toc170638784"/>
      <w:r>
        <w:rPr>
          <w:rFonts w:hint="eastAsia"/>
        </w:rPr>
        <w:t>场景识别</w:t>
      </w:r>
      <w:bookmarkEnd w:id="196"/>
      <w:bookmarkEnd w:id="197"/>
      <w:bookmarkEnd w:id="198"/>
    </w:p>
    <w:p w14:paraId="1F81D533">
      <w:pPr>
        <w:pStyle w:val="272"/>
      </w:pPr>
      <w:r>
        <w:rPr>
          <w:rFonts w:hint="eastAsia"/>
        </w:rPr>
        <w:t>为支持隐私信息分量量化结果的动态调整，场景识别包括但不限于：</w:t>
      </w:r>
    </w:p>
    <w:p w14:paraId="52DCBED9">
      <w:pPr>
        <w:pStyle w:val="272"/>
        <w:numPr>
          <w:ilvl w:val="0"/>
          <w:numId w:val="60"/>
        </w:numPr>
        <w:ind w:left="840" w:leftChars="200" w:hanging="420" w:hangingChars="200"/>
        <w:rPr>
          <w:szCs w:val="22"/>
        </w:rPr>
      </w:pPr>
      <w:r>
        <w:rPr>
          <w:rFonts w:hint="eastAsia"/>
          <w:szCs w:val="22"/>
        </w:rPr>
        <w:t>采用人工标注或机器学习等技术，对采集的信息进行应用场景分类分级和标注，如：社交网络服务、出行服务、医疗服务等；</w:t>
      </w:r>
    </w:p>
    <w:p w14:paraId="799262F2">
      <w:pPr>
        <w:pStyle w:val="272"/>
        <w:numPr>
          <w:ilvl w:val="0"/>
          <w:numId w:val="60"/>
        </w:numPr>
        <w:ind w:left="840" w:leftChars="200" w:hanging="420" w:hangingChars="200"/>
        <w:rPr>
          <w:szCs w:val="22"/>
        </w:rPr>
      </w:pPr>
      <w:r>
        <w:rPr>
          <w:rFonts w:hint="eastAsia"/>
          <w:szCs w:val="22"/>
        </w:rPr>
        <w:t>采用元数据（例如：信息来源、时间戳、地理位置等）辅助识别隐私信息所属的应用场景；</w:t>
      </w:r>
    </w:p>
    <w:p w14:paraId="7FEACF21">
      <w:pPr>
        <w:pStyle w:val="272"/>
        <w:numPr>
          <w:ilvl w:val="0"/>
          <w:numId w:val="60"/>
        </w:numPr>
        <w:ind w:left="840" w:leftChars="200" w:hanging="420" w:hangingChars="200"/>
        <w:rPr>
          <w:szCs w:val="22"/>
        </w:rPr>
      </w:pPr>
      <w:r>
        <w:rPr>
          <w:rFonts w:hint="eastAsia"/>
          <w:szCs w:val="22"/>
        </w:rPr>
        <w:t>针对文本类信息，可采用自然语言处理技术，进行分词和词性标注、实体识别等操作，使用主题模型识别主要主题，辅助推断应用场景；</w:t>
      </w:r>
    </w:p>
    <w:p w14:paraId="6E191082">
      <w:pPr>
        <w:pStyle w:val="272"/>
        <w:numPr>
          <w:ilvl w:val="0"/>
          <w:numId w:val="60"/>
        </w:numPr>
        <w:ind w:left="840" w:leftChars="200" w:hanging="420" w:hangingChars="200"/>
        <w:rPr>
          <w:szCs w:val="22"/>
        </w:rPr>
      </w:pPr>
      <w:r>
        <w:rPr>
          <w:rFonts w:hint="eastAsia"/>
          <w:szCs w:val="22"/>
        </w:rPr>
        <w:t>针对视频类信息，可通过内容分析技术，如：物体检测识别、动作识别等，辅助推断应用场景；</w:t>
      </w:r>
    </w:p>
    <w:p w14:paraId="529B3E3E">
      <w:pPr>
        <w:pStyle w:val="272"/>
        <w:numPr>
          <w:ilvl w:val="0"/>
          <w:numId w:val="60"/>
        </w:numPr>
        <w:ind w:left="840" w:leftChars="200" w:hanging="420" w:hangingChars="200"/>
        <w:rPr>
          <w:szCs w:val="22"/>
        </w:rPr>
      </w:pPr>
      <w:r>
        <w:rPr>
          <w:rFonts w:hint="eastAsia"/>
          <w:szCs w:val="22"/>
        </w:rPr>
        <w:t>针对音频类信息，可通过语音识别、情感分析、背景音分类等技术，辅助推断应用场景；</w:t>
      </w:r>
    </w:p>
    <w:p w14:paraId="28AFA379">
      <w:pPr>
        <w:pStyle w:val="272"/>
        <w:numPr>
          <w:ilvl w:val="0"/>
          <w:numId w:val="60"/>
        </w:numPr>
        <w:ind w:left="840" w:leftChars="200" w:hanging="420" w:hangingChars="200"/>
        <w:rPr>
          <w:szCs w:val="22"/>
        </w:rPr>
      </w:pPr>
      <w:r>
        <w:rPr>
          <w:rFonts w:hint="eastAsia"/>
          <w:szCs w:val="22"/>
        </w:rPr>
        <w:t>针对图像类信息，可通过图像语义理解等技术，辅助推断应用场景。</w:t>
      </w:r>
    </w:p>
    <w:p w14:paraId="751F0F5A">
      <w:pPr>
        <w:pStyle w:val="277"/>
        <w:numPr>
          <w:ilvl w:val="2"/>
          <w:numId w:val="37"/>
        </w:numPr>
      </w:pPr>
      <w:bookmarkStart w:id="199" w:name="_Toc171947838"/>
      <w:bookmarkStart w:id="200" w:name="_Toc172280887"/>
      <w:bookmarkStart w:id="201" w:name="_Toc170638785"/>
      <w:r>
        <w:rPr>
          <w:rFonts w:hint="eastAsia"/>
        </w:rPr>
        <w:t>度量调整</w:t>
      </w:r>
      <w:bookmarkEnd w:id="199"/>
      <w:bookmarkEnd w:id="200"/>
      <w:bookmarkEnd w:id="201"/>
    </w:p>
    <w:p w14:paraId="439CEAF4">
      <w:pPr>
        <w:pStyle w:val="272"/>
      </w:pPr>
      <w:r>
        <w:rPr>
          <w:rFonts w:hint="eastAsia"/>
        </w:rPr>
        <w:t>在识别应用场景的基础上，针对不同场景动态调整隐私信息分量的敏感度或保护程度的量化结果，度量调整包含但不限于：</w:t>
      </w:r>
    </w:p>
    <w:p w14:paraId="75EE64D6">
      <w:pPr>
        <w:pStyle w:val="272"/>
        <w:numPr>
          <w:ilvl w:val="0"/>
          <w:numId w:val="61"/>
        </w:numPr>
        <w:ind w:left="840" w:leftChars="200" w:hanging="420" w:hangingChars="200"/>
        <w:rPr>
          <w:szCs w:val="22"/>
        </w:rPr>
      </w:pPr>
      <w:r>
        <w:rPr>
          <w:rFonts w:hint="eastAsia"/>
          <w:szCs w:val="22"/>
        </w:rPr>
        <w:t>根据不同应用场景及该场景下隐私信息接收者的隐私保护能力，动态调整隐私属性分量的量化值；</w:t>
      </w:r>
    </w:p>
    <w:p w14:paraId="559F498C">
      <w:pPr>
        <w:pStyle w:val="272"/>
        <w:numPr>
          <w:ilvl w:val="0"/>
          <w:numId w:val="61"/>
        </w:numPr>
        <w:ind w:left="840" w:leftChars="200" w:hanging="420" w:hangingChars="200"/>
        <w:rPr>
          <w:szCs w:val="22"/>
        </w:rPr>
      </w:pPr>
      <w:r>
        <w:rPr>
          <w:rFonts w:hint="eastAsia"/>
          <w:szCs w:val="22"/>
        </w:rPr>
        <w:t>根据保护效果评估结论，动态调整隐私属性分量的量化值，并指导隐私信息中隐私属性向量的动态调整；</w:t>
      </w:r>
    </w:p>
    <w:p w14:paraId="5AD55799">
      <w:pPr>
        <w:pStyle w:val="272"/>
        <w:numPr>
          <w:ilvl w:val="0"/>
          <w:numId w:val="61"/>
        </w:numPr>
        <w:ind w:left="840" w:leftChars="200" w:hanging="420" w:hangingChars="200"/>
        <w:rPr>
          <w:szCs w:val="22"/>
        </w:rPr>
      </w:pPr>
      <w:r>
        <w:rPr>
          <w:rFonts w:hint="eastAsia"/>
          <w:szCs w:val="22"/>
        </w:rPr>
        <w:t>可综合运用信息论、差分隐私，并交叉融合心理学等主观评价理论，对保护效果评估指标体系进行动态调整。</w:t>
      </w:r>
    </w:p>
    <w:p w14:paraId="4C4ACD1B">
      <w:pPr>
        <w:pStyle w:val="276"/>
        <w:numPr>
          <w:ilvl w:val="1"/>
          <w:numId w:val="37"/>
        </w:numPr>
      </w:pPr>
      <w:bookmarkStart w:id="202" w:name="_Toc171947839"/>
      <w:bookmarkStart w:id="203" w:name="_Toc172280888"/>
      <w:bookmarkStart w:id="204" w:name="_Toc170638786"/>
      <w:r>
        <w:rPr>
          <w:rFonts w:hint="eastAsia"/>
        </w:rPr>
        <w:t>隐私延伸控制</w:t>
      </w:r>
      <w:bookmarkEnd w:id="202"/>
      <w:bookmarkEnd w:id="203"/>
      <w:bookmarkEnd w:id="204"/>
    </w:p>
    <w:p w14:paraId="6CAB5847">
      <w:pPr>
        <w:pStyle w:val="277"/>
        <w:numPr>
          <w:ilvl w:val="2"/>
          <w:numId w:val="37"/>
        </w:numPr>
      </w:pPr>
      <w:bookmarkStart w:id="205" w:name="_Toc167835100"/>
      <w:bookmarkEnd w:id="205"/>
      <w:bookmarkStart w:id="206" w:name="_Toc167801930"/>
      <w:bookmarkEnd w:id="206"/>
      <w:bookmarkStart w:id="207" w:name="_Toc172280889"/>
      <w:bookmarkStart w:id="208" w:name="_Toc170638787"/>
      <w:bookmarkStart w:id="209" w:name="_Toc171947840"/>
      <w:r>
        <w:rPr>
          <w:rFonts w:hint="eastAsia"/>
        </w:rPr>
        <w:t>概述</w:t>
      </w:r>
      <w:bookmarkEnd w:id="207"/>
      <w:bookmarkEnd w:id="208"/>
      <w:bookmarkEnd w:id="209"/>
    </w:p>
    <w:p w14:paraId="046682F9">
      <w:pPr>
        <w:pStyle w:val="272"/>
      </w:pPr>
      <w:r>
        <w:rPr>
          <w:rFonts w:hint="eastAsia"/>
        </w:rPr>
        <w:t>隐私延伸控制对数据泛在流通与共享过程中脱敏、存储、使用、交换、发布、删除等进行操作约束。隐私延伸控制的核心功能迭代延伸控制详见附录B。若保护效果评估未达到预期效果，则可能重新执行隐私延伸控制。隐私延伸控制具体包括：</w:t>
      </w:r>
    </w:p>
    <w:p w14:paraId="6BBB4293">
      <w:pPr>
        <w:pStyle w:val="272"/>
        <w:numPr>
          <w:ilvl w:val="0"/>
          <w:numId w:val="62"/>
        </w:numPr>
        <w:ind w:left="840" w:leftChars="200" w:hanging="420" w:hangingChars="200"/>
        <w:rPr>
          <w:szCs w:val="22"/>
        </w:rPr>
      </w:pPr>
      <w:r>
        <w:rPr>
          <w:rFonts w:hint="eastAsia"/>
          <w:szCs w:val="22"/>
        </w:rPr>
        <w:t>延伸控制策略生成，用于根据前序隐私信息提供者和当前隐私信息处理者的意图，准确无误地生成并描述控制策略；</w:t>
      </w:r>
    </w:p>
    <w:p w14:paraId="09F6037B">
      <w:pPr>
        <w:pStyle w:val="272"/>
        <w:numPr>
          <w:ilvl w:val="0"/>
          <w:numId w:val="62"/>
        </w:numPr>
        <w:ind w:left="840" w:leftChars="200" w:hanging="420" w:hangingChars="200"/>
        <w:rPr>
          <w:szCs w:val="22"/>
        </w:rPr>
      </w:pPr>
      <w:r>
        <w:rPr>
          <w:rFonts w:hint="eastAsia"/>
          <w:szCs w:val="22"/>
        </w:rPr>
        <w:t>控制策略可控传递，用于保证隐私延伸控制策略在不同隐私信息处理者之间安全可靠地传输到达；</w:t>
      </w:r>
    </w:p>
    <w:p w14:paraId="3DF045BF">
      <w:pPr>
        <w:pStyle w:val="272"/>
        <w:numPr>
          <w:ilvl w:val="0"/>
          <w:numId w:val="62"/>
        </w:numPr>
        <w:ind w:left="840" w:leftChars="200" w:hanging="420" w:hangingChars="200"/>
        <w:rPr>
          <w:szCs w:val="22"/>
        </w:rPr>
      </w:pPr>
      <w:r>
        <w:rPr>
          <w:rFonts w:hint="eastAsia"/>
          <w:szCs w:val="22"/>
        </w:rPr>
        <w:t>控制策略迭代调整，延伸控制策略在不同隐私信息处理者之间传递时，用于保证控制策略内容根据应用场景、保护效果评估结果自适应地进行调整；</w:t>
      </w:r>
    </w:p>
    <w:p w14:paraId="45B095D7">
      <w:pPr>
        <w:pStyle w:val="272"/>
        <w:numPr>
          <w:ilvl w:val="0"/>
          <w:numId w:val="62"/>
        </w:numPr>
        <w:ind w:left="840" w:leftChars="200" w:hanging="420" w:hangingChars="200"/>
        <w:rPr>
          <w:szCs w:val="22"/>
        </w:rPr>
      </w:pPr>
      <w:r>
        <w:rPr>
          <w:rFonts w:hint="eastAsia"/>
          <w:szCs w:val="22"/>
        </w:rPr>
        <w:t>策略执行可信验证，用于保证隐私信息提供者或隐私信息转发者验证延伸控制策略是否被隐私信息接收者完整正确地执行。</w:t>
      </w:r>
    </w:p>
    <w:p w14:paraId="227130B3">
      <w:pPr>
        <w:pStyle w:val="277"/>
        <w:numPr>
          <w:ilvl w:val="2"/>
          <w:numId w:val="37"/>
        </w:numPr>
      </w:pPr>
      <w:bookmarkStart w:id="210" w:name="_Toc172280890"/>
      <w:bookmarkStart w:id="211" w:name="_Toc171947841"/>
      <w:bookmarkStart w:id="212" w:name="_Toc170638788"/>
      <w:r>
        <w:rPr>
          <w:rFonts w:hint="eastAsia"/>
        </w:rPr>
        <w:t>延伸控制策略生成</w:t>
      </w:r>
      <w:bookmarkEnd w:id="210"/>
      <w:bookmarkEnd w:id="211"/>
      <w:bookmarkEnd w:id="212"/>
    </w:p>
    <w:p w14:paraId="6B660377">
      <w:pPr>
        <w:pStyle w:val="272"/>
      </w:pPr>
      <w:r>
        <w:rPr>
          <w:rFonts w:hint="eastAsia"/>
        </w:rPr>
        <w:t>使用自然语言处理、形式化分析等技术，准确地按照前序隐私信息提供者和当前隐私信息处理者的意图，产生计算机程序可处理的控制策略，具体如下：</w:t>
      </w:r>
    </w:p>
    <w:p w14:paraId="439FCE29">
      <w:pPr>
        <w:pStyle w:val="272"/>
        <w:numPr>
          <w:ilvl w:val="0"/>
          <w:numId w:val="63"/>
        </w:numPr>
        <w:ind w:left="840" w:leftChars="200" w:hanging="420" w:hangingChars="200"/>
        <w:rPr>
          <w:szCs w:val="22"/>
        </w:rPr>
      </w:pPr>
      <w:r>
        <w:rPr>
          <w:rFonts w:hint="eastAsia"/>
          <w:szCs w:val="22"/>
        </w:rPr>
        <w:t>针对隐私信息被首次流转的应用场景，支持隐私信息所有者导入延伸控制意图；</w:t>
      </w:r>
    </w:p>
    <w:p w14:paraId="64B4E451">
      <w:pPr>
        <w:pStyle w:val="272"/>
        <w:numPr>
          <w:ilvl w:val="0"/>
          <w:numId w:val="63"/>
        </w:numPr>
        <w:ind w:left="840" w:leftChars="200" w:hanging="420" w:hangingChars="200"/>
        <w:rPr>
          <w:szCs w:val="22"/>
        </w:rPr>
      </w:pPr>
      <w:r>
        <w:rPr>
          <w:rFonts w:hint="eastAsia"/>
          <w:szCs w:val="22"/>
        </w:rPr>
        <w:t>针对隐私信息非首次流转的应用场景，支持通过前序的隐私信息所有者、隐私信息提供者或隐私信息处理者的延伸控制策略，获得延伸控制意图；</w:t>
      </w:r>
    </w:p>
    <w:p w14:paraId="0AA7E713">
      <w:pPr>
        <w:pStyle w:val="272"/>
        <w:numPr>
          <w:ilvl w:val="0"/>
          <w:numId w:val="63"/>
        </w:numPr>
        <w:ind w:left="840" w:leftChars="200" w:hanging="420" w:hangingChars="200"/>
        <w:rPr>
          <w:szCs w:val="22"/>
        </w:rPr>
      </w:pPr>
      <w:r>
        <w:rPr>
          <w:rFonts w:hint="eastAsia"/>
          <w:szCs w:val="22"/>
        </w:rPr>
        <w:t>通过自然语言处理等技术，对获取的延伸控制意图进行解析，并结合隐私信息接收者的隐私保护能力、应用场景等因素，生成延伸控制策略；</w:t>
      </w:r>
    </w:p>
    <w:p w14:paraId="665869BD">
      <w:pPr>
        <w:pStyle w:val="272"/>
        <w:numPr>
          <w:ilvl w:val="0"/>
          <w:numId w:val="63"/>
        </w:numPr>
        <w:ind w:left="840" w:leftChars="200" w:hanging="420" w:hangingChars="200"/>
        <w:rPr>
          <w:szCs w:val="22"/>
        </w:rPr>
      </w:pPr>
      <w:r>
        <w:rPr>
          <w:rFonts w:hint="eastAsia"/>
          <w:szCs w:val="22"/>
        </w:rPr>
        <w:t>采用数字签名等技术，保证延伸控制策略的真实性以及不可篡改；</w:t>
      </w:r>
    </w:p>
    <w:p w14:paraId="68DD6D72">
      <w:pPr>
        <w:pStyle w:val="272"/>
        <w:numPr>
          <w:ilvl w:val="0"/>
          <w:numId w:val="63"/>
        </w:numPr>
        <w:ind w:left="840" w:leftChars="200" w:hanging="420" w:hangingChars="200"/>
        <w:rPr>
          <w:szCs w:val="22"/>
        </w:rPr>
      </w:pPr>
      <w:r>
        <w:rPr>
          <w:rFonts w:hint="eastAsia"/>
          <w:szCs w:val="22"/>
        </w:rPr>
        <w:t>采用机器可处理的语言形式，例如：JSON、XML等，描述生成的延伸控制策略；</w:t>
      </w:r>
    </w:p>
    <w:p w14:paraId="11BC9CF0">
      <w:pPr>
        <w:pStyle w:val="272"/>
        <w:numPr>
          <w:ilvl w:val="0"/>
          <w:numId w:val="63"/>
        </w:numPr>
        <w:ind w:left="840" w:leftChars="200" w:hanging="420" w:hangingChars="200"/>
        <w:rPr>
          <w:szCs w:val="22"/>
        </w:rPr>
      </w:pPr>
      <w:r>
        <w:rPr>
          <w:rFonts w:hint="eastAsia"/>
          <w:szCs w:val="22"/>
        </w:rPr>
        <w:t>采用形式化分析技术，验证生成的延伸控制策略符合延伸控制意图的要求，且延伸控制策略各项内容彼此没有冲突；</w:t>
      </w:r>
    </w:p>
    <w:p w14:paraId="0BDD5398">
      <w:pPr>
        <w:pStyle w:val="272"/>
        <w:numPr>
          <w:ilvl w:val="0"/>
          <w:numId w:val="63"/>
        </w:numPr>
        <w:ind w:left="840" w:leftChars="200" w:hanging="420" w:hangingChars="200"/>
        <w:rPr>
          <w:szCs w:val="22"/>
        </w:rPr>
      </w:pPr>
      <w:r>
        <w:rPr>
          <w:rFonts w:hint="eastAsia"/>
          <w:szCs w:val="22"/>
        </w:rPr>
        <w:t>延伸控制策略采用底层系统无关的标准化描述，支持延伸控制策略的跨系统传递。</w:t>
      </w:r>
    </w:p>
    <w:p w14:paraId="44DCAEBB">
      <w:pPr>
        <w:pStyle w:val="277"/>
        <w:numPr>
          <w:ilvl w:val="2"/>
          <w:numId w:val="37"/>
        </w:numPr>
      </w:pPr>
      <w:bookmarkStart w:id="213" w:name="_Toc172280891"/>
      <w:bookmarkStart w:id="214" w:name="_Toc170638789"/>
      <w:bookmarkStart w:id="215" w:name="_Toc171947842"/>
      <w:r>
        <w:rPr>
          <w:rFonts w:hint="eastAsia"/>
        </w:rPr>
        <w:t>控制策略可控传递</w:t>
      </w:r>
      <w:bookmarkEnd w:id="213"/>
      <w:bookmarkEnd w:id="214"/>
      <w:bookmarkEnd w:id="215"/>
    </w:p>
    <w:p w14:paraId="612824D5">
      <w:pPr>
        <w:pStyle w:val="272"/>
      </w:pPr>
      <w:r>
        <w:rPr>
          <w:rFonts w:hint="eastAsia"/>
        </w:rPr>
        <w:t>采用密码学技术保障延伸控制策略在隐私信息提供者和隐私信息接收者之间传递过程中的完整性、机密性、不可剥离性、不可抵赖性和保护一致性，具体如下:</w:t>
      </w:r>
    </w:p>
    <w:p w14:paraId="5C19E49B">
      <w:pPr>
        <w:pStyle w:val="272"/>
        <w:numPr>
          <w:ilvl w:val="0"/>
          <w:numId w:val="64"/>
        </w:numPr>
        <w:ind w:left="840" w:leftChars="200" w:hanging="420" w:hangingChars="200"/>
        <w:rPr>
          <w:szCs w:val="22"/>
        </w:rPr>
      </w:pPr>
      <w:r>
        <w:rPr>
          <w:rFonts w:hint="eastAsia"/>
          <w:szCs w:val="22"/>
        </w:rPr>
        <w:t>完整性，利用消息验证码等技术，保证延伸控制策略在传递过程中不可被非授权方式更改或破坏；</w:t>
      </w:r>
    </w:p>
    <w:p w14:paraId="6863F75B">
      <w:pPr>
        <w:pStyle w:val="272"/>
        <w:numPr>
          <w:ilvl w:val="0"/>
          <w:numId w:val="64"/>
        </w:numPr>
        <w:ind w:left="840" w:leftChars="200" w:hanging="420" w:hangingChars="200"/>
        <w:rPr>
          <w:szCs w:val="22"/>
        </w:rPr>
      </w:pPr>
      <w:r>
        <w:rPr>
          <w:rFonts w:hint="eastAsia"/>
          <w:szCs w:val="22"/>
        </w:rPr>
        <w:t>机密性，可采用密码技术对延伸控制策略进行加密保护，保证延伸控制策略不可被未授权的第三方解析，避免延伸控制策略被非法获取而导致的隐私泄露；</w:t>
      </w:r>
    </w:p>
    <w:p w14:paraId="5E155139">
      <w:pPr>
        <w:pStyle w:val="272"/>
        <w:numPr>
          <w:ilvl w:val="0"/>
          <w:numId w:val="64"/>
        </w:numPr>
        <w:ind w:left="840" w:leftChars="200" w:hanging="420" w:hangingChars="200"/>
        <w:rPr>
          <w:szCs w:val="22"/>
        </w:rPr>
      </w:pPr>
      <w:r>
        <w:rPr>
          <w:rFonts w:hint="eastAsia"/>
          <w:szCs w:val="22"/>
        </w:rPr>
        <w:t>不可剥离性，采用可信执行环境、密码学等技术将延伸控制策略嵌入被交换隐私信息中，并保证控制策略和隐私信息的关联关系不能被破坏；</w:t>
      </w:r>
    </w:p>
    <w:p w14:paraId="72D9D883">
      <w:pPr>
        <w:pStyle w:val="272"/>
        <w:numPr>
          <w:ilvl w:val="0"/>
          <w:numId w:val="64"/>
        </w:numPr>
        <w:ind w:left="840" w:leftChars="200" w:hanging="420" w:hangingChars="200"/>
        <w:rPr>
          <w:szCs w:val="22"/>
        </w:rPr>
      </w:pPr>
      <w:r>
        <w:rPr>
          <w:rFonts w:hint="eastAsia"/>
          <w:szCs w:val="22"/>
        </w:rPr>
        <w:t>不可抵赖性，采用数字签名技术对延伸控制策略进行处理，保证延伸控制策略来源的真实性，避免隐私信息处理者否认其前序隐私信息提供者所生成的延伸控制策略；</w:t>
      </w:r>
    </w:p>
    <w:p w14:paraId="2A540D81">
      <w:pPr>
        <w:pStyle w:val="272"/>
        <w:numPr>
          <w:ilvl w:val="0"/>
          <w:numId w:val="64"/>
        </w:numPr>
        <w:ind w:left="840" w:leftChars="200" w:hanging="420" w:hangingChars="200"/>
        <w:rPr>
          <w:szCs w:val="22"/>
        </w:rPr>
      </w:pPr>
      <w:r>
        <w:rPr>
          <w:rFonts w:hint="eastAsia"/>
          <w:szCs w:val="22"/>
        </w:rPr>
        <w:t>保护一致性，隐私信息跨系统交换或采用数据使用安全技术进行数据联合利用时，对隐私信息提供者和隐私信息接收者的算法保护能力和保护效果进行关联的保护量化映射，量化映射关系存于延伸控制策略中。</w:t>
      </w:r>
    </w:p>
    <w:p w14:paraId="7596E7B3">
      <w:pPr>
        <w:pStyle w:val="277"/>
        <w:numPr>
          <w:ilvl w:val="2"/>
          <w:numId w:val="37"/>
        </w:numPr>
      </w:pPr>
      <w:bookmarkStart w:id="216" w:name="_Toc168868973"/>
      <w:bookmarkEnd w:id="216"/>
      <w:bookmarkStart w:id="217" w:name="_Toc168868977"/>
      <w:bookmarkEnd w:id="217"/>
      <w:bookmarkStart w:id="218" w:name="_Toc168862356"/>
      <w:bookmarkEnd w:id="218"/>
      <w:bookmarkStart w:id="219" w:name="_Toc168862357"/>
      <w:bookmarkEnd w:id="219"/>
      <w:bookmarkStart w:id="220" w:name="_Toc168868975"/>
      <w:bookmarkEnd w:id="220"/>
      <w:bookmarkStart w:id="221" w:name="_Toc168862354"/>
      <w:bookmarkEnd w:id="221"/>
      <w:bookmarkStart w:id="222" w:name="_Toc168868978"/>
      <w:bookmarkEnd w:id="222"/>
      <w:bookmarkStart w:id="223" w:name="_Toc168868974"/>
      <w:bookmarkEnd w:id="223"/>
      <w:bookmarkStart w:id="224" w:name="_Toc168862353"/>
      <w:bookmarkEnd w:id="224"/>
      <w:bookmarkStart w:id="225" w:name="_Toc168862358"/>
      <w:bookmarkEnd w:id="225"/>
      <w:bookmarkStart w:id="226" w:name="_Toc168868976"/>
      <w:bookmarkEnd w:id="226"/>
      <w:bookmarkStart w:id="227" w:name="_Toc168868979"/>
      <w:bookmarkEnd w:id="227"/>
      <w:bookmarkStart w:id="228" w:name="_Toc168862352"/>
      <w:bookmarkEnd w:id="228"/>
      <w:bookmarkStart w:id="229" w:name="_Toc168862355"/>
      <w:bookmarkEnd w:id="229"/>
      <w:bookmarkStart w:id="230" w:name="_Toc172280892"/>
      <w:bookmarkStart w:id="231" w:name="_Toc171947843"/>
      <w:bookmarkStart w:id="232" w:name="_Toc170638790"/>
      <w:bookmarkStart w:id="233" w:name="_Hlk167911598"/>
      <w:r>
        <w:rPr>
          <w:rFonts w:hint="eastAsia"/>
        </w:rPr>
        <w:t>控制策略迭代调整</w:t>
      </w:r>
      <w:bookmarkEnd w:id="230"/>
      <w:bookmarkEnd w:id="231"/>
      <w:bookmarkEnd w:id="232"/>
    </w:p>
    <w:p w14:paraId="3943B610">
      <w:pPr>
        <w:pStyle w:val="272"/>
      </w:pPr>
      <w:r>
        <w:rPr>
          <w:rFonts w:hint="eastAsia"/>
        </w:rPr>
        <w:t>为了支持延伸控制策略在隐私信息提供者和隐私信息接收者之间流转时的动态更新，避免因短板效应导致的隐私泄露，控制策略迭代动态调整包括但不限于：</w:t>
      </w:r>
    </w:p>
    <w:p w14:paraId="75AC5D59">
      <w:pPr>
        <w:pStyle w:val="272"/>
        <w:numPr>
          <w:ilvl w:val="0"/>
          <w:numId w:val="65"/>
        </w:numPr>
        <w:ind w:left="840" w:leftChars="200" w:hanging="420" w:hangingChars="200"/>
        <w:rPr>
          <w:szCs w:val="22"/>
        </w:rPr>
      </w:pPr>
      <w:r>
        <w:rPr>
          <w:rFonts w:hint="eastAsia"/>
          <w:szCs w:val="22"/>
        </w:rPr>
        <w:t>从接收到的信息中，解析前序隐私信息处理者嵌入的延伸控制策略，生成延伸控制策略集合；</w:t>
      </w:r>
    </w:p>
    <w:p w14:paraId="708621DB">
      <w:pPr>
        <w:pStyle w:val="272"/>
        <w:numPr>
          <w:ilvl w:val="0"/>
          <w:numId w:val="65"/>
        </w:numPr>
        <w:ind w:left="840" w:leftChars="200" w:hanging="420" w:hangingChars="200"/>
        <w:rPr>
          <w:szCs w:val="22"/>
        </w:rPr>
      </w:pPr>
      <w:r>
        <w:rPr>
          <w:rFonts w:hint="eastAsia"/>
          <w:szCs w:val="22"/>
        </w:rPr>
        <w:t>根据后序隐私信息接收者的隐私保护能力、应用场景、数据模态等信息，更新延伸控制策略集合；</w:t>
      </w:r>
    </w:p>
    <w:p w14:paraId="64CDB895">
      <w:pPr>
        <w:pStyle w:val="272"/>
        <w:numPr>
          <w:ilvl w:val="0"/>
          <w:numId w:val="65"/>
        </w:numPr>
        <w:ind w:left="840" w:leftChars="200" w:hanging="420" w:hangingChars="200"/>
        <w:rPr>
          <w:szCs w:val="22"/>
        </w:rPr>
      </w:pPr>
      <w:r>
        <w:rPr>
          <w:rFonts w:hint="eastAsia"/>
          <w:szCs w:val="22"/>
        </w:rPr>
        <w:t>更新后的控制集合，连同本级根据控制策略处理过的隐私信息，安全地传递给后序隐私信息接收者；</w:t>
      </w:r>
    </w:p>
    <w:p w14:paraId="432F06DE">
      <w:pPr>
        <w:pStyle w:val="272"/>
        <w:numPr>
          <w:ilvl w:val="0"/>
          <w:numId w:val="65"/>
        </w:numPr>
        <w:ind w:left="840" w:leftChars="200" w:hanging="420" w:hangingChars="200"/>
        <w:rPr>
          <w:szCs w:val="22"/>
        </w:rPr>
      </w:pPr>
      <w:r>
        <w:rPr>
          <w:rFonts w:hint="eastAsia"/>
          <w:szCs w:val="22"/>
        </w:rPr>
        <w:t>支持在延伸控制策略集合中，嵌入部分或全部前序隐私处理者信息，应至少包含前一级隐私信息处理者的信息；</w:t>
      </w:r>
    </w:p>
    <w:p w14:paraId="7E274B36">
      <w:pPr>
        <w:pStyle w:val="272"/>
        <w:numPr>
          <w:ilvl w:val="0"/>
          <w:numId w:val="65"/>
        </w:numPr>
        <w:ind w:left="840" w:leftChars="200" w:hanging="420" w:hangingChars="200"/>
        <w:rPr>
          <w:szCs w:val="22"/>
        </w:rPr>
      </w:pPr>
      <w:r>
        <w:rPr>
          <w:rFonts w:hint="eastAsia"/>
          <w:szCs w:val="22"/>
        </w:rPr>
        <w:t>可采用可信环境等技术措施，保证延伸控制策略更新调整的安全性。</w:t>
      </w:r>
    </w:p>
    <w:bookmarkEnd w:id="233"/>
    <w:p w14:paraId="447D4B48">
      <w:pPr>
        <w:pStyle w:val="277"/>
        <w:numPr>
          <w:ilvl w:val="2"/>
          <w:numId w:val="37"/>
        </w:numPr>
      </w:pPr>
      <w:bookmarkStart w:id="234" w:name="_Toc171947844"/>
      <w:bookmarkStart w:id="235" w:name="_Toc172280893"/>
      <w:bookmarkStart w:id="236" w:name="_Toc170638791"/>
      <w:r>
        <w:rPr>
          <w:rFonts w:hint="eastAsia"/>
        </w:rPr>
        <w:t>策略执行可信验证</w:t>
      </w:r>
      <w:bookmarkEnd w:id="234"/>
      <w:bookmarkEnd w:id="235"/>
      <w:bookmarkEnd w:id="236"/>
    </w:p>
    <w:p w14:paraId="15BDDBF4">
      <w:pPr>
        <w:pStyle w:val="272"/>
      </w:pPr>
      <w:r>
        <w:rPr>
          <w:rFonts w:hint="eastAsia"/>
        </w:rPr>
        <w:t>为了验证延伸控制策略是否被隐私信息接收者完整正确地执行，策略执行可信验证包括但不限于：</w:t>
      </w:r>
    </w:p>
    <w:p w14:paraId="2FABEE77">
      <w:pPr>
        <w:pStyle w:val="272"/>
        <w:numPr>
          <w:ilvl w:val="0"/>
          <w:numId w:val="66"/>
        </w:numPr>
        <w:ind w:left="840" w:leftChars="200" w:hanging="420" w:hangingChars="200"/>
        <w:rPr>
          <w:szCs w:val="22"/>
        </w:rPr>
      </w:pPr>
      <w:r>
        <w:rPr>
          <w:rFonts w:hint="eastAsia"/>
          <w:szCs w:val="22"/>
        </w:rPr>
        <w:t>支持隐私信息接收者，验证隐私信息传播链上任一后序隐私信息接收者和隐私信息处理者是否按预期执行其延伸控制策略；</w:t>
      </w:r>
    </w:p>
    <w:p w14:paraId="71E8285D">
      <w:pPr>
        <w:pStyle w:val="272"/>
        <w:numPr>
          <w:ilvl w:val="0"/>
          <w:numId w:val="66"/>
        </w:numPr>
        <w:ind w:left="840" w:leftChars="200" w:hanging="420" w:hangingChars="200"/>
        <w:rPr>
          <w:szCs w:val="22"/>
        </w:rPr>
      </w:pPr>
      <w:r>
        <w:rPr>
          <w:rFonts w:hint="eastAsia"/>
          <w:szCs w:val="22"/>
        </w:rPr>
        <w:t>采用日志采集及分析、密码学等技术，保证隐私信息提供者或隐私信息转发者，可验证隐私信息接收者按照预期完整正确地执行了延伸控制策略；</w:t>
      </w:r>
    </w:p>
    <w:p w14:paraId="72616F85">
      <w:pPr>
        <w:pStyle w:val="272"/>
        <w:numPr>
          <w:ilvl w:val="0"/>
          <w:numId w:val="66"/>
        </w:numPr>
        <w:ind w:left="840" w:leftChars="200" w:hanging="420" w:hangingChars="200"/>
      </w:pPr>
      <w:r>
        <w:rPr>
          <w:rFonts w:hint="eastAsia"/>
          <w:szCs w:val="22"/>
        </w:rPr>
        <w:t>可采用聚合签名、可信环境等技术，保证当前隐私信息接收者可验证隐私信息传播链上所有前序</w:t>
      </w:r>
      <w:r>
        <w:rPr>
          <w:rFonts w:hint="eastAsia"/>
        </w:rPr>
        <w:t>隐私信息处理者是否按要求执行了控制策略。</w:t>
      </w:r>
    </w:p>
    <w:p w14:paraId="53C4B213">
      <w:pPr>
        <w:pStyle w:val="276"/>
        <w:numPr>
          <w:ilvl w:val="1"/>
          <w:numId w:val="37"/>
        </w:numPr>
      </w:pPr>
      <w:bookmarkStart w:id="237" w:name="_Toc170638792"/>
      <w:bookmarkStart w:id="238" w:name="_Toc172280894"/>
      <w:bookmarkStart w:id="239" w:name="_Toc171947845"/>
      <w:bookmarkStart w:id="240" w:name="_Toc168869031"/>
      <w:r>
        <w:rPr>
          <w:rFonts w:hint="eastAsia"/>
        </w:rPr>
        <w:t>隐私按需保护</w:t>
      </w:r>
      <w:bookmarkEnd w:id="237"/>
      <w:bookmarkEnd w:id="238"/>
      <w:bookmarkEnd w:id="239"/>
      <w:bookmarkEnd w:id="240"/>
    </w:p>
    <w:p w14:paraId="3BF06EF3">
      <w:pPr>
        <w:pStyle w:val="277"/>
        <w:numPr>
          <w:ilvl w:val="2"/>
          <w:numId w:val="37"/>
        </w:numPr>
      </w:pPr>
      <w:bookmarkStart w:id="241" w:name="_Toc172280895"/>
      <w:bookmarkStart w:id="242" w:name="_Toc168869032"/>
      <w:bookmarkStart w:id="243" w:name="_Toc170638793"/>
      <w:bookmarkStart w:id="244" w:name="_Toc171947846"/>
      <w:r>
        <w:rPr>
          <w:rFonts w:hint="eastAsia"/>
        </w:rPr>
        <w:t>概述</w:t>
      </w:r>
      <w:bookmarkEnd w:id="241"/>
      <w:bookmarkEnd w:id="242"/>
      <w:bookmarkEnd w:id="243"/>
      <w:bookmarkEnd w:id="244"/>
    </w:p>
    <w:p w14:paraId="11DD3746">
      <w:pPr>
        <w:widowControl/>
        <w:autoSpaceDE w:val="0"/>
        <w:autoSpaceDN w:val="0"/>
        <w:ind w:firstLine="420" w:firstLineChars="200"/>
        <w:rPr>
          <w:rFonts w:ascii="宋体"/>
          <w:kern w:val="0"/>
          <w:szCs w:val="20"/>
        </w:rPr>
      </w:pPr>
      <w:bookmarkStart w:id="245" w:name="_Hlk169768535"/>
      <w:r>
        <w:rPr>
          <w:rFonts w:hint="eastAsia" w:ascii="宋体"/>
          <w:kern w:val="0"/>
          <w:szCs w:val="20"/>
        </w:rPr>
        <w:t>隐私按需保护用于隐私信息处理者根据隐私信息所有者或隐私信息提供者的脱敏要求、隐私信息模态以及隐私信息接收者的隐私保护能力等因素，如图4所示，对隐私信息分量进行场景自适应的脱敏和删除操作。</w:t>
      </w:r>
      <w:r>
        <w:rPr>
          <w:rFonts w:hint="eastAsia"/>
        </w:rPr>
        <w:t>若保护效果评估未到预期效果，则可能重新执行</w:t>
      </w:r>
      <w:r>
        <w:rPr>
          <w:rFonts w:hint="eastAsia" w:ascii="宋体"/>
          <w:kern w:val="0"/>
          <w:szCs w:val="20"/>
        </w:rPr>
        <w:t>隐私按需保护</w:t>
      </w:r>
      <w:r>
        <w:rPr>
          <w:rFonts w:hint="eastAsia"/>
        </w:rPr>
        <w:t>。</w:t>
      </w:r>
      <w:r>
        <w:rPr>
          <w:rFonts w:hint="eastAsia" w:ascii="宋体"/>
          <w:kern w:val="0"/>
          <w:szCs w:val="20"/>
        </w:rPr>
        <w:t>隐私按需保护包括：</w:t>
      </w:r>
    </w:p>
    <w:p w14:paraId="6E9E277B">
      <w:pPr>
        <w:pStyle w:val="272"/>
        <w:numPr>
          <w:ilvl w:val="0"/>
          <w:numId w:val="67"/>
        </w:numPr>
        <w:ind w:left="840" w:leftChars="200" w:hanging="420" w:hangingChars="200"/>
        <w:rPr>
          <w:szCs w:val="22"/>
        </w:rPr>
      </w:pPr>
      <w:r>
        <w:rPr>
          <w:rFonts w:hint="eastAsia"/>
          <w:szCs w:val="22"/>
        </w:rPr>
        <w:t>脱敏算法能力评估，对脱敏算法能力从可逆性、信息偏差性、信息损失性、复杂性等方面进行评估；</w:t>
      </w:r>
    </w:p>
    <w:p w14:paraId="445D9C95">
      <w:pPr>
        <w:pStyle w:val="272"/>
        <w:numPr>
          <w:ilvl w:val="0"/>
          <w:numId w:val="67"/>
        </w:numPr>
        <w:ind w:left="840" w:leftChars="200" w:hanging="420" w:hangingChars="200"/>
        <w:rPr>
          <w:szCs w:val="22"/>
        </w:rPr>
      </w:pPr>
      <w:r>
        <w:rPr>
          <w:rFonts w:hint="eastAsia"/>
          <w:szCs w:val="22"/>
        </w:rPr>
        <w:t>按需脱敏，隐私信息处理者结合信息模态、业务需求等因素，解析并根据脱敏控制策略，选择脱敏算法集合，进行脱敏处理；</w:t>
      </w:r>
    </w:p>
    <w:p w14:paraId="564CE68E">
      <w:pPr>
        <w:pStyle w:val="272"/>
        <w:numPr>
          <w:ilvl w:val="0"/>
          <w:numId w:val="67"/>
        </w:numPr>
        <w:ind w:left="840" w:leftChars="200" w:hanging="420" w:hangingChars="200"/>
        <w:rPr>
          <w:szCs w:val="22"/>
        </w:rPr>
      </w:pPr>
      <w:r>
        <w:rPr>
          <w:rFonts w:hint="eastAsia"/>
          <w:szCs w:val="22"/>
        </w:rPr>
        <w:t>按需删除，隐私信息处理者解析删除控制策略并根据删除控制策略选定删除对象和删除方法，进行删除处理；</w:t>
      </w:r>
    </w:p>
    <w:p w14:paraId="5F35BB0A">
      <w:pPr>
        <w:pStyle w:val="272"/>
        <w:numPr>
          <w:ilvl w:val="0"/>
          <w:numId w:val="67"/>
        </w:numPr>
        <w:ind w:left="840" w:leftChars="200" w:hanging="420" w:hangingChars="200"/>
        <w:rPr>
          <w:szCs w:val="22"/>
        </w:rPr>
      </w:pPr>
      <w:r>
        <w:rPr>
          <w:rFonts w:hint="eastAsia"/>
          <w:szCs w:val="22"/>
        </w:rPr>
        <w:t>按需采用数据使用安全技术,隐私信息处理者根据延伸控制策略，在多方联合数据利用时，隐私信息处理者结合信息模态、业务需求等因素，选择所采用的数据使用安全技术、算法协议以及安全参数，进行多方联合计算。</w:t>
      </w:r>
    </w:p>
    <w:p w14:paraId="2B55463A">
      <w:pPr>
        <w:widowControl/>
        <w:autoSpaceDE w:val="0"/>
        <w:autoSpaceDN w:val="0"/>
        <w:jc w:val="center"/>
      </w:pPr>
      <w:r>
        <w:drawing>
          <wp:inline distT="0" distB="0" distL="0" distR="0">
            <wp:extent cx="5934710" cy="2523490"/>
            <wp:effectExtent l="0" t="0" r="8890" b="0"/>
            <wp:docPr id="9849666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686"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34710" cy="2523490"/>
                    </a:xfrm>
                    <a:prstGeom prst="rect">
                      <a:avLst/>
                    </a:prstGeom>
                    <a:noFill/>
                    <a:ln>
                      <a:noFill/>
                    </a:ln>
                  </pic:spPr>
                </pic:pic>
              </a:graphicData>
            </a:graphic>
          </wp:inline>
        </w:drawing>
      </w:r>
    </w:p>
    <w:p w14:paraId="0173DF83">
      <w:pPr>
        <w:pStyle w:val="403"/>
        <w:numPr>
          <w:ilvl w:val="0"/>
          <w:numId w:val="43"/>
        </w:numPr>
        <w:spacing w:before="156" w:after="156"/>
      </w:pPr>
      <w:r>
        <w:rPr>
          <w:rFonts w:hint="eastAsia"/>
        </w:rPr>
        <w:t>隐私按需保护处理流程</w:t>
      </w:r>
    </w:p>
    <w:p w14:paraId="55526028">
      <w:pPr>
        <w:pStyle w:val="277"/>
        <w:numPr>
          <w:ilvl w:val="2"/>
          <w:numId w:val="37"/>
        </w:numPr>
      </w:pPr>
      <w:bookmarkStart w:id="246" w:name="_Toc170638794"/>
      <w:bookmarkStart w:id="247" w:name="_Toc168869033"/>
      <w:bookmarkStart w:id="248" w:name="_Toc172280896"/>
      <w:bookmarkStart w:id="249" w:name="_Toc171947847"/>
      <w:r>
        <w:rPr>
          <w:rFonts w:hint="eastAsia"/>
        </w:rPr>
        <w:t>脱敏算法能力评估</w:t>
      </w:r>
      <w:bookmarkEnd w:id="246"/>
      <w:bookmarkEnd w:id="247"/>
      <w:bookmarkEnd w:id="248"/>
      <w:bookmarkEnd w:id="249"/>
    </w:p>
    <w:p w14:paraId="543FC7E1">
      <w:pPr>
        <w:pStyle w:val="271"/>
        <w:numPr>
          <w:ilvl w:val="3"/>
          <w:numId w:val="37"/>
        </w:numPr>
      </w:pPr>
      <w:bookmarkStart w:id="250" w:name="_Toc168869034"/>
      <w:bookmarkStart w:id="251" w:name="_Toc170638261"/>
      <w:bookmarkStart w:id="252" w:name="_Toc170638795"/>
      <w:r>
        <w:rPr>
          <w:rFonts w:hint="eastAsia"/>
        </w:rPr>
        <w:t>脱敏算法能力评估的指标体系</w:t>
      </w:r>
      <w:bookmarkEnd w:id="250"/>
      <w:bookmarkEnd w:id="251"/>
      <w:bookmarkEnd w:id="252"/>
    </w:p>
    <w:p w14:paraId="2DE3F6E1">
      <w:pPr>
        <w:widowControl/>
        <w:autoSpaceDE w:val="0"/>
        <w:autoSpaceDN w:val="0"/>
        <w:ind w:firstLine="420" w:firstLineChars="200"/>
        <w:rPr>
          <w:rFonts w:ascii="宋体"/>
          <w:kern w:val="0"/>
          <w:szCs w:val="20"/>
        </w:rPr>
      </w:pPr>
      <w:r>
        <w:rPr>
          <w:rFonts w:hint="eastAsia" w:ascii="宋体"/>
          <w:kern w:val="0"/>
          <w:szCs w:val="20"/>
        </w:rPr>
        <w:t>脱敏算法能力评估的指标体系包括可逆性、信息偏差性、信息损失性和复杂性等四类指标，且基于测评样本基准数据集，对各类脱敏算法进行能力评估。</w:t>
      </w:r>
    </w:p>
    <w:p w14:paraId="1D82DE0C">
      <w:pPr>
        <w:widowControl/>
        <w:numPr>
          <w:ilvl w:val="4"/>
          <w:numId w:val="37"/>
        </w:numPr>
        <w:spacing w:before="156" w:beforeLines="50" w:after="156" w:afterLines="50"/>
        <w:outlineLvl w:val="3"/>
        <w:rPr>
          <w:rFonts w:ascii="黑体" w:eastAsia="黑体"/>
          <w:kern w:val="0"/>
          <w:szCs w:val="20"/>
        </w:rPr>
      </w:pPr>
      <w:r>
        <w:rPr>
          <w:rFonts w:hint="eastAsia" w:ascii="黑体" w:eastAsia="黑体"/>
          <w:kern w:val="0"/>
          <w:szCs w:val="20"/>
        </w:rPr>
        <w:t>可逆性评估指标</w:t>
      </w:r>
    </w:p>
    <w:p w14:paraId="408D30B3">
      <w:pPr>
        <w:widowControl/>
        <w:autoSpaceDE w:val="0"/>
        <w:autoSpaceDN w:val="0"/>
        <w:ind w:firstLine="420" w:firstLineChars="200"/>
        <w:rPr>
          <w:rFonts w:ascii="宋体"/>
          <w:kern w:val="0"/>
          <w:szCs w:val="20"/>
        </w:rPr>
      </w:pPr>
      <w:r>
        <w:rPr>
          <w:rFonts w:hint="eastAsia" w:ascii="宋体"/>
          <w:kern w:val="0"/>
          <w:szCs w:val="20"/>
        </w:rPr>
        <w:t>可逆性评估是衡量从脱敏算法处理后信息中复原隐私信息的可能性。由于脱敏旨在保护敏感个人信息，通常情况下脱敏是不可逆的。可逆性度量方法如下：</w:t>
      </w:r>
    </w:p>
    <w:p w14:paraId="039221AA">
      <w:pPr>
        <w:pStyle w:val="272"/>
        <w:numPr>
          <w:ilvl w:val="0"/>
          <w:numId w:val="68"/>
        </w:numPr>
        <w:ind w:left="840" w:leftChars="200" w:hanging="420" w:hangingChars="200"/>
        <w:rPr>
          <w:szCs w:val="22"/>
        </w:rPr>
      </w:pPr>
      <w:r>
        <w:rPr>
          <w:rFonts w:hint="eastAsia"/>
          <w:szCs w:val="22"/>
        </w:rPr>
        <w:t>脱敏算法可逆性，评估隐私信息脱敏使用的是否是不可逆脱敏算法；</w:t>
      </w:r>
    </w:p>
    <w:p w14:paraId="18223A0C">
      <w:pPr>
        <w:pStyle w:val="272"/>
        <w:numPr>
          <w:ilvl w:val="0"/>
          <w:numId w:val="68"/>
        </w:numPr>
        <w:ind w:left="840" w:leftChars="200" w:hanging="420" w:hangingChars="200"/>
        <w:rPr>
          <w:szCs w:val="22"/>
        </w:rPr>
      </w:pPr>
      <w:r>
        <w:rPr>
          <w:rFonts w:hint="eastAsia"/>
          <w:szCs w:val="22"/>
        </w:rPr>
        <w:t>脱敏算法参数强度，评估脱敏算法使用的参数强度；</w:t>
      </w:r>
    </w:p>
    <w:p w14:paraId="7419962E">
      <w:pPr>
        <w:pStyle w:val="272"/>
        <w:numPr>
          <w:ilvl w:val="0"/>
          <w:numId w:val="68"/>
        </w:numPr>
        <w:ind w:left="840" w:leftChars="200" w:hanging="420" w:hangingChars="200"/>
        <w:rPr>
          <w:szCs w:val="22"/>
        </w:rPr>
      </w:pPr>
      <w:r>
        <w:rPr>
          <w:rFonts w:hint="eastAsia"/>
          <w:szCs w:val="22"/>
        </w:rPr>
        <w:t>信息还原性，评估通过脱敏后的隐私信息还原出原始隐私信息的程度，例如：恢复信息的准确度、恢复信息的偏差度。</w:t>
      </w:r>
    </w:p>
    <w:p w14:paraId="14A348EB">
      <w:pPr>
        <w:widowControl/>
        <w:numPr>
          <w:ilvl w:val="4"/>
          <w:numId w:val="37"/>
        </w:numPr>
        <w:spacing w:before="156" w:beforeLines="50" w:after="156" w:afterLines="50"/>
        <w:outlineLvl w:val="3"/>
        <w:rPr>
          <w:rFonts w:ascii="黑体" w:eastAsia="黑体"/>
          <w:kern w:val="0"/>
          <w:szCs w:val="20"/>
        </w:rPr>
      </w:pPr>
      <w:r>
        <w:rPr>
          <w:rFonts w:hint="eastAsia" w:ascii="黑体" w:eastAsia="黑体"/>
          <w:kern w:val="0"/>
          <w:szCs w:val="20"/>
        </w:rPr>
        <w:t>信息偏差性评估指标</w:t>
      </w:r>
    </w:p>
    <w:p w14:paraId="5731098E">
      <w:pPr>
        <w:widowControl/>
        <w:autoSpaceDE w:val="0"/>
        <w:autoSpaceDN w:val="0"/>
        <w:ind w:firstLine="420" w:firstLineChars="200"/>
        <w:rPr>
          <w:rFonts w:ascii="宋体"/>
          <w:kern w:val="0"/>
          <w:szCs w:val="20"/>
        </w:rPr>
      </w:pPr>
      <w:r>
        <w:rPr>
          <w:rFonts w:hint="eastAsia" w:ascii="宋体"/>
          <w:kern w:val="0"/>
          <w:szCs w:val="20"/>
        </w:rPr>
        <w:t>信息偏差性评估是衡量脱敏算法处理后的信息失真和偏移程度。信息偏差性度量方法如下：</w:t>
      </w:r>
    </w:p>
    <w:p w14:paraId="0F48708B">
      <w:pPr>
        <w:pStyle w:val="272"/>
        <w:numPr>
          <w:ilvl w:val="0"/>
          <w:numId w:val="69"/>
        </w:numPr>
        <w:ind w:left="840" w:leftChars="200" w:hanging="420" w:hangingChars="200"/>
        <w:rPr>
          <w:szCs w:val="22"/>
        </w:rPr>
      </w:pPr>
      <w:r>
        <w:rPr>
          <w:rFonts w:hint="eastAsia"/>
          <w:szCs w:val="22"/>
        </w:rPr>
        <w:t>统计偏差性，比较原始数据和脱敏后数据的统计指标，例如：均方差、平均绝对值、KL散度、欧氏距离、余弦距离、峰值信噪比、结构相似性指数、均值、中位数、方差、标准差、最大值、最小值等；</w:t>
      </w:r>
    </w:p>
    <w:p w14:paraId="691243CF">
      <w:pPr>
        <w:pStyle w:val="272"/>
        <w:numPr>
          <w:ilvl w:val="0"/>
          <w:numId w:val="69"/>
        </w:numPr>
        <w:ind w:left="840" w:leftChars="200" w:hanging="420" w:hangingChars="200"/>
        <w:rPr>
          <w:szCs w:val="22"/>
        </w:rPr>
      </w:pPr>
      <w:r>
        <w:rPr>
          <w:rFonts w:hint="eastAsia"/>
          <w:szCs w:val="22"/>
        </w:rPr>
        <w:t>数据分布偏差性，比较原始数据和脱敏后数据的分布差异，例如：分布形状、分位数和累积分布函数等；</w:t>
      </w:r>
    </w:p>
    <w:p w14:paraId="7CC048B1">
      <w:pPr>
        <w:pStyle w:val="272"/>
        <w:numPr>
          <w:ilvl w:val="0"/>
          <w:numId w:val="69"/>
        </w:numPr>
        <w:ind w:left="840" w:leftChars="200" w:hanging="420" w:hangingChars="200"/>
        <w:rPr>
          <w:szCs w:val="22"/>
        </w:rPr>
      </w:pPr>
      <w:r>
        <w:rPr>
          <w:rFonts w:hint="eastAsia"/>
          <w:szCs w:val="22"/>
        </w:rPr>
        <w:t>模型应用准确性，使用原始数据和脱敏后数据分别构建训练模型，比较模型在验证集或测试集上的效果；</w:t>
      </w:r>
    </w:p>
    <w:p w14:paraId="77B1AF19">
      <w:pPr>
        <w:pStyle w:val="272"/>
        <w:numPr>
          <w:ilvl w:val="0"/>
          <w:numId w:val="69"/>
        </w:numPr>
        <w:ind w:left="840" w:leftChars="200" w:hanging="420" w:hangingChars="200"/>
        <w:rPr>
          <w:szCs w:val="22"/>
        </w:rPr>
      </w:pPr>
      <w:r>
        <w:rPr>
          <w:rFonts w:hint="eastAsia"/>
          <w:szCs w:val="22"/>
        </w:rPr>
        <w:t>数据随机性分析，评估脱敏算法对隐私信息的随机性影响程度。</w:t>
      </w:r>
    </w:p>
    <w:p w14:paraId="76975B93">
      <w:pPr>
        <w:widowControl/>
        <w:numPr>
          <w:ilvl w:val="4"/>
          <w:numId w:val="37"/>
        </w:numPr>
        <w:spacing w:before="156" w:beforeLines="50" w:after="156" w:afterLines="50"/>
        <w:outlineLvl w:val="3"/>
        <w:rPr>
          <w:rFonts w:ascii="黑体" w:eastAsia="黑体"/>
          <w:kern w:val="0"/>
          <w:szCs w:val="20"/>
        </w:rPr>
      </w:pPr>
      <w:r>
        <w:rPr>
          <w:rFonts w:hint="eastAsia" w:ascii="黑体" w:eastAsia="黑体"/>
          <w:kern w:val="0"/>
          <w:szCs w:val="20"/>
        </w:rPr>
        <w:t>信息损失性评估指标</w:t>
      </w:r>
    </w:p>
    <w:p w14:paraId="27A0FC3B">
      <w:pPr>
        <w:widowControl/>
        <w:autoSpaceDE w:val="0"/>
        <w:autoSpaceDN w:val="0"/>
        <w:ind w:firstLine="420" w:firstLineChars="200"/>
        <w:rPr>
          <w:rFonts w:ascii="宋体"/>
          <w:kern w:val="0"/>
          <w:szCs w:val="20"/>
        </w:rPr>
      </w:pPr>
      <w:r>
        <w:rPr>
          <w:rFonts w:hint="eastAsia" w:ascii="宋体"/>
          <w:kern w:val="0"/>
          <w:szCs w:val="20"/>
        </w:rPr>
        <w:t>信息损失性评估是衡量脱敏算法处理后隐私信息损失部分对可用性的影响程度。信息损失性度量方法如下：</w:t>
      </w:r>
    </w:p>
    <w:p w14:paraId="65F93793">
      <w:pPr>
        <w:pStyle w:val="272"/>
        <w:numPr>
          <w:ilvl w:val="0"/>
          <w:numId w:val="70"/>
        </w:numPr>
        <w:ind w:left="840" w:leftChars="200" w:hanging="420" w:hangingChars="200"/>
        <w:rPr>
          <w:szCs w:val="22"/>
        </w:rPr>
      </w:pPr>
      <w:r>
        <w:rPr>
          <w:rFonts w:hint="eastAsia"/>
          <w:szCs w:val="22"/>
        </w:rPr>
        <w:t>信息熵，信息熵是衡量数据集中信息量的度量指标，通过计算原始数据和脱敏后数据的信息熵，并比较差异；</w:t>
      </w:r>
    </w:p>
    <w:p w14:paraId="24D601EF">
      <w:pPr>
        <w:pStyle w:val="272"/>
        <w:numPr>
          <w:ilvl w:val="0"/>
          <w:numId w:val="70"/>
        </w:numPr>
        <w:ind w:left="840" w:leftChars="200" w:hanging="420" w:hangingChars="200"/>
        <w:rPr>
          <w:szCs w:val="22"/>
        </w:rPr>
      </w:pPr>
      <w:r>
        <w:rPr>
          <w:rFonts w:hint="eastAsia"/>
          <w:szCs w:val="22"/>
        </w:rPr>
        <w:t>互信息，互信息是衡量两个随机变量之间相互依赖程度的度量指标，通过计算原始数据和脱敏后数据之间的互信息进行量化评估；</w:t>
      </w:r>
    </w:p>
    <w:p w14:paraId="4114E725">
      <w:pPr>
        <w:pStyle w:val="272"/>
        <w:numPr>
          <w:ilvl w:val="0"/>
          <w:numId w:val="70"/>
        </w:numPr>
        <w:ind w:left="840" w:leftChars="200" w:hanging="420" w:hangingChars="200"/>
        <w:rPr>
          <w:szCs w:val="22"/>
        </w:rPr>
      </w:pPr>
      <w:r>
        <w:rPr>
          <w:rFonts w:hint="eastAsia"/>
          <w:szCs w:val="22"/>
        </w:rPr>
        <w:t>数据分布特征，比较原始数据和脱敏后数据的分布特征的统计指标，例如：均值、方差、分位数等；</w:t>
      </w:r>
    </w:p>
    <w:p w14:paraId="59F44E8E">
      <w:pPr>
        <w:pStyle w:val="272"/>
        <w:numPr>
          <w:ilvl w:val="0"/>
          <w:numId w:val="70"/>
        </w:numPr>
        <w:ind w:left="840" w:leftChars="200" w:hanging="420" w:hangingChars="200"/>
        <w:rPr>
          <w:szCs w:val="22"/>
        </w:rPr>
      </w:pPr>
      <w:r>
        <w:rPr>
          <w:rFonts w:hint="eastAsia"/>
          <w:szCs w:val="22"/>
        </w:rPr>
        <w:t>数据关联性，计算原始数据和脱敏后数据之间的关联性的度量指标，例如：相关系数、协方差等；</w:t>
      </w:r>
    </w:p>
    <w:p w14:paraId="0C768ECE">
      <w:pPr>
        <w:pStyle w:val="272"/>
        <w:numPr>
          <w:ilvl w:val="0"/>
          <w:numId w:val="70"/>
        </w:numPr>
        <w:ind w:left="840" w:leftChars="200" w:hanging="420" w:hangingChars="200"/>
        <w:rPr>
          <w:szCs w:val="22"/>
        </w:rPr>
      </w:pPr>
      <w:r>
        <w:rPr>
          <w:rFonts w:hint="eastAsia"/>
          <w:szCs w:val="22"/>
        </w:rPr>
        <w:t>数据可用性，评估脱敏数据在特定应用场景下的可用程度指标，例如：数据分析、模型训练等应用场景。</w:t>
      </w:r>
    </w:p>
    <w:p w14:paraId="3B5139EC">
      <w:pPr>
        <w:widowControl/>
        <w:numPr>
          <w:ilvl w:val="4"/>
          <w:numId w:val="37"/>
        </w:numPr>
        <w:spacing w:before="156" w:beforeLines="50" w:after="156" w:afterLines="50"/>
        <w:outlineLvl w:val="3"/>
        <w:rPr>
          <w:rFonts w:ascii="黑体" w:eastAsia="黑体"/>
          <w:kern w:val="0"/>
          <w:szCs w:val="20"/>
        </w:rPr>
      </w:pPr>
      <w:r>
        <w:rPr>
          <w:rFonts w:hint="eastAsia" w:ascii="黑体" w:eastAsia="黑体"/>
          <w:kern w:val="0"/>
          <w:szCs w:val="20"/>
        </w:rPr>
        <w:t>复杂性评估指标</w:t>
      </w:r>
    </w:p>
    <w:p w14:paraId="3627D858">
      <w:pPr>
        <w:widowControl/>
        <w:autoSpaceDE w:val="0"/>
        <w:autoSpaceDN w:val="0"/>
        <w:ind w:firstLine="420" w:firstLineChars="200"/>
        <w:rPr>
          <w:rFonts w:ascii="宋体"/>
          <w:kern w:val="0"/>
          <w:szCs w:val="20"/>
        </w:rPr>
      </w:pPr>
      <w:r>
        <w:rPr>
          <w:rFonts w:hint="eastAsia" w:ascii="宋体"/>
          <w:kern w:val="0"/>
          <w:szCs w:val="20"/>
        </w:rPr>
        <w:t>复杂性评估是衡量脱敏算法处理隐私信息所需的资源开销。复杂性度量方法如下：</w:t>
      </w:r>
    </w:p>
    <w:p w14:paraId="31A377FE">
      <w:pPr>
        <w:pStyle w:val="272"/>
        <w:numPr>
          <w:ilvl w:val="0"/>
          <w:numId w:val="71"/>
        </w:numPr>
        <w:ind w:left="840" w:leftChars="200" w:hanging="420" w:hangingChars="200"/>
        <w:rPr>
          <w:szCs w:val="22"/>
        </w:rPr>
      </w:pPr>
      <w:r>
        <w:rPr>
          <w:rFonts w:hint="eastAsia"/>
          <w:szCs w:val="22"/>
        </w:rPr>
        <w:t>时间复杂度，用于衡量算法执行所需时间的度量指标，可以通过分析算法中的操作、迭代次数和数据规模等来确定，例如：常数时间</w:t>
      </w:r>
      <m:oMath>
        <m:r>
          <m:rPr>
            <m:sty m:val="p"/>
          </m:rPr>
          <w:rPr>
            <w:rFonts w:ascii="Cambria Math" w:hAnsi="Cambria Math"/>
            <w:szCs w:val="22"/>
          </w:rPr>
          <m:t>O</m:t>
        </m:r>
        <m:d>
          <m:dPr>
            <m:ctrlPr>
              <w:rPr>
                <w:rFonts w:ascii="Cambria Math" w:hAnsi="Cambria Math"/>
                <w:szCs w:val="22"/>
              </w:rPr>
            </m:ctrlPr>
          </m:dPr>
          <m:e>
            <m:r>
              <m:rPr>
                <m:sty m:val="p"/>
              </m:rPr>
              <w:rPr>
                <w:rFonts w:ascii="Cambria Math" w:hAnsi="Cambria Math"/>
                <w:szCs w:val="22"/>
              </w:rPr>
              <m:t>1</m:t>
            </m:r>
            <m:ctrlPr>
              <w:rPr>
                <w:rFonts w:ascii="Cambria Math" w:hAnsi="Cambria Math"/>
                <w:szCs w:val="22"/>
              </w:rPr>
            </m:ctrlPr>
          </m:e>
        </m:d>
      </m:oMath>
      <w:r>
        <w:rPr>
          <w:rFonts w:hint="eastAsia"/>
          <w:szCs w:val="22"/>
        </w:rPr>
        <w:t>、线性时间</w:t>
      </w:r>
      <m:oMath>
        <m:r>
          <m:rPr>
            <m:sty m:val="p"/>
          </m:rPr>
          <w:rPr>
            <w:rFonts w:ascii="Cambria Math" w:hAnsi="Cambria Math"/>
            <w:szCs w:val="22"/>
          </w:rPr>
          <m:t>O</m:t>
        </m:r>
        <m:d>
          <m:dPr>
            <m:ctrlPr>
              <w:rPr>
                <w:rFonts w:ascii="Cambria Math" w:hAnsi="Cambria Math"/>
                <w:szCs w:val="22"/>
              </w:rPr>
            </m:ctrlPr>
          </m:dPr>
          <m:e>
            <m:r>
              <m:rPr>
                <m:sty m:val="p"/>
              </m:rPr>
              <w:rPr>
                <w:rFonts w:ascii="Cambria Math" w:hAnsi="Cambria Math"/>
                <w:szCs w:val="22"/>
              </w:rPr>
              <m:t>n</m:t>
            </m:r>
            <m:ctrlPr>
              <w:rPr>
                <w:rFonts w:ascii="Cambria Math" w:hAnsi="Cambria Math"/>
                <w:szCs w:val="22"/>
              </w:rPr>
            </m:ctrlPr>
          </m:e>
        </m:d>
      </m:oMath>
      <w:r>
        <w:rPr>
          <w:rFonts w:hint="eastAsia"/>
          <w:szCs w:val="22"/>
        </w:rPr>
        <w:t>、对数时间</w:t>
      </w:r>
      <m:oMath>
        <m:r>
          <m:rPr>
            <m:sty m:val="p"/>
          </m:rPr>
          <w:rPr>
            <w:rFonts w:ascii="Cambria Math" w:hAnsi="Cambria Math"/>
            <w:szCs w:val="22"/>
          </w:rPr>
          <m:t>O</m:t>
        </m:r>
        <m:d>
          <m:dPr>
            <m:ctrlPr>
              <w:rPr>
                <w:rFonts w:ascii="Cambria Math" w:hAnsi="Cambria Math"/>
                <w:szCs w:val="22"/>
              </w:rPr>
            </m:ctrlPr>
          </m:dPr>
          <m:e>
            <m:func>
              <m:funcPr>
                <m:ctrlPr>
                  <w:rPr>
                    <w:rFonts w:ascii="Cambria Math" w:hAnsi="Cambria Math"/>
                    <w:szCs w:val="22"/>
                  </w:rPr>
                </m:ctrlPr>
              </m:funcPr>
              <m:fName>
                <m:r>
                  <m:rPr>
                    <m:sty m:val="p"/>
                  </m:rPr>
                  <w:rPr>
                    <w:rFonts w:ascii="Cambria Math" w:hAnsi="Cambria Math"/>
                    <w:szCs w:val="22"/>
                  </w:rPr>
                  <m:t>log</m:t>
                </m:r>
                <m:ctrlPr>
                  <w:rPr>
                    <w:rFonts w:ascii="Cambria Math" w:hAnsi="Cambria Math"/>
                    <w:szCs w:val="22"/>
                  </w:rPr>
                </m:ctrlPr>
              </m:fName>
              <m:e>
                <m:r>
                  <m:rPr>
                    <m:sty m:val="p"/>
                  </m:rPr>
                  <w:rPr>
                    <w:rFonts w:ascii="Cambria Math" w:hAnsi="Cambria Math"/>
                    <w:szCs w:val="22"/>
                  </w:rPr>
                  <m:t>n</m:t>
                </m:r>
                <m:ctrlPr>
                  <w:rPr>
                    <w:rFonts w:ascii="Cambria Math" w:hAnsi="Cambria Math"/>
                    <w:szCs w:val="22"/>
                  </w:rPr>
                </m:ctrlPr>
              </m:e>
            </m:func>
            <m:ctrlPr>
              <w:rPr>
                <w:rFonts w:ascii="Cambria Math" w:hAnsi="Cambria Math"/>
                <w:szCs w:val="22"/>
              </w:rPr>
            </m:ctrlPr>
          </m:e>
        </m:d>
      </m:oMath>
      <w:r>
        <w:rPr>
          <w:rFonts w:hint="eastAsia"/>
          <w:szCs w:val="22"/>
        </w:rPr>
        <w:t>、平方时间</w:t>
      </w:r>
      <m:oMath>
        <m:r>
          <m:rPr>
            <m:sty m:val="p"/>
          </m:rPr>
          <w:rPr>
            <w:rFonts w:ascii="Cambria Math" w:hAnsi="Cambria Math"/>
            <w:szCs w:val="22"/>
          </w:rPr>
          <m:t>O</m:t>
        </m:r>
        <m:d>
          <m:dPr>
            <m:ctrlPr>
              <w:rPr>
                <w:rFonts w:ascii="Cambria Math" w:hAnsi="Cambria Math"/>
                <w:szCs w:val="22"/>
              </w:rPr>
            </m:ctrlPr>
          </m:dPr>
          <m:e>
            <m:sSup>
              <m:sSupPr>
                <m:ctrlPr>
                  <w:rPr>
                    <w:rFonts w:ascii="Cambria Math" w:hAnsi="Cambria Math"/>
                    <w:szCs w:val="22"/>
                  </w:rPr>
                </m:ctrlPr>
              </m:sSupPr>
              <m:e>
                <m:r>
                  <m:rPr>
                    <m:sty m:val="p"/>
                  </m:rPr>
                  <w:rPr>
                    <w:rFonts w:ascii="Cambria Math" w:hAnsi="Cambria Math"/>
                    <w:szCs w:val="22"/>
                  </w:rPr>
                  <m:t>n</m:t>
                </m:r>
                <m:ctrlPr>
                  <w:rPr>
                    <w:rFonts w:ascii="Cambria Math" w:hAnsi="Cambria Math"/>
                    <w:szCs w:val="22"/>
                  </w:rPr>
                </m:ctrlPr>
              </m:e>
              <m:sup>
                <m:r>
                  <m:rPr>
                    <m:sty m:val="p"/>
                  </m:rPr>
                  <w:rPr>
                    <w:rFonts w:ascii="Cambria Math" w:hAnsi="Cambria Math"/>
                    <w:szCs w:val="22"/>
                  </w:rPr>
                  <m:t>2</m:t>
                </m:r>
                <m:ctrlPr>
                  <w:rPr>
                    <w:rFonts w:ascii="Cambria Math" w:hAnsi="Cambria Math"/>
                    <w:szCs w:val="22"/>
                  </w:rPr>
                </m:ctrlPr>
              </m:sup>
            </m:sSup>
            <m:ctrlPr>
              <w:rPr>
                <w:rFonts w:ascii="Cambria Math" w:hAnsi="Cambria Math"/>
                <w:szCs w:val="22"/>
              </w:rPr>
            </m:ctrlPr>
          </m:e>
        </m:d>
      </m:oMath>
      <w:r>
        <w:rPr>
          <w:rFonts w:hint="eastAsia"/>
          <w:szCs w:val="22"/>
        </w:rPr>
        <w:t>等；</w:t>
      </w:r>
    </w:p>
    <w:p w14:paraId="673F24D0">
      <w:pPr>
        <w:pStyle w:val="272"/>
        <w:numPr>
          <w:ilvl w:val="0"/>
          <w:numId w:val="71"/>
        </w:numPr>
        <w:ind w:left="840" w:leftChars="200" w:hanging="420" w:hangingChars="200"/>
        <w:rPr>
          <w:szCs w:val="22"/>
        </w:rPr>
      </w:pPr>
      <w:r>
        <w:rPr>
          <w:rFonts w:hint="eastAsia"/>
          <w:szCs w:val="22"/>
        </w:rPr>
        <w:t>空间复杂度，用于衡量算法执行所需内存空间的度量指标，可以通过分析算法中使用的额外数据结构、变量和递归调用的深度等来确定，例如：常数空间</w:t>
      </w:r>
      <m:oMath>
        <m:r>
          <m:rPr>
            <m:sty m:val="p"/>
          </m:rPr>
          <w:rPr>
            <w:rFonts w:ascii="Cambria Math" w:hAnsi="Cambria Math"/>
            <w:szCs w:val="22"/>
          </w:rPr>
          <m:t>O</m:t>
        </m:r>
        <m:d>
          <m:dPr>
            <m:ctrlPr>
              <w:rPr>
                <w:rFonts w:ascii="Cambria Math" w:hAnsi="Cambria Math"/>
                <w:szCs w:val="22"/>
              </w:rPr>
            </m:ctrlPr>
          </m:dPr>
          <m:e>
            <m:r>
              <m:rPr>
                <m:sty m:val="p"/>
              </m:rPr>
              <w:rPr>
                <w:rFonts w:ascii="Cambria Math" w:hAnsi="Cambria Math"/>
                <w:szCs w:val="22"/>
              </w:rPr>
              <m:t>1</m:t>
            </m:r>
            <m:ctrlPr>
              <w:rPr>
                <w:rFonts w:ascii="Cambria Math" w:hAnsi="Cambria Math"/>
                <w:szCs w:val="22"/>
              </w:rPr>
            </m:ctrlPr>
          </m:e>
        </m:d>
      </m:oMath>
      <w:r>
        <w:rPr>
          <w:rFonts w:hint="eastAsia"/>
          <w:szCs w:val="22"/>
        </w:rPr>
        <w:t>、线性空间</w:t>
      </w:r>
      <m:oMath>
        <m:r>
          <m:rPr>
            <m:sty m:val="p"/>
          </m:rPr>
          <w:rPr>
            <w:rFonts w:ascii="Cambria Math" w:hAnsi="Cambria Math"/>
            <w:szCs w:val="22"/>
          </w:rPr>
          <m:t>O</m:t>
        </m:r>
        <m:d>
          <m:dPr>
            <m:ctrlPr>
              <w:rPr>
                <w:rFonts w:ascii="Cambria Math" w:hAnsi="Cambria Math"/>
                <w:szCs w:val="22"/>
              </w:rPr>
            </m:ctrlPr>
          </m:dPr>
          <m:e>
            <m:r>
              <m:rPr>
                <m:sty m:val="p"/>
              </m:rPr>
              <w:rPr>
                <w:rFonts w:ascii="Cambria Math" w:hAnsi="Cambria Math"/>
                <w:szCs w:val="22"/>
              </w:rPr>
              <m:t>n</m:t>
            </m:r>
            <m:ctrlPr>
              <w:rPr>
                <w:rFonts w:ascii="Cambria Math" w:hAnsi="Cambria Math"/>
                <w:szCs w:val="22"/>
              </w:rPr>
            </m:ctrlPr>
          </m:e>
        </m:d>
      </m:oMath>
      <w:r>
        <w:rPr>
          <w:rFonts w:hint="eastAsia"/>
          <w:szCs w:val="22"/>
        </w:rPr>
        <w:t>、指数空间</w:t>
      </w:r>
      <m:oMath>
        <m:r>
          <m:rPr>
            <m:sty m:val="p"/>
          </m:rPr>
          <w:rPr>
            <w:rFonts w:ascii="Cambria Math" w:hAnsi="Cambria Math"/>
            <w:szCs w:val="22"/>
          </w:rPr>
          <m:t>O</m:t>
        </m:r>
        <m:d>
          <m:dPr>
            <m:ctrlPr>
              <w:rPr>
                <w:rFonts w:ascii="Cambria Math" w:hAnsi="Cambria Math"/>
                <w:szCs w:val="22"/>
              </w:rPr>
            </m:ctrlPr>
          </m:dPr>
          <m:e>
            <m:sSup>
              <m:sSupPr>
                <m:ctrlPr>
                  <w:rPr>
                    <w:rFonts w:ascii="Cambria Math" w:hAnsi="Cambria Math"/>
                    <w:szCs w:val="22"/>
                  </w:rPr>
                </m:ctrlPr>
              </m:sSupPr>
              <m:e>
                <m:r>
                  <m:rPr>
                    <m:sty m:val="p"/>
                  </m:rPr>
                  <w:rPr>
                    <w:rFonts w:ascii="Cambria Math" w:hAnsi="Cambria Math"/>
                    <w:szCs w:val="22"/>
                  </w:rPr>
                  <m:t>2</m:t>
                </m:r>
                <m:ctrlPr>
                  <w:rPr>
                    <w:rFonts w:ascii="Cambria Math" w:hAnsi="Cambria Math"/>
                    <w:szCs w:val="22"/>
                  </w:rPr>
                </m:ctrlPr>
              </m:e>
              <m:sup>
                <m:r>
                  <m:rPr>
                    <m:sty m:val="p"/>
                  </m:rPr>
                  <w:rPr>
                    <w:rFonts w:ascii="Cambria Math" w:hAnsi="Cambria Math"/>
                    <w:szCs w:val="22"/>
                  </w:rPr>
                  <m:t>n</m:t>
                </m:r>
                <m:ctrlPr>
                  <w:rPr>
                    <w:rFonts w:ascii="Cambria Math" w:hAnsi="Cambria Math"/>
                    <w:szCs w:val="22"/>
                  </w:rPr>
                </m:ctrlPr>
              </m:sup>
            </m:sSup>
            <m:ctrlPr>
              <w:rPr>
                <w:rFonts w:ascii="Cambria Math" w:hAnsi="Cambria Math"/>
                <w:szCs w:val="22"/>
              </w:rPr>
            </m:ctrlPr>
          </m:e>
        </m:d>
      </m:oMath>
      <w:r>
        <w:rPr>
          <w:rFonts w:hint="eastAsia"/>
          <w:szCs w:val="22"/>
        </w:rPr>
        <w:t>等；</w:t>
      </w:r>
    </w:p>
    <w:p w14:paraId="7C741BB9">
      <w:pPr>
        <w:pStyle w:val="272"/>
        <w:numPr>
          <w:ilvl w:val="0"/>
          <w:numId w:val="71"/>
        </w:numPr>
        <w:ind w:left="840" w:leftChars="200" w:hanging="420" w:hangingChars="200"/>
        <w:rPr>
          <w:szCs w:val="22"/>
        </w:rPr>
      </w:pPr>
      <w:r>
        <w:rPr>
          <w:rFonts w:hint="eastAsia"/>
          <w:szCs w:val="22"/>
        </w:rPr>
        <w:t>计算资源需求，评估算法执行所需的计算资源，包括CPU执行时间、占用内存等。</w:t>
      </w:r>
    </w:p>
    <w:p w14:paraId="0D587216">
      <w:pPr>
        <w:widowControl/>
        <w:numPr>
          <w:ilvl w:val="4"/>
          <w:numId w:val="37"/>
        </w:numPr>
        <w:spacing w:before="156" w:beforeLines="50" w:after="156" w:afterLines="50"/>
        <w:outlineLvl w:val="3"/>
        <w:rPr>
          <w:rFonts w:ascii="黑体" w:eastAsia="黑体"/>
          <w:kern w:val="0"/>
          <w:szCs w:val="20"/>
        </w:rPr>
      </w:pPr>
      <w:r>
        <w:rPr>
          <w:rFonts w:hint="eastAsia" w:ascii="黑体" w:eastAsia="黑体"/>
          <w:kern w:val="0"/>
          <w:szCs w:val="20"/>
        </w:rPr>
        <w:t>算法能力综合评估</w:t>
      </w:r>
    </w:p>
    <w:p w14:paraId="151D5C6F">
      <w:pPr>
        <w:widowControl/>
        <w:autoSpaceDE w:val="0"/>
        <w:autoSpaceDN w:val="0"/>
        <w:ind w:firstLine="420" w:firstLineChars="200"/>
        <w:rPr>
          <w:rFonts w:ascii="宋体"/>
          <w:kern w:val="0"/>
          <w:szCs w:val="20"/>
        </w:rPr>
      </w:pPr>
      <w:r>
        <w:rPr>
          <w:rFonts w:hint="eastAsia" w:ascii="宋体"/>
          <w:kern w:val="0"/>
          <w:szCs w:val="20"/>
        </w:rPr>
        <w:t>在脱敏算法能力评估的过程中，需要根据所采用脱敏算法的类别，为每个评估维度设置相应的权重，进行加权计算，得出算法能力的综合评估结果。</w:t>
      </w:r>
    </w:p>
    <w:p w14:paraId="226FC8C5">
      <w:pPr>
        <w:pStyle w:val="271"/>
        <w:numPr>
          <w:ilvl w:val="3"/>
          <w:numId w:val="37"/>
        </w:numPr>
      </w:pPr>
      <w:bookmarkStart w:id="253" w:name="_Toc170638262"/>
      <w:bookmarkStart w:id="254" w:name="_Toc168869035"/>
      <w:bookmarkStart w:id="255" w:name="_Toc170638796"/>
      <w:r>
        <w:rPr>
          <w:rFonts w:hint="eastAsia"/>
        </w:rPr>
        <w:t>脱敏算法可逆性评估</w:t>
      </w:r>
      <w:bookmarkEnd w:id="253"/>
      <w:bookmarkEnd w:id="254"/>
      <w:bookmarkEnd w:id="255"/>
    </w:p>
    <w:p w14:paraId="3575FB1E">
      <w:pPr>
        <w:widowControl/>
        <w:autoSpaceDE w:val="0"/>
        <w:autoSpaceDN w:val="0"/>
        <w:ind w:firstLine="420" w:firstLineChars="200"/>
        <w:rPr>
          <w:rFonts w:ascii="宋体"/>
          <w:kern w:val="0"/>
          <w:szCs w:val="20"/>
        </w:rPr>
      </w:pPr>
      <w:r>
        <w:rPr>
          <w:rFonts w:hint="eastAsia" w:ascii="宋体"/>
          <w:kern w:val="0"/>
          <w:szCs w:val="20"/>
        </w:rPr>
        <w:t>脱敏算法可逆性评估的具体内容如下：</w:t>
      </w:r>
    </w:p>
    <w:p w14:paraId="0A2F87AB">
      <w:pPr>
        <w:pStyle w:val="272"/>
        <w:numPr>
          <w:ilvl w:val="0"/>
          <w:numId w:val="72"/>
        </w:numPr>
        <w:ind w:left="840" w:leftChars="200" w:hanging="420" w:hangingChars="200"/>
        <w:rPr>
          <w:szCs w:val="22"/>
        </w:rPr>
      </w:pPr>
      <w:r>
        <w:rPr>
          <w:rFonts w:hint="eastAsia"/>
          <w:szCs w:val="22"/>
        </w:rPr>
        <w:t>判断脱敏算法支持的数据模态与应用场景，确定算法可逆性对应的权重值；</w:t>
      </w:r>
    </w:p>
    <w:p w14:paraId="5C744F76">
      <w:pPr>
        <w:pStyle w:val="272"/>
        <w:numPr>
          <w:ilvl w:val="0"/>
          <w:numId w:val="72"/>
        </w:numPr>
        <w:ind w:left="840" w:leftChars="200" w:hanging="420" w:hangingChars="200"/>
        <w:rPr>
          <w:szCs w:val="22"/>
        </w:rPr>
      </w:pPr>
      <w:r>
        <w:rPr>
          <w:rFonts w:hint="eastAsia"/>
          <w:szCs w:val="22"/>
        </w:rPr>
        <w:t>结合隐私信息数据模态及应用场景，选择10.2.1.1节中的评估指标，衡量脱敏信息的被还原能力，评估内容包括但不限于：恢复信息的准确度、恢复信息偏差度等；</w:t>
      </w:r>
    </w:p>
    <w:p w14:paraId="75193F60">
      <w:pPr>
        <w:pStyle w:val="272"/>
        <w:numPr>
          <w:ilvl w:val="0"/>
          <w:numId w:val="72"/>
        </w:numPr>
        <w:ind w:left="840" w:leftChars="200" w:hanging="420" w:hangingChars="200"/>
        <w:rPr>
          <w:szCs w:val="22"/>
        </w:rPr>
      </w:pPr>
      <w:r>
        <w:rPr>
          <w:rFonts w:hint="eastAsia"/>
          <w:szCs w:val="22"/>
        </w:rPr>
        <w:t>综合考虑算法类别、算法参数、数据模态等因素，设计合理的可逆性评估方案，保证评估结果的准确性和可信性。</w:t>
      </w:r>
    </w:p>
    <w:p w14:paraId="64A13A16">
      <w:pPr>
        <w:pStyle w:val="271"/>
        <w:numPr>
          <w:ilvl w:val="3"/>
          <w:numId w:val="37"/>
        </w:numPr>
      </w:pPr>
      <w:bookmarkStart w:id="256" w:name="_Toc170638263"/>
      <w:bookmarkStart w:id="257" w:name="_Toc168869036"/>
      <w:bookmarkStart w:id="258" w:name="_Toc170638797"/>
      <w:r>
        <w:rPr>
          <w:rFonts w:hint="eastAsia"/>
        </w:rPr>
        <w:t>脱敏算法信息偏差性评估</w:t>
      </w:r>
      <w:bookmarkEnd w:id="256"/>
      <w:bookmarkEnd w:id="257"/>
      <w:bookmarkEnd w:id="258"/>
    </w:p>
    <w:p w14:paraId="183E53B5">
      <w:pPr>
        <w:widowControl/>
        <w:autoSpaceDE w:val="0"/>
        <w:autoSpaceDN w:val="0"/>
        <w:ind w:firstLine="420" w:firstLineChars="200"/>
        <w:rPr>
          <w:rFonts w:ascii="宋体"/>
          <w:kern w:val="0"/>
          <w:szCs w:val="20"/>
        </w:rPr>
      </w:pPr>
      <w:r>
        <w:rPr>
          <w:rFonts w:hint="eastAsia" w:ascii="宋体"/>
          <w:kern w:val="0"/>
          <w:szCs w:val="20"/>
        </w:rPr>
        <w:t>脱敏算法信息偏差性评估的具体内容如下：</w:t>
      </w:r>
    </w:p>
    <w:p w14:paraId="2A1E07F1">
      <w:pPr>
        <w:pStyle w:val="272"/>
        <w:numPr>
          <w:ilvl w:val="0"/>
          <w:numId w:val="73"/>
        </w:numPr>
        <w:ind w:left="840" w:leftChars="200" w:hanging="420" w:hangingChars="200"/>
        <w:rPr>
          <w:szCs w:val="22"/>
        </w:rPr>
      </w:pPr>
      <w:r>
        <w:rPr>
          <w:rFonts w:hint="eastAsia"/>
          <w:szCs w:val="22"/>
        </w:rPr>
        <w:t>判断脱敏算法支持的数据模态与应用场景，确定信息偏差性对应的权重值；</w:t>
      </w:r>
    </w:p>
    <w:p w14:paraId="5D238370">
      <w:pPr>
        <w:pStyle w:val="272"/>
        <w:numPr>
          <w:ilvl w:val="0"/>
          <w:numId w:val="73"/>
        </w:numPr>
        <w:ind w:left="840" w:leftChars="200" w:hanging="420" w:hangingChars="200"/>
        <w:rPr>
          <w:szCs w:val="22"/>
        </w:rPr>
      </w:pPr>
      <w:r>
        <w:rPr>
          <w:rFonts w:hint="eastAsia"/>
          <w:szCs w:val="22"/>
        </w:rPr>
        <w:t>结合隐私信息数据模态及应用场景，选择10.2.1.2节中的评估指标，衡量脱敏算法执行前的原始隐私信息与脱敏后的隐私信息之间的偏差程度，评估内容包括但不限于：数据统计、数据应用测试、随机性分析等；</w:t>
      </w:r>
    </w:p>
    <w:p w14:paraId="36764631">
      <w:pPr>
        <w:pStyle w:val="272"/>
        <w:numPr>
          <w:ilvl w:val="0"/>
          <w:numId w:val="73"/>
        </w:numPr>
        <w:ind w:left="840" w:leftChars="200" w:hanging="420" w:hangingChars="200"/>
        <w:rPr>
          <w:szCs w:val="22"/>
        </w:rPr>
      </w:pPr>
      <w:r>
        <w:rPr>
          <w:rFonts w:hint="eastAsia"/>
          <w:szCs w:val="22"/>
        </w:rPr>
        <w:t>综合考虑数据规模、数据分布、数据模态等因素，设计合理的信息偏差性评估方案，保证评估结果的准确性和可用性。</w:t>
      </w:r>
    </w:p>
    <w:p w14:paraId="726F8BDB">
      <w:pPr>
        <w:pStyle w:val="271"/>
        <w:numPr>
          <w:ilvl w:val="3"/>
          <w:numId w:val="37"/>
        </w:numPr>
      </w:pPr>
      <w:bookmarkStart w:id="259" w:name="_Toc170638798"/>
      <w:bookmarkStart w:id="260" w:name="_Toc170638264"/>
      <w:bookmarkStart w:id="261" w:name="_Toc168869037"/>
      <w:r>
        <w:rPr>
          <w:rFonts w:hint="eastAsia"/>
        </w:rPr>
        <w:t>脱敏算法信息损失性评估</w:t>
      </w:r>
      <w:bookmarkEnd w:id="259"/>
      <w:bookmarkEnd w:id="260"/>
      <w:bookmarkEnd w:id="261"/>
    </w:p>
    <w:p w14:paraId="3C554A64">
      <w:pPr>
        <w:widowControl/>
        <w:autoSpaceDE w:val="0"/>
        <w:autoSpaceDN w:val="0"/>
        <w:ind w:firstLine="420" w:firstLineChars="200"/>
        <w:rPr>
          <w:rFonts w:ascii="宋体"/>
          <w:kern w:val="0"/>
          <w:szCs w:val="20"/>
        </w:rPr>
      </w:pPr>
      <w:r>
        <w:rPr>
          <w:rFonts w:hint="eastAsia" w:ascii="宋体"/>
          <w:kern w:val="0"/>
          <w:szCs w:val="20"/>
        </w:rPr>
        <w:t>脱敏算法信息损失性评估的具体内容如下：</w:t>
      </w:r>
    </w:p>
    <w:p w14:paraId="2F13C5A8">
      <w:pPr>
        <w:pStyle w:val="272"/>
        <w:numPr>
          <w:ilvl w:val="0"/>
          <w:numId w:val="74"/>
        </w:numPr>
        <w:ind w:left="840" w:leftChars="200" w:hanging="420" w:hangingChars="200"/>
        <w:rPr>
          <w:szCs w:val="22"/>
        </w:rPr>
      </w:pPr>
      <w:r>
        <w:rPr>
          <w:rFonts w:hint="eastAsia"/>
          <w:szCs w:val="22"/>
        </w:rPr>
        <w:t>判断脱敏算法支持的数据模态与应用场景，确定信息损失性对应的权重值；</w:t>
      </w:r>
    </w:p>
    <w:p w14:paraId="24928404">
      <w:pPr>
        <w:pStyle w:val="272"/>
        <w:numPr>
          <w:ilvl w:val="0"/>
          <w:numId w:val="74"/>
        </w:numPr>
        <w:ind w:left="840" w:leftChars="200" w:hanging="420" w:hangingChars="200"/>
        <w:rPr>
          <w:szCs w:val="22"/>
        </w:rPr>
      </w:pPr>
      <w:r>
        <w:rPr>
          <w:rFonts w:hint="eastAsia"/>
          <w:szCs w:val="22"/>
        </w:rPr>
        <w:t>结合隐私信息数据模态及应用场景，选择10.2.1.3节中的评估指标，衡量脱敏算法执行前的原始隐私信息与脱敏后的隐私信息之间的信息损失程度，评估内容包括但不限于：信息熵、互信息、数据分布特征、数据关联性、信息可用性等；</w:t>
      </w:r>
    </w:p>
    <w:p w14:paraId="23DF59F5">
      <w:pPr>
        <w:pStyle w:val="272"/>
        <w:numPr>
          <w:ilvl w:val="0"/>
          <w:numId w:val="74"/>
        </w:numPr>
        <w:ind w:left="840" w:leftChars="200" w:hanging="420" w:hangingChars="200"/>
        <w:rPr>
          <w:szCs w:val="22"/>
        </w:rPr>
      </w:pPr>
      <w:r>
        <w:rPr>
          <w:rFonts w:hint="eastAsia"/>
          <w:szCs w:val="22"/>
        </w:rPr>
        <w:t>综合考虑数据可用、数据关联、应用场景等因素，设计合理的信息损失性评估方案，保证评估结果的准确性和有效性。</w:t>
      </w:r>
    </w:p>
    <w:p w14:paraId="4A8AD0F0">
      <w:pPr>
        <w:pStyle w:val="271"/>
        <w:numPr>
          <w:ilvl w:val="3"/>
          <w:numId w:val="37"/>
        </w:numPr>
      </w:pPr>
      <w:bookmarkStart w:id="262" w:name="_Toc170638265"/>
      <w:bookmarkStart w:id="263" w:name="_Toc170638799"/>
      <w:r>
        <w:rPr>
          <w:rFonts w:hint="eastAsia"/>
        </w:rPr>
        <w:t>脱敏算法复杂性评估</w:t>
      </w:r>
      <w:bookmarkEnd w:id="262"/>
      <w:bookmarkEnd w:id="263"/>
    </w:p>
    <w:p w14:paraId="4A7E6539">
      <w:pPr>
        <w:widowControl/>
        <w:autoSpaceDE w:val="0"/>
        <w:autoSpaceDN w:val="0"/>
        <w:ind w:firstLine="420" w:firstLineChars="200"/>
        <w:rPr>
          <w:rFonts w:ascii="宋体"/>
          <w:kern w:val="0"/>
          <w:szCs w:val="20"/>
        </w:rPr>
      </w:pPr>
      <w:r>
        <w:rPr>
          <w:rFonts w:hint="eastAsia" w:ascii="宋体"/>
          <w:kern w:val="0"/>
          <w:szCs w:val="20"/>
        </w:rPr>
        <w:t>脱敏算法复杂性评估的具体内容如下：</w:t>
      </w:r>
    </w:p>
    <w:p w14:paraId="6DFE13F8">
      <w:pPr>
        <w:pStyle w:val="272"/>
        <w:numPr>
          <w:ilvl w:val="0"/>
          <w:numId w:val="75"/>
        </w:numPr>
        <w:ind w:left="840" w:leftChars="200" w:hanging="420" w:hangingChars="200"/>
        <w:rPr>
          <w:szCs w:val="22"/>
        </w:rPr>
      </w:pPr>
      <w:r>
        <w:rPr>
          <w:rFonts w:hint="eastAsia"/>
          <w:szCs w:val="22"/>
        </w:rPr>
        <w:t>判断脱敏算法支持的数据模态与应用场景，确定算法复杂性对应的权重值；</w:t>
      </w:r>
    </w:p>
    <w:p w14:paraId="4751103F">
      <w:pPr>
        <w:pStyle w:val="272"/>
        <w:numPr>
          <w:ilvl w:val="0"/>
          <w:numId w:val="75"/>
        </w:numPr>
        <w:ind w:left="840" w:leftChars="200" w:hanging="420" w:hangingChars="200"/>
        <w:rPr>
          <w:szCs w:val="22"/>
        </w:rPr>
      </w:pPr>
      <w:r>
        <w:rPr>
          <w:rFonts w:hint="eastAsia"/>
          <w:szCs w:val="22"/>
        </w:rPr>
        <w:t>结合隐私信息数据模态及应用场景，选择10.2.1.4节中的评估指标，衡量脱敏算法的执行效率和资源消耗情况，评估内容包括但不限于：时间复杂度、空间复杂度、资源消耗等；</w:t>
      </w:r>
    </w:p>
    <w:p w14:paraId="0BE9242C">
      <w:pPr>
        <w:pStyle w:val="272"/>
        <w:numPr>
          <w:ilvl w:val="0"/>
          <w:numId w:val="75"/>
        </w:numPr>
        <w:ind w:left="840" w:leftChars="200" w:hanging="420" w:hangingChars="200"/>
        <w:rPr>
          <w:szCs w:val="22"/>
        </w:rPr>
      </w:pPr>
      <w:r>
        <w:rPr>
          <w:rFonts w:hint="eastAsia"/>
          <w:szCs w:val="22"/>
        </w:rPr>
        <w:t>综合考虑平台资源、数据模态、数据规模、数据结构等因素，设计合理的复杂性评估方案，保证评估结果的准确性和有效性。</w:t>
      </w:r>
    </w:p>
    <w:p w14:paraId="0A1D52F3">
      <w:pPr>
        <w:pStyle w:val="277"/>
        <w:numPr>
          <w:ilvl w:val="2"/>
          <w:numId w:val="37"/>
        </w:numPr>
      </w:pPr>
      <w:bookmarkStart w:id="264" w:name="_Toc171947848"/>
      <w:bookmarkStart w:id="265" w:name="_Toc172280897"/>
      <w:bookmarkStart w:id="266" w:name="_Toc168869038"/>
      <w:bookmarkStart w:id="267" w:name="_Toc170638800"/>
      <w:r>
        <w:rPr>
          <w:rFonts w:hint="eastAsia"/>
        </w:rPr>
        <w:t>按需脱敏</w:t>
      </w:r>
      <w:bookmarkEnd w:id="264"/>
      <w:bookmarkEnd w:id="265"/>
      <w:bookmarkEnd w:id="266"/>
      <w:bookmarkEnd w:id="267"/>
    </w:p>
    <w:p w14:paraId="2203F923">
      <w:pPr>
        <w:widowControl/>
        <w:autoSpaceDE w:val="0"/>
        <w:autoSpaceDN w:val="0"/>
        <w:spacing w:before="156" w:after="156"/>
        <w:ind w:firstLine="420" w:firstLineChars="200"/>
        <w:rPr>
          <w:rFonts w:ascii="宋体"/>
        </w:rPr>
      </w:pPr>
      <w:r>
        <w:rPr>
          <w:rFonts w:hint="eastAsia" w:ascii="宋体"/>
          <w:kern w:val="0"/>
          <w:szCs w:val="20"/>
        </w:rPr>
        <w:t>按需脱敏根据数据模态、应用场景、业务需求等要素的不同，进行脱敏控制策略生成、脱敏控制策略解析和脱敏算法选择。</w:t>
      </w:r>
    </w:p>
    <w:p w14:paraId="0D798AC9">
      <w:pPr>
        <w:pStyle w:val="271"/>
        <w:numPr>
          <w:ilvl w:val="3"/>
          <w:numId w:val="37"/>
        </w:numPr>
      </w:pPr>
      <w:bookmarkStart w:id="268" w:name="_Toc170638801"/>
      <w:bookmarkStart w:id="269" w:name="_Toc170638267"/>
      <w:r>
        <w:rPr>
          <w:rFonts w:hint="eastAsia"/>
        </w:rPr>
        <w:t>脱敏控制策略生成</w:t>
      </w:r>
      <w:bookmarkEnd w:id="268"/>
      <w:bookmarkEnd w:id="269"/>
    </w:p>
    <w:p w14:paraId="0ACDF70C">
      <w:pPr>
        <w:widowControl/>
        <w:autoSpaceDE w:val="0"/>
        <w:autoSpaceDN w:val="0"/>
        <w:ind w:firstLine="420" w:firstLineChars="200"/>
        <w:rPr>
          <w:rFonts w:ascii="宋体"/>
          <w:kern w:val="0"/>
          <w:szCs w:val="20"/>
        </w:rPr>
      </w:pPr>
      <w:r>
        <w:rPr>
          <w:rFonts w:hint="eastAsia" w:ascii="宋体"/>
          <w:kern w:val="0"/>
          <w:szCs w:val="20"/>
        </w:rPr>
        <w:t>脱敏控制策略生成是指，从隐私信息所有者或前序隐私信息提供者处，获取关于相关隐私信息的脱敏要求，并结合应用场景、隐私信息接收者的隐私保护能力等因素，生成适应当前应用场景的脱敏控制策略。脱敏控制策略包括脱敏对象、脱敏等级等，具体如下：</w:t>
      </w:r>
    </w:p>
    <w:p w14:paraId="1A8B396A">
      <w:pPr>
        <w:pStyle w:val="272"/>
        <w:numPr>
          <w:ilvl w:val="0"/>
          <w:numId w:val="76"/>
        </w:numPr>
        <w:ind w:left="840" w:leftChars="200" w:hanging="420" w:hangingChars="200"/>
        <w:rPr>
          <w:szCs w:val="22"/>
        </w:rPr>
      </w:pPr>
      <w:r>
        <w:rPr>
          <w:rFonts w:hint="eastAsia"/>
          <w:szCs w:val="22"/>
        </w:rPr>
        <w:t>首次脱敏，隐私信息处理者根据隐私信息所有者的脱敏要求，生成脱敏控制策略；</w:t>
      </w:r>
    </w:p>
    <w:p w14:paraId="6A2657DE">
      <w:pPr>
        <w:pStyle w:val="272"/>
        <w:numPr>
          <w:ilvl w:val="0"/>
          <w:numId w:val="76"/>
        </w:numPr>
        <w:ind w:left="840" w:leftChars="200" w:hanging="420" w:hangingChars="200"/>
        <w:rPr>
          <w:szCs w:val="22"/>
        </w:rPr>
      </w:pPr>
      <w:r>
        <w:rPr>
          <w:rFonts w:hint="eastAsia"/>
          <w:szCs w:val="22"/>
        </w:rPr>
        <w:t>迭代脱敏，隐私信息处理者通过前序隐私信息提供者的脱敏控制策略，并结合当前应用场景要求，生成新的脱敏控制策略；</w:t>
      </w:r>
    </w:p>
    <w:p w14:paraId="5C05E0F9">
      <w:pPr>
        <w:pStyle w:val="272"/>
        <w:numPr>
          <w:ilvl w:val="0"/>
          <w:numId w:val="76"/>
        </w:numPr>
        <w:ind w:left="840" w:leftChars="200" w:hanging="420" w:hangingChars="200"/>
        <w:rPr>
          <w:szCs w:val="22"/>
        </w:rPr>
      </w:pPr>
      <w:r>
        <w:rPr>
          <w:rFonts w:hint="eastAsia"/>
          <w:szCs w:val="22"/>
        </w:rPr>
        <w:t>脱敏控制策略应与脱敏后的隐私信息一起流转。</w:t>
      </w:r>
    </w:p>
    <w:p w14:paraId="68949DED">
      <w:pPr>
        <w:pStyle w:val="271"/>
        <w:numPr>
          <w:ilvl w:val="3"/>
          <w:numId w:val="37"/>
        </w:numPr>
      </w:pPr>
      <w:bookmarkStart w:id="270" w:name="_Toc170638802"/>
      <w:bookmarkStart w:id="271" w:name="_Toc168869040"/>
      <w:bookmarkStart w:id="272" w:name="_Toc170638268"/>
      <w:r>
        <w:rPr>
          <w:rFonts w:hint="eastAsia"/>
        </w:rPr>
        <w:t>脱敏控制策略解析</w:t>
      </w:r>
      <w:bookmarkEnd w:id="270"/>
      <w:bookmarkEnd w:id="271"/>
      <w:bookmarkEnd w:id="272"/>
    </w:p>
    <w:p w14:paraId="287B7566">
      <w:pPr>
        <w:widowControl/>
        <w:autoSpaceDE w:val="0"/>
        <w:autoSpaceDN w:val="0"/>
        <w:ind w:firstLine="420" w:firstLineChars="200"/>
        <w:rPr>
          <w:rFonts w:ascii="宋体"/>
          <w:kern w:val="0"/>
          <w:szCs w:val="20"/>
        </w:rPr>
      </w:pPr>
      <w:r>
        <w:rPr>
          <w:rFonts w:hint="eastAsia" w:ascii="宋体"/>
          <w:kern w:val="0"/>
          <w:szCs w:val="20"/>
        </w:rPr>
        <w:t>脱敏控制策略解析是指，隐私信息处理者收到脱敏控制策略后，结合隐私信息处理者所处的应用场景，提取当前应用场景所对应的脱敏控制策略，具体如下：</w:t>
      </w:r>
    </w:p>
    <w:p w14:paraId="23539DE7">
      <w:pPr>
        <w:pStyle w:val="272"/>
        <w:numPr>
          <w:ilvl w:val="0"/>
          <w:numId w:val="77"/>
        </w:numPr>
        <w:ind w:left="840" w:leftChars="200" w:hanging="420" w:hangingChars="200"/>
        <w:rPr>
          <w:szCs w:val="22"/>
        </w:rPr>
      </w:pPr>
      <w:r>
        <w:rPr>
          <w:rFonts w:hint="eastAsia"/>
          <w:szCs w:val="22"/>
        </w:rPr>
        <w:t>隐私信息处理者解析前验证脱敏控制策略的完整性；</w:t>
      </w:r>
    </w:p>
    <w:p w14:paraId="59DD6435">
      <w:pPr>
        <w:pStyle w:val="272"/>
        <w:numPr>
          <w:ilvl w:val="0"/>
          <w:numId w:val="77"/>
        </w:numPr>
        <w:ind w:left="840" w:leftChars="200" w:hanging="420" w:hangingChars="200"/>
        <w:rPr>
          <w:szCs w:val="22"/>
        </w:rPr>
      </w:pPr>
      <w:r>
        <w:rPr>
          <w:rFonts w:hint="eastAsia"/>
          <w:szCs w:val="22"/>
        </w:rPr>
        <w:t>隐私信息处理者依据应用场景识别结果，解析脱敏控制策略后提取当前应用场景所对应的脱敏控制策略。</w:t>
      </w:r>
    </w:p>
    <w:p w14:paraId="1D5A356D">
      <w:pPr>
        <w:pStyle w:val="271"/>
        <w:numPr>
          <w:ilvl w:val="3"/>
          <w:numId w:val="37"/>
        </w:numPr>
      </w:pPr>
      <w:bookmarkStart w:id="273" w:name="_Toc168947881"/>
      <w:bookmarkEnd w:id="273"/>
      <w:bookmarkStart w:id="274" w:name="_Toc168948070"/>
      <w:bookmarkEnd w:id="274"/>
      <w:bookmarkStart w:id="275" w:name="_Toc168948715"/>
      <w:bookmarkEnd w:id="275"/>
      <w:bookmarkStart w:id="276" w:name="_Toc168948364"/>
      <w:bookmarkEnd w:id="276"/>
      <w:bookmarkStart w:id="277" w:name="_Toc168948972"/>
      <w:bookmarkEnd w:id="277"/>
      <w:bookmarkStart w:id="278" w:name="_Toc168943341"/>
      <w:bookmarkEnd w:id="278"/>
      <w:bookmarkStart w:id="279" w:name="_Toc168942298"/>
      <w:bookmarkEnd w:id="279"/>
      <w:bookmarkStart w:id="280" w:name="_Toc168948207"/>
      <w:bookmarkEnd w:id="280"/>
      <w:bookmarkStart w:id="281" w:name="_Toc168948598"/>
      <w:bookmarkEnd w:id="281"/>
      <w:bookmarkStart w:id="282" w:name="_Toc168948481"/>
      <w:bookmarkEnd w:id="282"/>
      <w:bookmarkStart w:id="283" w:name="_Toc168943227"/>
      <w:bookmarkEnd w:id="283"/>
      <w:bookmarkStart w:id="284" w:name="_Toc170638803"/>
      <w:bookmarkStart w:id="285" w:name="_Toc170638269"/>
      <w:bookmarkStart w:id="286" w:name="_Toc168869041"/>
      <w:r>
        <w:rPr>
          <w:rFonts w:hint="eastAsia"/>
        </w:rPr>
        <w:t>脱敏算法选择</w:t>
      </w:r>
      <w:bookmarkEnd w:id="284"/>
      <w:bookmarkEnd w:id="285"/>
      <w:bookmarkEnd w:id="286"/>
    </w:p>
    <w:p w14:paraId="28C046DA">
      <w:pPr>
        <w:widowControl/>
        <w:autoSpaceDE w:val="0"/>
        <w:autoSpaceDN w:val="0"/>
        <w:ind w:firstLine="420" w:firstLineChars="200"/>
        <w:rPr>
          <w:rFonts w:ascii="宋体"/>
          <w:kern w:val="0"/>
          <w:szCs w:val="20"/>
        </w:rPr>
      </w:pPr>
      <w:r>
        <w:rPr>
          <w:rFonts w:hint="eastAsia" w:ascii="宋体"/>
          <w:kern w:val="0"/>
          <w:szCs w:val="20"/>
        </w:rPr>
        <w:t>脱敏算法选择是指，隐私信息处理者根据解析出的脱敏控制策略，对备选脱敏算法集合及其参数进行筛选，具体如下：</w:t>
      </w:r>
    </w:p>
    <w:p w14:paraId="736AF222">
      <w:pPr>
        <w:pStyle w:val="272"/>
        <w:numPr>
          <w:ilvl w:val="0"/>
          <w:numId w:val="78"/>
        </w:numPr>
        <w:ind w:left="840" w:leftChars="200" w:hanging="420" w:hangingChars="200"/>
        <w:rPr>
          <w:szCs w:val="22"/>
        </w:rPr>
      </w:pPr>
      <w:r>
        <w:rPr>
          <w:rFonts w:hint="eastAsia"/>
          <w:szCs w:val="22"/>
        </w:rPr>
        <w:t>隐私信息处理者根据当前应用场景所对应的脱敏控制策略，确定脱敏对象所对应的脱敏等级、脱敏方式等；</w:t>
      </w:r>
    </w:p>
    <w:p w14:paraId="68D7F37E">
      <w:pPr>
        <w:pStyle w:val="272"/>
        <w:numPr>
          <w:ilvl w:val="0"/>
          <w:numId w:val="78"/>
        </w:numPr>
        <w:ind w:left="840" w:leftChars="200" w:hanging="420" w:hangingChars="200"/>
        <w:rPr>
          <w:szCs w:val="22"/>
        </w:rPr>
      </w:pPr>
      <w:r>
        <w:rPr>
          <w:rFonts w:hint="eastAsia"/>
          <w:szCs w:val="22"/>
        </w:rPr>
        <w:t>根据脱敏等级、脱敏方式，选择脱敏算法及其参数。</w:t>
      </w:r>
    </w:p>
    <w:bookmarkEnd w:id="245"/>
    <w:p w14:paraId="3FA50D67">
      <w:pPr>
        <w:pStyle w:val="277"/>
        <w:numPr>
          <w:ilvl w:val="2"/>
          <w:numId w:val="37"/>
        </w:numPr>
      </w:pPr>
      <w:bookmarkStart w:id="287" w:name="_Toc168948357"/>
      <w:bookmarkEnd w:id="287"/>
      <w:bookmarkStart w:id="288" w:name="_Toc168948474"/>
      <w:bookmarkEnd w:id="288"/>
      <w:bookmarkStart w:id="289" w:name="_Toc168948199"/>
      <w:bookmarkEnd w:id="289"/>
      <w:bookmarkStart w:id="290" w:name="_Toc168948359"/>
      <w:bookmarkEnd w:id="290"/>
      <w:bookmarkStart w:id="291" w:name="_Toc168948200"/>
      <w:bookmarkEnd w:id="291"/>
      <w:bookmarkStart w:id="292" w:name="_Toc168943219"/>
      <w:bookmarkEnd w:id="292"/>
      <w:bookmarkStart w:id="293" w:name="_Toc168943337"/>
      <w:bookmarkEnd w:id="293"/>
      <w:bookmarkStart w:id="294" w:name="_Toc168948964"/>
      <w:bookmarkEnd w:id="294"/>
      <w:bookmarkStart w:id="295" w:name="_Toc168948358"/>
      <w:bookmarkEnd w:id="295"/>
      <w:bookmarkStart w:id="296" w:name="_Toc168948367"/>
      <w:bookmarkEnd w:id="296"/>
      <w:bookmarkStart w:id="297" w:name="_Toc168948066"/>
      <w:bookmarkEnd w:id="297"/>
      <w:bookmarkStart w:id="298" w:name="_Toc168948360"/>
      <w:bookmarkEnd w:id="298"/>
      <w:bookmarkStart w:id="299" w:name="_Toc168948707"/>
      <w:bookmarkEnd w:id="299"/>
      <w:bookmarkStart w:id="300" w:name="_Toc168942293"/>
      <w:bookmarkEnd w:id="300"/>
      <w:bookmarkStart w:id="301" w:name="_Toc168942300"/>
      <w:bookmarkEnd w:id="301"/>
      <w:bookmarkStart w:id="302" w:name="_Toc168947875"/>
      <w:bookmarkEnd w:id="302"/>
      <w:bookmarkStart w:id="303" w:name="_Toc168948473"/>
      <w:bookmarkEnd w:id="303"/>
      <w:bookmarkStart w:id="304" w:name="_Toc168943223"/>
      <w:bookmarkEnd w:id="304"/>
      <w:bookmarkStart w:id="305" w:name="_Toc168948064"/>
      <w:bookmarkEnd w:id="305"/>
      <w:bookmarkStart w:id="306" w:name="_Toc168948356"/>
      <w:bookmarkEnd w:id="306"/>
      <w:bookmarkStart w:id="307" w:name="_Toc168942289"/>
      <w:bookmarkEnd w:id="307"/>
      <w:bookmarkStart w:id="308" w:name="_Toc168942292"/>
      <w:bookmarkEnd w:id="308"/>
      <w:bookmarkStart w:id="309" w:name="_Toc168948062"/>
      <w:bookmarkEnd w:id="309"/>
      <w:bookmarkStart w:id="310" w:name="_Toc168947876"/>
      <w:bookmarkEnd w:id="310"/>
      <w:bookmarkStart w:id="311" w:name="_Toc168948709"/>
      <w:bookmarkEnd w:id="311"/>
      <w:bookmarkStart w:id="312" w:name="_Toc168947877"/>
      <w:bookmarkEnd w:id="312"/>
      <w:bookmarkStart w:id="313" w:name="_Toc168948202"/>
      <w:bookmarkEnd w:id="313"/>
      <w:bookmarkStart w:id="314" w:name="_Toc168948592"/>
      <w:bookmarkEnd w:id="314"/>
      <w:bookmarkStart w:id="315" w:name="_Toc168942291"/>
      <w:bookmarkEnd w:id="315"/>
      <w:bookmarkStart w:id="316" w:name="_Toc168947874"/>
      <w:bookmarkEnd w:id="316"/>
      <w:bookmarkStart w:id="317" w:name="_Toc168948590"/>
      <w:bookmarkEnd w:id="317"/>
      <w:bookmarkStart w:id="318" w:name="_Toc168948965"/>
      <w:bookmarkEnd w:id="318"/>
      <w:bookmarkStart w:id="319" w:name="_Toc168948593"/>
      <w:bookmarkEnd w:id="319"/>
      <w:bookmarkStart w:id="320" w:name="_Toc168948591"/>
      <w:bookmarkEnd w:id="320"/>
      <w:bookmarkStart w:id="321" w:name="_Toc168948063"/>
      <w:bookmarkEnd w:id="321"/>
      <w:bookmarkStart w:id="322" w:name="_Toc168947873"/>
      <w:bookmarkEnd w:id="322"/>
      <w:bookmarkStart w:id="323" w:name="_Toc168948710"/>
      <w:bookmarkEnd w:id="323"/>
      <w:bookmarkStart w:id="324" w:name="_Toc168948968"/>
      <w:bookmarkEnd w:id="324"/>
      <w:bookmarkStart w:id="325" w:name="_Toc168943333"/>
      <w:bookmarkEnd w:id="325"/>
      <w:bookmarkStart w:id="326" w:name="_Toc168943221"/>
      <w:bookmarkEnd w:id="326"/>
      <w:bookmarkStart w:id="327" w:name="_Toc168948366"/>
      <w:bookmarkEnd w:id="327"/>
      <w:bookmarkStart w:id="328" w:name="_Toc168948065"/>
      <w:bookmarkEnd w:id="328"/>
      <w:bookmarkStart w:id="329" w:name="_Toc168943344"/>
      <w:bookmarkEnd w:id="329"/>
      <w:bookmarkStart w:id="330" w:name="_Toc168948711"/>
      <w:bookmarkEnd w:id="330"/>
      <w:bookmarkStart w:id="331" w:name="_Toc168943336"/>
      <w:bookmarkEnd w:id="331"/>
      <w:bookmarkStart w:id="332" w:name="_Toc168943231"/>
      <w:bookmarkEnd w:id="332"/>
      <w:bookmarkStart w:id="333" w:name="_Toc168948602"/>
      <w:bookmarkEnd w:id="333"/>
      <w:bookmarkStart w:id="334" w:name="_Toc168943335"/>
      <w:bookmarkEnd w:id="334"/>
      <w:bookmarkStart w:id="335" w:name="_Toc168943343"/>
      <w:bookmarkEnd w:id="335"/>
      <w:bookmarkStart w:id="336" w:name="_Toc168943348"/>
      <w:bookmarkEnd w:id="336"/>
      <w:bookmarkStart w:id="337" w:name="_Toc168948476"/>
      <w:bookmarkEnd w:id="337"/>
      <w:bookmarkStart w:id="338" w:name="_Toc168948475"/>
      <w:bookmarkEnd w:id="338"/>
      <w:bookmarkStart w:id="339" w:name="_Toc168947883"/>
      <w:bookmarkEnd w:id="339"/>
      <w:bookmarkStart w:id="340" w:name="_Toc168942301"/>
      <w:bookmarkEnd w:id="340"/>
      <w:bookmarkStart w:id="341" w:name="_Toc168948967"/>
      <w:bookmarkEnd w:id="341"/>
      <w:bookmarkStart w:id="342" w:name="_Toc168948708"/>
      <w:bookmarkEnd w:id="342"/>
      <w:bookmarkStart w:id="343" w:name="_Toc168947885"/>
      <w:bookmarkEnd w:id="343"/>
      <w:bookmarkStart w:id="344" w:name="_Toc168948718"/>
      <w:bookmarkEnd w:id="344"/>
      <w:bookmarkStart w:id="345" w:name="_Toc168948477"/>
      <w:bookmarkEnd w:id="345"/>
      <w:bookmarkStart w:id="346" w:name="_Toc168948074"/>
      <w:bookmarkEnd w:id="346"/>
      <w:bookmarkStart w:id="347" w:name="_Toc168942303"/>
      <w:bookmarkEnd w:id="347"/>
      <w:bookmarkStart w:id="348" w:name="_Toc168943222"/>
      <w:bookmarkEnd w:id="348"/>
      <w:bookmarkStart w:id="349" w:name="_Toc168943334"/>
      <w:bookmarkEnd w:id="349"/>
      <w:bookmarkStart w:id="350" w:name="_Toc168948210"/>
      <w:bookmarkEnd w:id="350"/>
      <w:bookmarkStart w:id="351" w:name="_Toc168948201"/>
      <w:bookmarkEnd w:id="351"/>
      <w:bookmarkStart w:id="352" w:name="_Toc168948975"/>
      <w:bookmarkEnd w:id="352"/>
      <w:bookmarkStart w:id="353" w:name="_Toc168948072"/>
      <w:bookmarkEnd w:id="353"/>
      <w:bookmarkStart w:id="354" w:name="_Toc168942305"/>
      <w:bookmarkEnd w:id="354"/>
      <w:bookmarkStart w:id="355" w:name="_Toc168948212"/>
      <w:bookmarkEnd w:id="355"/>
      <w:bookmarkStart w:id="356" w:name="_Toc168948485"/>
      <w:bookmarkEnd w:id="356"/>
      <w:bookmarkStart w:id="357" w:name="_Toc168948203"/>
      <w:bookmarkEnd w:id="357"/>
      <w:bookmarkStart w:id="358" w:name="_Toc168948213"/>
      <w:bookmarkEnd w:id="358"/>
      <w:bookmarkStart w:id="359" w:name="_Toc168948605"/>
      <w:bookmarkEnd w:id="359"/>
      <w:bookmarkStart w:id="360" w:name="_Toc168947889"/>
      <w:bookmarkEnd w:id="360"/>
      <w:bookmarkStart w:id="361" w:name="_Toc168948966"/>
      <w:bookmarkEnd w:id="361"/>
      <w:bookmarkStart w:id="362" w:name="_Toc168942302"/>
      <w:bookmarkEnd w:id="362"/>
      <w:bookmarkStart w:id="363" w:name="_Toc168947884"/>
      <w:bookmarkEnd w:id="363"/>
      <w:bookmarkStart w:id="364" w:name="_Toc168943349"/>
      <w:bookmarkEnd w:id="364"/>
      <w:bookmarkStart w:id="365" w:name="_Toc168948974"/>
      <w:bookmarkEnd w:id="365"/>
      <w:bookmarkStart w:id="366" w:name="_Toc168947886"/>
      <w:bookmarkEnd w:id="366"/>
      <w:bookmarkStart w:id="367" w:name="_Toc168948209"/>
      <w:bookmarkEnd w:id="367"/>
      <w:bookmarkStart w:id="368" w:name="_Toc168943234"/>
      <w:bookmarkEnd w:id="368"/>
      <w:bookmarkStart w:id="369" w:name="_Toc168943347"/>
      <w:bookmarkEnd w:id="369"/>
      <w:bookmarkStart w:id="370" w:name="_Toc168948078"/>
      <w:bookmarkEnd w:id="370"/>
      <w:bookmarkStart w:id="371" w:name="_Toc168948604"/>
      <w:bookmarkEnd w:id="371"/>
      <w:bookmarkStart w:id="372" w:name="_Toc168943235"/>
      <w:bookmarkEnd w:id="372"/>
      <w:bookmarkStart w:id="373" w:name="_Toc168948600"/>
      <w:bookmarkEnd w:id="373"/>
      <w:bookmarkStart w:id="374" w:name="_Toc168948980"/>
      <w:bookmarkEnd w:id="374"/>
      <w:bookmarkStart w:id="375" w:name="_Toc168948601"/>
      <w:bookmarkEnd w:id="375"/>
      <w:bookmarkStart w:id="376" w:name="_Toc168943220"/>
      <w:bookmarkEnd w:id="376"/>
      <w:bookmarkStart w:id="377" w:name="_Toc168948483"/>
      <w:bookmarkEnd w:id="377"/>
      <w:bookmarkStart w:id="378" w:name="_Toc168942306"/>
      <w:bookmarkEnd w:id="378"/>
      <w:bookmarkStart w:id="379" w:name="_Toc168948594"/>
      <w:bookmarkEnd w:id="379"/>
      <w:bookmarkStart w:id="380" w:name="_Toc168943229"/>
      <w:bookmarkEnd w:id="380"/>
      <w:bookmarkStart w:id="381" w:name="_Toc168948484"/>
      <w:bookmarkEnd w:id="381"/>
      <w:bookmarkStart w:id="382" w:name="_Toc168948369"/>
      <w:bookmarkEnd w:id="382"/>
      <w:bookmarkStart w:id="383" w:name="_Toc168948487"/>
      <w:bookmarkEnd w:id="383"/>
      <w:bookmarkStart w:id="384" w:name="_Toc168948370"/>
      <w:bookmarkEnd w:id="384"/>
      <w:bookmarkStart w:id="385" w:name="_Toc168943346"/>
      <w:bookmarkEnd w:id="385"/>
      <w:bookmarkStart w:id="386" w:name="_Toc168948978"/>
      <w:bookmarkEnd w:id="386"/>
      <w:bookmarkStart w:id="387" w:name="_Toc168943230"/>
      <w:bookmarkEnd w:id="387"/>
      <w:bookmarkStart w:id="388" w:name="_Toc168948721"/>
      <w:bookmarkEnd w:id="388"/>
      <w:bookmarkStart w:id="389" w:name="_Toc168948075"/>
      <w:bookmarkEnd w:id="389"/>
      <w:bookmarkStart w:id="390" w:name="_Toc168948719"/>
      <w:bookmarkEnd w:id="390"/>
      <w:bookmarkStart w:id="391" w:name="_Toc168948073"/>
      <w:bookmarkEnd w:id="391"/>
      <w:bookmarkStart w:id="392" w:name="_Toc168948979"/>
      <w:bookmarkEnd w:id="392"/>
      <w:bookmarkStart w:id="393" w:name="_Toc168943232"/>
      <w:bookmarkEnd w:id="393"/>
      <w:bookmarkStart w:id="394" w:name="_Toc168948722"/>
      <w:bookmarkEnd w:id="394"/>
      <w:bookmarkStart w:id="395" w:name="_Toc168948488"/>
      <w:bookmarkEnd w:id="395"/>
      <w:bookmarkStart w:id="396" w:name="_Toc168948717"/>
      <w:bookmarkEnd w:id="396"/>
      <w:bookmarkStart w:id="397" w:name="_Toc168948486"/>
      <w:bookmarkEnd w:id="397"/>
      <w:bookmarkStart w:id="398" w:name="_Toc168948489"/>
      <w:bookmarkEnd w:id="398"/>
      <w:bookmarkStart w:id="399" w:name="_Toc168948372"/>
      <w:bookmarkEnd w:id="399"/>
      <w:bookmarkStart w:id="400" w:name="_Toc168942304"/>
      <w:bookmarkEnd w:id="400"/>
      <w:bookmarkStart w:id="401" w:name="_Toc168943345"/>
      <w:bookmarkEnd w:id="401"/>
      <w:bookmarkStart w:id="402" w:name="_Toc168948976"/>
      <w:bookmarkEnd w:id="402"/>
      <w:bookmarkStart w:id="403" w:name="_Toc168943233"/>
      <w:bookmarkEnd w:id="403"/>
      <w:bookmarkStart w:id="404" w:name="_Toc168948371"/>
      <w:bookmarkEnd w:id="404"/>
      <w:bookmarkStart w:id="405" w:name="_Toc168947888"/>
      <w:bookmarkEnd w:id="405"/>
      <w:bookmarkStart w:id="406" w:name="_Toc168948368"/>
      <w:bookmarkEnd w:id="406"/>
      <w:bookmarkStart w:id="407" w:name="_Toc168948720"/>
      <w:bookmarkEnd w:id="407"/>
      <w:bookmarkStart w:id="408" w:name="_Toc168948076"/>
      <w:bookmarkEnd w:id="408"/>
      <w:bookmarkStart w:id="409" w:name="_Toc168948977"/>
      <w:bookmarkEnd w:id="409"/>
      <w:bookmarkStart w:id="410" w:name="_Toc168948723"/>
      <w:bookmarkEnd w:id="410"/>
      <w:bookmarkStart w:id="411" w:name="_Toc168948211"/>
      <w:bookmarkEnd w:id="411"/>
      <w:bookmarkStart w:id="412" w:name="_Toc168947887"/>
      <w:bookmarkEnd w:id="412"/>
      <w:bookmarkStart w:id="413" w:name="_Toc168948606"/>
      <w:bookmarkEnd w:id="413"/>
      <w:bookmarkStart w:id="414" w:name="_Toc168948215"/>
      <w:bookmarkEnd w:id="414"/>
      <w:bookmarkStart w:id="415" w:name="_Toc168948214"/>
      <w:bookmarkEnd w:id="415"/>
      <w:bookmarkStart w:id="416" w:name="_Toc168948603"/>
      <w:bookmarkEnd w:id="416"/>
      <w:bookmarkStart w:id="417" w:name="_Toc168948077"/>
      <w:bookmarkEnd w:id="417"/>
      <w:bookmarkStart w:id="418" w:name="_Toc171947849"/>
      <w:bookmarkStart w:id="419" w:name="_Toc172280898"/>
      <w:bookmarkStart w:id="420" w:name="_Toc168869043"/>
      <w:bookmarkStart w:id="421" w:name="_Toc170638804"/>
      <w:r>
        <w:rPr>
          <w:rFonts w:hint="eastAsia"/>
        </w:rPr>
        <w:t>按需删除</w:t>
      </w:r>
      <w:bookmarkEnd w:id="418"/>
      <w:bookmarkEnd w:id="419"/>
      <w:bookmarkEnd w:id="420"/>
      <w:bookmarkEnd w:id="421"/>
    </w:p>
    <w:p w14:paraId="3A000016">
      <w:pPr>
        <w:pStyle w:val="271"/>
        <w:numPr>
          <w:ilvl w:val="3"/>
          <w:numId w:val="37"/>
        </w:numPr>
      </w:pPr>
      <w:bookmarkStart w:id="422" w:name="_Toc168948982"/>
      <w:bookmarkEnd w:id="422"/>
      <w:bookmarkStart w:id="423" w:name="_Toc168948217"/>
      <w:bookmarkEnd w:id="423"/>
      <w:bookmarkStart w:id="424" w:name="_Toc168948374"/>
      <w:bookmarkEnd w:id="424"/>
      <w:bookmarkStart w:id="425" w:name="_Toc168948608"/>
      <w:bookmarkEnd w:id="425"/>
      <w:bookmarkStart w:id="426" w:name="_Toc168948725"/>
      <w:bookmarkEnd w:id="426"/>
      <w:bookmarkStart w:id="427" w:name="_Toc168948491"/>
      <w:bookmarkEnd w:id="427"/>
      <w:bookmarkStart w:id="428" w:name="_Toc170638805"/>
      <w:bookmarkStart w:id="429" w:name="_Toc168869044"/>
      <w:bookmarkStart w:id="430" w:name="_Toc170638271"/>
      <w:r>
        <w:rPr>
          <w:rFonts w:hint="eastAsia"/>
        </w:rPr>
        <w:t>删除控制策略生成</w:t>
      </w:r>
      <w:bookmarkEnd w:id="428"/>
      <w:bookmarkEnd w:id="429"/>
      <w:bookmarkEnd w:id="430"/>
    </w:p>
    <w:p w14:paraId="2D101366">
      <w:pPr>
        <w:widowControl/>
        <w:autoSpaceDE w:val="0"/>
        <w:autoSpaceDN w:val="0"/>
        <w:ind w:firstLine="420" w:firstLineChars="200"/>
        <w:rPr>
          <w:rFonts w:ascii="宋体"/>
          <w:kern w:val="0"/>
          <w:szCs w:val="20"/>
        </w:rPr>
      </w:pPr>
      <w:r>
        <w:rPr>
          <w:rFonts w:hint="eastAsia" w:ascii="宋体"/>
          <w:kern w:val="0"/>
          <w:szCs w:val="20"/>
        </w:rPr>
        <w:t>删除控制策略生成是指，从隐私信息所有者或隐私信息提供者处，获取关于相关隐私信息的删除要求，并结合数据模态和数据存储方式等因素，生成删除控制策略，包括删除对象、删除方法、删除范围等，具体如下：</w:t>
      </w:r>
    </w:p>
    <w:p w14:paraId="5CC50DDD">
      <w:pPr>
        <w:pStyle w:val="272"/>
        <w:numPr>
          <w:ilvl w:val="0"/>
          <w:numId w:val="79"/>
        </w:numPr>
        <w:ind w:left="840" w:leftChars="200" w:hanging="420" w:hangingChars="200"/>
        <w:rPr>
          <w:szCs w:val="22"/>
        </w:rPr>
      </w:pPr>
      <w:r>
        <w:rPr>
          <w:rFonts w:hint="eastAsia"/>
          <w:szCs w:val="22"/>
        </w:rPr>
        <w:t>删除对象确定，删除对象包括各个隐私信息处理者留存的隐私信息正本或隐私信息副本，根据隐私信息所有者或隐私信息提供者的删除要求，生成由删除对象组成的集合、删除范围的集合；</w:t>
      </w:r>
    </w:p>
    <w:p w14:paraId="0EB1C103">
      <w:pPr>
        <w:pStyle w:val="272"/>
        <w:numPr>
          <w:ilvl w:val="0"/>
          <w:numId w:val="79"/>
        </w:numPr>
        <w:ind w:left="840" w:leftChars="200" w:hanging="420" w:hangingChars="200"/>
        <w:rPr>
          <w:szCs w:val="22"/>
        </w:rPr>
      </w:pPr>
      <w:r>
        <w:rPr>
          <w:rFonts w:hint="eastAsia"/>
          <w:szCs w:val="22"/>
        </w:rPr>
        <w:t>删除方法确定，根据隐私信息所有者或隐私信息提供者的删除要求，确定删除方法集合；</w:t>
      </w:r>
    </w:p>
    <w:p w14:paraId="54464EE1">
      <w:pPr>
        <w:pStyle w:val="272"/>
        <w:numPr>
          <w:ilvl w:val="0"/>
          <w:numId w:val="79"/>
        </w:numPr>
        <w:ind w:left="840" w:leftChars="200" w:hanging="420" w:hangingChars="200"/>
        <w:rPr>
          <w:szCs w:val="22"/>
        </w:rPr>
      </w:pPr>
      <w:r>
        <w:rPr>
          <w:rFonts w:hint="eastAsia"/>
          <w:szCs w:val="22"/>
        </w:rPr>
        <w:t>生成由删除对象集合、删除方法集合、删除范围集合等组成的删除控制策略。</w:t>
      </w:r>
    </w:p>
    <w:p w14:paraId="284CEFD2">
      <w:pPr>
        <w:pStyle w:val="271"/>
        <w:numPr>
          <w:ilvl w:val="3"/>
          <w:numId w:val="37"/>
        </w:numPr>
      </w:pPr>
      <w:bookmarkStart w:id="431" w:name="_Toc168943353"/>
      <w:bookmarkEnd w:id="431"/>
      <w:bookmarkStart w:id="432" w:name="_Toc168948493"/>
      <w:bookmarkEnd w:id="432"/>
      <w:bookmarkStart w:id="433" w:name="_Toc168948219"/>
      <w:bookmarkEnd w:id="433"/>
      <w:bookmarkStart w:id="434" w:name="_Toc168948984"/>
      <w:bookmarkEnd w:id="434"/>
      <w:bookmarkStart w:id="435" w:name="_Toc168947893"/>
      <w:bookmarkEnd w:id="435"/>
      <w:bookmarkStart w:id="436" w:name="_Toc168948727"/>
      <w:bookmarkEnd w:id="436"/>
      <w:bookmarkStart w:id="437" w:name="_Toc168942310"/>
      <w:bookmarkEnd w:id="437"/>
      <w:bookmarkStart w:id="438" w:name="_Toc168948610"/>
      <w:bookmarkEnd w:id="438"/>
      <w:bookmarkStart w:id="439" w:name="_Toc168943239"/>
      <w:bookmarkEnd w:id="439"/>
      <w:bookmarkStart w:id="440" w:name="_Toc168948081"/>
      <w:bookmarkEnd w:id="440"/>
      <w:bookmarkStart w:id="441" w:name="_Toc168948376"/>
      <w:bookmarkEnd w:id="441"/>
      <w:bookmarkStart w:id="442" w:name="_Toc168869045"/>
      <w:bookmarkStart w:id="443" w:name="_Toc170638806"/>
      <w:bookmarkStart w:id="444" w:name="_Toc170638272"/>
      <w:r>
        <w:rPr>
          <w:rFonts w:hint="eastAsia"/>
        </w:rPr>
        <w:t>删除控制策略解析</w:t>
      </w:r>
      <w:bookmarkEnd w:id="442"/>
      <w:bookmarkEnd w:id="443"/>
      <w:bookmarkEnd w:id="444"/>
    </w:p>
    <w:p w14:paraId="2A991C37">
      <w:pPr>
        <w:widowControl/>
        <w:autoSpaceDE w:val="0"/>
        <w:autoSpaceDN w:val="0"/>
        <w:ind w:firstLine="420" w:firstLineChars="200"/>
        <w:rPr>
          <w:rFonts w:ascii="宋体"/>
          <w:kern w:val="0"/>
          <w:szCs w:val="20"/>
        </w:rPr>
      </w:pPr>
      <w:r>
        <w:rPr>
          <w:rFonts w:hint="eastAsia" w:ascii="宋体"/>
          <w:kern w:val="0"/>
          <w:szCs w:val="20"/>
        </w:rPr>
        <w:t>删除控制策略解析是指，隐私信息处理者收到删除控制策略后，提取删除控制策略，具体如下：</w:t>
      </w:r>
    </w:p>
    <w:p w14:paraId="4EDC240D">
      <w:pPr>
        <w:pStyle w:val="257"/>
        <w:widowControl/>
        <w:numPr>
          <w:ilvl w:val="0"/>
          <w:numId w:val="80"/>
        </w:numPr>
        <w:autoSpaceDE w:val="0"/>
        <w:autoSpaceDN w:val="0"/>
        <w:ind w:firstLine="424" w:firstLineChars="202"/>
        <w:rPr>
          <w:rFonts w:ascii="宋体"/>
          <w:kern w:val="0"/>
          <w:szCs w:val="20"/>
        </w:rPr>
      </w:pPr>
      <w:r>
        <w:rPr>
          <w:rFonts w:hint="eastAsia"/>
          <w:szCs w:val="22"/>
        </w:rPr>
        <w:t>隐私信息处理者解析前验证删除控制策略的完整性；</w:t>
      </w:r>
    </w:p>
    <w:p w14:paraId="6E5FD7CB">
      <w:pPr>
        <w:pStyle w:val="272"/>
        <w:numPr>
          <w:ilvl w:val="0"/>
          <w:numId w:val="80"/>
        </w:numPr>
        <w:ind w:left="840" w:leftChars="200" w:hanging="420" w:hangingChars="200"/>
        <w:rPr>
          <w:szCs w:val="22"/>
        </w:rPr>
      </w:pPr>
      <w:r>
        <w:rPr>
          <w:rFonts w:hint="eastAsia"/>
          <w:szCs w:val="22"/>
        </w:rPr>
        <w:t>隐私信息处理者解析删除控制策略后提取删除对象集合、删除方法集合、删除范围集合等信息。</w:t>
      </w:r>
    </w:p>
    <w:p w14:paraId="6DE6751D">
      <w:pPr>
        <w:pStyle w:val="271"/>
        <w:numPr>
          <w:ilvl w:val="3"/>
          <w:numId w:val="37"/>
        </w:numPr>
      </w:pPr>
      <w:bookmarkStart w:id="445" w:name="_Toc168869046"/>
      <w:bookmarkStart w:id="446" w:name="_Toc170638807"/>
      <w:bookmarkStart w:id="447" w:name="_Toc170638273"/>
      <w:r>
        <w:rPr>
          <w:rFonts w:hint="eastAsia"/>
        </w:rPr>
        <w:t>按需删除操作</w:t>
      </w:r>
      <w:bookmarkEnd w:id="445"/>
      <w:bookmarkEnd w:id="446"/>
      <w:bookmarkEnd w:id="447"/>
    </w:p>
    <w:p w14:paraId="3D27C8CE">
      <w:pPr>
        <w:widowControl/>
        <w:autoSpaceDE w:val="0"/>
        <w:autoSpaceDN w:val="0"/>
        <w:ind w:firstLine="420" w:firstLineChars="200"/>
        <w:rPr>
          <w:rFonts w:ascii="宋体"/>
          <w:kern w:val="0"/>
          <w:szCs w:val="20"/>
        </w:rPr>
      </w:pPr>
      <w:r>
        <w:rPr>
          <w:rFonts w:hint="eastAsia" w:ascii="宋体"/>
          <w:kern w:val="0"/>
          <w:szCs w:val="20"/>
        </w:rPr>
        <w:t>隐私信息处理者根据解析出的删除对象集合、删除方法集合、删除范围集合等内容，执行删除操作，具体如下：</w:t>
      </w:r>
    </w:p>
    <w:p w14:paraId="5EAA8D87">
      <w:pPr>
        <w:pStyle w:val="257"/>
        <w:widowControl/>
        <w:numPr>
          <w:ilvl w:val="0"/>
          <w:numId w:val="81"/>
        </w:numPr>
        <w:autoSpaceDE w:val="0"/>
        <w:autoSpaceDN w:val="0"/>
        <w:ind w:firstLine="424" w:firstLineChars="202"/>
        <w:rPr>
          <w:rFonts w:ascii="宋体"/>
          <w:kern w:val="0"/>
          <w:szCs w:val="20"/>
        </w:rPr>
      </w:pPr>
      <w:r>
        <w:rPr>
          <w:rFonts w:hint="eastAsia" w:ascii="宋体"/>
          <w:kern w:val="0"/>
          <w:szCs w:val="20"/>
        </w:rPr>
        <w:t>从删除方法集合中选择删除方法，再根据删除方法、删除等级等，构造删除指令；</w:t>
      </w:r>
    </w:p>
    <w:p w14:paraId="10BB6FDA">
      <w:pPr>
        <w:pStyle w:val="272"/>
        <w:numPr>
          <w:ilvl w:val="0"/>
          <w:numId w:val="81"/>
        </w:numPr>
        <w:ind w:left="840" w:leftChars="200" w:hanging="420" w:hangingChars="200"/>
        <w:rPr>
          <w:szCs w:val="22"/>
        </w:rPr>
      </w:pPr>
      <w:r>
        <w:rPr>
          <w:rFonts w:hint="eastAsia"/>
          <w:szCs w:val="22"/>
        </w:rPr>
        <w:t>根据删除对象集合，确定本地删除对象的正本信息、多副本信息、分散存储信息、多备份信息等所处的设备，然后将删除指令发送到对应的设备；</w:t>
      </w:r>
    </w:p>
    <w:p w14:paraId="01BEC05C">
      <w:pPr>
        <w:pStyle w:val="272"/>
        <w:numPr>
          <w:ilvl w:val="0"/>
          <w:numId w:val="81"/>
        </w:numPr>
        <w:ind w:left="840" w:leftChars="200" w:hanging="420" w:hangingChars="200"/>
        <w:rPr>
          <w:szCs w:val="22"/>
        </w:rPr>
      </w:pPr>
      <w:r>
        <w:rPr>
          <w:rFonts w:hint="eastAsia"/>
          <w:szCs w:val="22"/>
        </w:rPr>
        <w:t>根据删除范围集合，确定其他存放删除对象的正本信息、多副本信息、分散存储信息、多备份信息等所处的设备，然后将删除指令发送到对应的设备。</w:t>
      </w:r>
    </w:p>
    <w:p w14:paraId="119424A2">
      <w:pPr>
        <w:pStyle w:val="276"/>
        <w:numPr>
          <w:ilvl w:val="1"/>
          <w:numId w:val="37"/>
        </w:numPr>
      </w:pPr>
      <w:bookmarkStart w:id="448" w:name="_Toc170638808"/>
      <w:bookmarkStart w:id="449" w:name="_Toc171947850"/>
      <w:bookmarkStart w:id="450" w:name="_Toc172280899"/>
      <w:bookmarkStart w:id="451" w:name="_Hlk170160590"/>
      <w:bookmarkStart w:id="452" w:name="_Toc168869110"/>
      <w:r>
        <w:rPr>
          <w:rFonts w:hint="eastAsia"/>
        </w:rPr>
        <w:t>保护效果评估</w:t>
      </w:r>
      <w:bookmarkEnd w:id="448"/>
      <w:bookmarkEnd w:id="449"/>
      <w:bookmarkEnd w:id="450"/>
    </w:p>
    <w:p w14:paraId="7B4E1FA2">
      <w:pPr>
        <w:pStyle w:val="277"/>
        <w:numPr>
          <w:ilvl w:val="2"/>
          <w:numId w:val="37"/>
        </w:numPr>
      </w:pPr>
      <w:bookmarkStart w:id="453" w:name="_Toc170638809"/>
      <w:bookmarkStart w:id="454" w:name="_Toc171947851"/>
      <w:bookmarkStart w:id="455" w:name="_Toc172280900"/>
      <w:r>
        <w:rPr>
          <w:rFonts w:hint="eastAsia"/>
        </w:rPr>
        <w:t>概述</w:t>
      </w:r>
      <w:bookmarkEnd w:id="453"/>
      <w:bookmarkEnd w:id="454"/>
      <w:bookmarkEnd w:id="455"/>
    </w:p>
    <w:p w14:paraId="7F20804F">
      <w:pPr>
        <w:pStyle w:val="272"/>
      </w:pPr>
      <w:r>
        <w:rPr>
          <w:rFonts w:hint="eastAsia"/>
        </w:rPr>
        <w:t>保护效果评估是对从脱敏后的隐私信息中恢复损失信息的难度，或者恢复已删除隐私信息的可能性进行评价。如图5所示，若保护效果评估未达到预期效果，则可能重新执行隐私信息抽取与度量、隐私度量动态调整、隐私延伸控制、隐私按需保护。保护效果评估包括：</w:t>
      </w:r>
    </w:p>
    <w:p w14:paraId="1CE75DA6">
      <w:pPr>
        <w:pStyle w:val="272"/>
        <w:numPr>
          <w:ilvl w:val="0"/>
          <w:numId w:val="82"/>
        </w:numPr>
        <w:ind w:left="840" w:leftChars="200" w:hanging="420" w:hangingChars="200"/>
        <w:rPr>
          <w:szCs w:val="22"/>
        </w:rPr>
      </w:pPr>
      <w:r>
        <w:rPr>
          <w:rFonts w:hint="eastAsia"/>
          <w:szCs w:val="22"/>
        </w:rPr>
        <w:t>脱敏效果评估的指标体系，采用可逆性、信息偏差性和信息损失性等评估指标。具体见章节10.2.1.1,10.2.1.2及10.2.1.3；</w:t>
      </w:r>
    </w:p>
    <w:p w14:paraId="73006206">
      <w:pPr>
        <w:pStyle w:val="272"/>
        <w:numPr>
          <w:ilvl w:val="0"/>
          <w:numId w:val="82"/>
        </w:numPr>
        <w:ind w:left="840" w:leftChars="200" w:hanging="420" w:hangingChars="200"/>
        <w:rPr>
          <w:szCs w:val="22"/>
        </w:rPr>
      </w:pPr>
      <w:r>
        <w:rPr>
          <w:rFonts w:hint="eastAsia"/>
          <w:szCs w:val="22"/>
        </w:rPr>
        <w:t>单次脱敏效果评估，通过分析脱敏算法执行前后的信息，衡量已脱敏的隐私信息分量的可恢复程度；</w:t>
      </w:r>
    </w:p>
    <w:p w14:paraId="70BD6D46">
      <w:pPr>
        <w:pStyle w:val="272"/>
        <w:numPr>
          <w:ilvl w:val="0"/>
          <w:numId w:val="82"/>
        </w:numPr>
        <w:ind w:left="840" w:leftChars="200" w:hanging="420" w:hangingChars="200"/>
        <w:rPr>
          <w:szCs w:val="22"/>
        </w:rPr>
      </w:pPr>
      <w:r>
        <w:rPr>
          <w:rFonts w:hint="eastAsia"/>
          <w:szCs w:val="22"/>
        </w:rPr>
        <w:t>基于数据挖掘的脱敏效果评估，通过收集特定个人一定时间内的脱敏信息，采用数据挖掘技术试图推算出已脱敏的隐私信息分量；</w:t>
      </w:r>
    </w:p>
    <w:p w14:paraId="2E160241">
      <w:pPr>
        <w:pStyle w:val="272"/>
        <w:numPr>
          <w:ilvl w:val="0"/>
          <w:numId w:val="82"/>
        </w:numPr>
        <w:ind w:left="840" w:leftChars="200" w:hanging="420" w:hangingChars="200"/>
        <w:rPr>
          <w:szCs w:val="22"/>
        </w:rPr>
      </w:pPr>
      <w:r>
        <w:rPr>
          <w:rFonts w:hint="eastAsia"/>
          <w:szCs w:val="22"/>
        </w:rPr>
        <w:t>脱敏系统效果评估，通过收集若干特定个人或所有个人的一定时间内的脱敏信息，采用数据挖掘技术试图推算特定个人的已脱敏的隐私信息分量；</w:t>
      </w:r>
    </w:p>
    <w:p w14:paraId="1D6139C7">
      <w:pPr>
        <w:pStyle w:val="272"/>
        <w:numPr>
          <w:ilvl w:val="0"/>
          <w:numId w:val="82"/>
        </w:numPr>
        <w:ind w:left="840" w:leftChars="200" w:hanging="420" w:hangingChars="200"/>
      </w:pPr>
      <w:r>
        <w:rPr>
          <w:rFonts w:hint="eastAsia"/>
          <w:szCs w:val="22"/>
        </w:rPr>
        <w:t>删除效果评估,采用数据恢复技术试图还原被删除的隐私信息分量。</w:t>
      </w:r>
    </w:p>
    <w:p w14:paraId="35F249AE">
      <w:pPr>
        <w:pStyle w:val="272"/>
        <w:ind w:firstLine="0" w:firstLineChars="0"/>
        <w:jc w:val="center"/>
        <w:rPr>
          <w:rFonts w:hAnsi="宋体"/>
        </w:rPr>
      </w:pPr>
      <w:r>
        <w:rPr>
          <w:rFonts w:hint="eastAsia"/>
        </w:rPr>
        <w:object>
          <v:shape id="_x0000_i1025" o:spt="75" type="#_x0000_t75" style="height:171.55pt;width:467.0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2B016F81">
      <w:pPr>
        <w:pStyle w:val="403"/>
        <w:numPr>
          <w:ilvl w:val="0"/>
          <w:numId w:val="43"/>
        </w:numPr>
        <w:spacing w:before="156" w:after="156"/>
      </w:pPr>
      <w:r>
        <w:rPr>
          <w:rFonts w:hint="eastAsia"/>
        </w:rPr>
        <w:t>保护效果评估执行策略思路</w:t>
      </w:r>
    </w:p>
    <w:p w14:paraId="711F72CA">
      <w:pPr>
        <w:pStyle w:val="277"/>
        <w:numPr>
          <w:ilvl w:val="2"/>
          <w:numId w:val="37"/>
        </w:numPr>
      </w:pPr>
      <w:bookmarkStart w:id="456" w:name="_Toc170478291"/>
      <w:bookmarkEnd w:id="456"/>
      <w:bookmarkStart w:id="457" w:name="_Toc170478292"/>
      <w:bookmarkEnd w:id="457"/>
      <w:bookmarkStart w:id="458" w:name="_Toc170478297"/>
      <w:bookmarkEnd w:id="458"/>
      <w:bookmarkStart w:id="459" w:name="_Toc170465241"/>
      <w:bookmarkEnd w:id="459"/>
      <w:bookmarkStart w:id="460" w:name="_Toc170478305"/>
      <w:bookmarkEnd w:id="460"/>
      <w:bookmarkStart w:id="461" w:name="_Toc170465245"/>
      <w:bookmarkEnd w:id="461"/>
      <w:bookmarkStart w:id="462" w:name="_Toc170478302"/>
      <w:bookmarkEnd w:id="462"/>
      <w:bookmarkStart w:id="463" w:name="_Toc170478295"/>
      <w:bookmarkEnd w:id="463"/>
      <w:bookmarkStart w:id="464" w:name="_Toc170478303"/>
      <w:bookmarkEnd w:id="464"/>
      <w:bookmarkStart w:id="465" w:name="_Toc170478290"/>
      <w:bookmarkEnd w:id="465"/>
      <w:bookmarkStart w:id="466" w:name="_Toc170465237"/>
      <w:bookmarkEnd w:id="466"/>
      <w:bookmarkStart w:id="467" w:name="_Toc170465244"/>
      <w:bookmarkEnd w:id="467"/>
      <w:bookmarkStart w:id="468" w:name="_Toc170478299"/>
      <w:bookmarkEnd w:id="468"/>
      <w:bookmarkStart w:id="469" w:name="_Toc170478307"/>
      <w:bookmarkEnd w:id="469"/>
      <w:bookmarkStart w:id="470" w:name="_Toc170478293"/>
      <w:bookmarkEnd w:id="470"/>
      <w:bookmarkStart w:id="471" w:name="_Toc170478301"/>
      <w:bookmarkEnd w:id="471"/>
      <w:bookmarkStart w:id="472" w:name="_Toc170478300"/>
      <w:bookmarkEnd w:id="472"/>
      <w:bookmarkStart w:id="473" w:name="_Toc170478296"/>
      <w:bookmarkEnd w:id="473"/>
      <w:bookmarkStart w:id="474" w:name="_Toc170465236"/>
      <w:bookmarkEnd w:id="474"/>
      <w:bookmarkStart w:id="475" w:name="_Toc170465240"/>
      <w:bookmarkEnd w:id="475"/>
      <w:bookmarkStart w:id="476" w:name="_Toc170465253"/>
      <w:bookmarkEnd w:id="476"/>
      <w:bookmarkStart w:id="477" w:name="_Toc170478306"/>
      <w:bookmarkEnd w:id="477"/>
      <w:bookmarkStart w:id="478" w:name="_Toc170465239"/>
      <w:bookmarkEnd w:id="478"/>
      <w:bookmarkStart w:id="479" w:name="_Toc170478298"/>
      <w:bookmarkEnd w:id="479"/>
      <w:bookmarkStart w:id="480" w:name="_Toc170478308"/>
      <w:bookmarkEnd w:id="480"/>
      <w:bookmarkStart w:id="481" w:name="_Toc170465246"/>
      <w:bookmarkEnd w:id="481"/>
      <w:bookmarkStart w:id="482" w:name="_Toc170465238"/>
      <w:bookmarkEnd w:id="482"/>
      <w:bookmarkStart w:id="483" w:name="_Toc170465249"/>
      <w:bookmarkEnd w:id="483"/>
      <w:bookmarkStart w:id="484" w:name="_Toc168948231"/>
      <w:bookmarkEnd w:id="484"/>
      <w:bookmarkStart w:id="485" w:name="_Toc170478294"/>
      <w:bookmarkEnd w:id="485"/>
      <w:bookmarkStart w:id="486" w:name="_Toc170465248"/>
      <w:bookmarkEnd w:id="486"/>
      <w:bookmarkStart w:id="487" w:name="_Toc170465252"/>
      <w:bookmarkEnd w:id="487"/>
      <w:bookmarkStart w:id="488" w:name="_Toc170465250"/>
      <w:bookmarkEnd w:id="488"/>
      <w:bookmarkStart w:id="489" w:name="_Toc170465235"/>
      <w:bookmarkEnd w:id="489"/>
      <w:bookmarkStart w:id="490" w:name="_Toc170465242"/>
      <w:bookmarkEnd w:id="490"/>
      <w:bookmarkStart w:id="491" w:name="_Toc168942323"/>
      <w:bookmarkEnd w:id="491"/>
      <w:bookmarkStart w:id="492" w:name="_Toc168947906"/>
      <w:bookmarkEnd w:id="492"/>
      <w:bookmarkStart w:id="493" w:name="_Toc168948092"/>
      <w:bookmarkEnd w:id="493"/>
      <w:bookmarkStart w:id="494" w:name="_Toc168943253"/>
      <w:bookmarkEnd w:id="494"/>
      <w:bookmarkStart w:id="495" w:name="_Toc168948506"/>
      <w:bookmarkEnd w:id="495"/>
      <w:bookmarkStart w:id="496" w:name="_Toc168947905"/>
      <w:bookmarkEnd w:id="496"/>
      <w:bookmarkStart w:id="497" w:name="_Toc168943364"/>
      <w:bookmarkEnd w:id="497"/>
      <w:bookmarkStart w:id="498" w:name="_Toc168948095"/>
      <w:bookmarkEnd w:id="498"/>
      <w:bookmarkStart w:id="499" w:name="_Toc168948624"/>
      <w:bookmarkEnd w:id="499"/>
      <w:bookmarkStart w:id="500" w:name="_Toc170478304"/>
      <w:bookmarkEnd w:id="500"/>
      <w:bookmarkStart w:id="501" w:name="_Toc168948997"/>
      <w:bookmarkEnd w:id="501"/>
      <w:bookmarkStart w:id="502" w:name="_Toc168948504"/>
      <w:bookmarkEnd w:id="502"/>
      <w:bookmarkStart w:id="503" w:name="_Toc170465251"/>
      <w:bookmarkEnd w:id="503"/>
      <w:bookmarkStart w:id="504" w:name="_Toc168943252"/>
      <w:bookmarkEnd w:id="504"/>
      <w:bookmarkStart w:id="505" w:name="_Toc168948738"/>
      <w:bookmarkEnd w:id="505"/>
      <w:bookmarkStart w:id="506" w:name="_Toc168948505"/>
      <w:bookmarkEnd w:id="506"/>
      <w:bookmarkStart w:id="507" w:name="_Toc168947904"/>
      <w:bookmarkEnd w:id="507"/>
      <w:bookmarkStart w:id="508" w:name="_Toc168948390"/>
      <w:bookmarkEnd w:id="508"/>
      <w:bookmarkStart w:id="509" w:name="_Toc168948996"/>
      <w:bookmarkEnd w:id="509"/>
      <w:bookmarkStart w:id="510" w:name="_Toc168948622"/>
      <w:bookmarkEnd w:id="510"/>
      <w:bookmarkStart w:id="511" w:name="_Toc168948995"/>
      <w:bookmarkEnd w:id="511"/>
      <w:bookmarkStart w:id="512" w:name="_Toc168948389"/>
      <w:bookmarkEnd w:id="512"/>
      <w:bookmarkStart w:id="513" w:name="_Toc168948388"/>
      <w:bookmarkEnd w:id="513"/>
      <w:bookmarkStart w:id="514" w:name="_Toc170465243"/>
      <w:bookmarkEnd w:id="514"/>
      <w:bookmarkStart w:id="515" w:name="_Toc168948623"/>
      <w:bookmarkEnd w:id="515"/>
      <w:bookmarkStart w:id="516" w:name="_Toc168948230"/>
      <w:bookmarkEnd w:id="516"/>
      <w:bookmarkStart w:id="517" w:name="_Toc168947907"/>
      <w:bookmarkEnd w:id="517"/>
      <w:bookmarkStart w:id="518" w:name="_Toc168948233"/>
      <w:bookmarkEnd w:id="518"/>
      <w:bookmarkStart w:id="519" w:name="_Toc168948387"/>
      <w:bookmarkEnd w:id="519"/>
      <w:bookmarkStart w:id="520" w:name="_Toc168943367"/>
      <w:bookmarkEnd w:id="520"/>
      <w:bookmarkStart w:id="521" w:name="_Toc170465247"/>
      <w:bookmarkEnd w:id="521"/>
      <w:bookmarkStart w:id="522" w:name="_Toc168948998"/>
      <w:bookmarkEnd w:id="522"/>
      <w:bookmarkStart w:id="523" w:name="_Toc168948507"/>
      <w:bookmarkEnd w:id="523"/>
      <w:bookmarkStart w:id="524" w:name="_Toc168943365"/>
      <w:bookmarkEnd w:id="524"/>
      <w:bookmarkStart w:id="525" w:name="_Toc168948741"/>
      <w:bookmarkEnd w:id="525"/>
      <w:bookmarkStart w:id="526" w:name="_Toc168948093"/>
      <w:bookmarkEnd w:id="526"/>
      <w:bookmarkStart w:id="527" w:name="_Toc168942321"/>
      <w:bookmarkEnd w:id="527"/>
      <w:bookmarkStart w:id="528" w:name="_Toc168948739"/>
      <w:bookmarkEnd w:id="528"/>
      <w:bookmarkStart w:id="529" w:name="_Toc168948232"/>
      <w:bookmarkEnd w:id="529"/>
      <w:bookmarkStart w:id="530" w:name="_Toc168948740"/>
      <w:bookmarkEnd w:id="530"/>
      <w:bookmarkStart w:id="531" w:name="_Toc168948621"/>
      <w:bookmarkEnd w:id="531"/>
      <w:bookmarkStart w:id="532" w:name="_Toc168943251"/>
      <w:bookmarkEnd w:id="532"/>
      <w:bookmarkStart w:id="533" w:name="_Toc168942324"/>
      <w:bookmarkEnd w:id="533"/>
      <w:bookmarkStart w:id="534" w:name="_Toc168943366"/>
      <w:bookmarkEnd w:id="534"/>
      <w:bookmarkStart w:id="535" w:name="_Toc168948094"/>
      <w:bookmarkEnd w:id="535"/>
      <w:bookmarkStart w:id="536" w:name="_Toc168942322"/>
      <w:bookmarkEnd w:id="536"/>
      <w:bookmarkStart w:id="537" w:name="_Toc168943250"/>
      <w:bookmarkEnd w:id="537"/>
      <w:bookmarkStart w:id="538" w:name="_Toc172280901"/>
      <w:bookmarkStart w:id="539" w:name="_Toc171947852"/>
      <w:bookmarkStart w:id="540" w:name="_Toc170638810"/>
      <w:r>
        <w:rPr>
          <w:rFonts w:hint="eastAsia"/>
        </w:rPr>
        <w:t>单次脱敏效果评估</w:t>
      </w:r>
      <w:bookmarkEnd w:id="538"/>
      <w:bookmarkEnd w:id="539"/>
      <w:bookmarkEnd w:id="540"/>
    </w:p>
    <w:p w14:paraId="5E83A1CC">
      <w:pPr>
        <w:pStyle w:val="272"/>
      </w:pPr>
      <w:r>
        <w:rPr>
          <w:rFonts w:hint="eastAsia"/>
        </w:rPr>
        <w:t>单次脱敏效果评估，将执行脱敏算法前的隐私信息与脱敏后的隐私信息进行可逆性、信息偏差性和信息损失性的评估，具体如下：</w:t>
      </w:r>
    </w:p>
    <w:p w14:paraId="7AE2F708">
      <w:pPr>
        <w:pStyle w:val="272"/>
        <w:numPr>
          <w:ilvl w:val="0"/>
          <w:numId w:val="83"/>
        </w:numPr>
        <w:ind w:left="840" w:leftChars="200" w:hanging="420" w:hangingChars="200"/>
        <w:rPr>
          <w:szCs w:val="22"/>
        </w:rPr>
      </w:pPr>
      <w:r>
        <w:rPr>
          <w:rFonts w:hint="eastAsia"/>
          <w:szCs w:val="22"/>
        </w:rPr>
        <w:t>依据执行脱敏算法后的数据模态、数据规模和应用场景，确定可逆性、信息偏差性和信息损失性对应的权重值；</w:t>
      </w:r>
    </w:p>
    <w:p w14:paraId="702BEBA2">
      <w:pPr>
        <w:pStyle w:val="272"/>
        <w:numPr>
          <w:ilvl w:val="0"/>
          <w:numId w:val="83"/>
        </w:numPr>
        <w:ind w:left="840" w:leftChars="200" w:hanging="420" w:hangingChars="200"/>
        <w:rPr>
          <w:szCs w:val="22"/>
        </w:rPr>
      </w:pPr>
      <w:r>
        <w:rPr>
          <w:rFonts w:hint="eastAsia"/>
          <w:szCs w:val="22"/>
        </w:rPr>
        <w:t>依据数据模态和应用场景，选择10.2.1.1节中的评估指标，评估已脱敏的隐私信息分量的被还原能力；</w:t>
      </w:r>
    </w:p>
    <w:p w14:paraId="5FFB9E42">
      <w:pPr>
        <w:pStyle w:val="272"/>
        <w:numPr>
          <w:ilvl w:val="0"/>
          <w:numId w:val="83"/>
        </w:numPr>
        <w:ind w:left="840" w:leftChars="200" w:hanging="420" w:hangingChars="200"/>
        <w:rPr>
          <w:szCs w:val="22"/>
        </w:rPr>
      </w:pPr>
      <w:r>
        <w:rPr>
          <w:rFonts w:hint="eastAsia"/>
          <w:szCs w:val="22"/>
        </w:rPr>
        <w:t>依据数据规模及统计特性，选择10.2.1.2节中的评估指标，评估脱敏算法执行前的原始隐私信息与脱敏后的隐私信息之间的偏差程度；</w:t>
      </w:r>
    </w:p>
    <w:p w14:paraId="52F34648">
      <w:pPr>
        <w:pStyle w:val="272"/>
        <w:numPr>
          <w:ilvl w:val="0"/>
          <w:numId w:val="83"/>
        </w:numPr>
        <w:ind w:left="840" w:leftChars="200" w:hanging="420" w:hangingChars="200"/>
        <w:rPr>
          <w:szCs w:val="22"/>
        </w:rPr>
      </w:pPr>
      <w:r>
        <w:rPr>
          <w:rFonts w:hint="eastAsia"/>
          <w:szCs w:val="22"/>
        </w:rPr>
        <w:t>依据数据信息量和关联性，选择10.2.1.3节中的评估指标，评估脱敏算法执行前的原始隐私信息与脱敏后的隐私信息之间的信息损失程度；</w:t>
      </w:r>
    </w:p>
    <w:p w14:paraId="59DC1F1B">
      <w:pPr>
        <w:pStyle w:val="272"/>
        <w:numPr>
          <w:ilvl w:val="0"/>
          <w:numId w:val="83"/>
        </w:numPr>
        <w:ind w:left="840" w:leftChars="200" w:hanging="420" w:hangingChars="200"/>
        <w:rPr>
          <w:szCs w:val="22"/>
        </w:rPr>
      </w:pPr>
      <w:r>
        <w:rPr>
          <w:rFonts w:hint="eastAsia"/>
          <w:szCs w:val="22"/>
        </w:rPr>
        <w:t>考虑数据规模、数据分布、数据模态、应用场景等因素，设计合理的单次脱敏效果评估方案，保证评估结果的准确性和可信性；</w:t>
      </w:r>
    </w:p>
    <w:p w14:paraId="6CA23EAD">
      <w:pPr>
        <w:pStyle w:val="272"/>
        <w:numPr>
          <w:ilvl w:val="0"/>
          <w:numId w:val="83"/>
        </w:numPr>
        <w:ind w:left="840" w:leftChars="200" w:hanging="420" w:hangingChars="200"/>
        <w:rPr>
          <w:szCs w:val="22"/>
        </w:rPr>
      </w:pPr>
      <w:r>
        <w:rPr>
          <w:rFonts w:hint="eastAsia"/>
          <w:szCs w:val="22"/>
        </w:rPr>
        <w:t>当单次脱敏效果评估结论的可逆性指标未达到脱敏效果期望阈值，需反馈到隐私按需保护组件，根据10.3.3节要求，重新选择脱敏算法，并设置该脱敏算法的参数；当单次脱敏效果评估结论的可逆性指标符合脱敏效果期望阈值，但其信息偏差性或信息损失性指标未达到脱敏效果期望阈值，需反馈到隐私按需保护组件，根据10.3.3节要求，修改脱敏算法的参数；若多次反馈后，仍未达到脱敏效果期望阈值，需反馈到隐私延伸控制组件，根据9.2节要求，生成调整后的延伸控制策略。</w:t>
      </w:r>
    </w:p>
    <w:p w14:paraId="274B53F5">
      <w:pPr>
        <w:pStyle w:val="277"/>
        <w:numPr>
          <w:ilvl w:val="2"/>
          <w:numId w:val="37"/>
        </w:numPr>
      </w:pPr>
      <w:bookmarkStart w:id="541" w:name="_Toc168948743"/>
      <w:bookmarkEnd w:id="541"/>
      <w:bookmarkStart w:id="542" w:name="_Toc168948097"/>
      <w:bookmarkEnd w:id="542"/>
      <w:bookmarkStart w:id="543" w:name="_Toc170459698"/>
      <w:bookmarkEnd w:id="543"/>
      <w:bookmarkStart w:id="544" w:name="_Toc168948509"/>
      <w:bookmarkEnd w:id="544"/>
      <w:bookmarkStart w:id="545" w:name="_Toc168947909"/>
      <w:bookmarkEnd w:id="545"/>
      <w:bookmarkStart w:id="546" w:name="_Toc168943369"/>
      <w:bookmarkEnd w:id="546"/>
      <w:bookmarkStart w:id="547" w:name="_Toc170465255"/>
      <w:bookmarkEnd w:id="547"/>
      <w:bookmarkStart w:id="548" w:name="_Toc168949000"/>
      <w:bookmarkEnd w:id="548"/>
      <w:bookmarkStart w:id="549" w:name="_Toc168942326"/>
      <w:bookmarkEnd w:id="549"/>
      <w:bookmarkStart w:id="550" w:name="_Toc168948235"/>
      <w:bookmarkEnd w:id="550"/>
      <w:bookmarkStart w:id="551" w:name="_Toc170478310"/>
      <w:bookmarkEnd w:id="551"/>
      <w:bookmarkStart w:id="552" w:name="_Toc168948392"/>
      <w:bookmarkEnd w:id="552"/>
      <w:bookmarkStart w:id="553" w:name="_Toc168943255"/>
      <w:bookmarkEnd w:id="553"/>
      <w:bookmarkStart w:id="554" w:name="_Toc168948626"/>
      <w:bookmarkEnd w:id="554"/>
      <w:bookmarkStart w:id="555" w:name="_Toc170638811"/>
      <w:bookmarkStart w:id="556" w:name="_Toc171947853"/>
      <w:bookmarkStart w:id="557" w:name="_Toc172280902"/>
      <w:r>
        <w:rPr>
          <w:rFonts w:hint="eastAsia"/>
        </w:rPr>
        <w:t>基于数据挖掘的脱敏效果评估</w:t>
      </w:r>
      <w:bookmarkEnd w:id="555"/>
      <w:bookmarkEnd w:id="556"/>
      <w:bookmarkEnd w:id="557"/>
    </w:p>
    <w:p w14:paraId="0FE0A111">
      <w:pPr>
        <w:pStyle w:val="272"/>
      </w:pPr>
      <w:r>
        <w:rPr>
          <w:rFonts w:hint="eastAsia"/>
        </w:rPr>
        <w:t>基于数据挖掘的脱敏效果评估，是指对采用数据挖掘技术分析特定个人一定时间内的已通过单次脱敏效果评估的脱敏信息，以推算出已脱敏的隐私信息分量程度的评估，具体如下：</w:t>
      </w:r>
    </w:p>
    <w:p w14:paraId="378FD275">
      <w:pPr>
        <w:pStyle w:val="272"/>
        <w:numPr>
          <w:ilvl w:val="0"/>
          <w:numId w:val="84"/>
        </w:numPr>
        <w:ind w:left="840" w:leftChars="200" w:hanging="420" w:hangingChars="200"/>
        <w:rPr>
          <w:szCs w:val="22"/>
        </w:rPr>
      </w:pPr>
      <w:r>
        <w:rPr>
          <w:rFonts w:hint="eastAsia"/>
          <w:szCs w:val="22"/>
        </w:rPr>
        <w:t>选取数据挖掘算法，对特定个人一定时间内的脱敏信息进行挖掘分析，推断出特定个人的被脱敏的隐私信息；</w:t>
      </w:r>
    </w:p>
    <w:p w14:paraId="23899EB5">
      <w:pPr>
        <w:pStyle w:val="272"/>
        <w:numPr>
          <w:ilvl w:val="0"/>
          <w:numId w:val="84"/>
        </w:numPr>
        <w:ind w:left="840" w:leftChars="200" w:hanging="420" w:hangingChars="200"/>
        <w:rPr>
          <w:szCs w:val="22"/>
        </w:rPr>
      </w:pPr>
      <w:r>
        <w:rPr>
          <w:rFonts w:hint="eastAsia"/>
          <w:szCs w:val="22"/>
        </w:rPr>
        <w:t>评估推断出的特定个人的隐私信息，与其对应的真实隐私信息进行偏差性、损失性的对比分析；</w:t>
      </w:r>
    </w:p>
    <w:p w14:paraId="719A552D">
      <w:pPr>
        <w:pStyle w:val="272"/>
        <w:numPr>
          <w:ilvl w:val="0"/>
          <w:numId w:val="84"/>
        </w:numPr>
        <w:ind w:left="840" w:leftChars="200" w:hanging="420" w:hangingChars="200"/>
        <w:rPr>
          <w:szCs w:val="22"/>
        </w:rPr>
      </w:pPr>
      <w:r>
        <w:rPr>
          <w:rFonts w:hint="eastAsia"/>
          <w:szCs w:val="22"/>
        </w:rPr>
        <w:t>当基于数据挖掘的脱敏效果评估结论的信息偏差性未达到脱敏效果期望阈值，需反馈到隐私延伸控制组件，根据9.2节要求，生成调整后的延伸控制策略；当基于数据挖掘的脱敏效果评估结论的信息偏差性达到脱敏需求阈值，而信息损失性未达到脱敏效果期望阈值，需反馈到隐私度量动态调整组件，根据8.2节和8.3节要求，分别修正场景识别、度量调整机制。</w:t>
      </w:r>
    </w:p>
    <w:p w14:paraId="48C28DDE">
      <w:pPr>
        <w:pStyle w:val="277"/>
        <w:numPr>
          <w:ilvl w:val="2"/>
          <w:numId w:val="37"/>
        </w:numPr>
      </w:pPr>
      <w:bookmarkStart w:id="558" w:name="_Toc170459701"/>
      <w:bookmarkEnd w:id="558"/>
      <w:bookmarkStart w:id="559" w:name="_Toc170459700"/>
      <w:bookmarkEnd w:id="559"/>
      <w:bookmarkStart w:id="560" w:name="_Toc168948237"/>
      <w:bookmarkEnd w:id="560"/>
      <w:bookmarkStart w:id="561" w:name="_Toc168948747"/>
      <w:bookmarkEnd w:id="561"/>
      <w:bookmarkStart w:id="562" w:name="_Toc168948394"/>
      <w:bookmarkEnd w:id="562"/>
      <w:bookmarkStart w:id="563" w:name="_Toc168948631"/>
      <w:bookmarkEnd w:id="563"/>
      <w:bookmarkStart w:id="564" w:name="_Toc168948100"/>
      <w:bookmarkEnd w:id="564"/>
      <w:bookmarkStart w:id="565" w:name="_Toc168943371"/>
      <w:bookmarkEnd w:id="565"/>
      <w:bookmarkStart w:id="566" w:name="_Toc168948628"/>
      <w:bookmarkEnd w:id="566"/>
      <w:bookmarkStart w:id="567" w:name="_Toc168948512"/>
      <w:bookmarkEnd w:id="567"/>
      <w:bookmarkStart w:id="568" w:name="_Toc168948750"/>
      <w:bookmarkEnd w:id="568"/>
      <w:bookmarkStart w:id="569" w:name="_Toc168948103"/>
      <w:bookmarkEnd w:id="569"/>
      <w:bookmarkStart w:id="570" w:name="_Toc168948745"/>
      <w:bookmarkEnd w:id="570"/>
      <w:bookmarkStart w:id="571" w:name="_Toc168949003"/>
      <w:bookmarkEnd w:id="571"/>
      <w:bookmarkStart w:id="572" w:name="_Toc168948514"/>
      <w:bookmarkEnd w:id="572"/>
      <w:bookmarkStart w:id="573" w:name="_Toc168948241"/>
      <w:bookmarkEnd w:id="573"/>
      <w:bookmarkStart w:id="574" w:name="_Toc170478313"/>
      <w:bookmarkEnd w:id="574"/>
      <w:bookmarkStart w:id="575" w:name="_Toc168947912"/>
      <w:bookmarkEnd w:id="575"/>
      <w:bookmarkStart w:id="576" w:name="_Toc168948516"/>
      <w:bookmarkEnd w:id="576"/>
      <w:bookmarkStart w:id="577" w:name="_Toc170465260"/>
      <w:bookmarkEnd w:id="577"/>
      <w:bookmarkStart w:id="578" w:name="_Toc170478315"/>
      <w:bookmarkEnd w:id="578"/>
      <w:bookmarkStart w:id="579" w:name="_Toc168948395"/>
      <w:bookmarkEnd w:id="579"/>
      <w:bookmarkStart w:id="580" w:name="_Toc170459703"/>
      <w:bookmarkEnd w:id="580"/>
      <w:bookmarkStart w:id="581" w:name="_Toc168947915"/>
      <w:bookmarkEnd w:id="581"/>
      <w:bookmarkStart w:id="582" w:name="_Toc170478314"/>
      <w:bookmarkEnd w:id="582"/>
      <w:bookmarkStart w:id="583" w:name="_Toc168949002"/>
      <w:bookmarkEnd w:id="583"/>
      <w:bookmarkStart w:id="584" w:name="_Toc168948238"/>
      <w:bookmarkEnd w:id="584"/>
      <w:bookmarkStart w:id="585" w:name="_Toc168948099"/>
      <w:bookmarkEnd w:id="585"/>
      <w:bookmarkStart w:id="586" w:name="_Toc170465257"/>
      <w:bookmarkEnd w:id="586"/>
      <w:bookmarkStart w:id="587" w:name="_Toc170465259"/>
      <w:bookmarkEnd w:id="587"/>
      <w:bookmarkStart w:id="588" w:name="_Toc170465258"/>
      <w:bookmarkEnd w:id="588"/>
      <w:bookmarkStart w:id="589" w:name="_Toc170478312"/>
      <w:bookmarkEnd w:id="589"/>
      <w:bookmarkStart w:id="590" w:name="_Toc170459702"/>
      <w:bookmarkEnd w:id="590"/>
      <w:bookmarkStart w:id="591" w:name="_Toc168947913"/>
      <w:bookmarkEnd w:id="591"/>
      <w:bookmarkStart w:id="592" w:name="_Toc168948396"/>
      <w:bookmarkEnd w:id="592"/>
      <w:bookmarkStart w:id="593" w:name="_Toc168948633"/>
      <w:bookmarkEnd w:id="593"/>
      <w:bookmarkStart w:id="594" w:name="_Toc168948748"/>
      <w:bookmarkEnd w:id="594"/>
      <w:bookmarkStart w:id="595" w:name="_Toc168948632"/>
      <w:bookmarkEnd w:id="595"/>
      <w:bookmarkStart w:id="596" w:name="_Toc168949005"/>
      <w:bookmarkEnd w:id="596"/>
      <w:bookmarkStart w:id="597" w:name="_Toc168948102"/>
      <w:bookmarkEnd w:id="597"/>
      <w:bookmarkStart w:id="598" w:name="_Toc168948629"/>
      <w:bookmarkEnd w:id="598"/>
      <w:bookmarkStart w:id="599" w:name="_Toc168948399"/>
      <w:bookmarkEnd w:id="599"/>
      <w:bookmarkStart w:id="600" w:name="_Toc168948513"/>
      <w:bookmarkEnd w:id="600"/>
      <w:bookmarkStart w:id="601" w:name="_Toc168949006"/>
      <w:bookmarkEnd w:id="601"/>
      <w:bookmarkStart w:id="602" w:name="_Toc168949004"/>
      <w:bookmarkEnd w:id="602"/>
      <w:bookmarkStart w:id="603" w:name="_Toc168947916"/>
      <w:bookmarkEnd w:id="603"/>
      <w:bookmarkStart w:id="604" w:name="_Toc168948630"/>
      <w:bookmarkEnd w:id="604"/>
      <w:bookmarkStart w:id="605" w:name="_Toc168948242"/>
      <w:bookmarkEnd w:id="605"/>
      <w:bookmarkStart w:id="606" w:name="_Toc168942328"/>
      <w:bookmarkEnd w:id="606"/>
      <w:bookmarkStart w:id="607" w:name="_Toc168943257"/>
      <w:bookmarkEnd w:id="607"/>
      <w:bookmarkStart w:id="608" w:name="_Toc168948511"/>
      <w:bookmarkEnd w:id="608"/>
      <w:bookmarkStart w:id="609" w:name="_Toc168948749"/>
      <w:bookmarkEnd w:id="609"/>
      <w:bookmarkStart w:id="610" w:name="_Toc168948746"/>
      <w:bookmarkEnd w:id="610"/>
      <w:bookmarkStart w:id="611" w:name="_Toc168948240"/>
      <w:bookmarkEnd w:id="611"/>
      <w:bookmarkStart w:id="612" w:name="_Toc168947914"/>
      <w:bookmarkEnd w:id="612"/>
      <w:bookmarkStart w:id="613" w:name="_Toc168948239"/>
      <w:bookmarkEnd w:id="613"/>
      <w:bookmarkStart w:id="614" w:name="_Toc168948515"/>
      <w:bookmarkEnd w:id="614"/>
      <w:bookmarkStart w:id="615" w:name="_Toc168948101"/>
      <w:bookmarkEnd w:id="615"/>
      <w:bookmarkStart w:id="616" w:name="_Toc168948397"/>
      <w:bookmarkEnd w:id="616"/>
      <w:bookmarkStart w:id="617" w:name="_Toc168947911"/>
      <w:bookmarkEnd w:id="617"/>
      <w:bookmarkStart w:id="618" w:name="_Toc168948398"/>
      <w:bookmarkEnd w:id="618"/>
      <w:bookmarkStart w:id="619" w:name="_Toc168948104"/>
      <w:bookmarkEnd w:id="619"/>
      <w:bookmarkStart w:id="620" w:name="_Toc168949007"/>
      <w:bookmarkEnd w:id="620"/>
      <w:bookmarkStart w:id="621" w:name="_Toc171947854"/>
      <w:bookmarkStart w:id="622" w:name="_Toc172280903"/>
      <w:bookmarkStart w:id="623" w:name="_Toc170638812"/>
      <w:r>
        <w:rPr>
          <w:rFonts w:hint="eastAsia"/>
        </w:rPr>
        <w:t>脱敏系统效果评估</w:t>
      </w:r>
      <w:bookmarkEnd w:id="621"/>
      <w:bookmarkEnd w:id="622"/>
      <w:bookmarkEnd w:id="623"/>
    </w:p>
    <w:p w14:paraId="6AC9547D">
      <w:pPr>
        <w:pStyle w:val="272"/>
      </w:pPr>
      <w:r>
        <w:rPr>
          <w:rFonts w:hint="eastAsia"/>
        </w:rPr>
        <w:t>脱敏系统效果评估，是指对采用数据挖掘技术分析若干特定个人或所有个人一定时间内的已通过基于数据挖掘的脱敏效果评估的脱敏信息，以推算出特定个人已脱敏的隐私信息分量程度的评估，具体如下：</w:t>
      </w:r>
    </w:p>
    <w:p w14:paraId="48BB2D41">
      <w:pPr>
        <w:pStyle w:val="272"/>
        <w:numPr>
          <w:ilvl w:val="0"/>
          <w:numId w:val="85"/>
        </w:numPr>
        <w:ind w:left="840" w:leftChars="200" w:hanging="420" w:hangingChars="200"/>
        <w:rPr>
          <w:szCs w:val="22"/>
        </w:rPr>
      </w:pPr>
      <w:r>
        <w:rPr>
          <w:rFonts w:hint="eastAsia"/>
          <w:szCs w:val="22"/>
        </w:rPr>
        <w:t>选取数据挖掘算法，对若干特定个人或所有个人一定时间内的脱敏信息进行挖掘分析，推断出特定个人的被脱敏的隐私信息；</w:t>
      </w:r>
    </w:p>
    <w:p w14:paraId="4FC3FB8B">
      <w:pPr>
        <w:pStyle w:val="272"/>
        <w:numPr>
          <w:ilvl w:val="0"/>
          <w:numId w:val="85"/>
        </w:numPr>
        <w:ind w:left="840" w:leftChars="200" w:hanging="420" w:hangingChars="200"/>
        <w:rPr>
          <w:szCs w:val="22"/>
        </w:rPr>
      </w:pPr>
      <w:r>
        <w:rPr>
          <w:rFonts w:hint="eastAsia"/>
          <w:szCs w:val="22"/>
        </w:rPr>
        <w:t>评估推断出的特定个人的隐私信息，与其对应的真实隐私信息进行偏差性、损失性的对比分析；</w:t>
      </w:r>
    </w:p>
    <w:p w14:paraId="2C95D0AC">
      <w:pPr>
        <w:pStyle w:val="272"/>
        <w:numPr>
          <w:ilvl w:val="0"/>
          <w:numId w:val="85"/>
        </w:numPr>
        <w:ind w:left="840" w:leftChars="200" w:hanging="420" w:hangingChars="200"/>
        <w:rPr>
          <w:szCs w:val="22"/>
        </w:rPr>
      </w:pPr>
      <w:r>
        <w:rPr>
          <w:rFonts w:hint="eastAsia"/>
          <w:szCs w:val="22"/>
        </w:rPr>
        <w:t>当脱敏系统效果评估结论的信息偏差性未达到脱敏效果期望阈值，需反馈到隐私延伸控制组件，根据9.2节要求，生成调整后的延伸控制策略；当脱敏系统效果评估结论的信息偏差性达到脱敏效果期望阈值，而信息损失性未达到脱敏效果期望阈值，需反馈到隐私度量动态调整组件，根据8.2节和8.3节要求，分别修正场景识别、度量调整机制；若多次反馈后，仍未达到脱敏效果期望阈值，需反馈到隐私信息抽取与度量组件，根据7.2、7.3和7.4节要求，分别修正隐私信息的抽取、分类和度量。</w:t>
      </w:r>
    </w:p>
    <w:p w14:paraId="0A7333C6">
      <w:pPr>
        <w:pStyle w:val="277"/>
        <w:numPr>
          <w:ilvl w:val="2"/>
          <w:numId w:val="37"/>
        </w:numPr>
      </w:pPr>
      <w:bookmarkStart w:id="624" w:name="_Toc168949011"/>
      <w:bookmarkEnd w:id="624"/>
      <w:bookmarkStart w:id="625" w:name="_Toc168948518"/>
      <w:bookmarkEnd w:id="625"/>
      <w:bookmarkStart w:id="626" w:name="_Toc168948755"/>
      <w:bookmarkEnd w:id="626"/>
      <w:bookmarkStart w:id="627" w:name="_Toc168948106"/>
      <w:bookmarkEnd w:id="627"/>
      <w:bookmarkStart w:id="628" w:name="_Toc168949012"/>
      <w:bookmarkEnd w:id="628"/>
      <w:bookmarkStart w:id="629" w:name="_Toc168948107"/>
      <w:bookmarkEnd w:id="629"/>
      <w:bookmarkStart w:id="630" w:name="_Toc168949010"/>
      <w:bookmarkEnd w:id="630"/>
      <w:bookmarkStart w:id="631" w:name="_Toc168949009"/>
      <w:bookmarkEnd w:id="631"/>
      <w:bookmarkStart w:id="632" w:name="_Toc168948245"/>
      <w:bookmarkEnd w:id="632"/>
      <w:bookmarkStart w:id="633" w:name="_Toc168948246"/>
      <w:bookmarkEnd w:id="633"/>
      <w:bookmarkStart w:id="634" w:name="_Toc168948404"/>
      <w:bookmarkEnd w:id="634"/>
      <w:bookmarkStart w:id="635" w:name="_Toc168947921"/>
      <w:bookmarkEnd w:id="635"/>
      <w:bookmarkStart w:id="636" w:name="_Toc168947920"/>
      <w:bookmarkEnd w:id="636"/>
      <w:bookmarkStart w:id="637" w:name="_Toc168948247"/>
      <w:bookmarkEnd w:id="637"/>
      <w:bookmarkStart w:id="638" w:name="_Toc168948109"/>
      <w:bookmarkEnd w:id="638"/>
      <w:bookmarkStart w:id="639" w:name="_Toc168948401"/>
      <w:bookmarkEnd w:id="639"/>
      <w:bookmarkStart w:id="640" w:name="_Toc168948108"/>
      <w:bookmarkEnd w:id="640"/>
      <w:bookmarkStart w:id="641" w:name="_Toc168948244"/>
      <w:bookmarkEnd w:id="641"/>
      <w:bookmarkStart w:id="642" w:name="_Toc168948402"/>
      <w:bookmarkEnd w:id="642"/>
      <w:bookmarkStart w:id="643" w:name="_Toc168947919"/>
      <w:bookmarkEnd w:id="643"/>
      <w:bookmarkStart w:id="644" w:name="_Toc168948754"/>
      <w:bookmarkEnd w:id="644"/>
      <w:bookmarkStart w:id="645" w:name="_Toc168948635"/>
      <w:bookmarkEnd w:id="645"/>
      <w:bookmarkStart w:id="646" w:name="_Toc168948638"/>
      <w:bookmarkEnd w:id="646"/>
      <w:bookmarkStart w:id="647" w:name="_Toc168947918"/>
      <w:bookmarkEnd w:id="647"/>
      <w:bookmarkStart w:id="648" w:name="_Toc168948637"/>
      <w:bookmarkEnd w:id="648"/>
      <w:bookmarkStart w:id="649" w:name="_Toc168948520"/>
      <w:bookmarkEnd w:id="649"/>
      <w:bookmarkStart w:id="650" w:name="_Toc168948403"/>
      <w:bookmarkEnd w:id="650"/>
      <w:bookmarkStart w:id="651" w:name="_Toc168948521"/>
      <w:bookmarkEnd w:id="651"/>
      <w:bookmarkStart w:id="652" w:name="_Toc168948636"/>
      <w:bookmarkEnd w:id="652"/>
      <w:bookmarkStart w:id="653" w:name="_Toc168948752"/>
      <w:bookmarkEnd w:id="653"/>
      <w:bookmarkStart w:id="654" w:name="_Toc168948519"/>
      <w:bookmarkEnd w:id="654"/>
      <w:bookmarkStart w:id="655" w:name="_Toc168948753"/>
      <w:bookmarkEnd w:id="655"/>
      <w:bookmarkStart w:id="656" w:name="_Toc171947855"/>
      <w:bookmarkStart w:id="657" w:name="_Toc172280904"/>
      <w:bookmarkStart w:id="658" w:name="_Toc170638813"/>
      <w:r>
        <w:rPr>
          <w:rFonts w:hint="eastAsia"/>
        </w:rPr>
        <w:t>删除效果评估</w:t>
      </w:r>
      <w:bookmarkEnd w:id="656"/>
      <w:bookmarkEnd w:id="657"/>
      <w:bookmarkEnd w:id="658"/>
    </w:p>
    <w:p w14:paraId="0095EBE1">
      <w:pPr>
        <w:pStyle w:val="272"/>
        <w:rPr>
          <w:rFonts w:hAnsi="宋体" w:cs="宋体"/>
          <w:lang w:val="zh-CN"/>
        </w:rPr>
      </w:pPr>
      <w:r>
        <w:rPr>
          <w:rFonts w:hint="eastAsia" w:hAnsi="宋体" w:cs="宋体"/>
          <w:lang w:val="zh-CN"/>
        </w:rPr>
        <w:t>删除效果评估，是指对被隐私信息处理者删除的隐私信息的可恢复程度的评价，具体如下：</w:t>
      </w:r>
    </w:p>
    <w:p w14:paraId="1286CC04">
      <w:pPr>
        <w:pStyle w:val="272"/>
        <w:numPr>
          <w:ilvl w:val="0"/>
          <w:numId w:val="86"/>
        </w:numPr>
        <w:ind w:left="840" w:leftChars="200" w:hanging="420" w:hangingChars="200"/>
        <w:rPr>
          <w:szCs w:val="22"/>
          <w:lang w:val="zh-CN"/>
        </w:rPr>
      </w:pPr>
      <w:r>
        <w:rPr>
          <w:rFonts w:hint="eastAsia"/>
          <w:szCs w:val="22"/>
          <w:lang w:val="zh-CN"/>
        </w:rPr>
        <w:t>删除控制策略完备性，用于评估隐私信息所有者、隐私信息提供者和隐私信息发布者生成与发送的删除控制策略是否涵盖被删除对象所有副本；</w:t>
      </w:r>
    </w:p>
    <w:p w14:paraId="584D6E8C">
      <w:pPr>
        <w:pStyle w:val="272"/>
        <w:numPr>
          <w:ilvl w:val="0"/>
          <w:numId w:val="86"/>
        </w:numPr>
        <w:ind w:left="840" w:leftChars="200" w:hanging="420" w:hangingChars="200"/>
        <w:rPr>
          <w:szCs w:val="22"/>
          <w:lang w:val="zh-CN"/>
        </w:rPr>
      </w:pPr>
      <w:r>
        <w:rPr>
          <w:rFonts w:hint="eastAsia"/>
          <w:szCs w:val="22"/>
          <w:lang w:val="zh-CN"/>
        </w:rPr>
        <w:t>删除操作合规性，用于评估隐私信息处理者的删除方法是否符合删除控制策略的要求；</w:t>
      </w:r>
    </w:p>
    <w:p w14:paraId="2D96E5F0">
      <w:pPr>
        <w:pStyle w:val="272"/>
        <w:numPr>
          <w:ilvl w:val="0"/>
          <w:numId w:val="86"/>
        </w:numPr>
        <w:ind w:left="840" w:leftChars="200" w:hanging="420" w:hangingChars="200"/>
        <w:rPr>
          <w:szCs w:val="22"/>
          <w:lang w:val="zh-CN"/>
        </w:rPr>
      </w:pPr>
      <w:r>
        <w:rPr>
          <w:rFonts w:hint="eastAsia"/>
          <w:szCs w:val="22"/>
          <w:lang w:val="zh-CN"/>
        </w:rPr>
        <w:t>删除不可恢复性，用于评估隐私信息处理者执行删除操作后被删除对象的不可恢复程度。</w:t>
      </w:r>
      <w:bookmarkEnd w:id="451"/>
      <w:bookmarkEnd w:id="452"/>
    </w:p>
    <w:p w14:paraId="15E40EA5">
      <w:pPr>
        <w:pStyle w:val="276"/>
        <w:numPr>
          <w:ilvl w:val="1"/>
          <w:numId w:val="37"/>
        </w:numPr>
      </w:pPr>
      <w:bookmarkStart w:id="659" w:name="_Toc172280905"/>
      <w:bookmarkStart w:id="660" w:name="_Toc171947856"/>
      <w:bookmarkStart w:id="661" w:name="_Toc170638814"/>
      <w:r>
        <w:rPr>
          <w:rFonts w:hint="eastAsia"/>
        </w:rPr>
        <w:t>存证与取证</w:t>
      </w:r>
      <w:bookmarkEnd w:id="659"/>
      <w:bookmarkEnd w:id="660"/>
      <w:bookmarkEnd w:id="661"/>
    </w:p>
    <w:p w14:paraId="69129579">
      <w:pPr>
        <w:pStyle w:val="277"/>
        <w:numPr>
          <w:ilvl w:val="2"/>
          <w:numId w:val="37"/>
        </w:numPr>
      </w:pPr>
      <w:bookmarkStart w:id="662" w:name="_Toc172280906"/>
      <w:bookmarkStart w:id="663" w:name="_Toc170638815"/>
      <w:bookmarkStart w:id="664" w:name="_Toc171947857"/>
      <w:r>
        <w:rPr>
          <w:rFonts w:hint="eastAsia"/>
        </w:rPr>
        <w:t>概述</w:t>
      </w:r>
      <w:bookmarkEnd w:id="662"/>
      <w:bookmarkEnd w:id="663"/>
      <w:bookmarkEnd w:id="664"/>
    </w:p>
    <w:p w14:paraId="08FD3261">
      <w:pPr>
        <w:pStyle w:val="272"/>
      </w:pPr>
      <w:r>
        <w:rPr>
          <w:rFonts w:hint="eastAsia"/>
        </w:rPr>
        <w:t>存证与取证主要是对隐私计算其他功能组件的运行、隐私信息的处理等情况进行可信记录，以便于开展内部监测、或者按照法律法规接受外部监管者的合规审查、侵权行为追踪溯源的服务请求提供必要的证据和技术接口，包括：</w:t>
      </w:r>
    </w:p>
    <w:p w14:paraId="74826A88">
      <w:pPr>
        <w:pStyle w:val="272"/>
        <w:numPr>
          <w:ilvl w:val="0"/>
          <w:numId w:val="87"/>
        </w:numPr>
        <w:ind w:left="840" w:leftChars="200" w:hanging="420" w:hangingChars="200"/>
        <w:rPr>
          <w:szCs w:val="22"/>
        </w:rPr>
      </w:pPr>
      <w:r>
        <w:rPr>
          <w:rFonts w:hint="eastAsia"/>
          <w:szCs w:val="22"/>
        </w:rPr>
        <w:t>存证收集，用于从各个隐私计算框架的核心组件中收集执行过程和执行效果的事项记录；</w:t>
      </w:r>
    </w:p>
    <w:p w14:paraId="4A3DE58E">
      <w:pPr>
        <w:pStyle w:val="272"/>
        <w:numPr>
          <w:ilvl w:val="0"/>
          <w:numId w:val="87"/>
        </w:numPr>
        <w:ind w:left="840" w:leftChars="200" w:hanging="420" w:hangingChars="200"/>
        <w:rPr>
          <w:szCs w:val="22"/>
        </w:rPr>
      </w:pPr>
      <w:r>
        <w:rPr>
          <w:rFonts w:hint="eastAsia"/>
          <w:szCs w:val="22"/>
        </w:rPr>
        <w:t>存证存储，用于对从各个隐私计算框架的核心组件中收集到的存证信息进行存储；</w:t>
      </w:r>
    </w:p>
    <w:p w14:paraId="439C660E">
      <w:pPr>
        <w:pStyle w:val="272"/>
        <w:numPr>
          <w:ilvl w:val="0"/>
          <w:numId w:val="87"/>
        </w:numPr>
        <w:ind w:left="840" w:leftChars="200" w:hanging="420" w:hangingChars="200"/>
        <w:rPr>
          <w:szCs w:val="22"/>
        </w:rPr>
      </w:pPr>
      <w:r>
        <w:rPr>
          <w:rFonts w:hint="eastAsia"/>
          <w:szCs w:val="22"/>
        </w:rPr>
        <w:t>证据生成，根据证据服务请求，对隐私计算系统的各类存证信息进行多源检索，形成证据链，并将证据返回证据服务请求方。</w:t>
      </w:r>
    </w:p>
    <w:p w14:paraId="62040F62">
      <w:pPr>
        <w:pStyle w:val="277"/>
        <w:numPr>
          <w:ilvl w:val="2"/>
          <w:numId w:val="37"/>
        </w:numPr>
      </w:pPr>
      <w:bookmarkStart w:id="665" w:name="_Toc170638816"/>
      <w:bookmarkStart w:id="666" w:name="_Toc171947858"/>
      <w:bookmarkStart w:id="667" w:name="_Toc172280907"/>
      <w:r>
        <w:rPr>
          <w:rFonts w:hint="eastAsia"/>
        </w:rPr>
        <w:t>存证收集</w:t>
      </w:r>
      <w:bookmarkEnd w:id="665"/>
      <w:bookmarkEnd w:id="666"/>
      <w:bookmarkEnd w:id="667"/>
    </w:p>
    <w:p w14:paraId="50CF1CCF">
      <w:pPr>
        <w:pStyle w:val="272"/>
      </w:pPr>
      <w:r>
        <w:rPr>
          <w:rFonts w:hint="eastAsia"/>
        </w:rPr>
        <w:t>存证收集主要用于收集隐私计算框架的各核心组件的操作记录，包括但不限于：</w:t>
      </w:r>
    </w:p>
    <w:p w14:paraId="349114DB">
      <w:pPr>
        <w:pStyle w:val="272"/>
        <w:numPr>
          <w:ilvl w:val="0"/>
          <w:numId w:val="88"/>
        </w:numPr>
        <w:ind w:left="840" w:leftChars="200" w:hanging="420" w:hangingChars="200"/>
        <w:rPr>
          <w:szCs w:val="22"/>
        </w:rPr>
      </w:pPr>
      <w:r>
        <w:rPr>
          <w:rFonts w:hint="eastAsia"/>
          <w:szCs w:val="22"/>
        </w:rPr>
        <w:t>存证收集范围，覆盖隐私信息抽取与度量、隐私度量动态调整、隐私延伸控制、隐私按需保护、保护效果评估等组件的执行过程和执行效果；</w:t>
      </w:r>
    </w:p>
    <w:p w14:paraId="3CD9DF5D">
      <w:pPr>
        <w:pStyle w:val="272"/>
        <w:numPr>
          <w:ilvl w:val="0"/>
          <w:numId w:val="88"/>
        </w:numPr>
        <w:ind w:left="840" w:leftChars="200" w:hanging="420" w:hangingChars="200"/>
        <w:rPr>
          <w:szCs w:val="22"/>
        </w:rPr>
      </w:pPr>
      <w:r>
        <w:rPr>
          <w:rFonts w:hint="eastAsia"/>
          <w:szCs w:val="22"/>
        </w:rPr>
        <w:t>隐私信息抽取与度量组件的相关存证信息收集，具体如下：</w:t>
      </w:r>
    </w:p>
    <w:p w14:paraId="0D5AC968">
      <w:pPr>
        <w:pStyle w:val="272"/>
        <w:numPr>
          <w:ilvl w:val="0"/>
          <w:numId w:val="89"/>
        </w:numPr>
        <w:ind w:left="1260" w:leftChars="400" w:hanging="420" w:hangingChars="200"/>
      </w:pPr>
      <w:r>
        <w:rPr>
          <w:rFonts w:hint="eastAsia"/>
        </w:rPr>
        <w:t>收集隐私信息抽取过程的相关</w:t>
      </w:r>
      <w:bookmarkStart w:id="668" w:name="_Hlk168936487"/>
      <w:r>
        <w:rPr>
          <w:rFonts w:hint="eastAsia"/>
        </w:rPr>
        <w:t>日志</w:t>
      </w:r>
      <w:bookmarkEnd w:id="668"/>
      <w:r>
        <w:rPr>
          <w:rFonts w:hint="eastAsia"/>
        </w:rPr>
        <w:t>信息，包括但不限于：识别与抽取执行主体、执行时间、识别与抽取结果，支撑审计隐私信息抽取功能的正确性、完备性；</w:t>
      </w:r>
    </w:p>
    <w:p w14:paraId="6EED4D5B">
      <w:pPr>
        <w:pStyle w:val="272"/>
        <w:numPr>
          <w:ilvl w:val="0"/>
          <w:numId w:val="89"/>
        </w:numPr>
        <w:ind w:left="1260" w:leftChars="400" w:hanging="420" w:hangingChars="200"/>
      </w:pPr>
      <w:r>
        <w:rPr>
          <w:rFonts w:hint="eastAsia"/>
        </w:rPr>
        <w:t>收集隐私信息分类过程的相关日志信息，包括但不限于：信息模态、所依据的分类标准、分类方法、分类时间、分类结果，支撑审计数据分类的合规性、分类异常问题溯源；</w:t>
      </w:r>
    </w:p>
    <w:p w14:paraId="20BD8D34">
      <w:pPr>
        <w:pStyle w:val="272"/>
        <w:numPr>
          <w:ilvl w:val="0"/>
          <w:numId w:val="89"/>
        </w:numPr>
        <w:ind w:left="1260" w:leftChars="400" w:hanging="420" w:hangingChars="200"/>
      </w:pPr>
      <w:r>
        <w:rPr>
          <w:rFonts w:hint="eastAsia"/>
        </w:rPr>
        <w:t>收集隐私信息度量过程的相关日志信息，包括但不限于：量化评估模型及其参数、输入数据和输出量化结果的执行主体、量化结果等，支撑隐私信息度量方法改进、度量异常问题溯源。</w:t>
      </w:r>
    </w:p>
    <w:p w14:paraId="22DEC228">
      <w:pPr>
        <w:pStyle w:val="272"/>
        <w:numPr>
          <w:ilvl w:val="0"/>
          <w:numId w:val="88"/>
        </w:numPr>
        <w:ind w:left="840" w:leftChars="200" w:hanging="420" w:hangingChars="200"/>
        <w:rPr>
          <w:szCs w:val="22"/>
        </w:rPr>
      </w:pPr>
      <w:r>
        <w:rPr>
          <w:rFonts w:hint="eastAsia"/>
          <w:szCs w:val="22"/>
        </w:rPr>
        <w:t>隐私度量动态调整组件的相关存证信息收集，具体如下：</w:t>
      </w:r>
    </w:p>
    <w:p w14:paraId="56CB5032">
      <w:pPr>
        <w:pStyle w:val="272"/>
        <w:numPr>
          <w:ilvl w:val="0"/>
          <w:numId w:val="90"/>
        </w:numPr>
        <w:ind w:left="1260" w:leftChars="400" w:hanging="420" w:hangingChars="200"/>
        <w:rPr>
          <w:szCs w:val="22"/>
        </w:rPr>
      </w:pPr>
      <w:r>
        <w:rPr>
          <w:rFonts w:hint="eastAsia"/>
          <w:szCs w:val="22"/>
        </w:rPr>
        <w:t>收集场景识别过程的相关日志信息，包括但不限于：场景识别执行主体、识别模型及参数、识别执行时间、场景识别结果，支撑审计场景识别功能的正确性；</w:t>
      </w:r>
    </w:p>
    <w:p w14:paraId="50D07BEF">
      <w:pPr>
        <w:pStyle w:val="272"/>
        <w:numPr>
          <w:ilvl w:val="0"/>
          <w:numId w:val="90"/>
        </w:numPr>
        <w:ind w:left="1260" w:leftChars="400" w:hanging="420" w:hangingChars="200"/>
        <w:rPr>
          <w:szCs w:val="22"/>
        </w:rPr>
      </w:pPr>
      <w:r>
        <w:rPr>
          <w:rFonts w:hint="eastAsia"/>
          <w:szCs w:val="22"/>
        </w:rPr>
        <w:t>收集度量调整过程的相关日志信息，包括但不限于：度量调整操作执行主体、度量调整方法及参数、度量调整结果，支撑审计度量调整功能的正确性。</w:t>
      </w:r>
    </w:p>
    <w:p w14:paraId="692F5DA2">
      <w:pPr>
        <w:pStyle w:val="272"/>
        <w:numPr>
          <w:ilvl w:val="0"/>
          <w:numId w:val="88"/>
        </w:numPr>
        <w:ind w:left="840" w:leftChars="200" w:hanging="420" w:hangingChars="200"/>
        <w:rPr>
          <w:szCs w:val="22"/>
        </w:rPr>
      </w:pPr>
      <w:r>
        <w:rPr>
          <w:rFonts w:hint="eastAsia"/>
          <w:szCs w:val="22"/>
        </w:rPr>
        <w:t>隐私延伸控制组件的相关存证信息收集，具体如下：</w:t>
      </w:r>
    </w:p>
    <w:p w14:paraId="5927F993">
      <w:pPr>
        <w:pStyle w:val="272"/>
        <w:numPr>
          <w:ilvl w:val="0"/>
          <w:numId w:val="91"/>
        </w:numPr>
        <w:ind w:left="1260" w:leftChars="400" w:hanging="420" w:hangingChars="200"/>
        <w:rPr>
          <w:szCs w:val="22"/>
        </w:rPr>
      </w:pPr>
      <w:r>
        <w:rPr>
          <w:rFonts w:hint="eastAsia"/>
          <w:szCs w:val="22"/>
        </w:rPr>
        <w:t>收集延伸控制策略生成的相关日志信息，包括但不限于：生成该策略的隐私信息处理者身份标识、延伸控制意图、延伸控制策略内容等，支撑审计延伸控制意图和延伸控制策略之间的匹配性；</w:t>
      </w:r>
    </w:p>
    <w:p w14:paraId="6D9E618E">
      <w:pPr>
        <w:pStyle w:val="272"/>
        <w:numPr>
          <w:ilvl w:val="0"/>
          <w:numId w:val="91"/>
        </w:numPr>
        <w:ind w:left="1260" w:leftChars="400" w:hanging="420" w:hangingChars="200"/>
        <w:rPr>
          <w:szCs w:val="22"/>
        </w:rPr>
      </w:pPr>
      <w:r>
        <w:rPr>
          <w:rFonts w:hint="eastAsia"/>
          <w:szCs w:val="22"/>
        </w:rPr>
        <w:t>收集控制策略可控传递过程的相关日志信息，包括但不限于：隐私信息提供者身份标识、隐私信息接收者身份标识、策略传递会话日志信息、数字签名等，支撑延伸控制一致性判定、控制策略异常问题</w:t>
      </w:r>
      <w:bookmarkStart w:id="669" w:name="_Hlk168937325"/>
      <w:r>
        <w:rPr>
          <w:rFonts w:hint="eastAsia"/>
          <w:szCs w:val="22"/>
        </w:rPr>
        <w:t>溯源</w:t>
      </w:r>
      <w:bookmarkEnd w:id="669"/>
      <w:r>
        <w:rPr>
          <w:rFonts w:hint="eastAsia"/>
          <w:szCs w:val="22"/>
        </w:rPr>
        <w:t>；</w:t>
      </w:r>
    </w:p>
    <w:p w14:paraId="701166AA">
      <w:pPr>
        <w:pStyle w:val="272"/>
        <w:numPr>
          <w:ilvl w:val="0"/>
          <w:numId w:val="91"/>
        </w:numPr>
        <w:ind w:left="1260" w:leftChars="400" w:hanging="420" w:hangingChars="200"/>
        <w:rPr>
          <w:szCs w:val="22"/>
        </w:rPr>
      </w:pPr>
      <w:r>
        <w:rPr>
          <w:rFonts w:hint="eastAsia"/>
          <w:szCs w:val="22"/>
        </w:rPr>
        <w:t>收集控制策略迭代调整过程的相关日志信息，包括但不限于：隐私信息处理者的隐私保护能力、应用场景、数据模态、延伸控制策略更新内容等信息，支撑审计控制策略迭代调整功能的正确性；</w:t>
      </w:r>
    </w:p>
    <w:p w14:paraId="669C7F1E">
      <w:pPr>
        <w:pStyle w:val="272"/>
        <w:numPr>
          <w:ilvl w:val="0"/>
          <w:numId w:val="91"/>
        </w:numPr>
        <w:ind w:left="1260" w:leftChars="400" w:hanging="420" w:hangingChars="200"/>
        <w:rPr>
          <w:szCs w:val="22"/>
        </w:rPr>
      </w:pPr>
      <w:r>
        <w:rPr>
          <w:rFonts w:hint="eastAsia"/>
          <w:szCs w:val="22"/>
        </w:rPr>
        <w:t>收集策略执行可信验证过程的相关日志信息，</w:t>
      </w:r>
      <w:bookmarkStart w:id="670" w:name="_Hlk168937454"/>
      <w:r>
        <w:rPr>
          <w:rFonts w:hint="eastAsia"/>
          <w:szCs w:val="22"/>
        </w:rPr>
        <w:t>包括但不限于：</w:t>
      </w:r>
      <w:bookmarkEnd w:id="670"/>
      <w:r>
        <w:rPr>
          <w:rFonts w:hint="eastAsia"/>
          <w:szCs w:val="22"/>
        </w:rPr>
        <w:t>验证发起方和被验证方的身份信息、验证方法、验证结果等。如果存在验证结果异常，则记录异常内容，支撑异常行为的检测与问题溯源。</w:t>
      </w:r>
    </w:p>
    <w:p w14:paraId="1CC58960">
      <w:pPr>
        <w:pStyle w:val="272"/>
        <w:numPr>
          <w:ilvl w:val="0"/>
          <w:numId w:val="88"/>
        </w:numPr>
        <w:ind w:left="840" w:leftChars="200" w:hanging="420" w:hangingChars="200"/>
        <w:rPr>
          <w:szCs w:val="22"/>
        </w:rPr>
      </w:pPr>
      <w:r>
        <w:rPr>
          <w:rFonts w:hint="eastAsia"/>
          <w:szCs w:val="22"/>
        </w:rPr>
        <w:t>隐私按需保护的相关存证信息收集，具体如下：</w:t>
      </w:r>
    </w:p>
    <w:p w14:paraId="6133FBCB">
      <w:pPr>
        <w:pStyle w:val="272"/>
        <w:numPr>
          <w:ilvl w:val="0"/>
          <w:numId w:val="92"/>
        </w:numPr>
        <w:ind w:left="1260" w:leftChars="400" w:hanging="420" w:hangingChars="200"/>
        <w:rPr>
          <w:szCs w:val="22"/>
        </w:rPr>
      </w:pPr>
      <w:r>
        <w:rPr>
          <w:rFonts w:hint="eastAsia"/>
          <w:szCs w:val="22"/>
        </w:rPr>
        <w:t>收集脱敏控制策略生成的相关日志信息，包括但不限于：生成该策略的隐私信息处理者身份标识、隐私信息接收者身份标识、脱敏对象、脱敏等级等，支撑审计脱敏意图和脱敏控制策略之间的匹配性；</w:t>
      </w:r>
    </w:p>
    <w:p w14:paraId="224F855F">
      <w:pPr>
        <w:pStyle w:val="272"/>
        <w:numPr>
          <w:ilvl w:val="0"/>
          <w:numId w:val="92"/>
        </w:numPr>
        <w:ind w:left="1260" w:leftChars="400" w:hanging="420" w:hangingChars="200"/>
        <w:rPr>
          <w:szCs w:val="22"/>
        </w:rPr>
      </w:pPr>
      <w:r>
        <w:rPr>
          <w:rFonts w:hint="eastAsia"/>
          <w:szCs w:val="22"/>
        </w:rPr>
        <w:t>收集脱敏操作的相关日志信息，包括但不限于：执行该策略的隐私信息处理者身份标识、脱敏控制策略解析结果、选择的脱敏算法及其参数、脱敏结果等，支撑审计脱敏操作内容和脱敏控制策略之间的匹配性；</w:t>
      </w:r>
    </w:p>
    <w:p w14:paraId="5FBC5332">
      <w:pPr>
        <w:pStyle w:val="272"/>
        <w:numPr>
          <w:ilvl w:val="0"/>
          <w:numId w:val="92"/>
        </w:numPr>
        <w:ind w:left="1260" w:leftChars="400" w:hanging="420" w:hangingChars="200"/>
        <w:rPr>
          <w:szCs w:val="22"/>
        </w:rPr>
      </w:pPr>
      <w:r>
        <w:rPr>
          <w:rFonts w:hint="eastAsia"/>
          <w:szCs w:val="22"/>
        </w:rPr>
        <w:t>收集删除控制策略生成的相关日志信息，包括但不限于：生成该策略的隐私信息处理者身份标识、删除对象、删除方法、删除范围等，支撑审计删除意图和删除控制策略之间的匹配性；</w:t>
      </w:r>
    </w:p>
    <w:p w14:paraId="56D07C28">
      <w:pPr>
        <w:pStyle w:val="272"/>
        <w:numPr>
          <w:ilvl w:val="0"/>
          <w:numId w:val="92"/>
        </w:numPr>
        <w:ind w:left="1260" w:leftChars="400" w:hanging="420" w:hangingChars="200"/>
        <w:rPr>
          <w:szCs w:val="22"/>
        </w:rPr>
      </w:pPr>
      <w:r>
        <w:rPr>
          <w:rFonts w:hint="eastAsia"/>
          <w:szCs w:val="22"/>
        </w:rPr>
        <w:t>收集删除操作的相关日志信息，包括但不限于：执行该策略的隐私信息处理者身份标识、删除控制策略解析结果、删除方法、删除指令、删除结果等，支撑审计删除操作内容和删除控制策略之间的匹配性。</w:t>
      </w:r>
    </w:p>
    <w:p w14:paraId="1737DFF4">
      <w:pPr>
        <w:pStyle w:val="272"/>
        <w:numPr>
          <w:ilvl w:val="0"/>
          <w:numId w:val="88"/>
        </w:numPr>
        <w:ind w:left="840" w:leftChars="200" w:hanging="420" w:hangingChars="200"/>
        <w:rPr>
          <w:szCs w:val="22"/>
        </w:rPr>
      </w:pPr>
      <w:r>
        <w:rPr>
          <w:rFonts w:hint="eastAsia"/>
          <w:szCs w:val="22"/>
        </w:rPr>
        <w:t>保护效果评估的相关存证信息收集，具体如下：</w:t>
      </w:r>
    </w:p>
    <w:p w14:paraId="559749D0">
      <w:pPr>
        <w:pStyle w:val="272"/>
        <w:numPr>
          <w:ilvl w:val="0"/>
          <w:numId w:val="93"/>
        </w:numPr>
        <w:ind w:left="1260" w:leftChars="400" w:hanging="420" w:hangingChars="200"/>
        <w:rPr>
          <w:szCs w:val="22"/>
        </w:rPr>
      </w:pPr>
      <w:r>
        <w:rPr>
          <w:rFonts w:hint="eastAsia"/>
          <w:szCs w:val="22"/>
        </w:rPr>
        <w:t>收集单次脱敏效果评估的相关日志信息，包括但不限于：执行该效果评估处理者身份标识、可逆性评估方法与结果、信息偏差性评估方法与结果、信息损失性评估方法与结果等，支撑审计单次脱敏的合规性和有效性；</w:t>
      </w:r>
    </w:p>
    <w:p w14:paraId="27F796EB">
      <w:pPr>
        <w:pStyle w:val="272"/>
        <w:numPr>
          <w:ilvl w:val="0"/>
          <w:numId w:val="93"/>
        </w:numPr>
        <w:ind w:left="1260" w:leftChars="400" w:hanging="420" w:hangingChars="200"/>
        <w:rPr>
          <w:szCs w:val="22"/>
        </w:rPr>
      </w:pPr>
      <w:r>
        <w:rPr>
          <w:rFonts w:hint="eastAsia"/>
          <w:szCs w:val="22"/>
        </w:rPr>
        <w:t>收集基于数据挖掘的脱敏效果评估的相关日志信息，包括但不限于：执行该效果评估处理者身份标识、特定个人在一定时间内的脱敏信息、信息偏差性评估方法与结果、信息损失性评估方法与结果等，支撑审计特定个人的隐私信息脱敏的合规性和有效性；</w:t>
      </w:r>
    </w:p>
    <w:p w14:paraId="60656D7E">
      <w:pPr>
        <w:pStyle w:val="272"/>
        <w:numPr>
          <w:ilvl w:val="0"/>
          <w:numId w:val="93"/>
        </w:numPr>
        <w:ind w:left="1260" w:leftChars="400" w:hanging="420" w:hangingChars="200"/>
        <w:rPr>
          <w:szCs w:val="22"/>
        </w:rPr>
      </w:pPr>
      <w:r>
        <w:rPr>
          <w:rFonts w:hint="eastAsia"/>
          <w:szCs w:val="22"/>
        </w:rPr>
        <w:t>收集脱敏系统脱敏效果评估的相关日志信息，包括但不限于：执行该效果评估处理者身份标识、若干特定个人或所有个人在一定时间内的脱敏信息、信息偏差性评估方法与结果、信息损失性评估方法与结果等，支撑审计脱敏系统脱敏的合规性和有效性。</w:t>
      </w:r>
    </w:p>
    <w:p w14:paraId="2E26567D">
      <w:pPr>
        <w:pStyle w:val="272"/>
        <w:numPr>
          <w:ilvl w:val="0"/>
          <w:numId w:val="88"/>
        </w:numPr>
        <w:ind w:left="840" w:leftChars="200" w:hanging="420" w:hangingChars="200"/>
      </w:pPr>
      <w:r>
        <w:rPr>
          <w:rFonts w:hint="eastAsia"/>
        </w:rPr>
        <w:t>存证信息采用标准描述格式，存证信息的收集采用REST API、gRPC等分布式系统通信技术，提供通用的存证</w:t>
      </w:r>
      <w:r>
        <w:rPr>
          <w:rFonts w:hint="eastAsia"/>
          <w:szCs w:val="22"/>
        </w:rPr>
        <w:t>接口</w:t>
      </w:r>
      <w:r>
        <w:rPr>
          <w:rFonts w:hint="eastAsia"/>
        </w:rPr>
        <w:t>，支撑跨系统互联互通。</w:t>
      </w:r>
    </w:p>
    <w:p w14:paraId="0FD0B97A">
      <w:pPr>
        <w:pStyle w:val="277"/>
        <w:numPr>
          <w:ilvl w:val="2"/>
          <w:numId w:val="37"/>
        </w:numPr>
      </w:pPr>
      <w:bookmarkStart w:id="671" w:name="_Toc168869133"/>
      <w:bookmarkEnd w:id="671"/>
      <w:bookmarkStart w:id="672" w:name="_Toc168916357"/>
      <w:bookmarkEnd w:id="672"/>
      <w:bookmarkStart w:id="673" w:name="_Toc168916861"/>
      <w:bookmarkEnd w:id="673"/>
      <w:bookmarkStart w:id="674" w:name="_Toc168916350"/>
      <w:bookmarkEnd w:id="674"/>
      <w:bookmarkStart w:id="675" w:name="_Toc168916352"/>
      <w:bookmarkEnd w:id="675"/>
      <w:bookmarkStart w:id="676" w:name="_Toc168916351"/>
      <w:bookmarkEnd w:id="676"/>
      <w:bookmarkStart w:id="677" w:name="_Toc168916848"/>
      <w:bookmarkEnd w:id="677"/>
      <w:bookmarkStart w:id="678" w:name="_Toc168916349"/>
      <w:bookmarkEnd w:id="678"/>
      <w:bookmarkStart w:id="679" w:name="_Toc168869130"/>
      <w:bookmarkEnd w:id="679"/>
      <w:bookmarkStart w:id="680" w:name="_Toc168916851"/>
      <w:bookmarkEnd w:id="680"/>
      <w:bookmarkStart w:id="681" w:name="_Toc168869145"/>
      <w:bookmarkEnd w:id="681"/>
      <w:bookmarkStart w:id="682" w:name="_Toc168916353"/>
      <w:bookmarkEnd w:id="682"/>
      <w:bookmarkStart w:id="683" w:name="_Toc168916850"/>
      <w:bookmarkEnd w:id="683"/>
      <w:bookmarkStart w:id="684" w:name="_Toc168869129"/>
      <w:bookmarkEnd w:id="684"/>
      <w:bookmarkStart w:id="685" w:name="_Toc168916853"/>
      <w:bookmarkEnd w:id="685"/>
      <w:bookmarkStart w:id="686" w:name="_Toc168916359"/>
      <w:bookmarkEnd w:id="686"/>
      <w:bookmarkStart w:id="687" w:name="_Toc168916857"/>
      <w:bookmarkEnd w:id="687"/>
      <w:bookmarkStart w:id="688" w:name="_Toc168916854"/>
      <w:bookmarkEnd w:id="688"/>
      <w:bookmarkStart w:id="689" w:name="_Toc168916363"/>
      <w:bookmarkEnd w:id="689"/>
      <w:bookmarkStart w:id="690" w:name="_Toc168869144"/>
      <w:bookmarkEnd w:id="690"/>
      <w:bookmarkStart w:id="691" w:name="_Toc168916855"/>
      <w:bookmarkEnd w:id="691"/>
      <w:bookmarkStart w:id="692" w:name="_Toc168869140"/>
      <w:bookmarkEnd w:id="692"/>
      <w:bookmarkStart w:id="693" w:name="_Toc168869138"/>
      <w:bookmarkEnd w:id="693"/>
      <w:bookmarkStart w:id="694" w:name="_Toc168869131"/>
      <w:bookmarkEnd w:id="694"/>
      <w:bookmarkStart w:id="695" w:name="_Toc168916845"/>
      <w:bookmarkEnd w:id="695"/>
      <w:bookmarkStart w:id="696" w:name="_Toc168916361"/>
      <w:bookmarkEnd w:id="696"/>
      <w:bookmarkStart w:id="697" w:name="_Toc168869134"/>
      <w:bookmarkEnd w:id="697"/>
      <w:bookmarkStart w:id="698" w:name="_Toc168869143"/>
      <w:bookmarkEnd w:id="698"/>
      <w:bookmarkStart w:id="699" w:name="_Toc168916852"/>
      <w:bookmarkEnd w:id="699"/>
      <w:bookmarkStart w:id="700" w:name="_Toc168916348"/>
      <w:bookmarkEnd w:id="700"/>
      <w:bookmarkStart w:id="701" w:name="_Toc168869142"/>
      <w:bookmarkEnd w:id="701"/>
      <w:bookmarkStart w:id="702" w:name="_Toc168916354"/>
      <w:bookmarkEnd w:id="702"/>
      <w:bookmarkStart w:id="703" w:name="_Toc168869135"/>
      <w:bookmarkEnd w:id="703"/>
      <w:bookmarkStart w:id="704" w:name="_Toc168869137"/>
      <w:bookmarkEnd w:id="704"/>
      <w:bookmarkStart w:id="705" w:name="_Toc168916847"/>
      <w:bookmarkEnd w:id="705"/>
      <w:bookmarkStart w:id="706" w:name="_Toc168869141"/>
      <w:bookmarkEnd w:id="706"/>
      <w:bookmarkStart w:id="707" w:name="_Toc168916846"/>
      <w:bookmarkEnd w:id="707"/>
      <w:bookmarkStart w:id="708" w:name="_Toc168916849"/>
      <w:bookmarkEnd w:id="708"/>
      <w:bookmarkStart w:id="709" w:name="_Toc168869132"/>
      <w:bookmarkEnd w:id="709"/>
      <w:bookmarkStart w:id="710" w:name="_Toc168916358"/>
      <w:bookmarkEnd w:id="710"/>
      <w:bookmarkStart w:id="711" w:name="_Toc168916860"/>
      <w:bookmarkEnd w:id="711"/>
      <w:bookmarkStart w:id="712" w:name="_Toc168916364"/>
      <w:bookmarkEnd w:id="712"/>
      <w:bookmarkStart w:id="713" w:name="_Toc168916858"/>
      <w:bookmarkEnd w:id="713"/>
      <w:bookmarkStart w:id="714" w:name="_Toc168916360"/>
      <w:bookmarkEnd w:id="714"/>
      <w:bookmarkStart w:id="715" w:name="_Toc168916355"/>
      <w:bookmarkEnd w:id="715"/>
      <w:bookmarkStart w:id="716" w:name="_Toc168916856"/>
      <w:bookmarkEnd w:id="716"/>
      <w:bookmarkStart w:id="717" w:name="_Toc168916859"/>
      <w:bookmarkEnd w:id="717"/>
      <w:bookmarkStart w:id="718" w:name="_Toc168869139"/>
      <w:bookmarkEnd w:id="718"/>
      <w:bookmarkStart w:id="719" w:name="_Toc168869136"/>
      <w:bookmarkEnd w:id="719"/>
      <w:bookmarkStart w:id="720" w:name="_Toc168916356"/>
      <w:bookmarkEnd w:id="720"/>
      <w:bookmarkStart w:id="721" w:name="_Toc168916362"/>
      <w:bookmarkEnd w:id="721"/>
      <w:bookmarkStart w:id="722" w:name="_Toc172280908"/>
      <w:bookmarkStart w:id="723" w:name="_Toc171947859"/>
      <w:bookmarkStart w:id="724" w:name="_Toc170638817"/>
      <w:r>
        <w:rPr>
          <w:rFonts w:hint="eastAsia"/>
        </w:rPr>
        <w:t>存证存储</w:t>
      </w:r>
      <w:bookmarkEnd w:id="722"/>
      <w:bookmarkEnd w:id="723"/>
      <w:bookmarkEnd w:id="724"/>
    </w:p>
    <w:p w14:paraId="55683C69">
      <w:pPr>
        <w:pStyle w:val="272"/>
      </w:pPr>
      <w:r>
        <w:rPr>
          <w:rFonts w:hint="eastAsia"/>
        </w:rPr>
        <w:t>存证存储是对收集的存证信息进行高效的组织管理，支撑存证信息的高效检索和充分利用，包括：</w:t>
      </w:r>
    </w:p>
    <w:p w14:paraId="1AE25FBD">
      <w:pPr>
        <w:pStyle w:val="272"/>
        <w:numPr>
          <w:ilvl w:val="0"/>
          <w:numId w:val="94"/>
        </w:numPr>
        <w:ind w:left="840" w:leftChars="200" w:hanging="420" w:hangingChars="200"/>
        <w:rPr>
          <w:szCs w:val="22"/>
        </w:rPr>
      </w:pPr>
      <w:r>
        <w:rPr>
          <w:rFonts w:hint="eastAsia"/>
        </w:rPr>
        <w:t>存储方式，本地</w:t>
      </w:r>
      <w:r>
        <w:rPr>
          <w:rFonts w:hint="eastAsia"/>
          <w:szCs w:val="22"/>
        </w:rPr>
        <w:t>自存证，或第三方存证等存证类型；</w:t>
      </w:r>
    </w:p>
    <w:p w14:paraId="797F9618">
      <w:pPr>
        <w:pStyle w:val="272"/>
        <w:numPr>
          <w:ilvl w:val="0"/>
          <w:numId w:val="94"/>
        </w:numPr>
        <w:ind w:left="840" w:leftChars="200" w:hanging="420" w:hangingChars="200"/>
      </w:pPr>
      <w:r>
        <w:rPr>
          <w:rFonts w:hint="eastAsia"/>
          <w:szCs w:val="22"/>
        </w:rPr>
        <w:t>存证完整性，保证收集的存证信息齐全，确保存证信息被成功存储，在丢失或损坏存证信息的情况下从原渠道补全对应</w:t>
      </w:r>
      <w:r>
        <w:rPr>
          <w:rFonts w:hint="eastAsia"/>
        </w:rPr>
        <w:t>的存证信息；</w:t>
      </w:r>
    </w:p>
    <w:p w14:paraId="2EAE1F04">
      <w:pPr>
        <w:pStyle w:val="272"/>
        <w:numPr>
          <w:ilvl w:val="0"/>
          <w:numId w:val="94"/>
        </w:numPr>
        <w:ind w:left="840" w:leftChars="200" w:hanging="420" w:hangingChars="200"/>
        <w:rPr>
          <w:szCs w:val="22"/>
        </w:rPr>
      </w:pPr>
      <w:r>
        <w:rPr>
          <w:rFonts w:hint="eastAsia"/>
        </w:rPr>
        <w:t>存证机密性，采用访问控制</w:t>
      </w:r>
      <w:r>
        <w:rPr>
          <w:rFonts w:hint="eastAsia"/>
          <w:szCs w:val="22"/>
        </w:rPr>
        <w:t>技术控制存证信息的访问主体、访问路径、访问时间、访问的信息数量；采用密码技术对存证信息进行加密防止镜像拷贝、拖库等非法获取；</w:t>
      </w:r>
    </w:p>
    <w:p w14:paraId="68E89F83">
      <w:pPr>
        <w:pStyle w:val="272"/>
        <w:numPr>
          <w:ilvl w:val="0"/>
          <w:numId w:val="94"/>
        </w:numPr>
        <w:ind w:left="840" w:leftChars="200" w:hanging="420" w:hangingChars="200"/>
        <w:rPr>
          <w:szCs w:val="22"/>
        </w:rPr>
      </w:pPr>
      <w:r>
        <w:rPr>
          <w:rFonts w:hint="eastAsia"/>
          <w:szCs w:val="22"/>
        </w:rPr>
        <w:t>存证可信性，保证存证信息不被篡改、不被随意删除；</w:t>
      </w:r>
    </w:p>
    <w:p w14:paraId="3F3C543C">
      <w:pPr>
        <w:pStyle w:val="272"/>
        <w:numPr>
          <w:ilvl w:val="0"/>
          <w:numId w:val="94"/>
        </w:numPr>
        <w:ind w:left="840" w:leftChars="200" w:hanging="420" w:hangingChars="200"/>
      </w:pPr>
      <w:r>
        <w:rPr>
          <w:rFonts w:hint="eastAsia"/>
          <w:szCs w:val="22"/>
        </w:rPr>
        <w:t>存证可靠性，采用RAID</w:t>
      </w:r>
      <w:r>
        <w:rPr>
          <w:rFonts w:hint="eastAsia"/>
        </w:rPr>
        <w:t>技术或双活等机制，实现存证信息的冗余灾备。</w:t>
      </w:r>
    </w:p>
    <w:p w14:paraId="08784E01">
      <w:pPr>
        <w:pStyle w:val="277"/>
        <w:numPr>
          <w:ilvl w:val="2"/>
          <w:numId w:val="37"/>
        </w:numPr>
      </w:pPr>
      <w:bookmarkStart w:id="725" w:name="_Toc170638818"/>
      <w:bookmarkStart w:id="726" w:name="_Toc172280909"/>
      <w:bookmarkStart w:id="727" w:name="_Toc171947860"/>
      <w:r>
        <w:rPr>
          <w:rFonts w:hint="eastAsia"/>
        </w:rPr>
        <w:t>证据生成</w:t>
      </w:r>
      <w:bookmarkEnd w:id="725"/>
      <w:bookmarkEnd w:id="726"/>
      <w:bookmarkEnd w:id="727"/>
    </w:p>
    <w:p w14:paraId="0A55256D">
      <w:pPr>
        <w:pStyle w:val="272"/>
      </w:pPr>
      <w:r>
        <w:rPr>
          <w:rFonts w:hint="eastAsia"/>
        </w:rPr>
        <w:t>证据生成是根据证据服务请求对收集到隐私计算框架各组件的存证信息进行检索、数据预处理、证据要素封装、证据链构建的过程，支撑对隐私计算的操作行为进行合规审计、监管、异常事件分析与溯源等，包括：</w:t>
      </w:r>
    </w:p>
    <w:p w14:paraId="7F898EC0">
      <w:pPr>
        <w:pStyle w:val="272"/>
        <w:numPr>
          <w:ilvl w:val="0"/>
          <w:numId w:val="95"/>
        </w:numPr>
        <w:ind w:left="840" w:leftChars="200" w:hanging="420" w:hangingChars="200"/>
        <w:rPr>
          <w:szCs w:val="22"/>
        </w:rPr>
      </w:pPr>
      <w:r>
        <w:rPr>
          <w:rFonts w:hint="eastAsia"/>
          <w:szCs w:val="22"/>
        </w:rPr>
        <w:t>证据请求响应，接收请求方的证据获取请求，对请求方进行身份验证，解析证据获取事项的要求；</w:t>
      </w:r>
    </w:p>
    <w:p w14:paraId="5B3658E1">
      <w:pPr>
        <w:pStyle w:val="272"/>
        <w:numPr>
          <w:ilvl w:val="0"/>
          <w:numId w:val="95"/>
        </w:numPr>
        <w:ind w:left="840" w:leftChars="200" w:hanging="420" w:hangingChars="200"/>
        <w:rPr>
          <w:szCs w:val="22"/>
        </w:rPr>
      </w:pPr>
      <w:r>
        <w:rPr>
          <w:rFonts w:hint="eastAsia"/>
          <w:szCs w:val="22"/>
        </w:rPr>
        <w:t>证据完备性，根据证据获取的要求，对各个存证存储系统中的存证信息进行多源证据查找，获取所有相关证据；</w:t>
      </w:r>
    </w:p>
    <w:p w14:paraId="4EFC96C4">
      <w:pPr>
        <w:pStyle w:val="272"/>
        <w:numPr>
          <w:ilvl w:val="0"/>
          <w:numId w:val="95"/>
        </w:numPr>
        <w:ind w:left="840" w:leftChars="200" w:hanging="420" w:hangingChars="200"/>
        <w:rPr>
          <w:szCs w:val="22"/>
        </w:rPr>
      </w:pPr>
      <w:r>
        <w:rPr>
          <w:rFonts w:hint="eastAsia"/>
          <w:szCs w:val="22"/>
        </w:rPr>
        <w:t>多源证据生成，对查找得到的多源存证信息，按照请求事项和时序进行整理并生成证据，采用数字签名技术实现生成证据的不可篡改和不可否认性；如果有机密性要求，采用请求和响应双方预先约定的协议实现密钥协商和传输加密。</w:t>
      </w:r>
    </w:p>
    <w:p w14:paraId="458167DE">
      <w:pPr>
        <w:pStyle w:val="295"/>
        <w:numPr>
          <w:ilvl w:val="0"/>
          <w:numId w:val="11"/>
        </w:numPr>
        <w:spacing w:before="78" w:after="156"/>
      </w:pPr>
      <w:r>
        <w:rPr>
          <w:szCs w:val="22"/>
        </w:rPr>
        <w:br w:type="page"/>
      </w:r>
      <w:bookmarkStart w:id="728" w:name="_Toc168949094"/>
      <w:r>
        <w:br w:type="textWrapping"/>
      </w:r>
      <w:bookmarkStart w:id="729" w:name="_Toc170638819"/>
      <w:bookmarkStart w:id="730" w:name="_Toc172280910"/>
      <w:r>
        <w:rPr>
          <w:rFonts w:hint="eastAsia"/>
        </w:rPr>
        <w:t>（资料性）</w:t>
      </w:r>
      <w:r>
        <w:br w:type="textWrapping"/>
      </w:r>
      <w:r>
        <w:rPr>
          <w:rFonts w:hint="eastAsia"/>
        </w:rPr>
        <w:t>隐私信息描述示例</w:t>
      </w:r>
      <w:bookmarkEnd w:id="728"/>
      <w:bookmarkEnd w:id="729"/>
      <w:bookmarkEnd w:id="730"/>
    </w:p>
    <w:p w14:paraId="107A8F69">
      <w:pPr>
        <w:pStyle w:val="325"/>
        <w:numPr>
          <w:ilvl w:val="1"/>
          <w:numId w:val="11"/>
        </w:numPr>
        <w:spacing w:before="156" w:after="156"/>
        <w:outlineLvl w:val="2"/>
      </w:pPr>
      <w:bookmarkStart w:id="731" w:name="_Toc170638820"/>
      <w:bookmarkStart w:id="732" w:name="_Toc172280911"/>
      <w:bookmarkStart w:id="733" w:name="_Toc170478324"/>
      <w:r>
        <w:rPr>
          <w:rFonts w:hint="eastAsia"/>
        </w:rPr>
        <w:t>概述</w:t>
      </w:r>
      <w:bookmarkEnd w:id="731"/>
      <w:bookmarkEnd w:id="732"/>
    </w:p>
    <w:p w14:paraId="48DC67DD">
      <w:pPr>
        <w:pStyle w:val="272"/>
      </w:pPr>
      <w:r>
        <w:rPr>
          <w:rFonts w:hint="eastAsia"/>
        </w:rPr>
        <w:t>隐私信息可由隐私信息六元组描述，具体如下：</w:t>
      </w:r>
    </w:p>
    <w:p w14:paraId="4A897661">
      <w:pPr>
        <w:pStyle w:val="409"/>
        <w:numPr>
          <w:ilvl w:val="0"/>
          <w:numId w:val="12"/>
        </w:numPr>
      </w:pPr>
      <w:r>
        <w:rPr>
          <w:rFonts w:hint="eastAsia"/>
        </w:rPr>
        <w:t>隐私信息向量，根据文件标识符确定信息的类型，并根据语义特征将信息进行拆分，得到</w:t>
      </w:r>
      <m:oMath>
        <m:r>
          <m:rPr/>
          <w:rPr>
            <w:rFonts w:ascii="Cambria Math" w:hAnsi="Cambria Math"/>
          </w:rPr>
          <m:t>n</m:t>
        </m:r>
      </m:oMath>
      <w:r>
        <w:rPr>
          <w:rFonts w:hint="eastAsia"/>
        </w:rPr>
        <w:t>个在语义上不可分割的隐私信息分量，则隐私信息向量可以表示为</w:t>
      </w:r>
      <m:oMath>
        <m:r>
          <m:rPr/>
          <w:rPr>
            <w:rFonts w:ascii="Cambria Math" w:hAnsi="Cambria Math"/>
          </w:rPr>
          <m:t>I</m:t>
        </m:r>
        <m:r>
          <m:rPr>
            <m:sty m:val="p"/>
          </m:rPr>
          <w:rPr>
            <w:rFonts w:ascii="Cambria Math" w:hAnsi="Cambria Math"/>
          </w:rPr>
          <m:t>=</m:t>
        </m:r>
        <m:d>
          <m:dPr>
            <m:ctrlPr>
              <w:rPr>
                <w:rFonts w:ascii="Cambria Math" w:hAnsi="Cambria Math"/>
              </w:rPr>
            </m:ctrlPr>
          </m:dPr>
          <m:e>
            <m:r>
              <m:rPr/>
              <w:rPr>
                <w:rFonts w:hint="eastAsia" w:ascii="Cambria Math" w:hAnsi="Cambria Math"/>
              </w:rPr>
              <m:t>id</m:t>
            </m:r>
            <m:r>
              <m:rPr>
                <m:sty m:val="p"/>
              </m:rPr>
              <w:rPr>
                <w:rFonts w:ascii="Cambria Math" w:hAnsi="Cambria Math"/>
              </w:rPr>
              <m:t>,</m:t>
            </m:r>
            <m:sSub>
              <m:sSubPr>
                <m:ctrlPr>
                  <w:rPr>
                    <w:rFonts w:ascii="Cambria Math" w:hAnsi="Cambria Math"/>
                  </w:rPr>
                </m:ctrlPr>
              </m:sSubPr>
              <m:e>
                <m:r>
                  <m:rPr/>
                  <w:rPr>
                    <w:rFonts w:hint="eastAsia" w:ascii="Cambria Math" w:hAnsi="Cambria Math"/>
                  </w:rPr>
                  <m:t>i</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hint="eastAsia" w:ascii="Cambria Math" w:hAnsi="Cambria Math"/>
                  </w:rPr>
                  <m:t>i</m:t>
                </m:r>
                <m:ctrlPr>
                  <w:rPr>
                    <w:rFonts w:ascii="Cambria Math" w:hAnsi="Cambria Math"/>
                  </w:rPr>
                </m:ctrlPr>
              </m:e>
              <m:sub>
                <m:r>
                  <m:rPr>
                    <m:sty m:val="p"/>
                  </m:rPr>
                  <w:rPr>
                    <w:rFonts w:ascii="Cambria Math" w:hAnsi="Cambria Math"/>
                  </w:rPr>
                  <m:t>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hint="eastAsia" w:ascii="Cambria Math" w:hAnsi="Cambria Math"/>
                  </w:rPr>
                  <m:t>i</m:t>
                </m:r>
                <m:ctrlPr>
                  <w:rPr>
                    <w:rFonts w:ascii="Cambria Math" w:hAnsi="Cambria Math"/>
                  </w:rPr>
                </m:ctrlPr>
              </m:e>
              <m:sub>
                <m:r>
                  <m:rPr/>
                  <w:rPr>
                    <w:rFonts w:ascii="Cambria Math" w:hAnsi="Cambria Math"/>
                  </w:rPr>
                  <m:t>n</m:t>
                </m:r>
                <m:ctrlPr>
                  <w:rPr>
                    <w:rFonts w:ascii="Cambria Math" w:hAnsi="Cambria Math"/>
                  </w:rPr>
                </m:ctrlPr>
              </m:sub>
            </m:sSub>
            <m:ctrlPr>
              <w:rPr>
                <w:rFonts w:ascii="Cambria Math" w:hAnsi="Cambria Math"/>
              </w:rPr>
            </m:ctrlPr>
          </m:e>
        </m:d>
      </m:oMath>
      <w:r>
        <w:rPr>
          <w:rFonts w:hint="eastAsia"/>
        </w:rPr>
        <w:t>,其中</w:t>
      </w:r>
      <m:oMath>
        <m:r>
          <m:rPr/>
          <w:rPr>
            <w:rFonts w:hint="eastAsia" w:ascii="Cambria Math" w:hAnsi="Cambria Math"/>
          </w:rPr>
          <m:t>k</m:t>
        </m:r>
      </m:oMath>
      <w:r>
        <w:rPr>
          <w:rFonts w:hint="eastAsia"/>
        </w:rPr>
        <w:t>为取值范围从</w:t>
      </w:r>
      <w:r>
        <w:t>1</w:t>
      </w:r>
      <w:r>
        <w:rPr>
          <w:rFonts w:hint="eastAsia"/>
        </w:rPr>
        <w:t>到</w:t>
      </w:r>
      <m:oMath>
        <m:r>
          <m:rPr/>
          <w:rPr>
            <w:rFonts w:ascii="Cambria Math" w:hAnsi="Cambria Math"/>
          </w:rPr>
          <m:t>n</m:t>
        </m:r>
      </m:oMath>
      <w:r>
        <w:rPr>
          <w:rFonts w:hint="eastAsia"/>
        </w:rPr>
        <w:t>的正整数；</w:t>
      </w:r>
    </w:p>
    <w:p w14:paraId="168F5310">
      <w:pPr>
        <w:pStyle w:val="409"/>
        <w:numPr>
          <w:ilvl w:val="0"/>
          <w:numId w:val="12"/>
        </w:numPr>
      </w:pPr>
      <w:r>
        <w:rPr>
          <w:rFonts w:hint="eastAsia"/>
        </w:rPr>
        <w:t>约束条件集合，由隐私信息分量对应的约束条件向量组成的集合</w:t>
      </w:r>
      <m:oMath>
        <m:r>
          <m:rPr/>
          <w:rPr>
            <w:rFonts w:ascii="Cambria Math" w:hAnsi="Cambria Math"/>
          </w:rPr>
          <m:t>θ</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w:rPr>
                    <w:rFonts w:ascii="Cambria Math" w:hAnsi="Cambria Math"/>
                  </w:rPr>
                  <m:t>θ</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θ</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θ</m:t>
                </m:r>
                <m:ctrlPr>
                  <w:rPr>
                    <w:rFonts w:ascii="Cambria Math" w:hAnsi="Cambria Math"/>
                  </w:rPr>
                </m:ctrlPr>
              </m:e>
              <m:sub>
                <m:r>
                  <m:rPr>
                    <m:sty m:val="p"/>
                  </m:rPr>
                  <w:rPr>
                    <w:rFonts w:hint="eastAsia" w:ascii="Cambria Math" w:hAnsi="Cambria Math"/>
                  </w:rPr>
                  <m:t>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ctrlPr>
                  <w:rPr>
                    <w:rFonts w:ascii="Cambria Math" w:hAnsi="Cambria Math"/>
                  </w:rPr>
                </m:ctrlPr>
              </m:sub>
            </m:sSub>
            <m:ctrlPr>
              <w:rPr>
                <w:rFonts w:ascii="Cambria Math" w:hAnsi="Cambria Math"/>
              </w:rPr>
            </m:ctrlPr>
          </m:e>
        </m:d>
      </m:oMath>
      <w:r>
        <w:rPr>
          <w:rFonts w:hint="eastAsia"/>
        </w:rPr>
        <w:t>，用于描述在不同场景下实体访问隐私信息分量</w:t>
      </w:r>
      <m:oMath>
        <m:sSub>
          <m:sSubPr>
            <m:ctrlPr>
              <w:rPr>
                <w:rFonts w:ascii="Cambria Math" w:hAnsi="Cambria Math"/>
              </w:rPr>
            </m:ctrlPr>
          </m:sSubPr>
          <m:e>
            <m:r>
              <m:rPr/>
              <w:rPr>
                <w:rFonts w:hint="eastAsia" w:ascii="Cambria Math" w:hAnsi="Cambria Math"/>
              </w:rPr>
              <m:t>i</m:t>
            </m:r>
            <m:ctrlPr>
              <w:rPr>
                <w:rFonts w:ascii="Cambria Math" w:hAnsi="Cambria Math"/>
              </w:rPr>
            </m:ctrlPr>
          </m:e>
          <m:sub>
            <m:r>
              <m:rPr/>
              <w:rPr>
                <w:rFonts w:hint="eastAsia" w:ascii="Cambria Math" w:hAnsi="Cambria Math"/>
              </w:rPr>
              <m:t>k</m:t>
            </m:r>
            <m:ctrlPr>
              <w:rPr>
                <w:rFonts w:ascii="Cambria Math" w:hAnsi="Cambria Math"/>
              </w:rPr>
            </m:ctrlPr>
          </m:sub>
        </m:sSub>
      </m:oMath>
      <w:r>
        <w:rPr>
          <w:rFonts w:hint="eastAsia"/>
        </w:rPr>
        <w:t>所需的访问权限。根据隐私信息向量中的隐私信息分量的应用场景，可对隐私信息分量设置相应的约束条件向量</w:t>
      </w:r>
      <m:oMath>
        <m:sSub>
          <m:sSubPr>
            <m:ctrlPr>
              <w:rPr>
                <w:rFonts w:ascii="Cambria Math" w:hAnsi="Cambria Math"/>
              </w:rPr>
            </m:ctrlPr>
          </m:sSubPr>
          <m:e>
            <m:r>
              <m:rPr>
                <m:sty m:val="p"/>
              </m:rPr>
              <w:rPr>
                <w:rFonts w:ascii="Cambria Math" w:hAnsi="Cambria Math"/>
              </w:rPr>
              <m:t>θ</m:t>
            </m:r>
            <m:ctrlPr>
              <w:rPr>
                <w:rFonts w:ascii="Cambria Math" w:hAnsi="Cambria Math"/>
              </w:rPr>
            </m:ctrlPr>
          </m:e>
          <m:sub>
            <m:r>
              <m:rPr/>
              <w:rPr>
                <w:rFonts w:hint="eastAsia" w:ascii="Cambria Math" w:hAnsi="Cambria Math"/>
              </w:rPr>
              <m:t>k</m:t>
            </m:r>
            <m:ctrlPr>
              <w:rPr>
                <w:rFonts w:ascii="Cambria Math" w:hAnsi="Cambria Math"/>
              </w:rPr>
            </m:ctrlP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u</m:t>
                </m:r>
                <m:ctrlPr>
                  <w:rPr>
                    <w:rFonts w:ascii="Cambria Math" w:hAnsi="Cambria Math"/>
                  </w:rPr>
                </m:ctrlPr>
              </m:e>
              <m:sub>
                <m:r>
                  <m:rPr/>
                  <w:rPr>
                    <w:rFonts w:ascii="Cambria Math" w:hAnsi="Cambria Math"/>
                  </w:rPr>
                  <m:t>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k</m:t>
                </m:r>
                <m:ctrlPr>
                  <w:rPr>
                    <w:rFonts w:ascii="Cambria Math" w:hAnsi="Cambria Math"/>
                  </w:rPr>
                </m:ctrlPr>
              </m:sub>
            </m:sSub>
            <m:ctrlPr>
              <w:rPr>
                <w:rFonts w:ascii="Cambria Math" w:hAnsi="Cambria Math"/>
              </w:rPr>
            </m:ctrlPr>
          </m:e>
        </m:d>
      </m:oMath>
      <w:r>
        <w:rPr>
          <w:rFonts w:hint="eastAsia"/>
        </w:rPr>
        <w:t>，表示第</w:t>
      </w:r>
      <m:oMath>
        <m:r>
          <m:rPr/>
          <w:rPr>
            <w:rFonts w:hint="eastAsia" w:ascii="Cambria Math" w:hAnsi="Cambria Math"/>
          </w:rPr>
          <m:t>k</m:t>
        </m:r>
      </m:oMath>
      <w:r>
        <w:rPr>
          <w:rFonts w:hint="eastAsia"/>
          <w:iCs/>
        </w:rPr>
        <w:t>个隐私信息分量的约束条件</w:t>
      </w:r>
      <w:r>
        <w:rPr>
          <w:rFonts w:hint="eastAsia"/>
        </w:rPr>
        <w:t>，</w:t>
      </w:r>
      <m:oMath>
        <m:r>
          <m:rPr>
            <m:sty m:val="p"/>
          </m:rPr>
          <w:rPr>
            <w:rFonts w:hint="eastAsia" w:ascii="Cambria Math" w:hAnsi="Cambria Math"/>
          </w:rPr>
          <m:t>其中</m:t>
        </m:r>
        <m:sSub>
          <m:sSubPr>
            <m:ctrlPr>
              <w:rPr>
                <w:rFonts w:ascii="Cambria Math" w:hAnsi="Cambria Math"/>
              </w:rPr>
            </m:ctrlPr>
          </m:sSubPr>
          <m:e>
            <m:r>
              <m:rPr>
                <m:sty m:val="p"/>
              </m:rPr>
              <w:rPr>
                <w:rFonts w:hint="eastAsia" w:ascii="Cambria Math" w:hAnsi="Cambria Math"/>
              </w:rPr>
              <m:t>，</m:t>
            </m:r>
            <m:r>
              <m:rPr/>
              <w:rPr>
                <w:rFonts w:ascii="Cambria Math" w:hAnsi="Cambria Math"/>
              </w:rPr>
              <m:t>u</m:t>
            </m:r>
            <m:ctrlPr>
              <w:rPr>
                <w:rFonts w:ascii="Cambria Math" w:hAnsi="Cambria Math"/>
              </w:rPr>
            </m:ctrlPr>
          </m:e>
          <m:sub>
            <m:r>
              <m:rPr/>
              <w:rPr>
                <w:rFonts w:ascii="Cambria Math" w:hAnsi="Cambria Math"/>
              </w:rPr>
              <m:t>k</m:t>
            </m:r>
            <m:ctrlPr>
              <w:rPr>
                <w:rFonts w:ascii="Cambria Math" w:hAnsi="Cambria Math"/>
              </w:rPr>
            </m:ctrlPr>
          </m:sub>
        </m:sSub>
      </m:oMath>
      <w:r>
        <w:rPr>
          <w:rFonts w:hint="eastAsia"/>
        </w:rPr>
        <w:t>表示访问者列表，</w:t>
      </w:r>
      <m:oMath>
        <m:sSub>
          <m:sSubPr>
            <m:ctrlPr>
              <w:rPr>
                <w:rFonts w:ascii="Cambria Math" w:hAnsi="Cambria Math"/>
              </w:rPr>
            </m:ctrlPr>
          </m:sSubPr>
          <m:e>
            <m:r>
              <m:rPr/>
              <w:rPr>
                <w:rFonts w:ascii="Cambria Math" w:hAnsi="Cambria Math"/>
              </w:rPr>
              <m:t>t</m:t>
            </m:r>
            <m:ctrlPr>
              <w:rPr>
                <w:rFonts w:ascii="Cambria Math" w:hAnsi="Cambria Math"/>
              </w:rPr>
            </m:ctrlPr>
          </m:e>
          <m:sub>
            <m:r>
              <m:rPr/>
              <w:rPr>
                <w:rFonts w:ascii="Cambria Math" w:hAnsi="Cambria Math"/>
              </w:rPr>
              <m:t>k</m:t>
            </m:r>
            <m:ctrlPr>
              <w:rPr>
                <w:rFonts w:ascii="Cambria Math" w:hAnsi="Cambria Math"/>
              </w:rPr>
            </m:ctrlPr>
          </m:sub>
        </m:sSub>
      </m:oMath>
      <w:r>
        <w:rPr>
          <w:rFonts w:hint="eastAsia"/>
        </w:rPr>
        <w:t>表示访问时间，</w:t>
      </w:r>
      <m:oMath>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k</m:t>
            </m:r>
            <m:ctrlPr>
              <w:rPr>
                <w:rFonts w:ascii="Cambria Math" w:hAnsi="Cambria Math"/>
              </w:rPr>
            </m:ctrlPr>
          </m:sub>
        </m:sSub>
      </m:oMath>
      <w:r>
        <w:rPr>
          <w:rFonts w:hint="eastAsia"/>
        </w:rPr>
        <w:t>表示访问设备，</w:t>
      </w: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k</m:t>
            </m:r>
            <m:ctrlPr>
              <w:rPr>
                <w:rFonts w:ascii="Cambria Math" w:hAnsi="Cambria Math"/>
              </w:rPr>
            </m:ctrlPr>
          </m:sub>
        </m:sSub>
      </m:oMath>
      <w:r>
        <w:rPr>
          <w:rFonts w:hint="eastAsia"/>
        </w:rPr>
        <w:t>表示网络标识；</w:t>
      </w:r>
    </w:p>
    <w:p w14:paraId="13724EE7">
      <w:pPr>
        <w:pStyle w:val="409"/>
        <w:numPr>
          <w:ilvl w:val="0"/>
          <w:numId w:val="12"/>
        </w:numPr>
      </w:pPr>
      <w:r>
        <w:rPr>
          <w:rFonts w:hint="eastAsia"/>
        </w:rPr>
        <w:t>隐私属性向量，通过预先标记或隐私保护程度量化操作函数，结合约束条件集合，对隐私信息向量进行隐私度量，度量结果存入隐私属性向量</w:t>
      </w:r>
      <m:oMath>
        <m:r>
          <m:rPr/>
          <w:rPr>
            <w:rFonts w:hint="eastAsia" w:ascii="Cambria Math" w:hAnsi="Cambria Math"/>
          </w:rPr>
          <m:t>A</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hint="eastAsia" w:ascii="Cambria Math" w:hAnsi="Cambria Math"/>
                  </w:rPr>
                  <m:t>n</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hint="eastAsia" w:ascii="Cambria Math" w:hAnsi="Cambria Math"/>
                  </w:rPr>
                  <m:t>m</m:t>
                </m:r>
                <m:ctrlPr>
                  <w:rPr>
                    <w:rFonts w:ascii="Cambria Math" w:hAnsi="Cambria Math"/>
                  </w:rPr>
                </m:ctrlPr>
              </m:sub>
            </m:sSub>
            <m:ctrlPr>
              <w:rPr>
                <w:rFonts w:ascii="Cambria Math" w:hAnsi="Cambria Math"/>
              </w:rPr>
            </m:ctrlPr>
          </m:e>
        </m:d>
      </m:oMath>
      <w:r>
        <w:rPr>
          <w:rFonts w:hint="eastAsia"/>
        </w:rPr>
        <w:t>。可假设初始所有隐私属性分量为</w:t>
      </w:r>
      <w:r>
        <w:t>1</w:t>
      </w:r>
      <w:r>
        <w:rPr>
          <w:rFonts w:hint="eastAsia"/>
        </w:rPr>
        <w:t>（假设隐私属性分量的范围为</w:t>
      </w:r>
      <w:r>
        <w:t>0</w:t>
      </w:r>
      <w:r>
        <w:rPr>
          <w:rFonts w:hint="eastAsia"/>
        </w:rPr>
        <w:t>到</w:t>
      </w:r>
      <w:r>
        <w:t>1</w:t>
      </w:r>
      <w:r>
        <w:rPr>
          <w:rFonts w:hint="eastAsia"/>
        </w:rPr>
        <w:t>，隐私属性分量越小，其对应的隐私信息分量的保护程度越高）；</w:t>
      </w:r>
    </w:p>
    <w:p w14:paraId="2349AF57">
      <w:pPr>
        <w:pStyle w:val="409"/>
        <w:numPr>
          <w:ilvl w:val="0"/>
          <w:numId w:val="12"/>
        </w:numPr>
      </w:pPr>
      <w:r>
        <w:rPr>
          <w:rFonts w:hint="eastAsia"/>
        </w:rPr>
        <w:t>广义定位信息集合，分别获取隐私信息分量在信息中的广义定位信息向量</w:t>
      </w:r>
      <m:oMath>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hint="eastAsia" w:ascii="Cambria Math" w:hAnsi="Cambria Math"/>
          </w:rPr>
          <m:t>、</m:t>
        </m:r>
        <m:r>
          <m:rPr>
            <m:sty m:val="p"/>
          </m:rPr>
          <w:rPr>
            <w:rFonts w:ascii="Cambria Math" w:hAnsi="Cambria Math"/>
          </w:rPr>
          <m:t>……</m:t>
        </m:r>
        <m:r>
          <m:rPr>
            <m:sty m:val="p"/>
          </m:rPr>
          <w:rPr>
            <w:rFonts w:hint="eastAsia" w:ascii="Cambria Math" w:hAnsi="Cambria Math"/>
          </w:rPr>
          <m:t>、</m:t>
        </m:r>
        <m:sSub>
          <m:sSubPr>
            <m:ctrlPr>
              <w:rPr>
                <w:rFonts w:ascii="Cambria Math" w:hAnsi="Cambria Math"/>
              </w:rPr>
            </m:ctrlPr>
          </m:sSubPr>
          <m:e>
            <m:r>
              <m:rPr/>
              <w:rPr>
                <w:rFonts w:ascii="Cambria Math" w:hAnsi="Cambria Math"/>
              </w:rPr>
              <m:t>γ</m:t>
            </m:r>
            <m:ctrlPr>
              <w:rPr>
                <w:rFonts w:ascii="Cambria Math" w:hAnsi="Cambria Math"/>
              </w:rPr>
            </m:ctrlPr>
          </m:e>
          <m:sub>
            <m:r>
              <m:rPr/>
              <w:rPr>
                <w:rFonts w:ascii="Cambria Math" w:hAnsi="Cambria Math"/>
              </w:rPr>
              <m:t>n</m:t>
            </m:r>
            <m:ctrlPr>
              <w:rPr>
                <w:rFonts w:ascii="Cambria Math" w:hAnsi="Cambria Math"/>
              </w:rPr>
            </m:ctrlPr>
          </m:sub>
        </m:sSub>
      </m:oMath>
      <w:r>
        <w:rPr>
          <w:rFonts w:hint="eastAsia"/>
        </w:rPr>
        <w:t>，由此生成广义定位信息集合</w:t>
      </w:r>
      <m:oMath>
        <m:r>
          <m:rPr>
            <m:sty m:val="p"/>
          </m:rPr>
          <w:rPr>
            <w:rFonts w:ascii="Cambria Math" w:hAnsi="Cambria Math"/>
          </w:rPr>
          <m:t>Γ=</m:t>
        </m:r>
        <m:d>
          <m:dPr>
            <m:begChr m:val="{"/>
            <m:endChr m:val="}"/>
            <m:ctrlPr>
              <w:rPr>
                <w:rFonts w:ascii="Cambria Math" w:hAnsi="Cambria Math"/>
              </w:rPr>
            </m:ctrlPr>
          </m:dPr>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γ</m:t>
                </m:r>
                <m:ctrlPr>
                  <w:rPr>
                    <w:rFonts w:ascii="Cambria Math" w:hAnsi="Cambria Math"/>
                  </w:rPr>
                </m:ctrlPr>
              </m:e>
              <m:sub>
                <m:r>
                  <m:rPr/>
                  <w:rPr>
                    <w:rFonts w:hint="eastAsia" w:ascii="Cambria Math" w:hAnsi="Cambria Math"/>
                  </w:rPr>
                  <m:t>n</m:t>
                </m:r>
                <m:ctrlPr>
                  <w:rPr>
                    <w:rFonts w:ascii="Cambria Math" w:hAnsi="Cambria Math"/>
                  </w:rPr>
                </m:ctrlPr>
              </m:sub>
            </m:sSub>
            <m:ctrlPr>
              <w:rPr>
                <w:rFonts w:ascii="Cambria Math" w:hAnsi="Cambria Math"/>
              </w:rPr>
            </m:ctrlPr>
          </m:e>
        </m:d>
      </m:oMath>
      <w:r>
        <w:rPr>
          <w:rFonts w:hint="eastAsia"/>
        </w:rPr>
        <w:t>；</w:t>
      </w:r>
    </w:p>
    <w:p w14:paraId="5CD851A7">
      <w:pPr>
        <w:pStyle w:val="409"/>
        <w:numPr>
          <w:ilvl w:val="0"/>
          <w:numId w:val="12"/>
        </w:numPr>
      </w:pPr>
      <w:r>
        <w:rPr>
          <w:rFonts w:hint="eastAsia"/>
        </w:rPr>
        <w:t>审计控制信息集合，分别获取隐私信息分量的审计控制信息向量</w:t>
      </w:r>
      <m:oMath>
        <m:sSub>
          <m:sSubPr>
            <m:ctrlPr>
              <w:rPr>
                <w:rFonts w:ascii="Cambria Math" w:hAnsi="Cambria Math"/>
              </w:rPr>
            </m:ctrlPr>
          </m:sSubPr>
          <m:e>
            <m:r>
              <m:rPr/>
              <w:rPr>
                <w:rFonts w:ascii="Cambria Math" w:hAnsi="Cambria Math"/>
              </w:rPr>
              <m:t>ω</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ω</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ω</m:t>
            </m:r>
            <m:ctrlPr>
              <w:rPr>
                <w:rFonts w:ascii="Cambria Math" w:hAnsi="Cambria Math"/>
              </w:rPr>
            </m:ctrlPr>
          </m:e>
          <m:sub>
            <m:r>
              <m:rPr/>
              <w:rPr>
                <w:rFonts w:hint="eastAsia" w:ascii="Cambria Math" w:hAnsi="Cambria Math"/>
              </w:rPr>
              <m:t>n</m:t>
            </m:r>
            <m:ctrlPr>
              <w:rPr>
                <w:rFonts w:ascii="Cambria Math" w:hAnsi="Cambria Math"/>
              </w:rPr>
            </m:ctrlPr>
          </m:sub>
        </m:sSub>
      </m:oMath>
      <w:r>
        <w:rPr>
          <w:rFonts w:hint="eastAsia"/>
        </w:rPr>
        <w:t>。在初始化阶段，审计控制信息向量可以为空，记录当前持有者对隐私信息分量进行的所有操作，由此生成</w:t>
      </w:r>
      <w:bookmarkStart w:id="734" w:name="_Hlk167803526"/>
      <w:r>
        <w:rPr>
          <w:rFonts w:hint="eastAsia"/>
        </w:rPr>
        <w:t>审计控制信息集合</w:t>
      </w:r>
      <w:bookmarkEnd w:id="734"/>
      <m:oMath>
        <m:r>
          <m:rPr>
            <m:sty m:val="p"/>
          </m:rPr>
          <w:rPr>
            <w:rFonts w:ascii="Cambria Math" w:hAnsi="Cambria Math"/>
          </w:rPr>
          <m:t>Ω=</m:t>
        </m:r>
        <m:d>
          <m:dPr>
            <m:begChr m:val="{"/>
            <m:endChr m:val="}"/>
            <m:ctrlPr>
              <w:rPr>
                <w:rFonts w:ascii="Cambria Math" w:hAnsi="Cambria Math"/>
              </w:rPr>
            </m:ctrlPr>
          </m:dPr>
          <m:e>
            <m:sSub>
              <m:sSubPr>
                <m:ctrlPr>
                  <w:rPr>
                    <w:rFonts w:ascii="Cambria Math" w:hAnsi="Cambria Math"/>
                  </w:rPr>
                </m:ctrlPr>
              </m:sSubPr>
              <m:e>
                <m:r>
                  <m:rPr/>
                  <w:rPr>
                    <w:rFonts w:ascii="Cambria Math" w:hAnsi="Cambria Math"/>
                  </w:rPr>
                  <m:t>ω</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ω</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ω</m:t>
                </m:r>
                <m:ctrlPr>
                  <w:rPr>
                    <w:rFonts w:ascii="Cambria Math" w:hAnsi="Cambria Math"/>
                  </w:rPr>
                </m:ctrlPr>
              </m:e>
              <m:sub>
                <m:r>
                  <m:rPr/>
                  <w:rPr>
                    <w:rFonts w:hint="eastAsia" w:ascii="Cambria Math" w:hAnsi="Cambria Math"/>
                  </w:rPr>
                  <m:t>n</m:t>
                </m:r>
                <m:ctrlPr>
                  <w:rPr>
                    <w:rFonts w:ascii="Cambria Math" w:hAnsi="Cambria Math"/>
                  </w:rPr>
                </m:ctrlPr>
              </m:sub>
            </m:sSub>
            <m:ctrlPr>
              <w:rPr>
                <w:rFonts w:ascii="Cambria Math" w:hAnsi="Cambria Math"/>
              </w:rPr>
            </m:ctrlPr>
          </m:e>
        </m:d>
      </m:oMath>
      <w:r>
        <w:rPr>
          <w:rFonts w:hint="eastAsia"/>
        </w:rPr>
        <w:t>；</w:t>
      </w:r>
    </w:p>
    <w:p w14:paraId="71C16495">
      <w:pPr>
        <w:pStyle w:val="409"/>
        <w:numPr>
          <w:ilvl w:val="0"/>
          <w:numId w:val="12"/>
        </w:numPr>
      </w:pPr>
      <w:r>
        <w:rPr>
          <w:rFonts w:hint="eastAsia"/>
        </w:rPr>
        <w:t>传播控制操作集合，针对隐私属性向量和约束条件集合，根据操作判别函数或人工标记生成隐私信息向量及其组合的传播控制操作集合</w:t>
      </w:r>
      <m:oMath>
        <m:r>
          <m:rPr>
            <m:sty m:val="p"/>
          </m:rPr>
          <w:rPr>
            <w:rFonts w:ascii="Cambria Math" w:hAnsi="Cambria Math"/>
          </w:rPr>
          <m:t>Ψ=</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w:rPr>
                    <w:rFonts w:hint="eastAsia" w:ascii="Cambria Math" w:hAnsi="Cambria Math"/>
                  </w:rPr>
                  <m:t>n</m:t>
                </m:r>
                <m:ctrlPr>
                  <w:rPr>
                    <w:rFonts w:ascii="Cambria Math" w:hAnsi="Cambria Math"/>
                  </w:rPr>
                </m:ctrlPr>
              </m:sub>
            </m:sSub>
            <m:ctrlPr>
              <w:rPr>
                <w:rFonts w:ascii="Cambria Math" w:hAnsi="Cambria Math"/>
              </w:rPr>
            </m:ctrlPr>
          </m:e>
        </m:d>
      </m:oMath>
      <w:r>
        <w:rPr>
          <w:rFonts w:hint="eastAsia"/>
        </w:rPr>
        <w:t>。在初始化阶段，传播控制操作向量可以为空，根据流转过程中对隐私信息分量的传播要求，逐渐添加得到传播控制操作向量</w:t>
      </w:r>
      <m:oMath>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w:rPr>
                <w:rFonts w:hint="eastAsia" w:ascii="Cambria Math" w:hAnsi="Cambria Math"/>
              </w:rPr>
              <m:t>n</m:t>
            </m:r>
            <m:ctrlPr>
              <w:rPr>
                <w:rFonts w:ascii="Cambria Math" w:hAnsi="Cambria Math"/>
              </w:rPr>
            </m:ctrlPr>
          </m:sub>
        </m:sSub>
      </m:oMath>
      <w:r>
        <w:rPr>
          <w:rFonts w:hint="eastAsia"/>
        </w:rPr>
        <w:t>共同组成传播控制操作集合。</w:t>
      </w:r>
    </w:p>
    <w:bookmarkEnd w:id="733"/>
    <w:p w14:paraId="233C9E11">
      <w:pPr>
        <w:pStyle w:val="325"/>
        <w:numPr>
          <w:ilvl w:val="1"/>
          <w:numId w:val="11"/>
        </w:numPr>
        <w:spacing w:before="156" w:after="156"/>
        <w:outlineLvl w:val="2"/>
      </w:pPr>
      <w:bookmarkStart w:id="735" w:name="_Toc172280912"/>
      <w:bookmarkStart w:id="736" w:name="_Toc170638821"/>
      <w:r>
        <w:rPr>
          <w:rFonts w:hint="eastAsia"/>
        </w:rPr>
        <w:t>隐私信息描述六元组生成过程</w:t>
      </w:r>
      <w:bookmarkEnd w:id="735"/>
      <w:bookmarkEnd w:id="736"/>
    </w:p>
    <w:p w14:paraId="6788C86B">
      <w:pPr>
        <w:pStyle w:val="272"/>
      </w:pPr>
      <w:bookmarkStart w:id="737" w:name="_Hlk166487492"/>
      <w:bookmarkStart w:id="738" w:name="_Hlk166487507"/>
      <w:r>
        <w:rPr>
          <w:rFonts w:hint="eastAsia"/>
        </w:rPr>
        <w:t>本附录以文本、图像模态数据为例，介绍隐私信息描述的生成方法和过程</w:t>
      </w:r>
      <w:r>
        <w:t>，供</w:t>
      </w:r>
      <w:r>
        <w:rPr>
          <w:rFonts w:hint="eastAsia"/>
        </w:rPr>
        <w:t>设计实现</w:t>
      </w:r>
      <w:r>
        <w:t>隐私信息描述与</w:t>
      </w:r>
      <w:r>
        <w:rPr>
          <w:rFonts w:hint="eastAsia"/>
        </w:rPr>
        <w:t>处理功能时</w:t>
      </w:r>
      <w:r>
        <w:t>参考</w:t>
      </w:r>
      <w:r>
        <w:rPr>
          <w:rFonts w:hint="eastAsia"/>
        </w:rPr>
        <w:t>。针对待处理的多模态数据，进行隐私抽取，确定隐私信息分量模态，并进行定位，生成隐私信息向量和广义定位信息集合；通过隐私数据分类分级规则对识别和抽取的隐私信息分量进行分类，根据分类结果确定隐私信息向量的约束条件集合；根据约束条件集合以及隐私数据分类分级规则对隐私信息向量进行隐私度量，生成隐私属性向量和传播控制操作集合；记录对隐私信息向量执行的所有操作，生成审计控制信息集合。隐私信息描述六元组生成过程如图A.1所示</w:t>
      </w:r>
      <w:r>
        <w:t>。</w:t>
      </w:r>
    </w:p>
    <w:p w14:paraId="057D8D56">
      <w:pPr>
        <w:widowControl/>
        <w:autoSpaceDE w:val="0"/>
        <w:autoSpaceDN w:val="0"/>
        <w:jc w:val="center"/>
        <w:rPr>
          <w:rFonts w:ascii="宋体"/>
          <w:kern w:val="0"/>
          <w:szCs w:val="20"/>
        </w:rPr>
      </w:pPr>
      <w:r>
        <w:rPr>
          <w:rFonts w:ascii="宋体"/>
          <w:kern w:val="0"/>
          <w:szCs w:val="20"/>
        </w:rPr>
        <w:object>
          <v:shape id="_x0000_i1026" o:spt="75" type="#_x0000_t75" style="height:192.2pt;width:413.8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14:paraId="3CA3D543">
      <w:pPr>
        <w:spacing w:before="156" w:beforeLines="50"/>
        <w:jc w:val="center"/>
        <w:rPr>
          <w:rFonts w:eastAsia="黑体"/>
        </w:rPr>
      </w:pPr>
      <w:r>
        <w:rPr>
          <w:rFonts w:hint="eastAsia" w:eastAsia="黑体"/>
        </w:rPr>
        <w:t>图A</w:t>
      </w:r>
      <w:r>
        <w:rPr>
          <w:rFonts w:eastAsia="黑体"/>
        </w:rPr>
        <w:t>.1</w:t>
      </w:r>
      <w:r>
        <w:rPr>
          <w:rFonts w:hint="eastAsia" w:eastAsia="黑体"/>
        </w:rPr>
        <w:t>隐私信息描述六元组生成过程</w:t>
      </w:r>
    </w:p>
    <w:bookmarkEnd w:id="737"/>
    <w:bookmarkEnd w:id="738"/>
    <w:p w14:paraId="74394DF1">
      <w:pPr>
        <w:pStyle w:val="325"/>
        <w:numPr>
          <w:ilvl w:val="1"/>
          <w:numId w:val="11"/>
        </w:numPr>
        <w:spacing w:before="156" w:after="156"/>
        <w:outlineLvl w:val="2"/>
      </w:pPr>
      <w:bookmarkStart w:id="739" w:name="_Toc170478325"/>
      <w:bookmarkStart w:id="740" w:name="_Toc172280913"/>
      <w:bookmarkStart w:id="741" w:name="_Toc170638822"/>
      <w:r>
        <w:rPr>
          <w:rFonts w:hint="eastAsia"/>
        </w:rPr>
        <w:t>文本类隐私信息描述生成示例</w:t>
      </w:r>
      <w:bookmarkEnd w:id="739"/>
      <w:bookmarkEnd w:id="740"/>
      <w:bookmarkEnd w:id="741"/>
    </w:p>
    <w:p w14:paraId="55701840">
      <w:pPr>
        <w:pStyle w:val="326"/>
        <w:numPr>
          <w:ilvl w:val="2"/>
          <w:numId w:val="11"/>
        </w:numPr>
        <w:spacing w:before="156" w:after="156"/>
      </w:pPr>
      <w:bookmarkStart w:id="742" w:name="_Toc170638823"/>
      <w:bookmarkStart w:id="743" w:name="_Toc170478326"/>
      <w:bookmarkStart w:id="744" w:name="_Toc170638289"/>
      <w:r>
        <w:rPr>
          <w:rFonts w:hint="eastAsia"/>
        </w:rPr>
        <w:t>隐私信息向量</w:t>
      </w:r>
      <w:bookmarkEnd w:id="742"/>
      <w:bookmarkEnd w:id="743"/>
      <w:bookmarkEnd w:id="744"/>
    </w:p>
    <w:p w14:paraId="485F3946">
      <w:pPr>
        <w:pStyle w:val="272"/>
      </w:pPr>
      <w:r>
        <w:rPr>
          <w:rFonts w:hint="eastAsia"/>
        </w:rPr>
        <w:t>隐私信息向量生成过程如下：</w:t>
      </w:r>
    </w:p>
    <w:p w14:paraId="08250D19">
      <w:pPr>
        <w:pStyle w:val="409"/>
        <w:numPr>
          <w:ilvl w:val="0"/>
          <w:numId w:val="96"/>
        </w:numPr>
      </w:pPr>
      <w:r>
        <w:rPr>
          <w:rFonts w:hint="eastAsia"/>
        </w:rPr>
        <w:t>隐私信息处理者根据文件标识符等信息确定信息的类型，并读取其内容。例如：可以通过Apache poi等工具读取Word文档信息、Excel表格信息；通过Spire.PDF等工具读取PDF文档信息；</w:t>
      </w:r>
    </w:p>
    <w:p w14:paraId="10742352">
      <w:pPr>
        <w:pStyle w:val="409"/>
        <w:numPr>
          <w:ilvl w:val="0"/>
          <w:numId w:val="12"/>
        </w:numPr>
      </w:pPr>
      <w:r>
        <w:rPr>
          <w:rFonts w:hint="eastAsia"/>
        </w:rPr>
        <w:t>通过正则文本匹配、自然语言处理识别文件中的隐私信息并进行切割。以文本信息“张三和李四去中关村参加活动”为例，使用基于BiLSTM+CRF模型的命名实体识别算法对姓名、组织名、地名等实体进行识别；</w:t>
      </w:r>
    </w:p>
    <w:p w14:paraId="527BACD9">
      <w:pPr>
        <w:pStyle w:val="409"/>
        <w:numPr>
          <w:ilvl w:val="0"/>
          <w:numId w:val="12"/>
        </w:numPr>
      </w:pPr>
      <w:r>
        <w:rPr>
          <w:rFonts w:hint="eastAsia"/>
        </w:rPr>
        <w:t>生成隐私信息向量</w:t>
      </w:r>
      <m:oMath>
        <m:r>
          <m:rPr/>
          <w:rPr>
            <w:rFonts w:ascii="Cambria Math" w:hAnsi="Cambria Math"/>
          </w:rPr>
          <m:t>I</m:t>
        </m:r>
        <m:r>
          <m:rPr>
            <m:sty m:val="p"/>
          </m:rPr>
          <w:rPr>
            <w:rFonts w:ascii="Cambria Math" w:hAnsi="Cambria Math"/>
          </w:rPr>
          <m:t>=</m:t>
        </m:r>
        <m:d>
          <m:dPr>
            <m:ctrlPr>
              <w:rPr>
                <w:rFonts w:ascii="Cambria Math" w:hAnsi="Cambria Math"/>
              </w:rPr>
            </m:ctrlPr>
          </m:dPr>
          <m:e>
            <m:r>
              <m:rPr/>
              <w:rPr>
                <w:rFonts w:hint="eastAsia" w:ascii="Cambria Math" w:hAnsi="Cambria Math"/>
              </w:rPr>
              <m:t>id</m:t>
            </m:r>
            <m:r>
              <m:rPr>
                <m:sty m:val="p"/>
              </m:rPr>
              <w:rPr>
                <w:rFonts w:ascii="Cambria Math" w:hAnsi="Cambria Math"/>
              </w:rPr>
              <m:t>,</m:t>
            </m:r>
            <m:r>
              <m:rPr/>
              <w:rPr>
                <w:rFonts w:hint="eastAsia" w:ascii="Cambria Math" w:hAnsi="Cambria Math"/>
              </w:rPr>
              <m:t>张三</m:t>
            </m:r>
            <m:r>
              <m:rPr>
                <m:sty m:val="p"/>
              </m:rPr>
              <w:rPr>
                <w:rFonts w:ascii="Cambria Math" w:hAnsi="Cambria Math"/>
              </w:rPr>
              <m:t>,</m:t>
            </m:r>
            <m:r>
              <m:rPr>
                <m:sty m:val="p"/>
              </m:rPr>
              <w:rPr>
                <w:rFonts w:hint="eastAsia" w:ascii="Cambria Math" w:hAnsi="Cambria Math"/>
              </w:rPr>
              <m:t>和</m:t>
            </m:r>
            <m:r>
              <m:rPr>
                <m:sty m:val="p"/>
              </m:rPr>
              <w:rPr>
                <w:rFonts w:ascii="Cambria Math" w:hAnsi="Cambria Math"/>
              </w:rPr>
              <m:t>,</m:t>
            </m:r>
            <m:r>
              <m:rPr/>
              <w:rPr>
                <w:rFonts w:hint="eastAsia" w:ascii="Cambria Math" w:hAnsi="Cambria Math"/>
              </w:rPr>
              <m:t>李四</m:t>
            </m:r>
            <m:r>
              <m:rPr>
                <m:sty m:val="p"/>
              </m:rPr>
              <w:rPr>
                <w:rFonts w:ascii="Cambria Math" w:hAnsi="Cambria Math"/>
              </w:rPr>
              <m:t xml:space="preserve">, </m:t>
            </m:r>
            <m:r>
              <m:rPr>
                <m:sty m:val="p"/>
              </m:rPr>
              <w:rPr>
                <w:rFonts w:hint="eastAsia" w:ascii="Cambria Math" w:hAnsi="Cambria Math"/>
              </w:rPr>
              <m:t>去</m:t>
            </m:r>
            <m:r>
              <m:rPr>
                <m:sty m:val="p"/>
              </m:rPr>
              <w:rPr>
                <w:rFonts w:ascii="Cambria Math" w:hAnsi="Cambria Math"/>
              </w:rPr>
              <m:t>,</m:t>
            </m:r>
            <m:r>
              <m:rPr>
                <m:sty m:val="p"/>
              </m:rPr>
              <w:rPr>
                <w:rFonts w:hint="eastAsia" w:ascii="Cambria Math" w:hAnsi="Cambria Math"/>
              </w:rPr>
              <m:t>中关村</m:t>
            </m:r>
            <m:r>
              <m:rPr>
                <m:sty m:val="p"/>
              </m:rPr>
              <w:rPr>
                <w:rFonts w:ascii="Cambria Math" w:hAnsi="Cambria Math"/>
              </w:rPr>
              <m:t>,</m:t>
            </m:r>
            <m:r>
              <m:rPr>
                <m:sty m:val="p"/>
              </m:rPr>
              <w:rPr>
                <w:rFonts w:hint="eastAsia" w:ascii="Cambria Math" w:hAnsi="Cambria Math"/>
              </w:rPr>
              <m:t>参加</m:t>
            </m:r>
            <m:r>
              <m:rPr>
                <m:sty m:val="p"/>
              </m:rPr>
              <w:rPr>
                <w:rFonts w:ascii="Cambria Math" w:hAnsi="Cambria Math"/>
              </w:rPr>
              <m:t>,</m:t>
            </m:r>
            <m:r>
              <m:rPr>
                <m:sty m:val="p"/>
              </m:rPr>
              <w:rPr>
                <w:rFonts w:hint="eastAsia" w:ascii="Cambria Math" w:hAnsi="Cambria Math"/>
              </w:rPr>
              <m:t>活动</m:t>
            </m:r>
            <m:ctrlPr>
              <w:rPr>
                <w:rFonts w:ascii="Cambria Math" w:hAnsi="Cambria Math"/>
              </w:rPr>
            </m:ctrlPr>
          </m:e>
        </m:d>
      </m:oMath>
      <w:r>
        <w:rPr>
          <w:rFonts w:hint="eastAsia"/>
        </w:rPr>
        <w:t>。</w:t>
      </w:r>
    </w:p>
    <w:p w14:paraId="6DA2D32D">
      <w:pPr>
        <w:pStyle w:val="326"/>
        <w:numPr>
          <w:ilvl w:val="2"/>
          <w:numId w:val="11"/>
        </w:numPr>
        <w:spacing w:before="156" w:after="156"/>
      </w:pPr>
      <w:bookmarkStart w:id="745" w:name="_Toc170638824"/>
      <w:bookmarkStart w:id="746" w:name="_Toc170478327"/>
      <w:bookmarkStart w:id="747" w:name="_Toc170638290"/>
      <w:r>
        <w:rPr>
          <w:rFonts w:hint="eastAsia"/>
        </w:rPr>
        <w:t>约束条件集合</w:t>
      </w:r>
      <w:bookmarkEnd w:id="745"/>
      <w:bookmarkEnd w:id="746"/>
      <w:bookmarkEnd w:id="747"/>
    </w:p>
    <w:p w14:paraId="1A8C5717">
      <w:pPr>
        <w:pStyle w:val="272"/>
      </w:pPr>
      <w:r>
        <w:rPr>
          <w:rFonts w:hint="eastAsia"/>
        </w:rPr>
        <w:t>约束条件集合生成过程如下：</w:t>
      </w:r>
    </w:p>
    <w:p w14:paraId="14F5DD02">
      <w:pPr>
        <w:pStyle w:val="409"/>
        <w:numPr>
          <w:ilvl w:val="0"/>
          <w:numId w:val="97"/>
        </w:numPr>
      </w:pPr>
      <w:bookmarkStart w:id="748" w:name="_Hlk170499580"/>
      <w:bookmarkStart w:id="749" w:name="_Toc170478328"/>
      <w:r>
        <w:rPr>
          <w:rFonts w:hint="eastAsia"/>
        </w:rPr>
        <w:t>隐私信息处理者获取文本类数据对应的分类分级规则；</w:t>
      </w:r>
    </w:p>
    <w:p w14:paraId="372C4C6D">
      <w:pPr>
        <w:pStyle w:val="409"/>
        <w:numPr>
          <w:ilvl w:val="0"/>
          <w:numId w:val="12"/>
        </w:numPr>
      </w:pPr>
      <w:r>
        <w:rPr>
          <w:rFonts w:hint="eastAsia"/>
        </w:rPr>
        <w:t>根据当前隐私信息处理者的意愿，生成隐私信息向量对应的约束条件集合。例如：若当前隐私信息处理者仅向197.224.*.*网段的用户赋予文档读写权限，则非该网段下的用户无法读取该文件</w:t>
      </w:r>
      <w:bookmarkEnd w:id="748"/>
      <w:r>
        <w:rPr>
          <w:rFonts w:hint="eastAsia"/>
        </w:rPr>
        <w:t>；</w:t>
      </w:r>
    </w:p>
    <w:p w14:paraId="397CBC01">
      <w:pPr>
        <w:widowControl/>
        <w:numPr>
          <w:ilvl w:val="0"/>
          <w:numId w:val="12"/>
        </w:numPr>
        <w:rPr>
          <w:rFonts w:ascii="宋体"/>
          <w:kern w:val="0"/>
          <w:szCs w:val="20"/>
        </w:rPr>
      </w:pPr>
      <w:r>
        <w:rPr>
          <w:rFonts w:hint="eastAsia" w:ascii="宋体"/>
          <w:kern w:val="0"/>
          <w:szCs w:val="20"/>
        </w:rPr>
        <w:t>生成约束条件集合</w:t>
      </w:r>
      <m:oMath>
        <m:sSub>
          <m:sSubPr>
            <m:ctrlPr>
              <w:rPr>
                <w:rFonts w:ascii="Cambria Math" w:hAnsi="Cambria Math"/>
              </w:rPr>
            </m:ctrlPr>
          </m:sSubPr>
          <m:e>
            <m:r>
              <m:rPr>
                <m:sty m:val="p"/>
              </m:rPr>
              <w:rPr>
                <w:rFonts w:ascii="Cambria Math" w:hAnsi="Cambria Math"/>
              </w:rPr>
              <m:t>θ</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d>
          <m:dPr>
            <m:ctrlPr>
              <w:rPr>
                <w:rFonts w:ascii="Cambria Math" w:hAnsi="Cambria Math"/>
              </w:rPr>
            </m:ctrlPr>
          </m:dPr>
          <m:e>
            <m:r>
              <m:rPr>
                <m:sty m:val="p"/>
              </m:rPr>
              <w:rPr>
                <w:rFonts w:hint="eastAsia" w:ascii="Cambria Math" w:hAnsi="Cambria Math"/>
              </w:rPr>
              <m:t>读写</m:t>
            </m:r>
            <m:r>
              <m:rPr>
                <m:sty m:val="p"/>
              </m:rPr>
              <w:rPr>
                <w:rFonts w:ascii="Cambria Math" w:hAnsi="Cambria Math"/>
              </w:rPr>
              <m:t>,197.224.</m:t>
            </m:r>
            <m:r>
              <m:rPr>
                <m:sty m:val="p"/>
              </m:rPr>
              <w:rPr>
                <w:rFonts w:ascii="Cambria Math" w:hAnsi="Cambria Math" w:cs="Cambria Math"/>
              </w:rPr>
              <m:t>∗</m:t>
            </m:r>
            <m:r>
              <m:rPr>
                <m:sty m:val="p"/>
              </m:rPr>
              <w:rPr>
                <w:rFonts w:ascii="Cambria Math" w:hAnsi="Cambria Math"/>
              </w:rPr>
              <m:t>.</m:t>
            </m:r>
            <m:r>
              <m:rPr>
                <m:sty m:val="p"/>
              </m:rPr>
              <w:rPr>
                <w:rFonts w:ascii="Cambria Math" w:hAnsi="Cambria Math" w:cs="Cambria Math"/>
              </w:rPr>
              <m:t>∗</m:t>
            </m:r>
            <m:ctrlPr>
              <w:rPr>
                <w:rFonts w:ascii="Cambria Math" w:hAnsi="Cambria Math"/>
              </w:rPr>
            </m:ctrlPr>
          </m:e>
        </m:d>
      </m:oMath>
      <w:r>
        <w:rPr>
          <w:rFonts w:hint="eastAsia" w:ascii="宋体"/>
        </w:rPr>
        <w:t>。</w:t>
      </w:r>
    </w:p>
    <w:p w14:paraId="01453401">
      <w:pPr>
        <w:pStyle w:val="326"/>
        <w:numPr>
          <w:ilvl w:val="2"/>
          <w:numId w:val="11"/>
        </w:numPr>
        <w:spacing w:before="156" w:after="156"/>
      </w:pPr>
      <w:bookmarkStart w:id="750" w:name="_Toc170638291"/>
      <w:bookmarkStart w:id="751" w:name="_Toc170638825"/>
      <w:r>
        <w:rPr>
          <w:rFonts w:hint="eastAsia"/>
        </w:rPr>
        <w:t>隐私属性向量</w:t>
      </w:r>
      <w:bookmarkEnd w:id="749"/>
      <w:bookmarkEnd w:id="750"/>
      <w:bookmarkEnd w:id="751"/>
    </w:p>
    <w:p w14:paraId="56E8C255">
      <w:pPr>
        <w:pStyle w:val="272"/>
      </w:pPr>
      <w:r>
        <w:rPr>
          <w:rFonts w:hint="eastAsia"/>
        </w:rPr>
        <w:t>隐私属性向量生成过程如下：</w:t>
      </w:r>
    </w:p>
    <w:p w14:paraId="3A742B05">
      <w:pPr>
        <w:pStyle w:val="409"/>
        <w:numPr>
          <w:ilvl w:val="0"/>
          <w:numId w:val="98"/>
        </w:numPr>
      </w:pPr>
      <w:bookmarkStart w:id="752" w:name="_Toc170478329"/>
      <w:r>
        <w:rPr>
          <w:rFonts w:hint="eastAsia"/>
        </w:rPr>
        <w:t>隐私信息处理者根据文本类数据对应的分类分级规则和隐私信息分量的约束条件集合，确定待处理文本信息对应的分类分级规则；</w:t>
      </w:r>
    </w:p>
    <w:p w14:paraId="15A33297">
      <w:pPr>
        <w:pStyle w:val="409"/>
        <w:numPr>
          <w:ilvl w:val="0"/>
          <w:numId w:val="12"/>
        </w:numPr>
      </w:pPr>
      <w:r>
        <w:rPr>
          <w:rFonts w:hint="eastAsia"/>
        </w:rPr>
        <w:t>根据约束条件集合、分类分级规则以及文档创建者的意愿，通过预先标记或隐私保护程度量化操作函数，依次计算隐私信息向量和隐私信息分量组合对应的隐私属性向量，生成各个隐私信息分量的隐私属性向量；</w:t>
      </w:r>
    </w:p>
    <w:p w14:paraId="30D8812E">
      <w:pPr>
        <w:pStyle w:val="409"/>
        <w:numPr>
          <w:ilvl w:val="0"/>
          <w:numId w:val="12"/>
        </w:numPr>
      </w:pPr>
      <w:r>
        <w:rPr>
          <w:rFonts w:hint="eastAsia"/>
        </w:rPr>
        <w:t>如度量结果为0</w:t>
      </w:r>
      <w:r>
        <w:t>.4</w:t>
      </w:r>
      <w:r>
        <w:rPr>
          <w:rFonts w:hint="eastAsia"/>
        </w:rPr>
        <w:t>，包含</w:t>
      </w:r>
      <m:oMath>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rPr>
        <w:t>至</w:t>
      </w:r>
      <m:oMath>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n</m:t>
            </m:r>
            <m:ctrlPr>
              <w:rPr>
                <w:rFonts w:ascii="Cambria Math" w:hAnsi="Cambria Math"/>
                <w:i/>
              </w:rPr>
            </m:ctrlPr>
          </m:sub>
        </m:sSub>
      </m:oMath>
      <w:r>
        <w:rPr>
          <w:rFonts w:hint="eastAsia"/>
        </w:rPr>
        <w:t>的隐私属性向量可表示为</w:t>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m:rPr/>
              <w:rPr>
                <w:rFonts w:ascii="Cambria Math" w:hAnsi="Cambria Math"/>
              </w:rPr>
              <m:t>X</m:t>
            </m:r>
            <m:ctrlPr>
              <w:rPr>
                <w:rFonts w:ascii="Cambria Math" w:hAnsi="Cambria Math"/>
              </w:rPr>
            </m:ctrlPr>
          </m:e>
          <m:sub>
            <m:r>
              <m:rPr/>
              <w:rPr>
                <w:rFonts w:ascii="Cambria Math" w:hAnsi="Cambria Math"/>
              </w:rPr>
              <m:t>n</m:t>
            </m:r>
            <m:ctrlPr>
              <w:rPr>
                <w:rFonts w:ascii="Cambria Math" w:hAnsi="Cambria Math"/>
              </w:rPr>
            </m:ctrlPr>
          </m:sub>
        </m:sSub>
        <m:r>
          <m:rPr>
            <m:sty m:val="p"/>
          </m:rPr>
          <w:rPr>
            <w:rFonts w:ascii="Cambria Math" w:hAnsi="Cambria Math"/>
          </w:rPr>
          <m:t>,</m:t>
        </m:r>
        <m:r>
          <m:rPr/>
          <w:rPr>
            <w:rFonts w:ascii="Cambria Math" w:hAnsi="Cambria Math"/>
          </w:rPr>
          <m:t>0.4)</m:t>
        </m:r>
      </m:oMath>
      <w:r>
        <w:rPr>
          <w:rFonts w:hint="eastAsia"/>
        </w:rPr>
        <w:t>。</w:t>
      </w:r>
    </w:p>
    <w:p w14:paraId="7CE08FA2">
      <w:pPr>
        <w:pStyle w:val="326"/>
        <w:numPr>
          <w:ilvl w:val="2"/>
          <w:numId w:val="11"/>
        </w:numPr>
        <w:spacing w:before="156" w:after="156"/>
      </w:pPr>
      <w:bookmarkStart w:id="753" w:name="_Toc170638292"/>
      <w:bookmarkStart w:id="754" w:name="_Toc170638826"/>
      <w:r>
        <w:rPr>
          <w:rFonts w:hint="eastAsia"/>
        </w:rPr>
        <w:t>广义定位信息集合</w:t>
      </w:r>
      <w:bookmarkEnd w:id="752"/>
      <w:bookmarkEnd w:id="753"/>
      <w:bookmarkEnd w:id="754"/>
    </w:p>
    <w:p w14:paraId="4DF33675">
      <w:pPr>
        <w:pStyle w:val="272"/>
      </w:pPr>
      <w:r>
        <w:rPr>
          <w:rFonts w:hint="eastAsia"/>
        </w:rPr>
        <w:t>广义定位信息集合生成过程如下：</w:t>
      </w:r>
    </w:p>
    <w:p w14:paraId="067D030B">
      <w:pPr>
        <w:pStyle w:val="409"/>
        <w:numPr>
          <w:ilvl w:val="0"/>
          <w:numId w:val="99"/>
        </w:numPr>
      </w:pPr>
      <w:bookmarkStart w:id="755" w:name="_Toc170478330"/>
      <w:r>
        <w:rPr>
          <w:rFonts w:hint="eastAsia"/>
        </w:rPr>
        <w:t xml:space="preserve">隐私信息处理者采用合适的位置标识信息，对隐私信息在文档中的位置进行编码。例如： </w:t>
      </w:r>
    </w:p>
    <w:p w14:paraId="04EA7CFD">
      <w:pPr>
        <w:pStyle w:val="366"/>
        <w:numPr>
          <w:ilvl w:val="1"/>
          <w:numId w:val="96"/>
        </w:numPr>
      </w:pPr>
      <w:r>
        <w:rPr>
          <w:rFonts w:hint="eastAsia"/>
        </w:rPr>
        <w:t xml:space="preserve">Word文档可利用页码、段落、行数、起始位和终止位等表示定位信息； </w:t>
      </w:r>
    </w:p>
    <w:p w14:paraId="32C9AE08">
      <w:pPr>
        <w:pStyle w:val="366"/>
        <w:numPr>
          <w:ilvl w:val="1"/>
          <w:numId w:val="96"/>
        </w:numPr>
      </w:pPr>
      <w:r>
        <w:rPr>
          <w:rFonts w:hint="eastAsia"/>
        </w:rPr>
        <w:t>Excel表格可利用表单号、行号、列号等表示定位信息。</w:t>
      </w:r>
    </w:p>
    <w:p w14:paraId="7E26449D">
      <w:pPr>
        <w:widowControl/>
        <w:numPr>
          <w:ilvl w:val="0"/>
          <w:numId w:val="12"/>
        </w:numPr>
        <w:rPr>
          <w:rFonts w:ascii="宋体"/>
          <w:kern w:val="0"/>
          <w:szCs w:val="20"/>
        </w:rPr>
      </w:pPr>
      <w:r>
        <w:rPr>
          <w:rFonts w:hint="eastAsia" w:ascii="宋体"/>
          <w:kern w:val="0"/>
          <w:szCs w:val="20"/>
        </w:rPr>
        <w:t>生成隐私信息分量对应的广义定位信息向量。例如：对于Wor</w:t>
      </w:r>
      <w:r>
        <w:rPr>
          <w:rFonts w:ascii="宋体"/>
          <w:kern w:val="0"/>
          <w:szCs w:val="20"/>
        </w:rPr>
        <w:t>d</w:t>
      </w:r>
      <w:r>
        <w:rPr>
          <w:rFonts w:hint="eastAsia" w:ascii="宋体"/>
          <w:kern w:val="0"/>
          <w:szCs w:val="20"/>
        </w:rPr>
        <w:t>、Ex</w:t>
      </w:r>
      <w:r>
        <w:rPr>
          <w:rFonts w:ascii="宋体"/>
          <w:kern w:val="0"/>
          <w:szCs w:val="20"/>
        </w:rPr>
        <w:t>cel</w:t>
      </w:r>
      <w:r>
        <w:rPr>
          <w:rFonts w:hint="eastAsia" w:ascii="宋体"/>
          <w:kern w:val="0"/>
          <w:szCs w:val="20"/>
        </w:rPr>
        <w:t>文档，可使用Apache poi工具对隐私信息向量进行索引</w:t>
      </w:r>
      <w:bookmarkStart w:id="756" w:name="_Hlk170569745"/>
      <w:r>
        <w:rPr>
          <w:rFonts w:hint="eastAsia" w:ascii="宋体"/>
          <w:kern w:val="0"/>
          <w:szCs w:val="20"/>
        </w:rPr>
        <w:t>，</w:t>
      </w:r>
      <w:bookmarkEnd w:id="756"/>
      <w:r>
        <w:rPr>
          <w:rFonts w:hint="eastAsia" w:ascii="宋体"/>
          <w:kern w:val="0"/>
          <w:szCs w:val="20"/>
        </w:rPr>
        <w:t>统一设置字符在文档中的范围标签和批注引用，生成广义定位信息集合；</w:t>
      </w:r>
    </w:p>
    <w:p w14:paraId="1D2347D4">
      <w:pPr>
        <w:widowControl/>
        <w:numPr>
          <w:ilvl w:val="0"/>
          <w:numId w:val="12"/>
        </w:numPr>
        <w:rPr>
          <w:rFonts w:ascii="宋体"/>
          <w:kern w:val="0"/>
          <w:szCs w:val="20"/>
        </w:rPr>
      </w:pPr>
      <w:r>
        <w:rPr>
          <w:rFonts w:hint="eastAsia" w:ascii="宋体"/>
          <w:kern w:val="0"/>
          <w:szCs w:val="20"/>
        </w:rPr>
        <w:t>生成广义定位信息集合</w:t>
      </w:r>
      <m:oMath>
        <m:r>
          <m:rPr>
            <m:sty m:val="p"/>
          </m:rPr>
          <w:rPr>
            <w:rFonts w:ascii="Cambria Math" w:hAnsi="Cambria Math"/>
          </w:rPr>
          <m:t>Γ</m:t>
        </m:r>
      </m:oMath>
      <w:r>
        <w:rPr>
          <w:rFonts w:hint="eastAsia" w:ascii="宋体"/>
          <w:kern w:val="0"/>
          <w:szCs w:val="20"/>
        </w:rPr>
        <w:t>，例如：</w:t>
      </w:r>
    </w:p>
    <w:p w14:paraId="6D874F2D">
      <w:pPr>
        <w:pStyle w:val="366"/>
        <w:numPr>
          <w:ilvl w:val="1"/>
          <w:numId w:val="12"/>
        </w:numPr>
      </w:pPr>
      <m:oMath>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w:bookmarkStart w:id="757" w:name="_Hlk170569888"/>
        <w:bookmarkStart w:id="758" w:name="_Hlk170569839"/>
        <m:d>
          <m:dPr>
            <m:ctrlPr>
              <w:rPr>
                <w:rFonts w:ascii="Cambria Math" w:hAnsi="Cambria Math"/>
              </w:rPr>
            </m:ctrlPr>
          </m:dPr>
          <m:e>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w:bookmarkEnd w:id="757"/>
            <m:sSub>
              <m:sSubPr>
                <m:ctrlPr>
                  <w:rPr>
                    <w:rFonts w:ascii="Cambria Math" w:hAnsi="Cambria Math"/>
                  </w:rPr>
                </m:ctrlPr>
              </m:sSubPr>
              <m:e>
                <m:sSub>
                  <m:sSubPr>
                    <m:ctrlPr>
                      <w:rPr>
                        <w:rFonts w:ascii="Cambria Math" w:hAnsi="Cambria Math"/>
                      </w:rPr>
                    </m:ctrlPr>
                  </m:sSubPr>
                  <m:e>
                    <m:r>
                      <m:rPr/>
                      <w:rPr>
                        <w:rFonts w:ascii="Cambria Math" w:hAnsi="Cambria Math"/>
                      </w:rPr>
                      <m:t>P</m:t>
                    </m:r>
                    <m:ctrlPr>
                      <w:rPr>
                        <w:rFonts w:ascii="Cambria Math" w:hAnsi="Cambria Math"/>
                      </w:rPr>
                    </m:ctrlPr>
                  </m:e>
                  <m:sub>
                    <m:r>
                      <m:rPr>
                        <m:sty m:val="p"/>
                      </m:rPr>
                      <w:rPr>
                        <w:rFonts w:ascii="Cambria Math" w:hAnsi="Cambria Math"/>
                      </w:rPr>
                      <m:t>11</m:t>
                    </m:r>
                    <m:ctrlPr>
                      <w:rPr>
                        <w:rFonts w:ascii="Cambria Math" w:hAnsi="Cambria Math"/>
                      </w:rPr>
                    </m:ctrlPr>
                  </m:sub>
                </m:sSub>
                <m:r>
                  <m:rPr>
                    <m:sty m:val="p"/>
                  </m:rPr>
                  <w:rPr>
                    <w:rFonts w:ascii="Cambria Math" w:hAnsi="Cambria Math"/>
                  </w:rPr>
                  <m:t>,</m:t>
                </m:r>
                <m:r>
                  <m:rPr/>
                  <w:rPr>
                    <w:rFonts w:ascii="Cambria Math" w:hAnsi="Cambria Math"/>
                  </w:rPr>
                  <m:t>S</m:t>
                </m:r>
                <m:ctrlPr>
                  <w:rPr>
                    <w:rFonts w:ascii="Cambria Math" w:hAnsi="Cambria Math"/>
                  </w:rPr>
                </m:ctrlPr>
              </m:e>
              <m:sub>
                <m:r>
                  <m:rPr>
                    <m:sty m:val="p"/>
                  </m:rPr>
                  <w:rPr>
                    <w:rFonts w:ascii="Cambria Math" w:hAnsi="Cambria Math"/>
                  </w:rPr>
                  <m:t>3</m:t>
                </m:r>
                <m:ctrlPr>
                  <w:rPr>
                    <w:rFonts w:ascii="Cambria Math" w:hAnsi="Cambria Math"/>
                  </w:rPr>
                </m:ctrlPr>
                <w:bookmarkEnd w:id="758"/>
              </m:sub>
            </m:sSub>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,0,4</m:t>
            </m:r>
            <m:ctrlPr>
              <w:rPr>
                <w:rFonts w:ascii="Cambria Math" w:hAnsi="Cambria Math"/>
              </w:rPr>
            </m:ctrlPr>
          </m:e>
        </m:d>
      </m:oMath>
      <w:r>
        <w:rPr>
          <w:rFonts w:hint="eastAsia"/>
        </w:rPr>
        <w:t>表示</w:t>
      </w:r>
      <w:bookmarkStart w:id="759" w:name="_Hlk170570110"/>
      <w:r>
        <w:rPr>
          <w:rFonts w:hint="eastAsia"/>
        </w:rPr>
        <w:t>记为</w:t>
      </w:r>
      <m:oMath>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oMath>
      <w:bookmarkEnd w:id="759"/>
      <w:r>
        <w:rPr>
          <w:rFonts w:hint="eastAsia"/>
        </w:rPr>
        <w:t>隐私信息分量“张三”，位于文本信息的第</w:t>
      </w:r>
      <w:r>
        <w:t>11</w:t>
      </w:r>
      <w:r>
        <w:rPr>
          <w:rFonts w:hint="eastAsia"/>
        </w:rPr>
        <w:t>页、第</w:t>
      </w:r>
      <w:r>
        <w:t>3</w:t>
      </w:r>
      <w:r>
        <w:rPr>
          <w:rFonts w:hint="eastAsia"/>
        </w:rPr>
        <w:t>段中的第</w:t>
      </w:r>
      <w:r>
        <w:t>2</w:t>
      </w:r>
      <w:r>
        <w:rPr>
          <w:rFonts w:hint="eastAsia"/>
        </w:rPr>
        <w:t>行，起始位为</w:t>
      </w:r>
      <w:r>
        <w:t>0</w:t>
      </w:r>
      <w:r>
        <w:rPr>
          <w:rFonts w:hint="eastAsia"/>
        </w:rPr>
        <w:t>，终止位为</w:t>
      </w:r>
      <w:r>
        <w:t>4</w:t>
      </w:r>
      <w:r>
        <w:rPr>
          <w:rFonts w:hint="eastAsia"/>
        </w:rPr>
        <w:t>；</w:t>
      </w:r>
    </w:p>
    <w:p w14:paraId="7AF57644">
      <w:pPr>
        <w:pStyle w:val="366"/>
        <w:numPr>
          <w:ilvl w:val="1"/>
          <w:numId w:val="12"/>
        </w:numPr>
      </w:pPr>
      <m:oMath>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d>
          <m:dPr>
            <m:ctrlPr>
              <w:rPr>
                <w:rFonts w:ascii="Cambria Math" w:hAnsi="Cambria Math"/>
              </w:rPr>
            </m:ctrlPr>
          </m:dPr>
          <m:e>
            <m:sSub>
              <w:bookmarkStart w:id="760" w:name="_Hlk170569700"/>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2</m:t>
                </m:r>
                <w:bookmarkEnd w:id="760"/>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5</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C</m:t>
                </m:r>
                <m:ctrlPr>
                  <w:rPr>
                    <w:rFonts w:ascii="Cambria Math" w:hAnsi="Cambria Math"/>
                  </w:rPr>
                </m:ctrlPr>
              </m:e>
              <m:sub>
                <m:r>
                  <m:rPr>
                    <m:sty m:val="p"/>
                  </m:rPr>
                  <w:rPr>
                    <w:rFonts w:ascii="Cambria Math" w:hAnsi="Cambria Math"/>
                  </w:rPr>
                  <m:t>4</m:t>
                </m:r>
                <m:ctrlPr>
                  <w:rPr>
                    <w:rFonts w:ascii="Cambria Math" w:hAnsi="Cambria Math"/>
                  </w:rPr>
                </m:ctrlPr>
              </m:sub>
            </m:sSub>
            <m:ctrlPr>
              <w:rPr>
                <w:rFonts w:ascii="Cambria Math" w:hAnsi="Cambria Math"/>
              </w:rPr>
            </m:ctrlPr>
          </m:e>
        </m:d>
      </m:oMath>
      <w:r>
        <w:rPr>
          <w:rFonts w:hint="eastAsia"/>
        </w:rPr>
        <w:t>表示</w:t>
      </w:r>
      <w:bookmarkStart w:id="761" w:name="_Hlk170569921"/>
      <w:r>
        <w:rPr>
          <w:rFonts w:hint="eastAsia"/>
        </w:rPr>
        <w:t>记为</w:t>
      </w:r>
      <m:oMath>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2</m:t>
            </m:r>
            <w:bookmarkEnd w:id="761"/>
            <m:ctrlPr>
              <w:rPr>
                <w:rFonts w:ascii="Cambria Math" w:hAnsi="Cambria Math"/>
              </w:rPr>
            </m:ctrlPr>
          </m:sub>
        </m:sSub>
      </m:oMath>
      <w:r>
        <w:rPr>
          <w:rFonts w:hint="eastAsia"/>
        </w:rPr>
        <w:t>隐私信息分量“321128202502012921”，位于表格的表单1、第5行中的第4列的单元格中。</w:t>
      </w:r>
    </w:p>
    <w:p w14:paraId="35C717E6">
      <w:pPr>
        <w:pStyle w:val="326"/>
        <w:numPr>
          <w:ilvl w:val="2"/>
          <w:numId w:val="11"/>
        </w:numPr>
        <w:spacing w:before="156" w:after="156"/>
      </w:pPr>
      <w:bookmarkStart w:id="762" w:name="_Toc170638827"/>
      <w:bookmarkStart w:id="763" w:name="_Toc170638293"/>
      <w:r>
        <w:rPr>
          <w:rFonts w:hint="eastAsia"/>
        </w:rPr>
        <w:t>审计控制信息集合</w:t>
      </w:r>
      <w:bookmarkEnd w:id="755"/>
      <w:bookmarkEnd w:id="762"/>
      <w:bookmarkEnd w:id="763"/>
    </w:p>
    <w:p w14:paraId="31EC9C83">
      <w:pPr>
        <w:pStyle w:val="272"/>
      </w:pPr>
      <w:r>
        <w:rPr>
          <w:rFonts w:hint="eastAsia"/>
        </w:rPr>
        <w:t>审计控制信息集合生成过程如下：</w:t>
      </w:r>
    </w:p>
    <w:p w14:paraId="5D3D0BC7">
      <w:pPr>
        <w:pStyle w:val="409"/>
        <w:numPr>
          <w:ilvl w:val="0"/>
          <w:numId w:val="100"/>
        </w:numPr>
      </w:pPr>
      <w:r>
        <w:rPr>
          <w:rFonts w:hint="eastAsia"/>
        </w:rPr>
        <w:t>隐私信息处理者记录其对文档的隐私信息分量进行的所有操作，并生成审计控制信息集合；</w:t>
      </w:r>
    </w:p>
    <w:p w14:paraId="09F9C85C">
      <w:pPr>
        <w:widowControl/>
        <w:numPr>
          <w:ilvl w:val="0"/>
          <w:numId w:val="12"/>
        </w:numPr>
      </w:pPr>
      <w:r>
        <w:rPr>
          <w:rFonts w:hint="eastAsia"/>
        </w:rPr>
        <w:t>将生成的审计控制信息集合存储于对应的隐私信息描述六元组。</w:t>
      </w:r>
    </w:p>
    <w:p w14:paraId="4E881696">
      <w:pPr>
        <w:pStyle w:val="326"/>
        <w:numPr>
          <w:ilvl w:val="2"/>
          <w:numId w:val="11"/>
        </w:numPr>
        <w:spacing w:before="156" w:after="156"/>
      </w:pPr>
      <w:bookmarkStart w:id="764" w:name="_Toc170638828"/>
      <w:bookmarkStart w:id="765" w:name="_Toc170638294"/>
      <w:bookmarkStart w:id="766" w:name="_Toc170478331"/>
      <w:r>
        <w:rPr>
          <w:rFonts w:hint="eastAsia"/>
        </w:rPr>
        <w:t>传播控制操作集合</w:t>
      </w:r>
      <w:bookmarkEnd w:id="764"/>
      <w:bookmarkEnd w:id="765"/>
      <w:bookmarkEnd w:id="766"/>
    </w:p>
    <w:p w14:paraId="55D755ED">
      <w:pPr>
        <w:pStyle w:val="272"/>
      </w:pPr>
      <w:r>
        <w:rPr>
          <w:rFonts w:hint="eastAsia"/>
        </w:rPr>
        <w:t>传播控制操作集合生成过程如下：</w:t>
      </w:r>
    </w:p>
    <w:p w14:paraId="41085258">
      <w:pPr>
        <w:pStyle w:val="409"/>
        <w:numPr>
          <w:ilvl w:val="0"/>
          <w:numId w:val="101"/>
        </w:numPr>
      </w:pPr>
      <w:bookmarkStart w:id="767" w:name="_Toc170478332"/>
      <w:r>
        <w:rPr>
          <w:rFonts w:hint="eastAsia"/>
        </w:rPr>
        <w:t>隐私信息处理者获取文本类数据对应的分类分级规则和隐私信息分量的约束条件集合、隐私属性向量；</w:t>
      </w:r>
    </w:p>
    <w:p w14:paraId="774BCD5C">
      <w:pPr>
        <w:widowControl/>
        <w:numPr>
          <w:ilvl w:val="0"/>
          <w:numId w:val="12"/>
        </w:numPr>
        <w:rPr>
          <w:rFonts w:ascii="宋体"/>
          <w:kern w:val="0"/>
          <w:szCs w:val="20"/>
        </w:rPr>
      </w:pPr>
      <w:r>
        <w:rPr>
          <w:rFonts w:hint="eastAsia" w:ascii="宋体"/>
          <w:kern w:val="0"/>
          <w:szCs w:val="20"/>
        </w:rPr>
        <w:t>根据当前隐私信息处理者流转共享意愿，生成隐私信息向量对应的传播控制操作集合。例如：当前的传播控制操作集合</w:t>
      </w:r>
      <m:oMath>
        <m:r>
          <m:rPr>
            <m:sty m:val="p"/>
          </m:rPr>
          <w:rPr>
            <w:rFonts w:ascii="Cambria Math" w:hAnsi="Cambria Math"/>
            <w:kern w:val="0"/>
            <w:szCs w:val="20"/>
          </w:rPr>
          <m:t>Ψ=</m:t>
        </m:r>
        <m:d>
          <m:dPr>
            <m:begChr m:val="{"/>
            <m:endChr m:val="}"/>
            <m:ctrlPr>
              <w:rPr>
                <w:rFonts w:ascii="Cambria Math" w:hAnsi="Cambria Math"/>
                <w:kern w:val="0"/>
                <w:szCs w:val="20"/>
              </w:rPr>
            </m:ctrlPr>
          </m:dPr>
          <m:e>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1</m:t>
                </m:r>
                <m:ctrlPr>
                  <w:rPr>
                    <w:rFonts w:ascii="Cambria Math" w:hAnsi="Cambria Math"/>
                    <w:kern w:val="0"/>
                    <w:szCs w:val="20"/>
                  </w:rPr>
                </m:ctrlPr>
              </m:sub>
            </m:sSub>
            <m:r>
              <m:rPr>
                <m:sty m:val="p"/>
              </m:rPr>
              <w:rPr>
                <w:rFonts w:ascii="Cambria Math" w:hAnsi="Cambria Math"/>
                <w:kern w:val="0"/>
                <w:szCs w:val="20"/>
              </w:rPr>
              <m:t>,</m:t>
            </m:r>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2</m:t>
                </m:r>
                <m:ctrlPr>
                  <w:rPr>
                    <w:rFonts w:ascii="Cambria Math" w:hAnsi="Cambria Math"/>
                    <w:kern w:val="0"/>
                    <w:szCs w:val="20"/>
                  </w:rPr>
                </m:ctrlPr>
              </m:sub>
            </m:sSub>
            <m:r>
              <m:rPr>
                <m:sty m:val="p"/>
              </m:rPr>
              <w:rPr>
                <w:rFonts w:ascii="Cambria Math" w:hAnsi="Cambria Math"/>
                <w:kern w:val="0"/>
                <w:szCs w:val="20"/>
              </w:rPr>
              <m:t>,</m:t>
            </m:r>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3</m:t>
                </m:r>
                <m:ctrlPr>
                  <w:rPr>
                    <w:rFonts w:ascii="Cambria Math" w:hAnsi="Cambria Math"/>
                    <w:kern w:val="0"/>
                    <w:szCs w:val="20"/>
                  </w:rPr>
                </m:ctrlPr>
              </m:sub>
            </m:sSub>
            <m:ctrlPr>
              <w:rPr>
                <w:rFonts w:ascii="Cambria Math" w:hAnsi="Cambria Math"/>
                <w:kern w:val="0"/>
                <w:szCs w:val="20"/>
              </w:rPr>
            </m:ctrlPr>
          </m:e>
        </m:d>
      </m:oMath>
      <w:r>
        <w:rPr>
          <w:rFonts w:hint="eastAsia" w:ascii="宋体"/>
          <w:kern w:val="0"/>
          <w:szCs w:val="20"/>
        </w:rPr>
        <w:t>，假设当前隐私信息处理者只希望隐私信息分量“中关村”被复制转发，则可新增一个传播控制操作向量</w:t>
      </w:r>
      <m:oMath>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4</m:t>
            </m:r>
            <m:ctrlPr>
              <w:rPr>
                <w:rFonts w:ascii="Cambria Math" w:hAnsi="Cambria Math"/>
                <w:kern w:val="0"/>
                <w:szCs w:val="20"/>
              </w:rPr>
            </m:ctrlPr>
          </m:sub>
        </m:sSub>
        <m:r>
          <m:rPr>
            <m:sty m:val="p"/>
          </m:rPr>
          <w:rPr>
            <w:rFonts w:ascii="Cambria Math" w:hAnsi="Cambria Math"/>
            <w:kern w:val="0"/>
            <w:szCs w:val="20"/>
          </w:rPr>
          <m:t>=</m:t>
        </m:r>
        <m:d>
          <m:dPr>
            <m:ctrlPr>
              <w:rPr>
                <w:rFonts w:ascii="Cambria Math" w:hAnsi="Cambria Math"/>
                <w:kern w:val="0"/>
                <w:szCs w:val="20"/>
              </w:rPr>
            </m:ctrlPr>
          </m:dPr>
          <m:e>
            <m:r>
              <m:rPr>
                <m:sty m:val="p"/>
              </m:rPr>
              <w:rPr>
                <w:rFonts w:hint="eastAsia" w:ascii="Cambria Math" w:hAnsi="Cambria Math"/>
                <w:kern w:val="0"/>
                <w:szCs w:val="20"/>
              </w:rPr>
              <m:t>转发</m:t>
            </m:r>
            <m:r>
              <m:rPr>
                <m:sty m:val="p"/>
              </m:rPr>
              <w:rPr>
                <w:rFonts w:ascii="Cambria Math" w:hAnsi="Cambria Math"/>
                <w:kern w:val="0"/>
                <w:szCs w:val="20"/>
              </w:rPr>
              <m:t>,</m:t>
            </m:r>
            <m:r>
              <m:rPr>
                <m:sty m:val="p"/>
              </m:rPr>
              <w:rPr>
                <w:rFonts w:hint="eastAsia" w:ascii="Cambria Math" w:hAnsi="Cambria Math"/>
                <w:kern w:val="0"/>
                <w:szCs w:val="20"/>
              </w:rPr>
              <m:t>复制</m:t>
            </m:r>
            <m:ctrlPr>
              <w:rPr>
                <w:rFonts w:ascii="Cambria Math" w:hAnsi="Cambria Math"/>
                <w:kern w:val="0"/>
                <w:szCs w:val="20"/>
              </w:rPr>
            </m:ctrlPr>
          </m:e>
        </m:d>
      </m:oMath>
      <w:r>
        <w:rPr>
          <w:rFonts w:hint="eastAsia" w:ascii="宋体"/>
          <w:kern w:val="0"/>
          <w:szCs w:val="20"/>
        </w:rPr>
        <w:t>，生成新的传播控制操作集合</w:t>
      </w:r>
      <m:oMath>
        <m:r>
          <m:rPr>
            <m:sty m:val="p"/>
          </m:rPr>
          <w:rPr>
            <w:rFonts w:ascii="Cambria Math" w:hAnsi="Cambria Math"/>
            <w:kern w:val="0"/>
            <w:szCs w:val="20"/>
          </w:rPr>
          <m:t>Ψ=</m:t>
        </m:r>
        <m:d>
          <m:dPr>
            <m:begChr m:val="{"/>
            <m:endChr m:val="}"/>
            <m:ctrlPr>
              <w:rPr>
                <w:rFonts w:ascii="Cambria Math" w:hAnsi="Cambria Math"/>
                <w:kern w:val="0"/>
                <w:szCs w:val="20"/>
              </w:rPr>
            </m:ctrlPr>
          </m:dPr>
          <m:e>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1</m:t>
                </m:r>
                <m:ctrlPr>
                  <w:rPr>
                    <w:rFonts w:ascii="Cambria Math" w:hAnsi="Cambria Math"/>
                    <w:kern w:val="0"/>
                    <w:szCs w:val="20"/>
                  </w:rPr>
                </m:ctrlPr>
              </m:sub>
            </m:sSub>
            <m:r>
              <m:rPr>
                <m:sty m:val="p"/>
              </m:rPr>
              <w:rPr>
                <w:rFonts w:ascii="Cambria Math" w:hAnsi="Cambria Math"/>
                <w:kern w:val="0"/>
                <w:szCs w:val="20"/>
              </w:rPr>
              <m:t>,</m:t>
            </m:r>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2</m:t>
                </m:r>
                <m:ctrlPr>
                  <w:rPr>
                    <w:rFonts w:ascii="Cambria Math" w:hAnsi="Cambria Math"/>
                    <w:kern w:val="0"/>
                    <w:szCs w:val="20"/>
                  </w:rPr>
                </m:ctrlPr>
              </m:sub>
            </m:sSub>
            <m:r>
              <m:rPr>
                <m:sty m:val="p"/>
              </m:rPr>
              <w:rPr>
                <w:rFonts w:ascii="Cambria Math" w:hAnsi="Cambria Math"/>
                <w:kern w:val="0"/>
                <w:szCs w:val="20"/>
              </w:rPr>
              <m:t>,</m:t>
            </m:r>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3</m:t>
                </m:r>
                <m:ctrlPr>
                  <w:rPr>
                    <w:rFonts w:ascii="Cambria Math" w:hAnsi="Cambria Math"/>
                    <w:kern w:val="0"/>
                    <w:szCs w:val="20"/>
                  </w:rPr>
                </m:ctrlPr>
              </m:sub>
            </m:sSub>
            <m:r>
              <m:rPr>
                <m:sty m:val="p"/>
              </m:rPr>
              <w:rPr>
                <w:rFonts w:ascii="Cambria Math" w:hAnsi="Cambria Math"/>
                <w:kern w:val="0"/>
                <w:szCs w:val="20"/>
              </w:rPr>
              <m:t>,</m:t>
            </m:r>
            <m:sSub>
              <m:sSubPr>
                <m:ctrlPr>
                  <w:rPr>
                    <w:rFonts w:ascii="Cambria Math" w:hAnsi="Cambria Math"/>
                    <w:kern w:val="0"/>
                    <w:szCs w:val="20"/>
                  </w:rPr>
                </m:ctrlPr>
              </m:sSubPr>
              <m:e>
                <m:r>
                  <m:rPr>
                    <m:sty m:val="p"/>
                  </m:rPr>
                  <w:rPr>
                    <w:rFonts w:ascii="Cambria Math" w:hAnsi="Cambria Math"/>
                    <w:kern w:val="0"/>
                    <w:szCs w:val="20"/>
                  </w:rPr>
                  <m:t>Ψ</m:t>
                </m:r>
                <m:ctrlPr>
                  <w:rPr>
                    <w:rFonts w:ascii="Cambria Math" w:hAnsi="Cambria Math"/>
                    <w:kern w:val="0"/>
                    <w:szCs w:val="20"/>
                  </w:rPr>
                </m:ctrlPr>
              </m:e>
              <m:sub>
                <m:r>
                  <m:rPr>
                    <m:sty m:val="p"/>
                  </m:rPr>
                  <w:rPr>
                    <w:rFonts w:ascii="Cambria Math" w:hAnsi="Cambria Math"/>
                    <w:kern w:val="0"/>
                    <w:szCs w:val="20"/>
                  </w:rPr>
                  <m:t>4</m:t>
                </m:r>
                <m:ctrlPr>
                  <w:rPr>
                    <w:rFonts w:ascii="Cambria Math" w:hAnsi="Cambria Math"/>
                    <w:kern w:val="0"/>
                    <w:szCs w:val="20"/>
                  </w:rPr>
                </m:ctrlPr>
              </m:sub>
            </m:sSub>
            <m:ctrlPr>
              <w:rPr>
                <w:rFonts w:ascii="Cambria Math" w:hAnsi="Cambria Math"/>
                <w:kern w:val="0"/>
                <w:szCs w:val="20"/>
              </w:rPr>
            </m:ctrlPr>
          </m:e>
        </m:d>
      </m:oMath>
      <w:r>
        <w:rPr>
          <w:rFonts w:hint="eastAsia" w:ascii="宋体"/>
          <w:kern w:val="0"/>
          <w:szCs w:val="20"/>
        </w:rPr>
        <w:t>。</w:t>
      </w:r>
    </w:p>
    <w:p w14:paraId="321248FF">
      <w:pPr>
        <w:pStyle w:val="272"/>
        <w:textAlignment w:val="center"/>
      </w:pPr>
      <w:r>
        <w:rPr>
          <w:rFonts w:hint="eastAsia"/>
        </w:rPr>
        <w:t>隐私信息六元组的生成结果如图A</w:t>
      </w:r>
      <w:r>
        <w:t>.2所示</w:t>
      </w:r>
      <w:r>
        <w:rPr>
          <w:rFonts w:hint="eastAsia"/>
        </w:rPr>
        <w:t>。识别文档中的隐私信息实体，例如：“北京市消防局”记为</w:t>
      </w:r>
      <m:oMath>
        <m:sSub>
          <m:sSubPr>
            <m:ctrlPr>
              <w:rPr>
                <w:rFonts w:hint="eastAsia" w:ascii="Cambria Math" w:hAnsi="Cambria Math"/>
                <w:i/>
                <w:iCs/>
              </w:rPr>
            </m:ctrlPr>
          </m:sSubPr>
          <m:e>
            <m:r>
              <m:rPr/>
              <w:rPr>
                <w:rFonts w:ascii="Cambria Math" w:hAnsi="Cambria Math"/>
              </w:rPr>
              <m:t>X</m:t>
            </m:r>
            <m:ctrlPr>
              <w:rPr>
                <w:rFonts w:hint="eastAsia" w:ascii="Cambria Math" w:hAnsi="Cambria Math"/>
                <w:i/>
                <w:iCs/>
              </w:rPr>
            </m:ctrlPr>
          </m:e>
          <m:sub>
            <m:r>
              <m:rPr/>
              <w:rPr>
                <w:rFonts w:ascii="Cambria Math" w:hAnsi="Cambria Math"/>
              </w:rPr>
              <m:t>1</m:t>
            </m:r>
            <m:ctrlPr>
              <w:rPr>
                <w:rFonts w:hint="eastAsia" w:ascii="Cambria Math" w:hAnsi="Cambria Math"/>
                <w:i/>
                <w:iCs/>
              </w:rPr>
            </m:ctrlPr>
          </m:sub>
        </m:sSub>
      </m:oMath>
      <w:r>
        <w:rPr>
          <w:rFonts w:hint="eastAsia"/>
        </w:rPr>
        <w:t>，</w:t>
      </w:r>
      <m:oMath>
        <m:sSub>
          <m:sSubPr>
            <m:ctrlPr>
              <w:rPr>
                <w:rFonts w:hint="eastAsia" w:ascii="Cambria Math" w:hAnsi="Cambria Math"/>
              </w:rPr>
            </m:ctrlPr>
          </m:sSubPr>
          <m:e>
            <m:r>
              <m:rPr>
                <m:sty m:val="p"/>
              </m:rPr>
              <w:rPr>
                <w:rFonts w:hint="eastAsia" w:ascii="Cambria Math" w:hAnsi="Cambria Math"/>
              </w:rPr>
              <m:t>X</m:t>
            </m:r>
            <m:ctrlPr>
              <w:rPr>
                <w:rFonts w:hint="eastAsia" w:ascii="Cambria Math" w:hAnsi="Cambria Math"/>
              </w:rPr>
            </m:ctrlPr>
          </m:e>
          <m:sub>
            <m:r>
              <m:rPr>
                <m:sty m:val="p"/>
              </m:rPr>
              <w:rPr>
                <w:rFonts w:hint="eastAsia" w:ascii="Cambria Math" w:hAnsi="Cambria Math"/>
              </w:rPr>
              <m:t>1</m:t>
            </m:r>
            <m:ctrlPr>
              <w:rPr>
                <w:rFonts w:hint="eastAsia" w:ascii="Cambria Math" w:hAnsi="Cambria Math"/>
              </w:rPr>
            </m:ctrlPr>
          </m:sub>
        </m:sSub>
      </m:oMath>
      <w:r>
        <w:rPr>
          <w:rFonts w:hint="eastAsia"/>
        </w:rPr>
        <w:t>的位置在文档中的第2页、第2段、第2行上，起始位置是3</w:t>
      </w:r>
      <w:r>
        <w:t>5</w:t>
      </w:r>
      <w:r>
        <w:rPr>
          <w:rFonts w:hint="eastAsia"/>
        </w:rPr>
        <w:t>，终止位置是4</w:t>
      </w:r>
      <w:r>
        <w:t>1</w:t>
      </w:r>
      <w:r>
        <w:rPr>
          <w:rFonts w:hint="eastAsia"/>
        </w:rPr>
        <w:t>。提取外部文本数据分类分级规则，结合使用意愿，得到其对应的隐私属性向量为</w:t>
      </w:r>
      <m:oMath>
        <m:sSub>
          <m:sSubPr>
            <m:ctrlPr>
              <w:rPr>
                <w:rFonts w:hint="eastAsia" w:ascii="Cambria Math" w:hAnsi="Cambria Math"/>
              </w:rPr>
            </m:ctrlPr>
          </m:sSubPr>
          <m:e>
            <m:r>
              <m:rPr>
                <m:sty m:val="p"/>
              </m:rPr>
              <w:rPr>
                <w:rFonts w:hint="eastAsia" w:ascii="Cambria Math" w:hAnsi="Cambria Math"/>
              </w:rPr>
              <m:t>a</m:t>
            </m:r>
            <m:ctrlPr>
              <w:rPr>
                <w:rFonts w:hint="eastAsia" w:ascii="Cambria Math" w:hAnsi="Cambria Math"/>
              </w:rPr>
            </m:ctrlPr>
          </m:e>
          <m:sub>
            <m:r>
              <m:rPr>
                <m:sty m:val="p"/>
              </m:rPr>
              <w:rPr>
                <w:rFonts w:hint="eastAsia" w:ascii="Cambria Math" w:hAnsi="Cambria Math"/>
              </w:rPr>
              <m:t>1</m:t>
            </m:r>
            <m:ctrlPr>
              <w:rPr>
                <w:rFonts w:hint="eastAsia" w:ascii="Cambria Math" w:hAnsi="Cambria Math"/>
              </w:rPr>
            </m:ctrlPr>
          </m:sub>
        </m:sSub>
        <m:r>
          <m:rPr>
            <m:sty m:val="p"/>
          </m:rPr>
          <w:rPr>
            <w:rFonts w:hint="eastAsia" w:ascii="Cambria Math" w:hAnsi="Cambria Math"/>
          </w:rPr>
          <m:t>=(</m:t>
        </m:r>
        <m:sSub>
          <m:sSubPr>
            <m:ctrlPr>
              <w:rPr>
                <w:rFonts w:hint="eastAsia" w:ascii="Cambria Math" w:hAnsi="Cambria Math"/>
                <w:i/>
                <w:iCs/>
              </w:rPr>
            </m:ctrlPr>
          </m:sSubPr>
          <m:e>
            <m:r>
              <m:rPr/>
              <w:rPr>
                <w:rFonts w:ascii="Cambria Math" w:hAnsi="Cambria Math"/>
              </w:rPr>
              <m:t>X</m:t>
            </m:r>
            <m:ctrlPr>
              <w:rPr>
                <w:rFonts w:hint="eastAsia" w:ascii="Cambria Math" w:hAnsi="Cambria Math"/>
                <w:i/>
                <w:iCs/>
              </w:rPr>
            </m:ctrlPr>
          </m:e>
          <m:sub>
            <m:r>
              <m:rPr/>
              <w:rPr>
                <w:rFonts w:ascii="Cambria Math" w:hAnsi="Cambria Math"/>
              </w:rPr>
              <m:t>1</m:t>
            </m:r>
            <m:ctrlPr>
              <w:rPr>
                <w:rFonts w:hint="eastAsia" w:ascii="Cambria Math" w:hAnsi="Cambria Math"/>
                <w:i/>
                <w:iCs/>
              </w:rPr>
            </m:ctrlPr>
          </m:sub>
        </m:sSub>
        <m:r>
          <m:rPr>
            <m:sty m:val="p"/>
          </m:rPr>
          <w:rPr>
            <w:rFonts w:ascii="Cambria Math" w:hAnsi="Cambria Math"/>
          </w:rPr>
          <m:t>,</m:t>
        </m:r>
        <m:r>
          <m:rPr>
            <m:sty m:val="p"/>
          </m:rPr>
          <w:rPr>
            <w:rFonts w:hint="eastAsia" w:ascii="Cambria Math" w:hAnsi="Cambria Math"/>
          </w:rPr>
          <m:t>0.</m:t>
        </m:r>
        <m:r>
          <m:rPr>
            <m:sty m:val="p"/>
          </m:rPr>
          <w:rPr>
            <w:rFonts w:ascii="Cambria Math" w:hAnsi="Cambria Math"/>
          </w:rPr>
          <m:t>4</m:t>
        </m:r>
        <m:r>
          <m:rPr>
            <m:sty m:val="p"/>
          </m:rPr>
          <w:rPr>
            <w:rFonts w:hint="eastAsia" w:ascii="Cambria Math" w:hAnsi="Cambria Math"/>
          </w:rPr>
          <m:t>)</m:t>
        </m:r>
      </m:oMath>
      <w:r>
        <w:rPr>
          <w:rFonts w:hint="eastAsia" w:hAnsi="Cambria Math"/>
        </w:rPr>
        <w:t>，表示隐私信息分量</w:t>
      </w:r>
      <m:oMath>
        <m:sSub>
          <m:sSubPr>
            <m:ctrlPr>
              <w:rPr>
                <w:rFonts w:hint="eastAsia" w:ascii="Cambria Math" w:hAnsi="Cambria Math"/>
              </w:rPr>
            </m:ctrlPr>
          </m:sSubPr>
          <m:e>
            <m:r>
              <m:rPr>
                <m:sty m:val="p"/>
              </m:rPr>
              <w:rPr>
                <w:rFonts w:hint="eastAsia" w:ascii="Cambria Math" w:hAnsi="Cambria Math"/>
              </w:rPr>
              <m:t>X</m:t>
            </m:r>
            <m:ctrlPr>
              <w:rPr>
                <w:rFonts w:hint="eastAsia" w:ascii="Cambria Math" w:hAnsi="Cambria Math"/>
              </w:rPr>
            </m:ctrlPr>
          </m:e>
          <m:sub>
            <m:r>
              <m:rPr>
                <m:sty m:val="p"/>
              </m:rPr>
              <w:rPr>
                <w:rFonts w:hint="eastAsia" w:ascii="Cambria Math" w:hAnsi="Cambria Math"/>
              </w:rPr>
              <m:t>1</m:t>
            </m:r>
            <m:ctrlPr>
              <w:rPr>
                <w:rFonts w:hint="eastAsia" w:ascii="Cambria Math" w:hAnsi="Cambria Math"/>
              </w:rPr>
            </m:ctrlPr>
          </m:sub>
        </m:sSub>
      </m:oMath>
      <w:r>
        <w:rPr>
          <w:rFonts w:hint="eastAsia" w:hAnsi="Cambria Math"/>
        </w:rPr>
        <w:t>的隐私属性度量结果为0.4。约束条件集合</w:t>
      </w:r>
      <m:oMath>
        <m:sSub>
          <m:sSubPr>
            <m:ctrlPr>
              <w:rPr>
                <w:rFonts w:ascii="Cambria Math" w:hAnsi="Cambria Math"/>
              </w:rPr>
            </m:ctrlPr>
          </m:sSubPr>
          <m:e>
            <m:r>
              <m:rPr/>
              <w:rPr>
                <w:rFonts w:ascii="Cambria Math" w:hAnsi="Cambria Math"/>
              </w:rPr>
              <m:t>θ</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rPr>
        <w:t>约束该文档只能在1</w:t>
      </w:r>
      <w:r>
        <w:t>97.224.*.*</w:t>
      </w:r>
      <w:r>
        <w:rPr>
          <w:rFonts w:hint="eastAsia"/>
        </w:rPr>
        <w:t>网段中被查看，并且</w:t>
      </w:r>
      <m:oMath>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hAnsi="Cambria Math"/>
        </w:rPr>
        <w:t>控制</w:t>
      </w:r>
      <w:r>
        <w:rPr>
          <w:rFonts w:hint="eastAsia"/>
        </w:rPr>
        <w:t>后续流转过程中该隐私信息分量只能被转发、复制。传播控制操作集合</w:t>
      </w:r>
      <m:oMath>
        <m:sSub>
          <m:sSubPr>
            <m:ctrlPr>
              <w:rPr>
                <w:rFonts w:ascii="Cambria Math" w:hAnsi="Cambria Math"/>
              </w:rPr>
            </m:ctrlPr>
          </m:sSubPr>
          <m:e>
            <m:r>
              <m:rPr/>
              <w:rPr>
                <w:rFonts w:ascii="Cambria Math" w:hAnsi="Cambria Math"/>
              </w:rPr>
              <m:t>ω</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UID</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r>
              <m:rPr>
                <m:sty m:val="p"/>
              </m:rPr>
              <w:rPr>
                <w:rFonts w:hint="eastAsia" w:ascii="Cambria Math" w:hAnsi="Cambria Math"/>
              </w:rPr>
              <m:t>复制</m:t>
            </m:r>
            <m:r>
              <m:rPr>
                <m:sty m:val="p"/>
              </m:rPr>
              <w:rPr>
                <w:rFonts w:ascii="Cambria Math" w:hAnsi="Cambria Math"/>
              </w:rPr>
              <m:t>,</m:t>
            </m:r>
            <m:r>
              <m:rPr>
                <m:sty m:val="p"/>
              </m:rPr>
              <w:rPr>
                <w:rFonts w:hint="eastAsia" w:ascii="Cambria Math" w:hAnsi="Cambria Math"/>
              </w:rPr>
              <m:t>转发</m:t>
            </m:r>
            <m:r>
              <m:rPr>
                <m:sty m:val="p"/>
              </m:rPr>
              <w:rPr>
                <w:rFonts w:ascii="Cambria Math" w:hAnsi="Cambria Math"/>
              </w:rPr>
              <m:t>;</m:t>
            </m:r>
            <m:sSub>
              <m:sSubPr>
                <m:ctrlPr>
                  <w:rPr>
                    <w:rFonts w:ascii="Cambria Math" w:hAnsi="Cambria Math"/>
                  </w:rPr>
                </m:ctrlPr>
              </m:sSubPr>
              <m:e>
                <m:r>
                  <m:rPr/>
                  <w:rPr>
                    <w:rFonts w:ascii="Cambria Math" w:hAnsi="Cambria Math"/>
                  </w:rPr>
                  <m:t>UID</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r>
              <m:rPr>
                <m:sty m:val="p"/>
              </m:rPr>
              <w:rPr>
                <w:rFonts w:hint="eastAsia" w:ascii="Cambria Math" w:hAnsi="Cambria Math"/>
              </w:rPr>
              <m:t>转发</m:t>
            </m:r>
            <m:r>
              <m:rPr>
                <m:sty m:val="p"/>
              </m:rPr>
              <w:rPr>
                <w:rFonts w:ascii="Cambria Math" w:hAnsi="Cambria Math"/>
              </w:rPr>
              <m:t>,</m:t>
            </m:r>
            <m:r>
              <m:rPr>
                <m:sty m:val="p"/>
              </m:rPr>
              <w:rPr>
                <w:rFonts w:hint="eastAsia" w:ascii="Cambria Math" w:hAnsi="Cambria Math"/>
              </w:rPr>
              <m:t>修改</m:t>
            </m:r>
            <m:ctrlPr>
              <w:rPr>
                <w:rFonts w:ascii="Cambria Math" w:hAnsi="Cambria Math"/>
              </w:rPr>
            </m:ctrlPr>
          </m:e>
        </m:d>
      </m:oMath>
      <w:r>
        <w:rPr>
          <w:rFonts w:hint="eastAsia"/>
        </w:rPr>
        <w:t>表示隐私信息分量“北京市消防局”先后被唯一标识为</w:t>
      </w:r>
      <m:oMath>
        <m:sSub>
          <m:sSubPr>
            <m:ctrlPr>
              <w:rPr>
                <w:rFonts w:ascii="Cambria Math" w:hAnsi="Cambria Math"/>
              </w:rPr>
            </m:ctrlPr>
          </m:sSubPr>
          <m:e>
            <m:r>
              <m:rPr/>
              <w:rPr>
                <w:rFonts w:ascii="Cambria Math" w:hAnsi="Cambria Math"/>
              </w:rPr>
              <m:t>UID</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rPr>
        <w:t>和</w:t>
      </w:r>
      <m:oMath>
        <m:sSub>
          <m:sSubPr>
            <m:ctrlPr>
              <w:rPr>
                <w:rFonts w:ascii="Cambria Math" w:hAnsi="Cambria Math"/>
              </w:rPr>
            </m:ctrlPr>
          </m:sSubPr>
          <m:e>
            <m:r>
              <m:rPr/>
              <w:rPr>
                <w:rFonts w:ascii="Cambria Math" w:hAnsi="Cambria Math"/>
              </w:rPr>
              <m:t>UID</m:t>
            </m:r>
            <m:ctrlPr>
              <w:rPr>
                <w:rFonts w:ascii="Cambria Math" w:hAnsi="Cambria Math"/>
              </w:rPr>
            </m:ctrlPr>
          </m:e>
          <m:sub>
            <m:r>
              <m:rPr>
                <m:sty m:val="p"/>
              </m:rPr>
              <w:rPr>
                <w:rFonts w:ascii="Cambria Math" w:hAnsi="Cambria Math"/>
              </w:rPr>
              <m:t>2</m:t>
            </m:r>
            <m:ctrlPr>
              <w:rPr>
                <w:rFonts w:ascii="Cambria Math" w:hAnsi="Cambria Math"/>
              </w:rPr>
            </m:ctrlPr>
          </m:sub>
        </m:sSub>
      </m:oMath>
      <w:r>
        <w:rPr>
          <w:rFonts w:hint="eastAsia"/>
        </w:rPr>
        <w:t>的用户访问和操作过，其中“</w:t>
      </w:r>
      <m:oMath>
        <m:sSub>
          <m:sSubPr>
            <m:ctrlPr>
              <w:rPr>
                <w:rFonts w:ascii="Cambria Math" w:hAnsi="Cambria Math"/>
              </w:rPr>
            </m:ctrlPr>
          </m:sSubPr>
          <m:e>
            <m:r>
              <m:rPr/>
              <w:rPr>
                <w:rFonts w:ascii="Cambria Math" w:hAnsi="Cambria Math"/>
              </w:rPr>
              <m:t>UID</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rPr>
        <w:t>，复制，转发”表示隐私信息分量“北京市消防局”被用户</w:t>
      </w:r>
      <m:oMath>
        <m:sSub>
          <m:sSubPr>
            <m:ctrlPr>
              <w:rPr>
                <w:rFonts w:ascii="Cambria Math" w:hAnsi="Cambria Math"/>
              </w:rPr>
            </m:ctrlPr>
          </m:sSubPr>
          <m:e>
            <m:r>
              <m:rPr/>
              <w:rPr>
                <w:rFonts w:ascii="Cambria Math" w:hAnsi="Cambria Math"/>
              </w:rPr>
              <m:t>UID</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rPr>
        <w:t>执行了复制、转发的操作；当该隐私信息分量传播至用户</w:t>
      </w:r>
      <m:oMath>
        <m:sSub>
          <m:sSubPr>
            <m:ctrlPr>
              <w:rPr>
                <w:rFonts w:ascii="Cambria Math" w:hAnsi="Cambria Math"/>
              </w:rPr>
            </m:ctrlPr>
          </m:sSubPr>
          <m:e>
            <m:r>
              <m:rPr/>
              <w:rPr>
                <w:rFonts w:ascii="Cambria Math" w:hAnsi="Cambria Math"/>
              </w:rPr>
              <m:t>UID</m:t>
            </m:r>
            <m:ctrlPr>
              <w:rPr>
                <w:rFonts w:ascii="Cambria Math" w:hAnsi="Cambria Math"/>
              </w:rPr>
            </m:ctrlPr>
          </m:e>
          <m:sub>
            <m:r>
              <m:rPr>
                <m:sty m:val="p"/>
              </m:rPr>
              <w:rPr>
                <w:rFonts w:ascii="Cambria Math" w:hAnsi="Cambria Math"/>
              </w:rPr>
              <m:t>2</m:t>
            </m:r>
            <m:ctrlPr>
              <w:rPr>
                <w:rFonts w:ascii="Cambria Math" w:hAnsi="Cambria Math"/>
              </w:rPr>
            </m:ctrlPr>
          </m:sub>
        </m:sSub>
      </m:oMath>
      <w:r>
        <w:rPr>
          <w:rFonts w:hint="eastAsia"/>
        </w:rPr>
        <w:t>，则被执行了转发和修改的操作。</w:t>
      </w:r>
    </w:p>
    <w:p w14:paraId="02871ACF">
      <w:pPr>
        <w:widowControl/>
        <w:autoSpaceDE w:val="0"/>
        <w:autoSpaceDN w:val="0"/>
        <w:jc w:val="center"/>
        <w:rPr>
          <w:rFonts w:ascii="宋体"/>
          <w:kern w:val="0"/>
          <w:szCs w:val="20"/>
        </w:rPr>
      </w:pPr>
    </w:p>
    <w:p w14:paraId="141C2535">
      <w:pPr>
        <w:widowControl/>
        <w:autoSpaceDE w:val="0"/>
        <w:autoSpaceDN w:val="0"/>
        <w:jc w:val="center"/>
        <w:rPr>
          <w:rFonts w:ascii="宋体"/>
          <w:kern w:val="0"/>
          <w:szCs w:val="20"/>
        </w:rPr>
      </w:pPr>
      <w:r>
        <w:rPr>
          <w:rFonts w:ascii="宋体"/>
          <w:kern w:val="0"/>
          <w:szCs w:val="20"/>
        </w:rPr>
        <w:drawing>
          <wp:inline distT="0" distB="0" distL="114300" distR="114300">
            <wp:extent cx="5295265" cy="1671320"/>
            <wp:effectExtent l="0" t="0" r="635" b="50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5324737" cy="1680648"/>
                    </a:xfrm>
                    <a:prstGeom prst="rect">
                      <a:avLst/>
                    </a:prstGeom>
                    <a:noFill/>
                    <a:ln>
                      <a:noFill/>
                    </a:ln>
                  </pic:spPr>
                </pic:pic>
              </a:graphicData>
            </a:graphic>
          </wp:inline>
        </w:drawing>
      </w:r>
    </w:p>
    <w:p w14:paraId="16CC29F7">
      <w:pPr>
        <w:jc w:val="center"/>
        <w:rPr>
          <w:rFonts w:eastAsia="黑体"/>
        </w:rPr>
      </w:pPr>
      <w:r>
        <w:rPr>
          <w:rFonts w:hint="eastAsia" w:eastAsia="黑体"/>
        </w:rPr>
        <w:t>图A</w:t>
      </w:r>
      <w:r>
        <w:rPr>
          <w:rFonts w:eastAsia="黑体"/>
        </w:rPr>
        <w:t xml:space="preserve">.2 </w:t>
      </w:r>
      <w:r>
        <w:rPr>
          <w:rFonts w:hint="eastAsia" w:eastAsia="黑体"/>
        </w:rPr>
        <w:t>Word文档隐私信息描述生成结果</w:t>
      </w:r>
    </w:p>
    <w:p w14:paraId="3172ACB1">
      <w:pPr>
        <w:pStyle w:val="325"/>
        <w:numPr>
          <w:ilvl w:val="1"/>
          <w:numId w:val="11"/>
        </w:numPr>
        <w:spacing w:before="156" w:after="156"/>
        <w:outlineLvl w:val="2"/>
      </w:pPr>
      <w:bookmarkStart w:id="768" w:name="_Toc172280914"/>
      <w:bookmarkStart w:id="769" w:name="_Toc170638829"/>
      <w:r>
        <w:rPr>
          <w:rFonts w:hint="eastAsia"/>
        </w:rPr>
        <w:t>图片类隐私信息描述生成示例</w:t>
      </w:r>
      <w:bookmarkEnd w:id="767"/>
      <w:bookmarkEnd w:id="768"/>
      <w:bookmarkEnd w:id="769"/>
    </w:p>
    <w:p w14:paraId="1757D27A">
      <w:pPr>
        <w:pStyle w:val="326"/>
        <w:numPr>
          <w:ilvl w:val="2"/>
          <w:numId w:val="11"/>
        </w:numPr>
        <w:spacing w:before="156" w:after="156"/>
      </w:pPr>
      <w:bookmarkStart w:id="770" w:name="_Toc170638830"/>
      <w:bookmarkStart w:id="771" w:name="_Toc170638296"/>
      <w:bookmarkStart w:id="772" w:name="_Toc170478333"/>
      <w:r>
        <w:rPr>
          <w:rFonts w:hint="eastAsia"/>
        </w:rPr>
        <w:t>隐私信息向量</w:t>
      </w:r>
      <w:bookmarkEnd w:id="770"/>
      <w:bookmarkEnd w:id="771"/>
      <w:bookmarkEnd w:id="772"/>
    </w:p>
    <w:p w14:paraId="1F32536F">
      <w:pPr>
        <w:pStyle w:val="272"/>
      </w:pPr>
      <w:r>
        <w:rPr>
          <w:rFonts w:hint="eastAsia"/>
        </w:rPr>
        <w:t>图片中的隐私信息向量生成过程如下：</w:t>
      </w:r>
    </w:p>
    <w:p w14:paraId="68B79D3E">
      <w:pPr>
        <w:pStyle w:val="409"/>
        <w:numPr>
          <w:ilvl w:val="0"/>
          <w:numId w:val="102"/>
        </w:numPr>
      </w:pPr>
      <w:r>
        <w:rPr>
          <w:rFonts w:hint="eastAsia"/>
        </w:rPr>
        <w:t>在图片分享过程中，图片持有者使用</w:t>
      </w:r>
      <w:r>
        <w:t>ExifTool</w:t>
      </w:r>
      <w:r>
        <w:rPr>
          <w:rFonts w:hint="eastAsia"/>
        </w:rPr>
        <w:t>、</w:t>
      </w:r>
      <w:r>
        <w:t>exifread</w:t>
      </w:r>
      <w:r>
        <w:rPr>
          <w:rFonts w:hint="eastAsia"/>
        </w:rPr>
        <w:t>等开源工具/函数库读取图片EXIF数据中的拍摄时间、拍摄经纬度、焦距等敏感信息；</w:t>
      </w:r>
    </w:p>
    <w:p w14:paraId="67183E25">
      <w:pPr>
        <w:pStyle w:val="409"/>
        <w:numPr>
          <w:ilvl w:val="0"/>
          <w:numId w:val="12"/>
        </w:numPr>
      </w:pPr>
      <w:r>
        <w:rPr>
          <w:rFonts w:hint="eastAsia"/>
        </w:rPr>
        <w:t>通过图像处理算法识别图片像素区域中的敏感内容。例如：一张图片同时出现张三和李四在医院门口下私家车，图片拍摄者为张五。其中，张三人脸、李四人脸、私家车车牌、医院标识即为敏感内容；</w:t>
      </w:r>
    </w:p>
    <w:p w14:paraId="2814FD7D">
      <w:pPr>
        <w:pStyle w:val="409"/>
        <w:numPr>
          <w:ilvl w:val="0"/>
          <w:numId w:val="12"/>
        </w:numPr>
      </w:pPr>
      <w:r>
        <w:rPr>
          <w:rFonts w:hint="eastAsia"/>
        </w:rPr>
        <w:t>将识别的敏感内容作为隐私信息分量（张三人脸、李四人脸、私家车车牌、医院标识）存储在Exif信息的I</w:t>
      </w:r>
      <w:r>
        <w:t>FD</w:t>
      </w:r>
      <w:r>
        <w:rPr>
          <w:rFonts w:hint="eastAsia"/>
        </w:rPr>
        <w:t>（Image File Directory）结构的自定义区域，命名为隐私信息分量Privacy Info Entry中。</w:t>
      </w:r>
    </w:p>
    <w:p w14:paraId="484D7B67">
      <w:pPr>
        <w:pStyle w:val="326"/>
        <w:numPr>
          <w:ilvl w:val="2"/>
          <w:numId w:val="11"/>
        </w:numPr>
        <w:spacing w:before="156" w:after="156"/>
      </w:pPr>
      <w:bookmarkStart w:id="773" w:name="_Toc170478334"/>
      <w:bookmarkStart w:id="774" w:name="_Toc170638831"/>
      <w:bookmarkStart w:id="775" w:name="_Toc170638297"/>
      <w:r>
        <w:rPr>
          <w:rFonts w:hint="eastAsia"/>
        </w:rPr>
        <w:t>约束条件集合</w:t>
      </w:r>
      <w:bookmarkEnd w:id="773"/>
      <w:bookmarkEnd w:id="774"/>
      <w:bookmarkEnd w:id="775"/>
    </w:p>
    <w:p w14:paraId="5F83F3D6">
      <w:pPr>
        <w:widowControl/>
        <w:autoSpaceDE w:val="0"/>
        <w:autoSpaceDN w:val="0"/>
        <w:ind w:firstLine="420" w:firstLineChars="200"/>
        <w:rPr>
          <w:rFonts w:ascii="宋体"/>
          <w:kern w:val="0"/>
          <w:szCs w:val="20"/>
        </w:rPr>
      </w:pPr>
      <w:r>
        <w:rPr>
          <w:rFonts w:hint="eastAsia" w:ascii="宋体"/>
          <w:kern w:val="0"/>
          <w:szCs w:val="20"/>
        </w:rPr>
        <w:t>图片中的约束条件集合生成过程如下：</w:t>
      </w:r>
    </w:p>
    <w:p w14:paraId="642E3547">
      <w:pPr>
        <w:pStyle w:val="409"/>
        <w:numPr>
          <w:ilvl w:val="0"/>
          <w:numId w:val="103"/>
        </w:numPr>
      </w:pPr>
      <w:r>
        <w:rPr>
          <w:rFonts w:hint="eastAsia"/>
        </w:rPr>
        <w:t>可通过一些外在信息判定敏感信息的约束条件，例如，图片像素的张三人脸区域、李四人脸区域、私家车车牌号区域、医院标识区域，访问者-访问客体信息</w:t>
      </w:r>
      <w:r>
        <w:t>V = {</w:t>
      </w:r>
      <w:r>
        <w:rPr>
          <w:rFonts w:hint="eastAsia"/>
        </w:rPr>
        <w:t>&lt;张五</w:t>
      </w:r>
      <w:r>
        <w:t xml:space="preserve">, </w:t>
      </w:r>
      <w:r>
        <w:rPr>
          <w:rFonts w:hint="eastAsia"/>
        </w:rPr>
        <w:t>私家车车牌号区域&gt;</w:t>
      </w:r>
      <w:r>
        <w:t>, … ,</w:t>
      </w:r>
      <w:r>
        <w:rPr>
          <w:rFonts w:hint="eastAsia"/>
        </w:rPr>
        <w:t xml:space="preserve"> &lt;赵六</w:t>
      </w:r>
      <w:r>
        <w:t xml:space="preserve">, </w:t>
      </w:r>
      <w:r>
        <w:rPr>
          <w:rFonts w:hint="eastAsia"/>
        </w:rPr>
        <w:t>医院标识区域&gt;</w:t>
      </w:r>
      <w:r>
        <w:t>}</w:t>
      </w:r>
      <w:r>
        <w:rPr>
          <w:rFonts w:hint="eastAsia"/>
        </w:rPr>
        <w:t>约束条件；</w:t>
      </w:r>
    </w:p>
    <w:p w14:paraId="5BBECB25">
      <w:pPr>
        <w:pStyle w:val="409"/>
        <w:numPr>
          <w:ilvl w:val="0"/>
          <w:numId w:val="12"/>
        </w:numPr>
      </w:pPr>
      <w:r>
        <w:rPr>
          <w:rFonts w:hint="eastAsia"/>
        </w:rPr>
        <w:t>可通过ExifTool、exifread等开源工具/函数库，将约束条件写入Exif信息的I</w:t>
      </w:r>
      <w:r>
        <w:t>FD</w:t>
      </w:r>
      <w:r>
        <w:rPr>
          <w:rFonts w:hint="eastAsia"/>
        </w:rPr>
        <w:t>结构自定义区域中的约束条件</w:t>
      </w:r>
      <w:r>
        <w:t>Constraint</w:t>
      </w:r>
      <w:r>
        <w:rPr>
          <w:rFonts w:hint="eastAsia"/>
        </w:rPr>
        <w:t xml:space="preserve"> Entry中。</w:t>
      </w:r>
    </w:p>
    <w:p w14:paraId="418428ED">
      <w:pPr>
        <w:pStyle w:val="326"/>
        <w:numPr>
          <w:ilvl w:val="2"/>
          <w:numId w:val="11"/>
        </w:numPr>
        <w:spacing w:before="156" w:after="156"/>
      </w:pPr>
      <w:bookmarkStart w:id="776" w:name="_Toc170638298"/>
      <w:bookmarkStart w:id="777" w:name="_Toc170638832"/>
      <w:bookmarkStart w:id="778" w:name="_Toc170478335"/>
      <w:r>
        <w:rPr>
          <w:rFonts w:hint="eastAsia"/>
        </w:rPr>
        <w:t>隐私属性向量</w:t>
      </w:r>
      <w:bookmarkEnd w:id="776"/>
      <w:bookmarkEnd w:id="777"/>
      <w:bookmarkEnd w:id="778"/>
    </w:p>
    <w:p w14:paraId="0622E7D0">
      <w:pPr>
        <w:widowControl/>
        <w:autoSpaceDE w:val="0"/>
        <w:autoSpaceDN w:val="0"/>
        <w:ind w:firstLine="420" w:firstLineChars="200"/>
        <w:rPr>
          <w:rFonts w:ascii="宋体"/>
          <w:kern w:val="0"/>
          <w:szCs w:val="20"/>
        </w:rPr>
      </w:pPr>
      <w:r>
        <w:rPr>
          <w:rFonts w:hint="eastAsia" w:ascii="宋体"/>
          <w:kern w:val="0"/>
          <w:szCs w:val="20"/>
        </w:rPr>
        <w:t>图片中的隐私属性向量生成过程如下：</w:t>
      </w:r>
    </w:p>
    <w:p w14:paraId="0423D6A1">
      <w:pPr>
        <w:pStyle w:val="409"/>
        <w:numPr>
          <w:ilvl w:val="0"/>
          <w:numId w:val="104"/>
        </w:numPr>
      </w:pPr>
      <w:r>
        <w:rPr>
          <w:rFonts w:hint="eastAsia"/>
        </w:rPr>
        <w:t>通过图片内容隐私检测算法、合影人员亲密度检测算法等工具识别私家车车牌号区域、张三人脸区域、赵四人脸区域、医院标识区域的敏感程度；</w:t>
      </w:r>
    </w:p>
    <w:p w14:paraId="6DED9D93">
      <w:pPr>
        <w:pStyle w:val="409"/>
        <w:numPr>
          <w:ilvl w:val="0"/>
          <w:numId w:val="12"/>
        </w:numPr>
      </w:pPr>
      <w:r>
        <w:rPr>
          <w:rFonts w:hint="eastAsia"/>
        </w:rPr>
        <w:t>根据用户的隐私需求设置图片像素的私家车车牌号区域的隐私级别为Level 1；张三人脸区域、赵四人脸区域的隐私级别为Level 2；医院标识区域为Level 3；</w:t>
      </w:r>
    </w:p>
    <w:p w14:paraId="4FC30E5B">
      <w:pPr>
        <w:pStyle w:val="409"/>
        <w:numPr>
          <w:ilvl w:val="0"/>
          <w:numId w:val="12"/>
        </w:numPr>
      </w:pPr>
      <w:r>
        <w:rPr>
          <w:rFonts w:hint="eastAsia"/>
        </w:rPr>
        <w:t>通过ExifTool、exifread等开源工具/函数库，写入在Exif信息的IFD结构的隐私属性向量Privacy Attribution Entry中。</w:t>
      </w:r>
    </w:p>
    <w:p w14:paraId="090A9FF0">
      <w:pPr>
        <w:pStyle w:val="326"/>
        <w:numPr>
          <w:ilvl w:val="2"/>
          <w:numId w:val="11"/>
        </w:numPr>
        <w:spacing w:before="156" w:after="156"/>
      </w:pPr>
      <w:bookmarkStart w:id="779" w:name="_Toc170638833"/>
      <w:bookmarkStart w:id="780" w:name="_Toc170638299"/>
      <w:bookmarkStart w:id="781" w:name="_Toc170478336"/>
      <w:r>
        <w:rPr>
          <w:rFonts w:hint="eastAsia"/>
        </w:rPr>
        <w:t>广义定位信息集合</w:t>
      </w:r>
      <w:bookmarkEnd w:id="779"/>
      <w:bookmarkEnd w:id="780"/>
      <w:bookmarkEnd w:id="781"/>
    </w:p>
    <w:p w14:paraId="77A67CB9">
      <w:pPr>
        <w:widowControl/>
        <w:autoSpaceDE w:val="0"/>
        <w:autoSpaceDN w:val="0"/>
        <w:ind w:firstLine="420" w:firstLineChars="200"/>
        <w:rPr>
          <w:rFonts w:ascii="宋体"/>
          <w:kern w:val="0"/>
          <w:szCs w:val="20"/>
        </w:rPr>
      </w:pPr>
      <w:r>
        <w:rPr>
          <w:rFonts w:hint="eastAsia" w:ascii="宋体"/>
          <w:kern w:val="0"/>
          <w:szCs w:val="20"/>
        </w:rPr>
        <w:t>图片中的广义定位信息集合生成过程如下：</w:t>
      </w:r>
    </w:p>
    <w:p w14:paraId="490BAA6F">
      <w:pPr>
        <w:pStyle w:val="409"/>
        <w:numPr>
          <w:ilvl w:val="0"/>
          <w:numId w:val="105"/>
        </w:numPr>
      </w:pPr>
      <w:r>
        <w:rPr>
          <w:rFonts w:hint="eastAsia"/>
        </w:rPr>
        <w:t>通过图像分割算法标记图片像素的张三人脸区域、李四人脸区域、私家车车牌号区域、医院标识区域，将每个区域的坐标、位置等元数据存储的EXIF Entry名称等广义定位信息；</w:t>
      </w:r>
    </w:p>
    <w:p w14:paraId="5F964D72">
      <w:pPr>
        <w:pStyle w:val="409"/>
        <w:numPr>
          <w:ilvl w:val="0"/>
          <w:numId w:val="12"/>
        </w:numPr>
      </w:pPr>
      <w:r>
        <w:rPr>
          <w:rFonts w:hint="eastAsia"/>
        </w:rPr>
        <w:t>通过ExifTool、exifread等开源工具/函数库，将这些广义定位信息记录在Exif信息的IFD结构的广义定位信息Location Entry中。</w:t>
      </w:r>
    </w:p>
    <w:p w14:paraId="2426088D">
      <w:pPr>
        <w:pStyle w:val="326"/>
        <w:numPr>
          <w:ilvl w:val="2"/>
          <w:numId w:val="11"/>
        </w:numPr>
        <w:spacing w:before="156" w:after="156"/>
      </w:pPr>
      <w:bookmarkStart w:id="782" w:name="_Toc170638834"/>
      <w:bookmarkStart w:id="783" w:name="_Toc170638300"/>
      <w:bookmarkStart w:id="784" w:name="_Toc170478337"/>
      <w:r>
        <w:rPr>
          <w:rFonts w:hint="eastAsia"/>
        </w:rPr>
        <w:t>审计控制信息集合</w:t>
      </w:r>
      <w:bookmarkEnd w:id="782"/>
      <w:bookmarkEnd w:id="783"/>
      <w:bookmarkEnd w:id="784"/>
    </w:p>
    <w:p w14:paraId="6222BF8B">
      <w:pPr>
        <w:widowControl/>
        <w:autoSpaceDE w:val="0"/>
        <w:autoSpaceDN w:val="0"/>
        <w:ind w:firstLine="420" w:firstLineChars="200"/>
        <w:rPr>
          <w:rFonts w:ascii="宋体"/>
          <w:kern w:val="0"/>
          <w:szCs w:val="20"/>
        </w:rPr>
      </w:pPr>
      <w:r>
        <w:rPr>
          <w:rFonts w:hint="eastAsia" w:ascii="宋体"/>
          <w:kern w:val="0"/>
          <w:szCs w:val="20"/>
        </w:rPr>
        <w:t>图片中的审计控制信息集合生成过程如下：</w:t>
      </w:r>
    </w:p>
    <w:p w14:paraId="6A1B2BC8">
      <w:pPr>
        <w:pStyle w:val="409"/>
        <w:numPr>
          <w:ilvl w:val="0"/>
          <w:numId w:val="106"/>
        </w:numPr>
      </w:pPr>
      <w:r>
        <w:rPr>
          <w:rFonts w:hint="eastAsia"/>
        </w:rPr>
        <w:t>将用户对图片中张三人脸区域、李四人脸区域、私家车车牌号区域、医院标识区域等隐私信息的复制、转发、滤镜、剪切等操作进行记录；</w:t>
      </w:r>
    </w:p>
    <w:p w14:paraId="2F6B9443">
      <w:pPr>
        <w:pStyle w:val="409"/>
        <w:numPr>
          <w:ilvl w:val="0"/>
          <w:numId w:val="12"/>
        </w:numPr>
      </w:pPr>
      <w:r>
        <w:rPr>
          <w:rFonts w:hint="eastAsia"/>
        </w:rPr>
        <w:t>通过ExifTool、exifread等开源工具/函数库，将记录写入IFD结构的审计控制信息Audit Entry中，审计控制操作Audit Entry下可以设置子IFD，用于动态扩充后续审计控制操作集合；</w:t>
      </w:r>
    </w:p>
    <w:p w14:paraId="4D23AACD">
      <w:pPr>
        <w:pStyle w:val="409"/>
        <w:numPr>
          <w:ilvl w:val="0"/>
          <w:numId w:val="12"/>
        </w:numPr>
      </w:pPr>
      <w:r>
        <w:rPr>
          <w:rFonts w:hint="eastAsia"/>
        </w:rPr>
        <w:t>当出现违规行为时，可通过定制程序读取所有审计控制操作，通过比对隐私信息的约束条件进行违规行为判定。</w:t>
      </w:r>
    </w:p>
    <w:p w14:paraId="6C5C59DB">
      <w:pPr>
        <w:pStyle w:val="326"/>
        <w:numPr>
          <w:ilvl w:val="2"/>
          <w:numId w:val="11"/>
        </w:numPr>
        <w:spacing w:before="156" w:after="156"/>
      </w:pPr>
      <w:bookmarkStart w:id="785" w:name="_Toc170638301"/>
      <w:bookmarkStart w:id="786" w:name="_Toc170638835"/>
      <w:bookmarkStart w:id="787" w:name="_Toc170478338"/>
      <w:r>
        <w:rPr>
          <w:rFonts w:hint="eastAsia"/>
        </w:rPr>
        <w:t>传播控制操作集合</w:t>
      </w:r>
      <w:bookmarkEnd w:id="785"/>
      <w:bookmarkEnd w:id="786"/>
      <w:bookmarkEnd w:id="787"/>
    </w:p>
    <w:p w14:paraId="2DF0092A">
      <w:pPr>
        <w:widowControl/>
        <w:autoSpaceDE w:val="0"/>
        <w:autoSpaceDN w:val="0"/>
        <w:ind w:firstLine="420" w:firstLineChars="200"/>
        <w:rPr>
          <w:rFonts w:ascii="宋体"/>
          <w:kern w:val="0"/>
          <w:szCs w:val="20"/>
        </w:rPr>
      </w:pPr>
      <w:r>
        <w:rPr>
          <w:rFonts w:hint="eastAsia" w:ascii="宋体"/>
          <w:kern w:val="0"/>
          <w:szCs w:val="20"/>
        </w:rPr>
        <w:t>图片中的传播控制操作集合生成过程如下：</w:t>
      </w:r>
    </w:p>
    <w:p w14:paraId="6C9C6B98">
      <w:pPr>
        <w:pStyle w:val="409"/>
        <w:numPr>
          <w:ilvl w:val="0"/>
          <w:numId w:val="107"/>
        </w:numPr>
      </w:pPr>
      <w:r>
        <w:rPr>
          <w:rFonts w:hint="eastAsia"/>
        </w:rPr>
        <w:t>将图片像素的张三人脸区域、李四人脸区域、私家车车牌号区域、医院标识区域的转发、删除、复制等传播操作进行记录；</w:t>
      </w:r>
    </w:p>
    <w:p w14:paraId="47D8902B">
      <w:pPr>
        <w:pStyle w:val="409"/>
        <w:numPr>
          <w:ilvl w:val="0"/>
          <w:numId w:val="12"/>
        </w:numPr>
      </w:pPr>
      <w:r>
        <w:rPr>
          <w:rFonts w:hint="eastAsia"/>
        </w:rPr>
        <w:t>通过ExifTool、exifread等开源工具/函数库，记录在Exif信息的IFD结构的传播控制操作Control Entry中，传播控制操作Control Entry下可以设置子IFD，用于动态扩充后续传播控制操作集合；</w:t>
      </w:r>
    </w:p>
    <w:p w14:paraId="5A1F9577">
      <w:pPr>
        <w:pStyle w:val="409"/>
        <w:numPr>
          <w:ilvl w:val="0"/>
          <w:numId w:val="12"/>
        </w:numPr>
      </w:pPr>
      <w:r>
        <w:rPr>
          <w:rFonts w:hint="eastAsia"/>
        </w:rPr>
        <w:t>在图片分享过程中，通过定制程序读取Control Entry信息，并根据传播控制信息对图片的传播进行控制；</w:t>
      </w:r>
    </w:p>
    <w:p w14:paraId="08B5D9E4">
      <w:pPr>
        <w:pStyle w:val="409"/>
        <w:numPr>
          <w:ilvl w:val="0"/>
          <w:numId w:val="12"/>
        </w:numPr>
      </w:pPr>
      <w:r>
        <w:rPr>
          <w:rFonts w:hint="eastAsia"/>
        </w:rPr>
        <w:t>根据已有的传播控制操作集合和约束条件集合，结合当前文档操作者的意愿，写入新的传播控制操作分量，生成新的传播控制操作集合。例如，当前的传播控制操作集合</w:t>
      </w:r>
      <m:oMath>
        <m:r>
          <m:rPr>
            <m:sty m:val="p"/>
          </m:rPr>
          <w:rPr>
            <w:rFonts w:ascii="Cambria Math" w:hAnsi="Cambria Math"/>
          </w:rPr>
          <m:t>Ψ=</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3</m:t>
                </m:r>
                <m:ctrlPr>
                  <w:rPr>
                    <w:rFonts w:ascii="Cambria Math" w:hAnsi="Cambria Math"/>
                  </w:rPr>
                </m:ctrlPr>
              </m:sub>
            </m:sSub>
            <m:ctrlPr>
              <w:rPr>
                <w:rFonts w:ascii="Cambria Math" w:hAnsi="Cambria Math"/>
              </w:rPr>
            </m:ctrlPr>
          </m:e>
        </m:d>
      </m:oMath>
      <w:r>
        <w:rPr>
          <w:rFonts w:hint="eastAsia"/>
        </w:rPr>
        <w:t>，假设当前持有者想要隐私信息分量“医院标识”只能被复制、转发，则可新增一个传播控制操作向量</w:t>
      </w:r>
      <m:oMath>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4</m:t>
            </m:r>
            <m:ctrlPr>
              <w:rPr>
                <w:rFonts w:ascii="Cambria Math" w:hAnsi="Cambria Math"/>
              </w:rPr>
            </m:ctrlPr>
          </m:sub>
        </m:sSub>
        <m:r>
          <m:rPr>
            <m:sty m:val="p"/>
          </m:rPr>
          <w:rPr>
            <w:rFonts w:ascii="Cambria Math" w:hAnsi="Cambria Math"/>
          </w:rPr>
          <m:t>=</m:t>
        </m:r>
        <m:d>
          <m:dPr>
            <m:ctrlPr>
              <w:rPr>
                <w:rFonts w:ascii="Cambria Math" w:hAnsi="Cambria Math"/>
              </w:rPr>
            </m:ctrlPr>
          </m:dPr>
          <m:e>
            <m:r>
              <m:rPr>
                <m:sty m:val="p"/>
              </m:rPr>
              <w:rPr>
                <w:rFonts w:hint="eastAsia" w:ascii="Cambria Math" w:hAnsi="Cambria Math"/>
              </w:rPr>
              <m:t>转发</m:t>
            </m:r>
            <m:r>
              <m:rPr>
                <m:sty m:val="p"/>
              </m:rPr>
              <w:rPr>
                <w:rFonts w:ascii="Cambria Math" w:hAnsi="Cambria Math"/>
              </w:rPr>
              <m:t>,</m:t>
            </m:r>
            <m:r>
              <m:rPr>
                <m:sty m:val="p"/>
              </m:rPr>
              <w:rPr>
                <w:rFonts w:hint="eastAsia" w:ascii="Cambria Math" w:hAnsi="Cambria Math"/>
              </w:rPr>
              <m:t>复制</m:t>
            </m:r>
            <m:ctrlPr>
              <w:rPr>
                <w:rFonts w:ascii="Cambria Math" w:hAnsi="Cambria Math"/>
              </w:rPr>
            </m:ctrlPr>
          </m:e>
        </m:d>
      </m:oMath>
      <w:r>
        <w:rPr>
          <w:rFonts w:hint="eastAsia"/>
        </w:rPr>
        <w:t>，生成新的传播控制操作集合</w:t>
      </w:r>
      <m:oMath>
        <m:r>
          <m:rPr>
            <m:sty m:val="p"/>
          </m:rPr>
          <w:rPr>
            <w:rFonts w:ascii="Cambria Math" w:hAnsi="Cambria Math"/>
          </w:rPr>
          <m:t>Ψ=</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Ψ</m:t>
                </m:r>
                <m:ctrlPr>
                  <w:rPr>
                    <w:rFonts w:ascii="Cambria Math" w:hAnsi="Cambria Math"/>
                  </w:rPr>
                </m:ctrlPr>
              </m:e>
              <m:sub>
                <m:r>
                  <m:rPr>
                    <m:sty m:val="p"/>
                  </m:rPr>
                  <w:rPr>
                    <w:rFonts w:ascii="Cambria Math" w:hAnsi="Cambria Math"/>
                  </w:rPr>
                  <m:t>4</m:t>
                </m:r>
                <m:ctrlPr>
                  <w:rPr>
                    <w:rFonts w:ascii="Cambria Math" w:hAnsi="Cambria Math"/>
                  </w:rPr>
                </m:ctrlPr>
              </m:sub>
            </m:sSub>
            <m:ctrlPr>
              <w:rPr>
                <w:rFonts w:ascii="Cambria Math" w:hAnsi="Cambria Math"/>
              </w:rPr>
            </m:ctrlPr>
          </m:e>
        </m:d>
      </m:oMath>
      <w:r>
        <w:rPr>
          <w:rFonts w:hint="eastAsia"/>
        </w:rPr>
        <w:t>。</w:t>
      </w:r>
    </w:p>
    <w:p w14:paraId="4374A345">
      <w:pPr>
        <w:widowControl/>
        <w:tabs>
          <w:tab w:val="left" w:pos="312"/>
        </w:tabs>
        <w:autoSpaceDE w:val="0"/>
        <w:autoSpaceDN w:val="0"/>
        <w:ind w:firstLine="200"/>
        <w:rPr>
          <w:rFonts w:ascii="宋体"/>
          <w:kern w:val="0"/>
          <w:szCs w:val="20"/>
        </w:rPr>
      </w:pPr>
    </w:p>
    <w:p w14:paraId="6CA864AE">
      <w:pPr>
        <w:widowControl/>
        <w:autoSpaceDE w:val="0"/>
        <w:autoSpaceDN w:val="0"/>
        <w:rPr>
          <w:rFonts w:ascii="宋体"/>
          <w:kern w:val="0"/>
          <w:szCs w:val="20"/>
        </w:rPr>
      </w:pPr>
      <w:r>
        <w:rPr>
          <w:rFonts w:ascii="宋体"/>
          <w:kern w:val="0"/>
          <w:szCs w:val="20"/>
        </w:rPr>
        <w:br w:type="page"/>
      </w:r>
    </w:p>
    <w:p w14:paraId="775C72F8">
      <w:pPr>
        <w:pStyle w:val="295"/>
        <w:numPr>
          <w:ilvl w:val="0"/>
          <w:numId w:val="11"/>
        </w:numPr>
        <w:spacing w:before="78" w:after="156"/>
      </w:pPr>
      <w:r>
        <w:rPr>
          <w:rFonts w:hint="eastAsia"/>
        </w:rPr>
        <w:br w:type="textWrapping"/>
      </w:r>
      <w:bookmarkStart w:id="788" w:name="_Toc170638836"/>
      <w:bookmarkStart w:id="789" w:name="_Toc172280915"/>
      <w:r>
        <w:rPr>
          <w:rFonts w:hint="eastAsia"/>
        </w:rPr>
        <w:t>（资料性）</w:t>
      </w:r>
      <w:r>
        <w:rPr>
          <w:rFonts w:hint="eastAsia"/>
        </w:rPr>
        <w:br w:type="textWrapping"/>
      </w:r>
      <w:r>
        <w:rPr>
          <w:rFonts w:hint="eastAsia"/>
        </w:rPr>
        <w:t>迭代延伸控制示例</w:t>
      </w:r>
      <w:bookmarkEnd w:id="788"/>
      <w:bookmarkEnd w:id="789"/>
    </w:p>
    <w:p w14:paraId="30B3895C">
      <w:pPr>
        <w:pStyle w:val="325"/>
        <w:numPr>
          <w:ilvl w:val="1"/>
          <w:numId w:val="11"/>
        </w:numPr>
        <w:spacing w:before="156" w:after="156"/>
        <w:outlineLvl w:val="2"/>
      </w:pPr>
      <w:bookmarkStart w:id="790" w:name="_Toc168943388"/>
      <w:bookmarkEnd w:id="790"/>
      <w:bookmarkStart w:id="791" w:name="_Toc168943275"/>
      <w:bookmarkEnd w:id="791"/>
      <w:bookmarkStart w:id="792" w:name="_Toc168948424"/>
      <w:bookmarkEnd w:id="792"/>
      <w:bookmarkStart w:id="793" w:name="_Toc168943274"/>
      <w:bookmarkEnd w:id="793"/>
      <w:bookmarkStart w:id="794" w:name="_Toc168948538"/>
      <w:bookmarkEnd w:id="794"/>
      <w:bookmarkStart w:id="795" w:name="_Toc168948129"/>
      <w:bookmarkEnd w:id="795"/>
      <w:bookmarkStart w:id="796" w:name="_Toc168947940"/>
      <w:bookmarkEnd w:id="796"/>
      <w:bookmarkStart w:id="797" w:name="_Toc168948128"/>
      <w:bookmarkEnd w:id="797"/>
      <w:bookmarkStart w:id="798" w:name="_Toc168948541"/>
      <w:bookmarkEnd w:id="798"/>
      <w:bookmarkStart w:id="799" w:name="_Toc168948263"/>
      <w:bookmarkEnd w:id="799"/>
      <w:bookmarkStart w:id="800" w:name="_Toc168947937"/>
      <w:bookmarkEnd w:id="800"/>
      <w:bookmarkStart w:id="801" w:name="_Toc168947938"/>
      <w:bookmarkEnd w:id="801"/>
      <w:bookmarkStart w:id="802" w:name="_Toc168942346"/>
      <w:bookmarkEnd w:id="802"/>
      <w:bookmarkStart w:id="803" w:name="_Toc168943277"/>
      <w:bookmarkEnd w:id="803"/>
      <w:bookmarkStart w:id="804" w:name="_Toc168948269"/>
      <w:bookmarkEnd w:id="804"/>
      <w:bookmarkStart w:id="805" w:name="_Toc168947943"/>
      <w:bookmarkEnd w:id="805"/>
      <w:bookmarkStart w:id="806" w:name="_Toc168943394"/>
      <w:bookmarkEnd w:id="806"/>
      <w:bookmarkStart w:id="807" w:name="_Toc168942352"/>
      <w:bookmarkEnd w:id="807"/>
      <w:bookmarkStart w:id="808" w:name="_Toc168948656"/>
      <w:bookmarkEnd w:id="808"/>
      <w:bookmarkStart w:id="809" w:name="_Toc168943390"/>
      <w:bookmarkEnd w:id="809"/>
      <w:bookmarkStart w:id="810" w:name="_Toc168948654"/>
      <w:bookmarkEnd w:id="810"/>
      <w:bookmarkStart w:id="811" w:name="_Toc168943281"/>
      <w:bookmarkEnd w:id="811"/>
      <w:bookmarkStart w:id="812" w:name="_Toc168948266"/>
      <w:bookmarkEnd w:id="812"/>
      <w:bookmarkStart w:id="813" w:name="_Toc168947941"/>
      <w:bookmarkEnd w:id="813"/>
      <w:bookmarkStart w:id="814" w:name="_Toc168948265"/>
      <w:bookmarkEnd w:id="814"/>
      <w:bookmarkStart w:id="815" w:name="_Toc168948659"/>
      <w:bookmarkEnd w:id="815"/>
      <w:bookmarkStart w:id="816" w:name="_Toc168943392"/>
      <w:bookmarkEnd w:id="816"/>
      <w:bookmarkStart w:id="817" w:name="_Toc168943389"/>
      <w:bookmarkEnd w:id="817"/>
      <w:bookmarkStart w:id="818" w:name="_Toc168948422"/>
      <w:bookmarkEnd w:id="818"/>
      <w:bookmarkStart w:id="819" w:name="_Toc168947939"/>
      <w:bookmarkEnd w:id="819"/>
      <w:bookmarkStart w:id="820" w:name="_Toc168948539"/>
      <w:bookmarkEnd w:id="820"/>
      <w:bookmarkStart w:id="821" w:name="_Toc168948267"/>
      <w:bookmarkEnd w:id="821"/>
      <w:bookmarkStart w:id="822" w:name="_Toc168942351"/>
      <w:bookmarkEnd w:id="822"/>
      <w:bookmarkStart w:id="823" w:name="_Toc168943391"/>
      <w:bookmarkEnd w:id="823"/>
      <w:bookmarkStart w:id="824" w:name="_Toc168948127"/>
      <w:bookmarkEnd w:id="824"/>
      <w:bookmarkStart w:id="825" w:name="_Toc167949493"/>
      <w:bookmarkEnd w:id="825"/>
      <w:bookmarkStart w:id="826" w:name="_Toc168948421"/>
      <w:bookmarkEnd w:id="826"/>
      <w:bookmarkStart w:id="827" w:name="_Toc168948270"/>
      <w:bookmarkEnd w:id="827"/>
      <w:bookmarkStart w:id="828" w:name="_Toc168947944"/>
      <w:bookmarkEnd w:id="828"/>
      <w:bookmarkStart w:id="829" w:name="_Toc168948131"/>
      <w:bookmarkEnd w:id="829"/>
      <w:bookmarkStart w:id="830" w:name="_Toc167949492"/>
      <w:bookmarkEnd w:id="830"/>
      <w:bookmarkStart w:id="831" w:name="_Toc168943395"/>
      <w:bookmarkEnd w:id="831"/>
      <w:bookmarkStart w:id="832" w:name="_Toc167918041"/>
      <w:bookmarkEnd w:id="832"/>
      <w:bookmarkStart w:id="833" w:name="_Toc168948268"/>
      <w:bookmarkEnd w:id="833"/>
      <w:bookmarkStart w:id="834" w:name="_Toc168942348"/>
      <w:bookmarkEnd w:id="834"/>
      <w:bookmarkStart w:id="835" w:name="_Toc168948423"/>
      <w:bookmarkEnd w:id="835"/>
      <w:bookmarkStart w:id="836" w:name="_Toc167918042"/>
      <w:bookmarkEnd w:id="836"/>
      <w:bookmarkStart w:id="837" w:name="_Toc168943280"/>
      <w:bookmarkEnd w:id="837"/>
      <w:bookmarkStart w:id="838" w:name="_Toc168948425"/>
      <w:bookmarkEnd w:id="838"/>
      <w:bookmarkStart w:id="839" w:name="_Toc168948130"/>
      <w:bookmarkEnd w:id="839"/>
      <w:bookmarkStart w:id="840" w:name="_Toc168948660"/>
      <w:bookmarkEnd w:id="840"/>
      <w:bookmarkStart w:id="841" w:name="_Toc168947942"/>
      <w:bookmarkEnd w:id="841"/>
      <w:bookmarkStart w:id="842" w:name="_Toc168942347"/>
      <w:bookmarkEnd w:id="842"/>
      <w:bookmarkStart w:id="843" w:name="_Toc167914882"/>
      <w:bookmarkEnd w:id="843"/>
      <w:bookmarkStart w:id="844" w:name="_Toc167915575"/>
      <w:bookmarkEnd w:id="844"/>
      <w:bookmarkStart w:id="845" w:name="_Toc168948658"/>
      <w:bookmarkEnd w:id="845"/>
      <w:bookmarkStart w:id="846" w:name="_Toc168942349"/>
      <w:bookmarkEnd w:id="846"/>
      <w:bookmarkStart w:id="847" w:name="_Toc168948540"/>
      <w:bookmarkEnd w:id="847"/>
      <w:bookmarkStart w:id="848" w:name="_Toc168948662"/>
      <w:bookmarkEnd w:id="848"/>
      <w:bookmarkStart w:id="849" w:name="_Toc168948125"/>
      <w:bookmarkEnd w:id="849"/>
      <w:bookmarkStart w:id="850" w:name="_Toc168948264"/>
      <w:bookmarkEnd w:id="850"/>
      <w:bookmarkStart w:id="851" w:name="_Toc168948428"/>
      <w:bookmarkEnd w:id="851"/>
      <w:bookmarkStart w:id="852" w:name="_Toc168948426"/>
      <w:bookmarkEnd w:id="852"/>
      <w:bookmarkStart w:id="853" w:name="_Toc167949495"/>
      <w:bookmarkEnd w:id="853"/>
      <w:bookmarkStart w:id="854" w:name="_Toc168943278"/>
      <w:bookmarkEnd w:id="854"/>
      <w:bookmarkStart w:id="855" w:name="_Toc167914892"/>
      <w:bookmarkEnd w:id="855"/>
      <w:bookmarkStart w:id="856" w:name="_Toc168948543"/>
      <w:bookmarkEnd w:id="856"/>
      <w:bookmarkStart w:id="857" w:name="_Toc167918045"/>
      <w:bookmarkEnd w:id="857"/>
      <w:bookmarkStart w:id="858" w:name="_Toc167918046"/>
      <w:bookmarkEnd w:id="858"/>
      <w:bookmarkStart w:id="859" w:name="_Toc168948427"/>
      <w:bookmarkEnd w:id="859"/>
      <w:bookmarkStart w:id="860" w:name="_Toc167914886"/>
      <w:bookmarkEnd w:id="860"/>
      <w:bookmarkStart w:id="861" w:name="_Toc168948542"/>
      <w:bookmarkEnd w:id="861"/>
      <w:bookmarkStart w:id="862" w:name="_Toc167915577"/>
      <w:bookmarkEnd w:id="862"/>
      <w:bookmarkStart w:id="863" w:name="_Toc167915585"/>
      <w:bookmarkEnd w:id="863"/>
      <w:bookmarkStart w:id="864" w:name="_Toc168942353"/>
      <w:bookmarkEnd w:id="864"/>
      <w:bookmarkStart w:id="865" w:name="_Toc167914880"/>
      <w:bookmarkEnd w:id="865"/>
      <w:bookmarkStart w:id="866" w:name="_Toc167914887"/>
      <w:bookmarkEnd w:id="866"/>
      <w:bookmarkStart w:id="867" w:name="_Toc167949499"/>
      <w:bookmarkEnd w:id="867"/>
      <w:bookmarkStart w:id="868" w:name="_Toc167915587"/>
      <w:bookmarkEnd w:id="868"/>
      <w:bookmarkStart w:id="869" w:name="_Toc167918040"/>
      <w:bookmarkEnd w:id="869"/>
      <w:bookmarkStart w:id="870" w:name="_Toc167915578"/>
      <w:bookmarkEnd w:id="870"/>
      <w:bookmarkStart w:id="871" w:name="_Toc168943393"/>
      <w:bookmarkEnd w:id="871"/>
      <w:bookmarkStart w:id="872" w:name="_Toc167949500"/>
      <w:bookmarkEnd w:id="872"/>
      <w:bookmarkStart w:id="873" w:name="_Toc167949494"/>
      <w:bookmarkEnd w:id="873"/>
      <w:bookmarkStart w:id="874" w:name="_Toc167949491"/>
      <w:bookmarkEnd w:id="874"/>
      <w:bookmarkStart w:id="875" w:name="_Toc168942350"/>
      <w:bookmarkEnd w:id="875"/>
      <w:bookmarkStart w:id="876" w:name="_Toc167915573"/>
      <w:bookmarkEnd w:id="876"/>
      <w:bookmarkStart w:id="877" w:name="_Toc168948271"/>
      <w:bookmarkEnd w:id="877"/>
      <w:bookmarkStart w:id="878" w:name="_Toc168948133"/>
      <w:bookmarkEnd w:id="878"/>
      <w:bookmarkStart w:id="879" w:name="_Toc167915580"/>
      <w:bookmarkEnd w:id="879"/>
      <w:bookmarkStart w:id="880" w:name="_Toc168948545"/>
      <w:bookmarkEnd w:id="880"/>
      <w:bookmarkStart w:id="881" w:name="_Toc168943279"/>
      <w:bookmarkEnd w:id="881"/>
      <w:bookmarkStart w:id="882" w:name="_Toc167949502"/>
      <w:bookmarkEnd w:id="882"/>
      <w:bookmarkStart w:id="883" w:name="_Toc167918039"/>
      <w:bookmarkEnd w:id="883"/>
      <w:bookmarkStart w:id="884" w:name="_Toc168948657"/>
      <w:bookmarkEnd w:id="884"/>
      <w:bookmarkStart w:id="885" w:name="_Toc167914893"/>
      <w:bookmarkEnd w:id="885"/>
      <w:bookmarkStart w:id="886" w:name="_Toc167835729"/>
      <w:bookmarkEnd w:id="886"/>
      <w:bookmarkStart w:id="887" w:name="_Toc167914889"/>
      <w:bookmarkEnd w:id="887"/>
      <w:bookmarkStart w:id="888" w:name="_Toc167915582"/>
      <w:bookmarkEnd w:id="888"/>
      <w:bookmarkStart w:id="889" w:name="_Toc167915584"/>
      <w:bookmarkEnd w:id="889"/>
      <w:bookmarkStart w:id="890" w:name="_Toc168943282"/>
      <w:bookmarkEnd w:id="890"/>
      <w:bookmarkStart w:id="891" w:name="_Toc167915576"/>
      <w:bookmarkEnd w:id="891"/>
      <w:bookmarkStart w:id="892" w:name="_Toc167918050"/>
      <w:bookmarkEnd w:id="892"/>
      <w:bookmarkStart w:id="893" w:name="_Toc167918043"/>
      <w:bookmarkEnd w:id="893"/>
      <w:bookmarkStart w:id="894" w:name="_Toc167918047"/>
      <w:bookmarkEnd w:id="894"/>
      <w:bookmarkStart w:id="895" w:name="_Toc167918044"/>
      <w:bookmarkEnd w:id="895"/>
      <w:bookmarkStart w:id="896" w:name="_Toc167949498"/>
      <w:bookmarkEnd w:id="896"/>
      <w:bookmarkStart w:id="897" w:name="_Toc168948132"/>
      <w:bookmarkEnd w:id="897"/>
      <w:bookmarkStart w:id="898" w:name="_Toc167914890"/>
      <w:bookmarkEnd w:id="898"/>
      <w:bookmarkStart w:id="899" w:name="_Toc167915583"/>
      <w:bookmarkEnd w:id="899"/>
      <w:bookmarkStart w:id="900" w:name="_Toc167949497"/>
      <w:bookmarkEnd w:id="900"/>
      <w:bookmarkStart w:id="901" w:name="_Toc167918038"/>
      <w:bookmarkEnd w:id="901"/>
      <w:bookmarkStart w:id="902" w:name="_Toc167949503"/>
      <w:bookmarkEnd w:id="902"/>
      <w:bookmarkStart w:id="903" w:name="_Toc168943396"/>
      <w:bookmarkEnd w:id="903"/>
      <w:bookmarkStart w:id="904" w:name="_Toc167914883"/>
      <w:bookmarkEnd w:id="904"/>
      <w:bookmarkStart w:id="905" w:name="_Toc168948544"/>
      <w:bookmarkEnd w:id="905"/>
      <w:bookmarkStart w:id="906" w:name="_Toc167949496"/>
      <w:bookmarkEnd w:id="906"/>
      <w:bookmarkStart w:id="907" w:name="_Toc167949490"/>
      <w:bookmarkEnd w:id="907"/>
      <w:bookmarkStart w:id="908" w:name="_Toc167914881"/>
      <w:bookmarkEnd w:id="908"/>
      <w:bookmarkStart w:id="909" w:name="_Toc168947945"/>
      <w:bookmarkEnd w:id="909"/>
      <w:bookmarkStart w:id="910" w:name="_Toc167915579"/>
      <w:bookmarkEnd w:id="910"/>
      <w:bookmarkStart w:id="911" w:name="_Toc168948661"/>
      <w:bookmarkEnd w:id="911"/>
      <w:bookmarkStart w:id="912" w:name="_Toc167914884"/>
      <w:bookmarkEnd w:id="912"/>
      <w:bookmarkStart w:id="913" w:name="_Toc167914885"/>
      <w:bookmarkEnd w:id="913"/>
      <w:bookmarkStart w:id="914" w:name="_Toc167918049"/>
      <w:bookmarkEnd w:id="914"/>
      <w:bookmarkStart w:id="915" w:name="_Toc167918051"/>
      <w:bookmarkEnd w:id="915"/>
      <w:bookmarkStart w:id="916" w:name="_Toc167914879"/>
      <w:bookmarkEnd w:id="916"/>
      <w:bookmarkStart w:id="917" w:name="_Toc167949501"/>
      <w:bookmarkEnd w:id="917"/>
      <w:bookmarkStart w:id="918" w:name="_Toc168948262"/>
      <w:bookmarkEnd w:id="918"/>
      <w:bookmarkStart w:id="919" w:name="_Toc168948655"/>
      <w:bookmarkEnd w:id="919"/>
      <w:bookmarkStart w:id="920" w:name="_Toc168948419"/>
      <w:bookmarkEnd w:id="920"/>
      <w:bookmarkStart w:id="921" w:name="_Toc167914888"/>
      <w:bookmarkEnd w:id="921"/>
      <w:bookmarkStart w:id="922" w:name="_Toc168943273"/>
      <w:bookmarkEnd w:id="922"/>
      <w:bookmarkStart w:id="923" w:name="_Toc168948124"/>
      <w:bookmarkEnd w:id="923"/>
      <w:bookmarkStart w:id="924" w:name="_Toc168943387"/>
      <w:bookmarkEnd w:id="924"/>
      <w:bookmarkStart w:id="925" w:name="_Toc167918052"/>
      <w:bookmarkEnd w:id="925"/>
      <w:bookmarkStart w:id="926" w:name="_Toc168943276"/>
      <w:bookmarkEnd w:id="926"/>
      <w:bookmarkStart w:id="927" w:name="_Toc168948537"/>
      <w:bookmarkEnd w:id="927"/>
      <w:bookmarkStart w:id="928" w:name="_Toc168947936"/>
      <w:bookmarkEnd w:id="928"/>
      <w:bookmarkStart w:id="929" w:name="_Toc168942345"/>
      <w:bookmarkEnd w:id="929"/>
      <w:bookmarkStart w:id="930" w:name="_Toc167915586"/>
      <w:bookmarkEnd w:id="930"/>
      <w:bookmarkStart w:id="931" w:name="_Toc168948420"/>
      <w:bookmarkEnd w:id="931"/>
      <w:bookmarkStart w:id="932" w:name="_Toc168942344"/>
      <w:bookmarkEnd w:id="932"/>
      <w:bookmarkStart w:id="933" w:name="_Toc167949504"/>
      <w:bookmarkEnd w:id="933"/>
      <w:bookmarkStart w:id="934" w:name="_Toc167802559"/>
      <w:bookmarkEnd w:id="934"/>
      <w:bookmarkStart w:id="935" w:name="_Toc168948126"/>
      <w:bookmarkEnd w:id="935"/>
      <w:bookmarkStart w:id="936" w:name="_Toc167915581"/>
      <w:bookmarkEnd w:id="936"/>
      <w:bookmarkStart w:id="937" w:name="_Toc167918048"/>
      <w:bookmarkEnd w:id="937"/>
      <w:bookmarkStart w:id="938" w:name="_Toc167915574"/>
      <w:bookmarkEnd w:id="938"/>
      <w:bookmarkStart w:id="939" w:name="_Toc167914891"/>
      <w:bookmarkEnd w:id="939"/>
      <w:bookmarkStart w:id="940" w:name="_Toc170465292"/>
      <w:bookmarkStart w:id="941" w:name="_Toc170459735"/>
      <w:bookmarkStart w:id="942" w:name="_Toc170478340"/>
      <w:bookmarkStart w:id="943" w:name="_Toc170638837"/>
      <w:bookmarkStart w:id="944" w:name="_Toc172280916"/>
      <w:r>
        <w:rPr>
          <w:rFonts w:hint="eastAsia"/>
        </w:rPr>
        <w:t>概述</w:t>
      </w:r>
      <w:bookmarkEnd w:id="940"/>
      <w:bookmarkEnd w:id="941"/>
      <w:bookmarkEnd w:id="942"/>
      <w:bookmarkEnd w:id="943"/>
      <w:bookmarkEnd w:id="944"/>
    </w:p>
    <w:p w14:paraId="72A94C3C">
      <w:pPr>
        <w:pStyle w:val="272"/>
      </w:pPr>
      <w:r>
        <w:rPr>
          <w:rFonts w:hint="eastAsia"/>
        </w:rPr>
        <w:t>迭代延伸控制，通过延伸控制策略的协同，确保不同隐私信息处理者能对接收到的隐私信息提供合适的保护能力，避免因数据流通与共享导致隐私泄露。迭代延伸控制主要包括迭代控制策略生成、控制策略可控传递、控制策略动态调整、控制策略可信验证等环节。</w:t>
      </w:r>
    </w:p>
    <w:p w14:paraId="63DE9461">
      <w:pPr>
        <w:pStyle w:val="272"/>
      </w:pPr>
      <w:r>
        <w:rPr>
          <w:rFonts w:hint="eastAsia"/>
        </w:rPr>
        <w:t>延伸控制策略根据隐私信息所有者或隐私信息提供者的控制意图、当前隐私信息使用者的控制约束和隐私信息接收者的隐私保护能力等因素生成。延伸控制策略在全生命周期中是动态调整的，且随着隐私信息同步流转传递。迭代延伸控制贯穿于隐私信息从收集到删除的全过程。此外，在数据流通与共享过程中，需要对其关联的延伸控制策略进行存证，以支撑迭代延伸控制的合规审查、异常溯源。</w:t>
      </w:r>
    </w:p>
    <w:p w14:paraId="6CEF2D5E">
      <w:pPr>
        <w:pStyle w:val="272"/>
      </w:pPr>
      <w:r>
        <w:rPr>
          <w:rFonts w:hint="eastAsia"/>
        </w:rPr>
        <w:t>数据交易场景下的信息脱敏迭代延伸控制流程如图B</w:t>
      </w:r>
      <w:r>
        <w:t>.1</w:t>
      </w:r>
      <w:r>
        <w:rPr>
          <w:rFonts w:hint="eastAsia"/>
        </w:rPr>
        <w:t>所示，具体表述如下：</w:t>
      </w:r>
    </w:p>
    <w:p w14:paraId="2EAC7113">
      <w:pPr>
        <w:pStyle w:val="272"/>
        <w:numPr>
          <w:ilvl w:val="0"/>
          <w:numId w:val="108"/>
        </w:numPr>
        <w:ind w:left="840" w:leftChars="200" w:hanging="420" w:hangingChars="200"/>
        <w:rPr>
          <w:szCs w:val="22"/>
        </w:rPr>
      </w:pPr>
      <w:r>
        <w:rPr>
          <w:szCs w:val="22"/>
        </w:rPr>
        <w:t>隐私信息</w:t>
      </w:r>
      <w:r>
        <w:rPr>
          <w:rFonts w:hint="eastAsia"/>
          <w:szCs w:val="22"/>
        </w:rPr>
        <w:t>提供</w:t>
      </w:r>
      <w:r>
        <w:rPr>
          <w:szCs w:val="22"/>
        </w:rPr>
        <w:t>者A，通过数据交易流程将包含延伸控制策略的隐私信息集合传递给</w:t>
      </w:r>
      <w:r>
        <w:rPr>
          <w:rFonts w:hint="eastAsia"/>
          <w:szCs w:val="22"/>
        </w:rPr>
        <w:t>隐私信息接收者</w:t>
      </w:r>
      <w:r>
        <w:rPr>
          <w:szCs w:val="22"/>
        </w:rPr>
        <w:t>B。因为延伸控制策略中脱敏控制约束，B接收</w:t>
      </w:r>
      <w:r>
        <w:rPr>
          <w:rFonts w:hint="eastAsia"/>
          <w:szCs w:val="22"/>
        </w:rPr>
        <w:t>到</w:t>
      </w:r>
      <w:r>
        <w:rPr>
          <w:szCs w:val="22"/>
        </w:rPr>
        <w:t>的信息量小于等于A原始信息的信息量；</w:t>
      </w:r>
    </w:p>
    <w:p w14:paraId="287ABE8B">
      <w:pPr>
        <w:pStyle w:val="272"/>
        <w:numPr>
          <w:ilvl w:val="0"/>
          <w:numId w:val="108"/>
        </w:numPr>
        <w:ind w:left="840" w:leftChars="200" w:hanging="420" w:hangingChars="200"/>
        <w:rPr>
          <w:szCs w:val="22"/>
        </w:rPr>
      </w:pPr>
      <w:r>
        <w:rPr>
          <w:szCs w:val="22"/>
        </w:rPr>
        <w:t>隐私信息接收者B，根据A传递的延伸控制策略对数据集进行脱敏、使用、存储等操作。当B</w:t>
      </w:r>
      <w:r>
        <w:rPr>
          <w:rFonts w:hint="eastAsia"/>
          <w:szCs w:val="22"/>
        </w:rPr>
        <w:t>向隐私信息接收者</w:t>
      </w:r>
      <w:r>
        <w:rPr>
          <w:szCs w:val="22"/>
        </w:rPr>
        <w:t>C</w:t>
      </w:r>
      <w:r>
        <w:rPr>
          <w:rFonts w:hint="eastAsia"/>
          <w:szCs w:val="22"/>
        </w:rPr>
        <w:t>和D分别提供隐私信息时，根据C和D的应用场景、隐私保护能力等因素，更新生成新的延伸控制策略，并随数据集交付给C和D。</w:t>
      </w:r>
    </w:p>
    <w:p w14:paraId="07ECAFC5">
      <w:pPr>
        <w:pStyle w:val="272"/>
        <w:numPr>
          <w:ilvl w:val="0"/>
          <w:numId w:val="109"/>
        </w:numPr>
        <w:ind w:left="1260" w:leftChars="400" w:hanging="420" w:hangingChars="200"/>
      </w:pPr>
      <w:r>
        <w:rPr>
          <w:rFonts w:hint="eastAsia"/>
        </w:rPr>
        <w:t>C和D本地脱敏后信息量一致，但由于延伸控制策略内容的不同，导致可实际使用的信息量不一致；</w:t>
      </w:r>
    </w:p>
    <w:p w14:paraId="1E1FC0CE">
      <w:pPr>
        <w:pStyle w:val="272"/>
        <w:numPr>
          <w:ilvl w:val="0"/>
          <w:numId w:val="109"/>
        </w:numPr>
        <w:ind w:left="1260" w:leftChars="400" w:hanging="420" w:hangingChars="200"/>
      </w:pPr>
      <w:r>
        <w:rPr>
          <w:rFonts w:hint="eastAsia"/>
        </w:rPr>
        <w:t>由于脱敏策略的不同，C和D本地脱敏后信息量不一致。</w:t>
      </w:r>
    </w:p>
    <w:p w14:paraId="43346711">
      <w:pPr>
        <w:pStyle w:val="272"/>
        <w:numPr>
          <w:ilvl w:val="0"/>
          <w:numId w:val="108"/>
        </w:numPr>
        <w:ind w:left="840" w:leftChars="200" w:hanging="420" w:hangingChars="200"/>
        <w:rPr>
          <w:szCs w:val="22"/>
        </w:rPr>
      </w:pPr>
      <w:r>
        <w:rPr>
          <w:rFonts w:hint="eastAsia"/>
          <w:szCs w:val="22"/>
        </w:rPr>
        <w:t>C和D后续的数据交易流程，以此类推。</w:t>
      </w:r>
    </w:p>
    <w:p w14:paraId="4C62D4E9">
      <w:pPr>
        <w:pStyle w:val="272"/>
        <w:jc w:val="center"/>
      </w:pPr>
      <w:r>
        <w:drawing>
          <wp:inline distT="0" distB="0" distL="0" distR="0">
            <wp:extent cx="2873375" cy="2698750"/>
            <wp:effectExtent l="0" t="0" r="0" b="0"/>
            <wp:docPr id="12802377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37756"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77885" cy="2702953"/>
                    </a:xfrm>
                    <a:prstGeom prst="rect">
                      <a:avLst/>
                    </a:prstGeom>
                    <a:noFill/>
                    <a:ln>
                      <a:noFill/>
                    </a:ln>
                  </pic:spPr>
                </pic:pic>
              </a:graphicData>
            </a:graphic>
          </wp:inline>
        </w:drawing>
      </w:r>
    </w:p>
    <w:p w14:paraId="068ED167">
      <w:pPr>
        <w:jc w:val="center"/>
        <w:rPr>
          <w:rFonts w:eastAsia="黑体"/>
        </w:rPr>
      </w:pPr>
      <w:r>
        <w:rPr>
          <w:rFonts w:hint="eastAsia" w:eastAsia="黑体"/>
        </w:rPr>
        <w:t>图</w:t>
      </w:r>
      <w:r>
        <w:rPr>
          <w:rFonts w:eastAsia="黑体"/>
        </w:rPr>
        <w:t>B</w:t>
      </w:r>
      <w:r>
        <w:rPr>
          <w:rFonts w:hint="eastAsia" w:eastAsia="黑体"/>
        </w:rPr>
        <w:t>.</w:t>
      </w:r>
      <w:r>
        <w:rPr>
          <w:rFonts w:eastAsia="黑体"/>
        </w:rPr>
        <w:t xml:space="preserve">1 </w:t>
      </w:r>
      <w:r>
        <w:rPr>
          <w:rFonts w:hint="eastAsia" w:eastAsia="黑体"/>
        </w:rPr>
        <w:t>脱敏延伸控制流程示意图</w:t>
      </w:r>
    </w:p>
    <w:p w14:paraId="30041F55">
      <w:pPr>
        <w:pStyle w:val="325"/>
        <w:numPr>
          <w:ilvl w:val="1"/>
          <w:numId w:val="11"/>
        </w:numPr>
        <w:spacing w:before="156" w:after="156"/>
        <w:outlineLvl w:val="2"/>
      </w:pPr>
      <w:bookmarkStart w:id="945" w:name="_Toc170465293"/>
      <w:bookmarkStart w:id="946" w:name="_Toc170478341"/>
      <w:bookmarkStart w:id="947" w:name="_Toc170459736"/>
      <w:bookmarkStart w:id="948" w:name="_Toc172280917"/>
      <w:bookmarkStart w:id="949" w:name="_Toc170638838"/>
      <w:r>
        <w:rPr>
          <w:rFonts w:hint="eastAsia"/>
        </w:rPr>
        <w:t>隐私信息全生命周期中的</w:t>
      </w:r>
      <w:bookmarkEnd w:id="945"/>
      <w:bookmarkEnd w:id="946"/>
      <w:bookmarkEnd w:id="947"/>
      <w:bookmarkStart w:id="950" w:name="_Toc170478342"/>
      <w:bookmarkStart w:id="951" w:name="_Toc170465294"/>
      <w:bookmarkStart w:id="952" w:name="_Toc170459737"/>
      <w:r>
        <w:rPr>
          <w:rFonts w:hint="eastAsia"/>
        </w:rPr>
        <w:t>迭代延伸控制</w:t>
      </w:r>
      <w:bookmarkEnd w:id="948"/>
      <w:bookmarkEnd w:id="949"/>
      <w:bookmarkEnd w:id="950"/>
      <w:bookmarkEnd w:id="951"/>
      <w:bookmarkEnd w:id="952"/>
    </w:p>
    <w:p w14:paraId="2932BB39">
      <w:pPr>
        <w:pStyle w:val="272"/>
      </w:pPr>
      <w:r>
        <w:rPr>
          <w:rFonts w:hint="eastAsia"/>
        </w:rPr>
        <w:t>本节通过数据交易场景示例（如图B.</w:t>
      </w:r>
      <w:r>
        <w:t>1</w:t>
      </w:r>
      <w:r>
        <w:rPr>
          <w:rFonts w:hint="eastAsia"/>
        </w:rPr>
        <w:t>所示），介绍迭代延伸控制在隐私信息全生命周期中从收集到删除的过程中所发挥的作用。</w:t>
      </w:r>
    </w:p>
    <w:p w14:paraId="1A454E27">
      <w:pPr>
        <w:pStyle w:val="272"/>
        <w:numPr>
          <w:ilvl w:val="0"/>
          <w:numId w:val="110"/>
        </w:numPr>
        <w:ind w:left="840" w:leftChars="200" w:hanging="420" w:hangingChars="200"/>
        <w:rPr>
          <w:szCs w:val="22"/>
        </w:rPr>
      </w:pPr>
      <w:r>
        <w:rPr>
          <w:rFonts w:hint="eastAsia"/>
          <w:szCs w:val="22"/>
        </w:rPr>
        <w:t>收集操作，隐私信息收集者A以六元组的形式描述采集原始隐私信息，生成隐私信息描述。隐私信息描述包含初始的延伸控制策略。例如：隐私信息描述六元组中的传播控制操作集合，可对该隐私信息的共享范围进行约束；</w:t>
      </w:r>
    </w:p>
    <w:p w14:paraId="6FD3FCD7">
      <w:pPr>
        <w:pStyle w:val="272"/>
        <w:numPr>
          <w:ilvl w:val="0"/>
          <w:numId w:val="110"/>
        </w:numPr>
        <w:ind w:left="840" w:leftChars="200" w:hanging="420" w:hangingChars="200"/>
        <w:rPr>
          <w:szCs w:val="22"/>
        </w:rPr>
      </w:pPr>
      <w:r>
        <w:rPr>
          <w:rFonts w:hint="eastAsia"/>
          <w:szCs w:val="22"/>
        </w:rPr>
        <w:t>脱敏操作，隐私信息收集者A根据隐私信息描述、应用场景等因素，生成延伸控制策略，并据此对原始隐私信息进行场景自适应的按需脱敏；</w:t>
      </w:r>
    </w:p>
    <w:p w14:paraId="3297B9AB">
      <w:pPr>
        <w:pStyle w:val="272"/>
        <w:numPr>
          <w:ilvl w:val="0"/>
          <w:numId w:val="110"/>
        </w:numPr>
        <w:ind w:left="840" w:leftChars="200" w:hanging="420" w:hangingChars="200"/>
        <w:rPr>
          <w:szCs w:val="22"/>
        </w:rPr>
      </w:pPr>
      <w:r>
        <w:rPr>
          <w:rFonts w:hint="eastAsia"/>
          <w:szCs w:val="22"/>
        </w:rPr>
        <w:t>存储操作，隐私信息收集者A可根据隐私信息所有者要求的存储时间、删除方式等生成删除相关的延伸控制策略，保障隐私信息所有者的删除权；</w:t>
      </w:r>
    </w:p>
    <w:p w14:paraId="01BAAED0">
      <w:pPr>
        <w:pStyle w:val="272"/>
        <w:numPr>
          <w:ilvl w:val="0"/>
          <w:numId w:val="110"/>
        </w:numPr>
        <w:ind w:left="840" w:leftChars="200" w:hanging="420" w:hangingChars="200"/>
        <w:rPr>
          <w:szCs w:val="22"/>
        </w:rPr>
      </w:pPr>
      <w:r>
        <w:rPr>
          <w:rFonts w:hint="eastAsia"/>
          <w:szCs w:val="22"/>
        </w:rPr>
        <w:t>使用操作，隐私信息收集者A在延伸控制策略中的使用约束下，对隐私信息进行受控使用；</w:t>
      </w:r>
    </w:p>
    <w:p w14:paraId="71D1254C">
      <w:pPr>
        <w:pStyle w:val="272"/>
        <w:numPr>
          <w:ilvl w:val="0"/>
          <w:numId w:val="110"/>
        </w:numPr>
        <w:ind w:left="840" w:leftChars="200" w:hanging="420" w:hangingChars="200"/>
        <w:rPr>
          <w:szCs w:val="22"/>
        </w:rPr>
      </w:pPr>
      <w:r>
        <w:rPr>
          <w:rFonts w:hint="eastAsia"/>
          <w:szCs w:val="22"/>
        </w:rPr>
        <w:t>交换操作，隐私信息收集者A和隐私信息接收者B启动数据交易流程。A根据隐私数据模态、应用场景以及隐私信息接收方B的隐私保护能力等因素，调整更新延伸控制策略，并执行控制策略可控传递，将隐私信息及延伸控制策略交付给B。B通过数据交易流程，结合延伸控制策略，再将数据分别转售于C和D。后续的数据交易流程以此类推;</w:t>
      </w:r>
    </w:p>
    <w:p w14:paraId="7F90B63D">
      <w:pPr>
        <w:pStyle w:val="272"/>
        <w:numPr>
          <w:ilvl w:val="0"/>
          <w:numId w:val="110"/>
        </w:numPr>
        <w:ind w:left="840" w:leftChars="200" w:hanging="420" w:hangingChars="200"/>
        <w:rPr>
          <w:szCs w:val="22"/>
        </w:rPr>
      </w:pPr>
      <w:r>
        <w:rPr>
          <w:rFonts w:hint="eastAsia"/>
          <w:szCs w:val="22"/>
        </w:rPr>
        <w:t>删除操作，隐私信息收集者A收到隐私信息所有者的删除请求，通过迭代延伸控制机制，通知B、C、D，以及其他相关的隐私信息处理者采取合适的删除方法，删除相关的删除对象。</w:t>
      </w:r>
    </w:p>
    <w:p w14:paraId="6DAC4D00">
      <w:pPr>
        <w:pStyle w:val="325"/>
        <w:numPr>
          <w:ilvl w:val="1"/>
          <w:numId w:val="11"/>
        </w:numPr>
        <w:spacing w:before="156" w:after="156"/>
        <w:outlineLvl w:val="2"/>
        <w:rPr>
          <w:szCs w:val="22"/>
        </w:rPr>
      </w:pPr>
      <w:bookmarkStart w:id="953" w:name="_Toc170459738"/>
      <w:bookmarkEnd w:id="953"/>
      <w:bookmarkStart w:id="954" w:name="_Toc170465295"/>
      <w:bookmarkEnd w:id="954"/>
      <w:bookmarkStart w:id="955" w:name="_Toc170478343"/>
      <w:bookmarkEnd w:id="955"/>
      <w:bookmarkStart w:id="956" w:name="_Toc170459739"/>
      <w:bookmarkStart w:id="957" w:name="_Toc172280918"/>
      <w:bookmarkStart w:id="958" w:name="_Toc170638839"/>
      <w:bookmarkStart w:id="959" w:name="_Toc170465296"/>
      <w:bookmarkStart w:id="960" w:name="_Toc170478344"/>
      <w:r>
        <w:rPr>
          <w:rFonts w:hint="eastAsia"/>
          <w:szCs w:val="22"/>
        </w:rPr>
        <w:t>脱敏延伸控制</w:t>
      </w:r>
      <w:bookmarkEnd w:id="956"/>
      <w:bookmarkEnd w:id="957"/>
      <w:bookmarkEnd w:id="958"/>
      <w:bookmarkEnd w:id="959"/>
      <w:bookmarkEnd w:id="960"/>
    </w:p>
    <w:p w14:paraId="0612E92C">
      <w:pPr>
        <w:pStyle w:val="272"/>
      </w:pPr>
      <w:r>
        <w:rPr>
          <w:rFonts w:hint="eastAsia"/>
        </w:rPr>
        <w:t>脱敏延伸控制关注隐私信息跨域流转场景下，相关隐私信息处理者对接收到的原始隐私信息开展脱敏操作管理和控制工作，包括脱敏延伸控制策略的生成、脱敏延伸控制策略的可控传递、脱敏延伸控制策略的动态调整、脱敏延伸控制策略可信验证等步骤。其过程如图</w:t>
      </w:r>
      <w:r>
        <w:t>B.2</w:t>
      </w:r>
      <w:r>
        <w:rPr>
          <w:rFonts w:hint="eastAsia"/>
        </w:rPr>
        <w:t>所示。实现脱敏延伸控制的关键环节如下：</w:t>
      </w:r>
    </w:p>
    <w:p w14:paraId="1E87ED51">
      <w:pPr>
        <w:pStyle w:val="272"/>
        <w:numPr>
          <w:ilvl w:val="0"/>
          <w:numId w:val="111"/>
        </w:numPr>
        <w:ind w:left="840" w:leftChars="200" w:hanging="420" w:hangingChars="200"/>
        <w:rPr>
          <w:szCs w:val="22"/>
        </w:rPr>
      </w:pPr>
      <m:oMath>
        <m:r>
          <m:rPr>
            <m:sty m:val="p"/>
          </m:rPr>
          <w:rPr>
            <w:rFonts w:hint="eastAsia" w:ascii="Cambria Math" w:hAnsi="Cambria Math"/>
            <w:szCs w:val="22"/>
          </w:rPr>
          <m:t>脱敏延伸控制策略的生成：</m:t>
        </m:r>
      </m:oMath>
    </w:p>
    <w:p w14:paraId="5FA7F5F8">
      <w:pPr>
        <w:pStyle w:val="272"/>
        <w:numPr>
          <w:ilvl w:val="0"/>
          <w:numId w:val="112"/>
        </w:numPr>
        <w:ind w:left="1260" w:leftChars="400" w:hanging="420" w:hangingChars="200"/>
        <w:rPr>
          <w:szCs w:val="22"/>
        </w:rPr>
      </w:pPr>
      <w:r>
        <w:rPr>
          <w:rFonts w:hint="eastAsia"/>
          <w:szCs w:val="22"/>
        </w:rPr>
        <w:t>当个人信息源域接收到用户的脱敏需求时，通过隐私信息所有者或前序隐私信息提供者导入脱敏需求，明确脱敏数据范围、脱敏目的、敏感信息类型等关键要素，并利用隐私信息流转历史记录，查询相关隐私信息的流转历史，以确定脱敏延伸的覆盖范围；</w:t>
      </w:r>
    </w:p>
    <w:p w14:paraId="4994181D">
      <w:pPr>
        <w:pStyle w:val="272"/>
        <w:numPr>
          <w:ilvl w:val="0"/>
          <w:numId w:val="112"/>
        </w:numPr>
        <w:ind w:left="1260" w:leftChars="400" w:hanging="420" w:hangingChars="200"/>
        <w:rPr>
          <w:szCs w:val="22"/>
        </w:rPr>
      </w:pPr>
      <w:r>
        <w:rPr>
          <w:rFonts w:hint="eastAsia"/>
          <w:szCs w:val="22"/>
        </w:rPr>
        <w:t>基于查询结果，生成脱敏延伸控制策略。这一过程中，需明确脱敏算法选择、脱敏的详细要求，并执行初步的数据脱敏处理，为后续的脱敏延伸奠定基础。</w:t>
      </w:r>
    </w:p>
    <w:p w14:paraId="516DF563">
      <w:pPr>
        <w:pStyle w:val="272"/>
        <w:numPr>
          <w:ilvl w:val="0"/>
          <w:numId w:val="111"/>
        </w:numPr>
        <w:ind w:left="840" w:leftChars="200" w:hanging="420" w:hangingChars="200"/>
        <w:rPr>
          <w:szCs w:val="22"/>
        </w:rPr>
      </w:pPr>
      <w:r>
        <w:rPr>
          <w:rFonts w:hint="eastAsia"/>
          <w:szCs w:val="22"/>
        </w:rPr>
        <w:t>脱敏延伸控制策略的可控传递：</w:t>
      </w:r>
    </w:p>
    <w:p w14:paraId="026BC38A">
      <w:pPr>
        <w:pStyle w:val="272"/>
        <w:numPr>
          <w:ilvl w:val="0"/>
          <w:numId w:val="113"/>
        </w:numPr>
        <w:ind w:left="1260" w:leftChars="400" w:hanging="420" w:hangingChars="200"/>
        <w:rPr>
          <w:szCs w:val="22"/>
        </w:rPr>
      </w:pPr>
      <w:r>
        <w:rPr>
          <w:rFonts w:hint="eastAsia"/>
          <w:szCs w:val="22"/>
        </w:rPr>
        <w:t>采用消息验证码或数字签名等技术，对流转分发的隐私信息及其相关的脱敏延伸控制策略进行处理，保证在隐私信息提供者和隐私信息接收者之间传递过程中的完整性、机密性、不可剥离性和不可抵赖性；</w:t>
      </w:r>
    </w:p>
    <w:p w14:paraId="7B39402C">
      <w:pPr>
        <w:pStyle w:val="272"/>
        <w:numPr>
          <w:ilvl w:val="0"/>
          <w:numId w:val="113"/>
        </w:numPr>
        <w:ind w:left="1260" w:leftChars="400" w:hanging="420" w:hangingChars="200"/>
        <w:rPr>
          <w:szCs w:val="22"/>
        </w:rPr>
      </w:pPr>
      <w:r>
        <w:rPr>
          <w:rFonts w:hint="eastAsia"/>
          <w:szCs w:val="22"/>
        </w:rPr>
        <w:t>当后继隐私信息处理者接收到脱敏延伸控制策略后，需要按照策略要求更新自身的处理策略，并执行相应的脱敏操作。</w:t>
      </w:r>
    </w:p>
    <w:p w14:paraId="5E5FDD48">
      <w:pPr>
        <w:pStyle w:val="272"/>
        <w:numPr>
          <w:ilvl w:val="0"/>
          <w:numId w:val="111"/>
        </w:numPr>
        <w:ind w:left="840" w:leftChars="200" w:hanging="420" w:hangingChars="200"/>
        <w:rPr>
          <w:szCs w:val="22"/>
        </w:rPr>
      </w:pPr>
      <w:r>
        <w:rPr>
          <w:rFonts w:hint="eastAsia"/>
          <w:szCs w:val="22"/>
        </w:rPr>
        <w:t>脱敏延伸控制策略的可信验证：</w:t>
      </w:r>
    </w:p>
    <w:p w14:paraId="1EB90952">
      <w:pPr>
        <w:pStyle w:val="272"/>
        <w:numPr>
          <w:ilvl w:val="0"/>
          <w:numId w:val="114"/>
        </w:numPr>
        <w:ind w:left="1260" w:leftChars="400" w:hanging="420" w:hangingChars="200"/>
        <w:rPr>
          <w:szCs w:val="22"/>
        </w:rPr>
      </w:pPr>
      <w:r>
        <w:rPr>
          <w:rFonts w:hint="eastAsia"/>
          <w:szCs w:val="22"/>
        </w:rPr>
        <w:t>采用逐级回传机制，确保每个数据使用实体在正确执行脱敏操作后，能够返回不可伪造的可信验证信息；</w:t>
      </w:r>
    </w:p>
    <w:p w14:paraId="3BA7536D">
      <w:pPr>
        <w:pStyle w:val="272"/>
        <w:numPr>
          <w:ilvl w:val="0"/>
          <w:numId w:val="114"/>
        </w:numPr>
        <w:ind w:left="1260" w:leftChars="400" w:hanging="420" w:hangingChars="200"/>
        <w:rPr>
          <w:szCs w:val="22"/>
        </w:rPr>
      </w:pPr>
      <w:r>
        <w:rPr>
          <w:rFonts w:hint="eastAsia"/>
          <w:szCs w:val="22"/>
        </w:rPr>
        <w:t>隐私信息所有者负责收集并分析这些验证信息，确保整个脱敏延伸过程的可靠性和有效性；</w:t>
      </w:r>
    </w:p>
    <w:p w14:paraId="1D383EC3">
      <w:pPr>
        <w:pStyle w:val="272"/>
        <w:numPr>
          <w:ilvl w:val="0"/>
          <w:numId w:val="114"/>
        </w:numPr>
        <w:ind w:left="1260" w:leftChars="400" w:hanging="420" w:hangingChars="200"/>
        <w:rPr>
          <w:szCs w:val="22"/>
        </w:rPr>
      </w:pPr>
      <w:r>
        <w:rPr>
          <w:rFonts w:hint="eastAsia"/>
          <w:szCs w:val="22"/>
        </w:rPr>
        <w:t>一旦完成所有验证，形成此次脱敏延伸控制事件的闭环，确保整个过程的可追溯性和可审计性。</w:t>
      </w:r>
    </w:p>
    <w:p w14:paraId="11CC813B">
      <w:pPr>
        <w:pStyle w:val="272"/>
        <w:ind w:firstLine="0" w:firstLineChars="0"/>
        <w:jc w:val="center"/>
      </w:pPr>
      <w:r>
        <w:drawing>
          <wp:inline distT="0" distB="0" distL="0" distR="0">
            <wp:extent cx="4719320" cy="7407275"/>
            <wp:effectExtent l="0" t="0" r="5080" b="3175"/>
            <wp:docPr id="1636069088" name="图片 163606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69088" name="图片 16360690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748926" cy="7453765"/>
                    </a:xfrm>
                    <a:prstGeom prst="rect">
                      <a:avLst/>
                    </a:prstGeom>
                    <a:noFill/>
                    <a:ln>
                      <a:noFill/>
                    </a:ln>
                  </pic:spPr>
                </pic:pic>
              </a:graphicData>
            </a:graphic>
          </wp:inline>
        </w:drawing>
      </w:r>
    </w:p>
    <w:p w14:paraId="6D86655C">
      <w:pPr>
        <w:spacing w:before="156" w:beforeLines="50"/>
        <w:jc w:val="center"/>
        <w:rPr>
          <w:rFonts w:eastAsia="黑体"/>
        </w:rPr>
      </w:pPr>
      <w:r>
        <w:rPr>
          <w:rFonts w:hint="eastAsia" w:eastAsia="黑体"/>
        </w:rPr>
        <w:t>图</w:t>
      </w:r>
      <w:r>
        <w:rPr>
          <w:rFonts w:eastAsia="黑体"/>
        </w:rPr>
        <w:t xml:space="preserve">B.2 </w:t>
      </w:r>
      <w:r>
        <w:rPr>
          <w:rFonts w:hint="eastAsia" w:eastAsia="黑体"/>
        </w:rPr>
        <w:t>脱敏延伸控制流程示意图</w:t>
      </w:r>
    </w:p>
    <w:p w14:paraId="57EB6BB6">
      <w:pPr>
        <w:pStyle w:val="272"/>
        <w:numPr>
          <w:ilvl w:val="0"/>
          <w:numId w:val="111"/>
        </w:numPr>
        <w:ind w:left="840" w:leftChars="200" w:hanging="420" w:hangingChars="200"/>
        <w:rPr>
          <w:szCs w:val="22"/>
        </w:rPr>
      </w:pPr>
      <w:bookmarkStart w:id="961" w:name="_Hlk170376913"/>
      <w:r>
        <w:rPr>
          <w:rFonts w:hint="eastAsia"/>
          <w:szCs w:val="22"/>
        </w:rPr>
        <w:t>脱敏延伸控制策略的动态调整：</w:t>
      </w:r>
    </w:p>
    <w:p w14:paraId="7D901787">
      <w:pPr>
        <w:pStyle w:val="272"/>
        <w:numPr>
          <w:ilvl w:val="0"/>
          <w:numId w:val="115"/>
        </w:numPr>
        <w:ind w:left="1260" w:leftChars="400" w:hanging="420" w:hangingChars="200"/>
        <w:rPr>
          <w:szCs w:val="22"/>
        </w:rPr>
      </w:pPr>
      <w:r>
        <w:rPr>
          <w:rFonts w:hint="eastAsia"/>
          <w:szCs w:val="22"/>
        </w:rPr>
        <w:t>在脱敏延伸控制策略传递和执行过程中，若发现任何异常或不符合预期的情况，如策略传递失败、验证信息回传异常等，需要立即启动动态调整机制；</w:t>
      </w:r>
    </w:p>
    <w:p w14:paraId="1BE3A442">
      <w:pPr>
        <w:pStyle w:val="272"/>
        <w:numPr>
          <w:ilvl w:val="0"/>
          <w:numId w:val="115"/>
        </w:numPr>
        <w:ind w:left="1260" w:leftChars="400" w:hanging="420" w:hangingChars="200"/>
        <w:rPr>
          <w:szCs w:val="22"/>
        </w:rPr>
      </w:pPr>
      <w:r>
        <w:rPr>
          <w:rFonts w:hint="eastAsia"/>
          <w:szCs w:val="22"/>
        </w:rPr>
        <w:t>根据异常信息，对脱敏延伸控制策略进行必要的修改和调整，以确保整个脱敏延伸过程的顺利进行；</w:t>
      </w:r>
    </w:p>
    <w:p w14:paraId="07214887">
      <w:pPr>
        <w:pStyle w:val="272"/>
        <w:numPr>
          <w:ilvl w:val="0"/>
          <w:numId w:val="115"/>
        </w:numPr>
        <w:ind w:left="1260" w:leftChars="400" w:hanging="420" w:hangingChars="200"/>
        <w:rPr>
          <w:szCs w:val="22"/>
        </w:rPr>
      </w:pPr>
      <w:r>
        <w:rPr>
          <w:rFonts w:hint="eastAsia"/>
          <w:szCs w:val="22"/>
        </w:rPr>
        <w:t>通过通知重传、策略更新等手段，确保所有相关数据使用实体能够及时接收到最新的脱敏延伸控制策略，并执行相应的操作；</w:t>
      </w:r>
    </w:p>
    <w:p w14:paraId="22E820A3">
      <w:pPr>
        <w:pStyle w:val="272"/>
        <w:numPr>
          <w:ilvl w:val="0"/>
          <w:numId w:val="115"/>
        </w:numPr>
        <w:ind w:left="1260" w:leftChars="400" w:hanging="420" w:hangingChars="200"/>
        <w:rPr>
          <w:szCs w:val="22"/>
        </w:rPr>
      </w:pPr>
      <w:r>
        <w:rPr>
          <w:rFonts w:hint="eastAsia"/>
          <w:szCs w:val="22"/>
        </w:rPr>
        <w:t>当继续往后序隐私信息接收者共享信息时，脱敏延伸控制策略的动态调整过程依次类推。</w:t>
      </w:r>
    </w:p>
    <w:bookmarkEnd w:id="961"/>
    <w:p w14:paraId="3E38CC88">
      <w:pPr>
        <w:pStyle w:val="325"/>
        <w:numPr>
          <w:ilvl w:val="1"/>
          <w:numId w:val="11"/>
        </w:numPr>
        <w:spacing w:before="156" w:after="156"/>
        <w:outlineLvl w:val="2"/>
      </w:pPr>
      <w:bookmarkStart w:id="962" w:name="_Toc170465299"/>
      <w:bookmarkEnd w:id="962"/>
      <w:bookmarkStart w:id="963" w:name="_Toc170478349"/>
      <w:bookmarkEnd w:id="963"/>
      <w:bookmarkStart w:id="964" w:name="_Toc170478351"/>
      <w:bookmarkEnd w:id="964"/>
      <w:bookmarkStart w:id="965" w:name="_Toc170465297"/>
      <w:bookmarkEnd w:id="965"/>
      <w:bookmarkStart w:id="966" w:name="_Toc170459741"/>
      <w:bookmarkEnd w:id="966"/>
      <w:bookmarkStart w:id="967" w:name="_Toc170478348"/>
      <w:bookmarkEnd w:id="967"/>
      <w:bookmarkStart w:id="968" w:name="_Toc170459745"/>
      <w:bookmarkEnd w:id="968"/>
      <w:bookmarkStart w:id="969" w:name="_Toc170459749"/>
      <w:bookmarkEnd w:id="969"/>
      <w:bookmarkStart w:id="970" w:name="_Toc170465302"/>
      <w:bookmarkEnd w:id="970"/>
      <w:bookmarkStart w:id="971" w:name="_Toc170478350"/>
      <w:bookmarkEnd w:id="971"/>
      <w:bookmarkStart w:id="972" w:name="_Toc170459747"/>
      <w:bookmarkEnd w:id="972"/>
      <w:bookmarkStart w:id="973" w:name="_Toc170459746"/>
      <w:bookmarkEnd w:id="973"/>
      <w:bookmarkStart w:id="974" w:name="_Toc170459743"/>
      <w:bookmarkEnd w:id="974"/>
      <w:bookmarkStart w:id="975" w:name="_Toc170465301"/>
      <w:bookmarkEnd w:id="975"/>
      <w:bookmarkStart w:id="976" w:name="_Toc170478352"/>
      <w:bookmarkEnd w:id="976"/>
      <w:bookmarkStart w:id="977" w:name="_Toc170465304"/>
      <w:bookmarkEnd w:id="977"/>
      <w:bookmarkStart w:id="978" w:name="_Toc170459742"/>
      <w:bookmarkEnd w:id="978"/>
      <w:bookmarkStart w:id="979" w:name="_Toc170465298"/>
      <w:bookmarkEnd w:id="979"/>
      <w:bookmarkStart w:id="980" w:name="_Toc170465303"/>
      <w:bookmarkEnd w:id="980"/>
      <w:bookmarkStart w:id="981" w:name="_Toc170459740"/>
      <w:bookmarkEnd w:id="981"/>
      <w:bookmarkStart w:id="982" w:name="_Toc170465305"/>
      <w:bookmarkEnd w:id="982"/>
      <w:bookmarkStart w:id="983" w:name="_Toc170465300"/>
      <w:bookmarkEnd w:id="983"/>
      <w:bookmarkStart w:id="984" w:name="_Toc170478347"/>
      <w:bookmarkEnd w:id="984"/>
      <w:bookmarkStart w:id="985" w:name="_Toc170459748"/>
      <w:bookmarkEnd w:id="985"/>
      <w:bookmarkStart w:id="986" w:name="_Toc170478354"/>
      <w:bookmarkEnd w:id="986"/>
      <w:bookmarkStart w:id="987" w:name="_Toc170478345"/>
      <w:bookmarkEnd w:id="987"/>
      <w:bookmarkStart w:id="988" w:name="_Toc170459750"/>
      <w:bookmarkEnd w:id="988"/>
      <w:bookmarkStart w:id="989" w:name="_Toc170478353"/>
      <w:bookmarkEnd w:id="989"/>
      <w:bookmarkStart w:id="990" w:name="_Toc170459744"/>
      <w:bookmarkEnd w:id="990"/>
      <w:bookmarkStart w:id="991" w:name="_Toc170478346"/>
      <w:bookmarkEnd w:id="991"/>
      <w:bookmarkStart w:id="992" w:name="_Toc170465306"/>
      <w:bookmarkEnd w:id="992"/>
      <w:bookmarkStart w:id="993" w:name="_Toc170478362"/>
      <w:bookmarkEnd w:id="993"/>
      <w:bookmarkStart w:id="994" w:name="_Toc170465313"/>
      <w:bookmarkEnd w:id="994"/>
      <w:bookmarkStart w:id="995" w:name="_Toc170478363"/>
      <w:bookmarkEnd w:id="995"/>
      <w:bookmarkStart w:id="996" w:name="_Toc170478358"/>
      <w:bookmarkEnd w:id="996"/>
      <w:bookmarkStart w:id="997" w:name="_Toc170465316"/>
      <w:bookmarkEnd w:id="997"/>
      <w:bookmarkStart w:id="998" w:name="_Toc170478355"/>
      <w:bookmarkEnd w:id="998"/>
      <w:bookmarkStart w:id="999" w:name="_Toc170459760"/>
      <w:bookmarkEnd w:id="999"/>
      <w:bookmarkStart w:id="1000" w:name="_Toc170465309"/>
      <w:bookmarkEnd w:id="1000"/>
      <w:bookmarkStart w:id="1001" w:name="_Toc170478364"/>
      <w:bookmarkEnd w:id="1001"/>
      <w:bookmarkStart w:id="1002" w:name="_Toc170465315"/>
      <w:bookmarkEnd w:id="1002"/>
      <w:bookmarkStart w:id="1003" w:name="_Toc170459756"/>
      <w:bookmarkEnd w:id="1003"/>
      <w:bookmarkStart w:id="1004" w:name="_Toc170459759"/>
      <w:bookmarkEnd w:id="1004"/>
      <w:bookmarkStart w:id="1005" w:name="_Toc170459754"/>
      <w:bookmarkEnd w:id="1005"/>
      <w:bookmarkStart w:id="1006" w:name="_Toc170465314"/>
      <w:bookmarkEnd w:id="1006"/>
      <w:bookmarkStart w:id="1007" w:name="_Toc170478360"/>
      <w:bookmarkEnd w:id="1007"/>
      <w:bookmarkStart w:id="1008" w:name="_Toc170465308"/>
      <w:bookmarkEnd w:id="1008"/>
      <w:bookmarkStart w:id="1009" w:name="_Toc170478361"/>
      <w:bookmarkEnd w:id="1009"/>
      <w:bookmarkStart w:id="1010" w:name="_Toc170465310"/>
      <w:bookmarkEnd w:id="1010"/>
      <w:bookmarkStart w:id="1011" w:name="_Toc170465307"/>
      <w:bookmarkEnd w:id="1011"/>
      <w:bookmarkStart w:id="1012" w:name="_Toc170459752"/>
      <w:bookmarkEnd w:id="1012"/>
      <w:bookmarkStart w:id="1013" w:name="_Toc170478356"/>
      <w:bookmarkEnd w:id="1013"/>
      <w:bookmarkStart w:id="1014" w:name="_Toc170459757"/>
      <w:bookmarkEnd w:id="1014"/>
      <w:bookmarkStart w:id="1015" w:name="_Toc170459758"/>
      <w:bookmarkEnd w:id="1015"/>
      <w:bookmarkStart w:id="1016" w:name="_Toc170459751"/>
      <w:bookmarkEnd w:id="1016"/>
      <w:bookmarkStart w:id="1017" w:name="_Toc170459755"/>
      <w:bookmarkEnd w:id="1017"/>
      <w:bookmarkStart w:id="1018" w:name="_Toc170459753"/>
      <w:bookmarkEnd w:id="1018"/>
      <w:bookmarkStart w:id="1019" w:name="_Toc170478359"/>
      <w:bookmarkEnd w:id="1019"/>
      <w:bookmarkStart w:id="1020" w:name="_Toc170465317"/>
      <w:bookmarkEnd w:id="1020"/>
      <w:bookmarkStart w:id="1021" w:name="_Toc170465312"/>
      <w:bookmarkEnd w:id="1021"/>
      <w:bookmarkStart w:id="1022" w:name="_Toc170465320"/>
      <w:bookmarkEnd w:id="1022"/>
      <w:bookmarkStart w:id="1023" w:name="_Toc170478365"/>
      <w:bookmarkEnd w:id="1023"/>
      <w:bookmarkStart w:id="1024" w:name="_Toc170465321"/>
      <w:bookmarkEnd w:id="1024"/>
      <w:bookmarkStart w:id="1025" w:name="_Toc170459771"/>
      <w:bookmarkEnd w:id="1025"/>
      <w:bookmarkStart w:id="1026" w:name="_Toc170478374"/>
      <w:bookmarkEnd w:id="1026"/>
      <w:bookmarkStart w:id="1027" w:name="_Toc170465311"/>
      <w:bookmarkEnd w:id="1027"/>
      <w:bookmarkStart w:id="1028" w:name="_Toc170478357"/>
      <w:bookmarkEnd w:id="1028"/>
      <w:bookmarkStart w:id="1029" w:name="_Toc170459766"/>
      <w:bookmarkEnd w:id="1029"/>
      <w:bookmarkStart w:id="1030" w:name="_Toc170478369"/>
      <w:bookmarkEnd w:id="1030"/>
      <w:bookmarkStart w:id="1031" w:name="_Toc170465328"/>
      <w:bookmarkEnd w:id="1031"/>
      <w:bookmarkStart w:id="1032" w:name="_Toc170459769"/>
      <w:bookmarkEnd w:id="1032"/>
      <w:bookmarkStart w:id="1033" w:name="_Toc170459768"/>
      <w:bookmarkEnd w:id="1033"/>
      <w:bookmarkStart w:id="1034" w:name="_Toc170459765"/>
      <w:bookmarkEnd w:id="1034"/>
      <w:bookmarkStart w:id="1035" w:name="_Toc170478366"/>
      <w:bookmarkEnd w:id="1035"/>
      <w:bookmarkStart w:id="1036" w:name="_Toc170478370"/>
      <w:bookmarkEnd w:id="1036"/>
      <w:bookmarkStart w:id="1037" w:name="_Toc170459764"/>
      <w:bookmarkEnd w:id="1037"/>
      <w:bookmarkStart w:id="1038" w:name="_Toc170465326"/>
      <w:bookmarkEnd w:id="1038"/>
      <w:bookmarkStart w:id="1039" w:name="_Toc170465324"/>
      <w:bookmarkEnd w:id="1039"/>
      <w:bookmarkStart w:id="1040" w:name="_Toc170459770"/>
      <w:bookmarkEnd w:id="1040"/>
      <w:bookmarkStart w:id="1041" w:name="_Toc170478375"/>
      <w:bookmarkEnd w:id="1041"/>
      <w:bookmarkStart w:id="1042" w:name="_Toc170465325"/>
      <w:bookmarkEnd w:id="1042"/>
      <w:bookmarkStart w:id="1043" w:name="_Toc170465323"/>
      <w:bookmarkEnd w:id="1043"/>
      <w:bookmarkStart w:id="1044" w:name="_Toc170459772"/>
      <w:bookmarkEnd w:id="1044"/>
      <w:bookmarkStart w:id="1045" w:name="_Toc170478377"/>
      <w:bookmarkEnd w:id="1045"/>
      <w:bookmarkStart w:id="1046" w:name="_Toc170465322"/>
      <w:bookmarkEnd w:id="1046"/>
      <w:bookmarkStart w:id="1047" w:name="_Toc170478368"/>
      <w:bookmarkEnd w:id="1047"/>
      <w:bookmarkStart w:id="1048" w:name="_Toc170465329"/>
      <w:bookmarkEnd w:id="1048"/>
      <w:bookmarkStart w:id="1049" w:name="_Toc170478371"/>
      <w:bookmarkEnd w:id="1049"/>
      <w:bookmarkStart w:id="1050" w:name="_Toc170478367"/>
      <w:bookmarkEnd w:id="1050"/>
      <w:bookmarkStart w:id="1051" w:name="_Toc170459767"/>
      <w:bookmarkEnd w:id="1051"/>
      <w:bookmarkStart w:id="1052" w:name="_Toc170459763"/>
      <w:bookmarkEnd w:id="1052"/>
      <w:bookmarkStart w:id="1053" w:name="_Toc170465327"/>
      <w:bookmarkEnd w:id="1053"/>
      <w:bookmarkStart w:id="1054" w:name="_Toc170459762"/>
      <w:bookmarkEnd w:id="1054"/>
      <w:bookmarkStart w:id="1055" w:name="_Toc170465319"/>
      <w:bookmarkEnd w:id="1055"/>
      <w:bookmarkStart w:id="1056" w:name="_Toc170465318"/>
      <w:bookmarkEnd w:id="1056"/>
      <w:bookmarkStart w:id="1057" w:name="_Toc170459761"/>
      <w:bookmarkEnd w:id="1057"/>
      <w:bookmarkStart w:id="1058" w:name="_Toc170478372"/>
      <w:bookmarkEnd w:id="1058"/>
      <w:bookmarkStart w:id="1059" w:name="_Toc170478373"/>
      <w:bookmarkEnd w:id="1059"/>
      <w:bookmarkStart w:id="1060" w:name="_Toc170478376"/>
      <w:bookmarkEnd w:id="1060"/>
      <w:bookmarkStart w:id="1061" w:name="_Toc170465330"/>
      <w:bookmarkStart w:id="1062" w:name="_Toc170459773"/>
      <w:bookmarkStart w:id="1063" w:name="_Toc170638840"/>
      <w:bookmarkStart w:id="1064" w:name="_Toc170478378"/>
      <w:bookmarkStart w:id="1065" w:name="_Toc172280919"/>
      <w:r>
        <w:rPr>
          <w:rFonts w:hint="eastAsia"/>
        </w:rPr>
        <w:t>删除延伸控制</w:t>
      </w:r>
      <w:bookmarkEnd w:id="1061"/>
      <w:bookmarkEnd w:id="1062"/>
      <w:bookmarkEnd w:id="1063"/>
      <w:bookmarkEnd w:id="1064"/>
      <w:bookmarkEnd w:id="1065"/>
    </w:p>
    <w:p w14:paraId="240B438B">
      <w:pPr>
        <w:pStyle w:val="272"/>
      </w:pPr>
      <w:r>
        <w:rPr>
          <w:rFonts w:hint="eastAsia"/>
        </w:rPr>
        <w:t>按需删除是实现《个人信息保护法》规定的删除权的技术手段。个人信息源域（即收到隐私信息所有者删除请求的隐私信息处理者），根据隐私信息所有者针对此次隐私信息删除的删除意图，生成隐私信息删除通知，保证所有相关的隐私信息处理者（即存储被删除对象的隐私信息删除者）能安全可信地收到删除通知，并对删除对象执行删除操作，实现隐私信息的完备删除。其过程如图</w:t>
      </w:r>
      <w:r>
        <w:t>B</w:t>
      </w:r>
      <w:r>
        <w:rPr>
          <w:rFonts w:hint="eastAsia"/>
        </w:rPr>
        <w:t>.</w:t>
      </w:r>
      <w:r>
        <w:t>3</w:t>
      </w:r>
      <w:r>
        <w:rPr>
          <w:rFonts w:hint="eastAsia"/>
        </w:rPr>
        <w:t>所示。实现删除延伸控制的关键环节如下：</w:t>
      </w:r>
    </w:p>
    <w:p w14:paraId="5F2ADF92">
      <w:pPr>
        <w:pStyle w:val="272"/>
        <w:numPr>
          <w:ilvl w:val="0"/>
          <w:numId w:val="116"/>
        </w:numPr>
        <w:ind w:left="840" w:leftChars="200" w:hanging="420" w:hangingChars="200"/>
        <w:rPr>
          <w:szCs w:val="22"/>
        </w:rPr>
      </w:pPr>
      <w:bookmarkStart w:id="1066" w:name="_Toc151626919"/>
      <w:r>
        <w:rPr>
          <w:rFonts w:hint="eastAsia"/>
          <w:szCs w:val="22"/>
        </w:rPr>
        <w:t>删除</w:t>
      </w:r>
      <w:bookmarkEnd w:id="1066"/>
      <w:r>
        <w:rPr>
          <w:rFonts w:hint="eastAsia"/>
          <w:szCs w:val="22"/>
        </w:rPr>
        <w:t>延伸控制策略的生成：</w:t>
      </w:r>
    </w:p>
    <w:p w14:paraId="0ACFC719">
      <w:pPr>
        <w:pStyle w:val="272"/>
        <w:numPr>
          <w:ilvl w:val="0"/>
          <w:numId w:val="117"/>
        </w:numPr>
        <w:ind w:left="1260" w:leftChars="400" w:hanging="420" w:hangingChars="200"/>
        <w:rPr>
          <w:szCs w:val="22"/>
        </w:rPr>
      </w:pPr>
      <w:r>
        <w:rPr>
          <w:rFonts w:hint="eastAsia"/>
          <w:szCs w:val="22"/>
        </w:rPr>
        <w:t>个人信息源域接收用户的删除意图，导入删除意图，利用隐私信息流转历史记录，查询相关删除对象的流转历史（即数据共享情况），确定删除通知范围，确保删除通知在全域内的可达性；</w:t>
      </w:r>
    </w:p>
    <w:p w14:paraId="6015C280">
      <w:pPr>
        <w:pStyle w:val="272"/>
        <w:numPr>
          <w:ilvl w:val="0"/>
          <w:numId w:val="117"/>
        </w:numPr>
        <w:ind w:left="1260" w:leftChars="400" w:hanging="420" w:hangingChars="200"/>
        <w:rPr>
          <w:szCs w:val="22"/>
        </w:rPr>
      </w:pPr>
      <w:r>
        <w:rPr>
          <w:rFonts w:hint="eastAsia"/>
          <w:szCs w:val="22"/>
        </w:rPr>
        <w:t>以删除通知范围为基础生成删除延伸控制策略，选择删除方法，执行删除操作，以实现数据及其副本全面删除。</w:t>
      </w:r>
    </w:p>
    <w:p w14:paraId="3DD3A016">
      <w:pPr>
        <w:pStyle w:val="272"/>
        <w:numPr>
          <w:ilvl w:val="0"/>
          <w:numId w:val="116"/>
        </w:numPr>
        <w:ind w:left="840" w:leftChars="200" w:hanging="420" w:hangingChars="200"/>
        <w:rPr>
          <w:szCs w:val="22"/>
        </w:rPr>
      </w:pPr>
      <w:r>
        <w:rPr>
          <w:rFonts w:hint="eastAsia"/>
          <w:szCs w:val="22"/>
        </w:rPr>
        <w:t>删除延伸控制策略的可控传递：</w:t>
      </w:r>
    </w:p>
    <w:p w14:paraId="7AB141EF">
      <w:pPr>
        <w:pStyle w:val="272"/>
        <w:numPr>
          <w:ilvl w:val="0"/>
          <w:numId w:val="118"/>
        </w:numPr>
        <w:ind w:left="1260" w:leftChars="400" w:hanging="420" w:hangingChars="200"/>
        <w:rPr>
          <w:szCs w:val="22"/>
        </w:rPr>
      </w:pPr>
      <w:r>
        <w:rPr>
          <w:rFonts w:hint="eastAsia"/>
          <w:szCs w:val="22"/>
        </w:rPr>
        <w:t>以消息验证码、数字签名等密码学为技术手段，根据删除通知范围生成删除通知流转树，确保隐私信息流转树上的数据使用实体能够正确解密删除通知及其相关信息，并仅能解密当前数据使用实体的后续数据使用实体信息；</w:t>
      </w:r>
    </w:p>
    <w:p w14:paraId="7D3B54C6">
      <w:pPr>
        <w:pStyle w:val="272"/>
        <w:numPr>
          <w:ilvl w:val="0"/>
          <w:numId w:val="118"/>
        </w:numPr>
        <w:ind w:left="1260" w:leftChars="400" w:hanging="420" w:hangingChars="200"/>
        <w:rPr>
          <w:szCs w:val="22"/>
        </w:rPr>
      </w:pPr>
      <w:r>
        <w:rPr>
          <w:rFonts w:hint="eastAsia"/>
          <w:szCs w:val="22"/>
        </w:rPr>
        <w:t>实现隐私信息流转树上数据使用实体的删除延伸控制，同时在删除通知过程中实现通知传递可控；</w:t>
      </w:r>
    </w:p>
    <w:p w14:paraId="68301FF2">
      <w:pPr>
        <w:pStyle w:val="272"/>
        <w:numPr>
          <w:ilvl w:val="0"/>
          <w:numId w:val="118"/>
        </w:numPr>
        <w:ind w:left="1260" w:leftChars="400" w:hanging="420" w:hangingChars="200"/>
        <w:rPr>
          <w:szCs w:val="22"/>
        </w:rPr>
      </w:pPr>
      <w:r>
        <w:rPr>
          <w:rFonts w:hint="eastAsia"/>
          <w:szCs w:val="22"/>
        </w:rPr>
        <w:t>后继隐私信息处理者在接收到删除延伸控制策略及删除对象后，更新策略并选择删除方法、执行数据删除等操作。</w:t>
      </w:r>
    </w:p>
    <w:p w14:paraId="19467609">
      <w:pPr>
        <w:pStyle w:val="272"/>
        <w:numPr>
          <w:ilvl w:val="0"/>
          <w:numId w:val="116"/>
        </w:numPr>
        <w:ind w:left="840" w:leftChars="200" w:hanging="420" w:hangingChars="200"/>
        <w:rPr>
          <w:szCs w:val="22"/>
        </w:rPr>
      </w:pPr>
      <w:r>
        <w:rPr>
          <w:rFonts w:hint="eastAsia"/>
          <w:szCs w:val="22"/>
        </w:rPr>
        <w:t>删除延伸控制策略的可信验证：</w:t>
      </w:r>
    </w:p>
    <w:p w14:paraId="3F2AF90F">
      <w:pPr>
        <w:pStyle w:val="272"/>
        <w:numPr>
          <w:ilvl w:val="0"/>
          <w:numId w:val="119"/>
        </w:numPr>
        <w:ind w:left="1260" w:leftChars="400" w:hanging="420" w:hangingChars="200"/>
        <w:rPr>
          <w:szCs w:val="22"/>
        </w:rPr>
      </w:pPr>
      <w:r>
        <w:rPr>
          <w:rFonts w:hint="eastAsia"/>
          <w:szCs w:val="22"/>
        </w:rPr>
        <w:t>隐私信息所有者设置删除意图，包括但不限于：删除对象、删除时间、删除等级、删除粒度等；</w:t>
      </w:r>
    </w:p>
    <w:p w14:paraId="6EA17A5B">
      <w:pPr>
        <w:pStyle w:val="272"/>
        <w:numPr>
          <w:ilvl w:val="0"/>
          <w:numId w:val="119"/>
        </w:numPr>
        <w:ind w:left="1260" w:leftChars="400" w:hanging="420" w:hangingChars="200"/>
        <w:rPr>
          <w:szCs w:val="22"/>
        </w:rPr>
      </w:pPr>
      <w:r>
        <w:rPr>
          <w:rFonts w:hint="eastAsia"/>
          <w:szCs w:val="22"/>
        </w:rPr>
        <w:t>以删除延伸控制策略生成、可控传递为基础，删除通知可信验证实现删除通知的完备性，删除延伸控制策略的可信验证基于消息验证码、数字签名技术，采用逐级回传机制传递验证信息；</w:t>
      </w:r>
    </w:p>
    <w:p w14:paraId="43DFE0F5">
      <w:pPr>
        <w:pStyle w:val="272"/>
        <w:numPr>
          <w:ilvl w:val="0"/>
          <w:numId w:val="119"/>
        </w:numPr>
        <w:ind w:left="1260" w:leftChars="400" w:hanging="420" w:hangingChars="200"/>
        <w:rPr>
          <w:szCs w:val="22"/>
        </w:rPr>
      </w:pPr>
      <w:r>
        <w:rPr>
          <w:rFonts w:hint="eastAsia"/>
          <w:szCs w:val="22"/>
        </w:rPr>
        <w:t>数据使用实体在正确接收并解密得到相关数据删除信息后，回传不可伪造的可信验证信息，同时将不可伪造验证信息反馈给删除效果评估进行后续操作；</w:t>
      </w:r>
    </w:p>
    <w:p w14:paraId="7EC5E00E">
      <w:pPr>
        <w:pStyle w:val="272"/>
        <w:numPr>
          <w:ilvl w:val="0"/>
          <w:numId w:val="119"/>
        </w:numPr>
        <w:ind w:left="1260" w:leftChars="400" w:hanging="420" w:hangingChars="200"/>
        <w:rPr>
          <w:szCs w:val="22"/>
        </w:rPr>
      </w:pPr>
      <w:r>
        <w:rPr>
          <w:rFonts w:hint="eastAsia"/>
          <w:szCs w:val="22"/>
        </w:rPr>
        <w:t>隐私信息所有者完成删除通知过程全程的验证，形成此次删除延伸控制事件闭环。</w:t>
      </w:r>
    </w:p>
    <w:p w14:paraId="08317D1D">
      <w:pPr>
        <w:pStyle w:val="272"/>
        <w:numPr>
          <w:ilvl w:val="0"/>
          <w:numId w:val="116"/>
        </w:numPr>
        <w:ind w:left="840" w:leftChars="200" w:hanging="420" w:hangingChars="200"/>
        <w:rPr>
          <w:szCs w:val="22"/>
        </w:rPr>
      </w:pPr>
      <w:r>
        <w:rPr>
          <w:rFonts w:hint="eastAsia"/>
          <w:szCs w:val="22"/>
        </w:rPr>
        <w:t>删除延伸控制策略的动态调整：</w:t>
      </w:r>
    </w:p>
    <w:p w14:paraId="6D99771B">
      <w:pPr>
        <w:pStyle w:val="272"/>
        <w:numPr>
          <w:ilvl w:val="0"/>
          <w:numId w:val="120"/>
        </w:numPr>
        <w:ind w:left="1260" w:leftChars="400" w:hanging="420" w:hangingChars="200"/>
        <w:rPr>
          <w:szCs w:val="22"/>
        </w:rPr>
      </w:pPr>
      <w:r>
        <w:rPr>
          <w:rFonts w:hint="eastAsia"/>
          <w:szCs w:val="22"/>
        </w:rPr>
        <w:t>在删除延伸控制策略传递、删除延伸控制策略执行可信验证回传过程中，以及在隐私信息所有者对可信验证结果未通过的情况下，根据删除延伸控制策略传递异常信息、可信验证信息回传异常信息以及可信验证结果失败信息，对删除通知全生命周期中的异常行为进行动态调整修改；</w:t>
      </w:r>
    </w:p>
    <w:p w14:paraId="337B4224">
      <w:pPr>
        <w:pStyle w:val="272"/>
        <w:numPr>
          <w:ilvl w:val="0"/>
          <w:numId w:val="120"/>
        </w:numPr>
        <w:ind w:left="1260" w:leftChars="400" w:hanging="420" w:hangingChars="200"/>
        <w:rPr>
          <w:szCs w:val="22"/>
        </w:rPr>
      </w:pPr>
      <w:r>
        <w:rPr>
          <w:rFonts w:hint="eastAsia"/>
          <w:szCs w:val="22"/>
        </w:rPr>
        <w:t>通过采用通知重传等手段，确保删除通知过程的可靠性、全面性、安全性和完备性。</w:t>
      </w:r>
    </w:p>
    <w:p w14:paraId="1AA53852">
      <w:pPr>
        <w:pStyle w:val="272"/>
        <w:ind w:firstLine="0" w:firstLineChars="0"/>
        <w:jc w:val="center"/>
      </w:pPr>
      <w:r>
        <w:drawing>
          <wp:inline distT="0" distB="0" distL="0" distR="0">
            <wp:extent cx="4643755" cy="7359650"/>
            <wp:effectExtent l="0" t="0" r="4445" b="0"/>
            <wp:docPr id="1285774785" name="图片 128577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74785" name="图片 12857747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57511" cy="7381403"/>
                    </a:xfrm>
                    <a:prstGeom prst="rect">
                      <a:avLst/>
                    </a:prstGeom>
                    <a:noFill/>
                    <a:ln>
                      <a:noFill/>
                    </a:ln>
                  </pic:spPr>
                </pic:pic>
              </a:graphicData>
            </a:graphic>
          </wp:inline>
        </w:drawing>
      </w:r>
    </w:p>
    <w:p w14:paraId="4F6E6214">
      <w:pPr>
        <w:spacing w:before="156" w:beforeLines="50"/>
        <w:jc w:val="center"/>
        <w:rPr>
          <w:rFonts w:eastAsia="黑体"/>
        </w:rPr>
      </w:pPr>
      <w:r>
        <w:rPr>
          <w:rFonts w:hint="eastAsia" w:eastAsia="黑体"/>
        </w:rPr>
        <w:t>图</w:t>
      </w:r>
      <w:r>
        <w:rPr>
          <w:rFonts w:eastAsia="黑体"/>
        </w:rPr>
        <w:t>B</w:t>
      </w:r>
      <w:r>
        <w:rPr>
          <w:rFonts w:hint="eastAsia" w:eastAsia="黑体"/>
        </w:rPr>
        <w:t>.</w:t>
      </w:r>
      <w:r>
        <w:rPr>
          <w:rFonts w:eastAsia="黑体"/>
        </w:rPr>
        <w:t xml:space="preserve">3 </w:t>
      </w:r>
      <w:r>
        <w:rPr>
          <w:rFonts w:hint="eastAsia" w:eastAsia="黑体"/>
        </w:rPr>
        <w:t>删除延伸控制流程</w:t>
      </w:r>
      <w:bookmarkStart w:id="1067" w:name="_Hlk170597817"/>
      <w:r>
        <w:rPr>
          <w:rFonts w:hint="eastAsia" w:eastAsia="黑体"/>
        </w:rPr>
        <w:t>示意图</w:t>
      </w:r>
      <w:bookmarkEnd w:id="1067"/>
    </w:p>
    <w:p w14:paraId="58B56D42">
      <w:pPr>
        <w:widowControl/>
        <w:jc w:val="left"/>
        <w:rPr>
          <w:rFonts w:ascii="黑体" w:eastAsia="黑体"/>
          <w:kern w:val="0"/>
          <w:szCs w:val="20"/>
        </w:rPr>
      </w:pPr>
      <w:r>
        <w:br w:type="page"/>
      </w:r>
    </w:p>
    <w:p w14:paraId="308F486D">
      <w:pPr>
        <w:pStyle w:val="295"/>
        <w:numPr>
          <w:ilvl w:val="0"/>
          <w:numId w:val="11"/>
        </w:numPr>
        <w:spacing w:before="78" w:after="156"/>
      </w:pPr>
      <w:bookmarkStart w:id="1068" w:name="_Toc170460104"/>
      <w:bookmarkEnd w:id="1068"/>
      <w:bookmarkStart w:id="1069" w:name="_Toc170478709"/>
      <w:bookmarkEnd w:id="1069"/>
      <w:bookmarkStart w:id="1070" w:name="_Toc170465661"/>
      <w:bookmarkEnd w:id="1070"/>
      <w:r>
        <w:rPr>
          <w:rFonts w:hint="eastAsia"/>
        </w:rPr>
        <w:br w:type="textWrapping"/>
      </w:r>
      <w:bookmarkStart w:id="1071" w:name="_Toc172280920"/>
      <w:bookmarkStart w:id="1072" w:name="_Toc170638869"/>
      <w:r>
        <w:rPr>
          <w:rFonts w:hint="eastAsia"/>
        </w:rPr>
        <w:t>（资料性）</w:t>
      </w:r>
      <w:r>
        <w:rPr>
          <w:rFonts w:hint="eastAsia"/>
        </w:rPr>
        <w:br w:type="textWrapping"/>
      </w:r>
      <w:r>
        <w:rPr>
          <w:rFonts w:hint="eastAsia"/>
        </w:rPr>
        <w:t>出行服务应用场景示例</w:t>
      </w:r>
      <w:bookmarkEnd w:id="1071"/>
      <w:bookmarkEnd w:id="1072"/>
    </w:p>
    <w:p w14:paraId="03DA5199">
      <w:pPr>
        <w:pStyle w:val="325"/>
        <w:numPr>
          <w:ilvl w:val="1"/>
          <w:numId w:val="11"/>
        </w:numPr>
        <w:spacing w:before="156" w:after="156"/>
        <w:outlineLvl w:val="2"/>
      </w:pPr>
      <w:bookmarkStart w:id="1073" w:name="_Toc170460106"/>
      <w:bookmarkStart w:id="1074" w:name="_Toc170478711"/>
      <w:bookmarkStart w:id="1075" w:name="_Toc170638870"/>
      <w:bookmarkStart w:id="1076" w:name="_Toc172280921"/>
      <w:bookmarkStart w:id="1077" w:name="_Toc170465663"/>
      <w:r>
        <w:rPr>
          <w:rFonts w:hint="eastAsia"/>
        </w:rPr>
        <w:t>概述</w:t>
      </w:r>
      <w:bookmarkEnd w:id="1073"/>
      <w:bookmarkEnd w:id="1074"/>
      <w:bookmarkEnd w:id="1075"/>
      <w:bookmarkEnd w:id="1076"/>
      <w:bookmarkEnd w:id="1077"/>
    </w:p>
    <w:p w14:paraId="6978FF72">
      <w:pPr>
        <w:pStyle w:val="272"/>
      </w:pPr>
      <w:r>
        <w:rPr>
          <w:rFonts w:hint="eastAsia"/>
        </w:rPr>
        <w:t>本附录针对出行服务应用场景，描述了出行服务中隐私信息保护的流程，具体包括隐私保护使用者的收集、存储、使用、脱敏等环节，如图C</w:t>
      </w:r>
      <w:r>
        <w:t>.1</w:t>
      </w:r>
      <w:r>
        <w:rPr>
          <w:rFonts w:hint="eastAsia"/>
        </w:rPr>
        <w:t>所示。</w:t>
      </w:r>
    </w:p>
    <w:p w14:paraId="61ECA056">
      <w:pPr>
        <w:pStyle w:val="272"/>
      </w:pPr>
      <w:r>
        <w:rPr>
          <w:rFonts w:hint="eastAsia"/>
        </w:rPr>
        <w:t>本示例体现了隐私信息使用者按需脱敏的过程。</w:t>
      </w:r>
    </w:p>
    <w:p w14:paraId="4DD000F9">
      <w:pPr>
        <w:pStyle w:val="272"/>
        <w:ind w:firstLine="0" w:firstLineChars="0"/>
      </w:pPr>
      <w:r>
        <w:drawing>
          <wp:inline distT="0" distB="0" distL="0" distR="0">
            <wp:extent cx="5937250" cy="20066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37250" cy="2006600"/>
                    </a:xfrm>
                    <a:prstGeom prst="rect">
                      <a:avLst/>
                    </a:prstGeom>
                    <a:noFill/>
                    <a:ln>
                      <a:noFill/>
                    </a:ln>
                  </pic:spPr>
                </pic:pic>
              </a:graphicData>
            </a:graphic>
          </wp:inline>
        </w:drawing>
      </w:r>
    </w:p>
    <w:p w14:paraId="3FC2225B">
      <w:pPr>
        <w:widowControl/>
        <w:autoSpaceDE w:val="0"/>
        <w:autoSpaceDN w:val="0"/>
        <w:jc w:val="center"/>
      </w:pPr>
      <w:r>
        <w:rPr>
          <w:rFonts w:hint="eastAsia" w:ascii="黑体" w:eastAsia="黑体"/>
          <w:kern w:val="0"/>
          <w:szCs w:val="20"/>
        </w:rPr>
        <w:t>图C</w:t>
      </w:r>
      <w:r>
        <w:rPr>
          <w:rFonts w:ascii="黑体" w:eastAsia="黑体"/>
          <w:kern w:val="0"/>
          <w:szCs w:val="20"/>
        </w:rPr>
        <w:t>.1</w:t>
      </w:r>
      <w:r>
        <w:rPr>
          <w:rFonts w:hint="eastAsia" w:ascii="黑体" w:eastAsia="黑体"/>
          <w:kern w:val="0"/>
          <w:szCs w:val="20"/>
        </w:rPr>
        <w:t xml:space="preserve"> 出行服务应用场景下隐私信息全生命周期的计算操作流程示意图</w:t>
      </w:r>
    </w:p>
    <w:p w14:paraId="15ACC4FE">
      <w:pPr>
        <w:pStyle w:val="325"/>
        <w:numPr>
          <w:ilvl w:val="1"/>
          <w:numId w:val="11"/>
        </w:numPr>
        <w:spacing w:before="156" w:after="156"/>
        <w:outlineLvl w:val="2"/>
      </w:pPr>
      <w:bookmarkStart w:id="1078" w:name="_Toc170465664"/>
      <w:bookmarkStart w:id="1079" w:name="_Toc170638871"/>
      <w:bookmarkStart w:id="1080" w:name="_Toc172280922"/>
      <w:bookmarkStart w:id="1081" w:name="_Toc170478712"/>
      <w:bookmarkStart w:id="1082" w:name="_Toc170460107"/>
      <w:r>
        <w:rPr>
          <w:rFonts w:hint="eastAsia"/>
        </w:rPr>
        <w:t>出行服务中的隐私信息处理</w:t>
      </w:r>
      <w:bookmarkEnd w:id="1078"/>
      <w:bookmarkEnd w:id="1079"/>
      <w:bookmarkEnd w:id="1080"/>
      <w:bookmarkEnd w:id="1081"/>
      <w:bookmarkEnd w:id="1082"/>
    </w:p>
    <w:p w14:paraId="200E0623">
      <w:pPr>
        <w:pStyle w:val="272"/>
      </w:pPr>
      <w:r>
        <w:rPr>
          <w:rFonts w:hint="eastAsia"/>
        </w:rPr>
        <w:t>隐私信息使用者对隐私信息的计算操作流程具体如下：</w:t>
      </w:r>
    </w:p>
    <w:p w14:paraId="550E3997">
      <w:pPr>
        <w:pStyle w:val="409"/>
        <w:numPr>
          <w:ilvl w:val="0"/>
          <w:numId w:val="121"/>
        </w:numPr>
      </w:pPr>
      <w:r>
        <w:rPr>
          <w:rFonts w:hint="eastAsia"/>
        </w:rPr>
        <w:t>收集，出行服务场景中，出行APP采集的用户数据包括用户位置、用户目的地、用户选路偏好等，如果是注册用户，额外采集的用户数据包括用户名、手机号、亲情手机号、车牌号等，流程步骤对应图C</w:t>
      </w:r>
      <w:r>
        <w:t>.1</w:t>
      </w:r>
      <w:r>
        <w:rPr>
          <w:rFonts w:hint="eastAsia"/>
        </w:rPr>
        <w:t>中隐私信息全生命周期的计算操作流程的步骤①；</w:t>
      </w:r>
    </w:p>
    <w:p w14:paraId="1DC43DA2">
      <w:pPr>
        <w:pStyle w:val="409"/>
        <w:numPr>
          <w:ilvl w:val="0"/>
          <w:numId w:val="12"/>
        </w:numPr>
      </w:pPr>
      <w:r>
        <w:rPr>
          <w:rFonts w:hint="eastAsia"/>
        </w:rPr>
        <w:t>存储，这些信息收集后，将存储记录到出行服务商的云服务器，以便后续可以直接按用户偏好和现状提供服务，例如高速优先设置、不同时间段的常去目的地、每日限行提醒、紧急救援通知等等，流程步骤对应图C</w:t>
      </w:r>
      <w:r>
        <w:t>.1</w:t>
      </w:r>
      <w:r>
        <w:rPr>
          <w:rFonts w:hint="eastAsia"/>
        </w:rPr>
        <w:t>中隐私信息全生命周期的计算操作流程的步骤②；</w:t>
      </w:r>
    </w:p>
    <w:p w14:paraId="0C7D3949">
      <w:pPr>
        <w:pStyle w:val="409"/>
        <w:numPr>
          <w:ilvl w:val="0"/>
          <w:numId w:val="12"/>
        </w:numPr>
      </w:pPr>
      <w:r>
        <w:rPr>
          <w:rFonts w:hint="eastAsia"/>
        </w:rPr>
        <w:t>使用，用户打开出行APP，无论是用户位置、用户目的地等实时采集的用户数据，还是用户选路偏好、用户名、手机号、车牌号等已经存储的用户数据，将送至使用操作，与云服务器上的地图数据一起结合，为用户提供用户定位、周边的信息提醒；如果用户已开启出行服务，将会持续使用用户位置信息，为用户持续播报路况信息、更优的选路信息。流程步骤对应图C</w:t>
      </w:r>
      <w:r>
        <w:t>.1</w:t>
      </w:r>
      <w:r>
        <w:rPr>
          <w:rFonts w:hint="eastAsia"/>
        </w:rPr>
        <w:t>中隐私信息全生命周期的计算操作流程的步骤③；</w:t>
      </w:r>
    </w:p>
    <w:p w14:paraId="3B0B594C">
      <w:pPr>
        <w:pStyle w:val="409"/>
        <w:numPr>
          <w:ilvl w:val="0"/>
          <w:numId w:val="12"/>
        </w:numPr>
      </w:pPr>
      <w:r>
        <w:rPr>
          <w:rFonts w:hint="eastAsia"/>
        </w:rPr>
        <w:t>存储，用户出行过程中会在某些事件节点产生计算结果，例如某时刻途径用户指定的途径点、在区间限速路段的平均时速等等，这些数据需要送往出行服务商云服务器进行数据记录操作，以便后续的统计查询、全程概况回顾。流程步骤对应图C</w:t>
      </w:r>
      <w:r>
        <w:t>.1</w:t>
      </w:r>
      <w:r>
        <w:rPr>
          <w:rFonts w:hint="eastAsia"/>
        </w:rPr>
        <w:t>中隐私信息全生命周期的计算操作流程的步骤④；</w:t>
      </w:r>
    </w:p>
    <w:p w14:paraId="3D6D7FCB">
      <w:pPr>
        <w:pStyle w:val="409"/>
        <w:numPr>
          <w:ilvl w:val="0"/>
          <w:numId w:val="12"/>
        </w:numPr>
      </w:pPr>
      <w:r>
        <w:rPr>
          <w:rFonts w:hint="eastAsia"/>
        </w:rPr>
        <w:t>脱敏，出行服务完成后，按《个人信息保护法》的要求去标识化（脱敏），可留存用于行驶途径的路况分析；或者不去标识化，但将记录的数据进行泛化处理（脱敏），可留存用于用户使用情况的统计分析。流程步骤对应图C</w:t>
      </w:r>
      <w:r>
        <w:t>.1</w:t>
      </w:r>
      <w:r>
        <w:rPr>
          <w:rFonts w:hint="eastAsia"/>
        </w:rPr>
        <w:t>中隐私信息全生命周期的计算操作流程的步骤⑤；</w:t>
      </w:r>
    </w:p>
    <w:p w14:paraId="2CCC57A7">
      <w:pPr>
        <w:pStyle w:val="409"/>
        <w:numPr>
          <w:ilvl w:val="0"/>
          <w:numId w:val="12"/>
        </w:numPr>
      </w:pPr>
      <w:r>
        <w:rPr>
          <w:rFonts w:hint="eastAsia"/>
        </w:rPr>
        <w:t>存储，出行服务过程记录的信息脱敏后，存至出行服务商的云服务器，流程步骤对应图C</w:t>
      </w:r>
      <w:r>
        <w:t>.1</w:t>
      </w:r>
      <w:r>
        <w:rPr>
          <w:rFonts w:hint="eastAsia"/>
        </w:rPr>
        <w:t>中隐私信息全生命周期的计算操作流程的步骤⑥。</w:t>
      </w:r>
    </w:p>
    <w:p w14:paraId="364B7165">
      <w:pPr>
        <w:widowControl/>
        <w:jc w:val="left"/>
      </w:pPr>
      <w:r>
        <w:br w:type="page"/>
      </w:r>
    </w:p>
    <w:p w14:paraId="748D55DC">
      <w:pPr>
        <w:pStyle w:val="295"/>
        <w:numPr>
          <w:ilvl w:val="0"/>
          <w:numId w:val="122"/>
        </w:numPr>
        <w:spacing w:before="78" w:after="156"/>
      </w:pPr>
      <w:r>
        <w:br w:type="textWrapping"/>
      </w:r>
      <w:bookmarkStart w:id="1083" w:name="_Toc172280923"/>
      <w:bookmarkStart w:id="1084" w:name="_Toc170638872"/>
      <w:r>
        <w:rPr>
          <w:rFonts w:hint="eastAsia"/>
        </w:rPr>
        <w:t>（资料性）</w:t>
      </w:r>
      <w:r>
        <w:rPr>
          <w:rFonts w:hint="eastAsia"/>
        </w:rPr>
        <w:br w:type="textWrapping"/>
      </w:r>
      <w:r>
        <w:rPr>
          <w:rFonts w:hint="eastAsia"/>
        </w:rPr>
        <w:t>信用计算应用场景示例</w:t>
      </w:r>
      <w:bookmarkEnd w:id="1083"/>
      <w:bookmarkEnd w:id="1084"/>
    </w:p>
    <w:p w14:paraId="6D23E110">
      <w:pPr>
        <w:pStyle w:val="325"/>
        <w:numPr>
          <w:ilvl w:val="1"/>
          <w:numId w:val="11"/>
        </w:numPr>
        <w:spacing w:before="156" w:after="156"/>
        <w:outlineLvl w:val="2"/>
      </w:pPr>
      <w:bookmarkStart w:id="1085" w:name="_Toc170478714"/>
      <w:bookmarkStart w:id="1086" w:name="_Toc170465666"/>
      <w:bookmarkStart w:id="1087" w:name="_Toc172280924"/>
      <w:bookmarkStart w:id="1088" w:name="_Toc170460109"/>
      <w:bookmarkStart w:id="1089" w:name="_Toc170638873"/>
      <w:r>
        <w:rPr>
          <w:rFonts w:hint="eastAsia"/>
        </w:rPr>
        <w:t>概述</w:t>
      </w:r>
      <w:bookmarkEnd w:id="1085"/>
      <w:bookmarkEnd w:id="1086"/>
      <w:bookmarkEnd w:id="1087"/>
      <w:bookmarkEnd w:id="1088"/>
      <w:bookmarkEnd w:id="1089"/>
    </w:p>
    <w:p w14:paraId="147E24AB">
      <w:pPr>
        <w:widowControl/>
        <w:autoSpaceDE w:val="0"/>
        <w:autoSpaceDN w:val="0"/>
        <w:ind w:firstLine="420" w:firstLineChars="200"/>
        <w:rPr>
          <w:rFonts w:ascii="宋体" w:hAnsi="宋体"/>
          <w:kern w:val="0"/>
          <w:szCs w:val="20"/>
        </w:rPr>
      </w:pPr>
      <w:r>
        <w:rPr>
          <w:rFonts w:hint="eastAsia" w:ascii="宋体" w:hAnsi="宋体"/>
          <w:kern w:val="0"/>
          <w:szCs w:val="20"/>
        </w:rPr>
        <w:t>本附录针对信用计算应用场景，描述了跨系统联合的</w:t>
      </w:r>
      <w:r>
        <w:rPr>
          <w:rFonts w:hint="eastAsia" w:ascii="宋体" w:hAnsi="宋体"/>
        </w:rPr>
        <w:t>隐私信息保护的流程</w:t>
      </w:r>
      <w:r>
        <w:rPr>
          <w:rFonts w:hint="eastAsia" w:ascii="宋体" w:hAnsi="宋体"/>
          <w:kern w:val="0"/>
          <w:szCs w:val="20"/>
        </w:rPr>
        <w:t>，具体包括隐私信息提供者的收集、存储、交换、存证与取证等环节，隐私信息使用者的收集、脱敏、存储、使用、存证与取证等环节，如图D</w:t>
      </w:r>
      <w:r>
        <w:rPr>
          <w:rFonts w:ascii="宋体" w:hAnsi="宋体"/>
        </w:rPr>
        <w:t>.1</w:t>
      </w:r>
      <w:r>
        <w:rPr>
          <w:rFonts w:hint="eastAsia" w:ascii="宋体" w:hAnsi="宋体"/>
        </w:rPr>
        <w:t>所示</w:t>
      </w:r>
      <w:r>
        <w:rPr>
          <w:rFonts w:hint="eastAsia" w:ascii="宋体" w:hAnsi="宋体"/>
          <w:kern w:val="0"/>
          <w:szCs w:val="20"/>
        </w:rPr>
        <w:t>。</w:t>
      </w:r>
    </w:p>
    <w:p w14:paraId="46515F5B">
      <w:pPr>
        <w:widowControl/>
        <w:autoSpaceDE w:val="0"/>
        <w:autoSpaceDN w:val="0"/>
      </w:pPr>
      <w:r>
        <w:object>
          <v:shape id="_x0000_i1027" o:spt="75" type="#_x0000_t75" style="height:137.1pt;width:467.05pt;" o:ole="t" filled="f" o:preferrelative="t" stroked="f" coordsize="21600,21600">
            <v:path/>
            <v:fill on="f" focussize="0,0"/>
            <v:stroke on="f" joinstyle="miter"/>
            <v:imagedata r:id="rId23" o:title=""/>
            <o:lock v:ext="edit" aspectratio="t"/>
            <w10:wrap type="none"/>
            <w10:anchorlock/>
          </v:shape>
          <o:OLEObject Type="Embed" ProgID="Visio.Drawing.15" ShapeID="_x0000_i1027" DrawAspect="Content" ObjectID="_1468075727" r:id="rId22">
            <o:LockedField>false</o:LockedField>
          </o:OLEObject>
        </w:object>
      </w:r>
    </w:p>
    <w:p w14:paraId="3AC3F87B">
      <w:pPr>
        <w:widowControl/>
        <w:autoSpaceDE w:val="0"/>
        <w:autoSpaceDN w:val="0"/>
        <w:jc w:val="center"/>
        <w:rPr>
          <w:kern w:val="0"/>
          <w:szCs w:val="20"/>
        </w:rPr>
      </w:pPr>
      <w:r>
        <w:rPr>
          <w:rFonts w:hint="eastAsia" w:ascii="黑体" w:eastAsia="黑体"/>
          <w:kern w:val="0"/>
          <w:szCs w:val="20"/>
        </w:rPr>
        <w:t>图D.1</w:t>
      </w:r>
      <w:r>
        <w:rPr>
          <w:rFonts w:ascii="黑体" w:eastAsia="黑体"/>
          <w:kern w:val="0"/>
          <w:szCs w:val="20"/>
        </w:rPr>
        <w:t xml:space="preserve"> </w:t>
      </w:r>
      <w:r>
        <w:rPr>
          <w:rFonts w:hint="eastAsia" w:ascii="黑体" w:eastAsia="黑体"/>
          <w:kern w:val="0"/>
          <w:szCs w:val="20"/>
        </w:rPr>
        <w:t>信用计算应用场景中隐私信息全生命周期的计算操作流程示意图</w:t>
      </w:r>
    </w:p>
    <w:p w14:paraId="0B205909">
      <w:pPr>
        <w:pStyle w:val="325"/>
        <w:numPr>
          <w:ilvl w:val="1"/>
          <w:numId w:val="11"/>
        </w:numPr>
        <w:spacing w:before="156" w:after="156"/>
        <w:outlineLvl w:val="2"/>
      </w:pPr>
      <w:bookmarkStart w:id="1090" w:name="_Toc170460111"/>
      <w:bookmarkEnd w:id="1090"/>
      <w:bookmarkStart w:id="1091" w:name="_Toc170460112"/>
      <w:bookmarkEnd w:id="1091"/>
      <w:bookmarkStart w:id="1092" w:name="_Toc170478718"/>
      <w:bookmarkEnd w:id="1092"/>
      <w:bookmarkStart w:id="1093" w:name="_Toc170465667"/>
      <w:bookmarkEnd w:id="1093"/>
      <w:bookmarkStart w:id="1094" w:name="_Toc170465674"/>
      <w:bookmarkEnd w:id="1094"/>
      <w:bookmarkStart w:id="1095" w:name="_Toc170465673"/>
      <w:bookmarkEnd w:id="1095"/>
      <w:bookmarkStart w:id="1096" w:name="_Toc170465668"/>
      <w:bookmarkEnd w:id="1096"/>
      <w:bookmarkStart w:id="1097" w:name="_Toc170465672"/>
      <w:bookmarkEnd w:id="1097"/>
      <w:bookmarkStart w:id="1098" w:name="_Toc170478716"/>
      <w:bookmarkEnd w:id="1098"/>
      <w:bookmarkStart w:id="1099" w:name="_Toc170460110"/>
      <w:bookmarkEnd w:id="1099"/>
      <w:bookmarkStart w:id="1100" w:name="_Toc170478717"/>
      <w:bookmarkEnd w:id="1100"/>
      <w:bookmarkStart w:id="1101" w:name="_Toc170460115"/>
      <w:bookmarkEnd w:id="1101"/>
      <w:bookmarkStart w:id="1102" w:name="_Toc170465670"/>
      <w:bookmarkEnd w:id="1102"/>
      <w:bookmarkStart w:id="1103" w:name="_Toc170478722"/>
      <w:bookmarkEnd w:id="1103"/>
      <w:bookmarkStart w:id="1104" w:name="_Toc170478719"/>
      <w:bookmarkEnd w:id="1104"/>
      <w:bookmarkStart w:id="1105" w:name="_Toc170478721"/>
      <w:bookmarkEnd w:id="1105"/>
      <w:bookmarkStart w:id="1106" w:name="_Toc170460117"/>
      <w:bookmarkEnd w:id="1106"/>
      <w:bookmarkStart w:id="1107" w:name="_Toc170460116"/>
      <w:bookmarkEnd w:id="1107"/>
      <w:bookmarkStart w:id="1108" w:name="_Toc170478715"/>
      <w:bookmarkEnd w:id="1108"/>
      <w:bookmarkStart w:id="1109" w:name="_Toc170478720"/>
      <w:bookmarkEnd w:id="1109"/>
      <w:bookmarkStart w:id="1110" w:name="_Toc170460113"/>
      <w:bookmarkEnd w:id="1110"/>
      <w:bookmarkStart w:id="1111" w:name="_Toc170465671"/>
      <w:bookmarkEnd w:id="1111"/>
      <w:bookmarkStart w:id="1112" w:name="_Toc170460114"/>
      <w:bookmarkEnd w:id="1112"/>
      <w:bookmarkStart w:id="1113" w:name="_Toc170465669"/>
      <w:bookmarkEnd w:id="1113"/>
      <w:bookmarkStart w:id="1114" w:name="_Toc170460118"/>
      <w:bookmarkStart w:id="1115" w:name="_Toc170478723"/>
      <w:bookmarkStart w:id="1116" w:name="_Toc172280925"/>
      <w:bookmarkStart w:id="1117" w:name="_Toc170638874"/>
      <w:bookmarkStart w:id="1118" w:name="_Toc170465675"/>
      <w:r>
        <w:rPr>
          <w:rFonts w:hint="eastAsia"/>
        </w:rPr>
        <w:t>隐私信息所有者或隐私信息提供者的计算操作</w:t>
      </w:r>
      <w:bookmarkEnd w:id="1114"/>
      <w:bookmarkEnd w:id="1115"/>
      <w:bookmarkEnd w:id="1116"/>
      <w:bookmarkEnd w:id="1117"/>
      <w:bookmarkEnd w:id="1118"/>
    </w:p>
    <w:p w14:paraId="73045348">
      <w:pPr>
        <w:pStyle w:val="326"/>
        <w:numPr>
          <w:ilvl w:val="2"/>
          <w:numId w:val="11"/>
        </w:numPr>
        <w:spacing w:before="156" w:after="156"/>
      </w:pPr>
      <w:bookmarkStart w:id="1119" w:name="_Toc170638335"/>
      <w:bookmarkStart w:id="1120" w:name="_Toc170478724"/>
      <w:bookmarkStart w:id="1121" w:name="_Toc170460119"/>
      <w:bookmarkStart w:id="1122" w:name="_Toc170465676"/>
      <w:bookmarkStart w:id="1123" w:name="_Toc170638875"/>
      <w:r>
        <w:rPr>
          <w:rFonts w:hint="eastAsia"/>
        </w:rPr>
        <w:t>收集</w:t>
      </w:r>
      <w:bookmarkEnd w:id="1119"/>
      <w:bookmarkEnd w:id="1120"/>
      <w:bookmarkEnd w:id="1121"/>
      <w:bookmarkEnd w:id="1122"/>
      <w:bookmarkEnd w:id="1123"/>
    </w:p>
    <w:p w14:paraId="07FBE706">
      <w:pPr>
        <w:pStyle w:val="272"/>
      </w:pPr>
      <w:r>
        <w:rPr>
          <w:rFonts w:hint="eastAsia"/>
        </w:rPr>
        <w:t>在信用计算应用场景中，隐私信息提供者收集隐私信息所有者的原始数据（含隐私信息），包括但不限于以下内容：</w:t>
      </w:r>
    </w:p>
    <w:p w14:paraId="65DA7A03">
      <w:pPr>
        <w:pStyle w:val="409"/>
        <w:numPr>
          <w:ilvl w:val="0"/>
          <w:numId w:val="123"/>
        </w:numPr>
      </w:pPr>
      <w:r>
        <w:rPr>
          <w:rFonts w:hint="eastAsia"/>
        </w:rPr>
        <w:t>用户行为数据，包括电商交易数据、互联网金融数据、社交数据、自主提供数据等；</w:t>
      </w:r>
    </w:p>
    <w:p w14:paraId="0987C512">
      <w:pPr>
        <w:pStyle w:val="409"/>
        <w:numPr>
          <w:ilvl w:val="0"/>
          <w:numId w:val="96"/>
        </w:numPr>
      </w:pPr>
      <w:r>
        <w:rPr>
          <w:rFonts w:hint="eastAsia"/>
        </w:rPr>
        <w:t>信贷交易数据，包括借贷账户数据、</w:t>
      </w:r>
      <w:r>
        <w:t>借贷交易还款</w:t>
      </w:r>
      <w:r>
        <w:rPr>
          <w:rFonts w:hint="eastAsia"/>
        </w:rPr>
        <w:t>数据等；</w:t>
      </w:r>
    </w:p>
    <w:p w14:paraId="38A0004F">
      <w:pPr>
        <w:pStyle w:val="409"/>
        <w:numPr>
          <w:ilvl w:val="0"/>
          <w:numId w:val="96"/>
        </w:numPr>
      </w:pPr>
      <w:r>
        <w:rPr>
          <w:rFonts w:hint="eastAsia"/>
        </w:rPr>
        <w:t>非信贷交易数据，包括电信数据、公共事业缴费数据等；</w:t>
      </w:r>
    </w:p>
    <w:p w14:paraId="6D389616">
      <w:pPr>
        <w:pStyle w:val="409"/>
        <w:numPr>
          <w:ilvl w:val="0"/>
          <w:numId w:val="96"/>
        </w:numPr>
      </w:pPr>
      <w:r>
        <w:rPr>
          <w:rFonts w:hint="eastAsia"/>
        </w:rPr>
        <w:t>公共信息数据，包括欠税信息、民事裁决信息、强制执行信息、行政处罚信息等。</w:t>
      </w:r>
    </w:p>
    <w:p w14:paraId="2EE2BD75">
      <w:pPr>
        <w:pStyle w:val="326"/>
        <w:numPr>
          <w:ilvl w:val="2"/>
          <w:numId w:val="11"/>
        </w:numPr>
        <w:spacing w:before="156" w:after="156"/>
      </w:pPr>
      <w:bookmarkStart w:id="1124" w:name="_Toc170638336"/>
      <w:bookmarkStart w:id="1125" w:name="_Toc170638876"/>
      <w:bookmarkStart w:id="1126" w:name="_Toc170478725"/>
      <w:bookmarkStart w:id="1127" w:name="_Toc170460120"/>
      <w:bookmarkStart w:id="1128" w:name="_Toc170465677"/>
      <w:r>
        <w:rPr>
          <w:rFonts w:hint="eastAsia"/>
        </w:rPr>
        <w:t>存储</w:t>
      </w:r>
      <w:bookmarkEnd w:id="1124"/>
      <w:bookmarkEnd w:id="1125"/>
      <w:bookmarkEnd w:id="1126"/>
      <w:bookmarkEnd w:id="1127"/>
      <w:bookmarkEnd w:id="1128"/>
    </w:p>
    <w:p w14:paraId="4B8B07E5">
      <w:pPr>
        <w:pStyle w:val="272"/>
      </w:pPr>
      <w:r>
        <w:rPr>
          <w:rFonts w:hint="eastAsia"/>
        </w:rPr>
        <w:t>隐私信息提供者对收集到的用户原始数据（含隐私信息）进行安全高效存储，保证隐私信息的机密性、可用性、完整性。</w:t>
      </w:r>
    </w:p>
    <w:p w14:paraId="2FBAC697">
      <w:pPr>
        <w:pStyle w:val="326"/>
        <w:numPr>
          <w:ilvl w:val="2"/>
          <w:numId w:val="11"/>
        </w:numPr>
        <w:spacing w:before="156" w:after="156"/>
      </w:pPr>
      <w:bookmarkStart w:id="1129" w:name="_Toc170638877"/>
      <w:bookmarkStart w:id="1130" w:name="_Toc170460121"/>
      <w:bookmarkStart w:id="1131" w:name="_Toc170478726"/>
      <w:bookmarkStart w:id="1132" w:name="_Toc170465678"/>
      <w:bookmarkStart w:id="1133" w:name="_Toc170638337"/>
      <w:r>
        <w:rPr>
          <w:rFonts w:hint="eastAsia"/>
        </w:rPr>
        <w:t>交换</w:t>
      </w:r>
      <w:bookmarkEnd w:id="1129"/>
      <w:bookmarkEnd w:id="1130"/>
      <w:bookmarkEnd w:id="1131"/>
      <w:bookmarkEnd w:id="1132"/>
      <w:bookmarkEnd w:id="1133"/>
    </w:p>
    <w:p w14:paraId="2B616600">
      <w:pPr>
        <w:pStyle w:val="272"/>
      </w:pPr>
      <w:r>
        <w:rPr>
          <w:rFonts w:hint="eastAsia"/>
        </w:rPr>
        <w:t>隐私信息提供者从存储中获取</w:t>
      </w:r>
      <w:r>
        <w:t>原始数据</w:t>
      </w:r>
      <w:r>
        <w:rPr>
          <w:rFonts w:hint="eastAsia"/>
        </w:rPr>
        <w:t>（含隐私信息）交换到隐私信息接收者，以确保信用计算的准确性，交换操作可以具有以下安全机制：</w:t>
      </w:r>
    </w:p>
    <w:p w14:paraId="5292CAFE">
      <w:pPr>
        <w:pStyle w:val="409"/>
        <w:numPr>
          <w:ilvl w:val="0"/>
          <w:numId w:val="124"/>
        </w:numPr>
      </w:pPr>
      <w:r>
        <w:rPr>
          <w:rFonts w:hint="eastAsia"/>
        </w:rPr>
        <w:t>可信执行环境，针对跨系统联合的隐私信息保护安全需求，交换操作在可信执行环境中执行；</w:t>
      </w:r>
    </w:p>
    <w:p w14:paraId="64824691">
      <w:pPr>
        <w:pStyle w:val="409"/>
        <w:numPr>
          <w:ilvl w:val="0"/>
          <w:numId w:val="96"/>
        </w:numPr>
      </w:pPr>
      <w:r>
        <w:rPr>
          <w:rFonts w:hint="eastAsia"/>
        </w:rPr>
        <w:t>密钥安全合成，在可信执行环境中，采用多方参与的基于密钥材料与可信执行环境预存秘密的密钥安全合成技术合成传输密钥，用于数据加密，确保隐私信息的机密性；</w:t>
      </w:r>
    </w:p>
    <w:p w14:paraId="74DA0FC6">
      <w:pPr>
        <w:pStyle w:val="409"/>
        <w:numPr>
          <w:ilvl w:val="0"/>
          <w:numId w:val="96"/>
        </w:numPr>
      </w:pPr>
      <w:r>
        <w:rPr>
          <w:rFonts w:hint="eastAsia"/>
        </w:rPr>
        <w:t>安全传输协议，确保隐私信息的认证性、完成性和来源真实性。</w:t>
      </w:r>
    </w:p>
    <w:p w14:paraId="6C9C1CBB">
      <w:pPr>
        <w:pStyle w:val="326"/>
        <w:numPr>
          <w:ilvl w:val="2"/>
          <w:numId w:val="11"/>
        </w:numPr>
        <w:spacing w:before="156" w:after="156"/>
      </w:pPr>
      <w:bookmarkStart w:id="1134" w:name="_Toc170638338"/>
      <w:bookmarkStart w:id="1135" w:name="_Toc170465679"/>
      <w:bookmarkStart w:id="1136" w:name="_Toc170460122"/>
      <w:bookmarkStart w:id="1137" w:name="_Toc170638878"/>
      <w:bookmarkStart w:id="1138" w:name="_Toc170478727"/>
      <w:r>
        <w:rPr>
          <w:rFonts w:hint="eastAsia"/>
        </w:rPr>
        <w:t>存证与取证</w:t>
      </w:r>
      <w:bookmarkEnd w:id="1134"/>
      <w:bookmarkEnd w:id="1135"/>
      <w:bookmarkEnd w:id="1136"/>
      <w:bookmarkEnd w:id="1137"/>
      <w:bookmarkEnd w:id="1138"/>
    </w:p>
    <w:p w14:paraId="3C07313D">
      <w:pPr>
        <w:pStyle w:val="272"/>
      </w:pPr>
      <w:r>
        <w:rPr>
          <w:rFonts w:hint="eastAsia"/>
        </w:rPr>
        <w:t>对上述收集、存储、交换操作进行定制化的操作记录生成和存储，并响应用户的证据查询请求，返回生成的证据，支撑隐私保护合规审计，以及隐私侵权行为溯源与追责。</w:t>
      </w:r>
    </w:p>
    <w:p w14:paraId="7AF8BC03">
      <w:pPr>
        <w:pStyle w:val="325"/>
        <w:numPr>
          <w:ilvl w:val="1"/>
          <w:numId w:val="11"/>
        </w:numPr>
        <w:spacing w:before="156" w:after="156"/>
        <w:outlineLvl w:val="2"/>
      </w:pPr>
      <w:bookmarkStart w:id="1139" w:name="_Toc170460123"/>
      <w:bookmarkStart w:id="1140" w:name="_Toc170638879"/>
      <w:bookmarkStart w:id="1141" w:name="_Toc172280926"/>
      <w:bookmarkStart w:id="1142" w:name="_Toc170465680"/>
      <w:bookmarkStart w:id="1143" w:name="_Toc170478728"/>
      <w:r>
        <w:rPr>
          <w:rFonts w:hint="eastAsia"/>
        </w:rPr>
        <w:t>隐私信息接收者或隐私信息使用者的计算操作</w:t>
      </w:r>
      <w:bookmarkEnd w:id="1139"/>
      <w:bookmarkEnd w:id="1140"/>
      <w:bookmarkEnd w:id="1141"/>
      <w:bookmarkEnd w:id="1142"/>
      <w:bookmarkEnd w:id="1143"/>
    </w:p>
    <w:p w14:paraId="3351AA8A">
      <w:pPr>
        <w:pStyle w:val="326"/>
        <w:numPr>
          <w:ilvl w:val="2"/>
          <w:numId w:val="11"/>
        </w:numPr>
        <w:spacing w:before="156" w:after="156"/>
      </w:pPr>
      <w:bookmarkStart w:id="1144" w:name="_Toc170638340"/>
      <w:bookmarkStart w:id="1145" w:name="_Toc170465681"/>
      <w:bookmarkStart w:id="1146" w:name="_Toc170478729"/>
      <w:bookmarkStart w:id="1147" w:name="_Toc170638880"/>
      <w:bookmarkStart w:id="1148" w:name="_Toc170460124"/>
      <w:r>
        <w:rPr>
          <w:rFonts w:hint="eastAsia"/>
        </w:rPr>
        <w:t>收集</w:t>
      </w:r>
      <w:bookmarkEnd w:id="1144"/>
      <w:bookmarkEnd w:id="1145"/>
      <w:bookmarkEnd w:id="1146"/>
      <w:bookmarkEnd w:id="1147"/>
      <w:bookmarkEnd w:id="1148"/>
    </w:p>
    <w:p w14:paraId="5F0835E4">
      <w:pPr>
        <w:pStyle w:val="272"/>
      </w:pPr>
      <w:r>
        <w:rPr>
          <w:rFonts w:hint="eastAsia"/>
        </w:rPr>
        <w:t>隐私信息接收者从隐私信息提供者收集用户的原始数据（含隐私信息），收集操作与隐私信息提供者的交换操作相对应，可以具有以下安全机制：</w:t>
      </w:r>
    </w:p>
    <w:p w14:paraId="590849C9">
      <w:pPr>
        <w:pStyle w:val="409"/>
        <w:numPr>
          <w:ilvl w:val="0"/>
          <w:numId w:val="125"/>
        </w:numPr>
      </w:pPr>
      <w:r>
        <w:rPr>
          <w:rFonts w:hint="eastAsia"/>
        </w:rPr>
        <w:t>可信执行环境，针对</w:t>
      </w:r>
      <w:r>
        <w:rPr>
          <w:rFonts w:hint="eastAsia" w:hAnsi="宋体"/>
        </w:rPr>
        <w:t>跨系统联合的隐私信息保护安全需求，收集操作</w:t>
      </w:r>
      <w:r>
        <w:rPr>
          <w:rFonts w:hint="eastAsia"/>
        </w:rPr>
        <w:t>在可信执行环境中执行；</w:t>
      </w:r>
    </w:p>
    <w:p w14:paraId="2E039BAE">
      <w:pPr>
        <w:pStyle w:val="409"/>
        <w:numPr>
          <w:ilvl w:val="0"/>
          <w:numId w:val="12"/>
        </w:numPr>
      </w:pPr>
      <w:r>
        <w:rPr>
          <w:rFonts w:hint="eastAsia"/>
        </w:rPr>
        <w:t>密钥安全合成，在可信执行环境中，采用多方参与的基于密钥材料与可信执行环境预存秘密的密钥安全合成技术合成传输密钥，用于数据解密，确保隐私信息的机密性；</w:t>
      </w:r>
    </w:p>
    <w:p w14:paraId="5B783F1F">
      <w:pPr>
        <w:pStyle w:val="409"/>
        <w:numPr>
          <w:ilvl w:val="0"/>
          <w:numId w:val="12"/>
        </w:numPr>
      </w:pPr>
      <w:r>
        <w:rPr>
          <w:rFonts w:hint="eastAsia"/>
        </w:rPr>
        <w:t>安全传输协议，确保隐私信息的认证性、完成性和来源真实性。</w:t>
      </w:r>
    </w:p>
    <w:p w14:paraId="2F1A6B18">
      <w:pPr>
        <w:pStyle w:val="326"/>
        <w:numPr>
          <w:ilvl w:val="2"/>
          <w:numId w:val="11"/>
        </w:numPr>
        <w:spacing w:before="156" w:after="156"/>
      </w:pPr>
      <w:bookmarkStart w:id="1149" w:name="_Toc170638341"/>
      <w:bookmarkStart w:id="1150" w:name="_Toc170478730"/>
      <w:bookmarkStart w:id="1151" w:name="_Toc170460125"/>
      <w:bookmarkStart w:id="1152" w:name="_Toc170638881"/>
      <w:bookmarkStart w:id="1153" w:name="_Toc170465682"/>
      <w:r>
        <w:rPr>
          <w:rFonts w:hint="eastAsia"/>
        </w:rPr>
        <w:t>脱敏</w:t>
      </w:r>
      <w:bookmarkEnd w:id="1149"/>
      <w:bookmarkEnd w:id="1150"/>
      <w:bookmarkEnd w:id="1151"/>
      <w:bookmarkEnd w:id="1152"/>
      <w:bookmarkEnd w:id="1153"/>
    </w:p>
    <w:p w14:paraId="238B419A">
      <w:pPr>
        <w:pStyle w:val="272"/>
      </w:pPr>
      <w:r>
        <w:rPr>
          <w:rFonts w:hint="eastAsia"/>
        </w:rPr>
        <w:t>在数据使用前，隐私信息接收者需对原始数据进行脱敏，脱敏操作需满足以下安全需求：</w:t>
      </w:r>
    </w:p>
    <w:p w14:paraId="3060682B">
      <w:pPr>
        <w:pStyle w:val="409"/>
        <w:numPr>
          <w:ilvl w:val="0"/>
          <w:numId w:val="126"/>
        </w:numPr>
      </w:pPr>
      <w:bookmarkStart w:id="1154" w:name="_Toc170460126"/>
      <w:bookmarkStart w:id="1155" w:name="_Toc170465683"/>
      <w:bookmarkStart w:id="1156" w:name="_Toc170478731"/>
      <w:r>
        <w:rPr>
          <w:rFonts w:hint="eastAsia"/>
        </w:rPr>
        <w:t>按需脱敏，按照信用计算场景的脱敏控制策略选择合适的脱敏算法进行隐私信息脱敏。脱敏算法满足用户标识匿名化的安全需求，同一个人在同一信息系统中，同一类型数据在一定时间范围内的相同属性被置换为不同乱码，单向不可逆；</w:t>
      </w:r>
    </w:p>
    <w:p w14:paraId="7D890E70">
      <w:pPr>
        <w:widowControl/>
        <w:numPr>
          <w:ilvl w:val="0"/>
          <w:numId w:val="12"/>
        </w:numPr>
        <w:rPr>
          <w:rFonts w:ascii="宋体"/>
          <w:kern w:val="0"/>
          <w:szCs w:val="20"/>
        </w:rPr>
      </w:pPr>
      <w:r>
        <w:rPr>
          <w:rFonts w:hint="eastAsia" w:ascii="宋体"/>
          <w:kern w:val="0"/>
          <w:szCs w:val="20"/>
        </w:rPr>
        <w:t>可信执行环境，针对隐私信息接收者不可信的安全需求，脱敏过程在可信执行环境中执行。</w:t>
      </w:r>
    </w:p>
    <w:p w14:paraId="0DFBD035">
      <w:pPr>
        <w:pStyle w:val="326"/>
        <w:numPr>
          <w:ilvl w:val="2"/>
          <w:numId w:val="11"/>
        </w:numPr>
        <w:spacing w:before="156" w:after="156"/>
      </w:pPr>
      <w:bookmarkStart w:id="1157" w:name="_Toc170638882"/>
      <w:bookmarkStart w:id="1158" w:name="_Toc170638342"/>
      <w:r>
        <w:rPr>
          <w:rFonts w:hint="eastAsia"/>
        </w:rPr>
        <w:t>存储</w:t>
      </w:r>
      <w:bookmarkEnd w:id="1154"/>
      <w:bookmarkEnd w:id="1155"/>
      <w:bookmarkEnd w:id="1156"/>
      <w:bookmarkEnd w:id="1157"/>
      <w:bookmarkEnd w:id="1158"/>
    </w:p>
    <w:p w14:paraId="106F3BED">
      <w:pPr>
        <w:pStyle w:val="272"/>
      </w:pPr>
      <w:r>
        <w:rPr>
          <w:rFonts w:hint="eastAsia"/>
        </w:rPr>
        <w:t>隐私信息接收者对脱敏后的隐私信息进行密态数据的安全高效存储。在脱敏数据检索过程中，需考虑满足上述标识化信息随机置乱存储的检索方法，以确保检索数据的准确性。</w:t>
      </w:r>
    </w:p>
    <w:p w14:paraId="165AAF31">
      <w:pPr>
        <w:pStyle w:val="326"/>
        <w:numPr>
          <w:ilvl w:val="2"/>
          <w:numId w:val="11"/>
        </w:numPr>
        <w:spacing w:before="156" w:after="156"/>
      </w:pPr>
      <w:bookmarkStart w:id="1159" w:name="_Toc170638883"/>
      <w:bookmarkStart w:id="1160" w:name="_Toc170460127"/>
      <w:bookmarkStart w:id="1161" w:name="_Toc170478732"/>
      <w:bookmarkStart w:id="1162" w:name="_Toc170465684"/>
      <w:bookmarkStart w:id="1163" w:name="_Toc170638343"/>
      <w:r>
        <w:rPr>
          <w:rFonts w:hint="eastAsia"/>
        </w:rPr>
        <w:t>使用</w:t>
      </w:r>
      <w:bookmarkEnd w:id="1159"/>
      <w:bookmarkEnd w:id="1160"/>
      <w:bookmarkEnd w:id="1161"/>
      <w:bookmarkEnd w:id="1162"/>
      <w:bookmarkEnd w:id="1163"/>
    </w:p>
    <w:p w14:paraId="2FFFB834">
      <w:pPr>
        <w:pStyle w:val="272"/>
      </w:pPr>
      <w:r>
        <w:rPr>
          <w:rFonts w:hint="eastAsia"/>
        </w:rPr>
        <w:t>在使用操作环节，针对信用计算模型输入参数需求，隐私信息使用者对脱敏后的隐私信息进行归一化处理，即使用归一化标识替换随机置乱标识，并基于信用评分模型、反欺诈模型、行为风险评分模型、预授信模型等信用计算模型完成信用评估。</w:t>
      </w:r>
    </w:p>
    <w:p w14:paraId="004A6EB9">
      <w:pPr>
        <w:pStyle w:val="326"/>
        <w:numPr>
          <w:ilvl w:val="2"/>
          <w:numId w:val="11"/>
        </w:numPr>
        <w:spacing w:before="156" w:after="156"/>
      </w:pPr>
      <w:bookmarkStart w:id="1164" w:name="_Toc170478733"/>
      <w:bookmarkStart w:id="1165" w:name="_Toc170460128"/>
      <w:bookmarkStart w:id="1166" w:name="_Toc170465685"/>
      <w:bookmarkStart w:id="1167" w:name="_Toc170638344"/>
      <w:bookmarkStart w:id="1168" w:name="_Toc170638884"/>
      <w:r>
        <w:rPr>
          <w:rFonts w:hint="eastAsia"/>
        </w:rPr>
        <w:t>存证与取证</w:t>
      </w:r>
      <w:bookmarkEnd w:id="1164"/>
      <w:bookmarkEnd w:id="1165"/>
      <w:bookmarkEnd w:id="1166"/>
      <w:bookmarkEnd w:id="1167"/>
      <w:bookmarkEnd w:id="1168"/>
    </w:p>
    <w:p w14:paraId="42865BCA">
      <w:pPr>
        <w:pStyle w:val="272"/>
      </w:pPr>
      <w:r>
        <w:rPr>
          <w:rFonts w:hint="eastAsia"/>
        </w:rPr>
        <w:t>对上述收集、脱敏、存储、使用操作进行定制化的操作记录生成和存储，并响应用户的证据查询请求，返回生成的证据，支撑隐私保护合规审计，以及隐私侵权行为溯源与追责。</w:t>
      </w:r>
    </w:p>
    <w:p w14:paraId="68A603E9">
      <w:pPr>
        <w:pStyle w:val="295"/>
        <w:numPr>
          <w:ilvl w:val="0"/>
          <w:numId w:val="0"/>
        </w:numPr>
        <w:spacing w:before="78" w:after="156"/>
      </w:pPr>
      <w:r>
        <w:br w:type="page"/>
      </w:r>
      <w:bookmarkStart w:id="1169" w:name="_Toc170460156"/>
      <w:bookmarkStart w:id="1170" w:name="_Toc170638889"/>
      <w:bookmarkStart w:id="1171" w:name="_Toc172280927"/>
      <w:r>
        <w:rPr>
          <w:rFonts w:hint="eastAsia"/>
          <w:spacing w:val="105"/>
        </w:rPr>
        <w:t>参考文</w:t>
      </w:r>
      <w:r>
        <w:rPr>
          <w:rFonts w:hint="eastAsia"/>
        </w:rPr>
        <w:t>献</w:t>
      </w:r>
      <w:bookmarkEnd w:id="1169"/>
      <w:bookmarkEnd w:id="1170"/>
      <w:bookmarkEnd w:id="1171"/>
    </w:p>
    <w:p w14:paraId="43F0F9C1">
      <w:pPr>
        <w:pStyle w:val="272"/>
      </w:pPr>
    </w:p>
    <w:p w14:paraId="0EAA4179">
      <w:pPr>
        <w:jc w:val="left"/>
        <w:rPr>
          <w:rFonts w:ascii="宋体"/>
          <w:kern w:val="0"/>
          <w:szCs w:val="20"/>
        </w:rPr>
      </w:pPr>
      <w:r>
        <w:rPr>
          <w:rFonts w:hint="eastAsia" w:ascii="宋体"/>
          <w:kern w:val="0"/>
          <w:szCs w:val="20"/>
        </w:rPr>
        <w:t xml:space="preserve">[1] GB∕T 22118-2008 企业信用信息采集、处理和提供规范 </w:t>
      </w:r>
    </w:p>
    <w:p w14:paraId="349E8910">
      <w:pPr>
        <w:jc w:val="left"/>
        <w:rPr>
          <w:rFonts w:ascii="宋体"/>
          <w:kern w:val="0"/>
          <w:szCs w:val="20"/>
        </w:rPr>
      </w:pPr>
      <w:r>
        <w:rPr>
          <w:rFonts w:hint="eastAsia" w:ascii="宋体"/>
          <w:kern w:val="0"/>
          <w:szCs w:val="20"/>
        </w:rPr>
        <w:t>[2] GB∕T 22120-2008 企业信用数据项规范</w:t>
      </w:r>
    </w:p>
    <w:p w14:paraId="40FCF6F1">
      <w:pPr>
        <w:jc w:val="left"/>
        <w:rPr>
          <w:rFonts w:ascii="宋体"/>
          <w:kern w:val="0"/>
          <w:szCs w:val="20"/>
        </w:rPr>
      </w:pPr>
      <w:r>
        <w:rPr>
          <w:rFonts w:hint="eastAsia" w:ascii="宋体"/>
          <w:kern w:val="0"/>
          <w:szCs w:val="20"/>
        </w:rPr>
        <w:t>[3] GB∕T 26819-2011 信用主体标识规范</w:t>
      </w:r>
    </w:p>
    <w:p w14:paraId="439A4402">
      <w:pPr>
        <w:jc w:val="left"/>
        <w:rPr>
          <w:rFonts w:ascii="宋体"/>
          <w:kern w:val="0"/>
          <w:szCs w:val="20"/>
        </w:rPr>
      </w:pPr>
      <w:r>
        <w:rPr>
          <w:rFonts w:hint="eastAsia" w:ascii="宋体"/>
          <w:kern w:val="0"/>
          <w:szCs w:val="20"/>
        </w:rPr>
        <w:t>[4] GB∕T 33718-2017 企业合同信用指标指南</w:t>
      </w:r>
    </w:p>
    <w:p w14:paraId="102FCD02">
      <w:pPr>
        <w:jc w:val="left"/>
        <w:rPr>
          <w:rFonts w:ascii="宋体"/>
          <w:kern w:val="0"/>
          <w:szCs w:val="20"/>
        </w:rPr>
      </w:pPr>
      <w:r>
        <w:rPr>
          <w:rFonts w:hint="eastAsia" w:ascii="宋体"/>
          <w:kern w:val="0"/>
          <w:szCs w:val="20"/>
        </w:rPr>
        <w:t>[5] GB∕T 39440-2020 公共信用信息资源目录编制指南</w:t>
      </w:r>
    </w:p>
    <w:p w14:paraId="14D875C2">
      <w:pPr>
        <w:jc w:val="left"/>
        <w:rPr>
          <w:rFonts w:ascii="宋体"/>
          <w:kern w:val="0"/>
          <w:szCs w:val="20"/>
        </w:rPr>
      </w:pPr>
      <w:r>
        <w:rPr>
          <w:rFonts w:hint="eastAsia" w:ascii="宋体"/>
          <w:kern w:val="0"/>
          <w:szCs w:val="20"/>
        </w:rPr>
        <w:t>[6] GB∕T 39441-2020 公共信用信息分类与编码规范</w:t>
      </w:r>
    </w:p>
    <w:p w14:paraId="4B30ADAD">
      <w:pPr>
        <w:jc w:val="left"/>
        <w:rPr>
          <w:rFonts w:ascii="宋体"/>
          <w:kern w:val="0"/>
          <w:szCs w:val="20"/>
        </w:rPr>
      </w:pPr>
      <w:r>
        <w:rPr>
          <w:rFonts w:hint="eastAsia" w:ascii="宋体"/>
          <w:kern w:val="0"/>
          <w:szCs w:val="20"/>
        </w:rPr>
        <w:t>[</w:t>
      </w:r>
      <w:r>
        <w:rPr>
          <w:rFonts w:ascii="宋体"/>
          <w:kern w:val="0"/>
          <w:szCs w:val="20"/>
        </w:rPr>
        <w:t xml:space="preserve">7] </w:t>
      </w:r>
      <w:r>
        <w:rPr>
          <w:rFonts w:hint="eastAsia" w:ascii="宋体"/>
          <w:kern w:val="0"/>
          <w:szCs w:val="20"/>
        </w:rPr>
        <w:t>《隐私计算理论与技术》，李凤华、李晖、牛犇著，人民邮电出版社，第1版，2</w:t>
      </w:r>
      <w:r>
        <w:rPr>
          <w:rFonts w:ascii="宋体"/>
          <w:kern w:val="0"/>
          <w:szCs w:val="20"/>
        </w:rPr>
        <w:t>021</w:t>
      </w:r>
    </w:p>
    <w:p w14:paraId="0104EA69">
      <w:pPr>
        <w:jc w:val="left"/>
        <w:rPr>
          <w:rFonts w:ascii="宋体"/>
          <w:kern w:val="0"/>
          <w:szCs w:val="20"/>
        </w:rPr>
      </w:pPr>
    </w:p>
    <w:p w14:paraId="1231104D">
      <w:pPr>
        <w:jc w:val="left"/>
        <w:rPr>
          <w:rFonts w:ascii="宋体"/>
          <w:kern w:val="0"/>
          <w:szCs w:val="20"/>
        </w:rPr>
      </w:pPr>
    </w:p>
    <w:p w14:paraId="74BEC9A1">
      <w:pPr>
        <w:jc w:val="center"/>
      </w:pPr>
      <w:r>
        <w:t>________________________________</w:t>
      </w:r>
    </w:p>
    <w:p w14:paraId="7C2363F6">
      <w:pPr>
        <w:jc w:val="left"/>
        <w:rPr>
          <w:rFonts w:ascii="宋体"/>
          <w:kern w:val="0"/>
          <w:szCs w:val="20"/>
        </w:rPr>
      </w:pPr>
    </w:p>
    <w:sectPr>
      <w:pgSz w:w="11906" w:h="16838"/>
      <w:pgMar w:top="1985" w:right="1134" w:bottom="1134" w:left="1418" w:header="1418" w:footer="1134" w:gutter="0"/>
      <w:pgNumType w:start="1"/>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AFB32"/>
  <w:p w14:paraId="46C3965D">
    <w:r>
      <w:fldChar w:fldCharType="begin"/>
    </w:r>
    <w:r>
      <w:instrText xml:space="preserve"> PAGE  \* MERGEFORMAT II4</w:instrText>
    </w:r>
    <w:r>
      <w:fldChar w:fldCharType="separate"/>
    </w:r>
    <w:r>
      <w:t>IV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E486C"/>
  <w:p w14:paraId="2E1D4947">
    <w:pPr>
      <w:jc w:val="right"/>
    </w:pPr>
    <w:r>
      <w:fldChar w:fldCharType="begin"/>
    </w:r>
    <w:r>
      <w:instrText xml:space="preserve"> PAGE  \* MERGEFORMAT 335</w:instrText>
    </w:r>
    <w:r>
      <w:fldChar w:fldCharType="separate"/>
    </w:r>
    <w:r>
      <w:t>35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40BF"/>
  <w:p w14:paraId="71BEE701">
    <w:pPr>
      <w:jc w:val="left"/>
    </w:pPr>
    <w:r>
      <w:fldChar w:fldCharType="begin"/>
    </w:r>
    <w:r>
      <w:instrText xml:space="preserve"> PAGE  \* MERGEFORMAT II4</w:instrText>
    </w:r>
    <w:r>
      <w:fldChar w:fldCharType="separate"/>
    </w:r>
    <w:r>
      <w:t>36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B4848">
    <w:pPr>
      <w:pStyle w:val="382"/>
    </w:pPr>
    <w:r>
      <w:rPr>
        <w:rFonts w:hint="eastAsia"/>
      </w:rPr>
      <w:t>T/CSAC XXXX</w:t>
    </w:r>
    <w:r>
      <w:t>—</w:t>
    </w:r>
    <w:r>
      <w:rPr>
        <w:rFonts w:hint="eastAsia"/>
      </w:rPr>
      <w:t>XXXX</w:t>
    </w:r>
  </w:p>
  <w:p w14:paraId="4770AB07">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7153F"/>
  <w:p w14:paraId="6F66E02F">
    <w:pPr>
      <w:pStyle w:val="88"/>
    </w:pPr>
    <w:r>
      <w:rPr>
        <w:rFonts w:hint="eastAsia"/>
      </w:rPr>
      <w:t>T/CSAC XXXX</w:t>
    </w:r>
    <w:r>
      <w:t>—</w:t>
    </w:r>
    <w:r>
      <w:rPr>
        <w:rFonts w:hint="eastAsia"/>
      </w:rPr>
      <w:t>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EE710"/>
    <w:multiLevelType w:val="singleLevel"/>
    <w:tmpl w:val="813EE710"/>
    <w:lvl w:ilvl="0" w:tentative="0">
      <w:start w:val="1"/>
      <w:numFmt w:val="lowerLetter"/>
      <w:lvlText w:val="%1)"/>
      <w:lvlJc w:val="left"/>
      <w:pPr>
        <w:ind w:left="0" w:firstLine="0"/>
      </w:pPr>
    </w:lvl>
  </w:abstractNum>
  <w:abstractNum w:abstractNumId="1">
    <w:nsid w:val="884D2648"/>
    <w:multiLevelType w:val="singleLevel"/>
    <w:tmpl w:val="884D2648"/>
    <w:lvl w:ilvl="0" w:tentative="0">
      <w:start w:val="1"/>
      <w:numFmt w:val="decimal"/>
      <w:lvlText w:val="%1)"/>
      <w:lvlJc w:val="left"/>
      <w:pPr>
        <w:ind w:left="425" w:hanging="425"/>
      </w:pPr>
      <w:rPr>
        <w:rFonts w:hint="default"/>
      </w:rPr>
    </w:lvl>
  </w:abstractNum>
  <w:abstractNum w:abstractNumId="2">
    <w:nsid w:val="91E617A7"/>
    <w:multiLevelType w:val="singleLevel"/>
    <w:tmpl w:val="91E617A7"/>
    <w:lvl w:ilvl="0" w:tentative="0">
      <w:start w:val="1"/>
      <w:numFmt w:val="lowerLetter"/>
      <w:lvlText w:val="%1)"/>
      <w:lvlJc w:val="left"/>
      <w:pPr>
        <w:ind w:left="0" w:firstLine="0"/>
      </w:pPr>
    </w:lvl>
  </w:abstractNum>
  <w:abstractNum w:abstractNumId="3">
    <w:nsid w:val="9A6DD25B"/>
    <w:multiLevelType w:val="singleLevel"/>
    <w:tmpl w:val="9A6DD25B"/>
    <w:lvl w:ilvl="0" w:tentative="0">
      <w:start w:val="1"/>
      <w:numFmt w:val="lowerLetter"/>
      <w:lvlText w:val="%1)"/>
      <w:lvlJc w:val="left"/>
      <w:pPr>
        <w:ind w:left="0" w:firstLine="0"/>
      </w:pPr>
    </w:lvl>
  </w:abstractNum>
  <w:abstractNum w:abstractNumId="4">
    <w:nsid w:val="9A818274"/>
    <w:multiLevelType w:val="singleLevel"/>
    <w:tmpl w:val="9A818274"/>
    <w:lvl w:ilvl="0" w:tentative="0">
      <w:start w:val="1"/>
      <w:numFmt w:val="lowerLetter"/>
      <w:lvlText w:val="%1)"/>
      <w:lvlJc w:val="left"/>
      <w:pPr>
        <w:ind w:left="0" w:firstLine="0"/>
      </w:pPr>
    </w:lvl>
  </w:abstractNum>
  <w:abstractNum w:abstractNumId="5">
    <w:nsid w:val="9E732CCB"/>
    <w:multiLevelType w:val="singleLevel"/>
    <w:tmpl w:val="9E732CCB"/>
    <w:lvl w:ilvl="0" w:tentative="0">
      <w:start w:val="1"/>
      <w:numFmt w:val="lowerLetter"/>
      <w:lvlText w:val="%1)"/>
      <w:lvlJc w:val="left"/>
      <w:pPr>
        <w:ind w:left="0" w:firstLine="0"/>
      </w:pPr>
    </w:lvl>
  </w:abstractNum>
  <w:abstractNum w:abstractNumId="6">
    <w:nsid w:val="A0021A43"/>
    <w:multiLevelType w:val="singleLevel"/>
    <w:tmpl w:val="A0021A43"/>
    <w:lvl w:ilvl="0" w:tentative="0">
      <w:start w:val="1"/>
      <w:numFmt w:val="decimal"/>
      <w:lvlText w:val="%1)"/>
      <w:lvlJc w:val="left"/>
      <w:pPr>
        <w:ind w:left="425" w:hanging="425"/>
      </w:pPr>
    </w:lvl>
  </w:abstractNum>
  <w:abstractNum w:abstractNumId="7">
    <w:nsid w:val="A384F049"/>
    <w:multiLevelType w:val="singleLevel"/>
    <w:tmpl w:val="A384F049"/>
    <w:lvl w:ilvl="0" w:tentative="0">
      <w:start w:val="1"/>
      <w:numFmt w:val="lowerLetter"/>
      <w:lvlText w:val="%1)"/>
      <w:lvlJc w:val="left"/>
      <w:pPr>
        <w:ind w:left="0" w:firstLine="0"/>
      </w:pPr>
    </w:lvl>
  </w:abstractNum>
  <w:abstractNum w:abstractNumId="8">
    <w:nsid w:val="A39651B8"/>
    <w:multiLevelType w:val="singleLevel"/>
    <w:tmpl w:val="A39651B8"/>
    <w:lvl w:ilvl="0" w:tentative="0">
      <w:start w:val="1"/>
      <w:numFmt w:val="lowerLetter"/>
      <w:lvlText w:val="%1)"/>
      <w:lvlJc w:val="left"/>
      <w:pPr>
        <w:ind w:left="0" w:firstLine="0"/>
      </w:pPr>
    </w:lvl>
  </w:abstractNum>
  <w:abstractNum w:abstractNumId="9">
    <w:nsid w:val="A83ADD69"/>
    <w:multiLevelType w:val="singleLevel"/>
    <w:tmpl w:val="A83ADD69"/>
    <w:lvl w:ilvl="0" w:tentative="0">
      <w:start w:val="1"/>
      <w:numFmt w:val="lowerLetter"/>
      <w:lvlText w:val="%1)"/>
      <w:lvlJc w:val="left"/>
      <w:pPr>
        <w:ind w:left="0" w:firstLine="0"/>
      </w:pPr>
    </w:lvl>
  </w:abstractNum>
  <w:abstractNum w:abstractNumId="10">
    <w:nsid w:val="A884EA5B"/>
    <w:multiLevelType w:val="singleLevel"/>
    <w:tmpl w:val="A884EA5B"/>
    <w:lvl w:ilvl="0" w:tentative="0">
      <w:start w:val="1"/>
      <w:numFmt w:val="lowerLetter"/>
      <w:lvlText w:val="%1)"/>
      <w:lvlJc w:val="left"/>
      <w:pPr>
        <w:ind w:left="0" w:firstLine="0"/>
      </w:pPr>
    </w:lvl>
  </w:abstractNum>
  <w:abstractNum w:abstractNumId="11">
    <w:nsid w:val="B057347E"/>
    <w:multiLevelType w:val="singleLevel"/>
    <w:tmpl w:val="B057347E"/>
    <w:lvl w:ilvl="0" w:tentative="0">
      <w:start w:val="1"/>
      <w:numFmt w:val="decimal"/>
      <w:lvlText w:val="%1)"/>
      <w:lvlJc w:val="left"/>
      <w:pPr>
        <w:ind w:left="425" w:hanging="425"/>
      </w:pPr>
      <w:rPr>
        <w:rFonts w:hint="default"/>
      </w:rPr>
    </w:lvl>
  </w:abstractNum>
  <w:abstractNum w:abstractNumId="12">
    <w:nsid w:val="B85CD99D"/>
    <w:multiLevelType w:val="singleLevel"/>
    <w:tmpl w:val="B85CD99D"/>
    <w:lvl w:ilvl="0" w:tentative="0">
      <w:start w:val="1"/>
      <w:numFmt w:val="decimal"/>
      <w:lvlText w:val="%1)"/>
      <w:lvlJc w:val="left"/>
      <w:pPr>
        <w:ind w:left="425" w:hanging="425"/>
      </w:pPr>
      <w:rPr>
        <w:rFonts w:hint="default"/>
      </w:rPr>
    </w:lvl>
  </w:abstractNum>
  <w:abstractNum w:abstractNumId="13">
    <w:nsid w:val="BBEF6339"/>
    <w:multiLevelType w:val="singleLevel"/>
    <w:tmpl w:val="BBEF6339"/>
    <w:lvl w:ilvl="0" w:tentative="0">
      <w:start w:val="1"/>
      <w:numFmt w:val="lowerLetter"/>
      <w:lvlText w:val="%1)"/>
      <w:lvlJc w:val="left"/>
      <w:pPr>
        <w:ind w:left="0" w:firstLine="0"/>
      </w:pPr>
    </w:lvl>
  </w:abstractNum>
  <w:abstractNum w:abstractNumId="14">
    <w:nsid w:val="BC8078E8"/>
    <w:multiLevelType w:val="singleLevel"/>
    <w:tmpl w:val="BC8078E8"/>
    <w:lvl w:ilvl="0" w:tentative="0">
      <w:start w:val="1"/>
      <w:numFmt w:val="lowerLetter"/>
      <w:lvlText w:val="%1)"/>
      <w:lvlJc w:val="left"/>
    </w:lvl>
  </w:abstractNum>
  <w:abstractNum w:abstractNumId="15">
    <w:nsid w:val="CDC96C39"/>
    <w:multiLevelType w:val="singleLevel"/>
    <w:tmpl w:val="CDC96C39"/>
    <w:lvl w:ilvl="0" w:tentative="0">
      <w:start w:val="1"/>
      <w:numFmt w:val="lowerLetter"/>
      <w:lvlText w:val="%1)"/>
      <w:lvlJc w:val="left"/>
      <w:pPr>
        <w:ind w:left="0" w:firstLine="0"/>
      </w:pPr>
    </w:lvl>
  </w:abstractNum>
  <w:abstractNum w:abstractNumId="16">
    <w:nsid w:val="D447AEA8"/>
    <w:multiLevelType w:val="singleLevel"/>
    <w:tmpl w:val="D447AEA8"/>
    <w:lvl w:ilvl="0" w:tentative="0">
      <w:start w:val="1"/>
      <w:numFmt w:val="lowerLetter"/>
      <w:lvlText w:val="%1)"/>
      <w:lvlJc w:val="left"/>
      <w:pPr>
        <w:ind w:left="0" w:firstLine="0"/>
      </w:pPr>
    </w:lvl>
  </w:abstractNum>
  <w:abstractNum w:abstractNumId="17">
    <w:nsid w:val="D4DB5D0C"/>
    <w:multiLevelType w:val="singleLevel"/>
    <w:tmpl w:val="D4DB5D0C"/>
    <w:lvl w:ilvl="0" w:tentative="0">
      <w:start w:val="1"/>
      <w:numFmt w:val="lowerLetter"/>
      <w:lvlText w:val="%1)"/>
      <w:lvlJc w:val="left"/>
      <w:pPr>
        <w:ind w:left="0" w:firstLine="0"/>
      </w:pPr>
    </w:lvl>
  </w:abstractNum>
  <w:abstractNum w:abstractNumId="18">
    <w:nsid w:val="EA36BFE0"/>
    <w:multiLevelType w:val="singleLevel"/>
    <w:tmpl w:val="EA36BFE0"/>
    <w:lvl w:ilvl="0" w:tentative="0">
      <w:start w:val="1"/>
      <w:numFmt w:val="lowerLetter"/>
      <w:lvlText w:val="%1)"/>
      <w:lvlJc w:val="left"/>
      <w:pPr>
        <w:ind w:left="0" w:firstLine="0"/>
      </w:pPr>
    </w:lvl>
  </w:abstractNum>
  <w:abstractNum w:abstractNumId="19">
    <w:nsid w:val="EB8D5CEB"/>
    <w:multiLevelType w:val="singleLevel"/>
    <w:tmpl w:val="EB8D5CEB"/>
    <w:lvl w:ilvl="0" w:tentative="0">
      <w:start w:val="1"/>
      <w:numFmt w:val="lowerLetter"/>
      <w:lvlText w:val="%1)"/>
      <w:lvlJc w:val="left"/>
      <w:pPr>
        <w:ind w:left="0" w:firstLine="0"/>
      </w:pPr>
    </w:lvl>
  </w:abstractNum>
  <w:abstractNum w:abstractNumId="20">
    <w:nsid w:val="ED606AFF"/>
    <w:multiLevelType w:val="singleLevel"/>
    <w:tmpl w:val="ED606AFF"/>
    <w:lvl w:ilvl="0" w:tentative="0">
      <w:start w:val="1"/>
      <w:numFmt w:val="decimal"/>
      <w:lvlText w:val="%1)"/>
      <w:lvlJc w:val="left"/>
      <w:pPr>
        <w:ind w:left="425" w:hanging="425"/>
      </w:pPr>
      <w:rPr>
        <w:rFonts w:hint="default"/>
      </w:rPr>
    </w:lvl>
  </w:abstractNum>
  <w:abstractNum w:abstractNumId="21">
    <w:nsid w:val="EE116F44"/>
    <w:multiLevelType w:val="singleLevel"/>
    <w:tmpl w:val="EE116F44"/>
    <w:lvl w:ilvl="0" w:tentative="0">
      <w:start w:val="1"/>
      <w:numFmt w:val="lowerLetter"/>
      <w:lvlText w:val="%1)"/>
      <w:lvlJc w:val="left"/>
    </w:lvl>
  </w:abstractNum>
  <w:abstractNum w:abstractNumId="22">
    <w:nsid w:val="EE29943E"/>
    <w:multiLevelType w:val="singleLevel"/>
    <w:tmpl w:val="EE29943E"/>
    <w:lvl w:ilvl="0" w:tentative="0">
      <w:start w:val="1"/>
      <w:numFmt w:val="lowerLetter"/>
      <w:lvlText w:val="%1)"/>
      <w:lvlJc w:val="left"/>
      <w:pPr>
        <w:ind w:left="0" w:firstLine="0"/>
      </w:pPr>
    </w:lvl>
  </w:abstractNum>
  <w:abstractNum w:abstractNumId="23">
    <w:nsid w:val="F153C2FC"/>
    <w:multiLevelType w:val="singleLevel"/>
    <w:tmpl w:val="F153C2FC"/>
    <w:lvl w:ilvl="0" w:tentative="0">
      <w:start w:val="1"/>
      <w:numFmt w:val="lowerLetter"/>
      <w:lvlText w:val="%1)"/>
      <w:lvlJc w:val="left"/>
      <w:pPr>
        <w:ind w:left="0" w:firstLine="0"/>
      </w:pPr>
    </w:lvl>
  </w:abstractNum>
  <w:abstractNum w:abstractNumId="24">
    <w:nsid w:val="F662067A"/>
    <w:multiLevelType w:val="singleLevel"/>
    <w:tmpl w:val="F662067A"/>
    <w:lvl w:ilvl="0" w:tentative="0">
      <w:start w:val="1"/>
      <w:numFmt w:val="lowerLetter"/>
      <w:lvlText w:val="%1)"/>
      <w:lvlJc w:val="left"/>
      <w:pPr>
        <w:ind w:left="0" w:firstLine="0"/>
      </w:pPr>
    </w:lvl>
  </w:abstractNum>
  <w:abstractNum w:abstractNumId="25">
    <w:nsid w:val="F9DCEBF2"/>
    <w:multiLevelType w:val="singleLevel"/>
    <w:tmpl w:val="F9DCEBF2"/>
    <w:lvl w:ilvl="0" w:tentative="0">
      <w:start w:val="1"/>
      <w:numFmt w:val="decimal"/>
      <w:lvlText w:val="%1)"/>
      <w:lvlJc w:val="left"/>
      <w:pPr>
        <w:ind w:left="425" w:hanging="425"/>
      </w:pPr>
    </w:lvl>
  </w:abstractNum>
  <w:abstractNum w:abstractNumId="26">
    <w:nsid w:val="FA331366"/>
    <w:multiLevelType w:val="singleLevel"/>
    <w:tmpl w:val="FA331366"/>
    <w:lvl w:ilvl="0" w:tentative="0">
      <w:start w:val="1"/>
      <w:numFmt w:val="decimal"/>
      <w:lvlText w:val="%1)"/>
      <w:lvlJc w:val="left"/>
      <w:pPr>
        <w:ind w:left="425" w:hanging="425"/>
      </w:pPr>
      <w:rPr>
        <w:rFonts w:hint="default"/>
      </w:rPr>
    </w:lvl>
  </w:abstractNum>
  <w:abstractNum w:abstractNumId="27">
    <w:nsid w:val="FE0BF6E6"/>
    <w:multiLevelType w:val="singleLevel"/>
    <w:tmpl w:val="FE0BF6E6"/>
    <w:lvl w:ilvl="0" w:tentative="0">
      <w:start w:val="1"/>
      <w:numFmt w:val="decimal"/>
      <w:lvlText w:val="%1)"/>
      <w:lvlJc w:val="left"/>
      <w:pPr>
        <w:ind w:left="425" w:hanging="425"/>
      </w:pPr>
    </w:lvl>
  </w:abstractNum>
  <w:abstractNum w:abstractNumId="28">
    <w:nsid w:val="02837933"/>
    <w:multiLevelType w:val="multilevel"/>
    <w:tmpl w:val="02837933"/>
    <w:lvl w:ilvl="0" w:tentative="0">
      <w:start w:val="1"/>
      <w:numFmt w:val="decimal"/>
      <w:pStyle w:val="307"/>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9">
    <w:nsid w:val="079102AD"/>
    <w:multiLevelType w:val="multilevel"/>
    <w:tmpl w:val="079102AD"/>
    <w:lvl w:ilvl="0" w:tentative="0">
      <w:start w:val="1"/>
      <w:numFmt w:val="decimal"/>
      <w:pStyle w:val="406"/>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0">
    <w:nsid w:val="07ED3FEA"/>
    <w:multiLevelType w:val="multilevel"/>
    <w:tmpl w:val="07ED3FEA"/>
    <w:lvl w:ilvl="0" w:tentative="0">
      <w:start w:val="1"/>
      <w:numFmt w:val="none"/>
      <w:pStyle w:val="344"/>
      <w:lvlText w:val="%1"/>
      <w:lvlJc w:val="left"/>
      <w:pPr>
        <w:ind w:left="425" w:hanging="425"/>
      </w:pPr>
      <w:rPr>
        <w:rFonts w:hint="eastAsia"/>
      </w:rPr>
    </w:lvl>
    <w:lvl w:ilvl="1" w:tentative="0">
      <w:start w:val="1"/>
      <w:numFmt w:val="decimal"/>
      <w:pStyle w:val="395"/>
      <w:suff w:val="nothing"/>
      <w:lvlText w:val="%10.%2 "/>
      <w:lvlJc w:val="left"/>
      <w:pPr>
        <w:ind w:left="0" w:firstLine="0"/>
      </w:pPr>
      <w:rPr>
        <w:rFonts w:hint="eastAsia" w:ascii="黑体" w:eastAsia="黑体" w:hAnsiTheme="minorHAnsi"/>
        <w:b w:val="0"/>
        <w:i w:val="0"/>
        <w:sz w:val="21"/>
      </w:rPr>
    </w:lvl>
    <w:lvl w:ilvl="2" w:tentative="0">
      <w:start w:val="1"/>
      <w:numFmt w:val="decimal"/>
      <w:pStyle w:val="387"/>
      <w:suff w:val="nothing"/>
      <w:lvlText w:val="%10.%2.%3 "/>
      <w:lvlJc w:val="left"/>
      <w:pPr>
        <w:ind w:left="0" w:firstLine="0"/>
      </w:pPr>
      <w:rPr>
        <w:rFonts w:hint="eastAsia" w:ascii="黑体" w:eastAsia="黑体" w:hAnsiTheme="minorHAnsi"/>
        <w:b w:val="0"/>
        <w:i w:val="0"/>
        <w:sz w:val="21"/>
      </w:rPr>
    </w:lvl>
    <w:lvl w:ilvl="3" w:tentative="0">
      <w:start w:val="1"/>
      <w:numFmt w:val="decimal"/>
      <w:pStyle w:val="389"/>
      <w:suff w:val="nothing"/>
      <w:lvlText w:val="%10.%2.%3.%4 "/>
      <w:lvlJc w:val="left"/>
      <w:pPr>
        <w:ind w:left="0" w:firstLine="0"/>
      </w:pPr>
      <w:rPr>
        <w:rFonts w:hint="eastAsia" w:ascii="黑体" w:eastAsia="黑体" w:hAnsiTheme="minorHAnsi"/>
        <w:b w:val="0"/>
        <w:i w:val="0"/>
        <w:sz w:val="21"/>
      </w:rPr>
    </w:lvl>
    <w:lvl w:ilvl="4" w:tentative="0">
      <w:start w:val="1"/>
      <w:numFmt w:val="decimal"/>
      <w:pStyle w:val="391"/>
      <w:suff w:val="nothing"/>
      <w:lvlText w:val="%10.%2.%3.%4.%5 "/>
      <w:lvlJc w:val="left"/>
      <w:pPr>
        <w:ind w:left="0" w:firstLine="0"/>
      </w:pPr>
      <w:rPr>
        <w:rFonts w:hint="eastAsia" w:ascii="黑体" w:eastAsia="黑体" w:hAnsiTheme="minorHAnsi"/>
        <w:b w:val="0"/>
        <w:i w:val="0"/>
        <w:sz w:val="21"/>
      </w:rPr>
    </w:lvl>
    <w:lvl w:ilvl="5" w:tentative="0">
      <w:start w:val="1"/>
      <w:numFmt w:val="decimal"/>
      <w:pStyle w:val="393"/>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09B521AB"/>
    <w:multiLevelType w:val="singleLevel"/>
    <w:tmpl w:val="09B521AB"/>
    <w:lvl w:ilvl="0" w:tentative="0">
      <w:start w:val="1"/>
      <w:numFmt w:val="lowerLetter"/>
      <w:lvlText w:val="%1)"/>
      <w:lvlJc w:val="left"/>
      <w:pPr>
        <w:ind w:left="0" w:firstLine="0"/>
      </w:pPr>
    </w:lvl>
  </w:abstractNum>
  <w:abstractNum w:abstractNumId="32">
    <w:nsid w:val="0A625BE7"/>
    <w:multiLevelType w:val="singleLevel"/>
    <w:tmpl w:val="0A625BE7"/>
    <w:lvl w:ilvl="0" w:tentative="0">
      <w:start w:val="1"/>
      <w:numFmt w:val="lowerLetter"/>
      <w:lvlText w:val="%1)"/>
      <w:lvlJc w:val="left"/>
      <w:pPr>
        <w:ind w:left="0" w:firstLine="0"/>
      </w:pPr>
    </w:lvl>
  </w:abstractNum>
  <w:abstractNum w:abstractNumId="33">
    <w:nsid w:val="0AE367E9"/>
    <w:multiLevelType w:val="multilevel"/>
    <w:tmpl w:val="0AE367E9"/>
    <w:lvl w:ilvl="0" w:tentative="0">
      <w:start w:val="1"/>
      <w:numFmt w:val="none"/>
      <w:pStyle w:val="35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4">
    <w:nsid w:val="0BDC1670"/>
    <w:multiLevelType w:val="multilevel"/>
    <w:tmpl w:val="0BDC1670"/>
    <w:lvl w:ilvl="0" w:tentative="0">
      <w:start w:val="1"/>
      <w:numFmt w:val="decimal"/>
      <w:pStyle w:val="313"/>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0D051F45"/>
    <w:multiLevelType w:val="multilevel"/>
    <w:tmpl w:val="0D051F45"/>
    <w:lvl w:ilvl="0" w:tentative="0">
      <w:start w:val="1"/>
      <w:numFmt w:val="lowerRoman"/>
      <w:pStyle w:val="37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36">
    <w:nsid w:val="0D3D0E60"/>
    <w:multiLevelType w:val="singleLevel"/>
    <w:tmpl w:val="0D3D0E60"/>
    <w:lvl w:ilvl="0" w:tentative="0">
      <w:start w:val="1"/>
      <w:numFmt w:val="lowerLetter"/>
      <w:lvlText w:val="%1)"/>
      <w:lvlJc w:val="left"/>
      <w:pPr>
        <w:ind w:left="0" w:firstLine="0"/>
      </w:pPr>
    </w:lvl>
  </w:abstractNum>
  <w:abstractNum w:abstractNumId="37">
    <w:nsid w:val="0DEA13BC"/>
    <w:multiLevelType w:val="singleLevel"/>
    <w:tmpl w:val="0DEA13BC"/>
    <w:lvl w:ilvl="0" w:tentative="0">
      <w:start w:val="1"/>
      <w:numFmt w:val="lowerLetter"/>
      <w:lvlText w:val="%1)"/>
      <w:lvlJc w:val="left"/>
      <w:pPr>
        <w:ind w:left="0" w:firstLine="0"/>
      </w:pPr>
    </w:lvl>
  </w:abstractNum>
  <w:abstractNum w:abstractNumId="38">
    <w:nsid w:val="17390BDB"/>
    <w:multiLevelType w:val="singleLevel"/>
    <w:tmpl w:val="17390BDB"/>
    <w:lvl w:ilvl="0" w:tentative="0">
      <w:start w:val="1"/>
      <w:numFmt w:val="lowerLetter"/>
      <w:lvlText w:val="%1)"/>
      <w:lvlJc w:val="left"/>
      <w:pPr>
        <w:ind w:left="0" w:firstLine="0"/>
      </w:pPr>
    </w:lvl>
  </w:abstractNum>
  <w:abstractNum w:abstractNumId="39">
    <w:nsid w:val="1752A292"/>
    <w:multiLevelType w:val="singleLevel"/>
    <w:tmpl w:val="1752A292"/>
    <w:lvl w:ilvl="0" w:tentative="0">
      <w:start w:val="1"/>
      <w:numFmt w:val="lowerLetter"/>
      <w:lvlText w:val="%1)"/>
      <w:lvlJc w:val="left"/>
    </w:lvl>
  </w:abstractNum>
  <w:abstractNum w:abstractNumId="40">
    <w:nsid w:val="191C6D27"/>
    <w:multiLevelType w:val="singleLevel"/>
    <w:tmpl w:val="191C6D27"/>
    <w:lvl w:ilvl="0" w:tentative="0">
      <w:start w:val="1"/>
      <w:numFmt w:val="lowerLetter"/>
      <w:lvlText w:val="%1)"/>
      <w:lvlJc w:val="left"/>
      <w:pPr>
        <w:ind w:left="0" w:firstLine="0"/>
      </w:pPr>
    </w:lvl>
  </w:abstractNum>
  <w:abstractNum w:abstractNumId="41">
    <w:nsid w:val="1AD20F90"/>
    <w:multiLevelType w:val="multilevel"/>
    <w:tmpl w:val="1AD20F90"/>
    <w:lvl w:ilvl="0" w:tentative="0">
      <w:start w:val="1"/>
      <w:numFmt w:val="none"/>
      <w:pStyle w:val="398"/>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1AF15012"/>
    <w:multiLevelType w:val="multilevel"/>
    <w:tmpl w:val="1AF15012"/>
    <w:lvl w:ilvl="0" w:tentative="0">
      <w:start w:val="1"/>
      <w:numFmt w:val="upperLetter"/>
      <w:pStyle w:val="33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3">
    <w:nsid w:val="1DBF583A"/>
    <w:multiLevelType w:val="multilevel"/>
    <w:tmpl w:val="1DBF583A"/>
    <w:lvl w:ilvl="0" w:tentative="0">
      <w:start w:val="1"/>
      <w:numFmt w:val="decimal"/>
      <w:pStyle w:val="112"/>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44">
    <w:nsid w:val="1E525D6D"/>
    <w:multiLevelType w:val="singleLevel"/>
    <w:tmpl w:val="1E525D6D"/>
    <w:lvl w:ilvl="0" w:tentative="0">
      <w:start w:val="1"/>
      <w:numFmt w:val="lowerLetter"/>
      <w:lvlText w:val="%1)"/>
      <w:lvlJc w:val="left"/>
      <w:pPr>
        <w:ind w:left="0" w:firstLine="0"/>
      </w:pPr>
    </w:lvl>
  </w:abstractNum>
  <w:abstractNum w:abstractNumId="45">
    <w:nsid w:val="1EAA1992"/>
    <w:multiLevelType w:val="multilevel"/>
    <w:tmpl w:val="1EAA1992"/>
    <w:lvl w:ilvl="0" w:tentative="0">
      <w:start w:val="1"/>
      <w:numFmt w:val="none"/>
      <w:pStyle w:val="34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46">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color w:val="auto"/>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90"/>
      <w:suff w:val="nothing"/>
      <w:lvlText w:val="%1.%2.%3　"/>
      <w:lvlJc w:val="left"/>
      <w:pPr>
        <w:ind w:left="284" w:firstLine="0"/>
      </w:pPr>
      <w:rPr>
        <w:rFonts w:hint="eastAsia" w:ascii="黑体" w:hAnsi="Times New Roman" w:eastAsia="黑体"/>
        <w:b w:val="0"/>
        <w:i w:val="0"/>
        <w:sz w:val="21"/>
      </w:rPr>
    </w:lvl>
    <w:lvl w:ilvl="3" w:tentative="0">
      <w:start w:val="1"/>
      <w:numFmt w:val="decimal"/>
      <w:pStyle w:val="96"/>
      <w:suff w:val="nothing"/>
      <w:lvlText w:val="%1.%2.%3.%4　"/>
      <w:lvlJc w:val="left"/>
      <w:pPr>
        <w:ind w:left="1135" w:firstLine="0"/>
      </w:pPr>
      <w:rPr>
        <w:rFonts w:hint="eastAsia" w:ascii="黑体" w:hAnsi="Times New Roman" w:eastAsia="黑体"/>
        <w:b w:val="0"/>
        <w:i w:val="0"/>
        <w:sz w:val="21"/>
      </w:rPr>
    </w:lvl>
    <w:lvl w:ilvl="4" w:tentative="0">
      <w:start w:val="1"/>
      <w:numFmt w:val="decimal"/>
      <w:pStyle w:val="100"/>
      <w:suff w:val="nothing"/>
      <w:lvlText w:val="%1.%2.%3.%4.%5　"/>
      <w:lvlJc w:val="left"/>
      <w:pPr>
        <w:ind w:left="0" w:firstLine="0"/>
      </w:pPr>
      <w:rPr>
        <w:rFonts w:hint="eastAsia" w:ascii="黑体" w:hAnsi="Times New Roman" w:eastAsia="黑体"/>
        <w:b w:val="0"/>
        <w:i w:val="0"/>
        <w:sz w:val="21"/>
      </w:rPr>
    </w:lvl>
    <w:lvl w:ilvl="5" w:tentative="0">
      <w:start w:val="1"/>
      <w:numFmt w:val="decimal"/>
      <w:pStyle w:val="8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7">
    <w:nsid w:val="22390B7D"/>
    <w:multiLevelType w:val="singleLevel"/>
    <w:tmpl w:val="22390B7D"/>
    <w:lvl w:ilvl="0" w:tentative="0">
      <w:start w:val="1"/>
      <w:numFmt w:val="lowerLetter"/>
      <w:lvlText w:val="%1)"/>
      <w:lvlJc w:val="left"/>
      <w:pPr>
        <w:ind w:left="0" w:firstLine="0"/>
      </w:pPr>
    </w:lvl>
  </w:abstractNum>
  <w:abstractNum w:abstractNumId="48">
    <w:nsid w:val="28DDFF72"/>
    <w:multiLevelType w:val="singleLevel"/>
    <w:tmpl w:val="28DDFF72"/>
    <w:lvl w:ilvl="0" w:tentative="0">
      <w:start w:val="1"/>
      <w:numFmt w:val="lowerLetter"/>
      <w:lvlText w:val="%1)"/>
      <w:lvlJc w:val="left"/>
      <w:pPr>
        <w:ind w:left="0" w:firstLine="0"/>
      </w:pPr>
    </w:lvl>
  </w:abstractNum>
  <w:abstractNum w:abstractNumId="49">
    <w:nsid w:val="2A5548FF"/>
    <w:multiLevelType w:val="singleLevel"/>
    <w:tmpl w:val="2A5548FF"/>
    <w:lvl w:ilvl="0" w:tentative="0">
      <w:start w:val="1"/>
      <w:numFmt w:val="lowerLetter"/>
      <w:lvlText w:val="%1)"/>
      <w:lvlJc w:val="left"/>
      <w:pPr>
        <w:ind w:left="0" w:firstLine="0"/>
      </w:pPr>
    </w:lvl>
  </w:abstractNum>
  <w:abstractNum w:abstractNumId="50">
    <w:nsid w:val="2A8F7113"/>
    <w:multiLevelType w:val="multilevel"/>
    <w:tmpl w:val="2A8F7113"/>
    <w:lvl w:ilvl="0" w:tentative="0">
      <w:start w:val="1"/>
      <w:numFmt w:val="upperLetter"/>
      <w:pStyle w:val="145"/>
      <w:suff w:val="space"/>
      <w:lvlText w:val="%1"/>
      <w:lvlJc w:val="left"/>
      <w:pPr>
        <w:ind w:left="623" w:hanging="425"/>
      </w:pPr>
      <w:rPr>
        <w:rFonts w:hint="eastAsia"/>
      </w:rPr>
    </w:lvl>
    <w:lvl w:ilvl="1" w:tentative="0">
      <w:start w:val="1"/>
      <w:numFmt w:val="decimal"/>
      <w:pStyle w:val="146"/>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51">
    <w:nsid w:val="2C4D6F3B"/>
    <w:multiLevelType w:val="singleLevel"/>
    <w:tmpl w:val="2C4D6F3B"/>
    <w:lvl w:ilvl="0" w:tentative="0">
      <w:start w:val="1"/>
      <w:numFmt w:val="decimal"/>
      <w:lvlText w:val="%1)"/>
      <w:lvlJc w:val="left"/>
      <w:pPr>
        <w:ind w:left="425" w:hanging="425"/>
      </w:pPr>
      <w:rPr>
        <w:rFonts w:hint="default"/>
      </w:rPr>
    </w:lvl>
  </w:abstractNum>
  <w:abstractNum w:abstractNumId="52">
    <w:nsid w:val="2C5917C3"/>
    <w:multiLevelType w:val="multilevel"/>
    <w:tmpl w:val="2C5917C3"/>
    <w:lvl w:ilvl="0" w:tentative="0">
      <w:start w:val="1"/>
      <w:numFmt w:val="none"/>
      <w:pStyle w:val="38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311"/>
      <w:lvlText w:val=""/>
      <w:lvlJc w:val="left"/>
      <w:pPr>
        <w:ind w:left="851" w:hanging="431"/>
      </w:pPr>
      <w:rPr>
        <w:rFonts w:hint="default" w:ascii="Symbol" w:hAnsi="Symbol"/>
        <w:sz w:val="21"/>
      </w:rPr>
    </w:lvl>
    <w:lvl w:ilvl="2" w:tentative="0">
      <w:start w:val="1"/>
      <w:numFmt w:val="bullet"/>
      <w:pStyle w:val="350"/>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53">
    <w:nsid w:val="2CD5C863"/>
    <w:multiLevelType w:val="singleLevel"/>
    <w:tmpl w:val="2CD5C863"/>
    <w:lvl w:ilvl="0" w:tentative="0">
      <w:start w:val="1"/>
      <w:numFmt w:val="lowerLetter"/>
      <w:lvlText w:val="%1)"/>
      <w:lvlJc w:val="left"/>
      <w:pPr>
        <w:ind w:left="0" w:firstLine="0"/>
      </w:pPr>
    </w:lvl>
  </w:abstractNum>
  <w:abstractNum w:abstractNumId="54">
    <w:nsid w:val="2CF167D0"/>
    <w:multiLevelType w:val="multilevel"/>
    <w:tmpl w:val="2CF167D0"/>
    <w:lvl w:ilvl="0" w:tentative="0">
      <w:start w:val="1"/>
      <w:numFmt w:val="lowerLetter"/>
      <w:pStyle w:val="282"/>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5">
    <w:nsid w:val="2D8876DA"/>
    <w:multiLevelType w:val="singleLevel"/>
    <w:tmpl w:val="2D8876DA"/>
    <w:lvl w:ilvl="0" w:tentative="0">
      <w:start w:val="1"/>
      <w:numFmt w:val="lowerLetter"/>
      <w:lvlText w:val="%1)"/>
      <w:lvlJc w:val="left"/>
      <w:pPr>
        <w:ind w:left="0" w:firstLine="0"/>
      </w:pPr>
    </w:lvl>
  </w:abstractNum>
  <w:abstractNum w:abstractNumId="56">
    <w:nsid w:val="2F2729F8"/>
    <w:multiLevelType w:val="singleLevel"/>
    <w:tmpl w:val="2F2729F8"/>
    <w:lvl w:ilvl="0" w:tentative="0">
      <w:start w:val="1"/>
      <w:numFmt w:val="lowerLetter"/>
      <w:lvlText w:val="%1)"/>
      <w:lvlJc w:val="left"/>
      <w:pPr>
        <w:ind w:left="0" w:firstLine="0"/>
      </w:pPr>
    </w:lvl>
  </w:abstractNum>
  <w:abstractNum w:abstractNumId="57">
    <w:nsid w:val="31DA1E74"/>
    <w:multiLevelType w:val="singleLevel"/>
    <w:tmpl w:val="31DA1E74"/>
    <w:lvl w:ilvl="0" w:tentative="0">
      <w:start w:val="1"/>
      <w:numFmt w:val="lowerLetter"/>
      <w:lvlText w:val="%1)"/>
      <w:lvlJc w:val="left"/>
      <w:pPr>
        <w:ind w:left="0" w:firstLine="0"/>
      </w:pPr>
    </w:lvl>
  </w:abstractNum>
  <w:abstractNum w:abstractNumId="58">
    <w:nsid w:val="32F04FB2"/>
    <w:multiLevelType w:val="multilevel"/>
    <w:tmpl w:val="32F04FB2"/>
    <w:lvl w:ilvl="0" w:tentative="0">
      <w:start w:val="1"/>
      <w:numFmt w:val="lowerLetter"/>
      <w:pStyle w:val="37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59">
    <w:nsid w:val="34251C7D"/>
    <w:multiLevelType w:val="multilevel"/>
    <w:tmpl w:val="34251C7D"/>
    <w:lvl w:ilvl="0" w:tentative="0">
      <w:start w:val="1"/>
      <w:numFmt w:val="none"/>
      <w:pStyle w:val="210"/>
      <w:lvlText w:val="%1示例："/>
      <w:lvlJc w:val="left"/>
      <w:pPr>
        <w:tabs>
          <w:tab w:val="left" w:pos="1159"/>
        </w:tabs>
        <w:ind w:left="859"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37AF8382"/>
    <w:multiLevelType w:val="singleLevel"/>
    <w:tmpl w:val="37AF8382"/>
    <w:lvl w:ilvl="0" w:tentative="0">
      <w:start w:val="1"/>
      <w:numFmt w:val="lowerLetter"/>
      <w:lvlText w:val="%1)"/>
      <w:lvlJc w:val="left"/>
      <w:pPr>
        <w:ind w:left="0" w:firstLine="0"/>
      </w:pPr>
    </w:lvl>
  </w:abstractNum>
  <w:abstractNum w:abstractNumId="61">
    <w:nsid w:val="3AD6698B"/>
    <w:multiLevelType w:val="singleLevel"/>
    <w:tmpl w:val="3AD6698B"/>
    <w:lvl w:ilvl="0" w:tentative="0">
      <w:start w:val="1"/>
      <w:numFmt w:val="lowerLetter"/>
      <w:lvlText w:val="%1)"/>
      <w:lvlJc w:val="left"/>
      <w:pPr>
        <w:ind w:left="0" w:firstLine="0"/>
      </w:pPr>
    </w:lvl>
  </w:abstractNum>
  <w:abstractNum w:abstractNumId="62">
    <w:nsid w:val="3D733618"/>
    <w:multiLevelType w:val="multilevel"/>
    <w:tmpl w:val="3D733618"/>
    <w:lvl w:ilvl="0" w:tentative="0">
      <w:start w:val="1"/>
      <w:numFmt w:val="decimal"/>
      <w:pStyle w:val="41"/>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63">
    <w:nsid w:val="3E78486F"/>
    <w:multiLevelType w:val="singleLevel"/>
    <w:tmpl w:val="3E78486F"/>
    <w:lvl w:ilvl="0" w:tentative="0">
      <w:start w:val="1"/>
      <w:numFmt w:val="lowerLetter"/>
      <w:lvlText w:val="%1)"/>
      <w:lvlJc w:val="left"/>
      <w:pPr>
        <w:ind w:left="0" w:firstLine="0"/>
      </w:pPr>
    </w:lvl>
  </w:abstractNum>
  <w:abstractNum w:abstractNumId="64">
    <w:nsid w:val="3EBF547E"/>
    <w:multiLevelType w:val="singleLevel"/>
    <w:tmpl w:val="3EBF547E"/>
    <w:lvl w:ilvl="0" w:tentative="0">
      <w:start w:val="1"/>
      <w:numFmt w:val="lowerLetter"/>
      <w:lvlText w:val="%1)"/>
      <w:lvlJc w:val="left"/>
      <w:pPr>
        <w:ind w:left="0" w:firstLine="0"/>
      </w:pPr>
    </w:lvl>
  </w:abstractNum>
  <w:abstractNum w:abstractNumId="65">
    <w:nsid w:val="417419AB"/>
    <w:multiLevelType w:val="singleLevel"/>
    <w:tmpl w:val="417419AB"/>
    <w:lvl w:ilvl="0" w:tentative="0">
      <w:start w:val="1"/>
      <w:numFmt w:val="decimal"/>
      <w:lvlText w:val="%1)"/>
      <w:lvlJc w:val="left"/>
      <w:pPr>
        <w:ind w:left="425" w:hanging="425"/>
      </w:pPr>
    </w:lvl>
  </w:abstractNum>
  <w:abstractNum w:abstractNumId="66">
    <w:nsid w:val="419239CF"/>
    <w:multiLevelType w:val="singleLevel"/>
    <w:tmpl w:val="419239CF"/>
    <w:lvl w:ilvl="0" w:tentative="0">
      <w:start w:val="1"/>
      <w:numFmt w:val="lowerLetter"/>
      <w:lvlText w:val="%1)"/>
      <w:lvlJc w:val="left"/>
      <w:pPr>
        <w:ind w:left="0" w:firstLine="0"/>
      </w:pPr>
    </w:lvl>
  </w:abstractNum>
  <w:abstractNum w:abstractNumId="67">
    <w:nsid w:val="432453C1"/>
    <w:multiLevelType w:val="singleLevel"/>
    <w:tmpl w:val="432453C1"/>
    <w:lvl w:ilvl="0" w:tentative="0">
      <w:start w:val="1"/>
      <w:numFmt w:val="lowerLetter"/>
      <w:lvlText w:val="%1)"/>
      <w:lvlJc w:val="left"/>
      <w:pPr>
        <w:ind w:left="0" w:firstLine="0"/>
      </w:pPr>
    </w:lvl>
  </w:abstractNum>
  <w:abstractNum w:abstractNumId="68">
    <w:nsid w:val="44C50F90"/>
    <w:multiLevelType w:val="multilevel"/>
    <w:tmpl w:val="44C50F90"/>
    <w:lvl w:ilvl="0" w:tentative="0">
      <w:start w:val="1"/>
      <w:numFmt w:val="lowerLetter"/>
      <w:pStyle w:val="409"/>
      <w:lvlText w:val="%1)"/>
      <w:lvlJc w:val="left"/>
      <w:pPr>
        <w:tabs>
          <w:tab w:val="left" w:pos="851"/>
        </w:tabs>
        <w:ind w:left="851" w:hanging="426"/>
      </w:pPr>
      <w:rPr>
        <w:rFonts w:hint="eastAsia" w:ascii="宋体" w:hAnsi="Times New Roman" w:eastAsia="宋体"/>
        <w:sz w:val="21"/>
        <w:lang w:val="en-US"/>
      </w:rPr>
    </w:lvl>
    <w:lvl w:ilvl="1" w:tentative="0">
      <w:start w:val="1"/>
      <w:numFmt w:val="decimal"/>
      <w:pStyle w:val="366"/>
      <w:lvlText w:val="%2)"/>
      <w:lvlJc w:val="left"/>
      <w:pPr>
        <w:tabs>
          <w:tab w:val="left" w:pos="1276"/>
        </w:tabs>
        <w:ind w:left="1276" w:hanging="425"/>
      </w:pPr>
      <w:rPr>
        <w:rFonts w:hint="eastAsia" w:ascii="宋体" w:hAnsi="Times New Roman" w:eastAsia="宋体"/>
        <w:sz w:val="21"/>
      </w:rPr>
    </w:lvl>
    <w:lvl w:ilvl="2" w:tentative="0">
      <w:start w:val="1"/>
      <w:numFmt w:val="decimal"/>
      <w:pStyle w:val="30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9">
    <w:nsid w:val="45812790"/>
    <w:multiLevelType w:val="singleLevel"/>
    <w:tmpl w:val="45812790"/>
    <w:lvl w:ilvl="0" w:tentative="0">
      <w:start w:val="1"/>
      <w:numFmt w:val="lowerLetter"/>
      <w:lvlText w:val="%1)"/>
      <w:lvlJc w:val="left"/>
      <w:pPr>
        <w:ind w:left="0" w:firstLine="0"/>
      </w:pPr>
    </w:lvl>
  </w:abstractNum>
  <w:abstractNum w:abstractNumId="70">
    <w:nsid w:val="48802D1C"/>
    <w:multiLevelType w:val="multilevel"/>
    <w:tmpl w:val="48802D1C"/>
    <w:lvl w:ilvl="0" w:tentative="0">
      <w:start w:val="1"/>
      <w:numFmt w:val="upperLetter"/>
      <w:pStyle w:val="334"/>
      <w:lvlText w:val="%1"/>
      <w:lvlJc w:val="left"/>
      <w:pPr>
        <w:ind w:left="420" w:hanging="420"/>
      </w:pPr>
      <w:rPr>
        <w:rFonts w:hint="eastAsia"/>
      </w:rPr>
    </w:lvl>
    <w:lvl w:ilvl="1" w:tentative="0">
      <w:start w:val="1"/>
      <w:numFmt w:val="decimal"/>
      <w:pStyle w:val="33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1">
    <w:nsid w:val="4B699211"/>
    <w:multiLevelType w:val="singleLevel"/>
    <w:tmpl w:val="4B699211"/>
    <w:lvl w:ilvl="0" w:tentative="0">
      <w:start w:val="1"/>
      <w:numFmt w:val="decimal"/>
      <w:lvlText w:val="%1)"/>
      <w:lvlJc w:val="left"/>
      <w:pPr>
        <w:ind w:left="425" w:hanging="425"/>
      </w:pPr>
      <w:rPr>
        <w:rFonts w:hint="default"/>
      </w:rPr>
    </w:lvl>
  </w:abstractNum>
  <w:abstractNum w:abstractNumId="72">
    <w:nsid w:val="4B733A5F"/>
    <w:multiLevelType w:val="multilevel"/>
    <w:tmpl w:val="4B733A5F"/>
    <w:lvl w:ilvl="0" w:tentative="0">
      <w:start w:val="1"/>
      <w:numFmt w:val="decimal"/>
      <w:pStyle w:val="35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73">
    <w:nsid w:val="4E5D0534"/>
    <w:multiLevelType w:val="multilevel"/>
    <w:tmpl w:val="4E5D0534"/>
    <w:lvl w:ilvl="0" w:tentative="0">
      <w:start w:val="1"/>
      <w:numFmt w:val="decimal"/>
      <w:pStyle w:val="405"/>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74">
    <w:nsid w:val="50202359"/>
    <w:multiLevelType w:val="singleLevel"/>
    <w:tmpl w:val="50202359"/>
    <w:lvl w:ilvl="0" w:tentative="0">
      <w:start w:val="1"/>
      <w:numFmt w:val="lowerLetter"/>
      <w:lvlText w:val="%1)"/>
      <w:lvlJc w:val="left"/>
      <w:pPr>
        <w:ind w:left="0" w:firstLine="0"/>
      </w:pPr>
    </w:lvl>
  </w:abstractNum>
  <w:abstractNum w:abstractNumId="75">
    <w:nsid w:val="532909F0"/>
    <w:multiLevelType w:val="singleLevel"/>
    <w:tmpl w:val="532909F0"/>
    <w:lvl w:ilvl="0" w:tentative="0">
      <w:start w:val="1"/>
      <w:numFmt w:val="lowerLetter"/>
      <w:lvlText w:val="%1)"/>
      <w:lvlJc w:val="left"/>
      <w:pPr>
        <w:ind w:left="0" w:firstLine="0"/>
      </w:pPr>
    </w:lvl>
  </w:abstractNum>
  <w:abstractNum w:abstractNumId="76">
    <w:nsid w:val="532FB57F"/>
    <w:multiLevelType w:val="singleLevel"/>
    <w:tmpl w:val="532FB57F"/>
    <w:lvl w:ilvl="0" w:tentative="0">
      <w:start w:val="1"/>
      <w:numFmt w:val="lowerLetter"/>
      <w:lvlText w:val="%1)"/>
      <w:lvlJc w:val="left"/>
      <w:pPr>
        <w:ind w:left="0" w:firstLine="0"/>
      </w:pPr>
    </w:lvl>
  </w:abstractNum>
  <w:abstractNum w:abstractNumId="77">
    <w:nsid w:val="54632751"/>
    <w:multiLevelType w:val="multilevel"/>
    <w:tmpl w:val="54632751"/>
    <w:lvl w:ilvl="0" w:tentative="0">
      <w:start w:val="1"/>
      <w:numFmt w:val="none"/>
      <w:pStyle w:val="34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78">
    <w:nsid w:val="552F0A40"/>
    <w:multiLevelType w:val="singleLevel"/>
    <w:tmpl w:val="552F0A40"/>
    <w:lvl w:ilvl="0" w:tentative="0">
      <w:start w:val="1"/>
      <w:numFmt w:val="lowerLetter"/>
      <w:lvlText w:val="%1)"/>
      <w:lvlJc w:val="left"/>
      <w:pPr>
        <w:ind w:left="0" w:firstLine="0"/>
      </w:pPr>
    </w:lvl>
  </w:abstractNum>
  <w:abstractNum w:abstractNumId="79">
    <w:nsid w:val="557C2AF5"/>
    <w:multiLevelType w:val="multilevel"/>
    <w:tmpl w:val="557C2AF5"/>
    <w:lvl w:ilvl="0" w:tentative="0">
      <w:start w:val="1"/>
      <w:numFmt w:val="decimal"/>
      <w:pStyle w:val="403"/>
      <w:suff w:val="nothing"/>
      <w:lvlText w:val="图%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suff w:val="nothing"/>
      <w:lvlText w:val="%1%2.%3.%4　"/>
      <w:lvlJc w:val="left"/>
      <w:pPr>
        <w:ind w:left="0" w:firstLine="0"/>
      </w:pPr>
      <w:rPr>
        <w:rFonts w:hint="eastAsia"/>
      </w:rPr>
    </w:lvl>
    <w:lvl w:ilvl="4" w:tentative="0">
      <w:start w:val="1"/>
      <w:numFmt w:val="decimal"/>
      <w:suff w:val="nothing"/>
      <w:lvlText w:val="%1%2.%3.%4.%5　"/>
      <w:lvlJc w:val="left"/>
      <w:pPr>
        <w:ind w:left="0" w:firstLine="0"/>
      </w:pPr>
      <w:rPr>
        <w:rFonts w:hint="eastAsia"/>
      </w:rPr>
    </w:lvl>
    <w:lvl w:ilvl="5" w:tentative="0">
      <w:start w:val="1"/>
      <w:numFmt w:val="decimal"/>
      <w:suff w:val="nothing"/>
      <w:lvlText w:val="%1%2.%3.%4.%5.%6　"/>
      <w:lvlJc w:val="left"/>
      <w:pPr>
        <w:ind w:left="0" w:firstLine="0"/>
      </w:pPr>
      <w:rPr>
        <w:rFonts w:hint="eastAsia"/>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48"/>
        </w:tabs>
        <w:ind w:left="3969" w:hanging="1418"/>
      </w:pPr>
      <w:rPr>
        <w:rFonts w:hint="eastAsia"/>
      </w:rPr>
    </w:lvl>
    <w:lvl w:ilvl="8" w:tentative="0">
      <w:start w:val="1"/>
      <w:numFmt w:val="decimal"/>
      <w:lvlText w:val="%1.%2.%3.%4.%5.%6.%7.%8.%9"/>
      <w:lvlJc w:val="left"/>
      <w:pPr>
        <w:tabs>
          <w:tab w:val="left" w:pos="4774"/>
        </w:tabs>
        <w:ind w:left="4677" w:hanging="1701"/>
      </w:pPr>
      <w:rPr>
        <w:rFonts w:hint="eastAsia"/>
      </w:rPr>
    </w:lvl>
  </w:abstractNum>
  <w:abstractNum w:abstractNumId="80">
    <w:nsid w:val="5603797C"/>
    <w:multiLevelType w:val="multilevel"/>
    <w:tmpl w:val="5603797C"/>
    <w:lvl w:ilvl="0" w:tentative="0">
      <w:start w:val="1"/>
      <w:numFmt w:val="upperLetter"/>
      <w:pStyle w:val="323"/>
      <w:suff w:val="space"/>
      <w:lvlText w:val="%1"/>
      <w:lvlJc w:val="left"/>
      <w:pPr>
        <w:ind w:left="425" w:hanging="425"/>
      </w:pPr>
      <w:rPr>
        <w:rFonts w:hint="eastAsia"/>
      </w:rPr>
    </w:lvl>
    <w:lvl w:ilvl="1" w:tentative="0">
      <w:start w:val="1"/>
      <w:numFmt w:val="decimal"/>
      <w:pStyle w:val="324"/>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1">
    <w:nsid w:val="564D2089"/>
    <w:multiLevelType w:val="multilevel"/>
    <w:tmpl w:val="564D2089"/>
    <w:lvl w:ilvl="0" w:tentative="0">
      <w:start w:val="1"/>
      <w:numFmt w:val="none"/>
      <w:pStyle w:val="399"/>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2">
    <w:nsid w:val="60B55DC2"/>
    <w:multiLevelType w:val="multilevel"/>
    <w:tmpl w:val="60B55DC2"/>
    <w:lvl w:ilvl="0" w:tentative="0">
      <w:start w:val="1"/>
      <w:numFmt w:val="upperLetter"/>
      <w:pStyle w:val="133"/>
      <w:lvlText w:val="%1"/>
      <w:lvlJc w:val="left"/>
      <w:pPr>
        <w:tabs>
          <w:tab w:val="left" w:pos="0"/>
        </w:tabs>
        <w:ind w:left="0" w:hanging="425"/>
      </w:pPr>
      <w:rPr>
        <w:rFonts w:hint="eastAsia"/>
      </w:rPr>
    </w:lvl>
    <w:lvl w:ilvl="1" w:tentative="0">
      <w:start w:val="1"/>
      <w:numFmt w:val="decimal"/>
      <w:pStyle w:val="134"/>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83">
    <w:nsid w:val="63C24D47"/>
    <w:multiLevelType w:val="singleLevel"/>
    <w:tmpl w:val="63C24D47"/>
    <w:lvl w:ilvl="0" w:tentative="0">
      <w:start w:val="1"/>
      <w:numFmt w:val="lowerLetter"/>
      <w:lvlText w:val="%1)"/>
      <w:lvlJc w:val="left"/>
      <w:pPr>
        <w:ind w:left="0" w:firstLine="0"/>
      </w:pPr>
    </w:lvl>
  </w:abstractNum>
  <w:abstractNum w:abstractNumId="84">
    <w:nsid w:val="644622F9"/>
    <w:multiLevelType w:val="multilevel"/>
    <w:tmpl w:val="644622F9"/>
    <w:lvl w:ilvl="0" w:tentative="0">
      <w:start w:val="1"/>
      <w:numFmt w:val="upperRoman"/>
      <w:pStyle w:val="30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85">
    <w:nsid w:val="646260FA"/>
    <w:multiLevelType w:val="multilevel"/>
    <w:tmpl w:val="646260FA"/>
    <w:lvl w:ilvl="0" w:tentative="0">
      <w:start w:val="1"/>
      <w:numFmt w:val="decimal"/>
      <w:pStyle w:val="401"/>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86">
    <w:nsid w:val="654A26C9"/>
    <w:multiLevelType w:val="multilevel"/>
    <w:tmpl w:val="654A26C9"/>
    <w:lvl w:ilvl="0" w:tentative="0">
      <w:start w:val="1"/>
      <w:numFmt w:val="none"/>
      <w:pStyle w:val="38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87">
    <w:nsid w:val="657D3FBC"/>
    <w:multiLevelType w:val="multilevel"/>
    <w:tmpl w:val="657D3FBC"/>
    <w:lvl w:ilvl="0" w:tentative="0">
      <w:start w:val="1"/>
      <w:numFmt w:val="upperLetter"/>
      <w:suff w:val="nothing"/>
      <w:lvlText w:val="附录%1"/>
      <w:lvlJc w:val="left"/>
      <w:pPr>
        <w:ind w:left="0" w:firstLine="0"/>
      </w:pPr>
      <w:rPr>
        <w:rFonts w:hint="eastAsia"/>
        <w:spacing w:val="100"/>
        <w:lang w:val="en-US"/>
      </w:rPr>
    </w:lvl>
    <w:lvl w:ilvl="1" w:tentative="0">
      <w:start w:val="1"/>
      <w:numFmt w:val="decimal"/>
      <w:pStyle w:val="325"/>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pStyle w:val="295"/>
      <w:suff w:val="nothing"/>
      <w:lvlText w:val="%1.%2.%3.%4　"/>
      <w:lvlJc w:val="left"/>
      <w:pPr>
        <w:ind w:left="0" w:firstLine="0"/>
      </w:pPr>
      <w:rPr>
        <w:rFonts w:hint="eastAsia" w:ascii="黑体" w:eastAsia="黑体"/>
        <w:b w:val="0"/>
        <w:i w:val="0"/>
        <w:sz w:val="21"/>
      </w:rPr>
    </w:lvl>
    <w:lvl w:ilvl="4" w:tentative="0">
      <w:start w:val="1"/>
      <w:numFmt w:val="decimal"/>
      <w:pStyle w:val="332"/>
      <w:suff w:val="nothing"/>
      <w:lvlText w:val="%1.%2.%3.%4.%5　"/>
      <w:lvlJc w:val="left"/>
      <w:pPr>
        <w:ind w:left="0" w:firstLine="0"/>
      </w:pPr>
      <w:rPr>
        <w:rFonts w:hint="eastAsia" w:ascii="黑体" w:eastAsia="黑体"/>
        <w:b w:val="0"/>
        <w:i w:val="0"/>
        <w:sz w:val="21"/>
      </w:rPr>
    </w:lvl>
    <w:lvl w:ilvl="5" w:tentative="0">
      <w:start w:val="1"/>
      <w:numFmt w:val="decimal"/>
      <w:pStyle w:val="32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8">
    <w:nsid w:val="69506ABF"/>
    <w:multiLevelType w:val="multilevel"/>
    <w:tmpl w:val="69506ABF"/>
    <w:lvl w:ilvl="0" w:tentative="0">
      <w:start w:val="1"/>
      <w:numFmt w:val="bullet"/>
      <w:pStyle w:val="35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89">
    <w:nsid w:val="6A300200"/>
    <w:multiLevelType w:val="singleLevel"/>
    <w:tmpl w:val="6A300200"/>
    <w:lvl w:ilvl="0" w:tentative="0">
      <w:start w:val="1"/>
      <w:numFmt w:val="lowerLetter"/>
      <w:lvlText w:val="%1)"/>
      <w:lvlJc w:val="left"/>
      <w:pPr>
        <w:ind w:left="0" w:firstLine="0"/>
      </w:pPr>
    </w:lvl>
  </w:abstractNum>
  <w:abstractNum w:abstractNumId="90">
    <w:nsid w:val="6B9CDC8B"/>
    <w:multiLevelType w:val="singleLevel"/>
    <w:tmpl w:val="6B9CDC8B"/>
    <w:lvl w:ilvl="0" w:tentative="0">
      <w:start w:val="1"/>
      <w:numFmt w:val="decimal"/>
      <w:lvlText w:val="%1)"/>
      <w:lvlJc w:val="left"/>
      <w:pPr>
        <w:ind w:left="425" w:hanging="425"/>
      </w:pPr>
      <w:rPr>
        <w:rFonts w:hint="default"/>
      </w:rPr>
    </w:lvl>
  </w:abstractNum>
  <w:abstractNum w:abstractNumId="91">
    <w:nsid w:val="6CA41985"/>
    <w:multiLevelType w:val="multilevel"/>
    <w:tmpl w:val="6CA41985"/>
    <w:lvl w:ilvl="0" w:tentative="0">
      <w:start w:val="1"/>
      <w:numFmt w:val="decimal"/>
      <w:pStyle w:val="365"/>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6CEA2025"/>
    <w:multiLevelType w:val="multilevel"/>
    <w:tmpl w:val="6CEA2025"/>
    <w:lvl w:ilvl="0" w:tentative="0">
      <w:start w:val="1"/>
      <w:numFmt w:val="none"/>
      <w:pStyle w:val="278"/>
      <w:suff w:val="nothing"/>
      <w:lvlText w:val="%1"/>
      <w:lvlJc w:val="left"/>
      <w:pPr>
        <w:ind w:left="0" w:firstLine="0"/>
      </w:pPr>
      <w:rPr>
        <w:rFonts w:hint="eastAsia"/>
      </w:rPr>
    </w:lvl>
    <w:lvl w:ilvl="1" w:tentative="0">
      <w:start w:val="1"/>
      <w:numFmt w:val="decimal"/>
      <w:pStyle w:val="276"/>
      <w:suff w:val="nothing"/>
      <w:lvlText w:val="%1%2　"/>
      <w:lvlJc w:val="left"/>
      <w:pPr>
        <w:ind w:left="0" w:firstLine="0"/>
      </w:pPr>
      <w:rPr>
        <w:rFonts w:hint="eastAsia" w:ascii="黑体" w:eastAsia="黑体"/>
        <w:b w:val="0"/>
        <w:i w:val="0"/>
        <w:sz w:val="21"/>
      </w:rPr>
    </w:lvl>
    <w:lvl w:ilvl="2" w:tentative="0">
      <w:start w:val="1"/>
      <w:numFmt w:val="decimal"/>
      <w:pStyle w:val="27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271"/>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pStyle w:val="273"/>
      <w:suff w:val="nothing"/>
      <w:lvlText w:val="%1%2.%3.%4.%5.%6　"/>
      <w:lvlJc w:val="left"/>
      <w:pPr>
        <w:ind w:left="0" w:firstLine="0"/>
      </w:pPr>
      <w:rPr>
        <w:rFonts w:hint="eastAsia" w:ascii="黑体" w:eastAsia="黑体"/>
        <w:b w:val="0"/>
        <w:i w:val="0"/>
        <w:sz w:val="21"/>
      </w:rPr>
    </w:lvl>
    <w:lvl w:ilvl="6" w:tentative="0">
      <w:start w:val="1"/>
      <w:numFmt w:val="decimal"/>
      <w:pStyle w:val="27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3">
    <w:nsid w:val="6D6C07CD"/>
    <w:multiLevelType w:val="multilevel"/>
    <w:tmpl w:val="6D6C07CD"/>
    <w:lvl w:ilvl="0" w:tentative="0">
      <w:start w:val="1"/>
      <w:numFmt w:val="lowerLetter"/>
      <w:pStyle w:val="152"/>
      <w:lvlText w:val="%1)"/>
      <w:lvlJc w:val="left"/>
      <w:pPr>
        <w:tabs>
          <w:tab w:val="left" w:pos="839"/>
        </w:tabs>
        <w:ind w:left="839" w:hanging="419"/>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142"/>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94">
    <w:nsid w:val="6DA278A4"/>
    <w:multiLevelType w:val="singleLevel"/>
    <w:tmpl w:val="6DA278A4"/>
    <w:lvl w:ilvl="0" w:tentative="0">
      <w:start w:val="1"/>
      <w:numFmt w:val="lowerLetter"/>
      <w:lvlText w:val="%1)"/>
      <w:lvlJc w:val="left"/>
      <w:pPr>
        <w:ind w:left="0" w:firstLine="0"/>
      </w:pPr>
    </w:lvl>
  </w:abstractNum>
  <w:abstractNum w:abstractNumId="95">
    <w:nsid w:val="6DBF04F4"/>
    <w:multiLevelType w:val="multilevel"/>
    <w:tmpl w:val="6DBF04F4"/>
    <w:lvl w:ilvl="0" w:tentative="0">
      <w:start w:val="1"/>
      <w:numFmt w:val="none"/>
      <w:pStyle w:val="294"/>
      <w:lvlText w:val="%1注："/>
      <w:lvlJc w:val="left"/>
      <w:pPr>
        <w:ind w:left="737" w:hanging="374"/>
      </w:pPr>
      <w:rPr>
        <w:rFonts w:hint="eastAsia" w:ascii="黑体" w:eastAsia="黑体"/>
        <w:b w:val="0"/>
        <w:i w:val="0"/>
        <w:sz w:val="18"/>
        <w:lang w:val="en-US"/>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96">
    <w:nsid w:val="6DF35F19"/>
    <w:multiLevelType w:val="multilevel"/>
    <w:tmpl w:val="6DF35F19"/>
    <w:lvl w:ilvl="0" w:tentative="0">
      <w:start w:val="1"/>
      <w:numFmt w:val="decimal"/>
      <w:pStyle w:val="404"/>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97">
    <w:nsid w:val="6E36CD0E"/>
    <w:multiLevelType w:val="singleLevel"/>
    <w:tmpl w:val="6E36CD0E"/>
    <w:lvl w:ilvl="0" w:tentative="0">
      <w:start w:val="1"/>
      <w:numFmt w:val="lowerLetter"/>
      <w:lvlText w:val="%1)"/>
      <w:lvlJc w:val="left"/>
    </w:lvl>
  </w:abstractNum>
  <w:abstractNum w:abstractNumId="98">
    <w:nsid w:val="6EF9132D"/>
    <w:multiLevelType w:val="singleLevel"/>
    <w:tmpl w:val="6EF9132D"/>
    <w:lvl w:ilvl="0" w:tentative="0">
      <w:start w:val="1"/>
      <w:numFmt w:val="lowerLetter"/>
      <w:lvlText w:val="%1)"/>
      <w:lvlJc w:val="left"/>
      <w:pPr>
        <w:ind w:left="0" w:firstLine="0"/>
      </w:pPr>
    </w:lvl>
  </w:abstractNum>
  <w:abstractNum w:abstractNumId="99">
    <w:nsid w:val="72102A45"/>
    <w:multiLevelType w:val="singleLevel"/>
    <w:tmpl w:val="72102A45"/>
    <w:lvl w:ilvl="0" w:tentative="0">
      <w:start w:val="1"/>
      <w:numFmt w:val="lowerLetter"/>
      <w:lvlText w:val="%1)"/>
      <w:lvlJc w:val="left"/>
      <w:pPr>
        <w:ind w:left="0" w:firstLine="0"/>
      </w:pPr>
    </w:lvl>
  </w:abstractNum>
  <w:abstractNum w:abstractNumId="100">
    <w:nsid w:val="743D7678"/>
    <w:multiLevelType w:val="singleLevel"/>
    <w:tmpl w:val="743D7678"/>
    <w:lvl w:ilvl="0" w:tentative="0">
      <w:start w:val="1"/>
      <w:numFmt w:val="lowerLetter"/>
      <w:lvlText w:val="%1)"/>
      <w:lvlJc w:val="left"/>
      <w:pPr>
        <w:ind w:left="0" w:firstLine="0"/>
      </w:pPr>
    </w:lvl>
  </w:abstractNum>
  <w:abstractNum w:abstractNumId="101">
    <w:nsid w:val="7586393E"/>
    <w:multiLevelType w:val="singleLevel"/>
    <w:tmpl w:val="7586393E"/>
    <w:lvl w:ilvl="0" w:tentative="0">
      <w:start w:val="1"/>
      <w:numFmt w:val="decimal"/>
      <w:lvlText w:val="%1)"/>
      <w:lvlJc w:val="left"/>
      <w:pPr>
        <w:ind w:left="425" w:hanging="425"/>
      </w:pPr>
      <w:rPr>
        <w:rFonts w:hint="default"/>
      </w:rPr>
    </w:lvl>
  </w:abstractNum>
  <w:abstractNum w:abstractNumId="102">
    <w:nsid w:val="760D9CC9"/>
    <w:multiLevelType w:val="singleLevel"/>
    <w:tmpl w:val="760D9CC9"/>
    <w:lvl w:ilvl="0" w:tentative="0">
      <w:start w:val="1"/>
      <w:numFmt w:val="decimal"/>
      <w:lvlText w:val="%1)"/>
      <w:lvlJc w:val="left"/>
      <w:pPr>
        <w:ind w:left="425" w:hanging="425"/>
      </w:pPr>
    </w:lvl>
  </w:abstractNum>
  <w:abstractNum w:abstractNumId="103">
    <w:nsid w:val="77E84F58"/>
    <w:multiLevelType w:val="singleLevel"/>
    <w:tmpl w:val="77E84F58"/>
    <w:lvl w:ilvl="0" w:tentative="0">
      <w:start w:val="1"/>
      <w:numFmt w:val="lowerLetter"/>
      <w:lvlText w:val="%1)"/>
      <w:lvlJc w:val="left"/>
      <w:pPr>
        <w:ind w:left="0" w:firstLine="0"/>
      </w:pPr>
    </w:lvl>
  </w:abstractNum>
  <w:num w:numId="1">
    <w:abstractNumId w:val="62"/>
  </w:num>
  <w:num w:numId="2">
    <w:abstractNumId w:val="46"/>
  </w:num>
  <w:num w:numId="3">
    <w:abstractNumId w:val="43"/>
  </w:num>
  <w:num w:numId="4">
    <w:abstractNumId w:val="82"/>
  </w:num>
  <w:num w:numId="5">
    <w:abstractNumId w:val="93"/>
  </w:num>
  <w:num w:numId="6">
    <w:abstractNumId w:val="50"/>
  </w:num>
  <w:num w:numId="7">
    <w:abstractNumId w:val="59"/>
  </w:num>
  <w:num w:numId="8">
    <w:abstractNumId w:val="92"/>
  </w:num>
  <w:num w:numId="9">
    <w:abstractNumId w:val="54"/>
  </w:num>
  <w:num w:numId="10">
    <w:abstractNumId w:val="95"/>
  </w:num>
  <w:num w:numId="11">
    <w:abstractNumId w:val="87"/>
  </w:num>
  <w:num w:numId="12">
    <w:abstractNumId w:val="68"/>
  </w:num>
  <w:num w:numId="13">
    <w:abstractNumId w:val="28"/>
  </w:num>
  <w:num w:numId="14">
    <w:abstractNumId w:val="84"/>
  </w:num>
  <w:num w:numId="15">
    <w:abstractNumId w:val="52"/>
  </w:num>
  <w:num w:numId="16">
    <w:abstractNumId w:val="34"/>
  </w:num>
  <w:num w:numId="17">
    <w:abstractNumId w:val="80"/>
  </w:num>
  <w:num w:numId="18">
    <w:abstractNumId w:val="70"/>
  </w:num>
  <w:num w:numId="19">
    <w:abstractNumId w:val="42"/>
  </w:num>
  <w:num w:numId="20">
    <w:abstractNumId w:val="30"/>
  </w:num>
  <w:num w:numId="21">
    <w:abstractNumId w:val="45"/>
  </w:num>
  <w:num w:numId="22">
    <w:abstractNumId w:val="77"/>
  </w:num>
  <w:num w:numId="23">
    <w:abstractNumId w:val="88"/>
  </w:num>
  <w:num w:numId="24">
    <w:abstractNumId w:val="33"/>
  </w:num>
  <w:num w:numId="25">
    <w:abstractNumId w:val="72"/>
  </w:num>
  <w:num w:numId="26">
    <w:abstractNumId w:val="91"/>
  </w:num>
  <w:num w:numId="27">
    <w:abstractNumId w:val="58"/>
  </w:num>
  <w:num w:numId="28">
    <w:abstractNumId w:val="35"/>
  </w:num>
  <w:num w:numId="29">
    <w:abstractNumId w:val="86"/>
  </w:num>
  <w:num w:numId="30">
    <w:abstractNumId w:val="41"/>
  </w:num>
  <w:num w:numId="31">
    <w:abstractNumId w:val="81"/>
  </w:num>
  <w:num w:numId="32">
    <w:abstractNumId w:val="85"/>
  </w:num>
  <w:num w:numId="33">
    <w:abstractNumId w:val="79"/>
  </w:num>
  <w:num w:numId="34">
    <w:abstractNumId w:val="96"/>
  </w:num>
  <w:num w:numId="35">
    <w:abstractNumId w:val="73"/>
  </w:num>
  <w:num w:numId="36">
    <w:abstractNumId w:val="29"/>
  </w:num>
  <w:num w:numId="3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num>
  <w:num w:numId="41">
    <w:abstractNumId w:val="8"/>
    <w:lvlOverride w:ilvl="0">
      <w:startOverride w:val="1"/>
    </w:lvlOverride>
  </w:num>
  <w:num w:numId="42">
    <w:abstractNumId w:val="2"/>
    <w:lvlOverride w:ilvl="0">
      <w:startOverride w:val="1"/>
    </w:lvlOverride>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num>
  <w:num w:numId="45">
    <w:abstractNumId w:val="5"/>
    <w:lvlOverride w:ilvl="0">
      <w:startOverride w:val="1"/>
    </w:lvlOverride>
  </w:num>
  <w:num w:numId="46">
    <w:abstractNumId w:val="4"/>
    <w:lvlOverride w:ilvl="0">
      <w:startOverride w:val="1"/>
    </w:lvlOverride>
  </w:num>
  <w:num w:numId="47">
    <w:abstractNumId w:val="10"/>
    <w:lvlOverride w:ilvl="0">
      <w:startOverride w:val="1"/>
    </w:lvlOverride>
  </w:num>
  <w:num w:numId="48">
    <w:abstractNumId w:val="100"/>
    <w:lvlOverride w:ilvl="0">
      <w:startOverride w:val="1"/>
    </w:lvlOverride>
  </w:num>
  <w:num w:numId="49">
    <w:abstractNumId w:val="9"/>
    <w:lvlOverride w:ilvl="0">
      <w:startOverride w:val="1"/>
    </w:lvlOverride>
  </w:num>
  <w:num w:numId="50">
    <w:abstractNumId w:val="48"/>
    <w:lvlOverride w:ilvl="0">
      <w:startOverride w:val="1"/>
    </w:lvlOverride>
  </w:num>
  <w:num w:numId="51">
    <w:abstractNumId w:val="18"/>
    <w:lvlOverride w:ilvl="0">
      <w:startOverride w:val="1"/>
    </w:lvlOverride>
  </w:num>
  <w:num w:numId="52">
    <w:abstractNumId w:val="3"/>
    <w:lvlOverride w:ilvl="0">
      <w:startOverride w:val="1"/>
    </w:lvlOverride>
  </w:num>
  <w:num w:numId="53">
    <w:abstractNumId w:val="49"/>
    <w:lvlOverride w:ilvl="0">
      <w:startOverride w:val="1"/>
    </w:lvlOverride>
  </w:num>
  <w:num w:numId="54">
    <w:abstractNumId w:val="16"/>
    <w:lvlOverride w:ilvl="0">
      <w:startOverride w:val="1"/>
    </w:lvlOverride>
  </w:num>
  <w:num w:numId="55">
    <w:abstractNumId w:val="67"/>
    <w:lvlOverride w:ilvl="0">
      <w:startOverride w:val="1"/>
    </w:lvlOverride>
  </w:num>
  <w:num w:numId="56">
    <w:abstractNumId w:val="40"/>
    <w:lvlOverride w:ilvl="0">
      <w:startOverride w:val="1"/>
    </w:lvlOverride>
  </w:num>
  <w:num w:numId="57">
    <w:abstractNumId w:val="0"/>
    <w:lvlOverride w:ilvl="0">
      <w:startOverride w:val="1"/>
    </w:lvlOverride>
  </w:num>
  <w:num w:numId="58">
    <w:abstractNumId w:val="37"/>
    <w:lvlOverride w:ilvl="0">
      <w:startOverride w:val="1"/>
    </w:lvlOverride>
  </w:num>
  <w:num w:numId="59">
    <w:abstractNumId w:val="69"/>
    <w:lvlOverride w:ilvl="0">
      <w:startOverride w:val="1"/>
    </w:lvlOverride>
  </w:num>
  <w:num w:numId="60">
    <w:abstractNumId w:val="76"/>
    <w:lvlOverride w:ilvl="0">
      <w:startOverride w:val="1"/>
    </w:lvlOverride>
  </w:num>
  <w:num w:numId="61">
    <w:abstractNumId w:val="66"/>
    <w:lvlOverride w:ilvl="0">
      <w:startOverride w:val="1"/>
    </w:lvlOverride>
  </w:num>
  <w:num w:numId="62">
    <w:abstractNumId w:val="17"/>
    <w:lvlOverride w:ilvl="0">
      <w:startOverride w:val="1"/>
    </w:lvlOverride>
  </w:num>
  <w:num w:numId="63">
    <w:abstractNumId w:val="13"/>
    <w:lvlOverride w:ilvl="0">
      <w:startOverride w:val="1"/>
    </w:lvlOverride>
  </w:num>
  <w:num w:numId="64">
    <w:abstractNumId w:val="23"/>
    <w:lvlOverride w:ilvl="0">
      <w:startOverride w:val="1"/>
    </w:lvlOverride>
  </w:num>
  <w:num w:numId="65">
    <w:abstractNumId w:val="7"/>
    <w:lvlOverride w:ilvl="0">
      <w:startOverride w:val="1"/>
    </w:lvlOverride>
  </w:num>
  <w:num w:numId="66">
    <w:abstractNumId w:val="15"/>
    <w:lvlOverride w:ilvl="0">
      <w:startOverride w:val="1"/>
    </w:lvlOverride>
  </w:num>
  <w:num w:numId="67">
    <w:abstractNumId w:val="55"/>
    <w:lvlOverride w:ilvl="0">
      <w:startOverride w:val="1"/>
    </w:lvlOverride>
  </w:num>
  <w:num w:numId="68">
    <w:abstractNumId w:val="74"/>
    <w:lvlOverride w:ilvl="0">
      <w:startOverride w:val="1"/>
    </w:lvlOverride>
  </w:num>
  <w:num w:numId="69">
    <w:abstractNumId w:val="99"/>
    <w:lvlOverride w:ilvl="0">
      <w:startOverride w:val="1"/>
    </w:lvlOverride>
  </w:num>
  <w:num w:numId="70">
    <w:abstractNumId w:val="83"/>
    <w:lvlOverride w:ilvl="0">
      <w:startOverride w:val="1"/>
    </w:lvlOverride>
  </w:num>
  <w:num w:numId="71">
    <w:abstractNumId w:val="98"/>
    <w:lvlOverride w:ilvl="0">
      <w:startOverride w:val="1"/>
    </w:lvlOverride>
  </w:num>
  <w:num w:numId="72">
    <w:abstractNumId w:val="44"/>
    <w:lvlOverride w:ilvl="0">
      <w:startOverride w:val="1"/>
    </w:lvlOverride>
  </w:num>
  <w:num w:numId="73">
    <w:abstractNumId w:val="64"/>
    <w:lvlOverride w:ilvl="0">
      <w:startOverride w:val="1"/>
    </w:lvlOverride>
  </w:num>
  <w:num w:numId="74">
    <w:abstractNumId w:val="63"/>
    <w:lvlOverride w:ilvl="0">
      <w:startOverride w:val="1"/>
    </w:lvlOverride>
  </w:num>
  <w:num w:numId="75">
    <w:abstractNumId w:val="75"/>
    <w:lvlOverride w:ilvl="0">
      <w:startOverride w:val="1"/>
    </w:lvlOverride>
  </w:num>
  <w:num w:numId="76">
    <w:abstractNumId w:val="56"/>
    <w:lvlOverride w:ilvl="0">
      <w:startOverride w:val="1"/>
    </w:lvlOverride>
  </w:num>
  <w:num w:numId="77">
    <w:abstractNumId w:val="47"/>
    <w:lvlOverride w:ilvl="0">
      <w:startOverride w:val="1"/>
    </w:lvlOverride>
  </w:num>
  <w:num w:numId="78">
    <w:abstractNumId w:val="103"/>
    <w:lvlOverride w:ilvl="0">
      <w:startOverride w:val="1"/>
    </w:lvlOverride>
  </w:num>
  <w:num w:numId="79">
    <w:abstractNumId w:val="89"/>
    <w:lvlOverride w:ilvl="0">
      <w:startOverride w:val="1"/>
    </w:lvlOverride>
  </w:num>
  <w:num w:numId="80">
    <w:abstractNumId w:val="36"/>
    <w:lvlOverride w:ilvl="0">
      <w:startOverride w:val="1"/>
    </w:lvlOverride>
  </w:num>
  <w:num w:numId="81">
    <w:abstractNumId w:val="31"/>
    <w:lvlOverride w:ilvl="0">
      <w:startOverride w:val="1"/>
    </w:lvlOverride>
  </w:num>
  <w:num w:numId="82">
    <w:abstractNumId w:val="61"/>
    <w:lvlOverride w:ilvl="0">
      <w:startOverride w:val="1"/>
    </w:lvlOverride>
  </w:num>
  <w:num w:numId="83">
    <w:abstractNumId w:val="60"/>
    <w:lvlOverride w:ilvl="0">
      <w:startOverride w:val="1"/>
    </w:lvlOverride>
  </w:num>
  <w:num w:numId="84">
    <w:abstractNumId w:val="19"/>
    <w:lvlOverride w:ilvl="0">
      <w:startOverride w:val="1"/>
    </w:lvlOverride>
  </w:num>
  <w:num w:numId="85">
    <w:abstractNumId w:val="78"/>
    <w:lvlOverride w:ilvl="0">
      <w:startOverride w:val="1"/>
    </w:lvlOverride>
  </w:num>
  <w:num w:numId="86">
    <w:abstractNumId w:val="24"/>
    <w:lvlOverride w:ilvl="0">
      <w:startOverride w:val="1"/>
    </w:lvlOverride>
  </w:num>
  <w:num w:numId="87">
    <w:abstractNumId w:val="57"/>
    <w:lvlOverride w:ilvl="0">
      <w:startOverride w:val="1"/>
    </w:lvlOverride>
  </w:num>
  <w:num w:numId="88">
    <w:abstractNumId w:val="53"/>
    <w:lvlOverride w:ilvl="0">
      <w:startOverride w:val="1"/>
    </w:lvlOverride>
  </w:num>
  <w:num w:numId="89">
    <w:abstractNumId w:val="6"/>
    <w:lvlOverride w:ilvl="0">
      <w:startOverride w:val="1"/>
    </w:lvlOverride>
  </w:num>
  <w:num w:numId="90">
    <w:abstractNumId w:val="27"/>
    <w:lvlOverride w:ilvl="0">
      <w:startOverride w:val="1"/>
    </w:lvlOverride>
  </w:num>
  <w:num w:numId="91">
    <w:abstractNumId w:val="25"/>
    <w:lvlOverride w:ilvl="0">
      <w:startOverride w:val="1"/>
    </w:lvlOverride>
  </w:num>
  <w:num w:numId="92">
    <w:abstractNumId w:val="102"/>
    <w:lvlOverride w:ilvl="0">
      <w:startOverride w:val="1"/>
    </w:lvlOverride>
  </w:num>
  <w:num w:numId="93">
    <w:abstractNumId w:val="65"/>
    <w:lvlOverride w:ilvl="0">
      <w:startOverride w:val="1"/>
    </w:lvlOverride>
  </w:num>
  <w:num w:numId="94">
    <w:abstractNumId w:val="32"/>
    <w:lvlOverride w:ilvl="0">
      <w:startOverride w:val="1"/>
    </w:lvlOverride>
  </w:num>
  <w:num w:numId="95">
    <w:abstractNumId w:val="94"/>
    <w:lvlOverride w:ilvl="0">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
  </w:num>
  <w:num w:numId="109">
    <w:abstractNumId w:val="26"/>
  </w:num>
  <w:num w:numId="110">
    <w:abstractNumId w:val="14"/>
  </w:num>
  <w:num w:numId="111">
    <w:abstractNumId w:val="39"/>
  </w:num>
  <w:num w:numId="112">
    <w:abstractNumId w:val="101"/>
  </w:num>
  <w:num w:numId="113">
    <w:abstractNumId w:val="90"/>
  </w:num>
  <w:num w:numId="114">
    <w:abstractNumId w:val="1"/>
  </w:num>
  <w:num w:numId="115">
    <w:abstractNumId w:val="11"/>
  </w:num>
  <w:num w:numId="116">
    <w:abstractNumId w:val="97"/>
  </w:num>
  <w:num w:numId="117">
    <w:abstractNumId w:val="51"/>
  </w:num>
  <w:num w:numId="118">
    <w:abstractNumId w:val="12"/>
  </w:num>
  <w:num w:numId="119">
    <w:abstractNumId w:val="71"/>
  </w:num>
  <w:num w:numId="120">
    <w:abstractNumId w:val="20"/>
  </w:num>
  <w:num w:numId="1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jZjUzZDRiOThlNjM4NmE1MjZhNWU5MWU0MWYyNDkifQ=="/>
  </w:docVars>
  <w:rsids>
    <w:rsidRoot w:val="00035925"/>
    <w:rsid w:val="00000244"/>
    <w:rsid w:val="00000CFA"/>
    <w:rsid w:val="0000185F"/>
    <w:rsid w:val="00001F47"/>
    <w:rsid w:val="00002570"/>
    <w:rsid w:val="0000285D"/>
    <w:rsid w:val="00002BCF"/>
    <w:rsid w:val="00002BDB"/>
    <w:rsid w:val="00002D75"/>
    <w:rsid w:val="00003021"/>
    <w:rsid w:val="000031A5"/>
    <w:rsid w:val="00003EC0"/>
    <w:rsid w:val="0000409B"/>
    <w:rsid w:val="00004C44"/>
    <w:rsid w:val="00004C75"/>
    <w:rsid w:val="000052BB"/>
    <w:rsid w:val="0000562C"/>
    <w:rsid w:val="0000586F"/>
    <w:rsid w:val="00005BA8"/>
    <w:rsid w:val="000063F4"/>
    <w:rsid w:val="0000673A"/>
    <w:rsid w:val="0000673C"/>
    <w:rsid w:val="00006969"/>
    <w:rsid w:val="00006DF9"/>
    <w:rsid w:val="000073E1"/>
    <w:rsid w:val="00010886"/>
    <w:rsid w:val="0001228C"/>
    <w:rsid w:val="00013CAA"/>
    <w:rsid w:val="00013D86"/>
    <w:rsid w:val="00013E02"/>
    <w:rsid w:val="00015597"/>
    <w:rsid w:val="000168C5"/>
    <w:rsid w:val="0001730C"/>
    <w:rsid w:val="000174EB"/>
    <w:rsid w:val="0002044C"/>
    <w:rsid w:val="00020979"/>
    <w:rsid w:val="00020B05"/>
    <w:rsid w:val="00020C21"/>
    <w:rsid w:val="00020E4C"/>
    <w:rsid w:val="0002143C"/>
    <w:rsid w:val="00021496"/>
    <w:rsid w:val="000214C3"/>
    <w:rsid w:val="00021BC6"/>
    <w:rsid w:val="00021E91"/>
    <w:rsid w:val="00022C0E"/>
    <w:rsid w:val="00022E37"/>
    <w:rsid w:val="0002358E"/>
    <w:rsid w:val="000235CC"/>
    <w:rsid w:val="000235D5"/>
    <w:rsid w:val="000237B8"/>
    <w:rsid w:val="00023EFD"/>
    <w:rsid w:val="000240B6"/>
    <w:rsid w:val="00025752"/>
    <w:rsid w:val="00025A65"/>
    <w:rsid w:val="00026B91"/>
    <w:rsid w:val="00026C31"/>
    <w:rsid w:val="000270DE"/>
    <w:rsid w:val="00027280"/>
    <w:rsid w:val="000273C3"/>
    <w:rsid w:val="0003018C"/>
    <w:rsid w:val="0003064E"/>
    <w:rsid w:val="000306DD"/>
    <w:rsid w:val="000311D1"/>
    <w:rsid w:val="000312B2"/>
    <w:rsid w:val="00031E99"/>
    <w:rsid w:val="000320A7"/>
    <w:rsid w:val="000323AE"/>
    <w:rsid w:val="00032BEB"/>
    <w:rsid w:val="00033260"/>
    <w:rsid w:val="00033D20"/>
    <w:rsid w:val="00034391"/>
    <w:rsid w:val="00034C5D"/>
    <w:rsid w:val="00035011"/>
    <w:rsid w:val="00035925"/>
    <w:rsid w:val="00035B54"/>
    <w:rsid w:val="00036491"/>
    <w:rsid w:val="00036547"/>
    <w:rsid w:val="00036CFB"/>
    <w:rsid w:val="00036DF8"/>
    <w:rsid w:val="00037527"/>
    <w:rsid w:val="00037D26"/>
    <w:rsid w:val="00040706"/>
    <w:rsid w:val="00040954"/>
    <w:rsid w:val="00040B0F"/>
    <w:rsid w:val="00041C84"/>
    <w:rsid w:val="00041E5E"/>
    <w:rsid w:val="000439C8"/>
    <w:rsid w:val="00044234"/>
    <w:rsid w:val="000446C3"/>
    <w:rsid w:val="000450B5"/>
    <w:rsid w:val="000451CD"/>
    <w:rsid w:val="000454C2"/>
    <w:rsid w:val="00045EAD"/>
    <w:rsid w:val="00046842"/>
    <w:rsid w:val="00047129"/>
    <w:rsid w:val="000501B8"/>
    <w:rsid w:val="00050482"/>
    <w:rsid w:val="0005185A"/>
    <w:rsid w:val="00052D19"/>
    <w:rsid w:val="00052F0A"/>
    <w:rsid w:val="00053621"/>
    <w:rsid w:val="000538E5"/>
    <w:rsid w:val="0005390E"/>
    <w:rsid w:val="00053A9A"/>
    <w:rsid w:val="00053B0E"/>
    <w:rsid w:val="00053F88"/>
    <w:rsid w:val="000548EA"/>
    <w:rsid w:val="00056339"/>
    <w:rsid w:val="00056DB0"/>
    <w:rsid w:val="00056E23"/>
    <w:rsid w:val="00057275"/>
    <w:rsid w:val="00057802"/>
    <w:rsid w:val="0006056A"/>
    <w:rsid w:val="00060F0D"/>
    <w:rsid w:val="000611F8"/>
    <w:rsid w:val="0006129F"/>
    <w:rsid w:val="00061A5C"/>
    <w:rsid w:val="00061BD9"/>
    <w:rsid w:val="00061E42"/>
    <w:rsid w:val="00061FED"/>
    <w:rsid w:val="00062E71"/>
    <w:rsid w:val="0006393D"/>
    <w:rsid w:val="00064400"/>
    <w:rsid w:val="000646C8"/>
    <w:rsid w:val="00064C57"/>
    <w:rsid w:val="00064D3E"/>
    <w:rsid w:val="00067176"/>
    <w:rsid w:val="00067674"/>
    <w:rsid w:val="00067CDF"/>
    <w:rsid w:val="00067E26"/>
    <w:rsid w:val="000707AC"/>
    <w:rsid w:val="00070998"/>
    <w:rsid w:val="000714B7"/>
    <w:rsid w:val="00071983"/>
    <w:rsid w:val="00072790"/>
    <w:rsid w:val="00073031"/>
    <w:rsid w:val="00073142"/>
    <w:rsid w:val="000734FE"/>
    <w:rsid w:val="000738DD"/>
    <w:rsid w:val="00073BA9"/>
    <w:rsid w:val="00073DFF"/>
    <w:rsid w:val="0007465C"/>
    <w:rsid w:val="00074FBE"/>
    <w:rsid w:val="000753EC"/>
    <w:rsid w:val="00075791"/>
    <w:rsid w:val="0007596F"/>
    <w:rsid w:val="00075993"/>
    <w:rsid w:val="00075B9C"/>
    <w:rsid w:val="00076042"/>
    <w:rsid w:val="0007746B"/>
    <w:rsid w:val="0008033C"/>
    <w:rsid w:val="00081D3E"/>
    <w:rsid w:val="00082C0D"/>
    <w:rsid w:val="00083067"/>
    <w:rsid w:val="0008317D"/>
    <w:rsid w:val="00083A09"/>
    <w:rsid w:val="00083BEA"/>
    <w:rsid w:val="00084C92"/>
    <w:rsid w:val="00084FE2"/>
    <w:rsid w:val="0008507D"/>
    <w:rsid w:val="0008587A"/>
    <w:rsid w:val="00086A1F"/>
    <w:rsid w:val="0009005E"/>
    <w:rsid w:val="000904AD"/>
    <w:rsid w:val="000909D7"/>
    <w:rsid w:val="00090A15"/>
    <w:rsid w:val="00091166"/>
    <w:rsid w:val="00091434"/>
    <w:rsid w:val="000917BF"/>
    <w:rsid w:val="00092857"/>
    <w:rsid w:val="00092BC6"/>
    <w:rsid w:val="00092DB3"/>
    <w:rsid w:val="00092EAE"/>
    <w:rsid w:val="00093991"/>
    <w:rsid w:val="00093FA8"/>
    <w:rsid w:val="00095126"/>
    <w:rsid w:val="000953A0"/>
    <w:rsid w:val="000955F8"/>
    <w:rsid w:val="00095C0A"/>
    <w:rsid w:val="00096377"/>
    <w:rsid w:val="0009639A"/>
    <w:rsid w:val="0009710B"/>
    <w:rsid w:val="00097462"/>
    <w:rsid w:val="00097793"/>
    <w:rsid w:val="00097989"/>
    <w:rsid w:val="00097B31"/>
    <w:rsid w:val="00097E7B"/>
    <w:rsid w:val="000A0937"/>
    <w:rsid w:val="000A1050"/>
    <w:rsid w:val="000A11E0"/>
    <w:rsid w:val="000A1CF9"/>
    <w:rsid w:val="000A1DB6"/>
    <w:rsid w:val="000A1EFD"/>
    <w:rsid w:val="000A20A9"/>
    <w:rsid w:val="000A2AA6"/>
    <w:rsid w:val="000A2B18"/>
    <w:rsid w:val="000A2E6C"/>
    <w:rsid w:val="000A319C"/>
    <w:rsid w:val="000A3813"/>
    <w:rsid w:val="000A48B1"/>
    <w:rsid w:val="000A4AAB"/>
    <w:rsid w:val="000A4D1E"/>
    <w:rsid w:val="000A5BE3"/>
    <w:rsid w:val="000A5F17"/>
    <w:rsid w:val="000A60ED"/>
    <w:rsid w:val="000A6401"/>
    <w:rsid w:val="000A6B50"/>
    <w:rsid w:val="000A7E6A"/>
    <w:rsid w:val="000B1E1E"/>
    <w:rsid w:val="000B26B9"/>
    <w:rsid w:val="000B292C"/>
    <w:rsid w:val="000B2A06"/>
    <w:rsid w:val="000B2EF2"/>
    <w:rsid w:val="000B3143"/>
    <w:rsid w:val="000B3B10"/>
    <w:rsid w:val="000B3FB6"/>
    <w:rsid w:val="000B6501"/>
    <w:rsid w:val="000B693F"/>
    <w:rsid w:val="000B70B6"/>
    <w:rsid w:val="000B7110"/>
    <w:rsid w:val="000B7F71"/>
    <w:rsid w:val="000C022A"/>
    <w:rsid w:val="000C0B0F"/>
    <w:rsid w:val="000C0BBE"/>
    <w:rsid w:val="000C0E79"/>
    <w:rsid w:val="000C22B9"/>
    <w:rsid w:val="000C3A0B"/>
    <w:rsid w:val="000C427C"/>
    <w:rsid w:val="000C4FD9"/>
    <w:rsid w:val="000C6B05"/>
    <w:rsid w:val="000C6BCA"/>
    <w:rsid w:val="000C6DD6"/>
    <w:rsid w:val="000C73D4"/>
    <w:rsid w:val="000C7E8F"/>
    <w:rsid w:val="000D0B97"/>
    <w:rsid w:val="000D0C11"/>
    <w:rsid w:val="000D0D45"/>
    <w:rsid w:val="000D15A7"/>
    <w:rsid w:val="000D1C7B"/>
    <w:rsid w:val="000D2D76"/>
    <w:rsid w:val="000D302E"/>
    <w:rsid w:val="000D3334"/>
    <w:rsid w:val="000D3D4C"/>
    <w:rsid w:val="000D3FDE"/>
    <w:rsid w:val="000D3FF0"/>
    <w:rsid w:val="000D471F"/>
    <w:rsid w:val="000D4F51"/>
    <w:rsid w:val="000D5726"/>
    <w:rsid w:val="000D5A40"/>
    <w:rsid w:val="000D634F"/>
    <w:rsid w:val="000D6930"/>
    <w:rsid w:val="000D7028"/>
    <w:rsid w:val="000D7147"/>
    <w:rsid w:val="000D718B"/>
    <w:rsid w:val="000E0C46"/>
    <w:rsid w:val="000E0CDF"/>
    <w:rsid w:val="000E0CF5"/>
    <w:rsid w:val="000E138E"/>
    <w:rsid w:val="000E13EB"/>
    <w:rsid w:val="000E2398"/>
    <w:rsid w:val="000E2F31"/>
    <w:rsid w:val="000E4669"/>
    <w:rsid w:val="000E4D31"/>
    <w:rsid w:val="000E5BAC"/>
    <w:rsid w:val="000E67DE"/>
    <w:rsid w:val="000E6A2D"/>
    <w:rsid w:val="000E6CA5"/>
    <w:rsid w:val="000E7962"/>
    <w:rsid w:val="000E7E62"/>
    <w:rsid w:val="000F02AA"/>
    <w:rsid w:val="000F030C"/>
    <w:rsid w:val="000F085E"/>
    <w:rsid w:val="000F0AE7"/>
    <w:rsid w:val="000F0B0E"/>
    <w:rsid w:val="000F0ECA"/>
    <w:rsid w:val="000F129C"/>
    <w:rsid w:val="000F24A3"/>
    <w:rsid w:val="000F25AE"/>
    <w:rsid w:val="000F53C4"/>
    <w:rsid w:val="000F5A36"/>
    <w:rsid w:val="000F6D01"/>
    <w:rsid w:val="000F7CEE"/>
    <w:rsid w:val="00100298"/>
    <w:rsid w:val="0010065C"/>
    <w:rsid w:val="00100FA5"/>
    <w:rsid w:val="0010110B"/>
    <w:rsid w:val="0010120C"/>
    <w:rsid w:val="00101538"/>
    <w:rsid w:val="001017A6"/>
    <w:rsid w:val="00101875"/>
    <w:rsid w:val="00101E18"/>
    <w:rsid w:val="00101E29"/>
    <w:rsid w:val="00102504"/>
    <w:rsid w:val="001039A4"/>
    <w:rsid w:val="00103BBE"/>
    <w:rsid w:val="00104281"/>
    <w:rsid w:val="0010488F"/>
    <w:rsid w:val="00104AC9"/>
    <w:rsid w:val="00104FCD"/>
    <w:rsid w:val="0010565F"/>
    <w:rsid w:val="001056DE"/>
    <w:rsid w:val="00106550"/>
    <w:rsid w:val="00107116"/>
    <w:rsid w:val="00107856"/>
    <w:rsid w:val="0011069C"/>
    <w:rsid w:val="00111CBC"/>
    <w:rsid w:val="00111F56"/>
    <w:rsid w:val="0011205C"/>
    <w:rsid w:val="001124C0"/>
    <w:rsid w:val="00112722"/>
    <w:rsid w:val="001128B9"/>
    <w:rsid w:val="00112F9E"/>
    <w:rsid w:val="00113C24"/>
    <w:rsid w:val="00114C44"/>
    <w:rsid w:val="00115242"/>
    <w:rsid w:val="001162E7"/>
    <w:rsid w:val="00117AD2"/>
    <w:rsid w:val="00117EDE"/>
    <w:rsid w:val="001203C0"/>
    <w:rsid w:val="00120A19"/>
    <w:rsid w:val="00121560"/>
    <w:rsid w:val="00121F61"/>
    <w:rsid w:val="001221EF"/>
    <w:rsid w:val="00122F66"/>
    <w:rsid w:val="00123415"/>
    <w:rsid w:val="00123EE7"/>
    <w:rsid w:val="00124708"/>
    <w:rsid w:val="0012494D"/>
    <w:rsid w:val="001253B0"/>
    <w:rsid w:val="001253FC"/>
    <w:rsid w:val="00125441"/>
    <w:rsid w:val="001262FC"/>
    <w:rsid w:val="00127170"/>
    <w:rsid w:val="0012744E"/>
    <w:rsid w:val="001300A7"/>
    <w:rsid w:val="00130BCE"/>
    <w:rsid w:val="0013175F"/>
    <w:rsid w:val="001323CE"/>
    <w:rsid w:val="001328D2"/>
    <w:rsid w:val="001333AD"/>
    <w:rsid w:val="00133748"/>
    <w:rsid w:val="00133867"/>
    <w:rsid w:val="00133B70"/>
    <w:rsid w:val="00133C54"/>
    <w:rsid w:val="00133D15"/>
    <w:rsid w:val="0013436F"/>
    <w:rsid w:val="00134B3E"/>
    <w:rsid w:val="00135FAB"/>
    <w:rsid w:val="0013663D"/>
    <w:rsid w:val="00136985"/>
    <w:rsid w:val="001372A6"/>
    <w:rsid w:val="00137451"/>
    <w:rsid w:val="0013776D"/>
    <w:rsid w:val="0013793A"/>
    <w:rsid w:val="001404D9"/>
    <w:rsid w:val="0014051F"/>
    <w:rsid w:val="00140636"/>
    <w:rsid w:val="001409FB"/>
    <w:rsid w:val="001430B8"/>
    <w:rsid w:val="0014388A"/>
    <w:rsid w:val="00143ACD"/>
    <w:rsid w:val="00143F6A"/>
    <w:rsid w:val="0014427A"/>
    <w:rsid w:val="00144C72"/>
    <w:rsid w:val="00144E12"/>
    <w:rsid w:val="00144EC6"/>
    <w:rsid w:val="001450A5"/>
    <w:rsid w:val="00145361"/>
    <w:rsid w:val="001459F2"/>
    <w:rsid w:val="0014609F"/>
    <w:rsid w:val="0014679D"/>
    <w:rsid w:val="00147872"/>
    <w:rsid w:val="00147ECA"/>
    <w:rsid w:val="001500D2"/>
    <w:rsid w:val="00150928"/>
    <w:rsid w:val="00150B56"/>
    <w:rsid w:val="001512B4"/>
    <w:rsid w:val="0015145C"/>
    <w:rsid w:val="001517D5"/>
    <w:rsid w:val="00151DA0"/>
    <w:rsid w:val="001533BC"/>
    <w:rsid w:val="00153962"/>
    <w:rsid w:val="001561BF"/>
    <w:rsid w:val="001568AE"/>
    <w:rsid w:val="001568D1"/>
    <w:rsid w:val="0015731E"/>
    <w:rsid w:val="00157505"/>
    <w:rsid w:val="00157B1A"/>
    <w:rsid w:val="001606A8"/>
    <w:rsid w:val="0016098D"/>
    <w:rsid w:val="00160AFA"/>
    <w:rsid w:val="00161065"/>
    <w:rsid w:val="001610FC"/>
    <w:rsid w:val="001612A7"/>
    <w:rsid w:val="001613B0"/>
    <w:rsid w:val="00161F2E"/>
    <w:rsid w:val="001620A5"/>
    <w:rsid w:val="00162AFB"/>
    <w:rsid w:val="00163BDA"/>
    <w:rsid w:val="00163C78"/>
    <w:rsid w:val="00164372"/>
    <w:rsid w:val="00164E53"/>
    <w:rsid w:val="0016506C"/>
    <w:rsid w:val="00165870"/>
    <w:rsid w:val="00166743"/>
    <w:rsid w:val="0016699D"/>
    <w:rsid w:val="0016739E"/>
    <w:rsid w:val="00167585"/>
    <w:rsid w:val="00170569"/>
    <w:rsid w:val="00170DEF"/>
    <w:rsid w:val="00170ECB"/>
    <w:rsid w:val="00171381"/>
    <w:rsid w:val="0017194A"/>
    <w:rsid w:val="00172DD9"/>
    <w:rsid w:val="00173FF5"/>
    <w:rsid w:val="00174A1D"/>
    <w:rsid w:val="00175159"/>
    <w:rsid w:val="001757C5"/>
    <w:rsid w:val="00175FD8"/>
    <w:rsid w:val="00176208"/>
    <w:rsid w:val="0017655C"/>
    <w:rsid w:val="00176A0F"/>
    <w:rsid w:val="001770CD"/>
    <w:rsid w:val="001774CB"/>
    <w:rsid w:val="001806E7"/>
    <w:rsid w:val="00180996"/>
    <w:rsid w:val="00181A2C"/>
    <w:rsid w:val="0018211B"/>
    <w:rsid w:val="001824AB"/>
    <w:rsid w:val="00182698"/>
    <w:rsid w:val="001838E6"/>
    <w:rsid w:val="001839A1"/>
    <w:rsid w:val="00183D83"/>
    <w:rsid w:val="00183DEA"/>
    <w:rsid w:val="00183FF9"/>
    <w:rsid w:val="001840D3"/>
    <w:rsid w:val="00184526"/>
    <w:rsid w:val="00184573"/>
    <w:rsid w:val="00186514"/>
    <w:rsid w:val="00186C1F"/>
    <w:rsid w:val="00186F2D"/>
    <w:rsid w:val="001874A6"/>
    <w:rsid w:val="001900F8"/>
    <w:rsid w:val="001902DF"/>
    <w:rsid w:val="001904CC"/>
    <w:rsid w:val="00190984"/>
    <w:rsid w:val="00191258"/>
    <w:rsid w:val="00192254"/>
    <w:rsid w:val="001924EE"/>
    <w:rsid w:val="00192680"/>
    <w:rsid w:val="00192918"/>
    <w:rsid w:val="00192D2A"/>
    <w:rsid w:val="00193037"/>
    <w:rsid w:val="00193A2C"/>
    <w:rsid w:val="00193E05"/>
    <w:rsid w:val="00193E4B"/>
    <w:rsid w:val="001945DD"/>
    <w:rsid w:val="00194AB5"/>
    <w:rsid w:val="00194AD2"/>
    <w:rsid w:val="00194FE4"/>
    <w:rsid w:val="00195DD5"/>
    <w:rsid w:val="001962FA"/>
    <w:rsid w:val="00197097"/>
    <w:rsid w:val="001A0B1C"/>
    <w:rsid w:val="001A0B4B"/>
    <w:rsid w:val="001A1ABA"/>
    <w:rsid w:val="001A2132"/>
    <w:rsid w:val="001A26AF"/>
    <w:rsid w:val="001A277A"/>
    <w:rsid w:val="001A27BB"/>
    <w:rsid w:val="001A288E"/>
    <w:rsid w:val="001A3C6C"/>
    <w:rsid w:val="001A3CEF"/>
    <w:rsid w:val="001A408F"/>
    <w:rsid w:val="001A41D7"/>
    <w:rsid w:val="001A49A5"/>
    <w:rsid w:val="001A4A47"/>
    <w:rsid w:val="001A5148"/>
    <w:rsid w:val="001A52F2"/>
    <w:rsid w:val="001A54BE"/>
    <w:rsid w:val="001A5507"/>
    <w:rsid w:val="001A5653"/>
    <w:rsid w:val="001A588A"/>
    <w:rsid w:val="001A5CB2"/>
    <w:rsid w:val="001A6AD9"/>
    <w:rsid w:val="001A6EEA"/>
    <w:rsid w:val="001A783B"/>
    <w:rsid w:val="001B01C4"/>
    <w:rsid w:val="001B1297"/>
    <w:rsid w:val="001B1A2C"/>
    <w:rsid w:val="001B1B3C"/>
    <w:rsid w:val="001B1EBC"/>
    <w:rsid w:val="001B29A3"/>
    <w:rsid w:val="001B2AF0"/>
    <w:rsid w:val="001B3588"/>
    <w:rsid w:val="001B3BBB"/>
    <w:rsid w:val="001B3F94"/>
    <w:rsid w:val="001B3FE3"/>
    <w:rsid w:val="001B4677"/>
    <w:rsid w:val="001B4F33"/>
    <w:rsid w:val="001B5208"/>
    <w:rsid w:val="001B5367"/>
    <w:rsid w:val="001B549D"/>
    <w:rsid w:val="001B580F"/>
    <w:rsid w:val="001B5B67"/>
    <w:rsid w:val="001B5F9C"/>
    <w:rsid w:val="001B6DC2"/>
    <w:rsid w:val="001B710E"/>
    <w:rsid w:val="001B7382"/>
    <w:rsid w:val="001B7ED4"/>
    <w:rsid w:val="001B7F1E"/>
    <w:rsid w:val="001C0677"/>
    <w:rsid w:val="001C149C"/>
    <w:rsid w:val="001C167A"/>
    <w:rsid w:val="001C198A"/>
    <w:rsid w:val="001C1C81"/>
    <w:rsid w:val="001C1E03"/>
    <w:rsid w:val="001C21AC"/>
    <w:rsid w:val="001C22ED"/>
    <w:rsid w:val="001C24F2"/>
    <w:rsid w:val="001C2C9B"/>
    <w:rsid w:val="001C2D25"/>
    <w:rsid w:val="001C32DC"/>
    <w:rsid w:val="001C406D"/>
    <w:rsid w:val="001C47BA"/>
    <w:rsid w:val="001C5787"/>
    <w:rsid w:val="001C59EA"/>
    <w:rsid w:val="001C5BC8"/>
    <w:rsid w:val="001C5DEA"/>
    <w:rsid w:val="001C64A5"/>
    <w:rsid w:val="001C66CD"/>
    <w:rsid w:val="001C716A"/>
    <w:rsid w:val="001C73C8"/>
    <w:rsid w:val="001C7BA1"/>
    <w:rsid w:val="001D0D3D"/>
    <w:rsid w:val="001D0DD5"/>
    <w:rsid w:val="001D1985"/>
    <w:rsid w:val="001D314A"/>
    <w:rsid w:val="001D337C"/>
    <w:rsid w:val="001D3399"/>
    <w:rsid w:val="001D35A7"/>
    <w:rsid w:val="001D36BF"/>
    <w:rsid w:val="001D406C"/>
    <w:rsid w:val="001D41EE"/>
    <w:rsid w:val="001D49CC"/>
    <w:rsid w:val="001D5F2D"/>
    <w:rsid w:val="001D608B"/>
    <w:rsid w:val="001D618E"/>
    <w:rsid w:val="001D6349"/>
    <w:rsid w:val="001D67B1"/>
    <w:rsid w:val="001D67DA"/>
    <w:rsid w:val="001D6FB7"/>
    <w:rsid w:val="001D72CA"/>
    <w:rsid w:val="001D7621"/>
    <w:rsid w:val="001D79AC"/>
    <w:rsid w:val="001D7F04"/>
    <w:rsid w:val="001E0112"/>
    <w:rsid w:val="001E0380"/>
    <w:rsid w:val="001E07FC"/>
    <w:rsid w:val="001E0834"/>
    <w:rsid w:val="001E13B1"/>
    <w:rsid w:val="001E13D7"/>
    <w:rsid w:val="001E156C"/>
    <w:rsid w:val="001E226D"/>
    <w:rsid w:val="001E23DC"/>
    <w:rsid w:val="001E25C9"/>
    <w:rsid w:val="001E337F"/>
    <w:rsid w:val="001E34D4"/>
    <w:rsid w:val="001E3B40"/>
    <w:rsid w:val="001E3CCD"/>
    <w:rsid w:val="001E42BF"/>
    <w:rsid w:val="001E430A"/>
    <w:rsid w:val="001E472B"/>
    <w:rsid w:val="001E51F8"/>
    <w:rsid w:val="001E539D"/>
    <w:rsid w:val="001E5569"/>
    <w:rsid w:val="001E649C"/>
    <w:rsid w:val="001E6E2D"/>
    <w:rsid w:val="001E6F8A"/>
    <w:rsid w:val="001E7C03"/>
    <w:rsid w:val="001F0103"/>
    <w:rsid w:val="001F0352"/>
    <w:rsid w:val="001F0725"/>
    <w:rsid w:val="001F09E5"/>
    <w:rsid w:val="001F1235"/>
    <w:rsid w:val="001F22FA"/>
    <w:rsid w:val="001F2B46"/>
    <w:rsid w:val="001F3011"/>
    <w:rsid w:val="001F35E4"/>
    <w:rsid w:val="001F3A19"/>
    <w:rsid w:val="001F3AA0"/>
    <w:rsid w:val="001F42E5"/>
    <w:rsid w:val="001F4F16"/>
    <w:rsid w:val="001F5F0B"/>
    <w:rsid w:val="001F66ED"/>
    <w:rsid w:val="001F6B5C"/>
    <w:rsid w:val="001F72A9"/>
    <w:rsid w:val="001F7D6C"/>
    <w:rsid w:val="00200076"/>
    <w:rsid w:val="00200B1E"/>
    <w:rsid w:val="00203035"/>
    <w:rsid w:val="00204607"/>
    <w:rsid w:val="002052B3"/>
    <w:rsid w:val="00205EF9"/>
    <w:rsid w:val="002065CB"/>
    <w:rsid w:val="002065F1"/>
    <w:rsid w:val="002066AD"/>
    <w:rsid w:val="00207B42"/>
    <w:rsid w:val="00210420"/>
    <w:rsid w:val="002105EB"/>
    <w:rsid w:val="002107DD"/>
    <w:rsid w:val="00211883"/>
    <w:rsid w:val="002125DC"/>
    <w:rsid w:val="00214BDB"/>
    <w:rsid w:val="00214E07"/>
    <w:rsid w:val="00215596"/>
    <w:rsid w:val="0021580F"/>
    <w:rsid w:val="00216074"/>
    <w:rsid w:val="002164F7"/>
    <w:rsid w:val="002169B2"/>
    <w:rsid w:val="00216A15"/>
    <w:rsid w:val="00216B16"/>
    <w:rsid w:val="002201BA"/>
    <w:rsid w:val="002212CC"/>
    <w:rsid w:val="00221419"/>
    <w:rsid w:val="00221818"/>
    <w:rsid w:val="002219C6"/>
    <w:rsid w:val="00221A82"/>
    <w:rsid w:val="00221F32"/>
    <w:rsid w:val="00221FF2"/>
    <w:rsid w:val="0022267F"/>
    <w:rsid w:val="0022278B"/>
    <w:rsid w:val="00223EB6"/>
    <w:rsid w:val="002240DB"/>
    <w:rsid w:val="002246CD"/>
    <w:rsid w:val="002251B1"/>
    <w:rsid w:val="00225805"/>
    <w:rsid w:val="00225FD8"/>
    <w:rsid w:val="00226574"/>
    <w:rsid w:val="00226672"/>
    <w:rsid w:val="00226C6C"/>
    <w:rsid w:val="00226EF1"/>
    <w:rsid w:val="002271FF"/>
    <w:rsid w:val="0022756D"/>
    <w:rsid w:val="00227A29"/>
    <w:rsid w:val="00231244"/>
    <w:rsid w:val="00231732"/>
    <w:rsid w:val="00233494"/>
    <w:rsid w:val="00234467"/>
    <w:rsid w:val="002348C9"/>
    <w:rsid w:val="00235405"/>
    <w:rsid w:val="00235FED"/>
    <w:rsid w:val="00237D8D"/>
    <w:rsid w:val="0024021A"/>
    <w:rsid w:val="0024078C"/>
    <w:rsid w:val="0024093F"/>
    <w:rsid w:val="00240D6D"/>
    <w:rsid w:val="00240ECA"/>
    <w:rsid w:val="002412AB"/>
    <w:rsid w:val="00241879"/>
    <w:rsid w:val="00241D81"/>
    <w:rsid w:val="00241DA2"/>
    <w:rsid w:val="002422B8"/>
    <w:rsid w:val="00242305"/>
    <w:rsid w:val="00242564"/>
    <w:rsid w:val="00244AB2"/>
    <w:rsid w:val="00244E85"/>
    <w:rsid w:val="002450D4"/>
    <w:rsid w:val="00245378"/>
    <w:rsid w:val="0024557E"/>
    <w:rsid w:val="00245BC7"/>
    <w:rsid w:val="002464AE"/>
    <w:rsid w:val="00247EE0"/>
    <w:rsid w:val="00247FEE"/>
    <w:rsid w:val="00250D34"/>
    <w:rsid w:val="00250E7D"/>
    <w:rsid w:val="00251072"/>
    <w:rsid w:val="00251848"/>
    <w:rsid w:val="00251EDB"/>
    <w:rsid w:val="00251F0C"/>
    <w:rsid w:val="00252904"/>
    <w:rsid w:val="002534E6"/>
    <w:rsid w:val="00253B01"/>
    <w:rsid w:val="00253B98"/>
    <w:rsid w:val="00254225"/>
    <w:rsid w:val="00254238"/>
    <w:rsid w:val="00254AB4"/>
    <w:rsid w:val="00255740"/>
    <w:rsid w:val="002559AB"/>
    <w:rsid w:val="00255E15"/>
    <w:rsid w:val="002563EC"/>
    <w:rsid w:val="00256414"/>
    <w:rsid w:val="002565D5"/>
    <w:rsid w:val="00257F5B"/>
    <w:rsid w:val="00260732"/>
    <w:rsid w:val="00262290"/>
    <w:rsid w:val="002622C0"/>
    <w:rsid w:val="0026233B"/>
    <w:rsid w:val="00262F0F"/>
    <w:rsid w:val="002631F3"/>
    <w:rsid w:val="00263913"/>
    <w:rsid w:val="00264EF3"/>
    <w:rsid w:val="00265CEC"/>
    <w:rsid w:val="00266796"/>
    <w:rsid w:val="00267AA8"/>
    <w:rsid w:val="00267C40"/>
    <w:rsid w:val="00267E53"/>
    <w:rsid w:val="00270BCE"/>
    <w:rsid w:val="00271A16"/>
    <w:rsid w:val="00271B6E"/>
    <w:rsid w:val="00271E13"/>
    <w:rsid w:val="0027310F"/>
    <w:rsid w:val="00273DBC"/>
    <w:rsid w:val="0027623E"/>
    <w:rsid w:val="0027720A"/>
    <w:rsid w:val="00277262"/>
    <w:rsid w:val="002778AE"/>
    <w:rsid w:val="00280D35"/>
    <w:rsid w:val="00282468"/>
    <w:rsid w:val="00282546"/>
    <w:rsid w:val="0028269A"/>
    <w:rsid w:val="00282826"/>
    <w:rsid w:val="00282A1B"/>
    <w:rsid w:val="00282B3C"/>
    <w:rsid w:val="002830FA"/>
    <w:rsid w:val="0028342C"/>
    <w:rsid w:val="00283590"/>
    <w:rsid w:val="002838FD"/>
    <w:rsid w:val="00283D02"/>
    <w:rsid w:val="00283FD1"/>
    <w:rsid w:val="00285140"/>
    <w:rsid w:val="00285AC6"/>
    <w:rsid w:val="00285B13"/>
    <w:rsid w:val="00285D17"/>
    <w:rsid w:val="002867B3"/>
    <w:rsid w:val="00286973"/>
    <w:rsid w:val="00287B96"/>
    <w:rsid w:val="002900E4"/>
    <w:rsid w:val="002903F9"/>
    <w:rsid w:val="00290A7C"/>
    <w:rsid w:val="00290B31"/>
    <w:rsid w:val="00290DC1"/>
    <w:rsid w:val="00291631"/>
    <w:rsid w:val="00292723"/>
    <w:rsid w:val="0029284A"/>
    <w:rsid w:val="00292963"/>
    <w:rsid w:val="00293583"/>
    <w:rsid w:val="00293C4F"/>
    <w:rsid w:val="00294C1D"/>
    <w:rsid w:val="00294E70"/>
    <w:rsid w:val="002956AC"/>
    <w:rsid w:val="00295825"/>
    <w:rsid w:val="00295B22"/>
    <w:rsid w:val="002961DC"/>
    <w:rsid w:val="00296556"/>
    <w:rsid w:val="0029662A"/>
    <w:rsid w:val="00296B78"/>
    <w:rsid w:val="00297CFD"/>
    <w:rsid w:val="002A0847"/>
    <w:rsid w:val="002A0FA4"/>
    <w:rsid w:val="002A1755"/>
    <w:rsid w:val="002A1924"/>
    <w:rsid w:val="002A19D4"/>
    <w:rsid w:val="002A1EE7"/>
    <w:rsid w:val="002A2316"/>
    <w:rsid w:val="002A2594"/>
    <w:rsid w:val="002A27C3"/>
    <w:rsid w:val="002A2878"/>
    <w:rsid w:val="002A2D92"/>
    <w:rsid w:val="002A2FA9"/>
    <w:rsid w:val="002A365D"/>
    <w:rsid w:val="002A54A9"/>
    <w:rsid w:val="002A576C"/>
    <w:rsid w:val="002A5F48"/>
    <w:rsid w:val="002A6A9E"/>
    <w:rsid w:val="002A7420"/>
    <w:rsid w:val="002A749A"/>
    <w:rsid w:val="002B09C5"/>
    <w:rsid w:val="002B0F12"/>
    <w:rsid w:val="002B1308"/>
    <w:rsid w:val="002B15A6"/>
    <w:rsid w:val="002B189B"/>
    <w:rsid w:val="002B2125"/>
    <w:rsid w:val="002B36AD"/>
    <w:rsid w:val="002B3E91"/>
    <w:rsid w:val="002B436C"/>
    <w:rsid w:val="002B4554"/>
    <w:rsid w:val="002B4963"/>
    <w:rsid w:val="002B4D1D"/>
    <w:rsid w:val="002B4DE3"/>
    <w:rsid w:val="002B4FAC"/>
    <w:rsid w:val="002B5157"/>
    <w:rsid w:val="002B58F5"/>
    <w:rsid w:val="002B6CF8"/>
    <w:rsid w:val="002B6E83"/>
    <w:rsid w:val="002B7406"/>
    <w:rsid w:val="002B7847"/>
    <w:rsid w:val="002B7E85"/>
    <w:rsid w:val="002C0DBF"/>
    <w:rsid w:val="002C1457"/>
    <w:rsid w:val="002C1984"/>
    <w:rsid w:val="002C1CF1"/>
    <w:rsid w:val="002C1F64"/>
    <w:rsid w:val="002C2859"/>
    <w:rsid w:val="002C310D"/>
    <w:rsid w:val="002C3123"/>
    <w:rsid w:val="002C322E"/>
    <w:rsid w:val="002C35C2"/>
    <w:rsid w:val="002C3727"/>
    <w:rsid w:val="002C38B9"/>
    <w:rsid w:val="002C442D"/>
    <w:rsid w:val="002C51DE"/>
    <w:rsid w:val="002C54FD"/>
    <w:rsid w:val="002C5DC4"/>
    <w:rsid w:val="002C69F1"/>
    <w:rsid w:val="002C72D8"/>
    <w:rsid w:val="002C757D"/>
    <w:rsid w:val="002C7C3C"/>
    <w:rsid w:val="002D0A9B"/>
    <w:rsid w:val="002D0FC4"/>
    <w:rsid w:val="002D11FA"/>
    <w:rsid w:val="002D19DC"/>
    <w:rsid w:val="002D4CA4"/>
    <w:rsid w:val="002D57F2"/>
    <w:rsid w:val="002D66B5"/>
    <w:rsid w:val="002D6E48"/>
    <w:rsid w:val="002E0727"/>
    <w:rsid w:val="002E0DDF"/>
    <w:rsid w:val="002E1419"/>
    <w:rsid w:val="002E1A08"/>
    <w:rsid w:val="002E2109"/>
    <w:rsid w:val="002E2186"/>
    <w:rsid w:val="002E2906"/>
    <w:rsid w:val="002E2A41"/>
    <w:rsid w:val="002E3652"/>
    <w:rsid w:val="002E3D58"/>
    <w:rsid w:val="002E4790"/>
    <w:rsid w:val="002E4BFE"/>
    <w:rsid w:val="002E50A3"/>
    <w:rsid w:val="002E51F5"/>
    <w:rsid w:val="002E5635"/>
    <w:rsid w:val="002E5948"/>
    <w:rsid w:val="002E5DD9"/>
    <w:rsid w:val="002E64C3"/>
    <w:rsid w:val="002E6A2C"/>
    <w:rsid w:val="002E7952"/>
    <w:rsid w:val="002E7D36"/>
    <w:rsid w:val="002E7F8D"/>
    <w:rsid w:val="002F154C"/>
    <w:rsid w:val="002F1D29"/>
    <w:rsid w:val="002F1D8C"/>
    <w:rsid w:val="002F21DA"/>
    <w:rsid w:val="002F2E87"/>
    <w:rsid w:val="002F3060"/>
    <w:rsid w:val="002F32F2"/>
    <w:rsid w:val="002F3E92"/>
    <w:rsid w:val="002F3ECB"/>
    <w:rsid w:val="002F4BD5"/>
    <w:rsid w:val="002F5039"/>
    <w:rsid w:val="002F5131"/>
    <w:rsid w:val="002F5AC4"/>
    <w:rsid w:val="002F6051"/>
    <w:rsid w:val="002F625D"/>
    <w:rsid w:val="002F6463"/>
    <w:rsid w:val="002F6B07"/>
    <w:rsid w:val="002F6B43"/>
    <w:rsid w:val="002F6D04"/>
    <w:rsid w:val="002F7BA6"/>
    <w:rsid w:val="002F7E7C"/>
    <w:rsid w:val="00300A05"/>
    <w:rsid w:val="00301389"/>
    <w:rsid w:val="0030170B"/>
    <w:rsid w:val="00301F39"/>
    <w:rsid w:val="0030221E"/>
    <w:rsid w:val="00302706"/>
    <w:rsid w:val="00302971"/>
    <w:rsid w:val="00303091"/>
    <w:rsid w:val="00303D53"/>
    <w:rsid w:val="00306465"/>
    <w:rsid w:val="00306499"/>
    <w:rsid w:val="003071D9"/>
    <w:rsid w:val="00310051"/>
    <w:rsid w:val="003103B3"/>
    <w:rsid w:val="003105BF"/>
    <w:rsid w:val="00310755"/>
    <w:rsid w:val="00310AA8"/>
    <w:rsid w:val="00310FC1"/>
    <w:rsid w:val="0031126E"/>
    <w:rsid w:val="00311279"/>
    <w:rsid w:val="003115C1"/>
    <w:rsid w:val="003116ED"/>
    <w:rsid w:val="00313A38"/>
    <w:rsid w:val="00313BB9"/>
    <w:rsid w:val="00313C95"/>
    <w:rsid w:val="00314435"/>
    <w:rsid w:val="00315041"/>
    <w:rsid w:val="003153F8"/>
    <w:rsid w:val="0031574B"/>
    <w:rsid w:val="00315F0A"/>
    <w:rsid w:val="00316F89"/>
    <w:rsid w:val="00317AF6"/>
    <w:rsid w:val="0032043C"/>
    <w:rsid w:val="00320E56"/>
    <w:rsid w:val="003212F8"/>
    <w:rsid w:val="0032151F"/>
    <w:rsid w:val="0032249D"/>
    <w:rsid w:val="00322557"/>
    <w:rsid w:val="00322609"/>
    <w:rsid w:val="0032328B"/>
    <w:rsid w:val="0032370B"/>
    <w:rsid w:val="0032373D"/>
    <w:rsid w:val="003239FF"/>
    <w:rsid w:val="00323A70"/>
    <w:rsid w:val="00323AED"/>
    <w:rsid w:val="00323D0D"/>
    <w:rsid w:val="00324599"/>
    <w:rsid w:val="00325139"/>
    <w:rsid w:val="003251EE"/>
    <w:rsid w:val="0032531C"/>
    <w:rsid w:val="00325926"/>
    <w:rsid w:val="00325E7A"/>
    <w:rsid w:val="00325F06"/>
    <w:rsid w:val="0032663F"/>
    <w:rsid w:val="00326E78"/>
    <w:rsid w:val="00327A8A"/>
    <w:rsid w:val="003311F8"/>
    <w:rsid w:val="003312D9"/>
    <w:rsid w:val="00331CDB"/>
    <w:rsid w:val="00332055"/>
    <w:rsid w:val="003320CA"/>
    <w:rsid w:val="0033234C"/>
    <w:rsid w:val="003328A0"/>
    <w:rsid w:val="003328FE"/>
    <w:rsid w:val="00333B24"/>
    <w:rsid w:val="00334D13"/>
    <w:rsid w:val="0033531C"/>
    <w:rsid w:val="00336443"/>
    <w:rsid w:val="00336610"/>
    <w:rsid w:val="00336DF8"/>
    <w:rsid w:val="00336F6A"/>
    <w:rsid w:val="00337030"/>
    <w:rsid w:val="003373FA"/>
    <w:rsid w:val="00337FF5"/>
    <w:rsid w:val="0034065B"/>
    <w:rsid w:val="00341699"/>
    <w:rsid w:val="003420F8"/>
    <w:rsid w:val="003421A8"/>
    <w:rsid w:val="00342986"/>
    <w:rsid w:val="00342E06"/>
    <w:rsid w:val="00343235"/>
    <w:rsid w:val="00343809"/>
    <w:rsid w:val="00343F73"/>
    <w:rsid w:val="00345060"/>
    <w:rsid w:val="0034559C"/>
    <w:rsid w:val="00346152"/>
    <w:rsid w:val="00346402"/>
    <w:rsid w:val="00346658"/>
    <w:rsid w:val="00346D5D"/>
    <w:rsid w:val="00346FBD"/>
    <w:rsid w:val="0034752B"/>
    <w:rsid w:val="0034773B"/>
    <w:rsid w:val="0035017F"/>
    <w:rsid w:val="003506A0"/>
    <w:rsid w:val="003517ED"/>
    <w:rsid w:val="00352093"/>
    <w:rsid w:val="00352ADE"/>
    <w:rsid w:val="003531B4"/>
    <w:rsid w:val="0035323B"/>
    <w:rsid w:val="00353788"/>
    <w:rsid w:val="00353C5F"/>
    <w:rsid w:val="003540AE"/>
    <w:rsid w:val="00354397"/>
    <w:rsid w:val="003544AE"/>
    <w:rsid w:val="003554F4"/>
    <w:rsid w:val="00355882"/>
    <w:rsid w:val="00356D58"/>
    <w:rsid w:val="003572DC"/>
    <w:rsid w:val="00357C0F"/>
    <w:rsid w:val="003603EA"/>
    <w:rsid w:val="0036087E"/>
    <w:rsid w:val="003609D2"/>
    <w:rsid w:val="00360DA6"/>
    <w:rsid w:val="00361337"/>
    <w:rsid w:val="0036162E"/>
    <w:rsid w:val="00361716"/>
    <w:rsid w:val="00361BF0"/>
    <w:rsid w:val="00361C12"/>
    <w:rsid w:val="00362311"/>
    <w:rsid w:val="0036259D"/>
    <w:rsid w:val="00362965"/>
    <w:rsid w:val="003629EF"/>
    <w:rsid w:val="003630F6"/>
    <w:rsid w:val="00363A54"/>
    <w:rsid w:val="00363D2E"/>
    <w:rsid w:val="00363D57"/>
    <w:rsid w:val="00363F22"/>
    <w:rsid w:val="00365CCA"/>
    <w:rsid w:val="003661E0"/>
    <w:rsid w:val="003666C2"/>
    <w:rsid w:val="003669D4"/>
    <w:rsid w:val="00366FBE"/>
    <w:rsid w:val="00366FDC"/>
    <w:rsid w:val="0036707F"/>
    <w:rsid w:val="003675B6"/>
    <w:rsid w:val="00370B52"/>
    <w:rsid w:val="00371AC2"/>
    <w:rsid w:val="0037244D"/>
    <w:rsid w:val="00372741"/>
    <w:rsid w:val="00373772"/>
    <w:rsid w:val="00374373"/>
    <w:rsid w:val="003743DE"/>
    <w:rsid w:val="00375029"/>
    <w:rsid w:val="0037536B"/>
    <w:rsid w:val="00375564"/>
    <w:rsid w:val="00375A92"/>
    <w:rsid w:val="003761F8"/>
    <w:rsid w:val="003766F3"/>
    <w:rsid w:val="003769A7"/>
    <w:rsid w:val="00376FD4"/>
    <w:rsid w:val="0037732F"/>
    <w:rsid w:val="00377910"/>
    <w:rsid w:val="00377CF1"/>
    <w:rsid w:val="0038042E"/>
    <w:rsid w:val="00380C45"/>
    <w:rsid w:val="003819BA"/>
    <w:rsid w:val="00381D40"/>
    <w:rsid w:val="003820B9"/>
    <w:rsid w:val="003823DC"/>
    <w:rsid w:val="003827FB"/>
    <w:rsid w:val="00382B9D"/>
    <w:rsid w:val="00382C3B"/>
    <w:rsid w:val="00382FA0"/>
    <w:rsid w:val="00383191"/>
    <w:rsid w:val="0038367A"/>
    <w:rsid w:val="00383B51"/>
    <w:rsid w:val="0038448A"/>
    <w:rsid w:val="00384854"/>
    <w:rsid w:val="003848E8"/>
    <w:rsid w:val="00384ACC"/>
    <w:rsid w:val="0038563E"/>
    <w:rsid w:val="00385899"/>
    <w:rsid w:val="00385BA2"/>
    <w:rsid w:val="00385D74"/>
    <w:rsid w:val="00385E9C"/>
    <w:rsid w:val="0038643C"/>
    <w:rsid w:val="00386DED"/>
    <w:rsid w:val="003876DD"/>
    <w:rsid w:val="0038781B"/>
    <w:rsid w:val="00390819"/>
    <w:rsid w:val="00390EDB"/>
    <w:rsid w:val="00391284"/>
    <w:rsid w:val="003912E7"/>
    <w:rsid w:val="00392B39"/>
    <w:rsid w:val="00392CE8"/>
    <w:rsid w:val="00392DA0"/>
    <w:rsid w:val="003932F9"/>
    <w:rsid w:val="003936A2"/>
    <w:rsid w:val="00393745"/>
    <w:rsid w:val="00393935"/>
    <w:rsid w:val="00393947"/>
    <w:rsid w:val="00393B86"/>
    <w:rsid w:val="00393F86"/>
    <w:rsid w:val="00394626"/>
    <w:rsid w:val="003962C9"/>
    <w:rsid w:val="00397646"/>
    <w:rsid w:val="00397946"/>
    <w:rsid w:val="00397AED"/>
    <w:rsid w:val="003A0470"/>
    <w:rsid w:val="003A0DFD"/>
    <w:rsid w:val="003A2275"/>
    <w:rsid w:val="003A2520"/>
    <w:rsid w:val="003A2782"/>
    <w:rsid w:val="003A2921"/>
    <w:rsid w:val="003A2A37"/>
    <w:rsid w:val="003A2E0F"/>
    <w:rsid w:val="003A37F6"/>
    <w:rsid w:val="003A46FD"/>
    <w:rsid w:val="003A593C"/>
    <w:rsid w:val="003A594B"/>
    <w:rsid w:val="003A62A1"/>
    <w:rsid w:val="003A631B"/>
    <w:rsid w:val="003A6581"/>
    <w:rsid w:val="003A690C"/>
    <w:rsid w:val="003A6A4F"/>
    <w:rsid w:val="003A6DCE"/>
    <w:rsid w:val="003A6ECB"/>
    <w:rsid w:val="003A7088"/>
    <w:rsid w:val="003A7182"/>
    <w:rsid w:val="003A7DA6"/>
    <w:rsid w:val="003A7DCF"/>
    <w:rsid w:val="003B00DF"/>
    <w:rsid w:val="003B0114"/>
    <w:rsid w:val="003B0ADC"/>
    <w:rsid w:val="003B0B9D"/>
    <w:rsid w:val="003B1275"/>
    <w:rsid w:val="003B1778"/>
    <w:rsid w:val="003B2349"/>
    <w:rsid w:val="003B24BE"/>
    <w:rsid w:val="003B2633"/>
    <w:rsid w:val="003B28F5"/>
    <w:rsid w:val="003B2E78"/>
    <w:rsid w:val="003B42EF"/>
    <w:rsid w:val="003B4A7A"/>
    <w:rsid w:val="003B4E53"/>
    <w:rsid w:val="003B4FDA"/>
    <w:rsid w:val="003B65C7"/>
    <w:rsid w:val="003B6EBB"/>
    <w:rsid w:val="003B7E66"/>
    <w:rsid w:val="003C0BDA"/>
    <w:rsid w:val="003C10B8"/>
    <w:rsid w:val="003C114F"/>
    <w:rsid w:val="003C11CB"/>
    <w:rsid w:val="003C2E57"/>
    <w:rsid w:val="003C3327"/>
    <w:rsid w:val="003C6272"/>
    <w:rsid w:val="003C6445"/>
    <w:rsid w:val="003C75F3"/>
    <w:rsid w:val="003C78A3"/>
    <w:rsid w:val="003D062C"/>
    <w:rsid w:val="003D08BF"/>
    <w:rsid w:val="003D2221"/>
    <w:rsid w:val="003D25C9"/>
    <w:rsid w:val="003D2961"/>
    <w:rsid w:val="003D3B3C"/>
    <w:rsid w:val="003D3E88"/>
    <w:rsid w:val="003D5ECB"/>
    <w:rsid w:val="003D6452"/>
    <w:rsid w:val="003D6B15"/>
    <w:rsid w:val="003D755C"/>
    <w:rsid w:val="003D79C2"/>
    <w:rsid w:val="003D7E1E"/>
    <w:rsid w:val="003E00AC"/>
    <w:rsid w:val="003E03CF"/>
    <w:rsid w:val="003E1867"/>
    <w:rsid w:val="003E1EC3"/>
    <w:rsid w:val="003E1EE2"/>
    <w:rsid w:val="003E2410"/>
    <w:rsid w:val="003E406C"/>
    <w:rsid w:val="003E4727"/>
    <w:rsid w:val="003E47B1"/>
    <w:rsid w:val="003E4931"/>
    <w:rsid w:val="003E4A4A"/>
    <w:rsid w:val="003E5111"/>
    <w:rsid w:val="003E55D8"/>
    <w:rsid w:val="003E56B5"/>
    <w:rsid w:val="003E56CB"/>
    <w:rsid w:val="003E5729"/>
    <w:rsid w:val="003E5753"/>
    <w:rsid w:val="003E679C"/>
    <w:rsid w:val="003E6E1A"/>
    <w:rsid w:val="003E7545"/>
    <w:rsid w:val="003F0394"/>
    <w:rsid w:val="003F07EF"/>
    <w:rsid w:val="003F087B"/>
    <w:rsid w:val="003F1624"/>
    <w:rsid w:val="003F1D0C"/>
    <w:rsid w:val="003F2938"/>
    <w:rsid w:val="003F2C61"/>
    <w:rsid w:val="003F3123"/>
    <w:rsid w:val="003F32D2"/>
    <w:rsid w:val="003F36B0"/>
    <w:rsid w:val="003F3DB9"/>
    <w:rsid w:val="003F3EE2"/>
    <w:rsid w:val="003F43EC"/>
    <w:rsid w:val="003F4DA2"/>
    <w:rsid w:val="003F4EE0"/>
    <w:rsid w:val="003F4F12"/>
    <w:rsid w:val="003F52F9"/>
    <w:rsid w:val="003F564A"/>
    <w:rsid w:val="003F5BA1"/>
    <w:rsid w:val="003F6673"/>
    <w:rsid w:val="003F6F10"/>
    <w:rsid w:val="003F78D9"/>
    <w:rsid w:val="003F7B13"/>
    <w:rsid w:val="003F7CFA"/>
    <w:rsid w:val="003F7EF3"/>
    <w:rsid w:val="00400031"/>
    <w:rsid w:val="00400149"/>
    <w:rsid w:val="00400F41"/>
    <w:rsid w:val="00400FA7"/>
    <w:rsid w:val="00401C2D"/>
    <w:rsid w:val="00402153"/>
    <w:rsid w:val="004023C7"/>
    <w:rsid w:val="00402B31"/>
    <w:rsid w:val="00402FC1"/>
    <w:rsid w:val="00404502"/>
    <w:rsid w:val="0040477C"/>
    <w:rsid w:val="00404EE9"/>
    <w:rsid w:val="00405F03"/>
    <w:rsid w:val="00407A3E"/>
    <w:rsid w:val="0041018D"/>
    <w:rsid w:val="004101CB"/>
    <w:rsid w:val="00410392"/>
    <w:rsid w:val="00410461"/>
    <w:rsid w:val="004104F5"/>
    <w:rsid w:val="00410F72"/>
    <w:rsid w:val="00411988"/>
    <w:rsid w:val="00411E1F"/>
    <w:rsid w:val="00412322"/>
    <w:rsid w:val="004125DB"/>
    <w:rsid w:val="00412DE4"/>
    <w:rsid w:val="00414348"/>
    <w:rsid w:val="0041491C"/>
    <w:rsid w:val="00415099"/>
    <w:rsid w:val="00415254"/>
    <w:rsid w:val="004153F8"/>
    <w:rsid w:val="00415489"/>
    <w:rsid w:val="00415CA6"/>
    <w:rsid w:val="00415F83"/>
    <w:rsid w:val="00416476"/>
    <w:rsid w:val="004168C9"/>
    <w:rsid w:val="00416B5A"/>
    <w:rsid w:val="004175EC"/>
    <w:rsid w:val="00417BB6"/>
    <w:rsid w:val="0042096C"/>
    <w:rsid w:val="00420B3F"/>
    <w:rsid w:val="0042148D"/>
    <w:rsid w:val="00421763"/>
    <w:rsid w:val="004236DB"/>
    <w:rsid w:val="0042392B"/>
    <w:rsid w:val="004245F3"/>
    <w:rsid w:val="00424779"/>
    <w:rsid w:val="00424864"/>
    <w:rsid w:val="00424B9D"/>
    <w:rsid w:val="00425082"/>
    <w:rsid w:val="004256DC"/>
    <w:rsid w:val="00426AB5"/>
    <w:rsid w:val="00426ABE"/>
    <w:rsid w:val="00426C57"/>
    <w:rsid w:val="00427321"/>
    <w:rsid w:val="00430222"/>
    <w:rsid w:val="00430265"/>
    <w:rsid w:val="00430568"/>
    <w:rsid w:val="00430B3F"/>
    <w:rsid w:val="00431DEB"/>
    <w:rsid w:val="00432516"/>
    <w:rsid w:val="004328DD"/>
    <w:rsid w:val="004334F7"/>
    <w:rsid w:val="00433730"/>
    <w:rsid w:val="00433FCA"/>
    <w:rsid w:val="00434C3D"/>
    <w:rsid w:val="00435AF8"/>
    <w:rsid w:val="00435CFC"/>
    <w:rsid w:val="00436296"/>
    <w:rsid w:val="004363A3"/>
    <w:rsid w:val="004370EF"/>
    <w:rsid w:val="004372DC"/>
    <w:rsid w:val="00437851"/>
    <w:rsid w:val="004379EB"/>
    <w:rsid w:val="00437FDE"/>
    <w:rsid w:val="00441811"/>
    <w:rsid w:val="00442B8A"/>
    <w:rsid w:val="004430F6"/>
    <w:rsid w:val="00443650"/>
    <w:rsid w:val="00443882"/>
    <w:rsid w:val="00443DF3"/>
    <w:rsid w:val="004452BC"/>
    <w:rsid w:val="0044558D"/>
    <w:rsid w:val="004455F7"/>
    <w:rsid w:val="0044581F"/>
    <w:rsid w:val="00446178"/>
    <w:rsid w:val="00446390"/>
    <w:rsid w:val="004465E2"/>
    <w:rsid w:val="00446B29"/>
    <w:rsid w:val="0045015C"/>
    <w:rsid w:val="0045060E"/>
    <w:rsid w:val="004512F2"/>
    <w:rsid w:val="00451A84"/>
    <w:rsid w:val="004521AD"/>
    <w:rsid w:val="0045280E"/>
    <w:rsid w:val="0045309F"/>
    <w:rsid w:val="00453F9A"/>
    <w:rsid w:val="004543D7"/>
    <w:rsid w:val="00454A35"/>
    <w:rsid w:val="00454BD8"/>
    <w:rsid w:val="00455076"/>
    <w:rsid w:val="004551BD"/>
    <w:rsid w:val="00455A73"/>
    <w:rsid w:val="004561C9"/>
    <w:rsid w:val="00456273"/>
    <w:rsid w:val="004569BA"/>
    <w:rsid w:val="00456AD4"/>
    <w:rsid w:val="00456ED0"/>
    <w:rsid w:val="00456F48"/>
    <w:rsid w:val="00457422"/>
    <w:rsid w:val="004574B1"/>
    <w:rsid w:val="004577A3"/>
    <w:rsid w:val="00460C76"/>
    <w:rsid w:val="00460CEE"/>
    <w:rsid w:val="0046162B"/>
    <w:rsid w:val="00461E7D"/>
    <w:rsid w:val="00462074"/>
    <w:rsid w:val="00462186"/>
    <w:rsid w:val="00463DA6"/>
    <w:rsid w:val="00463FD6"/>
    <w:rsid w:val="00464993"/>
    <w:rsid w:val="00464BE2"/>
    <w:rsid w:val="00464D14"/>
    <w:rsid w:val="004653A7"/>
    <w:rsid w:val="004656A2"/>
    <w:rsid w:val="004658CF"/>
    <w:rsid w:val="00465B4B"/>
    <w:rsid w:val="004663F8"/>
    <w:rsid w:val="0046657A"/>
    <w:rsid w:val="00466F76"/>
    <w:rsid w:val="00470D0C"/>
    <w:rsid w:val="00470E8C"/>
    <w:rsid w:val="004710FE"/>
    <w:rsid w:val="00471761"/>
    <w:rsid w:val="004719BE"/>
    <w:rsid w:val="00471C66"/>
    <w:rsid w:val="00471E91"/>
    <w:rsid w:val="00472B9B"/>
    <w:rsid w:val="00472EA1"/>
    <w:rsid w:val="004731F4"/>
    <w:rsid w:val="00473AF5"/>
    <w:rsid w:val="004741B5"/>
    <w:rsid w:val="00474675"/>
    <w:rsid w:val="0047470C"/>
    <w:rsid w:val="00474D5F"/>
    <w:rsid w:val="00474E9D"/>
    <w:rsid w:val="0047596A"/>
    <w:rsid w:val="00475E7C"/>
    <w:rsid w:val="004765A1"/>
    <w:rsid w:val="00476D39"/>
    <w:rsid w:val="004815F4"/>
    <w:rsid w:val="00481AC1"/>
    <w:rsid w:val="00481AE9"/>
    <w:rsid w:val="00481FF4"/>
    <w:rsid w:val="00482108"/>
    <w:rsid w:val="00482169"/>
    <w:rsid w:val="004821F7"/>
    <w:rsid w:val="00483455"/>
    <w:rsid w:val="00483DD9"/>
    <w:rsid w:val="0048450A"/>
    <w:rsid w:val="00484C6D"/>
    <w:rsid w:val="00485305"/>
    <w:rsid w:val="0048586E"/>
    <w:rsid w:val="00485C82"/>
    <w:rsid w:val="004860EC"/>
    <w:rsid w:val="00486220"/>
    <w:rsid w:val="00486C19"/>
    <w:rsid w:val="004874AD"/>
    <w:rsid w:val="00487B10"/>
    <w:rsid w:val="00490491"/>
    <w:rsid w:val="00490C94"/>
    <w:rsid w:val="00491DEB"/>
    <w:rsid w:val="0049244B"/>
    <w:rsid w:val="00492693"/>
    <w:rsid w:val="00492BCB"/>
    <w:rsid w:val="00493B57"/>
    <w:rsid w:val="004943E4"/>
    <w:rsid w:val="00494E98"/>
    <w:rsid w:val="00495DC0"/>
    <w:rsid w:val="00496A9A"/>
    <w:rsid w:val="00497C6C"/>
    <w:rsid w:val="004A0016"/>
    <w:rsid w:val="004A0483"/>
    <w:rsid w:val="004A1E79"/>
    <w:rsid w:val="004A3286"/>
    <w:rsid w:val="004A35F9"/>
    <w:rsid w:val="004A36DD"/>
    <w:rsid w:val="004A3D75"/>
    <w:rsid w:val="004A4214"/>
    <w:rsid w:val="004A4345"/>
    <w:rsid w:val="004A4C57"/>
    <w:rsid w:val="004A5719"/>
    <w:rsid w:val="004A5A4A"/>
    <w:rsid w:val="004A6E61"/>
    <w:rsid w:val="004B0282"/>
    <w:rsid w:val="004B0521"/>
    <w:rsid w:val="004B24C1"/>
    <w:rsid w:val="004B2E61"/>
    <w:rsid w:val="004B394B"/>
    <w:rsid w:val="004B4821"/>
    <w:rsid w:val="004B55EC"/>
    <w:rsid w:val="004B6EBD"/>
    <w:rsid w:val="004B7F06"/>
    <w:rsid w:val="004C06ED"/>
    <w:rsid w:val="004C09A3"/>
    <w:rsid w:val="004C12CE"/>
    <w:rsid w:val="004C1CA4"/>
    <w:rsid w:val="004C292F"/>
    <w:rsid w:val="004C36AE"/>
    <w:rsid w:val="004C3C91"/>
    <w:rsid w:val="004C4457"/>
    <w:rsid w:val="004C4F7F"/>
    <w:rsid w:val="004C5026"/>
    <w:rsid w:val="004C51B2"/>
    <w:rsid w:val="004C5517"/>
    <w:rsid w:val="004C5B28"/>
    <w:rsid w:val="004C5D43"/>
    <w:rsid w:val="004C61DE"/>
    <w:rsid w:val="004C620E"/>
    <w:rsid w:val="004C66C8"/>
    <w:rsid w:val="004C6B83"/>
    <w:rsid w:val="004C757F"/>
    <w:rsid w:val="004C7F4E"/>
    <w:rsid w:val="004D0D37"/>
    <w:rsid w:val="004D1A45"/>
    <w:rsid w:val="004D1C48"/>
    <w:rsid w:val="004D2D45"/>
    <w:rsid w:val="004D418B"/>
    <w:rsid w:val="004D5A5C"/>
    <w:rsid w:val="004D6456"/>
    <w:rsid w:val="004D70D7"/>
    <w:rsid w:val="004D71AB"/>
    <w:rsid w:val="004D79FF"/>
    <w:rsid w:val="004D7C66"/>
    <w:rsid w:val="004E2C36"/>
    <w:rsid w:val="004E30BD"/>
    <w:rsid w:val="004E31DE"/>
    <w:rsid w:val="004E3D08"/>
    <w:rsid w:val="004E3FAB"/>
    <w:rsid w:val="004E50D0"/>
    <w:rsid w:val="004E54CF"/>
    <w:rsid w:val="004E57E4"/>
    <w:rsid w:val="004E5C30"/>
    <w:rsid w:val="004E60DE"/>
    <w:rsid w:val="004E656C"/>
    <w:rsid w:val="004E68F6"/>
    <w:rsid w:val="004E6939"/>
    <w:rsid w:val="004E7BDC"/>
    <w:rsid w:val="004E7E2E"/>
    <w:rsid w:val="004F0453"/>
    <w:rsid w:val="004F056B"/>
    <w:rsid w:val="004F07E4"/>
    <w:rsid w:val="004F16E1"/>
    <w:rsid w:val="004F1C31"/>
    <w:rsid w:val="004F2118"/>
    <w:rsid w:val="004F220B"/>
    <w:rsid w:val="004F3FFD"/>
    <w:rsid w:val="004F4703"/>
    <w:rsid w:val="004F6EBB"/>
    <w:rsid w:val="004F7267"/>
    <w:rsid w:val="004F766B"/>
    <w:rsid w:val="004F7D4C"/>
    <w:rsid w:val="005004AE"/>
    <w:rsid w:val="00500FA3"/>
    <w:rsid w:val="005014FA"/>
    <w:rsid w:val="00501A88"/>
    <w:rsid w:val="00501B76"/>
    <w:rsid w:val="005028F9"/>
    <w:rsid w:val="00502F3B"/>
    <w:rsid w:val="00503309"/>
    <w:rsid w:val="00503428"/>
    <w:rsid w:val="0050419B"/>
    <w:rsid w:val="00505CD9"/>
    <w:rsid w:val="0050610D"/>
    <w:rsid w:val="00507077"/>
    <w:rsid w:val="00510280"/>
    <w:rsid w:val="005109D8"/>
    <w:rsid w:val="00510BD8"/>
    <w:rsid w:val="00510BE3"/>
    <w:rsid w:val="00511641"/>
    <w:rsid w:val="00511951"/>
    <w:rsid w:val="00512D7C"/>
    <w:rsid w:val="00513031"/>
    <w:rsid w:val="005135E0"/>
    <w:rsid w:val="00513767"/>
    <w:rsid w:val="005138C7"/>
    <w:rsid w:val="00513D07"/>
    <w:rsid w:val="00513D73"/>
    <w:rsid w:val="00514093"/>
    <w:rsid w:val="00514678"/>
    <w:rsid w:val="0051490F"/>
    <w:rsid w:val="00514A43"/>
    <w:rsid w:val="00514B05"/>
    <w:rsid w:val="005151CD"/>
    <w:rsid w:val="0051523E"/>
    <w:rsid w:val="00516222"/>
    <w:rsid w:val="00516667"/>
    <w:rsid w:val="00516B69"/>
    <w:rsid w:val="005174E5"/>
    <w:rsid w:val="0051798C"/>
    <w:rsid w:val="00517CA7"/>
    <w:rsid w:val="00520089"/>
    <w:rsid w:val="005201D2"/>
    <w:rsid w:val="00520202"/>
    <w:rsid w:val="005218CE"/>
    <w:rsid w:val="00522393"/>
    <w:rsid w:val="00522620"/>
    <w:rsid w:val="00522A14"/>
    <w:rsid w:val="0052316A"/>
    <w:rsid w:val="00523750"/>
    <w:rsid w:val="00524351"/>
    <w:rsid w:val="00524763"/>
    <w:rsid w:val="00524A4C"/>
    <w:rsid w:val="00524C93"/>
    <w:rsid w:val="00524F58"/>
    <w:rsid w:val="00525656"/>
    <w:rsid w:val="005259E2"/>
    <w:rsid w:val="00525F88"/>
    <w:rsid w:val="00526301"/>
    <w:rsid w:val="00526664"/>
    <w:rsid w:val="00526BA1"/>
    <w:rsid w:val="00526DF3"/>
    <w:rsid w:val="00530C7C"/>
    <w:rsid w:val="00531647"/>
    <w:rsid w:val="00531817"/>
    <w:rsid w:val="00531C07"/>
    <w:rsid w:val="00532849"/>
    <w:rsid w:val="00533285"/>
    <w:rsid w:val="0053385E"/>
    <w:rsid w:val="0053467F"/>
    <w:rsid w:val="00534BB9"/>
    <w:rsid w:val="00534C02"/>
    <w:rsid w:val="00534CEF"/>
    <w:rsid w:val="005355FC"/>
    <w:rsid w:val="00535F70"/>
    <w:rsid w:val="0053732E"/>
    <w:rsid w:val="005403EC"/>
    <w:rsid w:val="00540C55"/>
    <w:rsid w:val="00541276"/>
    <w:rsid w:val="00541963"/>
    <w:rsid w:val="00541CE8"/>
    <w:rsid w:val="0054264B"/>
    <w:rsid w:val="0054310C"/>
    <w:rsid w:val="005431B3"/>
    <w:rsid w:val="00543351"/>
    <w:rsid w:val="00543786"/>
    <w:rsid w:val="00543B9A"/>
    <w:rsid w:val="00543DE3"/>
    <w:rsid w:val="0054412B"/>
    <w:rsid w:val="0054473B"/>
    <w:rsid w:val="005457A3"/>
    <w:rsid w:val="00545A4A"/>
    <w:rsid w:val="00545D78"/>
    <w:rsid w:val="005462F0"/>
    <w:rsid w:val="0054659A"/>
    <w:rsid w:val="00546A4D"/>
    <w:rsid w:val="00546BF4"/>
    <w:rsid w:val="00546C84"/>
    <w:rsid w:val="00546CB6"/>
    <w:rsid w:val="0054796A"/>
    <w:rsid w:val="00547AC7"/>
    <w:rsid w:val="0055016B"/>
    <w:rsid w:val="00550387"/>
    <w:rsid w:val="00550B6D"/>
    <w:rsid w:val="00551C67"/>
    <w:rsid w:val="00551CF1"/>
    <w:rsid w:val="005533D7"/>
    <w:rsid w:val="005536B9"/>
    <w:rsid w:val="00553E8A"/>
    <w:rsid w:val="00553F6D"/>
    <w:rsid w:val="005556F8"/>
    <w:rsid w:val="00555701"/>
    <w:rsid w:val="0055588E"/>
    <w:rsid w:val="00555DEA"/>
    <w:rsid w:val="00557665"/>
    <w:rsid w:val="00557B50"/>
    <w:rsid w:val="00557C0D"/>
    <w:rsid w:val="00557C9A"/>
    <w:rsid w:val="0056014B"/>
    <w:rsid w:val="005607E5"/>
    <w:rsid w:val="00561445"/>
    <w:rsid w:val="005614E6"/>
    <w:rsid w:val="0056158B"/>
    <w:rsid w:val="00562274"/>
    <w:rsid w:val="00562A09"/>
    <w:rsid w:val="00562DBE"/>
    <w:rsid w:val="005631A1"/>
    <w:rsid w:val="0056330D"/>
    <w:rsid w:val="00563681"/>
    <w:rsid w:val="00563872"/>
    <w:rsid w:val="00565DD1"/>
    <w:rsid w:val="005677A8"/>
    <w:rsid w:val="00567CE2"/>
    <w:rsid w:val="005703DE"/>
    <w:rsid w:val="005703F3"/>
    <w:rsid w:val="00570591"/>
    <w:rsid w:val="0057088A"/>
    <w:rsid w:val="005717BA"/>
    <w:rsid w:val="00571F61"/>
    <w:rsid w:val="00572785"/>
    <w:rsid w:val="00573305"/>
    <w:rsid w:val="00574299"/>
    <w:rsid w:val="005747CB"/>
    <w:rsid w:val="00574A3A"/>
    <w:rsid w:val="00574F91"/>
    <w:rsid w:val="0057503D"/>
    <w:rsid w:val="00577462"/>
    <w:rsid w:val="005779C7"/>
    <w:rsid w:val="00577F6D"/>
    <w:rsid w:val="00580051"/>
    <w:rsid w:val="00580133"/>
    <w:rsid w:val="0058034C"/>
    <w:rsid w:val="00580805"/>
    <w:rsid w:val="0058123F"/>
    <w:rsid w:val="00581295"/>
    <w:rsid w:val="0058154B"/>
    <w:rsid w:val="00581CD5"/>
    <w:rsid w:val="0058219F"/>
    <w:rsid w:val="00583319"/>
    <w:rsid w:val="005834FA"/>
    <w:rsid w:val="005843EC"/>
    <w:rsid w:val="0058464E"/>
    <w:rsid w:val="00584C8D"/>
    <w:rsid w:val="005850F6"/>
    <w:rsid w:val="005854FE"/>
    <w:rsid w:val="0058583F"/>
    <w:rsid w:val="00585928"/>
    <w:rsid w:val="00585BC9"/>
    <w:rsid w:val="00585C70"/>
    <w:rsid w:val="00586CCF"/>
    <w:rsid w:val="0058720F"/>
    <w:rsid w:val="00587614"/>
    <w:rsid w:val="00587641"/>
    <w:rsid w:val="00587FA8"/>
    <w:rsid w:val="00591548"/>
    <w:rsid w:val="005915E6"/>
    <w:rsid w:val="005931AA"/>
    <w:rsid w:val="005938EA"/>
    <w:rsid w:val="00593D7F"/>
    <w:rsid w:val="00593FD5"/>
    <w:rsid w:val="00594CDE"/>
    <w:rsid w:val="00595FA2"/>
    <w:rsid w:val="00596A48"/>
    <w:rsid w:val="0059758B"/>
    <w:rsid w:val="005A01CB"/>
    <w:rsid w:val="005A0244"/>
    <w:rsid w:val="005A0516"/>
    <w:rsid w:val="005A0694"/>
    <w:rsid w:val="005A0A36"/>
    <w:rsid w:val="005A0EB6"/>
    <w:rsid w:val="005A1467"/>
    <w:rsid w:val="005A1595"/>
    <w:rsid w:val="005A20FE"/>
    <w:rsid w:val="005A221F"/>
    <w:rsid w:val="005A2DF0"/>
    <w:rsid w:val="005A3A1D"/>
    <w:rsid w:val="005A3A2C"/>
    <w:rsid w:val="005A474D"/>
    <w:rsid w:val="005A58FF"/>
    <w:rsid w:val="005A5A4A"/>
    <w:rsid w:val="005A5EAF"/>
    <w:rsid w:val="005A64C0"/>
    <w:rsid w:val="005A6C36"/>
    <w:rsid w:val="005A6DE8"/>
    <w:rsid w:val="005A738E"/>
    <w:rsid w:val="005A75D7"/>
    <w:rsid w:val="005B145D"/>
    <w:rsid w:val="005B1FFA"/>
    <w:rsid w:val="005B210A"/>
    <w:rsid w:val="005B241C"/>
    <w:rsid w:val="005B3C11"/>
    <w:rsid w:val="005B3C99"/>
    <w:rsid w:val="005B4CA3"/>
    <w:rsid w:val="005B4DB2"/>
    <w:rsid w:val="005B53B1"/>
    <w:rsid w:val="005B58EA"/>
    <w:rsid w:val="005B66EA"/>
    <w:rsid w:val="005B7113"/>
    <w:rsid w:val="005B79A8"/>
    <w:rsid w:val="005B7E6B"/>
    <w:rsid w:val="005C1179"/>
    <w:rsid w:val="005C15D8"/>
    <w:rsid w:val="005C1ADE"/>
    <w:rsid w:val="005C1C28"/>
    <w:rsid w:val="005C1C8E"/>
    <w:rsid w:val="005C23FD"/>
    <w:rsid w:val="005C331C"/>
    <w:rsid w:val="005C39F0"/>
    <w:rsid w:val="005C5072"/>
    <w:rsid w:val="005C517F"/>
    <w:rsid w:val="005C5E46"/>
    <w:rsid w:val="005C623C"/>
    <w:rsid w:val="005C6DB5"/>
    <w:rsid w:val="005C7DB3"/>
    <w:rsid w:val="005D0494"/>
    <w:rsid w:val="005D1458"/>
    <w:rsid w:val="005D178A"/>
    <w:rsid w:val="005D262A"/>
    <w:rsid w:val="005D3342"/>
    <w:rsid w:val="005D3B6D"/>
    <w:rsid w:val="005D5650"/>
    <w:rsid w:val="005D5804"/>
    <w:rsid w:val="005D6B87"/>
    <w:rsid w:val="005D7038"/>
    <w:rsid w:val="005D713D"/>
    <w:rsid w:val="005D7260"/>
    <w:rsid w:val="005D7E74"/>
    <w:rsid w:val="005E0A6B"/>
    <w:rsid w:val="005E0E90"/>
    <w:rsid w:val="005E19E7"/>
    <w:rsid w:val="005E3418"/>
    <w:rsid w:val="005E34D4"/>
    <w:rsid w:val="005E3BAF"/>
    <w:rsid w:val="005E3C6B"/>
    <w:rsid w:val="005E42A5"/>
    <w:rsid w:val="005E447E"/>
    <w:rsid w:val="005E56FF"/>
    <w:rsid w:val="005E64F0"/>
    <w:rsid w:val="005E6564"/>
    <w:rsid w:val="005E69EC"/>
    <w:rsid w:val="005E6C4D"/>
    <w:rsid w:val="005E7346"/>
    <w:rsid w:val="005E7C7D"/>
    <w:rsid w:val="005E7F63"/>
    <w:rsid w:val="005F0343"/>
    <w:rsid w:val="005F07E9"/>
    <w:rsid w:val="005F0927"/>
    <w:rsid w:val="005F14B5"/>
    <w:rsid w:val="005F2E66"/>
    <w:rsid w:val="005F303D"/>
    <w:rsid w:val="005F38E9"/>
    <w:rsid w:val="005F4096"/>
    <w:rsid w:val="005F4864"/>
    <w:rsid w:val="005F50AA"/>
    <w:rsid w:val="005F5264"/>
    <w:rsid w:val="005F5C6D"/>
    <w:rsid w:val="005F5C8F"/>
    <w:rsid w:val="005F61E0"/>
    <w:rsid w:val="005F6437"/>
    <w:rsid w:val="005F6C1C"/>
    <w:rsid w:val="005F6C2D"/>
    <w:rsid w:val="005F6C56"/>
    <w:rsid w:val="005F70D4"/>
    <w:rsid w:val="005F76D8"/>
    <w:rsid w:val="005F7856"/>
    <w:rsid w:val="005F7B65"/>
    <w:rsid w:val="0060014E"/>
    <w:rsid w:val="00601619"/>
    <w:rsid w:val="00601C56"/>
    <w:rsid w:val="00601CCA"/>
    <w:rsid w:val="00601FFB"/>
    <w:rsid w:val="00602B9A"/>
    <w:rsid w:val="00602C17"/>
    <w:rsid w:val="0060316A"/>
    <w:rsid w:val="006040E0"/>
    <w:rsid w:val="00604449"/>
    <w:rsid w:val="0060444F"/>
    <w:rsid w:val="00604EA1"/>
    <w:rsid w:val="0060544B"/>
    <w:rsid w:val="006060A0"/>
    <w:rsid w:val="0060695F"/>
    <w:rsid w:val="00606C58"/>
    <w:rsid w:val="006116C3"/>
    <w:rsid w:val="006118B0"/>
    <w:rsid w:val="00612E51"/>
    <w:rsid w:val="00613298"/>
    <w:rsid w:val="00613D7A"/>
    <w:rsid w:val="00613DD7"/>
    <w:rsid w:val="00613EE3"/>
    <w:rsid w:val="0061716C"/>
    <w:rsid w:val="0061777A"/>
    <w:rsid w:val="00620785"/>
    <w:rsid w:val="00620E4A"/>
    <w:rsid w:val="0062184E"/>
    <w:rsid w:val="006219C5"/>
    <w:rsid w:val="00621B9B"/>
    <w:rsid w:val="006221EA"/>
    <w:rsid w:val="00622ACA"/>
    <w:rsid w:val="00623B91"/>
    <w:rsid w:val="00623BEB"/>
    <w:rsid w:val="00623D48"/>
    <w:rsid w:val="006241F9"/>
    <w:rsid w:val="006243A1"/>
    <w:rsid w:val="006245B1"/>
    <w:rsid w:val="006246FF"/>
    <w:rsid w:val="00624A8F"/>
    <w:rsid w:val="00624D21"/>
    <w:rsid w:val="006255D4"/>
    <w:rsid w:val="00625E18"/>
    <w:rsid w:val="0062697D"/>
    <w:rsid w:val="00626BA1"/>
    <w:rsid w:val="00627146"/>
    <w:rsid w:val="00627BF2"/>
    <w:rsid w:val="00630078"/>
    <w:rsid w:val="00630926"/>
    <w:rsid w:val="00630D94"/>
    <w:rsid w:val="00631953"/>
    <w:rsid w:val="006319BF"/>
    <w:rsid w:val="00631F81"/>
    <w:rsid w:val="00632038"/>
    <w:rsid w:val="006326DA"/>
    <w:rsid w:val="00632E56"/>
    <w:rsid w:val="006338C0"/>
    <w:rsid w:val="00633A30"/>
    <w:rsid w:val="0063414C"/>
    <w:rsid w:val="00634BCA"/>
    <w:rsid w:val="00635259"/>
    <w:rsid w:val="006352C1"/>
    <w:rsid w:val="0063574D"/>
    <w:rsid w:val="00635C3F"/>
    <w:rsid w:val="00635CBA"/>
    <w:rsid w:val="006365C3"/>
    <w:rsid w:val="0063670D"/>
    <w:rsid w:val="00637F03"/>
    <w:rsid w:val="00637FB8"/>
    <w:rsid w:val="00637FFE"/>
    <w:rsid w:val="006405B4"/>
    <w:rsid w:val="00640704"/>
    <w:rsid w:val="00640962"/>
    <w:rsid w:val="00640A63"/>
    <w:rsid w:val="0064116D"/>
    <w:rsid w:val="006413C5"/>
    <w:rsid w:val="006414C9"/>
    <w:rsid w:val="00641B8E"/>
    <w:rsid w:val="00641F5F"/>
    <w:rsid w:val="0064240B"/>
    <w:rsid w:val="00642536"/>
    <w:rsid w:val="0064338B"/>
    <w:rsid w:val="00644762"/>
    <w:rsid w:val="0064518A"/>
    <w:rsid w:val="00645C84"/>
    <w:rsid w:val="006462F3"/>
    <w:rsid w:val="00646542"/>
    <w:rsid w:val="006469AE"/>
    <w:rsid w:val="0064796B"/>
    <w:rsid w:val="006503F5"/>
    <w:rsid w:val="0065049A"/>
    <w:rsid w:val="006504F4"/>
    <w:rsid w:val="00650F01"/>
    <w:rsid w:val="0065104E"/>
    <w:rsid w:val="006517C0"/>
    <w:rsid w:val="00651C32"/>
    <w:rsid w:val="0065230F"/>
    <w:rsid w:val="0065273A"/>
    <w:rsid w:val="00652A88"/>
    <w:rsid w:val="0065387E"/>
    <w:rsid w:val="00653AB0"/>
    <w:rsid w:val="00654272"/>
    <w:rsid w:val="0065465A"/>
    <w:rsid w:val="00654990"/>
    <w:rsid w:val="00654BC9"/>
    <w:rsid w:val="006552FD"/>
    <w:rsid w:val="00655586"/>
    <w:rsid w:val="00655F08"/>
    <w:rsid w:val="00656134"/>
    <w:rsid w:val="0065678F"/>
    <w:rsid w:val="00656C01"/>
    <w:rsid w:val="006577D3"/>
    <w:rsid w:val="00657E2C"/>
    <w:rsid w:val="006600DF"/>
    <w:rsid w:val="006604B8"/>
    <w:rsid w:val="0066153A"/>
    <w:rsid w:val="00661C5A"/>
    <w:rsid w:val="0066264E"/>
    <w:rsid w:val="00662B4A"/>
    <w:rsid w:val="006634A4"/>
    <w:rsid w:val="00663AF3"/>
    <w:rsid w:val="00663C61"/>
    <w:rsid w:val="00664045"/>
    <w:rsid w:val="006644D5"/>
    <w:rsid w:val="006648C9"/>
    <w:rsid w:val="00664B72"/>
    <w:rsid w:val="00665A21"/>
    <w:rsid w:val="00665B1F"/>
    <w:rsid w:val="006661EA"/>
    <w:rsid w:val="0066622B"/>
    <w:rsid w:val="00666502"/>
    <w:rsid w:val="00666980"/>
    <w:rsid w:val="00666B6C"/>
    <w:rsid w:val="00667240"/>
    <w:rsid w:val="0066759C"/>
    <w:rsid w:val="006709C0"/>
    <w:rsid w:val="00671572"/>
    <w:rsid w:val="006726E4"/>
    <w:rsid w:val="006727A0"/>
    <w:rsid w:val="0067285F"/>
    <w:rsid w:val="00672C96"/>
    <w:rsid w:val="006736AF"/>
    <w:rsid w:val="0067537E"/>
    <w:rsid w:val="00677507"/>
    <w:rsid w:val="00680C9F"/>
    <w:rsid w:val="0068141B"/>
    <w:rsid w:val="00682682"/>
    <w:rsid w:val="00682702"/>
    <w:rsid w:val="00683247"/>
    <w:rsid w:val="00683599"/>
    <w:rsid w:val="0068410D"/>
    <w:rsid w:val="00686224"/>
    <w:rsid w:val="00687130"/>
    <w:rsid w:val="006878E1"/>
    <w:rsid w:val="00687B18"/>
    <w:rsid w:val="0069138A"/>
    <w:rsid w:val="00691A0D"/>
    <w:rsid w:val="00691BD0"/>
    <w:rsid w:val="00692368"/>
    <w:rsid w:val="00692A75"/>
    <w:rsid w:val="00693596"/>
    <w:rsid w:val="00693F91"/>
    <w:rsid w:val="00695066"/>
    <w:rsid w:val="0069511E"/>
    <w:rsid w:val="0069518F"/>
    <w:rsid w:val="0069576F"/>
    <w:rsid w:val="00695EAE"/>
    <w:rsid w:val="006969E4"/>
    <w:rsid w:val="00697162"/>
    <w:rsid w:val="00697447"/>
    <w:rsid w:val="00697744"/>
    <w:rsid w:val="00697EFF"/>
    <w:rsid w:val="006A0812"/>
    <w:rsid w:val="006A1A14"/>
    <w:rsid w:val="006A1BBA"/>
    <w:rsid w:val="006A226F"/>
    <w:rsid w:val="006A2EBC"/>
    <w:rsid w:val="006A4F4E"/>
    <w:rsid w:val="006A524C"/>
    <w:rsid w:val="006A59D2"/>
    <w:rsid w:val="006A5EA0"/>
    <w:rsid w:val="006A5F4B"/>
    <w:rsid w:val="006A659F"/>
    <w:rsid w:val="006A665C"/>
    <w:rsid w:val="006A6758"/>
    <w:rsid w:val="006A685B"/>
    <w:rsid w:val="006A6B0C"/>
    <w:rsid w:val="006A783B"/>
    <w:rsid w:val="006A7B33"/>
    <w:rsid w:val="006A7F02"/>
    <w:rsid w:val="006B06F5"/>
    <w:rsid w:val="006B086A"/>
    <w:rsid w:val="006B0ED4"/>
    <w:rsid w:val="006B19DF"/>
    <w:rsid w:val="006B1BF4"/>
    <w:rsid w:val="006B29F2"/>
    <w:rsid w:val="006B2C2A"/>
    <w:rsid w:val="006B395D"/>
    <w:rsid w:val="006B3DC9"/>
    <w:rsid w:val="006B4E13"/>
    <w:rsid w:val="006B6096"/>
    <w:rsid w:val="006B6A26"/>
    <w:rsid w:val="006B6AE9"/>
    <w:rsid w:val="006B75DD"/>
    <w:rsid w:val="006C0EA3"/>
    <w:rsid w:val="006C1058"/>
    <w:rsid w:val="006C2F36"/>
    <w:rsid w:val="006C30CD"/>
    <w:rsid w:val="006C346B"/>
    <w:rsid w:val="006C35E6"/>
    <w:rsid w:val="006C361D"/>
    <w:rsid w:val="006C3767"/>
    <w:rsid w:val="006C4605"/>
    <w:rsid w:val="006C54FD"/>
    <w:rsid w:val="006C5DE2"/>
    <w:rsid w:val="006C6705"/>
    <w:rsid w:val="006C67E0"/>
    <w:rsid w:val="006C6A11"/>
    <w:rsid w:val="006C6B7E"/>
    <w:rsid w:val="006C6EE7"/>
    <w:rsid w:val="006C76A8"/>
    <w:rsid w:val="006C7ABA"/>
    <w:rsid w:val="006D0910"/>
    <w:rsid w:val="006D0D60"/>
    <w:rsid w:val="006D0E3D"/>
    <w:rsid w:val="006D1122"/>
    <w:rsid w:val="006D1A72"/>
    <w:rsid w:val="006D1AA6"/>
    <w:rsid w:val="006D273E"/>
    <w:rsid w:val="006D276E"/>
    <w:rsid w:val="006D30B5"/>
    <w:rsid w:val="006D3584"/>
    <w:rsid w:val="006D3C00"/>
    <w:rsid w:val="006D49E9"/>
    <w:rsid w:val="006D4B18"/>
    <w:rsid w:val="006D65D1"/>
    <w:rsid w:val="006D670B"/>
    <w:rsid w:val="006D6EEA"/>
    <w:rsid w:val="006D6F3C"/>
    <w:rsid w:val="006D6FF7"/>
    <w:rsid w:val="006D705C"/>
    <w:rsid w:val="006D761B"/>
    <w:rsid w:val="006D768E"/>
    <w:rsid w:val="006D7991"/>
    <w:rsid w:val="006D7A27"/>
    <w:rsid w:val="006D7A9A"/>
    <w:rsid w:val="006D7F47"/>
    <w:rsid w:val="006E0B53"/>
    <w:rsid w:val="006E2045"/>
    <w:rsid w:val="006E2D86"/>
    <w:rsid w:val="006E32E7"/>
    <w:rsid w:val="006E3675"/>
    <w:rsid w:val="006E39D8"/>
    <w:rsid w:val="006E39E5"/>
    <w:rsid w:val="006E3B04"/>
    <w:rsid w:val="006E4198"/>
    <w:rsid w:val="006E4365"/>
    <w:rsid w:val="006E4626"/>
    <w:rsid w:val="006E4A7F"/>
    <w:rsid w:val="006E4B09"/>
    <w:rsid w:val="006E4B28"/>
    <w:rsid w:val="006E5695"/>
    <w:rsid w:val="006E6526"/>
    <w:rsid w:val="006E67A9"/>
    <w:rsid w:val="006F02D4"/>
    <w:rsid w:val="006F0C88"/>
    <w:rsid w:val="006F13B7"/>
    <w:rsid w:val="006F182A"/>
    <w:rsid w:val="006F2CE2"/>
    <w:rsid w:val="006F3E7A"/>
    <w:rsid w:val="006F4768"/>
    <w:rsid w:val="006F61E5"/>
    <w:rsid w:val="006F651C"/>
    <w:rsid w:val="006F7184"/>
    <w:rsid w:val="006F7742"/>
    <w:rsid w:val="006F7E7D"/>
    <w:rsid w:val="00700845"/>
    <w:rsid w:val="00700D3B"/>
    <w:rsid w:val="00700F06"/>
    <w:rsid w:val="00701994"/>
    <w:rsid w:val="00701FCF"/>
    <w:rsid w:val="00701FE5"/>
    <w:rsid w:val="00702173"/>
    <w:rsid w:val="00702639"/>
    <w:rsid w:val="00702A72"/>
    <w:rsid w:val="007033B2"/>
    <w:rsid w:val="007036B6"/>
    <w:rsid w:val="00704084"/>
    <w:rsid w:val="00704DF6"/>
    <w:rsid w:val="007057D7"/>
    <w:rsid w:val="00705E5A"/>
    <w:rsid w:val="0070651C"/>
    <w:rsid w:val="00707052"/>
    <w:rsid w:val="0070736D"/>
    <w:rsid w:val="0070778F"/>
    <w:rsid w:val="00710037"/>
    <w:rsid w:val="00710BF4"/>
    <w:rsid w:val="00710ED4"/>
    <w:rsid w:val="0071148C"/>
    <w:rsid w:val="007117A3"/>
    <w:rsid w:val="007118FF"/>
    <w:rsid w:val="007119CB"/>
    <w:rsid w:val="00711AE1"/>
    <w:rsid w:val="00712367"/>
    <w:rsid w:val="007132A3"/>
    <w:rsid w:val="00713892"/>
    <w:rsid w:val="00713CF3"/>
    <w:rsid w:val="0071496E"/>
    <w:rsid w:val="0071537A"/>
    <w:rsid w:val="00715D6E"/>
    <w:rsid w:val="00715FE4"/>
    <w:rsid w:val="00716421"/>
    <w:rsid w:val="007164A0"/>
    <w:rsid w:val="0071765F"/>
    <w:rsid w:val="00720F82"/>
    <w:rsid w:val="00721435"/>
    <w:rsid w:val="00721560"/>
    <w:rsid w:val="007216F4"/>
    <w:rsid w:val="00721A0A"/>
    <w:rsid w:val="00721B53"/>
    <w:rsid w:val="007221C1"/>
    <w:rsid w:val="00723068"/>
    <w:rsid w:val="0072376F"/>
    <w:rsid w:val="00723D43"/>
    <w:rsid w:val="007249BE"/>
    <w:rsid w:val="00724A44"/>
    <w:rsid w:val="00724EFB"/>
    <w:rsid w:val="00725731"/>
    <w:rsid w:val="0072602F"/>
    <w:rsid w:val="00726CCF"/>
    <w:rsid w:val="0072722F"/>
    <w:rsid w:val="00727F80"/>
    <w:rsid w:val="00730310"/>
    <w:rsid w:val="0073040D"/>
    <w:rsid w:val="00730B6E"/>
    <w:rsid w:val="00730C5A"/>
    <w:rsid w:val="007312D7"/>
    <w:rsid w:val="007323EE"/>
    <w:rsid w:val="00732BD6"/>
    <w:rsid w:val="007337D7"/>
    <w:rsid w:val="0073482D"/>
    <w:rsid w:val="0073546B"/>
    <w:rsid w:val="00735B57"/>
    <w:rsid w:val="0073648C"/>
    <w:rsid w:val="00737222"/>
    <w:rsid w:val="00737A00"/>
    <w:rsid w:val="00737C39"/>
    <w:rsid w:val="00737F6D"/>
    <w:rsid w:val="007406AC"/>
    <w:rsid w:val="00740BA1"/>
    <w:rsid w:val="0074155B"/>
    <w:rsid w:val="007419C3"/>
    <w:rsid w:val="00741AEB"/>
    <w:rsid w:val="00741F09"/>
    <w:rsid w:val="00741FC2"/>
    <w:rsid w:val="007426EB"/>
    <w:rsid w:val="00742B0F"/>
    <w:rsid w:val="0074357C"/>
    <w:rsid w:val="00743846"/>
    <w:rsid w:val="00743A12"/>
    <w:rsid w:val="00743A16"/>
    <w:rsid w:val="00743BC2"/>
    <w:rsid w:val="00743F14"/>
    <w:rsid w:val="007444CC"/>
    <w:rsid w:val="007452C2"/>
    <w:rsid w:val="00745B90"/>
    <w:rsid w:val="00745F2D"/>
    <w:rsid w:val="007460D0"/>
    <w:rsid w:val="007467A7"/>
    <w:rsid w:val="007469DD"/>
    <w:rsid w:val="00746C58"/>
    <w:rsid w:val="00747045"/>
    <w:rsid w:val="00747337"/>
    <w:rsid w:val="0074741B"/>
    <w:rsid w:val="0074743A"/>
    <w:rsid w:val="00747530"/>
    <w:rsid w:val="0074759E"/>
    <w:rsid w:val="0074786B"/>
    <w:rsid w:val="007478EA"/>
    <w:rsid w:val="00747CE7"/>
    <w:rsid w:val="00747F89"/>
    <w:rsid w:val="007514AD"/>
    <w:rsid w:val="00751F20"/>
    <w:rsid w:val="0075230B"/>
    <w:rsid w:val="00752459"/>
    <w:rsid w:val="00752958"/>
    <w:rsid w:val="00752BF2"/>
    <w:rsid w:val="007535D3"/>
    <w:rsid w:val="00753F00"/>
    <w:rsid w:val="0075415C"/>
    <w:rsid w:val="0075438A"/>
    <w:rsid w:val="00754D5A"/>
    <w:rsid w:val="00755307"/>
    <w:rsid w:val="0075574D"/>
    <w:rsid w:val="0075647C"/>
    <w:rsid w:val="00757933"/>
    <w:rsid w:val="007601D3"/>
    <w:rsid w:val="00760693"/>
    <w:rsid w:val="00760817"/>
    <w:rsid w:val="007608DE"/>
    <w:rsid w:val="00760985"/>
    <w:rsid w:val="007609D4"/>
    <w:rsid w:val="0076106D"/>
    <w:rsid w:val="00761176"/>
    <w:rsid w:val="00761329"/>
    <w:rsid w:val="00761592"/>
    <w:rsid w:val="00761D24"/>
    <w:rsid w:val="00762550"/>
    <w:rsid w:val="00762D6E"/>
    <w:rsid w:val="00762D8B"/>
    <w:rsid w:val="007634EB"/>
    <w:rsid w:val="00763502"/>
    <w:rsid w:val="00763DB8"/>
    <w:rsid w:val="00763E30"/>
    <w:rsid w:val="00764185"/>
    <w:rsid w:val="00764401"/>
    <w:rsid w:val="0076472E"/>
    <w:rsid w:val="00765311"/>
    <w:rsid w:val="007653C6"/>
    <w:rsid w:val="00765558"/>
    <w:rsid w:val="0076614F"/>
    <w:rsid w:val="00766180"/>
    <w:rsid w:val="00766B93"/>
    <w:rsid w:val="007701FC"/>
    <w:rsid w:val="00770818"/>
    <w:rsid w:val="00770E67"/>
    <w:rsid w:val="00771F61"/>
    <w:rsid w:val="0077222E"/>
    <w:rsid w:val="00772518"/>
    <w:rsid w:val="0077289B"/>
    <w:rsid w:val="0077361D"/>
    <w:rsid w:val="00774F22"/>
    <w:rsid w:val="00775B84"/>
    <w:rsid w:val="0077654C"/>
    <w:rsid w:val="007773EC"/>
    <w:rsid w:val="007774D0"/>
    <w:rsid w:val="007802B5"/>
    <w:rsid w:val="007817C7"/>
    <w:rsid w:val="00781E80"/>
    <w:rsid w:val="007821E4"/>
    <w:rsid w:val="00783363"/>
    <w:rsid w:val="00783653"/>
    <w:rsid w:val="00784287"/>
    <w:rsid w:val="00784957"/>
    <w:rsid w:val="00785DF0"/>
    <w:rsid w:val="00786876"/>
    <w:rsid w:val="007868EC"/>
    <w:rsid w:val="00786C30"/>
    <w:rsid w:val="00787B83"/>
    <w:rsid w:val="00790718"/>
    <w:rsid w:val="0079072A"/>
    <w:rsid w:val="00790F07"/>
    <w:rsid w:val="0079139E"/>
    <w:rsid w:val="007913AB"/>
    <w:rsid w:val="007914F7"/>
    <w:rsid w:val="00791E84"/>
    <w:rsid w:val="007921DF"/>
    <w:rsid w:val="00792736"/>
    <w:rsid w:val="00792DA1"/>
    <w:rsid w:val="00793312"/>
    <w:rsid w:val="00793694"/>
    <w:rsid w:val="00794237"/>
    <w:rsid w:val="00794933"/>
    <w:rsid w:val="00795356"/>
    <w:rsid w:val="00795DD9"/>
    <w:rsid w:val="00795F07"/>
    <w:rsid w:val="00797863"/>
    <w:rsid w:val="007A07C3"/>
    <w:rsid w:val="007A22E9"/>
    <w:rsid w:val="007A27D3"/>
    <w:rsid w:val="007A345F"/>
    <w:rsid w:val="007A3C80"/>
    <w:rsid w:val="007A5183"/>
    <w:rsid w:val="007A5C55"/>
    <w:rsid w:val="007A5DEB"/>
    <w:rsid w:val="007A634F"/>
    <w:rsid w:val="007A65EA"/>
    <w:rsid w:val="007A66FD"/>
    <w:rsid w:val="007A6DB0"/>
    <w:rsid w:val="007A7C29"/>
    <w:rsid w:val="007B0F61"/>
    <w:rsid w:val="007B145F"/>
    <w:rsid w:val="007B1625"/>
    <w:rsid w:val="007B1F57"/>
    <w:rsid w:val="007B1FE2"/>
    <w:rsid w:val="007B2F5E"/>
    <w:rsid w:val="007B37CB"/>
    <w:rsid w:val="007B3A25"/>
    <w:rsid w:val="007B699B"/>
    <w:rsid w:val="007B6E23"/>
    <w:rsid w:val="007B706E"/>
    <w:rsid w:val="007B71EB"/>
    <w:rsid w:val="007B7BA0"/>
    <w:rsid w:val="007C0867"/>
    <w:rsid w:val="007C0D83"/>
    <w:rsid w:val="007C0FFF"/>
    <w:rsid w:val="007C10CB"/>
    <w:rsid w:val="007C12BC"/>
    <w:rsid w:val="007C1987"/>
    <w:rsid w:val="007C2008"/>
    <w:rsid w:val="007C245F"/>
    <w:rsid w:val="007C3169"/>
    <w:rsid w:val="007C3E73"/>
    <w:rsid w:val="007C4690"/>
    <w:rsid w:val="007C4743"/>
    <w:rsid w:val="007C4C2A"/>
    <w:rsid w:val="007C5070"/>
    <w:rsid w:val="007C5197"/>
    <w:rsid w:val="007C5899"/>
    <w:rsid w:val="007C6205"/>
    <w:rsid w:val="007C686A"/>
    <w:rsid w:val="007C728E"/>
    <w:rsid w:val="007C7605"/>
    <w:rsid w:val="007C7CA0"/>
    <w:rsid w:val="007C7DDB"/>
    <w:rsid w:val="007C7FB0"/>
    <w:rsid w:val="007D00CA"/>
    <w:rsid w:val="007D0473"/>
    <w:rsid w:val="007D04DB"/>
    <w:rsid w:val="007D0C18"/>
    <w:rsid w:val="007D0CA4"/>
    <w:rsid w:val="007D1ACC"/>
    <w:rsid w:val="007D1F1F"/>
    <w:rsid w:val="007D2C53"/>
    <w:rsid w:val="007D3163"/>
    <w:rsid w:val="007D357A"/>
    <w:rsid w:val="007D3602"/>
    <w:rsid w:val="007D3BBD"/>
    <w:rsid w:val="007D3CAE"/>
    <w:rsid w:val="007D3D60"/>
    <w:rsid w:val="007D40EF"/>
    <w:rsid w:val="007D47CA"/>
    <w:rsid w:val="007D56DD"/>
    <w:rsid w:val="007D5F55"/>
    <w:rsid w:val="007D602A"/>
    <w:rsid w:val="007D61B0"/>
    <w:rsid w:val="007D62AB"/>
    <w:rsid w:val="007D6605"/>
    <w:rsid w:val="007D7214"/>
    <w:rsid w:val="007D772D"/>
    <w:rsid w:val="007D7F95"/>
    <w:rsid w:val="007E00D3"/>
    <w:rsid w:val="007E0AEB"/>
    <w:rsid w:val="007E0C6F"/>
    <w:rsid w:val="007E0CE0"/>
    <w:rsid w:val="007E115F"/>
    <w:rsid w:val="007E16CB"/>
    <w:rsid w:val="007E1980"/>
    <w:rsid w:val="007E1D80"/>
    <w:rsid w:val="007E1ECC"/>
    <w:rsid w:val="007E2349"/>
    <w:rsid w:val="007E30A2"/>
    <w:rsid w:val="007E337C"/>
    <w:rsid w:val="007E3E21"/>
    <w:rsid w:val="007E42AA"/>
    <w:rsid w:val="007E4B76"/>
    <w:rsid w:val="007E4CF0"/>
    <w:rsid w:val="007E5B19"/>
    <w:rsid w:val="007E5BD8"/>
    <w:rsid w:val="007E5EA8"/>
    <w:rsid w:val="007E5FDB"/>
    <w:rsid w:val="007E62C7"/>
    <w:rsid w:val="007E64C8"/>
    <w:rsid w:val="007E6838"/>
    <w:rsid w:val="007E6C52"/>
    <w:rsid w:val="007E6DE5"/>
    <w:rsid w:val="007E7046"/>
    <w:rsid w:val="007E74AC"/>
    <w:rsid w:val="007F031A"/>
    <w:rsid w:val="007F045C"/>
    <w:rsid w:val="007F04E5"/>
    <w:rsid w:val="007F0CF1"/>
    <w:rsid w:val="007F0EA8"/>
    <w:rsid w:val="007F0EE3"/>
    <w:rsid w:val="007F11A0"/>
    <w:rsid w:val="007F12A5"/>
    <w:rsid w:val="007F13BB"/>
    <w:rsid w:val="007F19F2"/>
    <w:rsid w:val="007F2219"/>
    <w:rsid w:val="007F272F"/>
    <w:rsid w:val="007F31BE"/>
    <w:rsid w:val="007F3E4D"/>
    <w:rsid w:val="007F3EEA"/>
    <w:rsid w:val="007F4373"/>
    <w:rsid w:val="007F4440"/>
    <w:rsid w:val="007F4844"/>
    <w:rsid w:val="007F48CD"/>
    <w:rsid w:val="007F4CF1"/>
    <w:rsid w:val="007F527A"/>
    <w:rsid w:val="007F64C8"/>
    <w:rsid w:val="007F6888"/>
    <w:rsid w:val="007F6F50"/>
    <w:rsid w:val="007F7250"/>
    <w:rsid w:val="007F758D"/>
    <w:rsid w:val="007F7D52"/>
    <w:rsid w:val="007F7D5F"/>
    <w:rsid w:val="0080011B"/>
    <w:rsid w:val="008005F1"/>
    <w:rsid w:val="00800A59"/>
    <w:rsid w:val="008021A4"/>
    <w:rsid w:val="00802233"/>
    <w:rsid w:val="00802435"/>
    <w:rsid w:val="00802AA2"/>
    <w:rsid w:val="008031C2"/>
    <w:rsid w:val="00803638"/>
    <w:rsid w:val="0080391B"/>
    <w:rsid w:val="008041BA"/>
    <w:rsid w:val="008042C2"/>
    <w:rsid w:val="00804B26"/>
    <w:rsid w:val="00804E50"/>
    <w:rsid w:val="00805046"/>
    <w:rsid w:val="008058F5"/>
    <w:rsid w:val="00805A1A"/>
    <w:rsid w:val="00805B31"/>
    <w:rsid w:val="00805E41"/>
    <w:rsid w:val="00806522"/>
    <w:rsid w:val="0080654C"/>
    <w:rsid w:val="008065CD"/>
    <w:rsid w:val="00806640"/>
    <w:rsid w:val="00806E18"/>
    <w:rsid w:val="008071C6"/>
    <w:rsid w:val="0080754E"/>
    <w:rsid w:val="00807927"/>
    <w:rsid w:val="00807E06"/>
    <w:rsid w:val="00807FC6"/>
    <w:rsid w:val="00810938"/>
    <w:rsid w:val="008119A0"/>
    <w:rsid w:val="008121F2"/>
    <w:rsid w:val="0081287D"/>
    <w:rsid w:val="00812E0D"/>
    <w:rsid w:val="00812F2F"/>
    <w:rsid w:val="008131DD"/>
    <w:rsid w:val="00813504"/>
    <w:rsid w:val="008136A6"/>
    <w:rsid w:val="00813CC2"/>
    <w:rsid w:val="00813F95"/>
    <w:rsid w:val="00814002"/>
    <w:rsid w:val="008144A1"/>
    <w:rsid w:val="00815158"/>
    <w:rsid w:val="0081531F"/>
    <w:rsid w:val="00815CF4"/>
    <w:rsid w:val="00816011"/>
    <w:rsid w:val="00816766"/>
    <w:rsid w:val="008171D6"/>
    <w:rsid w:val="00817503"/>
    <w:rsid w:val="008177A1"/>
    <w:rsid w:val="00817A00"/>
    <w:rsid w:val="00817B55"/>
    <w:rsid w:val="00820189"/>
    <w:rsid w:val="0082041E"/>
    <w:rsid w:val="00821510"/>
    <w:rsid w:val="00822444"/>
    <w:rsid w:val="008227E1"/>
    <w:rsid w:val="008227FC"/>
    <w:rsid w:val="00823B3B"/>
    <w:rsid w:val="00823BF9"/>
    <w:rsid w:val="0082432C"/>
    <w:rsid w:val="00825F8E"/>
    <w:rsid w:val="0082610C"/>
    <w:rsid w:val="008261B3"/>
    <w:rsid w:val="0082694E"/>
    <w:rsid w:val="00826FA7"/>
    <w:rsid w:val="00827A7D"/>
    <w:rsid w:val="00830044"/>
    <w:rsid w:val="008302DC"/>
    <w:rsid w:val="00830369"/>
    <w:rsid w:val="00830455"/>
    <w:rsid w:val="00830E01"/>
    <w:rsid w:val="00831224"/>
    <w:rsid w:val="00831B32"/>
    <w:rsid w:val="00832123"/>
    <w:rsid w:val="00832D19"/>
    <w:rsid w:val="00832EE3"/>
    <w:rsid w:val="0083322B"/>
    <w:rsid w:val="0083355A"/>
    <w:rsid w:val="00835534"/>
    <w:rsid w:val="00835DB3"/>
    <w:rsid w:val="0083617B"/>
    <w:rsid w:val="00836DA8"/>
    <w:rsid w:val="008371BD"/>
    <w:rsid w:val="00837ABE"/>
    <w:rsid w:val="008402EF"/>
    <w:rsid w:val="00840D8C"/>
    <w:rsid w:val="00840DAB"/>
    <w:rsid w:val="00840DC4"/>
    <w:rsid w:val="00840E38"/>
    <w:rsid w:val="0084141E"/>
    <w:rsid w:val="00841529"/>
    <w:rsid w:val="00842825"/>
    <w:rsid w:val="00842DEB"/>
    <w:rsid w:val="0084319A"/>
    <w:rsid w:val="0084329A"/>
    <w:rsid w:val="008433D0"/>
    <w:rsid w:val="00844619"/>
    <w:rsid w:val="00844CDB"/>
    <w:rsid w:val="00844F70"/>
    <w:rsid w:val="008452A5"/>
    <w:rsid w:val="00845792"/>
    <w:rsid w:val="0084580C"/>
    <w:rsid w:val="00845DA2"/>
    <w:rsid w:val="0084608C"/>
    <w:rsid w:val="00846E28"/>
    <w:rsid w:val="00846FFC"/>
    <w:rsid w:val="00847141"/>
    <w:rsid w:val="00847F6F"/>
    <w:rsid w:val="008504A8"/>
    <w:rsid w:val="008506DC"/>
    <w:rsid w:val="00850BF1"/>
    <w:rsid w:val="00850D69"/>
    <w:rsid w:val="00851B70"/>
    <w:rsid w:val="00852484"/>
    <w:rsid w:val="0085282E"/>
    <w:rsid w:val="00853B2A"/>
    <w:rsid w:val="00853E8E"/>
    <w:rsid w:val="00854753"/>
    <w:rsid w:val="00855C11"/>
    <w:rsid w:val="008568F6"/>
    <w:rsid w:val="00856C2B"/>
    <w:rsid w:val="00857028"/>
    <w:rsid w:val="00857620"/>
    <w:rsid w:val="00857D46"/>
    <w:rsid w:val="0086032A"/>
    <w:rsid w:val="0086068E"/>
    <w:rsid w:val="00860842"/>
    <w:rsid w:val="008608BB"/>
    <w:rsid w:val="00862E76"/>
    <w:rsid w:val="00862F24"/>
    <w:rsid w:val="008631EE"/>
    <w:rsid w:val="00866115"/>
    <w:rsid w:val="008670ED"/>
    <w:rsid w:val="00867A74"/>
    <w:rsid w:val="00867DDB"/>
    <w:rsid w:val="00870568"/>
    <w:rsid w:val="00870CA6"/>
    <w:rsid w:val="00871092"/>
    <w:rsid w:val="00871375"/>
    <w:rsid w:val="0087171E"/>
    <w:rsid w:val="0087198C"/>
    <w:rsid w:val="008719AD"/>
    <w:rsid w:val="00871E2D"/>
    <w:rsid w:val="008722FE"/>
    <w:rsid w:val="008726F7"/>
    <w:rsid w:val="00872C1F"/>
    <w:rsid w:val="00872D31"/>
    <w:rsid w:val="00873B42"/>
    <w:rsid w:val="00873F6D"/>
    <w:rsid w:val="00874062"/>
    <w:rsid w:val="00874AB2"/>
    <w:rsid w:val="00875112"/>
    <w:rsid w:val="0087542C"/>
    <w:rsid w:val="00875745"/>
    <w:rsid w:val="00875823"/>
    <w:rsid w:val="00875EF0"/>
    <w:rsid w:val="00876CCB"/>
    <w:rsid w:val="00876D25"/>
    <w:rsid w:val="00877BDA"/>
    <w:rsid w:val="00880271"/>
    <w:rsid w:val="00880E5E"/>
    <w:rsid w:val="00880EAB"/>
    <w:rsid w:val="00881549"/>
    <w:rsid w:val="00882C73"/>
    <w:rsid w:val="00883164"/>
    <w:rsid w:val="00884DE4"/>
    <w:rsid w:val="008855FE"/>
    <w:rsid w:val="008856A3"/>
    <w:rsid w:val="008856D8"/>
    <w:rsid w:val="008858AE"/>
    <w:rsid w:val="008859EE"/>
    <w:rsid w:val="00885BE4"/>
    <w:rsid w:val="00886078"/>
    <w:rsid w:val="0088607F"/>
    <w:rsid w:val="00886A85"/>
    <w:rsid w:val="00886CC6"/>
    <w:rsid w:val="00887838"/>
    <w:rsid w:val="00887962"/>
    <w:rsid w:val="00887C01"/>
    <w:rsid w:val="00887DBB"/>
    <w:rsid w:val="00887DDE"/>
    <w:rsid w:val="00891A0E"/>
    <w:rsid w:val="00891BE1"/>
    <w:rsid w:val="00892194"/>
    <w:rsid w:val="00892415"/>
    <w:rsid w:val="00892939"/>
    <w:rsid w:val="00892CF1"/>
    <w:rsid w:val="00892E82"/>
    <w:rsid w:val="0089388A"/>
    <w:rsid w:val="00894BF9"/>
    <w:rsid w:val="0089525C"/>
    <w:rsid w:val="00895EE2"/>
    <w:rsid w:val="008963A1"/>
    <w:rsid w:val="00897861"/>
    <w:rsid w:val="008978BD"/>
    <w:rsid w:val="008A0652"/>
    <w:rsid w:val="008A1286"/>
    <w:rsid w:val="008A236A"/>
    <w:rsid w:val="008A25FD"/>
    <w:rsid w:val="008A2E27"/>
    <w:rsid w:val="008A4DE1"/>
    <w:rsid w:val="008A56DE"/>
    <w:rsid w:val="008A5C28"/>
    <w:rsid w:val="008A63E1"/>
    <w:rsid w:val="008A64F8"/>
    <w:rsid w:val="008A65EA"/>
    <w:rsid w:val="008A6615"/>
    <w:rsid w:val="008A734B"/>
    <w:rsid w:val="008A7BCC"/>
    <w:rsid w:val="008B0649"/>
    <w:rsid w:val="008B09D3"/>
    <w:rsid w:val="008B0A0D"/>
    <w:rsid w:val="008B1117"/>
    <w:rsid w:val="008B275A"/>
    <w:rsid w:val="008B2F6B"/>
    <w:rsid w:val="008B3ED5"/>
    <w:rsid w:val="008B4398"/>
    <w:rsid w:val="008B4466"/>
    <w:rsid w:val="008B5A34"/>
    <w:rsid w:val="008B6585"/>
    <w:rsid w:val="008B66A5"/>
    <w:rsid w:val="008B6EBF"/>
    <w:rsid w:val="008B7D66"/>
    <w:rsid w:val="008B7EF8"/>
    <w:rsid w:val="008C0F31"/>
    <w:rsid w:val="008C1B58"/>
    <w:rsid w:val="008C2340"/>
    <w:rsid w:val="008C2764"/>
    <w:rsid w:val="008C2772"/>
    <w:rsid w:val="008C27D3"/>
    <w:rsid w:val="008C3987"/>
    <w:rsid w:val="008C39AE"/>
    <w:rsid w:val="008C590D"/>
    <w:rsid w:val="008C5ECE"/>
    <w:rsid w:val="008C648F"/>
    <w:rsid w:val="008D162F"/>
    <w:rsid w:val="008D1C5B"/>
    <w:rsid w:val="008D1F57"/>
    <w:rsid w:val="008D215B"/>
    <w:rsid w:val="008D25FB"/>
    <w:rsid w:val="008D2953"/>
    <w:rsid w:val="008D30B4"/>
    <w:rsid w:val="008D3A21"/>
    <w:rsid w:val="008D3D91"/>
    <w:rsid w:val="008D4248"/>
    <w:rsid w:val="008D4FC3"/>
    <w:rsid w:val="008D55AE"/>
    <w:rsid w:val="008D5C2B"/>
    <w:rsid w:val="008D5D10"/>
    <w:rsid w:val="008D60E1"/>
    <w:rsid w:val="008E031B"/>
    <w:rsid w:val="008E0BB7"/>
    <w:rsid w:val="008E10F7"/>
    <w:rsid w:val="008E1DAE"/>
    <w:rsid w:val="008E1F69"/>
    <w:rsid w:val="008E2256"/>
    <w:rsid w:val="008E2391"/>
    <w:rsid w:val="008E2C2B"/>
    <w:rsid w:val="008E37BC"/>
    <w:rsid w:val="008E3823"/>
    <w:rsid w:val="008E3C13"/>
    <w:rsid w:val="008E3EE9"/>
    <w:rsid w:val="008E4474"/>
    <w:rsid w:val="008E4AB7"/>
    <w:rsid w:val="008E4AF9"/>
    <w:rsid w:val="008E4D7C"/>
    <w:rsid w:val="008E5D25"/>
    <w:rsid w:val="008E5DF2"/>
    <w:rsid w:val="008E6281"/>
    <w:rsid w:val="008E7029"/>
    <w:rsid w:val="008E72E0"/>
    <w:rsid w:val="008E76FD"/>
    <w:rsid w:val="008E7B44"/>
    <w:rsid w:val="008E7EF6"/>
    <w:rsid w:val="008F02CA"/>
    <w:rsid w:val="008F0D92"/>
    <w:rsid w:val="008F1E08"/>
    <w:rsid w:val="008F1E5C"/>
    <w:rsid w:val="008F1F98"/>
    <w:rsid w:val="008F2815"/>
    <w:rsid w:val="008F3331"/>
    <w:rsid w:val="008F3ACC"/>
    <w:rsid w:val="008F3BD2"/>
    <w:rsid w:val="008F4200"/>
    <w:rsid w:val="008F429D"/>
    <w:rsid w:val="008F43C2"/>
    <w:rsid w:val="008F44A4"/>
    <w:rsid w:val="008F46ED"/>
    <w:rsid w:val="008F4B43"/>
    <w:rsid w:val="008F4BA7"/>
    <w:rsid w:val="008F5438"/>
    <w:rsid w:val="008F6758"/>
    <w:rsid w:val="008F7407"/>
    <w:rsid w:val="008F76E7"/>
    <w:rsid w:val="008F7A8A"/>
    <w:rsid w:val="0090028D"/>
    <w:rsid w:val="0090062D"/>
    <w:rsid w:val="009018D2"/>
    <w:rsid w:val="00902855"/>
    <w:rsid w:val="009028DE"/>
    <w:rsid w:val="00902D02"/>
    <w:rsid w:val="009036FE"/>
    <w:rsid w:val="009040DD"/>
    <w:rsid w:val="0090464E"/>
    <w:rsid w:val="00904BA2"/>
    <w:rsid w:val="00905A4A"/>
    <w:rsid w:val="00905B47"/>
    <w:rsid w:val="00906398"/>
    <w:rsid w:val="00906737"/>
    <w:rsid w:val="00907184"/>
    <w:rsid w:val="00907315"/>
    <w:rsid w:val="00907330"/>
    <w:rsid w:val="00910248"/>
    <w:rsid w:val="00910606"/>
    <w:rsid w:val="00911ED0"/>
    <w:rsid w:val="009121E2"/>
    <w:rsid w:val="00912635"/>
    <w:rsid w:val="0091331C"/>
    <w:rsid w:val="0091332E"/>
    <w:rsid w:val="009134CA"/>
    <w:rsid w:val="00913931"/>
    <w:rsid w:val="00913962"/>
    <w:rsid w:val="00913A0B"/>
    <w:rsid w:val="00913FBB"/>
    <w:rsid w:val="00914394"/>
    <w:rsid w:val="00914421"/>
    <w:rsid w:val="0091498B"/>
    <w:rsid w:val="00914AA0"/>
    <w:rsid w:val="00914C37"/>
    <w:rsid w:val="00915171"/>
    <w:rsid w:val="00915868"/>
    <w:rsid w:val="00916151"/>
    <w:rsid w:val="009162F4"/>
    <w:rsid w:val="0091683D"/>
    <w:rsid w:val="009172B1"/>
    <w:rsid w:val="00917E38"/>
    <w:rsid w:val="0092079C"/>
    <w:rsid w:val="00921420"/>
    <w:rsid w:val="00921877"/>
    <w:rsid w:val="009221DF"/>
    <w:rsid w:val="00922FCF"/>
    <w:rsid w:val="00923752"/>
    <w:rsid w:val="00923C49"/>
    <w:rsid w:val="0092427C"/>
    <w:rsid w:val="00924DB9"/>
    <w:rsid w:val="00925C3C"/>
    <w:rsid w:val="00925E34"/>
    <w:rsid w:val="0092645D"/>
    <w:rsid w:val="009271B1"/>
    <w:rsid w:val="00927232"/>
    <w:rsid w:val="009279DE"/>
    <w:rsid w:val="00927CAC"/>
    <w:rsid w:val="00930116"/>
    <w:rsid w:val="009308ED"/>
    <w:rsid w:val="00930DA6"/>
    <w:rsid w:val="0093100A"/>
    <w:rsid w:val="00931544"/>
    <w:rsid w:val="0093183E"/>
    <w:rsid w:val="00931C58"/>
    <w:rsid w:val="009324CC"/>
    <w:rsid w:val="0093316F"/>
    <w:rsid w:val="0093439D"/>
    <w:rsid w:val="009343A2"/>
    <w:rsid w:val="00934956"/>
    <w:rsid w:val="00934ACA"/>
    <w:rsid w:val="00934FEC"/>
    <w:rsid w:val="00936781"/>
    <w:rsid w:val="00936A39"/>
    <w:rsid w:val="009377A3"/>
    <w:rsid w:val="009379EB"/>
    <w:rsid w:val="00937AE2"/>
    <w:rsid w:val="0094212C"/>
    <w:rsid w:val="00942C53"/>
    <w:rsid w:val="0094354A"/>
    <w:rsid w:val="00945263"/>
    <w:rsid w:val="00945479"/>
    <w:rsid w:val="009462CA"/>
    <w:rsid w:val="00946678"/>
    <w:rsid w:val="00946785"/>
    <w:rsid w:val="00946C46"/>
    <w:rsid w:val="00946E37"/>
    <w:rsid w:val="0095038F"/>
    <w:rsid w:val="00950A90"/>
    <w:rsid w:val="00952A9E"/>
    <w:rsid w:val="00953153"/>
    <w:rsid w:val="0095362B"/>
    <w:rsid w:val="009542A0"/>
    <w:rsid w:val="00954689"/>
    <w:rsid w:val="00954998"/>
    <w:rsid w:val="00954C0B"/>
    <w:rsid w:val="00954F7A"/>
    <w:rsid w:val="00954FF9"/>
    <w:rsid w:val="009552CB"/>
    <w:rsid w:val="00955626"/>
    <w:rsid w:val="00955A5C"/>
    <w:rsid w:val="009561FB"/>
    <w:rsid w:val="009564D8"/>
    <w:rsid w:val="00957553"/>
    <w:rsid w:val="00957D3E"/>
    <w:rsid w:val="00957D94"/>
    <w:rsid w:val="00960161"/>
    <w:rsid w:val="009601A3"/>
    <w:rsid w:val="009603B1"/>
    <w:rsid w:val="009617C9"/>
    <w:rsid w:val="00961C93"/>
    <w:rsid w:val="00962547"/>
    <w:rsid w:val="009626F6"/>
    <w:rsid w:val="00962DF8"/>
    <w:rsid w:val="00962E19"/>
    <w:rsid w:val="00963435"/>
    <w:rsid w:val="009646A6"/>
    <w:rsid w:val="00964C43"/>
    <w:rsid w:val="00964D43"/>
    <w:rsid w:val="00965324"/>
    <w:rsid w:val="0096678B"/>
    <w:rsid w:val="0097091E"/>
    <w:rsid w:val="009709FC"/>
    <w:rsid w:val="00970C50"/>
    <w:rsid w:val="0097132E"/>
    <w:rsid w:val="009715BE"/>
    <w:rsid w:val="00971607"/>
    <w:rsid w:val="00971B3E"/>
    <w:rsid w:val="00972333"/>
    <w:rsid w:val="00972446"/>
    <w:rsid w:val="00972731"/>
    <w:rsid w:val="00972C49"/>
    <w:rsid w:val="00972C94"/>
    <w:rsid w:val="00972D07"/>
    <w:rsid w:val="00973624"/>
    <w:rsid w:val="00973B37"/>
    <w:rsid w:val="00974041"/>
    <w:rsid w:val="00974ACD"/>
    <w:rsid w:val="00974AFD"/>
    <w:rsid w:val="009760D3"/>
    <w:rsid w:val="009767CC"/>
    <w:rsid w:val="00976E5F"/>
    <w:rsid w:val="00977132"/>
    <w:rsid w:val="009772F7"/>
    <w:rsid w:val="0097743A"/>
    <w:rsid w:val="0097762D"/>
    <w:rsid w:val="009777E6"/>
    <w:rsid w:val="009779A6"/>
    <w:rsid w:val="00977BCA"/>
    <w:rsid w:val="00977C27"/>
    <w:rsid w:val="0098076D"/>
    <w:rsid w:val="00980977"/>
    <w:rsid w:val="0098110B"/>
    <w:rsid w:val="00981186"/>
    <w:rsid w:val="009815BE"/>
    <w:rsid w:val="00981A4B"/>
    <w:rsid w:val="00981CD5"/>
    <w:rsid w:val="00981D6D"/>
    <w:rsid w:val="00981F3E"/>
    <w:rsid w:val="009824DE"/>
    <w:rsid w:val="00982501"/>
    <w:rsid w:val="00982647"/>
    <w:rsid w:val="00982FCA"/>
    <w:rsid w:val="00983A9F"/>
    <w:rsid w:val="00983F4B"/>
    <w:rsid w:val="0098407C"/>
    <w:rsid w:val="009847F8"/>
    <w:rsid w:val="00984821"/>
    <w:rsid w:val="00984B4B"/>
    <w:rsid w:val="00985E87"/>
    <w:rsid w:val="00986052"/>
    <w:rsid w:val="00986210"/>
    <w:rsid w:val="00986FDB"/>
    <w:rsid w:val="0098752C"/>
    <w:rsid w:val="009875D2"/>
    <w:rsid w:val="009877D3"/>
    <w:rsid w:val="009878C3"/>
    <w:rsid w:val="009878EB"/>
    <w:rsid w:val="00987ACD"/>
    <w:rsid w:val="00987D1A"/>
    <w:rsid w:val="00987F5D"/>
    <w:rsid w:val="00987FE5"/>
    <w:rsid w:val="009905FD"/>
    <w:rsid w:val="00990B60"/>
    <w:rsid w:val="009913B2"/>
    <w:rsid w:val="009913EF"/>
    <w:rsid w:val="00992298"/>
    <w:rsid w:val="009926A4"/>
    <w:rsid w:val="00992724"/>
    <w:rsid w:val="00993492"/>
    <w:rsid w:val="00993CA3"/>
    <w:rsid w:val="0099477D"/>
    <w:rsid w:val="00994AA8"/>
    <w:rsid w:val="00994B06"/>
    <w:rsid w:val="00994E8F"/>
    <w:rsid w:val="00994EF8"/>
    <w:rsid w:val="009951DC"/>
    <w:rsid w:val="009959BB"/>
    <w:rsid w:val="00995A92"/>
    <w:rsid w:val="00996069"/>
    <w:rsid w:val="009967F5"/>
    <w:rsid w:val="0099680A"/>
    <w:rsid w:val="0099693E"/>
    <w:rsid w:val="00997158"/>
    <w:rsid w:val="00997583"/>
    <w:rsid w:val="009976C1"/>
    <w:rsid w:val="009A0128"/>
    <w:rsid w:val="009A116C"/>
    <w:rsid w:val="009A2078"/>
    <w:rsid w:val="009A2680"/>
    <w:rsid w:val="009A2B94"/>
    <w:rsid w:val="009A34EE"/>
    <w:rsid w:val="009A3A7C"/>
    <w:rsid w:val="009A4759"/>
    <w:rsid w:val="009A4CB0"/>
    <w:rsid w:val="009A550E"/>
    <w:rsid w:val="009A58CA"/>
    <w:rsid w:val="009A59AF"/>
    <w:rsid w:val="009A59C0"/>
    <w:rsid w:val="009A5C1A"/>
    <w:rsid w:val="009A6903"/>
    <w:rsid w:val="009A70C8"/>
    <w:rsid w:val="009A73FD"/>
    <w:rsid w:val="009A762C"/>
    <w:rsid w:val="009A7D61"/>
    <w:rsid w:val="009A7F6A"/>
    <w:rsid w:val="009B0452"/>
    <w:rsid w:val="009B070C"/>
    <w:rsid w:val="009B0FD6"/>
    <w:rsid w:val="009B15B7"/>
    <w:rsid w:val="009B182F"/>
    <w:rsid w:val="009B1F84"/>
    <w:rsid w:val="009B2341"/>
    <w:rsid w:val="009B2ADB"/>
    <w:rsid w:val="009B40CB"/>
    <w:rsid w:val="009B426E"/>
    <w:rsid w:val="009B44D1"/>
    <w:rsid w:val="009B603A"/>
    <w:rsid w:val="009B6CFA"/>
    <w:rsid w:val="009B6D68"/>
    <w:rsid w:val="009B6DA1"/>
    <w:rsid w:val="009C0880"/>
    <w:rsid w:val="009C0E61"/>
    <w:rsid w:val="009C120C"/>
    <w:rsid w:val="009C127F"/>
    <w:rsid w:val="009C1451"/>
    <w:rsid w:val="009C150C"/>
    <w:rsid w:val="009C15BC"/>
    <w:rsid w:val="009C1B6E"/>
    <w:rsid w:val="009C1F05"/>
    <w:rsid w:val="009C2322"/>
    <w:rsid w:val="009C299B"/>
    <w:rsid w:val="009C2D0E"/>
    <w:rsid w:val="009C332E"/>
    <w:rsid w:val="009C3876"/>
    <w:rsid w:val="009C3C64"/>
    <w:rsid w:val="009C3DAC"/>
    <w:rsid w:val="009C40EB"/>
    <w:rsid w:val="009C42E0"/>
    <w:rsid w:val="009C5B9E"/>
    <w:rsid w:val="009C5C66"/>
    <w:rsid w:val="009C62B9"/>
    <w:rsid w:val="009C7278"/>
    <w:rsid w:val="009D0ABE"/>
    <w:rsid w:val="009D31C0"/>
    <w:rsid w:val="009D32A0"/>
    <w:rsid w:val="009D3DF2"/>
    <w:rsid w:val="009D4C18"/>
    <w:rsid w:val="009D4C3B"/>
    <w:rsid w:val="009D5362"/>
    <w:rsid w:val="009D594F"/>
    <w:rsid w:val="009D5AC9"/>
    <w:rsid w:val="009D5C72"/>
    <w:rsid w:val="009D62EE"/>
    <w:rsid w:val="009D657E"/>
    <w:rsid w:val="009D7A00"/>
    <w:rsid w:val="009D7CC7"/>
    <w:rsid w:val="009D7E56"/>
    <w:rsid w:val="009E1415"/>
    <w:rsid w:val="009E1615"/>
    <w:rsid w:val="009E21D1"/>
    <w:rsid w:val="009E259E"/>
    <w:rsid w:val="009E2D31"/>
    <w:rsid w:val="009E2F4E"/>
    <w:rsid w:val="009E31B4"/>
    <w:rsid w:val="009E4158"/>
    <w:rsid w:val="009E4AEE"/>
    <w:rsid w:val="009E4CBD"/>
    <w:rsid w:val="009E51EB"/>
    <w:rsid w:val="009E597A"/>
    <w:rsid w:val="009E59D7"/>
    <w:rsid w:val="009E6116"/>
    <w:rsid w:val="009E6E64"/>
    <w:rsid w:val="009E75DB"/>
    <w:rsid w:val="009F0520"/>
    <w:rsid w:val="009F13E5"/>
    <w:rsid w:val="009F1569"/>
    <w:rsid w:val="009F1B85"/>
    <w:rsid w:val="009F25F7"/>
    <w:rsid w:val="009F28F5"/>
    <w:rsid w:val="009F30BC"/>
    <w:rsid w:val="009F4FBE"/>
    <w:rsid w:val="009F53DB"/>
    <w:rsid w:val="009F6720"/>
    <w:rsid w:val="009F7E7A"/>
    <w:rsid w:val="00A007ED"/>
    <w:rsid w:val="00A01801"/>
    <w:rsid w:val="00A01C07"/>
    <w:rsid w:val="00A02993"/>
    <w:rsid w:val="00A02E43"/>
    <w:rsid w:val="00A03481"/>
    <w:rsid w:val="00A0348D"/>
    <w:rsid w:val="00A041BC"/>
    <w:rsid w:val="00A04BB7"/>
    <w:rsid w:val="00A05100"/>
    <w:rsid w:val="00A057A5"/>
    <w:rsid w:val="00A065F9"/>
    <w:rsid w:val="00A06C7D"/>
    <w:rsid w:val="00A07578"/>
    <w:rsid w:val="00A07604"/>
    <w:rsid w:val="00A07630"/>
    <w:rsid w:val="00A07D2F"/>
    <w:rsid w:val="00A07EA5"/>
    <w:rsid w:val="00A07F34"/>
    <w:rsid w:val="00A10416"/>
    <w:rsid w:val="00A111C0"/>
    <w:rsid w:val="00A11301"/>
    <w:rsid w:val="00A11A54"/>
    <w:rsid w:val="00A12919"/>
    <w:rsid w:val="00A137B8"/>
    <w:rsid w:val="00A137C7"/>
    <w:rsid w:val="00A13DE1"/>
    <w:rsid w:val="00A1413E"/>
    <w:rsid w:val="00A14764"/>
    <w:rsid w:val="00A15A02"/>
    <w:rsid w:val="00A15F48"/>
    <w:rsid w:val="00A17AAB"/>
    <w:rsid w:val="00A17CDC"/>
    <w:rsid w:val="00A17DF9"/>
    <w:rsid w:val="00A209C3"/>
    <w:rsid w:val="00A20B27"/>
    <w:rsid w:val="00A20CC4"/>
    <w:rsid w:val="00A20DE7"/>
    <w:rsid w:val="00A210EA"/>
    <w:rsid w:val="00A21116"/>
    <w:rsid w:val="00A22154"/>
    <w:rsid w:val="00A22D69"/>
    <w:rsid w:val="00A22F6B"/>
    <w:rsid w:val="00A232FF"/>
    <w:rsid w:val="00A2429C"/>
    <w:rsid w:val="00A24671"/>
    <w:rsid w:val="00A249A5"/>
    <w:rsid w:val="00A24BCF"/>
    <w:rsid w:val="00A24C19"/>
    <w:rsid w:val="00A25114"/>
    <w:rsid w:val="00A25C38"/>
    <w:rsid w:val="00A267C3"/>
    <w:rsid w:val="00A2719C"/>
    <w:rsid w:val="00A274B4"/>
    <w:rsid w:val="00A300F8"/>
    <w:rsid w:val="00A307DC"/>
    <w:rsid w:val="00A3098E"/>
    <w:rsid w:val="00A311EA"/>
    <w:rsid w:val="00A3286D"/>
    <w:rsid w:val="00A32A56"/>
    <w:rsid w:val="00A33485"/>
    <w:rsid w:val="00A33A98"/>
    <w:rsid w:val="00A33DDD"/>
    <w:rsid w:val="00A33FEF"/>
    <w:rsid w:val="00A34207"/>
    <w:rsid w:val="00A34563"/>
    <w:rsid w:val="00A3457E"/>
    <w:rsid w:val="00A346E0"/>
    <w:rsid w:val="00A34BE2"/>
    <w:rsid w:val="00A359B4"/>
    <w:rsid w:val="00A35D03"/>
    <w:rsid w:val="00A36BBE"/>
    <w:rsid w:val="00A37104"/>
    <w:rsid w:val="00A37888"/>
    <w:rsid w:val="00A40A43"/>
    <w:rsid w:val="00A40D0D"/>
    <w:rsid w:val="00A40DF0"/>
    <w:rsid w:val="00A410F7"/>
    <w:rsid w:val="00A41116"/>
    <w:rsid w:val="00A415F1"/>
    <w:rsid w:val="00A4307A"/>
    <w:rsid w:val="00A43C55"/>
    <w:rsid w:val="00A44252"/>
    <w:rsid w:val="00A44B21"/>
    <w:rsid w:val="00A45258"/>
    <w:rsid w:val="00A453AE"/>
    <w:rsid w:val="00A456AB"/>
    <w:rsid w:val="00A45983"/>
    <w:rsid w:val="00A45F8A"/>
    <w:rsid w:val="00A477A4"/>
    <w:rsid w:val="00A479E1"/>
    <w:rsid w:val="00A47D2C"/>
    <w:rsid w:val="00A47EBB"/>
    <w:rsid w:val="00A50AC0"/>
    <w:rsid w:val="00A514E0"/>
    <w:rsid w:val="00A51748"/>
    <w:rsid w:val="00A51CDD"/>
    <w:rsid w:val="00A51FB4"/>
    <w:rsid w:val="00A53078"/>
    <w:rsid w:val="00A53347"/>
    <w:rsid w:val="00A549F4"/>
    <w:rsid w:val="00A557DA"/>
    <w:rsid w:val="00A55A80"/>
    <w:rsid w:val="00A5614D"/>
    <w:rsid w:val="00A56764"/>
    <w:rsid w:val="00A57C08"/>
    <w:rsid w:val="00A57CE0"/>
    <w:rsid w:val="00A6016D"/>
    <w:rsid w:val="00A60511"/>
    <w:rsid w:val="00A60892"/>
    <w:rsid w:val="00A615F2"/>
    <w:rsid w:val="00A61F50"/>
    <w:rsid w:val="00A62A80"/>
    <w:rsid w:val="00A62D3D"/>
    <w:rsid w:val="00A62FAC"/>
    <w:rsid w:val="00A63D73"/>
    <w:rsid w:val="00A63E0C"/>
    <w:rsid w:val="00A63E34"/>
    <w:rsid w:val="00A64594"/>
    <w:rsid w:val="00A645DE"/>
    <w:rsid w:val="00A6499A"/>
    <w:rsid w:val="00A65EEF"/>
    <w:rsid w:val="00A6730D"/>
    <w:rsid w:val="00A675C3"/>
    <w:rsid w:val="00A70403"/>
    <w:rsid w:val="00A70B3C"/>
    <w:rsid w:val="00A71625"/>
    <w:rsid w:val="00A716FD"/>
    <w:rsid w:val="00A71B9B"/>
    <w:rsid w:val="00A71C8A"/>
    <w:rsid w:val="00A72285"/>
    <w:rsid w:val="00A72721"/>
    <w:rsid w:val="00A728A1"/>
    <w:rsid w:val="00A72EC0"/>
    <w:rsid w:val="00A73EB5"/>
    <w:rsid w:val="00A75102"/>
    <w:rsid w:val="00A751C7"/>
    <w:rsid w:val="00A7525A"/>
    <w:rsid w:val="00A75490"/>
    <w:rsid w:val="00A7572B"/>
    <w:rsid w:val="00A76679"/>
    <w:rsid w:val="00A77111"/>
    <w:rsid w:val="00A777BF"/>
    <w:rsid w:val="00A77CCD"/>
    <w:rsid w:val="00A80770"/>
    <w:rsid w:val="00A81046"/>
    <w:rsid w:val="00A81333"/>
    <w:rsid w:val="00A82DFE"/>
    <w:rsid w:val="00A83116"/>
    <w:rsid w:val="00A836C0"/>
    <w:rsid w:val="00A83704"/>
    <w:rsid w:val="00A837A8"/>
    <w:rsid w:val="00A8391C"/>
    <w:rsid w:val="00A83D27"/>
    <w:rsid w:val="00A855BF"/>
    <w:rsid w:val="00A8567C"/>
    <w:rsid w:val="00A85959"/>
    <w:rsid w:val="00A85FC5"/>
    <w:rsid w:val="00A86DFE"/>
    <w:rsid w:val="00A8768A"/>
    <w:rsid w:val="00A87841"/>
    <w:rsid w:val="00A87844"/>
    <w:rsid w:val="00A9082C"/>
    <w:rsid w:val="00A91C3C"/>
    <w:rsid w:val="00A921FB"/>
    <w:rsid w:val="00A92FFD"/>
    <w:rsid w:val="00A9327C"/>
    <w:rsid w:val="00A9369D"/>
    <w:rsid w:val="00A9371A"/>
    <w:rsid w:val="00A9431D"/>
    <w:rsid w:val="00A948C6"/>
    <w:rsid w:val="00A94C60"/>
    <w:rsid w:val="00A96334"/>
    <w:rsid w:val="00A963B5"/>
    <w:rsid w:val="00A97309"/>
    <w:rsid w:val="00AA038C"/>
    <w:rsid w:val="00AA1CC6"/>
    <w:rsid w:val="00AA2347"/>
    <w:rsid w:val="00AA317A"/>
    <w:rsid w:val="00AA33F5"/>
    <w:rsid w:val="00AA34B9"/>
    <w:rsid w:val="00AA3AE7"/>
    <w:rsid w:val="00AA449D"/>
    <w:rsid w:val="00AA4785"/>
    <w:rsid w:val="00AA48B8"/>
    <w:rsid w:val="00AA4FDC"/>
    <w:rsid w:val="00AA712E"/>
    <w:rsid w:val="00AA74BC"/>
    <w:rsid w:val="00AA7A09"/>
    <w:rsid w:val="00AB06C0"/>
    <w:rsid w:val="00AB17DF"/>
    <w:rsid w:val="00AB1B78"/>
    <w:rsid w:val="00AB1BFC"/>
    <w:rsid w:val="00AB1E29"/>
    <w:rsid w:val="00AB1EEE"/>
    <w:rsid w:val="00AB391E"/>
    <w:rsid w:val="00AB3B50"/>
    <w:rsid w:val="00AB4209"/>
    <w:rsid w:val="00AB5184"/>
    <w:rsid w:val="00AB5422"/>
    <w:rsid w:val="00AB5484"/>
    <w:rsid w:val="00AB56E6"/>
    <w:rsid w:val="00AB5D10"/>
    <w:rsid w:val="00AB65E5"/>
    <w:rsid w:val="00AB6F59"/>
    <w:rsid w:val="00AB734D"/>
    <w:rsid w:val="00AB74CE"/>
    <w:rsid w:val="00AB7C40"/>
    <w:rsid w:val="00AC05B1"/>
    <w:rsid w:val="00AC0619"/>
    <w:rsid w:val="00AC0C17"/>
    <w:rsid w:val="00AC0D99"/>
    <w:rsid w:val="00AC0DD1"/>
    <w:rsid w:val="00AC1553"/>
    <w:rsid w:val="00AC1916"/>
    <w:rsid w:val="00AC266B"/>
    <w:rsid w:val="00AC3171"/>
    <w:rsid w:val="00AC3743"/>
    <w:rsid w:val="00AC4161"/>
    <w:rsid w:val="00AC443D"/>
    <w:rsid w:val="00AC4971"/>
    <w:rsid w:val="00AC68F2"/>
    <w:rsid w:val="00AC6D55"/>
    <w:rsid w:val="00AC7304"/>
    <w:rsid w:val="00AC7484"/>
    <w:rsid w:val="00AC7614"/>
    <w:rsid w:val="00AD0336"/>
    <w:rsid w:val="00AD0B4E"/>
    <w:rsid w:val="00AD2239"/>
    <w:rsid w:val="00AD23C9"/>
    <w:rsid w:val="00AD2444"/>
    <w:rsid w:val="00AD2514"/>
    <w:rsid w:val="00AD2918"/>
    <w:rsid w:val="00AD324B"/>
    <w:rsid w:val="00AD356A"/>
    <w:rsid w:val="00AD356C"/>
    <w:rsid w:val="00AD3C57"/>
    <w:rsid w:val="00AD428F"/>
    <w:rsid w:val="00AD481D"/>
    <w:rsid w:val="00AD4A06"/>
    <w:rsid w:val="00AD4E55"/>
    <w:rsid w:val="00AD50FB"/>
    <w:rsid w:val="00AD5753"/>
    <w:rsid w:val="00AD5C10"/>
    <w:rsid w:val="00AD613B"/>
    <w:rsid w:val="00AD711E"/>
    <w:rsid w:val="00AD7A72"/>
    <w:rsid w:val="00AD7B55"/>
    <w:rsid w:val="00AD7CCB"/>
    <w:rsid w:val="00AE0B7E"/>
    <w:rsid w:val="00AE2914"/>
    <w:rsid w:val="00AE294A"/>
    <w:rsid w:val="00AE3BE2"/>
    <w:rsid w:val="00AE3FF0"/>
    <w:rsid w:val="00AE45A3"/>
    <w:rsid w:val="00AE5402"/>
    <w:rsid w:val="00AE6D15"/>
    <w:rsid w:val="00AE7DB1"/>
    <w:rsid w:val="00AF0BE8"/>
    <w:rsid w:val="00AF138F"/>
    <w:rsid w:val="00AF18B0"/>
    <w:rsid w:val="00AF1AE1"/>
    <w:rsid w:val="00AF2A82"/>
    <w:rsid w:val="00AF2B6E"/>
    <w:rsid w:val="00AF2B75"/>
    <w:rsid w:val="00AF2CAC"/>
    <w:rsid w:val="00AF3EA6"/>
    <w:rsid w:val="00AF4C8C"/>
    <w:rsid w:val="00AF52CB"/>
    <w:rsid w:val="00AF59FB"/>
    <w:rsid w:val="00AF5AB7"/>
    <w:rsid w:val="00AF6078"/>
    <w:rsid w:val="00AF7A78"/>
    <w:rsid w:val="00AF7C26"/>
    <w:rsid w:val="00AF7D3D"/>
    <w:rsid w:val="00AF7F14"/>
    <w:rsid w:val="00B00789"/>
    <w:rsid w:val="00B007DC"/>
    <w:rsid w:val="00B01142"/>
    <w:rsid w:val="00B02021"/>
    <w:rsid w:val="00B03A28"/>
    <w:rsid w:val="00B03DFA"/>
    <w:rsid w:val="00B03EC7"/>
    <w:rsid w:val="00B04182"/>
    <w:rsid w:val="00B04819"/>
    <w:rsid w:val="00B05774"/>
    <w:rsid w:val="00B057E1"/>
    <w:rsid w:val="00B061D4"/>
    <w:rsid w:val="00B06D6F"/>
    <w:rsid w:val="00B078C6"/>
    <w:rsid w:val="00B07AE3"/>
    <w:rsid w:val="00B07B08"/>
    <w:rsid w:val="00B07BFF"/>
    <w:rsid w:val="00B103EC"/>
    <w:rsid w:val="00B10865"/>
    <w:rsid w:val="00B10E10"/>
    <w:rsid w:val="00B10FA8"/>
    <w:rsid w:val="00B11430"/>
    <w:rsid w:val="00B12950"/>
    <w:rsid w:val="00B12CE9"/>
    <w:rsid w:val="00B134B4"/>
    <w:rsid w:val="00B1543B"/>
    <w:rsid w:val="00B15454"/>
    <w:rsid w:val="00B16352"/>
    <w:rsid w:val="00B16C7F"/>
    <w:rsid w:val="00B175A7"/>
    <w:rsid w:val="00B175D7"/>
    <w:rsid w:val="00B209F0"/>
    <w:rsid w:val="00B2138C"/>
    <w:rsid w:val="00B21B58"/>
    <w:rsid w:val="00B21C8D"/>
    <w:rsid w:val="00B22086"/>
    <w:rsid w:val="00B229F2"/>
    <w:rsid w:val="00B232F9"/>
    <w:rsid w:val="00B2333B"/>
    <w:rsid w:val="00B236F7"/>
    <w:rsid w:val="00B23E13"/>
    <w:rsid w:val="00B2424A"/>
    <w:rsid w:val="00B2560F"/>
    <w:rsid w:val="00B2562A"/>
    <w:rsid w:val="00B258A9"/>
    <w:rsid w:val="00B25995"/>
    <w:rsid w:val="00B25E9D"/>
    <w:rsid w:val="00B261C1"/>
    <w:rsid w:val="00B267ED"/>
    <w:rsid w:val="00B26835"/>
    <w:rsid w:val="00B269F7"/>
    <w:rsid w:val="00B26A4B"/>
    <w:rsid w:val="00B26AAE"/>
    <w:rsid w:val="00B26CB6"/>
    <w:rsid w:val="00B27BEF"/>
    <w:rsid w:val="00B27D43"/>
    <w:rsid w:val="00B27E16"/>
    <w:rsid w:val="00B27EA4"/>
    <w:rsid w:val="00B307FC"/>
    <w:rsid w:val="00B30FAC"/>
    <w:rsid w:val="00B32513"/>
    <w:rsid w:val="00B327C0"/>
    <w:rsid w:val="00B3296C"/>
    <w:rsid w:val="00B33799"/>
    <w:rsid w:val="00B337FB"/>
    <w:rsid w:val="00B344EA"/>
    <w:rsid w:val="00B34D1E"/>
    <w:rsid w:val="00B353EB"/>
    <w:rsid w:val="00B40216"/>
    <w:rsid w:val="00B40884"/>
    <w:rsid w:val="00B41183"/>
    <w:rsid w:val="00B41DB7"/>
    <w:rsid w:val="00B42865"/>
    <w:rsid w:val="00B42C72"/>
    <w:rsid w:val="00B43363"/>
    <w:rsid w:val="00B43545"/>
    <w:rsid w:val="00B436BA"/>
    <w:rsid w:val="00B437FD"/>
    <w:rsid w:val="00B439C4"/>
    <w:rsid w:val="00B43DF1"/>
    <w:rsid w:val="00B44386"/>
    <w:rsid w:val="00B44AB5"/>
    <w:rsid w:val="00B4535E"/>
    <w:rsid w:val="00B45694"/>
    <w:rsid w:val="00B46883"/>
    <w:rsid w:val="00B46B56"/>
    <w:rsid w:val="00B46BB5"/>
    <w:rsid w:val="00B46C51"/>
    <w:rsid w:val="00B47077"/>
    <w:rsid w:val="00B470FB"/>
    <w:rsid w:val="00B47103"/>
    <w:rsid w:val="00B4734E"/>
    <w:rsid w:val="00B47367"/>
    <w:rsid w:val="00B515E7"/>
    <w:rsid w:val="00B522C8"/>
    <w:rsid w:val="00B52A8C"/>
    <w:rsid w:val="00B53B25"/>
    <w:rsid w:val="00B53F47"/>
    <w:rsid w:val="00B555BA"/>
    <w:rsid w:val="00B559E3"/>
    <w:rsid w:val="00B56147"/>
    <w:rsid w:val="00B5653F"/>
    <w:rsid w:val="00B5655C"/>
    <w:rsid w:val="00B56D56"/>
    <w:rsid w:val="00B603A6"/>
    <w:rsid w:val="00B61893"/>
    <w:rsid w:val="00B619F0"/>
    <w:rsid w:val="00B61B68"/>
    <w:rsid w:val="00B61B9D"/>
    <w:rsid w:val="00B61D16"/>
    <w:rsid w:val="00B631F2"/>
    <w:rsid w:val="00B636A8"/>
    <w:rsid w:val="00B641F0"/>
    <w:rsid w:val="00B64CC6"/>
    <w:rsid w:val="00B6513E"/>
    <w:rsid w:val="00B65F50"/>
    <w:rsid w:val="00B665C6"/>
    <w:rsid w:val="00B667FE"/>
    <w:rsid w:val="00B67AA0"/>
    <w:rsid w:val="00B7001C"/>
    <w:rsid w:val="00B703C7"/>
    <w:rsid w:val="00B70749"/>
    <w:rsid w:val="00B70C96"/>
    <w:rsid w:val="00B70CEF"/>
    <w:rsid w:val="00B72623"/>
    <w:rsid w:val="00B727D1"/>
    <w:rsid w:val="00B72A80"/>
    <w:rsid w:val="00B7328D"/>
    <w:rsid w:val="00B73BF6"/>
    <w:rsid w:val="00B745BC"/>
    <w:rsid w:val="00B745C4"/>
    <w:rsid w:val="00B76264"/>
    <w:rsid w:val="00B770D2"/>
    <w:rsid w:val="00B771CE"/>
    <w:rsid w:val="00B77A69"/>
    <w:rsid w:val="00B805AF"/>
    <w:rsid w:val="00B807A0"/>
    <w:rsid w:val="00B82101"/>
    <w:rsid w:val="00B83754"/>
    <w:rsid w:val="00B83BD1"/>
    <w:rsid w:val="00B845EB"/>
    <w:rsid w:val="00B847B0"/>
    <w:rsid w:val="00B847B9"/>
    <w:rsid w:val="00B84F17"/>
    <w:rsid w:val="00B852A5"/>
    <w:rsid w:val="00B85C97"/>
    <w:rsid w:val="00B869EC"/>
    <w:rsid w:val="00B86C80"/>
    <w:rsid w:val="00B900D4"/>
    <w:rsid w:val="00B90EAE"/>
    <w:rsid w:val="00B912D6"/>
    <w:rsid w:val="00B91ACC"/>
    <w:rsid w:val="00B922B1"/>
    <w:rsid w:val="00B929A5"/>
    <w:rsid w:val="00B9394D"/>
    <w:rsid w:val="00B9397A"/>
    <w:rsid w:val="00B9529F"/>
    <w:rsid w:val="00B95A48"/>
    <w:rsid w:val="00B95A81"/>
    <w:rsid w:val="00B9633D"/>
    <w:rsid w:val="00B96351"/>
    <w:rsid w:val="00B9685C"/>
    <w:rsid w:val="00B96901"/>
    <w:rsid w:val="00BA010F"/>
    <w:rsid w:val="00BA0FCD"/>
    <w:rsid w:val="00BA2376"/>
    <w:rsid w:val="00BA2CCA"/>
    <w:rsid w:val="00BA2EBE"/>
    <w:rsid w:val="00BA2FDE"/>
    <w:rsid w:val="00BA3CDC"/>
    <w:rsid w:val="00BA406B"/>
    <w:rsid w:val="00BA478B"/>
    <w:rsid w:val="00BA4CEF"/>
    <w:rsid w:val="00BA4DAB"/>
    <w:rsid w:val="00BA56C3"/>
    <w:rsid w:val="00BA5ACD"/>
    <w:rsid w:val="00BA7222"/>
    <w:rsid w:val="00BA74E4"/>
    <w:rsid w:val="00BA77CC"/>
    <w:rsid w:val="00BA7A69"/>
    <w:rsid w:val="00BA7DBA"/>
    <w:rsid w:val="00BA7E16"/>
    <w:rsid w:val="00BB0081"/>
    <w:rsid w:val="00BB08A1"/>
    <w:rsid w:val="00BB0F28"/>
    <w:rsid w:val="00BB1883"/>
    <w:rsid w:val="00BB1A46"/>
    <w:rsid w:val="00BB2037"/>
    <w:rsid w:val="00BB2673"/>
    <w:rsid w:val="00BB2BC5"/>
    <w:rsid w:val="00BB36BF"/>
    <w:rsid w:val="00BB38A4"/>
    <w:rsid w:val="00BB458A"/>
    <w:rsid w:val="00BB4E42"/>
    <w:rsid w:val="00BB50E0"/>
    <w:rsid w:val="00BB5A6F"/>
    <w:rsid w:val="00BB5B79"/>
    <w:rsid w:val="00BB5E7E"/>
    <w:rsid w:val="00BB6C33"/>
    <w:rsid w:val="00BB6F77"/>
    <w:rsid w:val="00BB7823"/>
    <w:rsid w:val="00BC04E6"/>
    <w:rsid w:val="00BC0CDF"/>
    <w:rsid w:val="00BC122A"/>
    <w:rsid w:val="00BC1F41"/>
    <w:rsid w:val="00BC2AD9"/>
    <w:rsid w:val="00BC2EBB"/>
    <w:rsid w:val="00BC3162"/>
    <w:rsid w:val="00BC363C"/>
    <w:rsid w:val="00BC4830"/>
    <w:rsid w:val="00BC5366"/>
    <w:rsid w:val="00BC57BE"/>
    <w:rsid w:val="00BC5911"/>
    <w:rsid w:val="00BC5932"/>
    <w:rsid w:val="00BC5DD6"/>
    <w:rsid w:val="00BC6144"/>
    <w:rsid w:val="00BC68BE"/>
    <w:rsid w:val="00BC6C60"/>
    <w:rsid w:val="00BC7576"/>
    <w:rsid w:val="00BD0016"/>
    <w:rsid w:val="00BD00D3"/>
    <w:rsid w:val="00BD0C35"/>
    <w:rsid w:val="00BD11C0"/>
    <w:rsid w:val="00BD1579"/>
    <w:rsid w:val="00BD1659"/>
    <w:rsid w:val="00BD16C4"/>
    <w:rsid w:val="00BD1B34"/>
    <w:rsid w:val="00BD2DB5"/>
    <w:rsid w:val="00BD2F69"/>
    <w:rsid w:val="00BD36FF"/>
    <w:rsid w:val="00BD3AA9"/>
    <w:rsid w:val="00BD3BA2"/>
    <w:rsid w:val="00BD46FF"/>
    <w:rsid w:val="00BD4A18"/>
    <w:rsid w:val="00BD4CF7"/>
    <w:rsid w:val="00BD5FA2"/>
    <w:rsid w:val="00BD6DB2"/>
    <w:rsid w:val="00BE01D8"/>
    <w:rsid w:val="00BE0ABC"/>
    <w:rsid w:val="00BE11CF"/>
    <w:rsid w:val="00BE12E4"/>
    <w:rsid w:val="00BE1A3C"/>
    <w:rsid w:val="00BE1C67"/>
    <w:rsid w:val="00BE21AB"/>
    <w:rsid w:val="00BE2768"/>
    <w:rsid w:val="00BE2AD5"/>
    <w:rsid w:val="00BE2EBE"/>
    <w:rsid w:val="00BE4D3D"/>
    <w:rsid w:val="00BE4FC1"/>
    <w:rsid w:val="00BE55CB"/>
    <w:rsid w:val="00BE5978"/>
    <w:rsid w:val="00BE6469"/>
    <w:rsid w:val="00BE648C"/>
    <w:rsid w:val="00BE66DA"/>
    <w:rsid w:val="00BE6A00"/>
    <w:rsid w:val="00BE710F"/>
    <w:rsid w:val="00BE734B"/>
    <w:rsid w:val="00BF01EF"/>
    <w:rsid w:val="00BF05F1"/>
    <w:rsid w:val="00BF1066"/>
    <w:rsid w:val="00BF15D6"/>
    <w:rsid w:val="00BF2590"/>
    <w:rsid w:val="00BF2682"/>
    <w:rsid w:val="00BF2AE2"/>
    <w:rsid w:val="00BF367B"/>
    <w:rsid w:val="00BF4067"/>
    <w:rsid w:val="00BF51C9"/>
    <w:rsid w:val="00BF57B3"/>
    <w:rsid w:val="00BF59A3"/>
    <w:rsid w:val="00BF5A90"/>
    <w:rsid w:val="00BF6099"/>
    <w:rsid w:val="00BF617A"/>
    <w:rsid w:val="00BF6A74"/>
    <w:rsid w:val="00BF6ABA"/>
    <w:rsid w:val="00BF7484"/>
    <w:rsid w:val="00BF786D"/>
    <w:rsid w:val="00BF7885"/>
    <w:rsid w:val="00C004FB"/>
    <w:rsid w:val="00C01AEC"/>
    <w:rsid w:val="00C01CF3"/>
    <w:rsid w:val="00C01E5A"/>
    <w:rsid w:val="00C021A2"/>
    <w:rsid w:val="00C02E35"/>
    <w:rsid w:val="00C0379D"/>
    <w:rsid w:val="00C03931"/>
    <w:rsid w:val="00C0579F"/>
    <w:rsid w:val="00C057CD"/>
    <w:rsid w:val="00C05FE3"/>
    <w:rsid w:val="00C062D6"/>
    <w:rsid w:val="00C0782A"/>
    <w:rsid w:val="00C1078B"/>
    <w:rsid w:val="00C10909"/>
    <w:rsid w:val="00C11177"/>
    <w:rsid w:val="00C113A9"/>
    <w:rsid w:val="00C11A3D"/>
    <w:rsid w:val="00C1215E"/>
    <w:rsid w:val="00C13D6E"/>
    <w:rsid w:val="00C1401E"/>
    <w:rsid w:val="00C14CB7"/>
    <w:rsid w:val="00C156B1"/>
    <w:rsid w:val="00C15CFC"/>
    <w:rsid w:val="00C166F4"/>
    <w:rsid w:val="00C16DCE"/>
    <w:rsid w:val="00C2120B"/>
    <w:rsid w:val="00C2136D"/>
    <w:rsid w:val="00C214EE"/>
    <w:rsid w:val="00C22694"/>
    <w:rsid w:val="00C22D16"/>
    <w:rsid w:val="00C2314B"/>
    <w:rsid w:val="00C24597"/>
    <w:rsid w:val="00C2488E"/>
    <w:rsid w:val="00C24971"/>
    <w:rsid w:val="00C24B15"/>
    <w:rsid w:val="00C261A2"/>
    <w:rsid w:val="00C269F4"/>
    <w:rsid w:val="00C26BE5"/>
    <w:rsid w:val="00C26E4D"/>
    <w:rsid w:val="00C270DD"/>
    <w:rsid w:val="00C27147"/>
    <w:rsid w:val="00C271C5"/>
    <w:rsid w:val="00C274AA"/>
    <w:rsid w:val="00C27909"/>
    <w:rsid w:val="00C27B03"/>
    <w:rsid w:val="00C27F48"/>
    <w:rsid w:val="00C30A73"/>
    <w:rsid w:val="00C30B2E"/>
    <w:rsid w:val="00C314E1"/>
    <w:rsid w:val="00C31EB1"/>
    <w:rsid w:val="00C33191"/>
    <w:rsid w:val="00C34397"/>
    <w:rsid w:val="00C34D7C"/>
    <w:rsid w:val="00C34ED6"/>
    <w:rsid w:val="00C36B28"/>
    <w:rsid w:val="00C36E9D"/>
    <w:rsid w:val="00C376D5"/>
    <w:rsid w:val="00C40371"/>
    <w:rsid w:val="00C407F3"/>
    <w:rsid w:val="00C4095D"/>
    <w:rsid w:val="00C413ED"/>
    <w:rsid w:val="00C418CC"/>
    <w:rsid w:val="00C41949"/>
    <w:rsid w:val="00C4195A"/>
    <w:rsid w:val="00C41A91"/>
    <w:rsid w:val="00C42B23"/>
    <w:rsid w:val="00C43163"/>
    <w:rsid w:val="00C44F48"/>
    <w:rsid w:val="00C452BF"/>
    <w:rsid w:val="00C4640D"/>
    <w:rsid w:val="00C4704A"/>
    <w:rsid w:val="00C47590"/>
    <w:rsid w:val="00C47A26"/>
    <w:rsid w:val="00C51D19"/>
    <w:rsid w:val="00C52406"/>
    <w:rsid w:val="00C52909"/>
    <w:rsid w:val="00C52B4E"/>
    <w:rsid w:val="00C533B9"/>
    <w:rsid w:val="00C537D6"/>
    <w:rsid w:val="00C53838"/>
    <w:rsid w:val="00C53BB1"/>
    <w:rsid w:val="00C54F70"/>
    <w:rsid w:val="00C557E3"/>
    <w:rsid w:val="00C56CCB"/>
    <w:rsid w:val="00C56FC3"/>
    <w:rsid w:val="00C572EE"/>
    <w:rsid w:val="00C574E6"/>
    <w:rsid w:val="00C57E1C"/>
    <w:rsid w:val="00C601D2"/>
    <w:rsid w:val="00C60E7C"/>
    <w:rsid w:val="00C61AE8"/>
    <w:rsid w:val="00C62D62"/>
    <w:rsid w:val="00C640FC"/>
    <w:rsid w:val="00C654DC"/>
    <w:rsid w:val="00C656F5"/>
    <w:rsid w:val="00C65BCC"/>
    <w:rsid w:val="00C661BC"/>
    <w:rsid w:val="00C664DE"/>
    <w:rsid w:val="00C666E3"/>
    <w:rsid w:val="00C66970"/>
    <w:rsid w:val="00C66973"/>
    <w:rsid w:val="00C66A4C"/>
    <w:rsid w:val="00C67829"/>
    <w:rsid w:val="00C70150"/>
    <w:rsid w:val="00C70158"/>
    <w:rsid w:val="00C70377"/>
    <w:rsid w:val="00C71114"/>
    <w:rsid w:val="00C73D8A"/>
    <w:rsid w:val="00C73D93"/>
    <w:rsid w:val="00C73E98"/>
    <w:rsid w:val="00C7419C"/>
    <w:rsid w:val="00C74C58"/>
    <w:rsid w:val="00C7536A"/>
    <w:rsid w:val="00C77235"/>
    <w:rsid w:val="00C773C3"/>
    <w:rsid w:val="00C77713"/>
    <w:rsid w:val="00C77720"/>
    <w:rsid w:val="00C77800"/>
    <w:rsid w:val="00C82FC1"/>
    <w:rsid w:val="00C8310A"/>
    <w:rsid w:val="00C83AF7"/>
    <w:rsid w:val="00C85984"/>
    <w:rsid w:val="00C8691C"/>
    <w:rsid w:val="00C87406"/>
    <w:rsid w:val="00C876C6"/>
    <w:rsid w:val="00C9007D"/>
    <w:rsid w:val="00C91CE7"/>
    <w:rsid w:val="00C921D3"/>
    <w:rsid w:val="00C9236D"/>
    <w:rsid w:val="00C92CAC"/>
    <w:rsid w:val="00C92CC7"/>
    <w:rsid w:val="00C93719"/>
    <w:rsid w:val="00C93878"/>
    <w:rsid w:val="00C9475B"/>
    <w:rsid w:val="00C94F29"/>
    <w:rsid w:val="00C970C4"/>
    <w:rsid w:val="00C973E6"/>
    <w:rsid w:val="00CA11CF"/>
    <w:rsid w:val="00CA168A"/>
    <w:rsid w:val="00CA255B"/>
    <w:rsid w:val="00CA3224"/>
    <w:rsid w:val="00CA32FF"/>
    <w:rsid w:val="00CA357E"/>
    <w:rsid w:val="00CA4355"/>
    <w:rsid w:val="00CA44F9"/>
    <w:rsid w:val="00CA4A69"/>
    <w:rsid w:val="00CA4AB8"/>
    <w:rsid w:val="00CA4EAB"/>
    <w:rsid w:val="00CA5E18"/>
    <w:rsid w:val="00CA628E"/>
    <w:rsid w:val="00CA6534"/>
    <w:rsid w:val="00CA7297"/>
    <w:rsid w:val="00CA7438"/>
    <w:rsid w:val="00CA7CA2"/>
    <w:rsid w:val="00CB017B"/>
    <w:rsid w:val="00CB03C9"/>
    <w:rsid w:val="00CB0CD5"/>
    <w:rsid w:val="00CB2300"/>
    <w:rsid w:val="00CB2669"/>
    <w:rsid w:val="00CB2AFD"/>
    <w:rsid w:val="00CB2C3A"/>
    <w:rsid w:val="00CB399A"/>
    <w:rsid w:val="00CB3DBD"/>
    <w:rsid w:val="00CB41E4"/>
    <w:rsid w:val="00CB494E"/>
    <w:rsid w:val="00CB5A02"/>
    <w:rsid w:val="00CB657F"/>
    <w:rsid w:val="00CB71EE"/>
    <w:rsid w:val="00CB75D6"/>
    <w:rsid w:val="00CC18E7"/>
    <w:rsid w:val="00CC26D8"/>
    <w:rsid w:val="00CC3B8E"/>
    <w:rsid w:val="00CC3E0C"/>
    <w:rsid w:val="00CC46A0"/>
    <w:rsid w:val="00CC47BD"/>
    <w:rsid w:val="00CC5759"/>
    <w:rsid w:val="00CC58D3"/>
    <w:rsid w:val="00CC5B43"/>
    <w:rsid w:val="00CC6D8B"/>
    <w:rsid w:val="00CC738A"/>
    <w:rsid w:val="00CC738E"/>
    <w:rsid w:val="00CC73D1"/>
    <w:rsid w:val="00CC784D"/>
    <w:rsid w:val="00CD031A"/>
    <w:rsid w:val="00CD06AA"/>
    <w:rsid w:val="00CD0B92"/>
    <w:rsid w:val="00CD0D54"/>
    <w:rsid w:val="00CD0F23"/>
    <w:rsid w:val="00CD143D"/>
    <w:rsid w:val="00CD20C0"/>
    <w:rsid w:val="00CD2199"/>
    <w:rsid w:val="00CD3F6F"/>
    <w:rsid w:val="00CD50A0"/>
    <w:rsid w:val="00CD5111"/>
    <w:rsid w:val="00CD55EF"/>
    <w:rsid w:val="00CD56B0"/>
    <w:rsid w:val="00CD571E"/>
    <w:rsid w:val="00CD6188"/>
    <w:rsid w:val="00CD6657"/>
    <w:rsid w:val="00CD6C52"/>
    <w:rsid w:val="00CD77E4"/>
    <w:rsid w:val="00CD7DDA"/>
    <w:rsid w:val="00CD7E19"/>
    <w:rsid w:val="00CE0350"/>
    <w:rsid w:val="00CE0E55"/>
    <w:rsid w:val="00CE0EC4"/>
    <w:rsid w:val="00CE1390"/>
    <w:rsid w:val="00CE14DE"/>
    <w:rsid w:val="00CE237D"/>
    <w:rsid w:val="00CE2BF7"/>
    <w:rsid w:val="00CE30B7"/>
    <w:rsid w:val="00CE30CC"/>
    <w:rsid w:val="00CE3FD8"/>
    <w:rsid w:val="00CE5574"/>
    <w:rsid w:val="00CE57CD"/>
    <w:rsid w:val="00CE5C0B"/>
    <w:rsid w:val="00CE60E8"/>
    <w:rsid w:val="00CE78F4"/>
    <w:rsid w:val="00CE7F89"/>
    <w:rsid w:val="00CF026A"/>
    <w:rsid w:val="00CF02C1"/>
    <w:rsid w:val="00CF3B3E"/>
    <w:rsid w:val="00CF45E3"/>
    <w:rsid w:val="00CF4637"/>
    <w:rsid w:val="00CF4B5A"/>
    <w:rsid w:val="00CF5D07"/>
    <w:rsid w:val="00CF6041"/>
    <w:rsid w:val="00CF6F2D"/>
    <w:rsid w:val="00CF79D4"/>
    <w:rsid w:val="00CF7B3A"/>
    <w:rsid w:val="00CF7C33"/>
    <w:rsid w:val="00CF7CBC"/>
    <w:rsid w:val="00D00420"/>
    <w:rsid w:val="00D00779"/>
    <w:rsid w:val="00D008A5"/>
    <w:rsid w:val="00D01A17"/>
    <w:rsid w:val="00D01E24"/>
    <w:rsid w:val="00D0337B"/>
    <w:rsid w:val="00D0553E"/>
    <w:rsid w:val="00D078DB"/>
    <w:rsid w:val="00D079B2"/>
    <w:rsid w:val="00D1013F"/>
    <w:rsid w:val="00D1069E"/>
    <w:rsid w:val="00D114E9"/>
    <w:rsid w:val="00D11D1E"/>
    <w:rsid w:val="00D13052"/>
    <w:rsid w:val="00D13226"/>
    <w:rsid w:val="00D1329D"/>
    <w:rsid w:val="00D137DA"/>
    <w:rsid w:val="00D13DA6"/>
    <w:rsid w:val="00D13E79"/>
    <w:rsid w:val="00D14BB6"/>
    <w:rsid w:val="00D14F8F"/>
    <w:rsid w:val="00D1506F"/>
    <w:rsid w:val="00D1551B"/>
    <w:rsid w:val="00D16085"/>
    <w:rsid w:val="00D16250"/>
    <w:rsid w:val="00D16AF9"/>
    <w:rsid w:val="00D16DF0"/>
    <w:rsid w:val="00D17B23"/>
    <w:rsid w:val="00D2023F"/>
    <w:rsid w:val="00D20CC5"/>
    <w:rsid w:val="00D21AA9"/>
    <w:rsid w:val="00D23547"/>
    <w:rsid w:val="00D2381F"/>
    <w:rsid w:val="00D23EB5"/>
    <w:rsid w:val="00D2461D"/>
    <w:rsid w:val="00D256F3"/>
    <w:rsid w:val="00D25A11"/>
    <w:rsid w:val="00D26734"/>
    <w:rsid w:val="00D26A3C"/>
    <w:rsid w:val="00D31163"/>
    <w:rsid w:val="00D32220"/>
    <w:rsid w:val="00D322AE"/>
    <w:rsid w:val="00D325A4"/>
    <w:rsid w:val="00D325CB"/>
    <w:rsid w:val="00D32BEF"/>
    <w:rsid w:val="00D3366C"/>
    <w:rsid w:val="00D33C75"/>
    <w:rsid w:val="00D344F6"/>
    <w:rsid w:val="00D34CE7"/>
    <w:rsid w:val="00D350AF"/>
    <w:rsid w:val="00D35492"/>
    <w:rsid w:val="00D3555C"/>
    <w:rsid w:val="00D35883"/>
    <w:rsid w:val="00D36D81"/>
    <w:rsid w:val="00D376E3"/>
    <w:rsid w:val="00D377D8"/>
    <w:rsid w:val="00D37B8C"/>
    <w:rsid w:val="00D40197"/>
    <w:rsid w:val="00D402F0"/>
    <w:rsid w:val="00D4065F"/>
    <w:rsid w:val="00D41843"/>
    <w:rsid w:val="00D41B33"/>
    <w:rsid w:val="00D41BA4"/>
    <w:rsid w:val="00D429C6"/>
    <w:rsid w:val="00D42FDF"/>
    <w:rsid w:val="00D43140"/>
    <w:rsid w:val="00D43DAF"/>
    <w:rsid w:val="00D43F15"/>
    <w:rsid w:val="00D44196"/>
    <w:rsid w:val="00D444AD"/>
    <w:rsid w:val="00D45156"/>
    <w:rsid w:val="00D45FAA"/>
    <w:rsid w:val="00D4686E"/>
    <w:rsid w:val="00D47414"/>
    <w:rsid w:val="00D47748"/>
    <w:rsid w:val="00D47BBE"/>
    <w:rsid w:val="00D510DD"/>
    <w:rsid w:val="00D510F2"/>
    <w:rsid w:val="00D51121"/>
    <w:rsid w:val="00D511E5"/>
    <w:rsid w:val="00D51E8C"/>
    <w:rsid w:val="00D532FD"/>
    <w:rsid w:val="00D53A80"/>
    <w:rsid w:val="00D53CBD"/>
    <w:rsid w:val="00D54002"/>
    <w:rsid w:val="00D544AB"/>
    <w:rsid w:val="00D54CC3"/>
    <w:rsid w:val="00D54CD0"/>
    <w:rsid w:val="00D557E0"/>
    <w:rsid w:val="00D558A8"/>
    <w:rsid w:val="00D55912"/>
    <w:rsid w:val="00D55FF1"/>
    <w:rsid w:val="00D56C45"/>
    <w:rsid w:val="00D57D1D"/>
    <w:rsid w:val="00D60181"/>
    <w:rsid w:val="00D603B3"/>
    <w:rsid w:val="00D6041A"/>
    <w:rsid w:val="00D60F75"/>
    <w:rsid w:val="00D61364"/>
    <w:rsid w:val="00D613C3"/>
    <w:rsid w:val="00D61562"/>
    <w:rsid w:val="00D61A26"/>
    <w:rsid w:val="00D61CAA"/>
    <w:rsid w:val="00D621D4"/>
    <w:rsid w:val="00D6266C"/>
    <w:rsid w:val="00D62E4F"/>
    <w:rsid w:val="00D62E9F"/>
    <w:rsid w:val="00D633EB"/>
    <w:rsid w:val="00D634CC"/>
    <w:rsid w:val="00D64124"/>
    <w:rsid w:val="00D64135"/>
    <w:rsid w:val="00D64495"/>
    <w:rsid w:val="00D64716"/>
    <w:rsid w:val="00D64781"/>
    <w:rsid w:val="00D64C44"/>
    <w:rsid w:val="00D65C11"/>
    <w:rsid w:val="00D660BA"/>
    <w:rsid w:val="00D67565"/>
    <w:rsid w:val="00D67F59"/>
    <w:rsid w:val="00D702AF"/>
    <w:rsid w:val="00D708C5"/>
    <w:rsid w:val="00D70A58"/>
    <w:rsid w:val="00D70E2A"/>
    <w:rsid w:val="00D71DCD"/>
    <w:rsid w:val="00D7204C"/>
    <w:rsid w:val="00D72081"/>
    <w:rsid w:val="00D72E66"/>
    <w:rsid w:val="00D737CE"/>
    <w:rsid w:val="00D73AE9"/>
    <w:rsid w:val="00D74AAC"/>
    <w:rsid w:val="00D74C57"/>
    <w:rsid w:val="00D75A91"/>
    <w:rsid w:val="00D7603C"/>
    <w:rsid w:val="00D7648F"/>
    <w:rsid w:val="00D76A19"/>
    <w:rsid w:val="00D77180"/>
    <w:rsid w:val="00D77899"/>
    <w:rsid w:val="00D809FD"/>
    <w:rsid w:val="00D81817"/>
    <w:rsid w:val="00D81BE6"/>
    <w:rsid w:val="00D82FF7"/>
    <w:rsid w:val="00D83417"/>
    <w:rsid w:val="00D847FE"/>
    <w:rsid w:val="00D849AC"/>
    <w:rsid w:val="00D84E42"/>
    <w:rsid w:val="00D855D2"/>
    <w:rsid w:val="00D85B32"/>
    <w:rsid w:val="00D862B6"/>
    <w:rsid w:val="00D87962"/>
    <w:rsid w:val="00D87E68"/>
    <w:rsid w:val="00D900EB"/>
    <w:rsid w:val="00D90321"/>
    <w:rsid w:val="00D90A99"/>
    <w:rsid w:val="00D90B79"/>
    <w:rsid w:val="00D90E20"/>
    <w:rsid w:val="00D90F3D"/>
    <w:rsid w:val="00D914D8"/>
    <w:rsid w:val="00D915DC"/>
    <w:rsid w:val="00D922C1"/>
    <w:rsid w:val="00D92801"/>
    <w:rsid w:val="00D9357B"/>
    <w:rsid w:val="00D9500C"/>
    <w:rsid w:val="00D950E7"/>
    <w:rsid w:val="00D955F2"/>
    <w:rsid w:val="00D9574F"/>
    <w:rsid w:val="00D957C8"/>
    <w:rsid w:val="00D95BA5"/>
    <w:rsid w:val="00D95DC2"/>
    <w:rsid w:val="00D96383"/>
    <w:rsid w:val="00D964EA"/>
    <w:rsid w:val="00D966D0"/>
    <w:rsid w:val="00D978ED"/>
    <w:rsid w:val="00DA09FD"/>
    <w:rsid w:val="00DA0C59"/>
    <w:rsid w:val="00DA1584"/>
    <w:rsid w:val="00DA38B8"/>
    <w:rsid w:val="00DA3991"/>
    <w:rsid w:val="00DA3A73"/>
    <w:rsid w:val="00DA3B0F"/>
    <w:rsid w:val="00DA4ED1"/>
    <w:rsid w:val="00DA6A49"/>
    <w:rsid w:val="00DA75BC"/>
    <w:rsid w:val="00DA7EB0"/>
    <w:rsid w:val="00DB099F"/>
    <w:rsid w:val="00DB0A0B"/>
    <w:rsid w:val="00DB0FD8"/>
    <w:rsid w:val="00DB1238"/>
    <w:rsid w:val="00DB12AE"/>
    <w:rsid w:val="00DB15FA"/>
    <w:rsid w:val="00DB218D"/>
    <w:rsid w:val="00DB244E"/>
    <w:rsid w:val="00DB2464"/>
    <w:rsid w:val="00DB4261"/>
    <w:rsid w:val="00DB4CD5"/>
    <w:rsid w:val="00DB4D08"/>
    <w:rsid w:val="00DB5030"/>
    <w:rsid w:val="00DB5A76"/>
    <w:rsid w:val="00DB5ABE"/>
    <w:rsid w:val="00DB5B67"/>
    <w:rsid w:val="00DB5CB3"/>
    <w:rsid w:val="00DB5E0F"/>
    <w:rsid w:val="00DB5F0D"/>
    <w:rsid w:val="00DB619E"/>
    <w:rsid w:val="00DB679A"/>
    <w:rsid w:val="00DB7364"/>
    <w:rsid w:val="00DB7D39"/>
    <w:rsid w:val="00DB7E6C"/>
    <w:rsid w:val="00DC01B2"/>
    <w:rsid w:val="00DC03A4"/>
    <w:rsid w:val="00DC0912"/>
    <w:rsid w:val="00DC0AF6"/>
    <w:rsid w:val="00DC0E6D"/>
    <w:rsid w:val="00DC1636"/>
    <w:rsid w:val="00DC191B"/>
    <w:rsid w:val="00DC19C3"/>
    <w:rsid w:val="00DC225F"/>
    <w:rsid w:val="00DC2BAD"/>
    <w:rsid w:val="00DC350C"/>
    <w:rsid w:val="00DC3942"/>
    <w:rsid w:val="00DC5811"/>
    <w:rsid w:val="00DC6BF7"/>
    <w:rsid w:val="00DC6CD9"/>
    <w:rsid w:val="00DC6F4C"/>
    <w:rsid w:val="00DC7474"/>
    <w:rsid w:val="00DC7C66"/>
    <w:rsid w:val="00DD0431"/>
    <w:rsid w:val="00DD118E"/>
    <w:rsid w:val="00DD12B7"/>
    <w:rsid w:val="00DD1867"/>
    <w:rsid w:val="00DD1A1D"/>
    <w:rsid w:val="00DD1BD1"/>
    <w:rsid w:val="00DD1F29"/>
    <w:rsid w:val="00DD25A4"/>
    <w:rsid w:val="00DD271E"/>
    <w:rsid w:val="00DD3965"/>
    <w:rsid w:val="00DD39D3"/>
    <w:rsid w:val="00DD4F4E"/>
    <w:rsid w:val="00DD52FB"/>
    <w:rsid w:val="00DD5A29"/>
    <w:rsid w:val="00DD5A32"/>
    <w:rsid w:val="00DD5D9D"/>
    <w:rsid w:val="00DD6456"/>
    <w:rsid w:val="00DD6AD7"/>
    <w:rsid w:val="00DD77B4"/>
    <w:rsid w:val="00DD7C97"/>
    <w:rsid w:val="00DE0066"/>
    <w:rsid w:val="00DE06E2"/>
    <w:rsid w:val="00DE0A77"/>
    <w:rsid w:val="00DE0B76"/>
    <w:rsid w:val="00DE0BC0"/>
    <w:rsid w:val="00DE12CA"/>
    <w:rsid w:val="00DE1475"/>
    <w:rsid w:val="00DE31F4"/>
    <w:rsid w:val="00DE35CB"/>
    <w:rsid w:val="00DE38F0"/>
    <w:rsid w:val="00DE4B21"/>
    <w:rsid w:val="00DE4D94"/>
    <w:rsid w:val="00DE52C3"/>
    <w:rsid w:val="00DE63E2"/>
    <w:rsid w:val="00DE6655"/>
    <w:rsid w:val="00DE6EA7"/>
    <w:rsid w:val="00DE78C6"/>
    <w:rsid w:val="00DE7D41"/>
    <w:rsid w:val="00DF08F2"/>
    <w:rsid w:val="00DF0A15"/>
    <w:rsid w:val="00DF0AAD"/>
    <w:rsid w:val="00DF17BF"/>
    <w:rsid w:val="00DF1B81"/>
    <w:rsid w:val="00DF21E9"/>
    <w:rsid w:val="00DF250B"/>
    <w:rsid w:val="00DF2D1B"/>
    <w:rsid w:val="00DF32D8"/>
    <w:rsid w:val="00DF3F6A"/>
    <w:rsid w:val="00DF448A"/>
    <w:rsid w:val="00DF45FB"/>
    <w:rsid w:val="00DF4AAC"/>
    <w:rsid w:val="00DF53D2"/>
    <w:rsid w:val="00DF5617"/>
    <w:rsid w:val="00DF56B8"/>
    <w:rsid w:val="00DF5A3E"/>
    <w:rsid w:val="00DF6CC8"/>
    <w:rsid w:val="00DF6EF2"/>
    <w:rsid w:val="00DF744C"/>
    <w:rsid w:val="00DF74A8"/>
    <w:rsid w:val="00DF790A"/>
    <w:rsid w:val="00DF7A8F"/>
    <w:rsid w:val="00DF7E59"/>
    <w:rsid w:val="00E00127"/>
    <w:rsid w:val="00E0030E"/>
    <w:rsid w:val="00E00F14"/>
    <w:rsid w:val="00E01F78"/>
    <w:rsid w:val="00E023F3"/>
    <w:rsid w:val="00E02F12"/>
    <w:rsid w:val="00E03082"/>
    <w:rsid w:val="00E03A62"/>
    <w:rsid w:val="00E040E0"/>
    <w:rsid w:val="00E04CC0"/>
    <w:rsid w:val="00E04D75"/>
    <w:rsid w:val="00E04EE2"/>
    <w:rsid w:val="00E06386"/>
    <w:rsid w:val="00E06A40"/>
    <w:rsid w:val="00E06C38"/>
    <w:rsid w:val="00E06D46"/>
    <w:rsid w:val="00E06FBA"/>
    <w:rsid w:val="00E078C8"/>
    <w:rsid w:val="00E07EFA"/>
    <w:rsid w:val="00E1020F"/>
    <w:rsid w:val="00E110CD"/>
    <w:rsid w:val="00E112C6"/>
    <w:rsid w:val="00E1188A"/>
    <w:rsid w:val="00E11C0F"/>
    <w:rsid w:val="00E1239D"/>
    <w:rsid w:val="00E1308C"/>
    <w:rsid w:val="00E13F0E"/>
    <w:rsid w:val="00E13F46"/>
    <w:rsid w:val="00E14859"/>
    <w:rsid w:val="00E14EBA"/>
    <w:rsid w:val="00E164ED"/>
    <w:rsid w:val="00E17506"/>
    <w:rsid w:val="00E175D8"/>
    <w:rsid w:val="00E17D67"/>
    <w:rsid w:val="00E17F71"/>
    <w:rsid w:val="00E214A3"/>
    <w:rsid w:val="00E2201F"/>
    <w:rsid w:val="00E2216F"/>
    <w:rsid w:val="00E22350"/>
    <w:rsid w:val="00E22CB5"/>
    <w:rsid w:val="00E2400F"/>
    <w:rsid w:val="00E24986"/>
    <w:rsid w:val="00E24C68"/>
    <w:rsid w:val="00E24EB4"/>
    <w:rsid w:val="00E254B3"/>
    <w:rsid w:val="00E2579C"/>
    <w:rsid w:val="00E269A0"/>
    <w:rsid w:val="00E30586"/>
    <w:rsid w:val="00E3098B"/>
    <w:rsid w:val="00E31148"/>
    <w:rsid w:val="00E317C4"/>
    <w:rsid w:val="00E320ED"/>
    <w:rsid w:val="00E3291B"/>
    <w:rsid w:val="00E3292E"/>
    <w:rsid w:val="00E32BCD"/>
    <w:rsid w:val="00E33104"/>
    <w:rsid w:val="00E333F5"/>
    <w:rsid w:val="00E33AD6"/>
    <w:rsid w:val="00E33AFB"/>
    <w:rsid w:val="00E34218"/>
    <w:rsid w:val="00E34D0D"/>
    <w:rsid w:val="00E36315"/>
    <w:rsid w:val="00E37166"/>
    <w:rsid w:val="00E374FE"/>
    <w:rsid w:val="00E37A90"/>
    <w:rsid w:val="00E37F2B"/>
    <w:rsid w:val="00E402F4"/>
    <w:rsid w:val="00E405D4"/>
    <w:rsid w:val="00E41B35"/>
    <w:rsid w:val="00E41C4A"/>
    <w:rsid w:val="00E42008"/>
    <w:rsid w:val="00E42153"/>
    <w:rsid w:val="00E427ED"/>
    <w:rsid w:val="00E440FB"/>
    <w:rsid w:val="00E44657"/>
    <w:rsid w:val="00E44807"/>
    <w:rsid w:val="00E45028"/>
    <w:rsid w:val="00E453F5"/>
    <w:rsid w:val="00E45E50"/>
    <w:rsid w:val="00E461AD"/>
    <w:rsid w:val="00E46282"/>
    <w:rsid w:val="00E468FD"/>
    <w:rsid w:val="00E4695A"/>
    <w:rsid w:val="00E46E79"/>
    <w:rsid w:val="00E473D1"/>
    <w:rsid w:val="00E47E2A"/>
    <w:rsid w:val="00E504C9"/>
    <w:rsid w:val="00E50958"/>
    <w:rsid w:val="00E516E9"/>
    <w:rsid w:val="00E5216E"/>
    <w:rsid w:val="00E525EF"/>
    <w:rsid w:val="00E53E61"/>
    <w:rsid w:val="00E54DDA"/>
    <w:rsid w:val="00E550E0"/>
    <w:rsid w:val="00E55A12"/>
    <w:rsid w:val="00E5643D"/>
    <w:rsid w:val="00E566C5"/>
    <w:rsid w:val="00E57B71"/>
    <w:rsid w:val="00E57F0A"/>
    <w:rsid w:val="00E62BDE"/>
    <w:rsid w:val="00E63165"/>
    <w:rsid w:val="00E63B2C"/>
    <w:rsid w:val="00E63F2F"/>
    <w:rsid w:val="00E6605A"/>
    <w:rsid w:val="00E66C7D"/>
    <w:rsid w:val="00E6742E"/>
    <w:rsid w:val="00E67513"/>
    <w:rsid w:val="00E7023E"/>
    <w:rsid w:val="00E70591"/>
    <w:rsid w:val="00E70A4D"/>
    <w:rsid w:val="00E71BF8"/>
    <w:rsid w:val="00E72753"/>
    <w:rsid w:val="00E72A20"/>
    <w:rsid w:val="00E72F52"/>
    <w:rsid w:val="00E73C21"/>
    <w:rsid w:val="00E73CD1"/>
    <w:rsid w:val="00E73CEB"/>
    <w:rsid w:val="00E74117"/>
    <w:rsid w:val="00E74A02"/>
    <w:rsid w:val="00E7500F"/>
    <w:rsid w:val="00E7548E"/>
    <w:rsid w:val="00E756CF"/>
    <w:rsid w:val="00E7585C"/>
    <w:rsid w:val="00E76DAC"/>
    <w:rsid w:val="00E76F20"/>
    <w:rsid w:val="00E77276"/>
    <w:rsid w:val="00E80347"/>
    <w:rsid w:val="00E804E0"/>
    <w:rsid w:val="00E809F6"/>
    <w:rsid w:val="00E80DBE"/>
    <w:rsid w:val="00E813AD"/>
    <w:rsid w:val="00E82344"/>
    <w:rsid w:val="00E8270F"/>
    <w:rsid w:val="00E82D38"/>
    <w:rsid w:val="00E83093"/>
    <w:rsid w:val="00E835B7"/>
    <w:rsid w:val="00E83AE1"/>
    <w:rsid w:val="00E83B04"/>
    <w:rsid w:val="00E83E52"/>
    <w:rsid w:val="00E83FD8"/>
    <w:rsid w:val="00E84033"/>
    <w:rsid w:val="00E844C6"/>
    <w:rsid w:val="00E8481B"/>
    <w:rsid w:val="00E84C82"/>
    <w:rsid w:val="00E84D64"/>
    <w:rsid w:val="00E85D34"/>
    <w:rsid w:val="00E86181"/>
    <w:rsid w:val="00E87408"/>
    <w:rsid w:val="00E879E9"/>
    <w:rsid w:val="00E87A4E"/>
    <w:rsid w:val="00E90213"/>
    <w:rsid w:val="00E904D4"/>
    <w:rsid w:val="00E90A4B"/>
    <w:rsid w:val="00E9120F"/>
    <w:rsid w:val="00E91353"/>
    <w:rsid w:val="00E914C4"/>
    <w:rsid w:val="00E92065"/>
    <w:rsid w:val="00E92A90"/>
    <w:rsid w:val="00E934F5"/>
    <w:rsid w:val="00E93576"/>
    <w:rsid w:val="00E94834"/>
    <w:rsid w:val="00E950CE"/>
    <w:rsid w:val="00E956F2"/>
    <w:rsid w:val="00E95BF7"/>
    <w:rsid w:val="00E96961"/>
    <w:rsid w:val="00E97049"/>
    <w:rsid w:val="00E973A6"/>
    <w:rsid w:val="00E97E0B"/>
    <w:rsid w:val="00EA01A3"/>
    <w:rsid w:val="00EA11E3"/>
    <w:rsid w:val="00EA14B5"/>
    <w:rsid w:val="00EA248A"/>
    <w:rsid w:val="00EA2517"/>
    <w:rsid w:val="00EA2621"/>
    <w:rsid w:val="00EA3438"/>
    <w:rsid w:val="00EA3A48"/>
    <w:rsid w:val="00EA3A96"/>
    <w:rsid w:val="00EA4754"/>
    <w:rsid w:val="00EA4E01"/>
    <w:rsid w:val="00EA5661"/>
    <w:rsid w:val="00EA5EE5"/>
    <w:rsid w:val="00EA6A14"/>
    <w:rsid w:val="00EA6F82"/>
    <w:rsid w:val="00EA6FFD"/>
    <w:rsid w:val="00EA72EC"/>
    <w:rsid w:val="00EB03E3"/>
    <w:rsid w:val="00EB0647"/>
    <w:rsid w:val="00EB0E29"/>
    <w:rsid w:val="00EB0F4C"/>
    <w:rsid w:val="00EB11CB"/>
    <w:rsid w:val="00EB19B5"/>
    <w:rsid w:val="00EB1DB3"/>
    <w:rsid w:val="00EB26EA"/>
    <w:rsid w:val="00EB275A"/>
    <w:rsid w:val="00EB3717"/>
    <w:rsid w:val="00EB385B"/>
    <w:rsid w:val="00EB3994"/>
    <w:rsid w:val="00EB3E18"/>
    <w:rsid w:val="00EB5894"/>
    <w:rsid w:val="00EB61D6"/>
    <w:rsid w:val="00EB69BD"/>
    <w:rsid w:val="00EB724A"/>
    <w:rsid w:val="00EB786A"/>
    <w:rsid w:val="00EC0137"/>
    <w:rsid w:val="00EC045B"/>
    <w:rsid w:val="00EC051D"/>
    <w:rsid w:val="00EC0DE6"/>
    <w:rsid w:val="00EC145E"/>
    <w:rsid w:val="00EC1578"/>
    <w:rsid w:val="00EC1916"/>
    <w:rsid w:val="00EC1C72"/>
    <w:rsid w:val="00EC1D31"/>
    <w:rsid w:val="00EC286C"/>
    <w:rsid w:val="00EC2A31"/>
    <w:rsid w:val="00EC32D2"/>
    <w:rsid w:val="00EC3331"/>
    <w:rsid w:val="00EC3CC9"/>
    <w:rsid w:val="00EC4087"/>
    <w:rsid w:val="00EC4C2D"/>
    <w:rsid w:val="00EC4DFA"/>
    <w:rsid w:val="00EC5A4A"/>
    <w:rsid w:val="00EC680A"/>
    <w:rsid w:val="00EC6DEB"/>
    <w:rsid w:val="00EC7115"/>
    <w:rsid w:val="00EC7D4D"/>
    <w:rsid w:val="00ED0864"/>
    <w:rsid w:val="00ED1687"/>
    <w:rsid w:val="00ED171D"/>
    <w:rsid w:val="00ED22FF"/>
    <w:rsid w:val="00ED2A02"/>
    <w:rsid w:val="00ED3AC6"/>
    <w:rsid w:val="00ED3EC2"/>
    <w:rsid w:val="00ED40C4"/>
    <w:rsid w:val="00ED4367"/>
    <w:rsid w:val="00ED4537"/>
    <w:rsid w:val="00ED465C"/>
    <w:rsid w:val="00ED4A2E"/>
    <w:rsid w:val="00ED4AE8"/>
    <w:rsid w:val="00ED4EA8"/>
    <w:rsid w:val="00ED593A"/>
    <w:rsid w:val="00ED607E"/>
    <w:rsid w:val="00ED6134"/>
    <w:rsid w:val="00ED6D81"/>
    <w:rsid w:val="00ED6DBF"/>
    <w:rsid w:val="00ED7128"/>
    <w:rsid w:val="00ED74F6"/>
    <w:rsid w:val="00ED76DC"/>
    <w:rsid w:val="00ED78F2"/>
    <w:rsid w:val="00ED7999"/>
    <w:rsid w:val="00ED7A8D"/>
    <w:rsid w:val="00ED7DC5"/>
    <w:rsid w:val="00EE0004"/>
    <w:rsid w:val="00EE021C"/>
    <w:rsid w:val="00EE0277"/>
    <w:rsid w:val="00EE0578"/>
    <w:rsid w:val="00EE2334"/>
    <w:rsid w:val="00EE238B"/>
    <w:rsid w:val="00EE2BED"/>
    <w:rsid w:val="00EE2D2F"/>
    <w:rsid w:val="00EE374B"/>
    <w:rsid w:val="00EE4138"/>
    <w:rsid w:val="00EE4FCC"/>
    <w:rsid w:val="00EE60D9"/>
    <w:rsid w:val="00EE6A65"/>
    <w:rsid w:val="00EE736F"/>
    <w:rsid w:val="00EE73D5"/>
    <w:rsid w:val="00EE7A22"/>
    <w:rsid w:val="00EF044B"/>
    <w:rsid w:val="00EF0998"/>
    <w:rsid w:val="00EF1C24"/>
    <w:rsid w:val="00EF2065"/>
    <w:rsid w:val="00EF2F70"/>
    <w:rsid w:val="00EF3693"/>
    <w:rsid w:val="00EF4D03"/>
    <w:rsid w:val="00EF5836"/>
    <w:rsid w:val="00EF5FCC"/>
    <w:rsid w:val="00EF6009"/>
    <w:rsid w:val="00EF6701"/>
    <w:rsid w:val="00EF6897"/>
    <w:rsid w:val="00EF6A81"/>
    <w:rsid w:val="00EF75B7"/>
    <w:rsid w:val="00F003D6"/>
    <w:rsid w:val="00F00EC3"/>
    <w:rsid w:val="00F01049"/>
    <w:rsid w:val="00F012EF"/>
    <w:rsid w:val="00F0249D"/>
    <w:rsid w:val="00F02723"/>
    <w:rsid w:val="00F0292D"/>
    <w:rsid w:val="00F02FAD"/>
    <w:rsid w:val="00F0372E"/>
    <w:rsid w:val="00F04650"/>
    <w:rsid w:val="00F04724"/>
    <w:rsid w:val="00F04DF3"/>
    <w:rsid w:val="00F04E0B"/>
    <w:rsid w:val="00F04F73"/>
    <w:rsid w:val="00F0546D"/>
    <w:rsid w:val="00F05E6E"/>
    <w:rsid w:val="00F06020"/>
    <w:rsid w:val="00F06B37"/>
    <w:rsid w:val="00F0725F"/>
    <w:rsid w:val="00F10474"/>
    <w:rsid w:val="00F111A1"/>
    <w:rsid w:val="00F1120D"/>
    <w:rsid w:val="00F1199D"/>
    <w:rsid w:val="00F11BB5"/>
    <w:rsid w:val="00F129D5"/>
    <w:rsid w:val="00F12A92"/>
    <w:rsid w:val="00F13940"/>
    <w:rsid w:val="00F13A55"/>
    <w:rsid w:val="00F14085"/>
    <w:rsid w:val="00F1417B"/>
    <w:rsid w:val="00F1458A"/>
    <w:rsid w:val="00F1495E"/>
    <w:rsid w:val="00F15B21"/>
    <w:rsid w:val="00F16D89"/>
    <w:rsid w:val="00F16DFB"/>
    <w:rsid w:val="00F17025"/>
    <w:rsid w:val="00F202E7"/>
    <w:rsid w:val="00F20818"/>
    <w:rsid w:val="00F20ED3"/>
    <w:rsid w:val="00F2195C"/>
    <w:rsid w:val="00F22662"/>
    <w:rsid w:val="00F22F07"/>
    <w:rsid w:val="00F233F1"/>
    <w:rsid w:val="00F236F3"/>
    <w:rsid w:val="00F23A5C"/>
    <w:rsid w:val="00F23C13"/>
    <w:rsid w:val="00F256E3"/>
    <w:rsid w:val="00F27677"/>
    <w:rsid w:val="00F30C22"/>
    <w:rsid w:val="00F30FC8"/>
    <w:rsid w:val="00F3237E"/>
    <w:rsid w:val="00F32A61"/>
    <w:rsid w:val="00F32C6D"/>
    <w:rsid w:val="00F335F2"/>
    <w:rsid w:val="00F33A96"/>
    <w:rsid w:val="00F343FE"/>
    <w:rsid w:val="00F346CB"/>
    <w:rsid w:val="00F34B99"/>
    <w:rsid w:val="00F34FC4"/>
    <w:rsid w:val="00F35C46"/>
    <w:rsid w:val="00F35DD0"/>
    <w:rsid w:val="00F37245"/>
    <w:rsid w:val="00F379E5"/>
    <w:rsid w:val="00F37A7E"/>
    <w:rsid w:val="00F37B99"/>
    <w:rsid w:val="00F37ED0"/>
    <w:rsid w:val="00F40FF2"/>
    <w:rsid w:val="00F41797"/>
    <w:rsid w:val="00F41843"/>
    <w:rsid w:val="00F4184A"/>
    <w:rsid w:val="00F41A05"/>
    <w:rsid w:val="00F424B4"/>
    <w:rsid w:val="00F427C5"/>
    <w:rsid w:val="00F428CF"/>
    <w:rsid w:val="00F42F0C"/>
    <w:rsid w:val="00F43500"/>
    <w:rsid w:val="00F43C53"/>
    <w:rsid w:val="00F43E4D"/>
    <w:rsid w:val="00F44E0D"/>
    <w:rsid w:val="00F4545C"/>
    <w:rsid w:val="00F45CD2"/>
    <w:rsid w:val="00F473D6"/>
    <w:rsid w:val="00F47492"/>
    <w:rsid w:val="00F47B70"/>
    <w:rsid w:val="00F47BAA"/>
    <w:rsid w:val="00F47DF2"/>
    <w:rsid w:val="00F50953"/>
    <w:rsid w:val="00F51847"/>
    <w:rsid w:val="00F51E1E"/>
    <w:rsid w:val="00F523D2"/>
    <w:rsid w:val="00F52A84"/>
    <w:rsid w:val="00F52C60"/>
    <w:rsid w:val="00F52CF9"/>
    <w:rsid w:val="00F52DAB"/>
    <w:rsid w:val="00F53481"/>
    <w:rsid w:val="00F543F0"/>
    <w:rsid w:val="00F546C5"/>
    <w:rsid w:val="00F552D5"/>
    <w:rsid w:val="00F5552F"/>
    <w:rsid w:val="00F56387"/>
    <w:rsid w:val="00F56E3E"/>
    <w:rsid w:val="00F57032"/>
    <w:rsid w:val="00F57144"/>
    <w:rsid w:val="00F5722B"/>
    <w:rsid w:val="00F57302"/>
    <w:rsid w:val="00F578E9"/>
    <w:rsid w:val="00F57CBE"/>
    <w:rsid w:val="00F6089D"/>
    <w:rsid w:val="00F60B3E"/>
    <w:rsid w:val="00F61D09"/>
    <w:rsid w:val="00F62055"/>
    <w:rsid w:val="00F6284D"/>
    <w:rsid w:val="00F63A1A"/>
    <w:rsid w:val="00F63DFF"/>
    <w:rsid w:val="00F63FF5"/>
    <w:rsid w:val="00F6410A"/>
    <w:rsid w:val="00F64120"/>
    <w:rsid w:val="00F6444B"/>
    <w:rsid w:val="00F64936"/>
    <w:rsid w:val="00F65E9A"/>
    <w:rsid w:val="00F6668F"/>
    <w:rsid w:val="00F66FA3"/>
    <w:rsid w:val="00F66FDB"/>
    <w:rsid w:val="00F673E6"/>
    <w:rsid w:val="00F6741D"/>
    <w:rsid w:val="00F70868"/>
    <w:rsid w:val="00F70E2F"/>
    <w:rsid w:val="00F71148"/>
    <w:rsid w:val="00F71603"/>
    <w:rsid w:val="00F719D1"/>
    <w:rsid w:val="00F71CD4"/>
    <w:rsid w:val="00F72806"/>
    <w:rsid w:val="00F73279"/>
    <w:rsid w:val="00F7333E"/>
    <w:rsid w:val="00F735C4"/>
    <w:rsid w:val="00F73EB8"/>
    <w:rsid w:val="00F7422A"/>
    <w:rsid w:val="00F759BB"/>
    <w:rsid w:val="00F75D51"/>
    <w:rsid w:val="00F7608D"/>
    <w:rsid w:val="00F76F6E"/>
    <w:rsid w:val="00F76F6F"/>
    <w:rsid w:val="00F77033"/>
    <w:rsid w:val="00F77827"/>
    <w:rsid w:val="00F778F1"/>
    <w:rsid w:val="00F805CF"/>
    <w:rsid w:val="00F809B6"/>
    <w:rsid w:val="00F80A31"/>
    <w:rsid w:val="00F80CC5"/>
    <w:rsid w:val="00F81229"/>
    <w:rsid w:val="00F81652"/>
    <w:rsid w:val="00F81775"/>
    <w:rsid w:val="00F81D29"/>
    <w:rsid w:val="00F8384C"/>
    <w:rsid w:val="00F85C4E"/>
    <w:rsid w:val="00F85C61"/>
    <w:rsid w:val="00F87B4F"/>
    <w:rsid w:val="00F87F86"/>
    <w:rsid w:val="00F9013C"/>
    <w:rsid w:val="00F9038E"/>
    <w:rsid w:val="00F912C3"/>
    <w:rsid w:val="00F91522"/>
    <w:rsid w:val="00F91C4D"/>
    <w:rsid w:val="00F92E62"/>
    <w:rsid w:val="00F92F73"/>
    <w:rsid w:val="00F92FD9"/>
    <w:rsid w:val="00F936BE"/>
    <w:rsid w:val="00F93DB1"/>
    <w:rsid w:val="00F93FAF"/>
    <w:rsid w:val="00F9483B"/>
    <w:rsid w:val="00F94C0D"/>
    <w:rsid w:val="00F94DB8"/>
    <w:rsid w:val="00F94F8E"/>
    <w:rsid w:val="00F94FBE"/>
    <w:rsid w:val="00F956FC"/>
    <w:rsid w:val="00F96911"/>
    <w:rsid w:val="00F96ED5"/>
    <w:rsid w:val="00F972C3"/>
    <w:rsid w:val="00F97489"/>
    <w:rsid w:val="00F97825"/>
    <w:rsid w:val="00F97CEA"/>
    <w:rsid w:val="00F97F88"/>
    <w:rsid w:val="00FA0244"/>
    <w:rsid w:val="00FA097A"/>
    <w:rsid w:val="00FA0D7B"/>
    <w:rsid w:val="00FA1CA4"/>
    <w:rsid w:val="00FA306D"/>
    <w:rsid w:val="00FA3B93"/>
    <w:rsid w:val="00FA4965"/>
    <w:rsid w:val="00FA4A5F"/>
    <w:rsid w:val="00FA5636"/>
    <w:rsid w:val="00FA5A01"/>
    <w:rsid w:val="00FA6684"/>
    <w:rsid w:val="00FA731E"/>
    <w:rsid w:val="00FA7B18"/>
    <w:rsid w:val="00FB033C"/>
    <w:rsid w:val="00FB1105"/>
    <w:rsid w:val="00FB2B38"/>
    <w:rsid w:val="00FB2C7B"/>
    <w:rsid w:val="00FB32A0"/>
    <w:rsid w:val="00FB3C89"/>
    <w:rsid w:val="00FB3CB9"/>
    <w:rsid w:val="00FB3E5E"/>
    <w:rsid w:val="00FB5656"/>
    <w:rsid w:val="00FB6448"/>
    <w:rsid w:val="00FB6C37"/>
    <w:rsid w:val="00FB6C67"/>
    <w:rsid w:val="00FC02A3"/>
    <w:rsid w:val="00FC0460"/>
    <w:rsid w:val="00FC0614"/>
    <w:rsid w:val="00FC12CF"/>
    <w:rsid w:val="00FC1A05"/>
    <w:rsid w:val="00FC1C04"/>
    <w:rsid w:val="00FC2052"/>
    <w:rsid w:val="00FC2310"/>
    <w:rsid w:val="00FC2941"/>
    <w:rsid w:val="00FC2B7F"/>
    <w:rsid w:val="00FC5F08"/>
    <w:rsid w:val="00FC6358"/>
    <w:rsid w:val="00FC63C4"/>
    <w:rsid w:val="00FC66E4"/>
    <w:rsid w:val="00FC6BDD"/>
    <w:rsid w:val="00FC72A2"/>
    <w:rsid w:val="00FC74AA"/>
    <w:rsid w:val="00FC7DB5"/>
    <w:rsid w:val="00FD0109"/>
    <w:rsid w:val="00FD0828"/>
    <w:rsid w:val="00FD0BB5"/>
    <w:rsid w:val="00FD106E"/>
    <w:rsid w:val="00FD22FC"/>
    <w:rsid w:val="00FD29A9"/>
    <w:rsid w:val="00FD2C44"/>
    <w:rsid w:val="00FD320D"/>
    <w:rsid w:val="00FD4240"/>
    <w:rsid w:val="00FD4E52"/>
    <w:rsid w:val="00FD61F6"/>
    <w:rsid w:val="00FD79D2"/>
    <w:rsid w:val="00FD7DB4"/>
    <w:rsid w:val="00FE03BA"/>
    <w:rsid w:val="00FE055B"/>
    <w:rsid w:val="00FE05A7"/>
    <w:rsid w:val="00FE0C43"/>
    <w:rsid w:val="00FE0C97"/>
    <w:rsid w:val="00FE16CD"/>
    <w:rsid w:val="00FE1B25"/>
    <w:rsid w:val="00FE1E14"/>
    <w:rsid w:val="00FE1FC0"/>
    <w:rsid w:val="00FE23DE"/>
    <w:rsid w:val="00FE33DD"/>
    <w:rsid w:val="00FE3EDF"/>
    <w:rsid w:val="00FE5720"/>
    <w:rsid w:val="00FE5C21"/>
    <w:rsid w:val="00FE6006"/>
    <w:rsid w:val="00FE637A"/>
    <w:rsid w:val="00FE670F"/>
    <w:rsid w:val="00FE6A77"/>
    <w:rsid w:val="00FE6C75"/>
    <w:rsid w:val="00FE73DB"/>
    <w:rsid w:val="00FE7870"/>
    <w:rsid w:val="00FE7971"/>
    <w:rsid w:val="00FE7B25"/>
    <w:rsid w:val="00FF00DE"/>
    <w:rsid w:val="00FF037A"/>
    <w:rsid w:val="00FF0E55"/>
    <w:rsid w:val="00FF17F4"/>
    <w:rsid w:val="00FF1D8D"/>
    <w:rsid w:val="00FF22A9"/>
    <w:rsid w:val="00FF33B0"/>
    <w:rsid w:val="00FF3462"/>
    <w:rsid w:val="00FF3611"/>
    <w:rsid w:val="00FF3EF7"/>
    <w:rsid w:val="00FF4A36"/>
    <w:rsid w:val="00FF5118"/>
    <w:rsid w:val="00FF6937"/>
    <w:rsid w:val="00FF73FB"/>
    <w:rsid w:val="0797798E"/>
    <w:rsid w:val="1FF8397B"/>
    <w:rsid w:val="2E546140"/>
    <w:rsid w:val="612B0DB0"/>
    <w:rsid w:val="66CB58F6"/>
    <w:rsid w:val="6FF17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5"/>
    <w:qFormat/>
    <w:uiPriority w:val="0"/>
    <w:pPr>
      <w:keepNext/>
      <w:keepLines/>
      <w:spacing w:before="340" w:after="330" w:line="578" w:lineRule="auto"/>
      <w:outlineLvl w:val="0"/>
    </w:pPr>
    <w:rPr>
      <w:b/>
      <w:bCs/>
      <w:kern w:val="44"/>
      <w:sz w:val="44"/>
      <w:szCs w:val="44"/>
      <w:lang w:val="zh-CN" w:eastAsia="zh-CN"/>
    </w:rPr>
  </w:style>
  <w:style w:type="paragraph" w:styleId="3">
    <w:name w:val="heading 2"/>
    <w:basedOn w:val="1"/>
    <w:next w:val="1"/>
    <w:link w:val="76"/>
    <w:qFormat/>
    <w:uiPriority w:val="0"/>
    <w:pPr>
      <w:keepNext/>
      <w:keepLines/>
      <w:spacing w:before="260" w:after="260" w:line="416" w:lineRule="auto"/>
      <w:outlineLvl w:val="1"/>
    </w:pPr>
    <w:rPr>
      <w:rFonts w:ascii="Arial" w:hAnsi="Arial" w:eastAsia="黑体"/>
      <w:b/>
      <w:bCs/>
      <w:sz w:val="32"/>
      <w:szCs w:val="32"/>
      <w:lang w:val="zh-CN" w:eastAsia="zh-CN"/>
    </w:rPr>
  </w:style>
  <w:style w:type="paragraph" w:styleId="4">
    <w:name w:val="heading 3"/>
    <w:basedOn w:val="1"/>
    <w:next w:val="1"/>
    <w:link w:val="77"/>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78"/>
    <w:qFormat/>
    <w:uiPriority w:val="0"/>
    <w:pPr>
      <w:keepNext/>
      <w:keepLines/>
      <w:spacing w:before="280" w:after="290" w:line="376" w:lineRule="auto"/>
      <w:outlineLvl w:val="3"/>
    </w:pPr>
    <w:rPr>
      <w:rFonts w:ascii="Arial" w:hAnsi="Arial" w:eastAsia="黑体"/>
      <w:b/>
      <w:bCs/>
      <w:sz w:val="28"/>
      <w:szCs w:val="28"/>
      <w:lang w:val="zh-CN" w:eastAsia="zh-CN"/>
    </w:rPr>
  </w:style>
  <w:style w:type="paragraph" w:styleId="6">
    <w:name w:val="heading 5"/>
    <w:basedOn w:val="1"/>
    <w:next w:val="1"/>
    <w:link w:val="79"/>
    <w:qFormat/>
    <w:uiPriority w:val="0"/>
    <w:pPr>
      <w:keepNext/>
      <w:keepLines/>
      <w:spacing w:before="280" w:after="290" w:line="376" w:lineRule="auto"/>
      <w:outlineLvl w:val="4"/>
    </w:pPr>
    <w:rPr>
      <w:b/>
      <w:bCs/>
      <w:sz w:val="28"/>
      <w:szCs w:val="28"/>
      <w:lang w:val="zh-CN" w:eastAsia="zh-CN"/>
    </w:rPr>
  </w:style>
  <w:style w:type="paragraph" w:styleId="7">
    <w:name w:val="heading 6"/>
    <w:basedOn w:val="1"/>
    <w:next w:val="1"/>
    <w:link w:val="80"/>
    <w:qFormat/>
    <w:uiPriority w:val="0"/>
    <w:pPr>
      <w:keepNext/>
      <w:keepLines/>
      <w:spacing w:before="240" w:after="64" w:line="320" w:lineRule="auto"/>
      <w:outlineLvl w:val="5"/>
    </w:pPr>
    <w:rPr>
      <w:rFonts w:ascii="Arial" w:hAnsi="Arial" w:eastAsia="黑体"/>
      <w:b/>
      <w:bCs/>
      <w:sz w:val="24"/>
      <w:lang w:val="zh-CN" w:eastAsia="zh-CN"/>
    </w:rPr>
  </w:style>
  <w:style w:type="paragraph" w:styleId="8">
    <w:name w:val="heading 7"/>
    <w:basedOn w:val="1"/>
    <w:next w:val="1"/>
    <w:link w:val="81"/>
    <w:qFormat/>
    <w:uiPriority w:val="0"/>
    <w:pPr>
      <w:keepNext/>
      <w:keepLines/>
      <w:spacing w:before="240" w:after="64" w:line="320" w:lineRule="auto"/>
      <w:outlineLvl w:val="6"/>
    </w:pPr>
    <w:rPr>
      <w:b/>
      <w:bCs/>
      <w:sz w:val="24"/>
      <w:lang w:val="zh-CN" w:eastAsia="zh-CN"/>
    </w:rPr>
  </w:style>
  <w:style w:type="paragraph" w:styleId="9">
    <w:name w:val="heading 8"/>
    <w:basedOn w:val="1"/>
    <w:next w:val="1"/>
    <w:link w:val="82"/>
    <w:qFormat/>
    <w:uiPriority w:val="0"/>
    <w:pPr>
      <w:keepNext/>
      <w:keepLines/>
      <w:spacing w:before="240" w:after="64" w:line="320" w:lineRule="auto"/>
      <w:outlineLvl w:val="7"/>
    </w:pPr>
    <w:rPr>
      <w:rFonts w:ascii="Arial" w:hAnsi="Arial" w:eastAsia="黑体"/>
      <w:sz w:val="24"/>
      <w:lang w:val="zh-CN" w:eastAsia="zh-CN"/>
    </w:rPr>
  </w:style>
  <w:style w:type="paragraph" w:styleId="10">
    <w:name w:val="heading 9"/>
    <w:basedOn w:val="1"/>
    <w:next w:val="1"/>
    <w:link w:val="83"/>
    <w:qFormat/>
    <w:uiPriority w:val="0"/>
    <w:pPr>
      <w:keepNext/>
      <w:keepLines/>
      <w:spacing w:before="240" w:after="64" w:line="320" w:lineRule="auto"/>
      <w:outlineLvl w:val="8"/>
    </w:pPr>
    <w:rPr>
      <w:rFonts w:ascii="Arial" w:hAnsi="Arial" w:eastAsia="黑体"/>
      <w:szCs w:val="21"/>
      <w:lang w:val="zh-CN" w:eastAsia="zh-CN"/>
    </w:rPr>
  </w:style>
  <w:style w:type="character" w:default="1" w:styleId="59">
    <w:name w:val="Default Paragraph Font"/>
    <w:semiHidden/>
    <w:unhideWhenUsed/>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tabs>
        <w:tab w:val="right" w:leader="dot" w:pos="9241"/>
      </w:tabs>
      <w:ind w:firstLine="505" w:firstLineChars="500"/>
      <w:jc w:val="left"/>
    </w:pPr>
    <w:rPr>
      <w:rFonts w:ascii="宋体"/>
      <w:szCs w:val="21"/>
    </w:rPr>
  </w:style>
  <w:style w:type="paragraph" w:styleId="12">
    <w:name w:val="index 8"/>
    <w:basedOn w:val="1"/>
    <w:next w:val="1"/>
    <w:autoRedefine/>
    <w:qFormat/>
    <w:uiPriority w:val="0"/>
    <w:pPr>
      <w:ind w:left="1680" w:hanging="210"/>
      <w:jc w:val="left"/>
    </w:pPr>
    <w:rPr>
      <w:rFonts w:ascii="Calibri" w:hAnsi="Calibri"/>
      <w:sz w:val="20"/>
      <w:szCs w:val="20"/>
    </w:rPr>
  </w:style>
  <w:style w:type="paragraph" w:styleId="13">
    <w:name w:val="Normal Indent"/>
    <w:basedOn w:val="1"/>
    <w:qFormat/>
    <w:uiPriority w:val="99"/>
    <w:pPr>
      <w:ind w:firstLine="420"/>
    </w:p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index 5"/>
    <w:basedOn w:val="1"/>
    <w:next w:val="1"/>
    <w:autoRedefine/>
    <w:qFormat/>
    <w:uiPriority w:val="0"/>
    <w:pPr>
      <w:ind w:left="1050" w:hanging="210"/>
      <w:jc w:val="left"/>
    </w:pPr>
    <w:rPr>
      <w:rFonts w:ascii="Calibri" w:hAnsi="Calibri"/>
      <w:sz w:val="20"/>
      <w:szCs w:val="20"/>
    </w:rPr>
  </w:style>
  <w:style w:type="paragraph" w:styleId="16">
    <w:name w:val="Document Map"/>
    <w:basedOn w:val="1"/>
    <w:link w:val="172"/>
    <w:semiHidden/>
    <w:qFormat/>
    <w:uiPriority w:val="0"/>
    <w:pPr>
      <w:shd w:val="clear" w:color="auto" w:fill="000080"/>
    </w:pPr>
    <w:rPr>
      <w:lang w:val="zh-CN" w:eastAsia="zh-CN"/>
    </w:rPr>
  </w:style>
  <w:style w:type="paragraph" w:styleId="17">
    <w:name w:val="annotation text"/>
    <w:basedOn w:val="1"/>
    <w:link w:val="249"/>
    <w:qFormat/>
    <w:uiPriority w:val="0"/>
    <w:pPr>
      <w:jc w:val="left"/>
    </w:pPr>
    <w:rPr>
      <w:lang w:val="zh-CN" w:eastAsia="zh-CN"/>
    </w:rPr>
  </w:style>
  <w:style w:type="paragraph" w:styleId="18">
    <w:name w:val="index 6"/>
    <w:basedOn w:val="1"/>
    <w:next w:val="1"/>
    <w:autoRedefine/>
    <w:qFormat/>
    <w:uiPriority w:val="0"/>
    <w:pPr>
      <w:ind w:left="1260" w:hanging="210"/>
      <w:jc w:val="left"/>
    </w:pPr>
    <w:rPr>
      <w:rFonts w:ascii="Calibri" w:hAnsi="Calibri"/>
      <w:sz w:val="20"/>
      <w:szCs w:val="20"/>
    </w:rPr>
  </w:style>
  <w:style w:type="paragraph" w:styleId="19">
    <w:name w:val="Body Text 3"/>
    <w:basedOn w:val="1"/>
    <w:link w:val="241"/>
    <w:qFormat/>
    <w:uiPriority w:val="0"/>
    <w:pPr>
      <w:spacing w:after="120"/>
    </w:pPr>
    <w:rPr>
      <w:sz w:val="16"/>
      <w:szCs w:val="16"/>
      <w:lang w:val="zh-CN" w:eastAsia="zh-CN"/>
    </w:rPr>
  </w:style>
  <w:style w:type="paragraph" w:styleId="20">
    <w:name w:val="Body Text"/>
    <w:basedOn w:val="1"/>
    <w:link w:val="217"/>
    <w:qFormat/>
    <w:uiPriority w:val="0"/>
    <w:pPr>
      <w:spacing w:after="120"/>
    </w:pPr>
    <w:rPr>
      <w:lang w:val="zh-CN" w:eastAsia="zh-CN"/>
    </w:rPr>
  </w:style>
  <w:style w:type="paragraph" w:styleId="21">
    <w:name w:val="Body Text Indent"/>
    <w:basedOn w:val="1"/>
    <w:link w:val="187"/>
    <w:unhideWhenUsed/>
    <w:qFormat/>
    <w:uiPriority w:val="0"/>
    <w:pPr>
      <w:ind w:firstLine="435"/>
    </w:pPr>
    <w:rPr>
      <w:lang w:val="zh-CN" w:eastAsia="zh-CN"/>
    </w:rPr>
  </w:style>
  <w:style w:type="paragraph" w:styleId="22">
    <w:name w:val="HTML Address"/>
    <w:basedOn w:val="1"/>
    <w:link w:val="188"/>
    <w:qFormat/>
    <w:uiPriority w:val="0"/>
    <w:rPr>
      <w:i/>
      <w:iCs/>
      <w:lang w:val="zh-CN" w:eastAsia="zh-CN"/>
    </w:rPr>
  </w:style>
  <w:style w:type="paragraph" w:styleId="23">
    <w:name w:val="index 4"/>
    <w:basedOn w:val="1"/>
    <w:next w:val="1"/>
    <w:autoRedefine/>
    <w:qFormat/>
    <w:uiPriority w:val="0"/>
    <w:pPr>
      <w:ind w:left="840" w:hanging="210"/>
      <w:jc w:val="left"/>
    </w:pPr>
    <w:rPr>
      <w:rFonts w:ascii="Calibri" w:hAnsi="Calibri"/>
      <w:sz w:val="20"/>
      <w:szCs w:val="20"/>
    </w:rPr>
  </w:style>
  <w:style w:type="paragraph" w:styleId="24">
    <w:name w:val="toc 5"/>
    <w:basedOn w:val="1"/>
    <w:next w:val="1"/>
    <w:autoRedefine/>
    <w:qFormat/>
    <w:uiPriority w:val="39"/>
    <w:pPr>
      <w:tabs>
        <w:tab w:val="right" w:leader="dot" w:pos="9241"/>
      </w:tabs>
      <w:ind w:firstLine="300" w:firstLineChars="300"/>
      <w:jc w:val="left"/>
    </w:pPr>
    <w:rPr>
      <w:rFonts w:ascii="宋体"/>
      <w:szCs w:val="21"/>
    </w:rPr>
  </w:style>
  <w:style w:type="paragraph" w:styleId="25">
    <w:name w:val="toc 3"/>
    <w:basedOn w:val="1"/>
    <w:next w:val="1"/>
    <w:autoRedefine/>
    <w:qFormat/>
    <w:uiPriority w:val="39"/>
    <w:pPr>
      <w:tabs>
        <w:tab w:val="right" w:leader="dot" w:pos="9241"/>
      </w:tabs>
      <w:ind w:firstLine="102" w:firstLineChars="100"/>
      <w:jc w:val="left"/>
    </w:pPr>
    <w:rPr>
      <w:rFonts w:ascii="宋体"/>
      <w:szCs w:val="21"/>
    </w:rPr>
  </w:style>
  <w:style w:type="paragraph" w:styleId="26">
    <w:name w:val="Plain Text"/>
    <w:basedOn w:val="1"/>
    <w:link w:val="227"/>
    <w:qFormat/>
    <w:uiPriority w:val="0"/>
    <w:rPr>
      <w:rFonts w:ascii="宋体" w:hAnsi="Courier New"/>
      <w:szCs w:val="20"/>
      <w:lang w:val="zh-CN" w:eastAsia="zh-CN"/>
    </w:rPr>
  </w:style>
  <w:style w:type="paragraph" w:styleId="27">
    <w:name w:val="toc 8"/>
    <w:basedOn w:val="1"/>
    <w:next w:val="1"/>
    <w:autoRedefine/>
    <w:qFormat/>
    <w:uiPriority w:val="39"/>
    <w:pPr>
      <w:tabs>
        <w:tab w:val="right" w:leader="dot" w:pos="9241"/>
      </w:tabs>
      <w:ind w:firstLine="607" w:firstLineChars="600"/>
      <w:jc w:val="left"/>
    </w:pPr>
    <w:rPr>
      <w:rFonts w:ascii="宋体"/>
      <w:szCs w:val="21"/>
    </w:rPr>
  </w:style>
  <w:style w:type="paragraph" w:styleId="28">
    <w:name w:val="index 3"/>
    <w:basedOn w:val="1"/>
    <w:next w:val="1"/>
    <w:autoRedefine/>
    <w:qFormat/>
    <w:uiPriority w:val="0"/>
    <w:pPr>
      <w:ind w:left="630" w:hanging="210"/>
      <w:jc w:val="left"/>
    </w:pPr>
    <w:rPr>
      <w:rFonts w:ascii="Calibri" w:hAnsi="Calibri"/>
      <w:sz w:val="20"/>
      <w:szCs w:val="20"/>
    </w:rPr>
  </w:style>
  <w:style w:type="paragraph" w:styleId="29">
    <w:name w:val="Date"/>
    <w:basedOn w:val="1"/>
    <w:next w:val="1"/>
    <w:link w:val="248"/>
    <w:qFormat/>
    <w:uiPriority w:val="0"/>
    <w:pPr>
      <w:ind w:left="100" w:leftChars="2500"/>
    </w:pPr>
    <w:rPr>
      <w:lang w:val="zh-CN" w:eastAsia="zh-CN"/>
    </w:rPr>
  </w:style>
  <w:style w:type="paragraph" w:styleId="30">
    <w:name w:val="Body Text Indent 2"/>
    <w:basedOn w:val="1"/>
    <w:link w:val="225"/>
    <w:qFormat/>
    <w:uiPriority w:val="0"/>
    <w:pPr>
      <w:spacing w:line="360" w:lineRule="auto"/>
      <w:ind w:firstLine="480"/>
    </w:pPr>
    <w:rPr>
      <w:szCs w:val="20"/>
      <w:lang w:val="zh-CN" w:eastAsia="zh-CN"/>
    </w:rPr>
  </w:style>
  <w:style w:type="paragraph" w:styleId="31">
    <w:name w:val="endnote text"/>
    <w:basedOn w:val="1"/>
    <w:link w:val="171"/>
    <w:semiHidden/>
    <w:qFormat/>
    <w:uiPriority w:val="0"/>
    <w:pPr>
      <w:snapToGrid w:val="0"/>
      <w:jc w:val="left"/>
    </w:pPr>
    <w:rPr>
      <w:lang w:val="zh-CN" w:eastAsia="zh-CN"/>
    </w:rPr>
  </w:style>
  <w:style w:type="paragraph" w:styleId="32">
    <w:name w:val="Balloon Text"/>
    <w:basedOn w:val="1"/>
    <w:link w:val="237"/>
    <w:qFormat/>
    <w:uiPriority w:val="0"/>
    <w:rPr>
      <w:sz w:val="18"/>
      <w:szCs w:val="18"/>
      <w:lang w:val="zh-CN" w:eastAsia="zh-CN"/>
    </w:rPr>
  </w:style>
  <w:style w:type="paragraph" w:styleId="33">
    <w:name w:val="footer"/>
    <w:basedOn w:val="1"/>
    <w:link w:val="102"/>
    <w:qFormat/>
    <w:uiPriority w:val="0"/>
    <w:pPr>
      <w:snapToGrid w:val="0"/>
      <w:ind w:right="210" w:rightChars="100"/>
      <w:jc w:val="right"/>
    </w:pPr>
    <w:rPr>
      <w:sz w:val="18"/>
      <w:szCs w:val="18"/>
      <w:lang w:val="zh-CN" w:eastAsia="zh-CN"/>
    </w:rPr>
  </w:style>
  <w:style w:type="paragraph" w:styleId="34">
    <w:name w:val="header"/>
    <w:basedOn w:val="1"/>
    <w:link w:val="103"/>
    <w:qFormat/>
    <w:uiPriority w:val="0"/>
    <w:pPr>
      <w:snapToGrid w:val="0"/>
      <w:jc w:val="left"/>
    </w:pPr>
    <w:rPr>
      <w:sz w:val="18"/>
      <w:szCs w:val="18"/>
      <w:lang w:val="zh-CN" w:eastAsia="zh-CN"/>
    </w:rPr>
  </w:style>
  <w:style w:type="paragraph" w:styleId="35">
    <w:name w:val="toc 1"/>
    <w:basedOn w:val="1"/>
    <w:next w:val="1"/>
    <w:qFormat/>
    <w:uiPriority w:val="39"/>
    <w:pPr>
      <w:tabs>
        <w:tab w:val="right" w:leader="dot" w:pos="9241"/>
      </w:tabs>
      <w:spacing w:line="400" w:lineRule="exact"/>
      <w:jc w:val="left"/>
    </w:pPr>
    <w:rPr>
      <w:rFonts w:ascii="宋体"/>
      <w:szCs w:val="21"/>
    </w:rPr>
  </w:style>
  <w:style w:type="paragraph" w:styleId="36">
    <w:name w:val="toc 4"/>
    <w:basedOn w:val="1"/>
    <w:next w:val="1"/>
    <w:autoRedefine/>
    <w:qFormat/>
    <w:uiPriority w:val="39"/>
    <w:pPr>
      <w:tabs>
        <w:tab w:val="right" w:leader="dot" w:pos="9241"/>
      </w:tabs>
      <w:ind w:firstLine="198" w:firstLineChars="200"/>
      <w:jc w:val="left"/>
    </w:pPr>
    <w:rPr>
      <w:rFonts w:ascii="宋体"/>
      <w:szCs w:val="21"/>
    </w:rPr>
  </w:style>
  <w:style w:type="paragraph" w:styleId="37">
    <w:name w:val="index heading"/>
    <w:basedOn w:val="1"/>
    <w:next w:val="38"/>
    <w:qFormat/>
    <w:uiPriority w:val="0"/>
    <w:pPr>
      <w:spacing w:before="120" w:after="120"/>
      <w:jc w:val="center"/>
    </w:pPr>
    <w:rPr>
      <w:rFonts w:ascii="Calibri" w:hAnsi="Calibri"/>
      <w:b/>
      <w:bCs/>
      <w:iCs/>
      <w:szCs w:val="20"/>
    </w:rPr>
  </w:style>
  <w:style w:type="paragraph" w:styleId="38">
    <w:name w:val="index 1"/>
    <w:basedOn w:val="1"/>
    <w:next w:val="39"/>
    <w:qFormat/>
    <w:uiPriority w:val="0"/>
    <w:pPr>
      <w:tabs>
        <w:tab w:val="right" w:leader="dot" w:pos="9299"/>
      </w:tabs>
      <w:jc w:val="left"/>
    </w:pPr>
    <w:rPr>
      <w:rFonts w:ascii="宋体"/>
      <w:szCs w:val="21"/>
    </w:rPr>
  </w:style>
  <w:style w:type="paragraph" w:customStyle="1" w:styleId="39">
    <w:name w:val="段"/>
    <w:link w:val="8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40">
    <w:name w:val="List"/>
    <w:basedOn w:val="1"/>
    <w:qFormat/>
    <w:uiPriority w:val="0"/>
    <w:pPr>
      <w:ind w:left="400" w:leftChars="200" w:hanging="200" w:hangingChars="200"/>
    </w:pPr>
  </w:style>
  <w:style w:type="paragraph" w:styleId="41">
    <w:name w:val="footnote text"/>
    <w:basedOn w:val="1"/>
    <w:link w:val="153"/>
    <w:qFormat/>
    <w:uiPriority w:val="0"/>
    <w:pPr>
      <w:numPr>
        <w:ilvl w:val="0"/>
        <w:numId w:val="1"/>
      </w:numPr>
      <w:snapToGrid w:val="0"/>
      <w:jc w:val="left"/>
    </w:pPr>
    <w:rPr>
      <w:rFonts w:ascii="宋体"/>
      <w:sz w:val="18"/>
      <w:szCs w:val="18"/>
      <w:lang w:val="zh-CN" w:eastAsia="zh-CN"/>
    </w:rPr>
  </w:style>
  <w:style w:type="paragraph" w:styleId="42">
    <w:name w:val="toc 6"/>
    <w:basedOn w:val="1"/>
    <w:next w:val="1"/>
    <w:autoRedefine/>
    <w:qFormat/>
    <w:uiPriority w:val="39"/>
    <w:pPr>
      <w:tabs>
        <w:tab w:val="right" w:leader="dot" w:pos="9241"/>
      </w:tabs>
      <w:ind w:firstLine="403" w:firstLineChars="400"/>
      <w:jc w:val="left"/>
    </w:pPr>
    <w:rPr>
      <w:rFonts w:ascii="宋体"/>
      <w:szCs w:val="21"/>
    </w:rPr>
  </w:style>
  <w:style w:type="paragraph" w:styleId="43">
    <w:name w:val="Body Text Indent 3"/>
    <w:basedOn w:val="1"/>
    <w:link w:val="226"/>
    <w:qFormat/>
    <w:uiPriority w:val="0"/>
    <w:pPr>
      <w:spacing w:line="360" w:lineRule="auto"/>
      <w:ind w:firstLine="420" w:firstLineChars="200"/>
    </w:pPr>
    <w:rPr>
      <w:rFonts w:ascii="宋体" w:hAnsi="宋体"/>
      <w:lang w:val="zh-CN" w:eastAsia="zh-CN"/>
    </w:rPr>
  </w:style>
  <w:style w:type="paragraph" w:styleId="44">
    <w:name w:val="index 7"/>
    <w:basedOn w:val="1"/>
    <w:next w:val="1"/>
    <w:autoRedefine/>
    <w:qFormat/>
    <w:uiPriority w:val="0"/>
    <w:pPr>
      <w:ind w:left="1470" w:hanging="210"/>
      <w:jc w:val="left"/>
    </w:pPr>
    <w:rPr>
      <w:rFonts w:ascii="Calibri" w:hAnsi="Calibri"/>
      <w:sz w:val="20"/>
      <w:szCs w:val="20"/>
    </w:rPr>
  </w:style>
  <w:style w:type="paragraph" w:styleId="45">
    <w:name w:val="index 9"/>
    <w:basedOn w:val="1"/>
    <w:next w:val="1"/>
    <w:autoRedefine/>
    <w:qFormat/>
    <w:uiPriority w:val="0"/>
    <w:pPr>
      <w:ind w:left="1890" w:hanging="210"/>
      <w:jc w:val="left"/>
    </w:pPr>
    <w:rPr>
      <w:rFonts w:ascii="Calibri" w:hAnsi="Calibri"/>
      <w:sz w:val="20"/>
      <w:szCs w:val="20"/>
    </w:rPr>
  </w:style>
  <w:style w:type="paragraph" w:styleId="46">
    <w:name w:val="toc 2"/>
    <w:basedOn w:val="1"/>
    <w:next w:val="1"/>
    <w:qFormat/>
    <w:uiPriority w:val="39"/>
    <w:pPr>
      <w:tabs>
        <w:tab w:val="right" w:leader="dot" w:pos="9241"/>
      </w:tabs>
      <w:snapToGrid w:val="0"/>
      <w:spacing w:line="300" w:lineRule="exact"/>
      <w:ind w:left="210"/>
    </w:pPr>
    <w:rPr>
      <w:rFonts w:ascii="宋体"/>
      <w:szCs w:val="21"/>
    </w:rPr>
  </w:style>
  <w:style w:type="paragraph" w:styleId="47">
    <w:name w:val="toc 9"/>
    <w:basedOn w:val="1"/>
    <w:next w:val="1"/>
    <w:autoRedefine/>
    <w:qFormat/>
    <w:uiPriority w:val="39"/>
    <w:pPr>
      <w:ind w:left="1470"/>
      <w:jc w:val="left"/>
    </w:pPr>
    <w:rPr>
      <w:sz w:val="20"/>
      <w:szCs w:val="20"/>
    </w:rPr>
  </w:style>
  <w:style w:type="paragraph" w:styleId="48">
    <w:name w:val="Body Text 2"/>
    <w:basedOn w:val="1"/>
    <w:link w:val="240"/>
    <w:qFormat/>
    <w:uiPriority w:val="0"/>
    <w:rPr>
      <w:sz w:val="18"/>
      <w:lang w:val="zh-CN" w:eastAsia="zh-CN"/>
    </w:rPr>
  </w:style>
  <w:style w:type="paragraph" w:styleId="49">
    <w:name w:val="List 4"/>
    <w:basedOn w:val="1"/>
    <w:qFormat/>
    <w:uiPriority w:val="0"/>
    <w:pPr>
      <w:ind w:left="1680" w:hanging="420"/>
    </w:pPr>
    <w:rPr>
      <w:szCs w:val="20"/>
    </w:rPr>
  </w:style>
  <w:style w:type="paragraph" w:styleId="50">
    <w:name w:val="HTML Preformatted"/>
    <w:basedOn w:val="1"/>
    <w:link w:val="189"/>
    <w:qFormat/>
    <w:uiPriority w:val="0"/>
    <w:rPr>
      <w:rFonts w:ascii="Courier New" w:hAnsi="Courier New"/>
      <w:sz w:val="20"/>
      <w:szCs w:val="20"/>
      <w:lang w:val="zh-CN" w:eastAsia="zh-CN"/>
    </w:rPr>
  </w:style>
  <w:style w:type="paragraph" w:styleId="51">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52">
    <w:name w:val="index 2"/>
    <w:basedOn w:val="1"/>
    <w:next w:val="1"/>
    <w:autoRedefine/>
    <w:qFormat/>
    <w:uiPriority w:val="0"/>
    <w:pPr>
      <w:ind w:left="420" w:hanging="210"/>
      <w:jc w:val="left"/>
    </w:pPr>
    <w:rPr>
      <w:rFonts w:ascii="Calibri" w:hAnsi="Calibri"/>
      <w:sz w:val="20"/>
      <w:szCs w:val="20"/>
    </w:rPr>
  </w:style>
  <w:style w:type="paragraph" w:styleId="53">
    <w:name w:val="Title"/>
    <w:basedOn w:val="1"/>
    <w:link w:val="190"/>
    <w:qFormat/>
    <w:uiPriority w:val="0"/>
    <w:pPr>
      <w:spacing w:before="240" w:after="60"/>
      <w:jc w:val="center"/>
      <w:outlineLvl w:val="0"/>
    </w:pPr>
    <w:rPr>
      <w:rFonts w:ascii="Arial" w:hAnsi="Arial"/>
      <w:b/>
      <w:bCs/>
      <w:sz w:val="32"/>
      <w:szCs w:val="32"/>
      <w:lang w:val="zh-CN" w:eastAsia="zh-CN"/>
    </w:rPr>
  </w:style>
  <w:style w:type="paragraph" w:styleId="54">
    <w:name w:val="annotation subject"/>
    <w:basedOn w:val="17"/>
    <w:next w:val="17"/>
    <w:link w:val="250"/>
    <w:qFormat/>
    <w:uiPriority w:val="0"/>
    <w:rPr>
      <w:b/>
      <w:bCs/>
    </w:rPr>
  </w:style>
  <w:style w:type="paragraph" w:styleId="55">
    <w:name w:val="Body Text First Indent"/>
    <w:basedOn w:val="20"/>
    <w:link w:val="224"/>
    <w:qFormat/>
    <w:uiPriority w:val="0"/>
    <w:pPr>
      <w:spacing w:after="0" w:line="360" w:lineRule="atLeast"/>
      <w:ind w:firstLine="200" w:firstLineChars="200"/>
    </w:pPr>
  </w:style>
  <w:style w:type="paragraph" w:styleId="56">
    <w:name w:val="Body Text First Indent 2"/>
    <w:basedOn w:val="21"/>
    <w:link w:val="239"/>
    <w:qFormat/>
    <w:uiPriority w:val="0"/>
    <w:pPr>
      <w:spacing w:after="120"/>
      <w:ind w:left="420" w:firstLine="210"/>
    </w:pPr>
    <w:rPr>
      <w:szCs w:val="20"/>
    </w:rPr>
  </w:style>
  <w:style w:type="table" w:styleId="58">
    <w:name w:val="Table Grid"/>
    <w:basedOn w:val="5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22"/>
    <w:rPr>
      <w:b/>
      <w:bCs/>
    </w:rPr>
  </w:style>
  <w:style w:type="character" w:styleId="61">
    <w:name w:val="endnote reference"/>
    <w:semiHidden/>
    <w:qFormat/>
    <w:uiPriority w:val="0"/>
    <w:rPr>
      <w:vertAlign w:val="superscript"/>
    </w:rPr>
  </w:style>
  <w:style w:type="character" w:styleId="62">
    <w:name w:val="page number"/>
    <w:qFormat/>
    <w:uiPriority w:val="0"/>
    <w:rPr>
      <w:rFonts w:ascii="Times New Roman" w:hAnsi="Times New Roman" w:eastAsia="宋体"/>
      <w:sz w:val="18"/>
    </w:rPr>
  </w:style>
  <w:style w:type="character" w:styleId="63">
    <w:name w:val="FollowedHyperlink"/>
    <w:qFormat/>
    <w:uiPriority w:val="0"/>
    <w:rPr>
      <w:color w:val="800080"/>
      <w:u w:val="single"/>
    </w:rPr>
  </w:style>
  <w:style w:type="character" w:styleId="64">
    <w:name w:val="HTML Definition"/>
    <w:qFormat/>
    <w:uiPriority w:val="0"/>
    <w:rPr>
      <w:i/>
      <w:iCs/>
    </w:rPr>
  </w:style>
  <w:style w:type="character" w:styleId="65">
    <w:name w:val="HTML Typewriter"/>
    <w:uiPriority w:val="0"/>
    <w:rPr>
      <w:rFonts w:ascii="Courier New" w:hAnsi="Courier New"/>
      <w:sz w:val="20"/>
      <w:szCs w:val="20"/>
    </w:rPr>
  </w:style>
  <w:style w:type="character" w:styleId="66">
    <w:name w:val="HTML Acronym"/>
    <w:basedOn w:val="59"/>
    <w:uiPriority w:val="0"/>
  </w:style>
  <w:style w:type="character" w:styleId="67">
    <w:name w:val="HTML Variable"/>
    <w:uiPriority w:val="0"/>
    <w:rPr>
      <w:i/>
      <w:iCs/>
    </w:rPr>
  </w:style>
  <w:style w:type="character" w:styleId="68">
    <w:name w:val="Hyperlink"/>
    <w:qFormat/>
    <w:uiPriority w:val="99"/>
    <w:rPr>
      <w:color w:val="0000FF"/>
      <w:spacing w:val="0"/>
      <w:w w:val="100"/>
      <w:szCs w:val="21"/>
      <w:u w:val="single"/>
    </w:rPr>
  </w:style>
  <w:style w:type="character" w:styleId="69">
    <w:name w:val="HTML Code"/>
    <w:uiPriority w:val="0"/>
    <w:rPr>
      <w:rFonts w:ascii="Courier New" w:hAnsi="Courier New"/>
      <w:sz w:val="20"/>
      <w:szCs w:val="20"/>
    </w:rPr>
  </w:style>
  <w:style w:type="character" w:styleId="70">
    <w:name w:val="annotation reference"/>
    <w:qFormat/>
    <w:uiPriority w:val="0"/>
    <w:rPr>
      <w:sz w:val="21"/>
      <w:szCs w:val="21"/>
    </w:rPr>
  </w:style>
  <w:style w:type="character" w:styleId="71">
    <w:name w:val="HTML Cite"/>
    <w:uiPriority w:val="0"/>
    <w:rPr>
      <w:i/>
      <w:iCs/>
    </w:rPr>
  </w:style>
  <w:style w:type="character" w:styleId="72">
    <w:name w:val="footnote reference"/>
    <w:qFormat/>
    <w:uiPriority w:val="99"/>
    <w:rPr>
      <w:vertAlign w:val="superscript"/>
    </w:rPr>
  </w:style>
  <w:style w:type="character" w:styleId="73">
    <w:name w:val="HTML Keyboard"/>
    <w:uiPriority w:val="0"/>
    <w:rPr>
      <w:rFonts w:ascii="Courier New" w:hAnsi="Courier New"/>
      <w:sz w:val="20"/>
      <w:szCs w:val="20"/>
    </w:rPr>
  </w:style>
  <w:style w:type="character" w:styleId="74">
    <w:name w:val="HTML Sample"/>
    <w:qFormat/>
    <w:uiPriority w:val="0"/>
    <w:rPr>
      <w:rFonts w:ascii="Courier New" w:hAnsi="Courier New"/>
    </w:rPr>
  </w:style>
  <w:style w:type="character" w:customStyle="1" w:styleId="75">
    <w:name w:val="标题 1 字符"/>
    <w:link w:val="2"/>
    <w:qFormat/>
    <w:uiPriority w:val="0"/>
    <w:rPr>
      <w:b/>
      <w:bCs/>
      <w:kern w:val="44"/>
      <w:sz w:val="44"/>
      <w:szCs w:val="44"/>
    </w:rPr>
  </w:style>
  <w:style w:type="character" w:customStyle="1" w:styleId="76">
    <w:name w:val="标题 2 字符"/>
    <w:link w:val="3"/>
    <w:qFormat/>
    <w:uiPriority w:val="0"/>
    <w:rPr>
      <w:rFonts w:ascii="Arial" w:hAnsi="Arial" w:eastAsia="黑体"/>
      <w:b/>
      <w:bCs/>
      <w:kern w:val="2"/>
      <w:sz w:val="32"/>
      <w:szCs w:val="32"/>
    </w:rPr>
  </w:style>
  <w:style w:type="character" w:customStyle="1" w:styleId="77">
    <w:name w:val="标题 3 字符"/>
    <w:link w:val="4"/>
    <w:qFormat/>
    <w:uiPriority w:val="0"/>
    <w:rPr>
      <w:b/>
      <w:bCs/>
      <w:kern w:val="2"/>
      <w:sz w:val="32"/>
      <w:szCs w:val="32"/>
    </w:rPr>
  </w:style>
  <w:style w:type="character" w:customStyle="1" w:styleId="78">
    <w:name w:val="标题 4 字符"/>
    <w:link w:val="5"/>
    <w:qFormat/>
    <w:uiPriority w:val="0"/>
    <w:rPr>
      <w:rFonts w:ascii="Arial" w:hAnsi="Arial" w:eastAsia="黑体"/>
      <w:b/>
      <w:bCs/>
      <w:kern w:val="2"/>
      <w:sz w:val="28"/>
      <w:szCs w:val="28"/>
    </w:rPr>
  </w:style>
  <w:style w:type="character" w:customStyle="1" w:styleId="79">
    <w:name w:val="标题 5 字符"/>
    <w:link w:val="6"/>
    <w:qFormat/>
    <w:uiPriority w:val="0"/>
    <w:rPr>
      <w:b/>
      <w:bCs/>
      <w:kern w:val="2"/>
      <w:sz w:val="28"/>
      <w:szCs w:val="28"/>
    </w:rPr>
  </w:style>
  <w:style w:type="character" w:customStyle="1" w:styleId="80">
    <w:name w:val="标题 6 字符"/>
    <w:link w:val="7"/>
    <w:qFormat/>
    <w:uiPriority w:val="0"/>
    <w:rPr>
      <w:rFonts w:ascii="Arial" w:hAnsi="Arial" w:eastAsia="黑体"/>
      <w:b/>
      <w:bCs/>
      <w:kern w:val="2"/>
      <w:sz w:val="24"/>
      <w:szCs w:val="24"/>
    </w:rPr>
  </w:style>
  <w:style w:type="character" w:customStyle="1" w:styleId="81">
    <w:name w:val="标题 7 字符"/>
    <w:link w:val="8"/>
    <w:qFormat/>
    <w:uiPriority w:val="0"/>
    <w:rPr>
      <w:b/>
      <w:bCs/>
      <w:kern w:val="2"/>
      <w:sz w:val="24"/>
      <w:szCs w:val="24"/>
    </w:rPr>
  </w:style>
  <w:style w:type="character" w:customStyle="1" w:styleId="82">
    <w:name w:val="标题 8 字符"/>
    <w:link w:val="9"/>
    <w:qFormat/>
    <w:uiPriority w:val="0"/>
    <w:rPr>
      <w:rFonts w:ascii="Arial" w:hAnsi="Arial" w:eastAsia="黑体"/>
      <w:kern w:val="2"/>
      <w:sz w:val="24"/>
      <w:szCs w:val="24"/>
    </w:rPr>
  </w:style>
  <w:style w:type="character" w:customStyle="1" w:styleId="83">
    <w:name w:val="标题 9 字符"/>
    <w:link w:val="10"/>
    <w:qFormat/>
    <w:uiPriority w:val="0"/>
    <w:rPr>
      <w:rFonts w:ascii="Arial" w:hAnsi="Arial" w:eastAsia="黑体"/>
      <w:kern w:val="2"/>
      <w:sz w:val="21"/>
      <w:szCs w:val="21"/>
    </w:rPr>
  </w:style>
  <w:style w:type="character" w:customStyle="1" w:styleId="84">
    <w:name w:val="段 Char"/>
    <w:link w:val="39"/>
    <w:qFormat/>
    <w:uiPriority w:val="0"/>
    <w:rPr>
      <w:rFonts w:ascii="宋体"/>
      <w:sz w:val="21"/>
      <w:lang w:val="en-US" w:eastAsia="zh-CN" w:bidi="ar-SA"/>
    </w:rPr>
  </w:style>
  <w:style w:type="paragraph" w:customStyle="1" w:styleId="85">
    <w:name w:val="一级条标题"/>
    <w:next w:val="39"/>
    <w:link w:val="86"/>
    <w:qFormat/>
    <w:uiPriority w:val="0"/>
    <w:pPr>
      <w:numPr>
        <w:ilvl w:val="3"/>
        <w:numId w:val="2"/>
      </w:num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86">
    <w:name w:val="一级条标题 Char"/>
    <w:link w:val="85"/>
    <w:qFormat/>
    <w:uiPriority w:val="0"/>
    <w:rPr>
      <w:rFonts w:ascii="黑体" w:eastAsia="黑体"/>
      <w:sz w:val="21"/>
      <w:szCs w:val="21"/>
    </w:rPr>
  </w:style>
  <w:style w:type="paragraph" w:customStyle="1" w:styleId="87">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88">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9">
    <w:name w:val="章标题"/>
    <w:next w:val="39"/>
    <w:qFormat/>
    <w:uiPriority w:val="0"/>
    <w:pPr>
      <w:numPr>
        <w:ilvl w:val="5"/>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90">
    <w:name w:val="二级条标题"/>
    <w:basedOn w:val="85"/>
    <w:next w:val="39"/>
    <w:link w:val="91"/>
    <w:qFormat/>
    <w:uiPriority w:val="0"/>
    <w:pPr>
      <w:numPr>
        <w:ilvl w:val="2"/>
      </w:numPr>
      <w:spacing w:before="50" w:after="50"/>
      <w:outlineLvl w:val="3"/>
    </w:pPr>
    <w:rPr>
      <w:lang w:val="zh-CN" w:eastAsia="zh-CN"/>
    </w:rPr>
  </w:style>
  <w:style w:type="character" w:customStyle="1" w:styleId="91">
    <w:name w:val="二级条标题 Char"/>
    <w:link w:val="90"/>
    <w:qFormat/>
    <w:uiPriority w:val="0"/>
    <w:rPr>
      <w:rFonts w:ascii="黑体" w:eastAsia="黑体"/>
      <w:sz w:val="21"/>
      <w:szCs w:val="21"/>
      <w:lang w:val="zh-CN" w:eastAsia="zh-CN"/>
    </w:rPr>
  </w:style>
  <w:style w:type="paragraph" w:customStyle="1" w:styleId="9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93">
    <w:name w:val="列项——（一级）"/>
    <w:qFormat/>
    <w:uiPriority w:val="0"/>
    <w:pPr>
      <w:widowControl w:val="0"/>
      <w:jc w:val="both"/>
    </w:pPr>
    <w:rPr>
      <w:rFonts w:ascii="宋体" w:hAnsi="Times New Roman" w:eastAsia="宋体" w:cs="Times New Roman"/>
      <w:sz w:val="21"/>
      <w:lang w:val="en-US" w:eastAsia="zh-CN" w:bidi="ar-SA"/>
    </w:rPr>
  </w:style>
  <w:style w:type="paragraph" w:customStyle="1" w:styleId="94">
    <w:name w:val="列项●（二级）"/>
    <w:qFormat/>
    <w:uiPriority w:val="0"/>
    <w:pPr>
      <w:tabs>
        <w:tab w:val="left" w:pos="840"/>
      </w:tabs>
      <w:jc w:val="both"/>
    </w:pPr>
    <w:rPr>
      <w:rFonts w:ascii="宋体" w:hAnsi="Times New Roman" w:eastAsia="宋体" w:cs="Times New Roman"/>
      <w:sz w:val="21"/>
      <w:lang w:val="en-US" w:eastAsia="zh-CN" w:bidi="ar-SA"/>
    </w:rPr>
  </w:style>
  <w:style w:type="paragraph" w:customStyle="1" w:styleId="95">
    <w:name w:val="目次、标准名称标题"/>
    <w:basedOn w:val="1"/>
    <w:next w:val="39"/>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96">
    <w:name w:val="三级条标题"/>
    <w:basedOn w:val="90"/>
    <w:next w:val="39"/>
    <w:qFormat/>
    <w:uiPriority w:val="0"/>
    <w:pPr>
      <w:numPr>
        <w:ilvl w:val="3"/>
      </w:numPr>
      <w:outlineLvl w:val="4"/>
    </w:pPr>
  </w:style>
  <w:style w:type="paragraph" w:customStyle="1" w:styleId="97">
    <w:name w:val="示例"/>
    <w:next w:val="98"/>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98">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99">
    <w:name w:val="数字编号列项（二级）"/>
    <w:qFormat/>
    <w:uiPriority w:val="0"/>
    <w:pPr>
      <w:jc w:val="both"/>
    </w:pPr>
    <w:rPr>
      <w:rFonts w:ascii="宋体" w:hAnsi="Times New Roman" w:eastAsia="宋体" w:cs="Times New Roman"/>
      <w:sz w:val="21"/>
      <w:lang w:val="en-US" w:eastAsia="zh-CN" w:bidi="ar-SA"/>
    </w:rPr>
  </w:style>
  <w:style w:type="paragraph" w:customStyle="1" w:styleId="100">
    <w:name w:val="四级条标题"/>
    <w:basedOn w:val="96"/>
    <w:next w:val="39"/>
    <w:qFormat/>
    <w:uiPriority w:val="0"/>
    <w:pPr>
      <w:numPr>
        <w:ilvl w:val="4"/>
      </w:numPr>
      <w:outlineLvl w:val="5"/>
    </w:pPr>
  </w:style>
  <w:style w:type="paragraph" w:customStyle="1" w:styleId="101">
    <w:name w:val="五级条标题"/>
    <w:basedOn w:val="100"/>
    <w:next w:val="39"/>
    <w:qFormat/>
    <w:uiPriority w:val="0"/>
    <w:pPr>
      <w:numPr>
        <w:ilvl w:val="0"/>
        <w:numId w:val="0"/>
      </w:numPr>
      <w:outlineLvl w:val="6"/>
    </w:pPr>
  </w:style>
  <w:style w:type="character" w:customStyle="1" w:styleId="102">
    <w:name w:val="页脚 字符"/>
    <w:link w:val="33"/>
    <w:qFormat/>
    <w:uiPriority w:val="0"/>
    <w:rPr>
      <w:kern w:val="2"/>
      <w:sz w:val="18"/>
      <w:szCs w:val="18"/>
    </w:rPr>
  </w:style>
  <w:style w:type="character" w:customStyle="1" w:styleId="103">
    <w:name w:val="页眉 字符"/>
    <w:link w:val="34"/>
    <w:qFormat/>
    <w:uiPriority w:val="0"/>
    <w:rPr>
      <w:kern w:val="2"/>
      <w:sz w:val="18"/>
      <w:szCs w:val="18"/>
    </w:rPr>
  </w:style>
  <w:style w:type="paragraph" w:customStyle="1" w:styleId="104">
    <w:name w:val="注："/>
    <w:next w:val="39"/>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105">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106">
    <w:name w:val="字母编号列项（一级）"/>
    <w:qFormat/>
    <w:uiPriority w:val="0"/>
    <w:pPr>
      <w:jc w:val="both"/>
    </w:pPr>
    <w:rPr>
      <w:rFonts w:ascii="宋体" w:hAnsi="Times New Roman" w:eastAsia="宋体" w:cs="Times New Roman"/>
      <w:sz w:val="21"/>
      <w:lang w:val="en-US" w:eastAsia="zh-CN" w:bidi="ar-SA"/>
    </w:rPr>
  </w:style>
  <w:style w:type="paragraph" w:customStyle="1" w:styleId="107">
    <w:name w:val="列项◆（三级）"/>
    <w:basedOn w:val="1"/>
    <w:qFormat/>
    <w:uiPriority w:val="0"/>
    <w:rPr>
      <w:rFonts w:ascii="宋体"/>
      <w:szCs w:val="21"/>
    </w:rPr>
  </w:style>
  <w:style w:type="paragraph" w:customStyle="1" w:styleId="108">
    <w:name w:val="编号列项（三级）"/>
    <w:qFormat/>
    <w:uiPriority w:val="0"/>
    <w:rPr>
      <w:rFonts w:ascii="宋体" w:hAnsi="Times New Roman" w:eastAsia="宋体" w:cs="Times New Roman"/>
      <w:sz w:val="21"/>
      <w:lang w:val="en-US" w:eastAsia="zh-CN" w:bidi="ar-SA"/>
    </w:rPr>
  </w:style>
  <w:style w:type="paragraph" w:customStyle="1" w:styleId="109">
    <w:name w:val="示例×："/>
    <w:basedOn w:val="89"/>
    <w:qFormat/>
    <w:uiPriority w:val="0"/>
    <w:pPr>
      <w:numPr>
        <w:numId w:val="0"/>
      </w:numPr>
      <w:spacing w:before="0" w:beforeLines="0" w:after="0" w:afterLines="0"/>
      <w:ind w:firstLine="363"/>
      <w:outlineLvl w:val="9"/>
    </w:pPr>
    <w:rPr>
      <w:rFonts w:ascii="宋体" w:eastAsia="宋体"/>
      <w:sz w:val="18"/>
      <w:szCs w:val="18"/>
    </w:rPr>
  </w:style>
  <w:style w:type="paragraph" w:customStyle="1" w:styleId="110">
    <w:name w:val="二级无"/>
    <w:basedOn w:val="90"/>
    <w:qFormat/>
    <w:uiPriority w:val="0"/>
    <w:pPr>
      <w:spacing w:before="0" w:beforeLines="0" w:after="0" w:afterLines="0"/>
    </w:pPr>
    <w:rPr>
      <w:rFonts w:ascii="宋体" w:eastAsia="宋体"/>
    </w:rPr>
  </w:style>
  <w:style w:type="paragraph" w:customStyle="1" w:styleId="111">
    <w:name w:val="注：（正文）"/>
    <w:basedOn w:val="104"/>
    <w:next w:val="39"/>
    <w:qFormat/>
    <w:uiPriority w:val="0"/>
  </w:style>
  <w:style w:type="paragraph" w:customStyle="1" w:styleId="112">
    <w:name w:val="注×：（正文）"/>
    <w:qFormat/>
    <w:uiPriority w:val="0"/>
    <w:pPr>
      <w:numPr>
        <w:ilvl w:val="0"/>
        <w:numId w:val="3"/>
      </w:numPr>
      <w:jc w:val="both"/>
    </w:pPr>
    <w:rPr>
      <w:rFonts w:ascii="宋体" w:hAnsi="Times New Roman" w:eastAsia="宋体" w:cs="Times New Roman"/>
      <w:sz w:val="18"/>
      <w:szCs w:val="18"/>
      <w:lang w:val="en-US" w:eastAsia="zh-CN" w:bidi="ar-SA"/>
    </w:rPr>
  </w:style>
  <w:style w:type="paragraph" w:customStyle="1" w:styleId="11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1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115">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16">
    <w:name w:val="标准书眉_偶数页"/>
    <w:basedOn w:val="88"/>
    <w:next w:val="1"/>
    <w:qFormat/>
    <w:uiPriority w:val="0"/>
    <w:pPr>
      <w:jc w:val="left"/>
    </w:pPr>
  </w:style>
  <w:style w:type="paragraph" w:customStyle="1" w:styleId="117">
    <w:name w:val="标准书眉一"/>
    <w:qFormat/>
    <w:uiPriority w:val="0"/>
    <w:pPr>
      <w:jc w:val="both"/>
    </w:pPr>
    <w:rPr>
      <w:rFonts w:ascii="Times New Roman" w:hAnsi="Times New Roman" w:eastAsia="宋体" w:cs="Times New Roman"/>
      <w:lang w:val="en-US" w:eastAsia="zh-CN" w:bidi="ar-SA"/>
    </w:rPr>
  </w:style>
  <w:style w:type="paragraph" w:customStyle="1" w:styleId="118">
    <w:name w:val="参考文献"/>
    <w:basedOn w:val="1"/>
    <w:next w:val="39"/>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19">
    <w:name w:val="参考文献、索引标题"/>
    <w:basedOn w:val="1"/>
    <w:next w:val="39"/>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120">
    <w:name w:val="发布"/>
    <w:qFormat/>
    <w:uiPriority w:val="0"/>
    <w:rPr>
      <w:rFonts w:ascii="黑体" w:eastAsia="黑体"/>
      <w:spacing w:val="85"/>
      <w:w w:val="100"/>
      <w:position w:val="3"/>
      <w:sz w:val="28"/>
      <w:szCs w:val="28"/>
    </w:rPr>
  </w:style>
  <w:style w:type="paragraph" w:customStyle="1" w:styleId="121">
    <w:name w:val="发布部门"/>
    <w:next w:val="39"/>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2">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23">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2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25">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英文名称"/>
    <w:basedOn w:val="125"/>
    <w:qFormat/>
    <w:uiPriority w:val="0"/>
    <w:pPr>
      <w:framePr w:wrap="around"/>
      <w:spacing w:before="370" w:line="400" w:lineRule="exact"/>
    </w:pPr>
    <w:rPr>
      <w:rFonts w:ascii="Times New Roman"/>
      <w:sz w:val="28"/>
      <w:szCs w:val="28"/>
    </w:rPr>
  </w:style>
  <w:style w:type="paragraph" w:customStyle="1" w:styleId="127">
    <w:name w:val="封面一致性程度标识"/>
    <w:basedOn w:val="126"/>
    <w:qFormat/>
    <w:uiPriority w:val="0"/>
    <w:pPr>
      <w:framePr w:wrap="around"/>
      <w:spacing w:before="440"/>
    </w:pPr>
    <w:rPr>
      <w:rFonts w:ascii="宋体" w:eastAsia="宋体"/>
    </w:rPr>
  </w:style>
  <w:style w:type="paragraph" w:customStyle="1" w:styleId="128">
    <w:name w:val="封面标准文稿类别"/>
    <w:basedOn w:val="127"/>
    <w:qFormat/>
    <w:uiPriority w:val="0"/>
    <w:pPr>
      <w:framePr w:wrap="around"/>
      <w:spacing w:after="160" w:line="240" w:lineRule="auto"/>
    </w:pPr>
    <w:rPr>
      <w:sz w:val="24"/>
    </w:rPr>
  </w:style>
  <w:style w:type="paragraph" w:customStyle="1" w:styleId="129">
    <w:name w:val="封面标准文稿编辑信息"/>
    <w:basedOn w:val="128"/>
    <w:qFormat/>
    <w:uiPriority w:val="0"/>
    <w:pPr>
      <w:framePr w:wrap="around"/>
      <w:spacing w:before="180" w:line="180" w:lineRule="exact"/>
    </w:pPr>
    <w:rPr>
      <w:sz w:val="21"/>
    </w:rPr>
  </w:style>
  <w:style w:type="paragraph" w:customStyle="1" w:styleId="130">
    <w:name w:val="封面正文"/>
    <w:qFormat/>
    <w:uiPriority w:val="0"/>
    <w:pPr>
      <w:jc w:val="both"/>
    </w:pPr>
    <w:rPr>
      <w:rFonts w:ascii="Times New Roman" w:hAnsi="Times New Roman" w:eastAsia="宋体" w:cs="Times New Roman"/>
      <w:lang w:val="en-US" w:eastAsia="zh-CN" w:bidi="ar-SA"/>
    </w:rPr>
  </w:style>
  <w:style w:type="paragraph" w:customStyle="1" w:styleId="131">
    <w:name w:val="附录标识"/>
    <w:basedOn w:val="1"/>
    <w:next w:val="39"/>
    <w:qFormat/>
    <w:uiPriority w:val="0"/>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132">
    <w:name w:val="附录标题"/>
    <w:basedOn w:val="39"/>
    <w:next w:val="39"/>
    <w:qFormat/>
    <w:uiPriority w:val="0"/>
    <w:pPr>
      <w:ind w:firstLine="0" w:firstLineChars="0"/>
      <w:jc w:val="center"/>
    </w:pPr>
    <w:rPr>
      <w:rFonts w:ascii="黑体" w:eastAsia="黑体"/>
    </w:rPr>
  </w:style>
  <w:style w:type="paragraph" w:customStyle="1" w:styleId="133">
    <w:name w:val="附录表标号"/>
    <w:basedOn w:val="1"/>
    <w:next w:val="39"/>
    <w:qFormat/>
    <w:uiPriority w:val="0"/>
    <w:pPr>
      <w:numPr>
        <w:ilvl w:val="0"/>
        <w:numId w:val="4"/>
      </w:numPr>
      <w:tabs>
        <w:tab w:val="clear" w:pos="0"/>
      </w:tabs>
      <w:spacing w:line="14" w:lineRule="exact"/>
      <w:ind w:left="811" w:hanging="448"/>
      <w:jc w:val="center"/>
      <w:outlineLvl w:val="0"/>
    </w:pPr>
    <w:rPr>
      <w:color w:val="FFFFFF"/>
    </w:rPr>
  </w:style>
  <w:style w:type="paragraph" w:customStyle="1" w:styleId="134">
    <w:name w:val="附录表标题"/>
    <w:basedOn w:val="1"/>
    <w:next w:val="39"/>
    <w:qFormat/>
    <w:uiPriority w:val="0"/>
    <w:pPr>
      <w:numPr>
        <w:ilvl w:val="1"/>
        <w:numId w:val="4"/>
      </w:numPr>
      <w:tabs>
        <w:tab w:val="left" w:pos="180"/>
      </w:tabs>
      <w:spacing w:before="50" w:beforeLines="50" w:after="50" w:afterLines="50"/>
      <w:ind w:left="0" w:firstLine="0"/>
      <w:jc w:val="center"/>
    </w:pPr>
    <w:rPr>
      <w:rFonts w:ascii="黑体" w:eastAsia="黑体"/>
      <w:szCs w:val="21"/>
    </w:rPr>
  </w:style>
  <w:style w:type="paragraph" w:customStyle="1" w:styleId="135">
    <w:name w:val="附录二级条标题"/>
    <w:basedOn w:val="1"/>
    <w:next w:val="39"/>
    <w:qFormat/>
    <w:uiPriority w:val="0"/>
    <w:pPr>
      <w:widowControl/>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136">
    <w:name w:val="附录二级无"/>
    <w:basedOn w:val="135"/>
    <w:qFormat/>
    <w:uiPriority w:val="0"/>
    <w:pPr>
      <w:spacing w:before="0" w:beforeLines="0" w:after="0" w:afterLines="0"/>
    </w:pPr>
    <w:rPr>
      <w:rFonts w:ascii="宋体" w:eastAsia="宋体"/>
      <w:szCs w:val="21"/>
    </w:rPr>
  </w:style>
  <w:style w:type="paragraph" w:customStyle="1" w:styleId="137">
    <w:name w:val="附录公式"/>
    <w:basedOn w:val="39"/>
    <w:next w:val="39"/>
    <w:link w:val="138"/>
    <w:qFormat/>
    <w:uiPriority w:val="0"/>
  </w:style>
  <w:style w:type="character" w:customStyle="1" w:styleId="138">
    <w:name w:val="附录公式 Char"/>
    <w:basedOn w:val="84"/>
    <w:link w:val="137"/>
    <w:qFormat/>
    <w:uiPriority w:val="0"/>
    <w:rPr>
      <w:rFonts w:ascii="宋体"/>
      <w:sz w:val="21"/>
      <w:lang w:val="en-US" w:eastAsia="zh-CN" w:bidi="ar-SA"/>
    </w:rPr>
  </w:style>
  <w:style w:type="paragraph" w:customStyle="1" w:styleId="139">
    <w:name w:val="附录公式编号制表符"/>
    <w:basedOn w:val="1"/>
    <w:next w:val="39"/>
    <w:qFormat/>
    <w:uiPriority w:val="0"/>
    <w:pPr>
      <w:widowControl/>
      <w:tabs>
        <w:tab w:val="center" w:pos="4201"/>
        <w:tab w:val="right" w:leader="dot" w:pos="9298"/>
      </w:tabs>
      <w:autoSpaceDE w:val="0"/>
      <w:autoSpaceDN w:val="0"/>
    </w:pPr>
    <w:rPr>
      <w:rFonts w:ascii="宋体"/>
      <w:kern w:val="0"/>
      <w:szCs w:val="20"/>
    </w:rPr>
  </w:style>
  <w:style w:type="paragraph" w:customStyle="1" w:styleId="140">
    <w:name w:val="附录三级条标题"/>
    <w:basedOn w:val="135"/>
    <w:next w:val="39"/>
    <w:qFormat/>
    <w:uiPriority w:val="0"/>
    <w:pPr>
      <w:outlineLvl w:val="4"/>
    </w:pPr>
  </w:style>
  <w:style w:type="paragraph" w:customStyle="1" w:styleId="141">
    <w:name w:val="附录三级无"/>
    <w:basedOn w:val="140"/>
    <w:qFormat/>
    <w:uiPriority w:val="0"/>
    <w:pPr>
      <w:spacing w:before="0" w:beforeLines="0" w:after="0" w:afterLines="0"/>
    </w:pPr>
    <w:rPr>
      <w:rFonts w:ascii="宋体" w:eastAsia="宋体"/>
      <w:szCs w:val="21"/>
    </w:rPr>
  </w:style>
  <w:style w:type="paragraph" w:customStyle="1" w:styleId="142">
    <w:name w:val="附录数字编号列项（二级）"/>
    <w:qFormat/>
    <w:uiPriority w:val="0"/>
    <w:pPr>
      <w:numPr>
        <w:ilvl w:val="1"/>
        <w:numId w:val="5"/>
      </w:numPr>
    </w:pPr>
    <w:rPr>
      <w:rFonts w:ascii="宋体" w:hAnsi="Times New Roman" w:eastAsia="宋体" w:cs="Times New Roman"/>
      <w:sz w:val="21"/>
      <w:lang w:val="en-US" w:eastAsia="zh-CN" w:bidi="ar-SA"/>
    </w:rPr>
  </w:style>
  <w:style w:type="paragraph" w:customStyle="1" w:styleId="143">
    <w:name w:val="附录四级条标题"/>
    <w:basedOn w:val="140"/>
    <w:next w:val="39"/>
    <w:qFormat/>
    <w:uiPriority w:val="0"/>
    <w:pPr>
      <w:outlineLvl w:val="5"/>
    </w:pPr>
  </w:style>
  <w:style w:type="paragraph" w:customStyle="1" w:styleId="144">
    <w:name w:val="附录四级无"/>
    <w:basedOn w:val="143"/>
    <w:qFormat/>
    <w:uiPriority w:val="0"/>
    <w:pPr>
      <w:spacing w:before="0" w:beforeLines="0" w:after="0" w:afterLines="0"/>
    </w:pPr>
    <w:rPr>
      <w:rFonts w:ascii="宋体" w:eastAsia="宋体"/>
      <w:szCs w:val="21"/>
    </w:rPr>
  </w:style>
  <w:style w:type="paragraph" w:customStyle="1" w:styleId="145">
    <w:name w:val="附录图标号"/>
    <w:basedOn w:val="1"/>
    <w:qFormat/>
    <w:uiPriority w:val="0"/>
    <w:pPr>
      <w:keepNext/>
      <w:pageBreakBefore/>
      <w:widowControl/>
      <w:numPr>
        <w:ilvl w:val="0"/>
        <w:numId w:val="6"/>
      </w:numPr>
      <w:spacing w:line="14" w:lineRule="exact"/>
      <w:ind w:left="0" w:firstLine="363"/>
      <w:jc w:val="center"/>
      <w:outlineLvl w:val="0"/>
    </w:pPr>
    <w:rPr>
      <w:color w:val="FFFFFF"/>
    </w:rPr>
  </w:style>
  <w:style w:type="paragraph" w:customStyle="1" w:styleId="146">
    <w:name w:val="附录图标题"/>
    <w:basedOn w:val="1"/>
    <w:next w:val="39"/>
    <w:qFormat/>
    <w:uiPriority w:val="0"/>
    <w:pPr>
      <w:numPr>
        <w:ilvl w:val="1"/>
        <w:numId w:val="6"/>
      </w:numPr>
      <w:tabs>
        <w:tab w:val="left" w:pos="363"/>
      </w:tabs>
      <w:spacing w:before="50" w:beforeLines="50" w:after="50" w:afterLines="50"/>
      <w:ind w:left="0" w:firstLine="0"/>
      <w:jc w:val="center"/>
    </w:pPr>
    <w:rPr>
      <w:rFonts w:ascii="黑体" w:eastAsia="黑体"/>
      <w:szCs w:val="21"/>
    </w:rPr>
  </w:style>
  <w:style w:type="paragraph" w:customStyle="1" w:styleId="147">
    <w:name w:val="附录五级条标题"/>
    <w:basedOn w:val="143"/>
    <w:next w:val="39"/>
    <w:qFormat/>
    <w:uiPriority w:val="0"/>
    <w:pPr>
      <w:outlineLvl w:val="6"/>
    </w:pPr>
  </w:style>
  <w:style w:type="paragraph" w:customStyle="1" w:styleId="148">
    <w:name w:val="附录五级无"/>
    <w:basedOn w:val="147"/>
    <w:qFormat/>
    <w:uiPriority w:val="0"/>
    <w:pPr>
      <w:spacing w:before="0" w:beforeLines="0" w:after="0" w:afterLines="0"/>
    </w:pPr>
    <w:rPr>
      <w:rFonts w:ascii="宋体" w:eastAsia="宋体"/>
      <w:szCs w:val="21"/>
    </w:rPr>
  </w:style>
  <w:style w:type="paragraph" w:customStyle="1" w:styleId="149">
    <w:name w:val="附录章标题"/>
    <w:next w:val="39"/>
    <w:qFormat/>
    <w:uiPriority w:val="0"/>
    <w:p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50">
    <w:name w:val="附录一级条标题"/>
    <w:basedOn w:val="149"/>
    <w:next w:val="39"/>
    <w:qFormat/>
    <w:uiPriority w:val="0"/>
    <w:pPr>
      <w:autoSpaceDN w:val="0"/>
      <w:spacing w:before="50" w:beforeLines="50" w:after="50" w:afterLines="50"/>
      <w:outlineLvl w:val="2"/>
    </w:pPr>
  </w:style>
  <w:style w:type="paragraph" w:customStyle="1" w:styleId="151">
    <w:name w:val="附录一级无"/>
    <w:basedOn w:val="150"/>
    <w:qFormat/>
    <w:uiPriority w:val="0"/>
    <w:pPr>
      <w:tabs>
        <w:tab w:val="clear" w:pos="360"/>
      </w:tabs>
      <w:spacing w:before="0" w:beforeLines="0" w:after="0" w:afterLines="0"/>
    </w:pPr>
    <w:rPr>
      <w:rFonts w:ascii="宋体" w:eastAsia="宋体"/>
      <w:szCs w:val="21"/>
    </w:rPr>
  </w:style>
  <w:style w:type="paragraph" w:customStyle="1" w:styleId="152">
    <w:name w:val="附录字母编号列项（一级）"/>
    <w:qFormat/>
    <w:uiPriority w:val="0"/>
    <w:pPr>
      <w:numPr>
        <w:ilvl w:val="0"/>
        <w:numId w:val="5"/>
      </w:numPr>
    </w:pPr>
    <w:rPr>
      <w:rFonts w:ascii="宋体" w:hAnsi="Times New Roman" w:eastAsia="宋体" w:cs="Times New Roman"/>
      <w:sz w:val="21"/>
      <w:lang w:val="en-US" w:eastAsia="zh-CN" w:bidi="ar-SA"/>
    </w:rPr>
  </w:style>
  <w:style w:type="character" w:customStyle="1" w:styleId="153">
    <w:name w:val="脚注文本 字符"/>
    <w:link w:val="41"/>
    <w:qFormat/>
    <w:uiPriority w:val="0"/>
    <w:rPr>
      <w:rFonts w:ascii="宋体"/>
      <w:kern w:val="2"/>
      <w:sz w:val="18"/>
      <w:szCs w:val="18"/>
      <w:lang w:val="zh-CN" w:eastAsia="zh-CN"/>
    </w:rPr>
  </w:style>
  <w:style w:type="paragraph" w:customStyle="1" w:styleId="154">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55">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5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7">
    <w:name w:val="其他标准标志"/>
    <w:basedOn w:val="113"/>
    <w:qFormat/>
    <w:uiPriority w:val="0"/>
    <w:pPr>
      <w:framePr w:w="6101" w:wrap="around" w:vAnchor="page" w:hAnchor="page" w:x="4673" w:y="942"/>
    </w:pPr>
  </w:style>
  <w:style w:type="paragraph" w:customStyle="1" w:styleId="15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59">
    <w:name w:val="其他发布部门"/>
    <w:basedOn w:val="121"/>
    <w:qFormat/>
    <w:uiPriority w:val="0"/>
    <w:pPr>
      <w:framePr w:wrap="around" w:y="15310"/>
      <w:spacing w:line="0" w:lineRule="atLeast"/>
    </w:pPr>
    <w:rPr>
      <w:rFonts w:ascii="黑体" w:eastAsia="黑体"/>
      <w:b w:val="0"/>
    </w:rPr>
  </w:style>
  <w:style w:type="paragraph" w:customStyle="1" w:styleId="160">
    <w:name w:val="前言、引言标题"/>
    <w:next w:val="39"/>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61">
    <w:name w:val="三级无"/>
    <w:basedOn w:val="96"/>
    <w:qFormat/>
    <w:uiPriority w:val="0"/>
    <w:pPr>
      <w:spacing w:before="0" w:beforeLines="0" w:after="0" w:afterLines="0"/>
    </w:pPr>
    <w:rPr>
      <w:rFonts w:ascii="宋体" w:eastAsia="宋体"/>
    </w:rPr>
  </w:style>
  <w:style w:type="paragraph" w:customStyle="1" w:styleId="162">
    <w:name w:val="实施日期"/>
    <w:basedOn w:val="122"/>
    <w:qFormat/>
    <w:uiPriority w:val="0"/>
    <w:pPr>
      <w:framePr w:wrap="around" w:vAnchor="page" w:hAnchor="text"/>
      <w:jc w:val="right"/>
    </w:pPr>
  </w:style>
  <w:style w:type="paragraph" w:customStyle="1" w:styleId="163">
    <w:name w:val="示例后文字"/>
    <w:basedOn w:val="39"/>
    <w:next w:val="39"/>
    <w:qFormat/>
    <w:uiPriority w:val="0"/>
    <w:pPr>
      <w:ind w:firstLine="360"/>
    </w:pPr>
    <w:rPr>
      <w:sz w:val="18"/>
    </w:rPr>
  </w:style>
  <w:style w:type="paragraph" w:customStyle="1" w:styleId="164">
    <w:name w:val="首示例"/>
    <w:next w:val="39"/>
    <w:link w:val="165"/>
    <w:qFormat/>
    <w:uiPriority w:val="0"/>
    <w:pPr>
      <w:tabs>
        <w:tab w:val="left" w:pos="360"/>
      </w:tabs>
    </w:pPr>
    <w:rPr>
      <w:rFonts w:ascii="宋体" w:hAnsi="宋体" w:eastAsia="宋体" w:cs="Times New Roman"/>
      <w:kern w:val="2"/>
      <w:sz w:val="18"/>
      <w:szCs w:val="18"/>
      <w:lang w:val="en-US" w:eastAsia="zh-CN" w:bidi="ar-SA"/>
    </w:rPr>
  </w:style>
  <w:style w:type="character" w:customStyle="1" w:styleId="165">
    <w:name w:val="首示例 Char"/>
    <w:link w:val="164"/>
    <w:qFormat/>
    <w:uiPriority w:val="0"/>
    <w:rPr>
      <w:rFonts w:ascii="宋体" w:hAnsi="宋体"/>
      <w:kern w:val="2"/>
      <w:sz w:val="18"/>
      <w:szCs w:val="18"/>
      <w:lang w:bidi="ar-SA"/>
    </w:rPr>
  </w:style>
  <w:style w:type="paragraph" w:customStyle="1" w:styleId="166">
    <w:name w:val="四级无"/>
    <w:basedOn w:val="100"/>
    <w:qFormat/>
    <w:uiPriority w:val="0"/>
    <w:pPr>
      <w:spacing w:before="0" w:beforeLines="0" w:after="0" w:afterLines="0"/>
    </w:pPr>
    <w:rPr>
      <w:rFonts w:ascii="宋体" w:eastAsia="宋体"/>
    </w:rPr>
  </w:style>
  <w:style w:type="paragraph" w:customStyle="1" w:styleId="167">
    <w:name w:val="条文脚注"/>
    <w:basedOn w:val="41"/>
    <w:uiPriority w:val="0"/>
    <w:pPr>
      <w:numPr>
        <w:numId w:val="0"/>
      </w:numPr>
      <w:jc w:val="both"/>
    </w:pPr>
  </w:style>
  <w:style w:type="paragraph" w:customStyle="1" w:styleId="168">
    <w:name w:val="图标脚注说明"/>
    <w:basedOn w:val="39"/>
    <w:uiPriority w:val="0"/>
    <w:pPr>
      <w:ind w:left="840" w:hanging="420" w:firstLineChars="0"/>
    </w:pPr>
    <w:rPr>
      <w:sz w:val="18"/>
      <w:szCs w:val="18"/>
    </w:rPr>
  </w:style>
  <w:style w:type="paragraph" w:customStyle="1" w:styleId="169">
    <w:name w:val="图表脚注说明"/>
    <w:basedOn w:val="1"/>
    <w:qFormat/>
    <w:uiPriority w:val="0"/>
    <w:pPr>
      <w:ind w:left="544" w:hanging="181"/>
    </w:pPr>
    <w:rPr>
      <w:rFonts w:ascii="宋体"/>
      <w:sz w:val="18"/>
      <w:szCs w:val="18"/>
    </w:rPr>
  </w:style>
  <w:style w:type="paragraph" w:customStyle="1" w:styleId="170">
    <w:name w:val="图的脚注"/>
    <w:next w:val="39"/>
    <w:autoRedefine/>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character" w:customStyle="1" w:styleId="171">
    <w:name w:val="尾注文本 字符"/>
    <w:link w:val="31"/>
    <w:semiHidden/>
    <w:qFormat/>
    <w:uiPriority w:val="0"/>
    <w:rPr>
      <w:kern w:val="2"/>
      <w:sz w:val="21"/>
      <w:szCs w:val="24"/>
    </w:rPr>
  </w:style>
  <w:style w:type="character" w:customStyle="1" w:styleId="172">
    <w:name w:val="文档结构图 字符"/>
    <w:link w:val="16"/>
    <w:semiHidden/>
    <w:uiPriority w:val="0"/>
    <w:rPr>
      <w:kern w:val="2"/>
      <w:sz w:val="21"/>
      <w:szCs w:val="24"/>
      <w:shd w:val="clear" w:color="auto" w:fill="000080"/>
    </w:rPr>
  </w:style>
  <w:style w:type="paragraph" w:customStyle="1" w:styleId="173">
    <w:name w:val="文献分类号"/>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74">
    <w:name w:val="五级无"/>
    <w:basedOn w:val="101"/>
    <w:uiPriority w:val="0"/>
    <w:pPr>
      <w:spacing w:before="0" w:beforeLines="0" w:after="0" w:afterLines="0"/>
    </w:pPr>
    <w:rPr>
      <w:rFonts w:ascii="宋体" w:eastAsia="宋体"/>
    </w:rPr>
  </w:style>
  <w:style w:type="paragraph" w:customStyle="1" w:styleId="175">
    <w:name w:val="一级无"/>
    <w:basedOn w:val="85"/>
    <w:uiPriority w:val="0"/>
    <w:pPr>
      <w:spacing w:before="0" w:beforeLines="0" w:after="0" w:afterLines="0"/>
    </w:pPr>
    <w:rPr>
      <w:rFonts w:ascii="宋体" w:eastAsia="宋体"/>
    </w:rPr>
  </w:style>
  <w:style w:type="paragraph" w:customStyle="1" w:styleId="176">
    <w:name w:val="正文表标题"/>
    <w:next w:val="39"/>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77">
    <w:name w:val="正文公式编号制表符"/>
    <w:basedOn w:val="39"/>
    <w:next w:val="39"/>
    <w:qFormat/>
    <w:uiPriority w:val="0"/>
    <w:pPr>
      <w:ind w:firstLine="0" w:firstLineChars="0"/>
    </w:pPr>
  </w:style>
  <w:style w:type="paragraph" w:customStyle="1" w:styleId="178">
    <w:name w:val="正文图标题"/>
    <w:next w:val="39"/>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79">
    <w:name w:val="终结线"/>
    <w:basedOn w:val="1"/>
    <w:uiPriority w:val="0"/>
    <w:pPr>
      <w:framePr w:hSpace="181" w:vSpace="181" w:wrap="around" w:vAnchor="text" w:hAnchor="margin" w:xAlign="center" w:y="285"/>
    </w:pPr>
  </w:style>
  <w:style w:type="paragraph" w:customStyle="1" w:styleId="180">
    <w:name w:val="其他发布日期"/>
    <w:basedOn w:val="122"/>
    <w:qFormat/>
    <w:uiPriority w:val="0"/>
    <w:pPr>
      <w:framePr w:wrap="around" w:vAnchor="page" w:hAnchor="text" w:x="1419"/>
    </w:pPr>
  </w:style>
  <w:style w:type="paragraph" w:customStyle="1" w:styleId="181">
    <w:name w:val="其他实施日期"/>
    <w:basedOn w:val="162"/>
    <w:qFormat/>
    <w:uiPriority w:val="0"/>
    <w:pPr>
      <w:framePr w:wrap="around"/>
    </w:pPr>
  </w:style>
  <w:style w:type="paragraph" w:customStyle="1" w:styleId="182">
    <w:name w:val="封面标准名称2"/>
    <w:basedOn w:val="125"/>
    <w:uiPriority w:val="0"/>
    <w:pPr>
      <w:framePr w:wrap="around" w:y="4469"/>
      <w:spacing w:before="630" w:beforeLines="630"/>
    </w:pPr>
  </w:style>
  <w:style w:type="paragraph" w:customStyle="1" w:styleId="183">
    <w:name w:val="封面标准英文名称2"/>
    <w:basedOn w:val="126"/>
    <w:qFormat/>
    <w:uiPriority w:val="0"/>
    <w:pPr>
      <w:framePr w:wrap="around" w:y="4469"/>
    </w:pPr>
  </w:style>
  <w:style w:type="paragraph" w:customStyle="1" w:styleId="184">
    <w:name w:val="封面一致性程度标识2"/>
    <w:basedOn w:val="127"/>
    <w:uiPriority w:val="0"/>
    <w:pPr>
      <w:framePr w:wrap="around" w:y="4469"/>
    </w:pPr>
  </w:style>
  <w:style w:type="paragraph" w:customStyle="1" w:styleId="185">
    <w:name w:val="封面标准文稿类别2"/>
    <w:basedOn w:val="128"/>
    <w:uiPriority w:val="0"/>
    <w:pPr>
      <w:framePr w:wrap="around" w:y="4469"/>
    </w:pPr>
  </w:style>
  <w:style w:type="paragraph" w:customStyle="1" w:styleId="186">
    <w:name w:val="封面标准文稿编辑信息2"/>
    <w:basedOn w:val="129"/>
    <w:qFormat/>
    <w:uiPriority w:val="0"/>
    <w:pPr>
      <w:framePr w:wrap="around" w:y="4469"/>
    </w:pPr>
  </w:style>
  <w:style w:type="character" w:customStyle="1" w:styleId="187">
    <w:name w:val="正文文本缩进 字符"/>
    <w:link w:val="21"/>
    <w:qFormat/>
    <w:uiPriority w:val="0"/>
    <w:rPr>
      <w:kern w:val="2"/>
      <w:sz w:val="21"/>
      <w:szCs w:val="24"/>
    </w:rPr>
  </w:style>
  <w:style w:type="character" w:customStyle="1" w:styleId="188">
    <w:name w:val="HTML 地址 字符"/>
    <w:link w:val="22"/>
    <w:qFormat/>
    <w:uiPriority w:val="0"/>
    <w:rPr>
      <w:i/>
      <w:iCs/>
      <w:kern w:val="2"/>
      <w:sz w:val="21"/>
      <w:szCs w:val="24"/>
    </w:rPr>
  </w:style>
  <w:style w:type="character" w:customStyle="1" w:styleId="189">
    <w:name w:val="HTML 预设格式 字符"/>
    <w:link w:val="50"/>
    <w:uiPriority w:val="0"/>
    <w:rPr>
      <w:rFonts w:ascii="Courier New" w:hAnsi="Courier New" w:cs="Courier New"/>
      <w:kern w:val="2"/>
    </w:rPr>
  </w:style>
  <w:style w:type="character" w:customStyle="1" w:styleId="190">
    <w:name w:val="标题 字符"/>
    <w:link w:val="53"/>
    <w:qFormat/>
    <w:uiPriority w:val="0"/>
    <w:rPr>
      <w:rFonts w:ascii="Arial" w:hAnsi="Arial" w:cs="Arial"/>
      <w:b/>
      <w:bCs/>
      <w:kern w:val="2"/>
      <w:sz w:val="32"/>
      <w:szCs w:val="32"/>
    </w:rPr>
  </w:style>
  <w:style w:type="character" w:customStyle="1" w:styleId="191">
    <w:name w:val="EmailStyle611"/>
    <w:uiPriority w:val="0"/>
    <w:rPr>
      <w:rFonts w:ascii="Arial" w:hAnsi="Arial" w:eastAsia="宋体" w:cs="Arial"/>
      <w:color w:val="auto"/>
      <w:sz w:val="20"/>
    </w:rPr>
  </w:style>
  <w:style w:type="character" w:customStyle="1" w:styleId="192">
    <w:name w:val="EmailStyle621"/>
    <w:qFormat/>
    <w:uiPriority w:val="0"/>
    <w:rPr>
      <w:rFonts w:ascii="Arial" w:hAnsi="Arial" w:eastAsia="宋体" w:cs="Arial"/>
      <w:color w:val="auto"/>
      <w:sz w:val="20"/>
    </w:rPr>
  </w:style>
  <w:style w:type="paragraph" w:customStyle="1" w:styleId="193">
    <w:name w:val="图表脚注"/>
    <w:next w:val="39"/>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94">
    <w:name w:val="c封面密级"/>
    <w:basedOn w:val="1"/>
    <w:uiPriority w:val="0"/>
    <w:pPr>
      <w:adjustRightInd w:val="0"/>
    </w:pPr>
    <w:rPr>
      <w:rFonts w:eastAsia="黑体"/>
      <w:sz w:val="32"/>
      <w:szCs w:val="20"/>
    </w:rPr>
  </w:style>
  <w:style w:type="paragraph" w:customStyle="1" w:styleId="195">
    <w:name w:val="二级无标题条"/>
    <w:basedOn w:val="1"/>
    <w:qFormat/>
    <w:uiPriority w:val="0"/>
  </w:style>
  <w:style w:type="paragraph" w:customStyle="1" w:styleId="196">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97">
    <w:name w:val="列项·"/>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98">
    <w:name w:val="c标准代替"/>
    <w:basedOn w:val="1"/>
    <w:next w:val="1"/>
    <w:qFormat/>
    <w:uiPriority w:val="0"/>
    <w:pPr>
      <w:adjustRightInd w:val="0"/>
      <w:jc w:val="right"/>
    </w:pPr>
    <w:rPr>
      <w:rFonts w:ascii="宋体"/>
      <w:kern w:val="0"/>
      <w:szCs w:val="20"/>
    </w:rPr>
  </w:style>
  <w:style w:type="paragraph" w:customStyle="1" w:styleId="199">
    <w:name w:val="三级无标题条"/>
    <w:basedOn w:val="1"/>
    <w:qFormat/>
    <w:uiPriority w:val="0"/>
  </w:style>
  <w:style w:type="paragraph" w:customStyle="1" w:styleId="200">
    <w:name w:val="注:后续"/>
    <w:qFormat/>
    <w:uiPriority w:val="0"/>
    <w:pPr>
      <w:ind w:left="1260" w:leftChars="400" w:hanging="420" w:hangingChars="200"/>
      <w:jc w:val="both"/>
    </w:pPr>
    <w:rPr>
      <w:rFonts w:ascii="宋体" w:hAnsi="Times New Roman" w:eastAsia="宋体" w:cs="Times New Roman"/>
      <w:sz w:val="18"/>
      <w:lang w:val="en-US" w:eastAsia="zh-CN" w:bidi="ar-SA"/>
    </w:rPr>
  </w:style>
  <w:style w:type="paragraph" w:customStyle="1" w:styleId="201">
    <w:name w:val="四级无标题条"/>
    <w:basedOn w:val="1"/>
    <w:qFormat/>
    <w:uiPriority w:val="0"/>
  </w:style>
  <w:style w:type="paragraph" w:customStyle="1" w:styleId="202">
    <w:name w:val="无标题条"/>
    <w:next w:val="39"/>
    <w:qFormat/>
    <w:uiPriority w:val="0"/>
    <w:pPr>
      <w:jc w:val="both"/>
    </w:pPr>
    <w:rPr>
      <w:rFonts w:ascii="Times New Roman" w:hAnsi="Times New Roman" w:eastAsia="宋体" w:cs="Times New Roman"/>
      <w:sz w:val="21"/>
      <w:lang w:val="en-US" w:eastAsia="zh-CN" w:bidi="ar-SA"/>
    </w:rPr>
  </w:style>
  <w:style w:type="paragraph" w:customStyle="1" w:styleId="203">
    <w:name w:val="五级无标题条"/>
    <w:basedOn w:val="1"/>
    <w:uiPriority w:val="0"/>
  </w:style>
  <w:style w:type="paragraph" w:customStyle="1" w:styleId="204">
    <w:name w:val="一级无标题条"/>
    <w:basedOn w:val="1"/>
    <w:uiPriority w:val="0"/>
  </w:style>
  <w:style w:type="paragraph" w:customStyle="1" w:styleId="205">
    <w:name w:val="数字编号列项"/>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06">
    <w:name w:val="字母编号列项"/>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07">
    <w:name w:val="注×:后续"/>
    <w:basedOn w:val="200"/>
    <w:uiPriority w:val="0"/>
  </w:style>
  <w:style w:type="paragraph" w:customStyle="1" w:styleId="208">
    <w:name w:val="示例后续"/>
    <w:basedOn w:val="1"/>
    <w:uiPriority w:val="0"/>
    <w:pPr>
      <w:ind w:firstLine="200" w:firstLineChars="200"/>
    </w:pPr>
    <w:rPr>
      <w:sz w:val="18"/>
    </w:rPr>
  </w:style>
  <w:style w:type="paragraph" w:customStyle="1" w:styleId="209">
    <w:name w:val="标准名称标题"/>
    <w:basedOn w:val="1"/>
    <w:next w:val="89"/>
    <w:qFormat/>
    <w:uiPriority w:val="0"/>
    <w:pPr>
      <w:widowControl/>
      <w:shd w:val="clear" w:color="FFFFFF" w:fill="FFFFFF"/>
      <w:spacing w:line="440" w:lineRule="exact"/>
      <w:jc w:val="center"/>
    </w:pPr>
    <w:rPr>
      <w:rFonts w:ascii="黑体" w:eastAsia="黑体"/>
      <w:kern w:val="0"/>
      <w:sz w:val="32"/>
      <w:szCs w:val="20"/>
    </w:rPr>
  </w:style>
  <w:style w:type="paragraph" w:customStyle="1" w:styleId="210">
    <w:name w:val="示例："/>
    <w:next w:val="208"/>
    <w:qFormat/>
    <w:uiPriority w:val="0"/>
    <w:pPr>
      <w:numPr>
        <w:ilvl w:val="0"/>
        <w:numId w:val="7"/>
      </w:numPr>
      <w:tabs>
        <w:tab w:val="left" w:pos="1100"/>
        <w:tab w:val="clear" w:pos="1159"/>
      </w:tabs>
      <w:ind w:left="0" w:firstLine="380"/>
      <w:jc w:val="both"/>
    </w:pPr>
    <w:rPr>
      <w:rFonts w:ascii="宋体" w:hAnsi="Times New Roman" w:eastAsia="宋体" w:cs="Times New Roman"/>
      <w:sz w:val="18"/>
      <w:lang w:val="en-US" w:eastAsia="zh-CN" w:bidi="ar-SA"/>
    </w:rPr>
  </w:style>
  <w:style w:type="paragraph" w:customStyle="1" w:styleId="211">
    <w:name w:val="脚注后续"/>
    <w:qFormat/>
    <w:uiPriority w:val="0"/>
    <w:pPr>
      <w:ind w:left="567"/>
      <w:jc w:val="both"/>
    </w:pPr>
    <w:rPr>
      <w:rFonts w:ascii="宋体" w:hAnsi="Times New Roman" w:eastAsia="宋体" w:cs="Times New Roman"/>
      <w:sz w:val="18"/>
      <w:lang w:val="en-US" w:eastAsia="zh-CN" w:bidi="ar-SA"/>
    </w:rPr>
  </w:style>
  <w:style w:type="paragraph" w:customStyle="1" w:styleId="212">
    <w:name w:val="目次"/>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13">
    <w:name w:val="附录图标题1"/>
    <w:next w:val="3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character" w:customStyle="1" w:styleId="214">
    <w:name w:val="图表脚注内容"/>
    <w:qFormat/>
    <w:uiPriority w:val="0"/>
    <w:rPr>
      <w:rFonts w:ascii="宋体" w:eastAsia="宋体"/>
      <w:spacing w:val="0"/>
      <w:sz w:val="18"/>
      <w:vertAlign w:val="superscript"/>
    </w:rPr>
  </w:style>
  <w:style w:type="paragraph" w:customStyle="1" w:styleId="215">
    <w:name w:val="附录性质"/>
    <w:basedOn w:val="1"/>
    <w:qFormat/>
    <w:uiPriority w:val="0"/>
    <w:pPr>
      <w:jc w:val="center"/>
    </w:pPr>
    <w:rPr>
      <w:rFonts w:ascii="黑体" w:eastAsia="黑体"/>
    </w:rPr>
  </w:style>
  <w:style w:type="paragraph" w:customStyle="1" w:styleId="216">
    <w:name w:val="c封面标准名称"/>
    <w:basedOn w:val="1"/>
    <w:qFormat/>
    <w:uiPriority w:val="0"/>
    <w:pPr>
      <w:adjustRightInd w:val="0"/>
      <w:jc w:val="center"/>
    </w:pPr>
    <w:rPr>
      <w:rFonts w:eastAsia="黑体"/>
      <w:kern w:val="0"/>
      <w:sz w:val="52"/>
      <w:szCs w:val="20"/>
    </w:rPr>
  </w:style>
  <w:style w:type="character" w:customStyle="1" w:styleId="217">
    <w:name w:val="正文文本 字符"/>
    <w:link w:val="20"/>
    <w:qFormat/>
    <w:uiPriority w:val="0"/>
    <w:rPr>
      <w:kern w:val="2"/>
      <w:sz w:val="21"/>
      <w:szCs w:val="24"/>
    </w:rPr>
  </w:style>
  <w:style w:type="paragraph" w:customStyle="1" w:styleId="218">
    <w:name w:val="c封面发布日期"/>
    <w:basedOn w:val="1"/>
    <w:qFormat/>
    <w:uiPriority w:val="0"/>
    <w:pPr>
      <w:adjustRightInd w:val="0"/>
    </w:pPr>
    <w:rPr>
      <w:rFonts w:eastAsia="黑体"/>
      <w:kern w:val="0"/>
      <w:sz w:val="28"/>
      <w:szCs w:val="20"/>
    </w:rPr>
  </w:style>
  <w:style w:type="paragraph" w:customStyle="1" w:styleId="219">
    <w:name w:val="c封面标准编号"/>
    <w:basedOn w:val="1"/>
    <w:next w:val="198"/>
    <w:uiPriority w:val="0"/>
    <w:pPr>
      <w:adjustRightInd w:val="0"/>
      <w:jc w:val="right"/>
    </w:pPr>
    <w:rPr>
      <w:rFonts w:ascii="宋体"/>
      <w:b/>
      <w:kern w:val="0"/>
      <w:sz w:val="28"/>
      <w:szCs w:val="20"/>
    </w:rPr>
  </w:style>
  <w:style w:type="paragraph" w:customStyle="1" w:styleId="220">
    <w:name w:val="c封面标准分类号"/>
    <w:basedOn w:val="1"/>
    <w:uiPriority w:val="0"/>
    <w:pPr>
      <w:adjustRightInd w:val="0"/>
    </w:pPr>
    <w:rPr>
      <w:rFonts w:ascii="宋体"/>
      <w:b/>
      <w:kern w:val="0"/>
      <w:sz w:val="28"/>
      <w:szCs w:val="20"/>
    </w:rPr>
  </w:style>
  <w:style w:type="paragraph" w:customStyle="1" w:styleId="221">
    <w:name w:val="c封面实施日期"/>
    <w:basedOn w:val="1"/>
    <w:qFormat/>
    <w:uiPriority w:val="0"/>
    <w:pPr>
      <w:adjustRightInd w:val="0"/>
      <w:jc w:val="right"/>
    </w:pPr>
    <w:rPr>
      <w:rFonts w:eastAsia="黑体"/>
      <w:sz w:val="28"/>
      <w:szCs w:val="20"/>
    </w:rPr>
  </w:style>
  <w:style w:type="paragraph" w:customStyle="1" w:styleId="222">
    <w:name w:val="c封面标准英文名称"/>
    <w:basedOn w:val="1"/>
    <w:qFormat/>
    <w:uiPriority w:val="0"/>
    <w:pPr>
      <w:adjustRightInd w:val="0"/>
      <w:jc w:val="center"/>
    </w:pPr>
    <w:rPr>
      <w:b/>
      <w:sz w:val="28"/>
      <w:szCs w:val="20"/>
    </w:rPr>
  </w:style>
  <w:style w:type="paragraph" w:customStyle="1" w:styleId="223">
    <w:name w:val="c标准部门"/>
    <w:basedOn w:val="1"/>
    <w:next w:val="1"/>
    <w:qFormat/>
    <w:uiPriority w:val="0"/>
    <w:pPr>
      <w:adjustRightInd w:val="0"/>
      <w:jc w:val="right"/>
    </w:pPr>
    <w:rPr>
      <w:rFonts w:ascii="黑体" w:eastAsia="黑体"/>
      <w:sz w:val="32"/>
      <w:szCs w:val="20"/>
    </w:rPr>
  </w:style>
  <w:style w:type="character" w:customStyle="1" w:styleId="224">
    <w:name w:val="正文文本首行缩进 字符"/>
    <w:basedOn w:val="217"/>
    <w:link w:val="55"/>
    <w:qFormat/>
    <w:uiPriority w:val="0"/>
    <w:rPr>
      <w:kern w:val="2"/>
      <w:sz w:val="21"/>
      <w:szCs w:val="24"/>
    </w:rPr>
  </w:style>
  <w:style w:type="character" w:customStyle="1" w:styleId="225">
    <w:name w:val="正文文本缩进 2 字符"/>
    <w:link w:val="30"/>
    <w:qFormat/>
    <w:uiPriority w:val="0"/>
    <w:rPr>
      <w:kern w:val="2"/>
      <w:sz w:val="21"/>
    </w:rPr>
  </w:style>
  <w:style w:type="character" w:customStyle="1" w:styleId="226">
    <w:name w:val="正文文本缩进 3 字符"/>
    <w:link w:val="43"/>
    <w:qFormat/>
    <w:uiPriority w:val="0"/>
    <w:rPr>
      <w:rFonts w:ascii="宋体" w:hAnsi="宋体"/>
      <w:kern w:val="2"/>
      <w:sz w:val="21"/>
      <w:szCs w:val="24"/>
    </w:rPr>
  </w:style>
  <w:style w:type="character" w:customStyle="1" w:styleId="227">
    <w:name w:val="纯文本 字符"/>
    <w:link w:val="26"/>
    <w:uiPriority w:val="0"/>
    <w:rPr>
      <w:rFonts w:ascii="宋体" w:hAnsi="Courier New"/>
      <w:kern w:val="2"/>
      <w:sz w:val="21"/>
    </w:rPr>
  </w:style>
  <w:style w:type="paragraph" w:customStyle="1" w:styleId="228">
    <w:name w:val="样式1"/>
    <w:basedOn w:val="55"/>
    <w:autoRedefine/>
    <w:uiPriority w:val="0"/>
  </w:style>
  <w:style w:type="paragraph" w:customStyle="1" w:styleId="229">
    <w:name w:val="样式2"/>
    <w:basedOn w:val="4"/>
    <w:next w:val="4"/>
    <w:autoRedefine/>
    <w:uiPriority w:val="0"/>
    <w:pPr>
      <w:spacing w:beforeLines="50" w:after="0" w:line="360" w:lineRule="auto"/>
      <w:jc w:val="left"/>
    </w:pPr>
    <w:rPr>
      <w:rFonts w:hint="eastAsia" w:ascii="宋体" w:hAnsi="宋体" w:eastAsia="黑体"/>
      <w:b w:val="0"/>
      <w:sz w:val="24"/>
    </w:rPr>
  </w:style>
  <w:style w:type="paragraph" w:customStyle="1" w:styleId="230">
    <w:name w:val="5"/>
    <w:basedOn w:val="1"/>
    <w:next w:val="13"/>
    <w:qFormat/>
    <w:uiPriority w:val="0"/>
    <w:pPr>
      <w:ind w:firstLine="420"/>
    </w:pPr>
  </w:style>
  <w:style w:type="paragraph" w:customStyle="1" w:styleId="231">
    <w:name w:val="4"/>
    <w:basedOn w:val="1"/>
    <w:next w:val="13"/>
    <w:qFormat/>
    <w:uiPriority w:val="0"/>
    <w:pPr>
      <w:ind w:firstLine="420"/>
    </w:pPr>
  </w:style>
  <w:style w:type="paragraph" w:customStyle="1" w:styleId="232">
    <w:name w:val="3"/>
    <w:basedOn w:val="1"/>
    <w:next w:val="13"/>
    <w:qFormat/>
    <w:uiPriority w:val="0"/>
    <w:pPr>
      <w:ind w:firstLine="420"/>
    </w:pPr>
  </w:style>
  <w:style w:type="paragraph" w:customStyle="1" w:styleId="233">
    <w:name w:val="2"/>
    <w:basedOn w:val="1"/>
    <w:next w:val="13"/>
    <w:qFormat/>
    <w:uiPriority w:val="0"/>
    <w:pPr>
      <w:ind w:firstLine="420"/>
    </w:pPr>
  </w:style>
  <w:style w:type="paragraph" w:customStyle="1" w:styleId="234">
    <w:name w:val="1"/>
    <w:basedOn w:val="1"/>
    <w:next w:val="13"/>
    <w:uiPriority w:val="0"/>
    <w:pPr>
      <w:ind w:firstLine="420"/>
    </w:pPr>
  </w:style>
  <w:style w:type="paragraph" w:customStyle="1" w:styleId="235">
    <w:name w:val="增强部分"/>
    <w:basedOn w:val="1"/>
    <w:qFormat/>
    <w:uiPriority w:val="0"/>
    <w:pPr>
      <w:ind w:firstLine="200" w:firstLineChars="200"/>
    </w:pPr>
    <w:rPr>
      <w:rFonts w:eastAsia="黑体"/>
      <w:b/>
    </w:rPr>
  </w:style>
  <w:style w:type="paragraph" w:customStyle="1" w:styleId="236">
    <w:name w:val="术语"/>
    <w:basedOn w:val="1"/>
    <w:qFormat/>
    <w:uiPriority w:val="0"/>
    <w:pPr>
      <w:ind w:firstLine="422" w:firstLineChars="200"/>
    </w:pPr>
    <w:rPr>
      <w:rFonts w:eastAsia="黑体"/>
      <w:b/>
      <w:bCs/>
    </w:rPr>
  </w:style>
  <w:style w:type="character" w:customStyle="1" w:styleId="237">
    <w:name w:val="批注框文本 字符"/>
    <w:link w:val="32"/>
    <w:uiPriority w:val="0"/>
    <w:rPr>
      <w:kern w:val="2"/>
      <w:sz w:val="18"/>
      <w:szCs w:val="18"/>
    </w:rPr>
  </w:style>
  <w:style w:type="paragraph" w:customStyle="1" w:styleId="238">
    <w:name w:val="Char"/>
    <w:basedOn w:val="1"/>
    <w:autoRedefine/>
    <w:qFormat/>
    <w:uiPriority w:val="0"/>
    <w:pPr>
      <w:tabs>
        <w:tab w:val="left" w:pos="360"/>
      </w:tabs>
    </w:pPr>
    <w:rPr>
      <w:sz w:val="24"/>
    </w:rPr>
  </w:style>
  <w:style w:type="character" w:customStyle="1" w:styleId="239">
    <w:name w:val="正文文本首行缩进 2 字符"/>
    <w:basedOn w:val="187"/>
    <w:link w:val="56"/>
    <w:uiPriority w:val="0"/>
    <w:rPr>
      <w:kern w:val="2"/>
      <w:sz w:val="21"/>
      <w:szCs w:val="24"/>
    </w:rPr>
  </w:style>
  <w:style w:type="character" w:customStyle="1" w:styleId="240">
    <w:name w:val="正文文本 2 字符"/>
    <w:link w:val="48"/>
    <w:uiPriority w:val="0"/>
    <w:rPr>
      <w:kern w:val="2"/>
      <w:sz w:val="18"/>
      <w:szCs w:val="24"/>
    </w:rPr>
  </w:style>
  <w:style w:type="character" w:customStyle="1" w:styleId="241">
    <w:name w:val="正文文本 3 字符"/>
    <w:link w:val="19"/>
    <w:uiPriority w:val="0"/>
    <w:rPr>
      <w:kern w:val="2"/>
      <w:sz w:val="16"/>
      <w:szCs w:val="16"/>
    </w:rPr>
  </w:style>
  <w:style w:type="character" w:customStyle="1" w:styleId="242">
    <w:name w:val="样式 宋体 五号"/>
    <w:qFormat/>
    <w:uiPriority w:val="0"/>
    <w:rPr>
      <w:rFonts w:ascii="宋体" w:hAnsi="宋体"/>
      <w:snapToGrid/>
      <w:spacing w:val="0"/>
      <w:sz w:val="21"/>
      <w:szCs w:val="21"/>
    </w:rPr>
  </w:style>
  <w:style w:type="paragraph" w:customStyle="1" w:styleId="243">
    <w:name w:val="样式 五号 首行缩进:  0.74 厘米 行距: 固定值 18 磅"/>
    <w:basedOn w:val="1"/>
    <w:autoRedefine/>
    <w:qFormat/>
    <w:uiPriority w:val="0"/>
    <w:pPr>
      <w:adjustRightInd w:val="0"/>
      <w:snapToGrid w:val="0"/>
      <w:spacing w:line="360" w:lineRule="exact"/>
      <w:ind w:left="420"/>
    </w:pPr>
    <w:rPr>
      <w:rFonts w:ascii="宋体" w:hAnsi="宋体"/>
      <w:bCs/>
      <w:szCs w:val="20"/>
    </w:rPr>
  </w:style>
  <w:style w:type="paragraph" w:customStyle="1" w:styleId="244">
    <w:name w:val="首行缩进"/>
    <w:basedOn w:val="1"/>
    <w:uiPriority w:val="0"/>
    <w:pPr>
      <w:spacing w:line="360" w:lineRule="auto"/>
      <w:ind w:firstLine="480" w:firstLineChars="200"/>
    </w:pPr>
    <w:rPr>
      <w:sz w:val="24"/>
      <w:szCs w:val="20"/>
    </w:rPr>
  </w:style>
  <w:style w:type="paragraph" w:customStyle="1" w:styleId="245">
    <w:name w:val="子目录 Char Char Char Char Char Char"/>
    <w:basedOn w:val="1"/>
    <w:qFormat/>
    <w:uiPriority w:val="0"/>
    <w:pPr>
      <w:framePr w:wrap="auto" w:vAnchor="text" w:hAnchor="text" w:y="1"/>
      <w:adjustRightInd w:val="0"/>
      <w:spacing w:line="360" w:lineRule="auto"/>
      <w:textAlignment w:val="baseline"/>
    </w:pPr>
    <w:rPr>
      <w:rFonts w:ascii="宋体"/>
      <w:b/>
      <w:szCs w:val="20"/>
    </w:rPr>
  </w:style>
  <w:style w:type="paragraph" w:customStyle="1" w:styleId="246">
    <w:name w:val="Char1"/>
    <w:basedOn w:val="1"/>
    <w:autoRedefine/>
    <w:qFormat/>
    <w:uiPriority w:val="0"/>
    <w:pPr>
      <w:tabs>
        <w:tab w:val="left" w:pos="360"/>
      </w:tabs>
    </w:pPr>
    <w:rPr>
      <w:sz w:val="24"/>
    </w:rPr>
  </w:style>
  <w:style w:type="paragraph" w:customStyle="1" w:styleId="247">
    <w:name w:val="Char Char Char Char Char Char Char Char Char Char Char Char Char Char Char Char"/>
    <w:basedOn w:val="1"/>
    <w:autoRedefine/>
    <w:qFormat/>
    <w:uiPriority w:val="0"/>
    <w:pPr>
      <w:tabs>
        <w:tab w:val="left" w:pos="360"/>
      </w:tabs>
    </w:pPr>
    <w:rPr>
      <w:sz w:val="24"/>
    </w:rPr>
  </w:style>
  <w:style w:type="character" w:customStyle="1" w:styleId="248">
    <w:name w:val="日期 字符"/>
    <w:link w:val="29"/>
    <w:uiPriority w:val="0"/>
    <w:rPr>
      <w:kern w:val="2"/>
      <w:sz w:val="21"/>
      <w:szCs w:val="24"/>
    </w:rPr>
  </w:style>
  <w:style w:type="character" w:customStyle="1" w:styleId="249">
    <w:name w:val="批注文字 字符2"/>
    <w:link w:val="17"/>
    <w:qFormat/>
    <w:uiPriority w:val="0"/>
    <w:rPr>
      <w:kern w:val="2"/>
      <w:sz w:val="21"/>
      <w:szCs w:val="24"/>
    </w:rPr>
  </w:style>
  <w:style w:type="character" w:customStyle="1" w:styleId="250">
    <w:name w:val="批注主题 字符"/>
    <w:link w:val="54"/>
    <w:qFormat/>
    <w:uiPriority w:val="0"/>
    <w:rPr>
      <w:b/>
      <w:bCs/>
      <w:kern w:val="2"/>
      <w:sz w:val="21"/>
      <w:szCs w:val="24"/>
    </w:rPr>
  </w:style>
  <w:style w:type="paragraph" w:customStyle="1" w:styleId="251">
    <w:name w:val="Cover Normal"/>
    <w:basedOn w:val="1"/>
    <w:qFormat/>
    <w:uiPriority w:val="0"/>
    <w:pPr>
      <w:widowControl/>
      <w:ind w:left="1440"/>
      <w:jc w:val="left"/>
    </w:pPr>
    <w:rPr>
      <w:rFonts w:ascii="Arial" w:hAnsi="Arial"/>
      <w:kern w:val="16"/>
      <w:sz w:val="24"/>
      <w:szCs w:val="20"/>
      <w:lang w:eastAsia="en-US"/>
    </w:rPr>
  </w:style>
  <w:style w:type="paragraph" w:customStyle="1" w:styleId="252">
    <w:name w:val="Cover Version"/>
    <w:basedOn w:val="251"/>
    <w:next w:val="251"/>
    <w:uiPriority w:val="0"/>
    <w:pPr>
      <w:tabs>
        <w:tab w:val="left" w:pos="360"/>
      </w:tabs>
      <w:ind w:left="360" w:hanging="360"/>
    </w:pPr>
    <w:rPr>
      <w:b/>
    </w:rPr>
  </w:style>
  <w:style w:type="paragraph" w:customStyle="1" w:styleId="253">
    <w:name w:val="Cover Title"/>
    <w:basedOn w:val="251"/>
    <w:next w:val="251"/>
    <w:uiPriority w:val="0"/>
    <w:rPr>
      <w:b/>
      <w:sz w:val="44"/>
    </w:rPr>
  </w:style>
  <w:style w:type="paragraph" w:customStyle="1" w:styleId="254">
    <w:name w:val="Cover Date"/>
    <w:basedOn w:val="251"/>
    <w:next w:val="251"/>
    <w:uiPriority w:val="0"/>
    <w:rPr>
      <w:b/>
    </w:rPr>
  </w:style>
  <w:style w:type="paragraph" w:customStyle="1" w:styleId="255">
    <w:name w:val="CoverSpecVersion"/>
    <w:basedOn w:val="251"/>
    <w:qFormat/>
    <w:uiPriority w:val="0"/>
    <w:rPr>
      <w:b/>
    </w:rPr>
  </w:style>
  <w:style w:type="paragraph" w:customStyle="1" w:styleId="256">
    <w:name w:val="CoverSubTitle"/>
    <w:basedOn w:val="253"/>
    <w:uiPriority w:val="0"/>
  </w:style>
  <w:style w:type="paragraph" w:styleId="257">
    <w:name w:val="List Paragraph"/>
    <w:basedOn w:val="1"/>
    <w:link w:val="258"/>
    <w:qFormat/>
    <w:uiPriority w:val="34"/>
    <w:pPr>
      <w:ind w:firstLine="420" w:firstLineChars="200"/>
    </w:pPr>
    <w:rPr>
      <w:lang w:val="zh-CN" w:eastAsia="zh-CN"/>
    </w:rPr>
  </w:style>
  <w:style w:type="character" w:customStyle="1" w:styleId="258">
    <w:name w:val="列表段落 字符1"/>
    <w:link w:val="257"/>
    <w:qFormat/>
    <w:uiPriority w:val="34"/>
    <w:rPr>
      <w:kern w:val="2"/>
      <w:sz w:val="21"/>
      <w:szCs w:val="24"/>
    </w:rPr>
  </w:style>
  <w:style w:type="paragraph" w:customStyle="1" w:styleId="259">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0">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61">
    <w:name w:val="Revision"/>
    <w:hidden/>
    <w:semiHidden/>
    <w:uiPriority w:val="99"/>
    <w:rPr>
      <w:rFonts w:ascii="Times New Roman" w:hAnsi="Times New Roman" w:eastAsia="宋体" w:cs="Times New Roman"/>
      <w:kern w:val="2"/>
      <w:sz w:val="21"/>
      <w:szCs w:val="24"/>
      <w:lang w:val="en-US" w:eastAsia="zh-CN" w:bidi="ar-SA"/>
    </w:rPr>
  </w:style>
  <w:style w:type="paragraph" w:customStyle="1" w:styleId="262">
    <w:name w:val="Char Char Char Char Char Char Char Char Char Char Char Char Char Char Char Char1"/>
    <w:basedOn w:val="1"/>
    <w:autoRedefine/>
    <w:qFormat/>
    <w:uiPriority w:val="0"/>
    <w:pPr>
      <w:tabs>
        <w:tab w:val="left" w:pos="360"/>
      </w:tabs>
    </w:pPr>
    <w:rPr>
      <w:sz w:val="24"/>
    </w:rPr>
  </w:style>
  <w:style w:type="character" w:customStyle="1" w:styleId="263">
    <w:name w:val="个人答复风格"/>
    <w:qFormat/>
    <w:uiPriority w:val="0"/>
    <w:rPr>
      <w:rFonts w:ascii="Arial" w:hAnsi="Arial" w:eastAsia="宋体" w:cs="Arial"/>
      <w:color w:val="auto"/>
      <w:sz w:val="20"/>
    </w:rPr>
  </w:style>
  <w:style w:type="character" w:customStyle="1" w:styleId="264">
    <w:name w:val="个人撰写风格"/>
    <w:qFormat/>
    <w:uiPriority w:val="0"/>
    <w:rPr>
      <w:rFonts w:ascii="Arial" w:hAnsi="Arial" w:eastAsia="宋体" w:cs="Arial"/>
      <w:color w:val="auto"/>
      <w:sz w:val="20"/>
    </w:rPr>
  </w:style>
  <w:style w:type="paragraph" w:customStyle="1" w:styleId="265">
    <w:name w:val="Char2"/>
    <w:basedOn w:val="1"/>
    <w:autoRedefine/>
    <w:qFormat/>
    <w:uiPriority w:val="0"/>
    <w:pPr>
      <w:tabs>
        <w:tab w:val="left" w:pos="360"/>
      </w:tabs>
    </w:pPr>
    <w:rPr>
      <w:sz w:val="24"/>
    </w:rPr>
  </w:style>
  <w:style w:type="character" w:customStyle="1" w:styleId="266">
    <w:name w:val="彩色列表 - 强调文字颜色 1 Char"/>
    <w:link w:val="267"/>
    <w:uiPriority w:val="34"/>
    <w:rPr>
      <w:rFonts w:ascii="Calibri" w:hAnsi="Calibri"/>
      <w:kern w:val="2"/>
      <w:sz w:val="21"/>
      <w:szCs w:val="22"/>
    </w:rPr>
  </w:style>
  <w:style w:type="paragraph" w:customStyle="1" w:styleId="267">
    <w:name w:val="彩色列表 - 强调文字颜色 11"/>
    <w:basedOn w:val="1"/>
    <w:link w:val="266"/>
    <w:qFormat/>
    <w:uiPriority w:val="34"/>
    <w:pPr>
      <w:ind w:firstLine="420" w:firstLineChars="200"/>
    </w:pPr>
    <w:rPr>
      <w:rFonts w:ascii="Calibri" w:hAnsi="Calibri"/>
      <w:szCs w:val="22"/>
      <w:lang w:val="zh-CN" w:eastAsia="zh-CN"/>
    </w:rPr>
  </w:style>
  <w:style w:type="character" w:customStyle="1" w:styleId="268">
    <w:name w:val="未处理的提及1"/>
    <w:semiHidden/>
    <w:unhideWhenUsed/>
    <w:qFormat/>
    <w:uiPriority w:val="99"/>
    <w:rPr>
      <w:color w:val="605E5C"/>
      <w:shd w:val="clear" w:color="auto" w:fill="E1DFDD"/>
    </w:rPr>
  </w:style>
  <w:style w:type="character" w:customStyle="1" w:styleId="269">
    <w:name w:val="批注文字 字符"/>
    <w:qFormat/>
    <w:uiPriority w:val="0"/>
    <w:rPr>
      <w:kern w:val="2"/>
      <w:sz w:val="21"/>
      <w:szCs w:val="24"/>
    </w:rPr>
  </w:style>
  <w:style w:type="character" w:customStyle="1" w:styleId="270">
    <w:name w:val="列出段落 字符"/>
    <w:qFormat/>
    <w:uiPriority w:val="34"/>
    <w:rPr>
      <w:kern w:val="2"/>
      <w:sz w:val="21"/>
      <w:szCs w:val="24"/>
    </w:rPr>
  </w:style>
  <w:style w:type="paragraph" w:customStyle="1" w:styleId="271">
    <w:name w:val="标准文件_二级条标题"/>
    <w:next w:val="272"/>
    <w:qFormat/>
    <w:uiPriority w:val="0"/>
    <w:pPr>
      <w:widowControl w:val="0"/>
      <w:numPr>
        <w:ilvl w:val="3"/>
        <w:numId w:val="8"/>
      </w:numPr>
      <w:spacing w:before="156" w:beforeLines="50" w:after="156" w:afterLines="50"/>
      <w:jc w:val="both"/>
      <w:outlineLvl w:val="2"/>
    </w:pPr>
    <w:rPr>
      <w:rFonts w:ascii="黑体" w:hAnsi="Times New Roman" w:eastAsia="黑体" w:cs="Times New Roman"/>
      <w:sz w:val="21"/>
      <w:lang w:val="en-US" w:eastAsia="zh-CN" w:bidi="ar-SA"/>
    </w:rPr>
  </w:style>
  <w:style w:type="paragraph" w:customStyle="1" w:styleId="272">
    <w:name w:val="标准文件_段"/>
    <w:link w:val="293"/>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73">
    <w:name w:val="标准文件_三级条标题"/>
    <w:basedOn w:val="271"/>
    <w:next w:val="272"/>
    <w:qFormat/>
    <w:uiPriority w:val="0"/>
    <w:pPr>
      <w:widowControl/>
      <w:numPr>
        <w:ilvl w:val="5"/>
      </w:numPr>
      <w:outlineLvl w:val="3"/>
    </w:pPr>
  </w:style>
  <w:style w:type="paragraph" w:customStyle="1" w:styleId="274">
    <w:name w:val="标准文件_四级条标题"/>
    <w:next w:val="272"/>
    <w:qFormat/>
    <w:uiPriority w:val="0"/>
    <w:pPr>
      <w:widowControl w:val="0"/>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275">
    <w:name w:val="标准文件_五级条标题"/>
    <w:next w:val="272"/>
    <w:qFormat/>
    <w:uiPriority w:val="0"/>
    <w:pPr>
      <w:widowControl w:val="0"/>
      <w:numPr>
        <w:ilvl w:val="6"/>
        <w:numId w:val="8"/>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276">
    <w:name w:val="标准文件_章标题"/>
    <w:next w:val="272"/>
    <w:link w:val="287"/>
    <w:qFormat/>
    <w:uiPriority w:val="0"/>
    <w:pPr>
      <w:numPr>
        <w:ilvl w:val="1"/>
        <w:numId w:val="8"/>
      </w:numPr>
      <w:spacing w:before="312" w:beforeLines="100" w:after="312" w:afterLines="100"/>
      <w:jc w:val="both"/>
      <w:outlineLvl w:val="0"/>
    </w:pPr>
    <w:rPr>
      <w:rFonts w:ascii="黑体" w:hAnsi="Times New Roman" w:eastAsia="黑体" w:cs="Times New Roman"/>
      <w:sz w:val="21"/>
      <w:lang w:val="en-US" w:eastAsia="zh-CN" w:bidi="ar-SA"/>
    </w:rPr>
  </w:style>
  <w:style w:type="paragraph" w:customStyle="1" w:styleId="277">
    <w:name w:val="标准文件_一级条标题"/>
    <w:basedOn w:val="276"/>
    <w:next w:val="272"/>
    <w:link w:val="292"/>
    <w:qFormat/>
    <w:uiPriority w:val="0"/>
    <w:pPr>
      <w:numPr>
        <w:ilvl w:val="2"/>
      </w:numPr>
      <w:spacing w:before="156" w:beforeLines="50" w:after="156" w:afterLines="50"/>
      <w:outlineLvl w:val="1"/>
    </w:pPr>
  </w:style>
  <w:style w:type="paragraph" w:customStyle="1" w:styleId="278">
    <w:name w:val="前言标题"/>
    <w:next w:val="1"/>
    <w:qFormat/>
    <w:uiPriority w:val="0"/>
    <w:pPr>
      <w:numPr>
        <w:ilvl w:val="0"/>
        <w:numId w:val="8"/>
      </w:numPr>
      <w:shd w:val="clear" w:color="FFFFFF" w:fill="FFFFFF"/>
      <w:spacing w:before="540" w:after="600"/>
      <w:jc w:val="center"/>
      <w:outlineLvl w:val="0"/>
    </w:pPr>
    <w:rPr>
      <w:rFonts w:ascii="黑体" w:hAnsi="Times New Roman" w:eastAsia="黑体" w:cs="Times New Roman"/>
      <w:sz w:val="32"/>
      <w:lang w:val="en-US" w:eastAsia="zh-CN" w:bidi="ar-SA"/>
    </w:rPr>
  </w:style>
  <w:style w:type="character" w:customStyle="1" w:styleId="279">
    <w:name w:val="图注 Char2"/>
    <w:link w:val="280"/>
    <w:qFormat/>
    <w:uiPriority w:val="0"/>
    <w:rPr>
      <w:kern w:val="2"/>
      <w:sz w:val="15"/>
      <w:szCs w:val="15"/>
    </w:rPr>
  </w:style>
  <w:style w:type="paragraph" w:customStyle="1" w:styleId="280">
    <w:name w:val="图注"/>
    <w:basedOn w:val="1"/>
    <w:link w:val="279"/>
    <w:qFormat/>
    <w:uiPriority w:val="0"/>
    <w:pPr>
      <w:adjustRightInd w:val="0"/>
      <w:snapToGrid w:val="0"/>
      <w:spacing w:before="40" w:after="200"/>
      <w:jc w:val="center"/>
    </w:pPr>
    <w:rPr>
      <w:sz w:val="15"/>
      <w:szCs w:val="15"/>
    </w:rPr>
  </w:style>
  <w:style w:type="paragraph" w:customStyle="1" w:styleId="281">
    <w:name w:val="团标定义注"/>
    <w:basedOn w:val="1"/>
    <w:link w:val="283"/>
    <w:qFormat/>
    <w:uiPriority w:val="0"/>
    <w:pPr>
      <w:ind w:firstLine="236" w:firstLineChars="236"/>
    </w:pPr>
    <w:rPr>
      <w:rFonts w:ascii="黑体" w:hAnsi="黑体" w:eastAsia="黑体"/>
      <w:color w:val="000000"/>
      <w:sz w:val="18"/>
      <w:szCs w:val="18"/>
    </w:rPr>
  </w:style>
  <w:style w:type="paragraph" w:customStyle="1" w:styleId="282">
    <w:name w:val="团体标准一级正文"/>
    <w:basedOn w:val="39"/>
    <w:link w:val="284"/>
    <w:qFormat/>
    <w:uiPriority w:val="0"/>
    <w:pPr>
      <w:numPr>
        <w:ilvl w:val="0"/>
        <w:numId w:val="9"/>
      </w:numPr>
      <w:tabs>
        <w:tab w:val="center" w:pos="851"/>
        <w:tab w:val="clear" w:pos="4201"/>
      </w:tabs>
      <w:ind w:firstLine="0" w:firstLineChars="0"/>
    </w:pPr>
  </w:style>
  <w:style w:type="character" w:customStyle="1" w:styleId="283">
    <w:name w:val="团标定义注 字符"/>
    <w:link w:val="281"/>
    <w:uiPriority w:val="0"/>
    <w:rPr>
      <w:rFonts w:ascii="黑体" w:hAnsi="黑体" w:eastAsia="黑体"/>
      <w:color w:val="000000"/>
      <w:kern w:val="2"/>
      <w:sz w:val="18"/>
      <w:szCs w:val="18"/>
    </w:rPr>
  </w:style>
  <w:style w:type="character" w:customStyle="1" w:styleId="284">
    <w:name w:val="团体标准一级正文 字符"/>
    <w:link w:val="282"/>
    <w:qFormat/>
    <w:uiPriority w:val="0"/>
    <w:rPr>
      <w:rFonts w:ascii="宋体"/>
      <w:sz w:val="21"/>
    </w:rPr>
  </w:style>
  <w:style w:type="character" w:customStyle="1" w:styleId="285">
    <w:name w:val="列表段落 字符"/>
    <w:autoRedefine/>
    <w:qFormat/>
    <w:uiPriority w:val="34"/>
    <w:rPr>
      <w:rFonts w:ascii="黑体" w:hAnsi="黑体" w:eastAsia="黑体"/>
      <w:kern w:val="2"/>
      <w:sz w:val="18"/>
      <w:szCs w:val="18"/>
    </w:rPr>
  </w:style>
  <w:style w:type="character" w:customStyle="1" w:styleId="286">
    <w:name w:val="批注文字 字符1"/>
    <w:qFormat/>
    <w:uiPriority w:val="0"/>
    <w:rPr>
      <w:kern w:val="2"/>
      <w:sz w:val="21"/>
      <w:szCs w:val="24"/>
      <w:lang w:val="zh-CN" w:eastAsia="zh-CN"/>
    </w:rPr>
  </w:style>
  <w:style w:type="character" w:customStyle="1" w:styleId="287">
    <w:name w:val="标准文件_章标题 字符"/>
    <w:basedOn w:val="59"/>
    <w:link w:val="276"/>
    <w:qFormat/>
    <w:uiPriority w:val="0"/>
    <w:rPr>
      <w:rFonts w:ascii="黑体" w:eastAsia="黑体"/>
      <w:sz w:val="21"/>
    </w:rPr>
  </w:style>
  <w:style w:type="paragraph" w:customStyle="1" w:styleId="288">
    <w:name w:val="标准文件_术语条一"/>
    <w:basedOn w:val="289"/>
    <w:next w:val="272"/>
    <w:link w:val="290"/>
    <w:qFormat/>
    <w:uiPriority w:val="0"/>
  </w:style>
  <w:style w:type="paragraph" w:customStyle="1" w:styleId="289">
    <w:name w:val="标准文件_一级无标题"/>
    <w:basedOn w:val="277"/>
    <w:link w:val="291"/>
    <w:qFormat/>
    <w:uiPriority w:val="0"/>
    <w:pPr>
      <w:spacing w:before="0" w:beforeLines="0" w:after="0" w:afterLines="0"/>
      <w:outlineLvl w:val="9"/>
    </w:pPr>
    <w:rPr>
      <w:rFonts w:ascii="宋体"/>
    </w:rPr>
  </w:style>
  <w:style w:type="character" w:customStyle="1" w:styleId="290">
    <w:name w:val="标准文件_术语条一 字符"/>
    <w:basedOn w:val="291"/>
    <w:link w:val="288"/>
    <w:qFormat/>
    <w:uiPriority w:val="0"/>
    <w:rPr>
      <w:rFonts w:ascii="宋体" w:eastAsia="黑体"/>
      <w:sz w:val="21"/>
    </w:rPr>
  </w:style>
  <w:style w:type="character" w:customStyle="1" w:styleId="291">
    <w:name w:val="标准文件_一级无标题 字符"/>
    <w:basedOn w:val="292"/>
    <w:link w:val="289"/>
    <w:qFormat/>
    <w:uiPriority w:val="0"/>
    <w:rPr>
      <w:rFonts w:ascii="宋体" w:eastAsia="黑体"/>
      <w:sz w:val="21"/>
    </w:rPr>
  </w:style>
  <w:style w:type="character" w:customStyle="1" w:styleId="292">
    <w:name w:val="标准文件_一级条标题 字符"/>
    <w:basedOn w:val="287"/>
    <w:link w:val="277"/>
    <w:qFormat/>
    <w:uiPriority w:val="0"/>
    <w:rPr>
      <w:rFonts w:ascii="黑体" w:eastAsia="黑体"/>
      <w:sz w:val="21"/>
    </w:rPr>
  </w:style>
  <w:style w:type="character" w:customStyle="1" w:styleId="293">
    <w:name w:val="标准文件_段 Char"/>
    <w:link w:val="272"/>
    <w:qFormat/>
    <w:uiPriority w:val="0"/>
    <w:rPr>
      <w:rFonts w:ascii="宋体"/>
      <w:sz w:val="21"/>
    </w:rPr>
  </w:style>
  <w:style w:type="paragraph" w:customStyle="1" w:styleId="294">
    <w:name w:val="标准文件_注："/>
    <w:next w:val="272"/>
    <w:qFormat/>
    <w:uiPriority w:val="0"/>
    <w:pPr>
      <w:widowControl w:val="0"/>
      <w:numPr>
        <w:ilvl w:val="0"/>
        <w:numId w:val="10"/>
      </w:numPr>
      <w:autoSpaceDE w:val="0"/>
      <w:autoSpaceDN w:val="0"/>
      <w:jc w:val="both"/>
    </w:pPr>
    <w:rPr>
      <w:rFonts w:ascii="宋体" w:hAnsi="Times New Roman" w:eastAsia="宋体" w:cs="Times New Roman"/>
      <w:sz w:val="18"/>
      <w:szCs w:val="18"/>
      <w:lang w:val="en-US" w:eastAsia="zh-CN" w:bidi="ar-SA"/>
    </w:rPr>
  </w:style>
  <w:style w:type="paragraph" w:customStyle="1" w:styleId="295">
    <w:name w:val="标准文件_附录标识"/>
    <w:next w:val="272"/>
    <w:qFormat/>
    <w:uiPriority w:val="0"/>
    <w:pPr>
      <w:numPr>
        <w:ilvl w:val="3"/>
        <w:numId w:val="11"/>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296">
    <w:name w:val="标准_四级无标题"/>
    <w:basedOn w:val="274"/>
    <w:next w:val="272"/>
    <w:qFormat/>
    <w:uiPriority w:val="0"/>
    <w:rPr>
      <w:rFonts w:eastAsia="宋体"/>
    </w:rPr>
  </w:style>
  <w:style w:type="paragraph" w:customStyle="1" w:styleId="297">
    <w:name w:val="标准文件_ICS"/>
    <w:basedOn w:val="1"/>
    <w:qFormat/>
    <w:uiPriority w:val="0"/>
    <w:pPr>
      <w:adjustRightInd w:val="0"/>
      <w:spacing w:line="0" w:lineRule="atLeast"/>
    </w:pPr>
    <w:rPr>
      <w:rFonts w:ascii="黑体" w:hAnsi="宋体" w:eastAsia="黑体"/>
      <w:szCs w:val="21"/>
    </w:rPr>
  </w:style>
  <w:style w:type="paragraph" w:customStyle="1" w:styleId="298">
    <w:name w:val="标准文件_标准正文"/>
    <w:basedOn w:val="1"/>
    <w:next w:val="272"/>
    <w:qFormat/>
    <w:uiPriority w:val="0"/>
    <w:pPr>
      <w:adjustRightInd w:val="0"/>
      <w:snapToGrid w:val="0"/>
      <w:spacing w:line="400" w:lineRule="exact"/>
      <w:ind w:firstLine="200" w:firstLineChars="200"/>
    </w:pPr>
    <w:rPr>
      <w:rFonts w:ascii="Calibri" w:hAnsi="Calibri"/>
      <w:kern w:val="0"/>
      <w:szCs w:val="21"/>
    </w:rPr>
  </w:style>
  <w:style w:type="paragraph" w:customStyle="1" w:styleId="299">
    <w:name w:val="标准文件_版本"/>
    <w:basedOn w:val="298"/>
    <w:qFormat/>
    <w:uiPriority w:val="0"/>
    <w:pPr>
      <w:adjustRightInd/>
      <w:snapToGrid/>
      <w:ind w:firstLine="0" w:firstLineChars="0"/>
    </w:pPr>
    <w:rPr>
      <w:rFonts w:ascii="宋体" w:hAnsi="宋体"/>
      <w:kern w:val="2"/>
    </w:rPr>
  </w:style>
  <w:style w:type="paragraph" w:customStyle="1" w:styleId="300">
    <w:name w:val="标准文件_编号列项（三级）"/>
    <w:qFormat/>
    <w:uiPriority w:val="0"/>
    <w:pPr>
      <w:numPr>
        <w:ilvl w:val="2"/>
        <w:numId w:val="12"/>
      </w:numPr>
      <w:tabs>
        <w:tab w:val="left" w:pos="851"/>
      </w:tabs>
    </w:pPr>
    <w:rPr>
      <w:rFonts w:ascii="宋体" w:hAnsi="Times New Roman" w:eastAsia="宋体" w:cs="Times New Roman"/>
      <w:sz w:val="21"/>
      <w:lang w:val="en-US" w:eastAsia="zh-CN" w:bidi="ar-SA"/>
    </w:rPr>
  </w:style>
  <w:style w:type="paragraph" w:customStyle="1" w:styleId="301">
    <w:name w:val="标准文件_标准部门"/>
    <w:basedOn w:val="1"/>
    <w:qFormat/>
    <w:uiPriority w:val="0"/>
    <w:pPr>
      <w:adjustRightInd w:val="0"/>
      <w:spacing w:line="400" w:lineRule="exact"/>
      <w:jc w:val="center"/>
    </w:pPr>
    <w:rPr>
      <w:rFonts w:ascii="黑体" w:hAnsi="Calibri" w:eastAsia="黑体"/>
      <w:kern w:val="0"/>
      <w:sz w:val="44"/>
      <w:szCs w:val="21"/>
    </w:rPr>
  </w:style>
  <w:style w:type="paragraph" w:customStyle="1" w:styleId="302">
    <w:name w:val="标准文件_标准代替"/>
    <w:basedOn w:val="1"/>
    <w:next w:val="1"/>
    <w:qFormat/>
    <w:uiPriority w:val="0"/>
    <w:pPr>
      <w:adjustRightInd w:val="0"/>
      <w:spacing w:line="310" w:lineRule="exact"/>
      <w:jc w:val="right"/>
    </w:pPr>
    <w:rPr>
      <w:rFonts w:ascii="宋体" w:hAnsi="宋体"/>
      <w:kern w:val="0"/>
      <w:szCs w:val="21"/>
    </w:rPr>
  </w:style>
  <w:style w:type="paragraph" w:customStyle="1" w:styleId="303">
    <w:name w:val="标准文件_标准名称标题"/>
    <w:basedOn w:val="1"/>
    <w:next w:val="1"/>
    <w:qFormat/>
    <w:uiPriority w:val="0"/>
    <w:pPr>
      <w:widowControl/>
      <w:shd w:val="clear" w:color="FFFFFF" w:fill="FFFFFF"/>
      <w:spacing w:before="640" w:after="100" w:line="400" w:lineRule="exact"/>
      <w:jc w:val="center"/>
    </w:pPr>
    <w:rPr>
      <w:rFonts w:ascii="黑体" w:hAnsi="Calibri" w:eastAsia="黑体"/>
      <w:kern w:val="0"/>
      <w:sz w:val="32"/>
      <w:szCs w:val="21"/>
    </w:rPr>
  </w:style>
  <w:style w:type="paragraph" w:customStyle="1" w:styleId="304">
    <w:name w:val="标准文件_表格"/>
    <w:basedOn w:val="272"/>
    <w:qFormat/>
    <w:uiPriority w:val="0"/>
    <w:pPr>
      <w:ind w:firstLine="0" w:firstLineChars="0"/>
      <w:jc w:val="center"/>
    </w:pPr>
    <w:rPr>
      <w:sz w:val="18"/>
    </w:rPr>
  </w:style>
  <w:style w:type="paragraph" w:customStyle="1" w:styleId="305">
    <w:name w:val="标准文件_表格续"/>
    <w:basedOn w:val="272"/>
    <w:next w:val="272"/>
    <w:qFormat/>
    <w:uiPriority w:val="0"/>
    <w:pPr>
      <w:jc w:val="center"/>
    </w:pPr>
    <w:rPr>
      <w:rFonts w:ascii="黑体" w:hAnsi="黑体" w:eastAsia="黑体"/>
    </w:rPr>
  </w:style>
  <w:style w:type="paragraph" w:customStyle="1" w:styleId="306">
    <w:name w:val="标准文件_参考文献标题"/>
    <w:basedOn w:val="1"/>
    <w:next w:val="1"/>
    <w:qFormat/>
    <w:uiPriority w:val="0"/>
    <w:pPr>
      <w:widowControl/>
      <w:shd w:val="clear" w:color="FFFFFF" w:fill="FFFFFF"/>
      <w:spacing w:before="40" w:beforeLines="40" w:after="50" w:afterLines="50"/>
      <w:jc w:val="center"/>
      <w:outlineLvl w:val="0"/>
    </w:pPr>
    <w:rPr>
      <w:rFonts w:ascii="黑体" w:hAnsi="Calibri" w:eastAsia="黑体"/>
      <w:kern w:val="0"/>
      <w:szCs w:val="21"/>
    </w:rPr>
  </w:style>
  <w:style w:type="paragraph" w:customStyle="1" w:styleId="307">
    <w:name w:val="标准文件_参考文献条目"/>
    <w:qFormat/>
    <w:uiPriority w:val="0"/>
    <w:pPr>
      <w:numPr>
        <w:ilvl w:val="0"/>
        <w:numId w:val="13"/>
      </w:numPr>
    </w:pPr>
    <w:rPr>
      <w:rFonts w:ascii="宋体" w:hAnsi="Times New Roman" w:eastAsia="宋体" w:cs="Times New Roman"/>
      <w:lang w:val="en-US" w:eastAsia="zh-CN" w:bidi="ar-SA"/>
    </w:rPr>
  </w:style>
  <w:style w:type="paragraph" w:customStyle="1" w:styleId="308">
    <w:name w:val="标准文件_大写罗马数字编号列项"/>
    <w:basedOn w:val="272"/>
    <w:qFormat/>
    <w:uiPriority w:val="0"/>
    <w:pPr>
      <w:numPr>
        <w:ilvl w:val="0"/>
        <w:numId w:val="14"/>
      </w:numPr>
      <w:ind w:firstLine="0" w:firstLineChars="0"/>
    </w:pPr>
    <w:rPr>
      <w:rFonts w:ascii="Times New Roman" w:cs="Arial"/>
      <w:szCs w:val="28"/>
    </w:rPr>
  </w:style>
  <w:style w:type="paragraph" w:customStyle="1" w:styleId="309">
    <w:name w:val="标准文件_二级无标题"/>
    <w:basedOn w:val="271"/>
    <w:qFormat/>
    <w:uiPriority w:val="0"/>
    <w:pPr>
      <w:spacing w:before="0" w:beforeLines="0" w:after="0" w:afterLines="0"/>
      <w:outlineLvl w:val="9"/>
    </w:pPr>
    <w:rPr>
      <w:rFonts w:ascii="宋体" w:eastAsia="宋体"/>
    </w:rPr>
  </w:style>
  <w:style w:type="paragraph" w:customStyle="1" w:styleId="310">
    <w:name w:val="标准文件_二级项"/>
    <w:qFormat/>
    <w:uiPriority w:val="0"/>
    <w:rPr>
      <w:rFonts w:ascii="宋体" w:hAnsi="Times New Roman" w:eastAsia="宋体" w:cs="Times New Roman"/>
      <w:sz w:val="21"/>
      <w:lang w:val="en-US" w:eastAsia="zh-CN" w:bidi="ar-SA"/>
    </w:rPr>
  </w:style>
  <w:style w:type="paragraph" w:customStyle="1" w:styleId="311">
    <w:name w:val="标准文件_二级项2"/>
    <w:basedOn w:val="272"/>
    <w:qFormat/>
    <w:uiPriority w:val="0"/>
    <w:pPr>
      <w:numPr>
        <w:ilvl w:val="1"/>
        <w:numId w:val="15"/>
      </w:numPr>
      <w:tabs>
        <w:tab w:val="left" w:pos="851"/>
      </w:tabs>
      <w:ind w:firstLine="0" w:firstLineChars="0"/>
    </w:pPr>
  </w:style>
  <w:style w:type="character" w:customStyle="1" w:styleId="312">
    <w:name w:val="标准文件_发布"/>
    <w:qFormat/>
    <w:uiPriority w:val="0"/>
    <w:rPr>
      <w:rFonts w:ascii="黑体" w:eastAsia="黑体"/>
      <w:spacing w:val="0"/>
      <w:w w:val="100"/>
      <w:position w:val="3"/>
      <w:sz w:val="28"/>
    </w:rPr>
  </w:style>
  <w:style w:type="paragraph" w:customStyle="1" w:styleId="313">
    <w:name w:val="标准文件_方框数字列项"/>
    <w:basedOn w:val="272"/>
    <w:qFormat/>
    <w:uiPriority w:val="0"/>
    <w:pPr>
      <w:numPr>
        <w:ilvl w:val="0"/>
        <w:numId w:val="16"/>
      </w:numPr>
      <w:ind w:firstLine="0" w:firstLineChars="0"/>
    </w:pPr>
  </w:style>
  <w:style w:type="paragraph" w:customStyle="1" w:styleId="314">
    <w:name w:val="标准文件_封面标准编号"/>
    <w:basedOn w:val="1"/>
    <w:next w:val="302"/>
    <w:qFormat/>
    <w:uiPriority w:val="0"/>
    <w:pPr>
      <w:adjustRightInd w:val="0"/>
      <w:spacing w:line="310" w:lineRule="exact"/>
      <w:jc w:val="right"/>
    </w:pPr>
    <w:rPr>
      <w:rFonts w:ascii="黑体" w:hAnsi="Calibri" w:eastAsia="黑体"/>
      <w:kern w:val="0"/>
      <w:sz w:val="28"/>
      <w:szCs w:val="21"/>
    </w:rPr>
  </w:style>
  <w:style w:type="paragraph" w:customStyle="1" w:styleId="315">
    <w:name w:val="标准文件_封面标准分类号"/>
    <w:basedOn w:val="1"/>
    <w:qFormat/>
    <w:uiPriority w:val="0"/>
    <w:pPr>
      <w:adjustRightInd w:val="0"/>
      <w:spacing w:line="400" w:lineRule="exact"/>
    </w:pPr>
    <w:rPr>
      <w:rFonts w:ascii="黑体" w:hAnsi="Calibri" w:eastAsia="黑体"/>
      <w:b/>
      <w:kern w:val="0"/>
      <w:sz w:val="28"/>
      <w:szCs w:val="21"/>
    </w:rPr>
  </w:style>
  <w:style w:type="paragraph" w:customStyle="1" w:styleId="316">
    <w:name w:val="标准文件_封面标准名称"/>
    <w:basedOn w:val="1"/>
    <w:qFormat/>
    <w:uiPriority w:val="0"/>
    <w:pPr>
      <w:adjustRightInd w:val="0"/>
      <w:jc w:val="center"/>
    </w:pPr>
    <w:rPr>
      <w:rFonts w:ascii="黑体" w:hAnsi="Calibri" w:eastAsia="黑体"/>
      <w:kern w:val="0"/>
      <w:sz w:val="52"/>
      <w:szCs w:val="21"/>
    </w:rPr>
  </w:style>
  <w:style w:type="paragraph" w:customStyle="1" w:styleId="317">
    <w:name w:val="标准文件_封面标准英文名称"/>
    <w:basedOn w:val="1"/>
    <w:qFormat/>
    <w:uiPriority w:val="0"/>
    <w:pPr>
      <w:adjustRightInd w:val="0"/>
      <w:jc w:val="center"/>
    </w:pPr>
    <w:rPr>
      <w:rFonts w:ascii="黑体" w:hAnsi="Calibri" w:eastAsia="黑体"/>
      <w:b/>
      <w:sz w:val="28"/>
      <w:szCs w:val="21"/>
    </w:rPr>
  </w:style>
  <w:style w:type="paragraph" w:customStyle="1" w:styleId="318">
    <w:name w:val="标准文件_封面发布日期"/>
    <w:basedOn w:val="1"/>
    <w:qFormat/>
    <w:uiPriority w:val="0"/>
    <w:pPr>
      <w:adjustRightInd w:val="0"/>
      <w:spacing w:line="310" w:lineRule="exact"/>
    </w:pPr>
    <w:rPr>
      <w:rFonts w:ascii="黑体" w:hAnsi="Calibri" w:eastAsia="黑体"/>
      <w:kern w:val="0"/>
      <w:sz w:val="28"/>
      <w:szCs w:val="21"/>
    </w:rPr>
  </w:style>
  <w:style w:type="paragraph" w:customStyle="1" w:styleId="319">
    <w:name w:val="标准文件_封面密级"/>
    <w:basedOn w:val="1"/>
    <w:qFormat/>
    <w:uiPriority w:val="0"/>
    <w:pPr>
      <w:adjustRightInd w:val="0"/>
      <w:spacing w:line="400" w:lineRule="exact"/>
    </w:pPr>
    <w:rPr>
      <w:rFonts w:ascii="Calibri" w:hAnsi="Calibri" w:eastAsia="黑体"/>
      <w:sz w:val="32"/>
      <w:szCs w:val="21"/>
    </w:rPr>
  </w:style>
  <w:style w:type="paragraph" w:customStyle="1" w:styleId="320">
    <w:name w:val="标准文件_封面实施日期"/>
    <w:basedOn w:val="1"/>
    <w:qFormat/>
    <w:uiPriority w:val="0"/>
    <w:pPr>
      <w:adjustRightInd w:val="0"/>
      <w:spacing w:line="310" w:lineRule="exact"/>
      <w:jc w:val="right"/>
    </w:pPr>
    <w:rPr>
      <w:rFonts w:ascii="黑体" w:hAnsi="Calibri" w:eastAsia="黑体"/>
      <w:sz w:val="28"/>
      <w:szCs w:val="21"/>
    </w:rPr>
  </w:style>
  <w:style w:type="paragraph" w:customStyle="1" w:styleId="321">
    <w:name w:val="标准文件_封面抬头"/>
    <w:basedOn w:val="272"/>
    <w:qFormat/>
    <w:uiPriority w:val="0"/>
    <w:pPr>
      <w:adjustRightInd w:val="0"/>
      <w:spacing w:line="800" w:lineRule="exact"/>
      <w:ind w:firstLine="0" w:firstLineChars="0"/>
      <w:jc w:val="distribute"/>
    </w:pPr>
    <w:rPr>
      <w:rFonts w:ascii="黑体" w:eastAsia="黑体"/>
      <w:b/>
      <w:sz w:val="64"/>
    </w:rPr>
  </w:style>
  <w:style w:type="paragraph" w:customStyle="1" w:styleId="322">
    <w:name w:val="标准文件_附录标题"/>
    <w:basedOn w:val="295"/>
    <w:qFormat/>
    <w:uiPriority w:val="0"/>
    <w:pPr>
      <w:numPr>
        <w:ilvl w:val="0"/>
        <w:numId w:val="0"/>
      </w:numPr>
      <w:spacing w:after="280"/>
      <w:outlineLvl w:val="9"/>
    </w:pPr>
  </w:style>
  <w:style w:type="paragraph" w:customStyle="1" w:styleId="323">
    <w:name w:val="标准文件_附录表标号"/>
    <w:basedOn w:val="272"/>
    <w:next w:val="272"/>
    <w:qFormat/>
    <w:uiPriority w:val="0"/>
    <w:pPr>
      <w:numPr>
        <w:ilvl w:val="0"/>
        <w:numId w:val="17"/>
      </w:numPr>
      <w:spacing w:line="14" w:lineRule="exact"/>
      <w:ind w:firstLine="0" w:firstLineChars="0"/>
      <w:jc w:val="center"/>
    </w:pPr>
    <w:rPr>
      <w:rFonts w:eastAsia="黑体"/>
      <w:vanish/>
      <w:sz w:val="2"/>
    </w:rPr>
  </w:style>
  <w:style w:type="paragraph" w:customStyle="1" w:styleId="324">
    <w:name w:val="标准文件_附录表标题"/>
    <w:next w:val="272"/>
    <w:qFormat/>
    <w:uiPriority w:val="0"/>
    <w:pPr>
      <w:numPr>
        <w:ilvl w:val="1"/>
        <w:numId w:val="17"/>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325">
    <w:name w:val="标准文件_附录一级条标题"/>
    <w:next w:val="272"/>
    <w:qFormat/>
    <w:uiPriority w:val="0"/>
    <w:pPr>
      <w:widowControl w:val="0"/>
      <w:numPr>
        <w:ilvl w:val="1"/>
        <w:numId w:val="11"/>
      </w:numPr>
      <w:spacing w:before="50" w:beforeLines="50" w:after="50" w:afterLines="50"/>
      <w:jc w:val="both"/>
      <w:outlineLvl w:val="1"/>
    </w:pPr>
    <w:rPr>
      <w:rFonts w:ascii="黑体" w:hAnsi="Times New Roman" w:eastAsia="黑体" w:cs="Times New Roman"/>
      <w:kern w:val="21"/>
      <w:sz w:val="21"/>
      <w:lang w:val="en-US" w:eastAsia="zh-CN" w:bidi="ar-SA"/>
    </w:rPr>
  </w:style>
  <w:style w:type="paragraph" w:customStyle="1" w:styleId="326">
    <w:name w:val="标准文件_附录二级条标题"/>
    <w:basedOn w:val="325"/>
    <w:next w:val="272"/>
    <w:qFormat/>
    <w:uiPriority w:val="0"/>
    <w:pPr>
      <w:widowControl/>
      <w:numPr>
        <w:ilvl w:val="5"/>
      </w:numPr>
      <w:wordWrap w:val="0"/>
      <w:overflowPunct w:val="0"/>
      <w:autoSpaceDE w:val="0"/>
      <w:autoSpaceDN w:val="0"/>
      <w:textAlignment w:val="baseline"/>
      <w:outlineLvl w:val="3"/>
    </w:pPr>
  </w:style>
  <w:style w:type="paragraph" w:customStyle="1" w:styleId="327">
    <w:name w:val="标准文件_附录二级无标题"/>
    <w:basedOn w:val="326"/>
    <w:qFormat/>
    <w:uiPriority w:val="0"/>
    <w:pPr>
      <w:spacing w:before="0" w:beforeLines="0" w:after="0" w:afterLines="0" w:line="276" w:lineRule="auto"/>
      <w:outlineLvl w:val="9"/>
    </w:pPr>
    <w:rPr>
      <w:rFonts w:ascii="宋体" w:eastAsia="宋体"/>
    </w:rPr>
  </w:style>
  <w:style w:type="paragraph" w:customStyle="1" w:styleId="328">
    <w:name w:val="标准文件_附录公式"/>
    <w:basedOn w:val="298"/>
    <w:next w:val="298"/>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329">
    <w:name w:val="标准文件_附录前"/>
    <w:next w:val="272"/>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330">
    <w:name w:val="标准文件_附录三级条标题"/>
    <w:next w:val="272"/>
    <w:qFormat/>
    <w:uiPriority w:val="0"/>
    <w:pPr>
      <w:widowControl w:val="0"/>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331">
    <w:name w:val="标准文件_附录三级无标题"/>
    <w:basedOn w:val="330"/>
    <w:qFormat/>
    <w:uiPriority w:val="0"/>
    <w:pPr>
      <w:spacing w:before="0" w:beforeLines="0" w:after="0" w:afterLines="0" w:line="276" w:lineRule="auto"/>
      <w:outlineLvl w:val="9"/>
    </w:pPr>
    <w:rPr>
      <w:rFonts w:ascii="宋体" w:eastAsia="宋体"/>
    </w:rPr>
  </w:style>
  <w:style w:type="paragraph" w:customStyle="1" w:styleId="332">
    <w:name w:val="标准文件_附录四级条标题"/>
    <w:next w:val="272"/>
    <w:qFormat/>
    <w:uiPriority w:val="0"/>
    <w:pPr>
      <w:widowControl w:val="0"/>
      <w:numPr>
        <w:ilvl w:val="4"/>
        <w:numId w:val="11"/>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333">
    <w:name w:val="标准文件_附录四级无标题"/>
    <w:basedOn w:val="332"/>
    <w:qFormat/>
    <w:uiPriority w:val="0"/>
    <w:pPr>
      <w:spacing w:before="0" w:beforeLines="0" w:after="0" w:afterLines="0" w:line="276" w:lineRule="auto"/>
      <w:outlineLvl w:val="9"/>
    </w:pPr>
    <w:rPr>
      <w:rFonts w:ascii="宋体" w:eastAsia="宋体"/>
    </w:rPr>
  </w:style>
  <w:style w:type="paragraph" w:customStyle="1" w:styleId="334">
    <w:name w:val="标准文件_附录图标号"/>
    <w:basedOn w:val="272"/>
    <w:next w:val="272"/>
    <w:qFormat/>
    <w:uiPriority w:val="0"/>
    <w:pPr>
      <w:numPr>
        <w:ilvl w:val="0"/>
        <w:numId w:val="18"/>
      </w:numPr>
      <w:spacing w:line="14" w:lineRule="exact"/>
      <w:ind w:firstLine="0" w:firstLineChars="0"/>
      <w:jc w:val="center"/>
    </w:pPr>
    <w:rPr>
      <w:rFonts w:ascii="黑体" w:hAnsi="黑体" w:eastAsia="黑体"/>
      <w:vanish/>
      <w:sz w:val="2"/>
      <w:szCs w:val="21"/>
    </w:rPr>
  </w:style>
  <w:style w:type="paragraph" w:customStyle="1" w:styleId="335">
    <w:name w:val="标准文件_附录图标题"/>
    <w:next w:val="272"/>
    <w:qFormat/>
    <w:uiPriority w:val="0"/>
    <w:pPr>
      <w:numPr>
        <w:ilvl w:val="1"/>
        <w:numId w:val="18"/>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336">
    <w:name w:val="标准文件_附录五级条标题"/>
    <w:next w:val="272"/>
    <w:qFormat/>
    <w:uiPriority w:val="0"/>
    <w:pPr>
      <w:widowControl w:val="0"/>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337">
    <w:name w:val="标准文件_附录五级无标题"/>
    <w:basedOn w:val="336"/>
    <w:qFormat/>
    <w:uiPriority w:val="0"/>
    <w:pPr>
      <w:spacing w:before="0" w:beforeLines="0" w:after="0" w:afterLines="0" w:line="276" w:lineRule="auto"/>
      <w:outlineLvl w:val="9"/>
    </w:pPr>
    <w:rPr>
      <w:rFonts w:ascii="宋体" w:eastAsia="宋体"/>
    </w:rPr>
  </w:style>
  <w:style w:type="paragraph" w:customStyle="1" w:styleId="338">
    <w:name w:val="标准文件_附录一级无标题"/>
    <w:basedOn w:val="325"/>
    <w:qFormat/>
    <w:uiPriority w:val="0"/>
    <w:pPr>
      <w:spacing w:before="0" w:beforeLines="0" w:after="0" w:afterLines="0" w:line="276" w:lineRule="auto"/>
      <w:outlineLvl w:val="9"/>
    </w:pPr>
    <w:rPr>
      <w:rFonts w:ascii="宋体" w:eastAsia="宋体"/>
    </w:rPr>
  </w:style>
  <w:style w:type="paragraph" w:customStyle="1" w:styleId="339">
    <w:name w:val="标准文件_附录英文标识"/>
    <w:next w:val="20"/>
    <w:qFormat/>
    <w:uiPriority w:val="0"/>
    <w:pPr>
      <w:numPr>
        <w:ilvl w:val="0"/>
        <w:numId w:val="19"/>
      </w:numPr>
      <w:tabs>
        <w:tab w:val="left" w:pos="6406"/>
      </w:tabs>
      <w:spacing w:before="220" w:after="320"/>
      <w:jc w:val="center"/>
      <w:outlineLvl w:val="0"/>
    </w:pPr>
    <w:rPr>
      <w:rFonts w:ascii="黑体" w:hAnsi="Times New Roman" w:eastAsia="黑体" w:cs="Times New Roman"/>
      <w:sz w:val="21"/>
      <w:lang w:val="en-US" w:eastAsia="zh-CN" w:bidi="ar-SA"/>
    </w:rPr>
  </w:style>
  <w:style w:type="paragraph" w:customStyle="1" w:styleId="340">
    <w:name w:val="标准文件_附录章标题"/>
    <w:next w:val="272"/>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41">
    <w:name w:val="标准文件_公式后的破折号"/>
    <w:basedOn w:val="272"/>
    <w:next w:val="272"/>
    <w:qFormat/>
    <w:uiPriority w:val="0"/>
    <w:pPr>
      <w:ind w:left="488" w:leftChars="200" w:hanging="289" w:hangingChars="290"/>
    </w:pPr>
  </w:style>
  <w:style w:type="paragraph" w:customStyle="1" w:styleId="342">
    <w:name w:val="标准文件_脚注内容"/>
    <w:basedOn w:val="272"/>
    <w:qFormat/>
    <w:uiPriority w:val="0"/>
    <w:pPr>
      <w:ind w:left="400" w:leftChars="200" w:hanging="200" w:hangingChars="200"/>
    </w:pPr>
    <w:rPr>
      <w:sz w:val="15"/>
    </w:rPr>
  </w:style>
  <w:style w:type="character" w:customStyle="1" w:styleId="343">
    <w:name w:val="标准文件_来源"/>
    <w:basedOn w:val="59"/>
    <w:qFormat/>
    <w:uiPriority w:val="1"/>
    <w:rPr>
      <w:rFonts w:eastAsia="宋体"/>
      <w:sz w:val="21"/>
    </w:rPr>
  </w:style>
  <w:style w:type="paragraph" w:customStyle="1" w:styleId="344">
    <w:name w:val="标准文件_前言、引言标题"/>
    <w:next w:val="1"/>
    <w:qFormat/>
    <w:uiPriority w:val="0"/>
    <w:pPr>
      <w:numPr>
        <w:ilvl w:val="0"/>
        <w:numId w:val="20"/>
      </w:numPr>
      <w:shd w:val="clear" w:color="FFFFFF" w:fill="FFFFFF"/>
      <w:spacing w:after="150" w:afterLines="150"/>
      <w:jc w:val="center"/>
      <w:outlineLvl w:val="0"/>
    </w:pPr>
    <w:rPr>
      <w:rFonts w:ascii="黑体" w:hAnsi="Times New Roman" w:eastAsia="黑体" w:cs="Times New Roman"/>
      <w:sz w:val="32"/>
      <w:lang w:val="en-US" w:eastAsia="zh-CN" w:bidi="ar-SA"/>
    </w:rPr>
  </w:style>
  <w:style w:type="paragraph" w:customStyle="1" w:styleId="345">
    <w:name w:val="标准文件_目次、标准名称标题"/>
    <w:basedOn w:val="344"/>
    <w:next w:val="272"/>
    <w:qFormat/>
    <w:uiPriority w:val="0"/>
    <w:pPr>
      <w:spacing w:line="460" w:lineRule="exact"/>
      <w:ind w:left="0" w:firstLine="0"/>
    </w:pPr>
  </w:style>
  <w:style w:type="paragraph" w:customStyle="1" w:styleId="346">
    <w:name w:val="标准文件_目录标题"/>
    <w:basedOn w:val="1"/>
    <w:qFormat/>
    <w:uiPriority w:val="0"/>
    <w:pPr>
      <w:adjustRightInd w:val="0"/>
      <w:spacing w:after="150" w:afterLines="150"/>
      <w:jc w:val="center"/>
    </w:pPr>
    <w:rPr>
      <w:rFonts w:ascii="黑体" w:hAnsi="Calibri" w:eastAsia="黑体"/>
      <w:sz w:val="32"/>
      <w:szCs w:val="21"/>
    </w:rPr>
  </w:style>
  <w:style w:type="paragraph" w:customStyle="1" w:styleId="347">
    <w:name w:val="标准文件_破折号列项"/>
    <w:qFormat/>
    <w:uiPriority w:val="0"/>
    <w:pPr>
      <w:numPr>
        <w:ilvl w:val="0"/>
        <w:numId w:val="21"/>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348">
    <w:name w:val="标准文件_破折号列项（二级）"/>
    <w:basedOn w:val="347"/>
    <w:qFormat/>
    <w:uiPriority w:val="0"/>
    <w:pPr>
      <w:numPr>
        <w:numId w:val="22"/>
      </w:numPr>
    </w:pPr>
  </w:style>
  <w:style w:type="paragraph" w:customStyle="1" w:styleId="349">
    <w:name w:val="标准文件_三级无标题"/>
    <w:basedOn w:val="273"/>
    <w:qFormat/>
    <w:uiPriority w:val="0"/>
    <w:pPr>
      <w:spacing w:before="0" w:beforeLines="0" w:after="0" w:afterLines="0"/>
      <w:outlineLvl w:val="9"/>
    </w:pPr>
    <w:rPr>
      <w:rFonts w:ascii="宋体" w:eastAsia="宋体"/>
    </w:rPr>
  </w:style>
  <w:style w:type="paragraph" w:customStyle="1" w:styleId="350">
    <w:name w:val="标准文件_三级项"/>
    <w:basedOn w:val="1"/>
    <w:qFormat/>
    <w:uiPriority w:val="0"/>
    <w:pPr>
      <w:numPr>
        <w:ilvl w:val="2"/>
        <w:numId w:val="15"/>
      </w:numPr>
      <w:tabs>
        <w:tab w:val="left" w:pos="851"/>
      </w:tabs>
      <w:adjustRightInd w:val="0"/>
      <w:spacing w:line="536870612" w:lineRule="auto"/>
    </w:pPr>
    <w:rPr>
      <w:szCs w:val="21"/>
    </w:rPr>
  </w:style>
  <w:style w:type="paragraph" w:customStyle="1" w:styleId="351">
    <w:name w:val="标准文件_三级项2"/>
    <w:basedOn w:val="272"/>
    <w:qFormat/>
    <w:uiPriority w:val="0"/>
    <w:pPr>
      <w:numPr>
        <w:ilvl w:val="0"/>
        <w:numId w:val="23"/>
      </w:numPr>
      <w:spacing w:line="300" w:lineRule="exact"/>
      <w:ind w:firstLineChars="0"/>
    </w:pPr>
    <w:rPr>
      <w:rFonts w:ascii="Times New Roman"/>
    </w:rPr>
  </w:style>
  <w:style w:type="paragraph" w:customStyle="1" w:styleId="352">
    <w:name w:val="标准文件_示例："/>
    <w:next w:val="353"/>
    <w:qFormat/>
    <w:uiPriority w:val="0"/>
    <w:pPr>
      <w:widowControl w:val="0"/>
      <w:numPr>
        <w:ilvl w:val="0"/>
        <w:numId w:val="24"/>
      </w:numPr>
      <w:jc w:val="both"/>
    </w:pPr>
    <w:rPr>
      <w:rFonts w:ascii="宋体" w:hAnsi="Times New Roman" w:eastAsia="宋体" w:cs="Times New Roman"/>
      <w:sz w:val="18"/>
      <w:szCs w:val="18"/>
      <w:lang w:val="en-US" w:eastAsia="zh-CN" w:bidi="ar-SA"/>
    </w:rPr>
  </w:style>
  <w:style w:type="paragraph" w:customStyle="1" w:styleId="353">
    <w:name w:val="标准文件_示例内容"/>
    <w:basedOn w:val="272"/>
    <w:qFormat/>
    <w:uiPriority w:val="0"/>
    <w:rPr>
      <w:sz w:val="18"/>
    </w:rPr>
  </w:style>
  <w:style w:type="paragraph" w:customStyle="1" w:styleId="354">
    <w:name w:val="标准文件_示例×："/>
    <w:basedOn w:val="1"/>
    <w:next w:val="353"/>
    <w:qFormat/>
    <w:uiPriority w:val="0"/>
    <w:pPr>
      <w:widowControl/>
      <w:numPr>
        <w:ilvl w:val="0"/>
        <w:numId w:val="25"/>
      </w:numPr>
    </w:pPr>
    <w:rPr>
      <w:rFonts w:ascii="宋体"/>
      <w:kern w:val="0"/>
      <w:sz w:val="18"/>
      <w:szCs w:val="18"/>
    </w:rPr>
  </w:style>
  <w:style w:type="paragraph" w:customStyle="1" w:styleId="355">
    <w:name w:val="标准文件_示例X后"/>
    <w:basedOn w:val="272"/>
    <w:link w:val="356"/>
    <w:qFormat/>
    <w:uiPriority w:val="0"/>
    <w:pPr>
      <w:ind w:left="1049" w:firstLine="0" w:firstLineChars="0"/>
    </w:pPr>
    <w:rPr>
      <w:sz w:val="18"/>
    </w:rPr>
  </w:style>
  <w:style w:type="character" w:customStyle="1" w:styleId="356">
    <w:name w:val="标准文件_示例X后 字符"/>
    <w:basedOn w:val="293"/>
    <w:link w:val="355"/>
    <w:qFormat/>
    <w:uiPriority w:val="0"/>
    <w:rPr>
      <w:rFonts w:ascii="宋体"/>
      <w:sz w:val="18"/>
    </w:rPr>
  </w:style>
  <w:style w:type="paragraph" w:customStyle="1" w:styleId="357">
    <w:name w:val="标准文件_示例后"/>
    <w:basedOn w:val="272"/>
    <w:qFormat/>
    <w:uiPriority w:val="0"/>
    <w:pPr>
      <w:ind w:left="964" w:firstLine="0" w:firstLineChars="0"/>
    </w:pPr>
    <w:rPr>
      <w:sz w:val="18"/>
    </w:rPr>
  </w:style>
  <w:style w:type="paragraph" w:customStyle="1" w:styleId="358">
    <w:name w:val="标准文件_示例后续"/>
    <w:basedOn w:val="1"/>
    <w:qFormat/>
    <w:uiPriority w:val="0"/>
    <w:pPr>
      <w:ind w:firstLine="200" w:firstLineChars="200"/>
    </w:pPr>
    <w:rPr>
      <w:rFonts w:ascii="Calibri" w:hAnsi="Calibri"/>
      <w:sz w:val="18"/>
    </w:rPr>
  </w:style>
  <w:style w:type="paragraph" w:customStyle="1" w:styleId="359">
    <w:name w:val="标准文件_术语条二"/>
    <w:basedOn w:val="309"/>
    <w:next w:val="272"/>
    <w:qFormat/>
    <w:uiPriority w:val="0"/>
  </w:style>
  <w:style w:type="paragraph" w:customStyle="1" w:styleId="360">
    <w:name w:val="标准文件_术语条三"/>
    <w:basedOn w:val="349"/>
    <w:next w:val="272"/>
    <w:qFormat/>
    <w:uiPriority w:val="0"/>
  </w:style>
  <w:style w:type="paragraph" w:customStyle="1" w:styleId="361">
    <w:name w:val="标准文件_四级无标题"/>
    <w:basedOn w:val="274"/>
    <w:qFormat/>
    <w:uiPriority w:val="0"/>
    <w:pPr>
      <w:spacing w:before="0" w:beforeLines="0" w:after="0" w:afterLines="0"/>
      <w:outlineLvl w:val="9"/>
    </w:pPr>
    <w:rPr>
      <w:rFonts w:ascii="宋体" w:hAnsi="黑体" w:eastAsia="宋体"/>
      <w:szCs w:val="52"/>
    </w:rPr>
  </w:style>
  <w:style w:type="paragraph" w:customStyle="1" w:styleId="362">
    <w:name w:val="标准文件_术语条四"/>
    <w:basedOn w:val="361"/>
    <w:next w:val="272"/>
    <w:qFormat/>
    <w:uiPriority w:val="0"/>
  </w:style>
  <w:style w:type="paragraph" w:customStyle="1" w:styleId="363">
    <w:name w:val="标准文件_五级无标题"/>
    <w:basedOn w:val="275"/>
    <w:qFormat/>
    <w:uiPriority w:val="0"/>
    <w:pPr>
      <w:spacing w:before="0" w:beforeLines="0" w:after="0" w:afterLines="0"/>
      <w:outlineLvl w:val="9"/>
    </w:pPr>
    <w:rPr>
      <w:rFonts w:ascii="宋体" w:eastAsia="宋体"/>
    </w:rPr>
  </w:style>
  <w:style w:type="paragraph" w:customStyle="1" w:styleId="364">
    <w:name w:val="标准文件_术语条五"/>
    <w:basedOn w:val="363"/>
    <w:next w:val="272"/>
    <w:qFormat/>
    <w:uiPriority w:val="0"/>
  </w:style>
  <w:style w:type="paragraph" w:customStyle="1" w:styleId="365">
    <w:name w:val="标准文件_数字编号列项"/>
    <w:qFormat/>
    <w:uiPriority w:val="0"/>
    <w:pPr>
      <w:numPr>
        <w:ilvl w:val="0"/>
        <w:numId w:val="26"/>
      </w:numPr>
      <w:jc w:val="both"/>
    </w:pPr>
    <w:rPr>
      <w:rFonts w:ascii="宋体" w:hAnsi="宋体" w:eastAsia="宋体" w:cs="Times New Roman"/>
      <w:sz w:val="21"/>
      <w:lang w:val="en-US" w:eastAsia="zh-CN" w:bidi="ar-SA"/>
    </w:rPr>
  </w:style>
  <w:style w:type="paragraph" w:customStyle="1" w:styleId="366">
    <w:name w:val="标准文件_数字编号列项（二级）"/>
    <w:qFormat/>
    <w:uiPriority w:val="0"/>
    <w:pPr>
      <w:numPr>
        <w:ilvl w:val="1"/>
        <w:numId w:val="12"/>
      </w:numPr>
      <w:tabs>
        <w:tab w:val="left" w:pos="851"/>
      </w:tabs>
      <w:jc w:val="both"/>
    </w:pPr>
    <w:rPr>
      <w:rFonts w:ascii="宋体" w:hAnsi="Times New Roman" w:eastAsia="宋体" w:cs="Times New Roman"/>
      <w:sz w:val="21"/>
      <w:lang w:val="en-US" w:eastAsia="zh-CN" w:bidi="ar-SA"/>
    </w:rPr>
  </w:style>
  <w:style w:type="paragraph" w:customStyle="1" w:styleId="367">
    <w:name w:val="标准文件_索引标题"/>
    <w:basedOn w:val="306"/>
    <w:next w:val="272"/>
    <w:qFormat/>
    <w:uiPriority w:val="0"/>
    <w:rPr>
      <w:rFonts w:hAnsi="黑体"/>
    </w:rPr>
  </w:style>
  <w:style w:type="paragraph" w:customStyle="1" w:styleId="368">
    <w:name w:val="标准文件_索引项"/>
    <w:basedOn w:val="272"/>
    <w:next w:val="272"/>
    <w:qFormat/>
    <w:uiPriority w:val="0"/>
    <w:pPr>
      <w:tabs>
        <w:tab w:val="right" w:leader="dot" w:pos="9356"/>
      </w:tabs>
      <w:ind w:left="210" w:hanging="210" w:firstLineChars="0"/>
      <w:jc w:val="left"/>
    </w:pPr>
  </w:style>
  <w:style w:type="paragraph" w:customStyle="1" w:styleId="369">
    <w:name w:val="标准文件_索引字母"/>
    <w:next w:val="272"/>
    <w:qFormat/>
    <w:uiPriority w:val="0"/>
    <w:pPr>
      <w:jc w:val="center"/>
    </w:pPr>
    <w:rPr>
      <w:rFonts w:ascii="宋体" w:hAnsi="宋体" w:eastAsia="Times New Roman" w:cs="Times New Roman"/>
      <w:b/>
      <w:kern w:val="2"/>
      <w:sz w:val="21"/>
      <w:lang w:val="en-US" w:eastAsia="zh-CN" w:bidi="ar-SA"/>
    </w:rPr>
  </w:style>
  <w:style w:type="paragraph" w:customStyle="1" w:styleId="370">
    <w:name w:val="标准文件_提示"/>
    <w:basedOn w:val="272"/>
    <w:next w:val="272"/>
    <w:qFormat/>
    <w:uiPriority w:val="0"/>
    <w:rPr>
      <w:rFonts w:ascii="黑体" w:eastAsia="黑体"/>
    </w:rPr>
  </w:style>
  <w:style w:type="paragraph" w:customStyle="1" w:styleId="371">
    <w:name w:val="标准文件_文件编号"/>
    <w:basedOn w:val="272"/>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372">
    <w:name w:val="标准文件_替换文件编号"/>
    <w:basedOn w:val="371"/>
    <w:qFormat/>
    <w:uiPriority w:val="0"/>
    <w:pPr>
      <w:framePr w:wrap="around"/>
      <w:spacing w:before="57"/>
    </w:pPr>
    <w:rPr>
      <w:sz w:val="21"/>
    </w:rPr>
  </w:style>
  <w:style w:type="paragraph" w:customStyle="1" w:styleId="373">
    <w:name w:val="标准文件_条文脚注"/>
    <w:basedOn w:val="41"/>
    <w:qFormat/>
    <w:uiPriority w:val="0"/>
    <w:pPr>
      <w:numPr>
        <w:numId w:val="0"/>
      </w:numPr>
      <w:adjustRightInd w:val="0"/>
      <w:ind w:firstLine="200" w:firstLineChars="200"/>
      <w:jc w:val="both"/>
    </w:pPr>
    <w:rPr>
      <w:rFonts w:hAnsi="宋体"/>
      <w:lang w:val="en-US" w:eastAsia="zh-CN"/>
    </w:rPr>
  </w:style>
  <w:style w:type="paragraph" w:customStyle="1" w:styleId="374">
    <w:name w:val="标准文件_图表脚注"/>
    <w:basedOn w:val="1"/>
    <w:next w:val="272"/>
    <w:qFormat/>
    <w:uiPriority w:val="0"/>
    <w:pPr>
      <w:numPr>
        <w:ilvl w:val="0"/>
        <w:numId w:val="27"/>
      </w:numPr>
      <w:adjustRightInd w:val="0"/>
      <w:jc w:val="left"/>
    </w:pPr>
    <w:rPr>
      <w:rFonts w:ascii="宋体" w:hAnsi="宋体"/>
      <w:sz w:val="18"/>
      <w:szCs w:val="21"/>
    </w:rPr>
  </w:style>
  <w:style w:type="character" w:customStyle="1" w:styleId="375">
    <w:name w:val="标准文件_图表脚注内容"/>
    <w:qFormat/>
    <w:uiPriority w:val="0"/>
    <w:rPr>
      <w:rFonts w:ascii="宋体" w:hAnsi="宋体" w:eastAsia="宋体" w:cs="Times New Roman"/>
      <w:spacing w:val="0"/>
      <w:sz w:val="18"/>
      <w:vertAlign w:val="superscript"/>
    </w:rPr>
  </w:style>
  <w:style w:type="paragraph" w:customStyle="1" w:styleId="37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377">
    <w:name w:val="标准文件_文件名称"/>
    <w:basedOn w:val="272"/>
    <w:next w:val="272"/>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378">
    <w:name w:val="标准文件_小写罗马数字编号列项"/>
    <w:basedOn w:val="272"/>
    <w:qFormat/>
    <w:uiPriority w:val="0"/>
    <w:pPr>
      <w:numPr>
        <w:ilvl w:val="0"/>
        <w:numId w:val="28"/>
      </w:numPr>
      <w:ind w:firstLine="0" w:firstLineChars="0"/>
    </w:pPr>
    <w:rPr>
      <w:rFonts w:cs="Arial"/>
      <w:szCs w:val="28"/>
    </w:rPr>
  </w:style>
  <w:style w:type="paragraph" w:customStyle="1" w:styleId="379">
    <w:name w:val="标准文件_页脚偶数页"/>
    <w:qFormat/>
    <w:uiPriority w:val="0"/>
    <w:pPr>
      <w:ind w:left="227"/>
    </w:pPr>
    <w:rPr>
      <w:rFonts w:ascii="宋体" w:hAnsi="Times New Roman" w:eastAsia="宋体" w:cs="Times New Roman"/>
      <w:sz w:val="18"/>
      <w:lang w:val="en-US" w:eastAsia="zh-CN" w:bidi="ar-SA"/>
    </w:rPr>
  </w:style>
  <w:style w:type="paragraph" w:customStyle="1" w:styleId="380">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38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382">
    <w:name w:val="标准文件_页眉偶数页"/>
    <w:basedOn w:val="381"/>
    <w:next w:val="1"/>
    <w:qFormat/>
    <w:uiPriority w:val="0"/>
    <w:pPr>
      <w:jc w:val="left"/>
    </w:pPr>
  </w:style>
  <w:style w:type="paragraph" w:customStyle="1" w:styleId="383">
    <w:name w:val="标准文件_一级项"/>
    <w:qFormat/>
    <w:uiPriority w:val="0"/>
    <w:pPr>
      <w:numPr>
        <w:ilvl w:val="0"/>
        <w:numId w:val="15"/>
      </w:numPr>
    </w:pPr>
    <w:rPr>
      <w:rFonts w:ascii="宋体" w:hAnsi="Times New Roman" w:eastAsia="宋体" w:cs="Times New Roman"/>
      <w:sz w:val="21"/>
      <w:lang w:val="en-US" w:eastAsia="zh-CN" w:bidi="ar-SA"/>
    </w:rPr>
  </w:style>
  <w:style w:type="paragraph" w:customStyle="1" w:styleId="384">
    <w:name w:val="标准文件_一级项2"/>
    <w:basedOn w:val="272"/>
    <w:qFormat/>
    <w:uiPriority w:val="0"/>
    <w:pPr>
      <w:numPr>
        <w:ilvl w:val="0"/>
        <w:numId w:val="29"/>
      </w:numPr>
      <w:spacing w:line="300" w:lineRule="exact"/>
      <w:ind w:firstLineChars="0"/>
    </w:pPr>
    <w:rPr>
      <w:rFonts w:ascii="Times New Roman"/>
    </w:rPr>
  </w:style>
  <w:style w:type="paragraph" w:customStyle="1" w:styleId="385">
    <w:name w:val="标准文件_一致程度"/>
    <w:basedOn w:val="1"/>
    <w:qFormat/>
    <w:uiPriority w:val="0"/>
    <w:pPr>
      <w:adjustRightInd w:val="0"/>
      <w:spacing w:line="440" w:lineRule="exact"/>
      <w:jc w:val="center"/>
    </w:pPr>
    <w:rPr>
      <w:rFonts w:ascii="Calibri" w:hAnsi="Calibri"/>
      <w:sz w:val="28"/>
      <w:szCs w:val="21"/>
    </w:rPr>
  </w:style>
  <w:style w:type="paragraph" w:customStyle="1" w:styleId="386">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387">
    <w:name w:val="标准文件_引言二级条标题"/>
    <w:basedOn w:val="272"/>
    <w:next w:val="272"/>
    <w:qFormat/>
    <w:uiPriority w:val="0"/>
    <w:pPr>
      <w:numPr>
        <w:ilvl w:val="2"/>
        <w:numId w:val="20"/>
      </w:numPr>
      <w:spacing w:before="50" w:beforeLines="50" w:after="50" w:afterLines="50"/>
      <w:ind w:firstLineChars="0"/>
    </w:pPr>
    <w:rPr>
      <w:rFonts w:ascii="黑体" w:eastAsia="黑体"/>
    </w:rPr>
  </w:style>
  <w:style w:type="paragraph" w:customStyle="1" w:styleId="388">
    <w:name w:val="标准文件_引言二级无标题"/>
    <w:basedOn w:val="387"/>
    <w:next w:val="272"/>
    <w:qFormat/>
    <w:uiPriority w:val="0"/>
    <w:pPr>
      <w:spacing w:before="0" w:beforeLines="0" w:after="0" w:afterLines="0" w:line="276" w:lineRule="auto"/>
    </w:pPr>
    <w:rPr>
      <w:rFonts w:ascii="宋体" w:eastAsia="宋体"/>
    </w:rPr>
  </w:style>
  <w:style w:type="paragraph" w:customStyle="1" w:styleId="389">
    <w:name w:val="标准文件_引言三级条标题"/>
    <w:basedOn w:val="272"/>
    <w:next w:val="272"/>
    <w:qFormat/>
    <w:uiPriority w:val="0"/>
    <w:pPr>
      <w:numPr>
        <w:ilvl w:val="3"/>
        <w:numId w:val="20"/>
      </w:numPr>
      <w:spacing w:before="50" w:beforeLines="50" w:after="50" w:afterLines="50"/>
      <w:ind w:firstLineChars="0"/>
    </w:pPr>
    <w:rPr>
      <w:rFonts w:ascii="黑体" w:eastAsia="黑体"/>
    </w:rPr>
  </w:style>
  <w:style w:type="paragraph" w:customStyle="1" w:styleId="390">
    <w:name w:val="标准文件_引言三级无标题"/>
    <w:basedOn w:val="389"/>
    <w:qFormat/>
    <w:uiPriority w:val="0"/>
    <w:pPr>
      <w:spacing w:before="0" w:beforeLines="0" w:after="0" w:afterLines="0" w:line="276" w:lineRule="auto"/>
    </w:pPr>
    <w:rPr>
      <w:rFonts w:ascii="宋体" w:eastAsia="宋体"/>
    </w:rPr>
  </w:style>
  <w:style w:type="paragraph" w:customStyle="1" w:styleId="391">
    <w:name w:val="标准文件_引言四级条标题"/>
    <w:basedOn w:val="272"/>
    <w:next w:val="272"/>
    <w:qFormat/>
    <w:uiPriority w:val="0"/>
    <w:pPr>
      <w:numPr>
        <w:ilvl w:val="4"/>
        <w:numId w:val="20"/>
      </w:numPr>
      <w:spacing w:before="50" w:beforeLines="50" w:after="50" w:afterLines="50"/>
      <w:ind w:firstLineChars="0"/>
    </w:pPr>
    <w:rPr>
      <w:rFonts w:ascii="黑体" w:eastAsia="黑体"/>
    </w:rPr>
  </w:style>
  <w:style w:type="paragraph" w:customStyle="1" w:styleId="392">
    <w:name w:val="标准文件_引言四级无标题"/>
    <w:basedOn w:val="391"/>
    <w:next w:val="272"/>
    <w:qFormat/>
    <w:uiPriority w:val="0"/>
    <w:pPr>
      <w:spacing w:before="0" w:beforeLines="0" w:after="0" w:afterLines="0" w:line="276" w:lineRule="auto"/>
    </w:pPr>
    <w:rPr>
      <w:rFonts w:ascii="宋体" w:eastAsia="宋体"/>
    </w:rPr>
  </w:style>
  <w:style w:type="paragraph" w:customStyle="1" w:styleId="393">
    <w:name w:val="标准文件_引言五级条标题"/>
    <w:basedOn w:val="272"/>
    <w:next w:val="272"/>
    <w:qFormat/>
    <w:uiPriority w:val="0"/>
    <w:pPr>
      <w:numPr>
        <w:ilvl w:val="5"/>
        <w:numId w:val="20"/>
      </w:numPr>
      <w:spacing w:before="50" w:beforeLines="50" w:after="50" w:afterLines="50"/>
      <w:ind w:firstLineChars="0"/>
    </w:pPr>
    <w:rPr>
      <w:rFonts w:ascii="黑体" w:eastAsia="黑体"/>
    </w:rPr>
  </w:style>
  <w:style w:type="paragraph" w:customStyle="1" w:styleId="394">
    <w:name w:val="标准文件_引言五级无标题"/>
    <w:basedOn w:val="393"/>
    <w:next w:val="272"/>
    <w:qFormat/>
    <w:uiPriority w:val="0"/>
    <w:pPr>
      <w:spacing w:before="0" w:beforeLines="0" w:after="0" w:afterLines="0" w:line="276" w:lineRule="auto"/>
    </w:pPr>
    <w:rPr>
      <w:rFonts w:ascii="宋体" w:eastAsia="宋体"/>
    </w:rPr>
  </w:style>
  <w:style w:type="paragraph" w:customStyle="1" w:styleId="395">
    <w:name w:val="标准文件_引言一级条标题"/>
    <w:basedOn w:val="272"/>
    <w:next w:val="272"/>
    <w:qFormat/>
    <w:uiPriority w:val="0"/>
    <w:pPr>
      <w:numPr>
        <w:ilvl w:val="1"/>
        <w:numId w:val="20"/>
      </w:numPr>
      <w:spacing w:before="50" w:beforeLines="50" w:after="50" w:afterLines="50"/>
      <w:ind w:firstLineChars="0"/>
    </w:pPr>
    <w:rPr>
      <w:rFonts w:ascii="黑体" w:eastAsia="黑体"/>
    </w:rPr>
  </w:style>
  <w:style w:type="paragraph" w:customStyle="1" w:styleId="396">
    <w:name w:val="标准文件_引言一级无标题"/>
    <w:basedOn w:val="395"/>
    <w:next w:val="272"/>
    <w:qFormat/>
    <w:uiPriority w:val="0"/>
    <w:pPr>
      <w:spacing w:before="0" w:beforeLines="0" w:after="0" w:afterLines="0" w:line="276" w:lineRule="auto"/>
    </w:pPr>
    <w:rPr>
      <w:rFonts w:ascii="宋体" w:eastAsia="宋体"/>
    </w:rPr>
  </w:style>
  <w:style w:type="paragraph" w:customStyle="1" w:styleId="397">
    <w:name w:val="标准文件_英文图表脚注"/>
    <w:basedOn w:val="298"/>
    <w:qFormat/>
    <w:uiPriority w:val="0"/>
    <w:pPr>
      <w:widowControl/>
      <w:adjustRightInd/>
      <w:snapToGrid/>
      <w:spacing w:line="240" w:lineRule="auto"/>
      <w:ind w:left="79" w:hanging="79" w:hangingChars="80"/>
    </w:pPr>
    <w:rPr>
      <w:rFonts w:ascii="宋体" w:hAnsi="宋体"/>
    </w:rPr>
  </w:style>
  <w:style w:type="paragraph" w:customStyle="1" w:styleId="398">
    <w:name w:val="标准文件_英文注："/>
    <w:basedOn w:val="1"/>
    <w:next w:val="272"/>
    <w:qFormat/>
    <w:uiPriority w:val="0"/>
    <w:pPr>
      <w:numPr>
        <w:ilvl w:val="0"/>
        <w:numId w:val="30"/>
      </w:numPr>
      <w:tabs>
        <w:tab w:val="left" w:pos="420"/>
      </w:tabs>
      <w:autoSpaceDE w:val="0"/>
      <w:autoSpaceDN w:val="0"/>
      <w:adjustRightInd w:val="0"/>
    </w:pPr>
    <w:rPr>
      <w:rFonts w:ascii="宋体" w:hAnsi="宋体"/>
      <w:kern w:val="0"/>
      <w:sz w:val="18"/>
      <w:szCs w:val="20"/>
    </w:rPr>
  </w:style>
  <w:style w:type="paragraph" w:customStyle="1" w:styleId="399">
    <w:name w:val="标准文件_英文注×："/>
    <w:basedOn w:val="1"/>
    <w:qFormat/>
    <w:uiPriority w:val="0"/>
    <w:pPr>
      <w:numPr>
        <w:ilvl w:val="0"/>
        <w:numId w:val="31"/>
      </w:numPr>
      <w:tabs>
        <w:tab w:val="left" w:pos="210"/>
      </w:tabs>
      <w:autoSpaceDE w:val="0"/>
      <w:autoSpaceDN w:val="0"/>
      <w:adjustRightInd w:val="0"/>
    </w:pPr>
    <w:rPr>
      <w:rFonts w:ascii="宋体" w:hAnsi="宋体"/>
      <w:kern w:val="0"/>
      <w:szCs w:val="20"/>
    </w:rPr>
  </w:style>
  <w:style w:type="paragraph" w:customStyle="1" w:styleId="400">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401">
    <w:name w:val="标准文件_正文表标题"/>
    <w:next w:val="272"/>
    <w:qFormat/>
    <w:uiPriority w:val="0"/>
    <w:pPr>
      <w:numPr>
        <w:ilvl w:val="0"/>
        <w:numId w:val="32"/>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402">
    <w:name w:val="标准文件_正文公式"/>
    <w:basedOn w:val="1"/>
    <w:next w:val="298"/>
    <w:qFormat/>
    <w:uiPriority w:val="0"/>
    <w:pPr>
      <w:tabs>
        <w:tab w:val="center" w:pos="4678"/>
        <w:tab w:val="right" w:leader="middleDot" w:pos="9356"/>
      </w:tabs>
      <w:adjustRightInd w:val="0"/>
    </w:pPr>
    <w:rPr>
      <w:rFonts w:ascii="宋体" w:hAnsi="宋体"/>
      <w:szCs w:val="21"/>
    </w:rPr>
  </w:style>
  <w:style w:type="paragraph" w:customStyle="1" w:styleId="403">
    <w:name w:val="标准文件_正文图标题"/>
    <w:next w:val="272"/>
    <w:qFormat/>
    <w:uiPriority w:val="0"/>
    <w:pPr>
      <w:numPr>
        <w:ilvl w:val="0"/>
        <w:numId w:val="33"/>
      </w:numPr>
      <w:spacing w:before="50" w:beforeLines="50" w:after="50" w:afterLines="50"/>
      <w:jc w:val="center"/>
    </w:pPr>
    <w:rPr>
      <w:rFonts w:ascii="黑体" w:hAnsi="Times New Roman" w:eastAsia="黑体" w:cs="Times New Roman"/>
      <w:sz w:val="21"/>
      <w:lang w:val="en-US" w:eastAsia="zh-CN" w:bidi="ar-SA"/>
    </w:rPr>
  </w:style>
  <w:style w:type="paragraph" w:customStyle="1" w:styleId="404">
    <w:name w:val="标准文件_正文英文表标题"/>
    <w:next w:val="272"/>
    <w:qFormat/>
    <w:uiPriority w:val="0"/>
    <w:pPr>
      <w:numPr>
        <w:ilvl w:val="0"/>
        <w:numId w:val="34"/>
      </w:numPr>
      <w:jc w:val="center"/>
    </w:pPr>
    <w:rPr>
      <w:rFonts w:ascii="黑体" w:hAnsi="Times New Roman" w:eastAsia="黑体" w:cs="Times New Roman"/>
      <w:sz w:val="21"/>
      <w:lang w:val="en-US" w:eastAsia="zh-CN" w:bidi="ar-SA"/>
    </w:rPr>
  </w:style>
  <w:style w:type="paragraph" w:customStyle="1" w:styleId="405">
    <w:name w:val="标准文件_正文英文图标题"/>
    <w:next w:val="272"/>
    <w:qFormat/>
    <w:uiPriority w:val="0"/>
    <w:pPr>
      <w:numPr>
        <w:ilvl w:val="0"/>
        <w:numId w:val="35"/>
      </w:numPr>
      <w:jc w:val="center"/>
    </w:pPr>
    <w:rPr>
      <w:rFonts w:ascii="黑体" w:hAnsi="Times New Roman" w:eastAsia="黑体" w:cs="Times New Roman"/>
      <w:sz w:val="21"/>
      <w:lang w:val="en-US" w:eastAsia="zh-CN" w:bidi="ar-SA"/>
    </w:rPr>
  </w:style>
  <w:style w:type="paragraph" w:customStyle="1" w:styleId="406">
    <w:name w:val="标准文件_注×："/>
    <w:qFormat/>
    <w:uiPriority w:val="0"/>
    <w:pPr>
      <w:widowControl w:val="0"/>
      <w:numPr>
        <w:ilvl w:val="0"/>
        <w:numId w:val="36"/>
      </w:numPr>
      <w:autoSpaceDE w:val="0"/>
      <w:autoSpaceDN w:val="0"/>
      <w:jc w:val="both"/>
    </w:pPr>
    <w:rPr>
      <w:rFonts w:ascii="宋体" w:hAnsi="Times New Roman" w:eastAsia="宋体" w:cs="Times New Roman"/>
      <w:sz w:val="18"/>
      <w:szCs w:val="18"/>
      <w:lang w:val="en-US" w:eastAsia="zh-CN" w:bidi="ar-SA"/>
    </w:rPr>
  </w:style>
  <w:style w:type="paragraph" w:customStyle="1" w:styleId="407">
    <w:name w:val="标准文件_注X后"/>
    <w:basedOn w:val="272"/>
    <w:qFormat/>
    <w:uiPriority w:val="0"/>
    <w:pPr>
      <w:ind w:left="811" w:firstLine="0" w:firstLineChars="0"/>
    </w:pPr>
    <w:rPr>
      <w:sz w:val="18"/>
    </w:rPr>
  </w:style>
  <w:style w:type="paragraph" w:customStyle="1" w:styleId="408">
    <w:name w:val="标准文件_注后"/>
    <w:basedOn w:val="272"/>
    <w:qFormat/>
    <w:uiPriority w:val="0"/>
    <w:pPr>
      <w:ind w:left="811" w:firstLine="0" w:firstLineChars="0"/>
    </w:pPr>
    <w:rPr>
      <w:sz w:val="18"/>
    </w:rPr>
  </w:style>
  <w:style w:type="paragraph" w:customStyle="1" w:styleId="409">
    <w:name w:val="标准文件_字母编号列项（一级）"/>
    <w:qFormat/>
    <w:uiPriority w:val="0"/>
    <w:pPr>
      <w:numPr>
        <w:ilvl w:val="0"/>
        <w:numId w:val="12"/>
      </w:numPr>
      <w:jc w:val="both"/>
    </w:pPr>
    <w:rPr>
      <w:rFonts w:ascii="宋体" w:hAnsi="Times New Roman" w:eastAsia="宋体" w:cs="Times New Roman"/>
      <w:sz w:val="21"/>
      <w:lang w:val="en-US" w:eastAsia="zh-CN" w:bidi="ar-SA"/>
    </w:rPr>
  </w:style>
  <w:style w:type="character" w:customStyle="1" w:styleId="410">
    <w:name w:val="列出段落 Char"/>
    <w:qFormat/>
    <w:uiPriority w:val="34"/>
    <w:rPr>
      <w:kern w:val="2"/>
      <w:sz w:val="21"/>
      <w:szCs w:val="24"/>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microsoft.com/office/2006/relationships/keyMapCustomizations" Target="customizations.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emf"/><Relationship Id="rId22" Type="http://schemas.openxmlformats.org/officeDocument/2006/relationships/package" Target="embeddings/Microsoft_Visio___3.vsdx"/><Relationship Id="rId21" Type="http://schemas.openxmlformats.org/officeDocument/2006/relationships/image" Target="media/image11.emf"/><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package" Target="embeddings/Microsoft_Visio___2.vsdx"/><Relationship Id="rId14" Type="http://schemas.openxmlformats.org/officeDocument/2006/relationships/image" Target="media/image5.emf"/><Relationship Id="rId13" Type="http://schemas.openxmlformats.org/officeDocument/2006/relationships/package" Target="embeddings/Microsoft_Visio___1.vsdx"/><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9029CB1A52F4920B02B7585E04C3895"/>
        <w:style w:val=""/>
        <w:category>
          <w:name w:val="常规"/>
          <w:gallery w:val="placeholder"/>
        </w:category>
        <w:types>
          <w:type w:val="bbPlcHdr"/>
        </w:types>
        <w:behaviors>
          <w:behavior w:val="content"/>
        </w:behaviors>
        <w:description w:val=""/>
        <w:guid w:val="{68F0FB35-4BF5-4C5C-B3E1-3BA34F84958C}"/>
      </w:docPartPr>
      <w:docPartBody>
        <w:p w14:paraId="510542D7">
          <w:pPr>
            <w:pStyle w:val="5"/>
          </w:pPr>
          <w:r>
            <w:rPr>
              <w:rStyle w:val="4"/>
              <w:rFonts w:hint="eastAsia"/>
            </w:rPr>
            <w:t>选择一项。</w:t>
          </w:r>
        </w:p>
      </w:docPartBody>
    </w:docPart>
    <w:docPart>
      <w:docPartPr>
        <w:name w:val="CDD168FC801F4DCBA3A702EB3212A09B"/>
        <w:style w:val=""/>
        <w:category>
          <w:name w:val="常规"/>
          <w:gallery w:val="placeholder"/>
        </w:category>
        <w:types>
          <w:type w:val="bbPlcHdr"/>
        </w:types>
        <w:behaviors>
          <w:behavior w:val="content"/>
        </w:behaviors>
        <w:description w:val=""/>
        <w:guid w:val="{5956636C-AD90-4734-8839-41414AC7771B}"/>
      </w:docPartPr>
      <w:docPartBody>
        <w:p w14:paraId="17B91660">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E1A"/>
    <w:rsid w:val="00010E1A"/>
    <w:rsid w:val="000543C7"/>
    <w:rsid w:val="004B394B"/>
    <w:rsid w:val="005D4538"/>
    <w:rsid w:val="005F7977"/>
    <w:rsid w:val="006B7C70"/>
    <w:rsid w:val="00A645DE"/>
    <w:rsid w:val="00A75490"/>
    <w:rsid w:val="00A87150"/>
    <w:rsid w:val="00C87B1B"/>
    <w:rsid w:val="00CD5044"/>
    <w:rsid w:val="00DD5F11"/>
    <w:rsid w:val="00EE0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89029CB1A52F4920B02B7585E04C3895"/>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CDD168FC801F4DCBA3A702EB3212A09B"/>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E90064-1DF6-4C42-9205-7E997AD38AF6}">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30202</Words>
  <Characters>32275</Characters>
  <Lines>269</Lines>
  <Paragraphs>75</Paragraphs>
  <TotalTime>5</TotalTime>
  <ScaleCrop>false</ScaleCrop>
  <LinksUpToDate>false</LinksUpToDate>
  <CharactersWithSpaces>32612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2024-07-19T04:39:00Z</dcterms:created>
  <dc:creator>CNIS</dc:creator>
  <cp:lastModifiedBy>阳光的味道</cp:lastModifiedBy>
  <cp:lastPrinted>2024-07-10T13:57:00Z</cp:lastPrinted>
  <dcterms:modified xsi:type="dcterms:W3CDTF">2024-08-20T09:15:17Z</dcterms:modified>
  <dc:title>标准名称</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5DA24333E61344DE8FE93838E8C175FB_12</vt:lpwstr>
  </property>
</Properties>
</file>