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75170">
      <w:pPr>
        <w:pStyle w:val="35"/>
        <w:rPr>
          <w:rFonts w:hint="default" w:hAnsi="黑体" w:eastAsia="黑体" w:cs="黑体"/>
          <w:szCs w:val="20"/>
          <w:lang w:val="en-US" w:eastAsia="zh-CN"/>
        </w:rPr>
      </w:pPr>
      <w:bookmarkStart w:id="0" w:name="_Toc530051741"/>
      <w:bookmarkStart w:id="1" w:name="_Toc509826185"/>
      <w:bookmarkStart w:id="2" w:name="_Toc525046548"/>
      <w:bookmarkStart w:id="3" w:name="_Toc873628"/>
      <w:r>
        <w:rPr>
          <w:rFonts w:hint="default" w:ascii="Times New Roman" w:hAnsi="Times New Roman" w:cs="Times New Roman"/>
          <w:b/>
          <w:bCs/>
          <w:szCs w:val="20"/>
        </w:rPr>
        <w:t xml:space="preserve">ICS </w:t>
      </w:r>
      <w:r>
        <w:rPr>
          <w:rFonts w:hint="eastAsia" w:ascii="Times New Roman" w:cs="Times New Roman"/>
          <w:b/>
          <w:bCs/>
          <w:szCs w:val="20"/>
          <w:lang w:val="en-US" w:eastAsia="zh-CN"/>
        </w:rPr>
        <w:t>73.100.10</w:t>
      </w:r>
    </w:p>
    <w:p w14:paraId="5791923E">
      <w:pPr>
        <w:pStyle w:val="35"/>
        <w:rPr>
          <w:rFonts w:hint="default" w:hAnsi="黑体" w:eastAsia="黑体" w:cs="黑体"/>
          <w:szCs w:val="20"/>
          <w:lang w:val="en-US" w:eastAsia="zh-CN"/>
        </w:rPr>
      </w:pPr>
      <w:r>
        <w:rPr>
          <w:rFonts w:hint="default" w:ascii="Times New Roman" w:hAnsi="Times New Roman" w:cs="Times New Roman"/>
          <w:b/>
          <w:bCs/>
          <w:szCs w:val="20"/>
        </w:rPr>
        <w:t xml:space="preserve">CCS </w:t>
      </w:r>
      <w:r>
        <w:rPr>
          <w:rFonts w:hint="eastAsia" w:ascii="Times New Roman" w:cs="Times New Roman"/>
          <w:b/>
          <w:bCs/>
          <w:szCs w:val="20"/>
          <w:lang w:val="en-US" w:eastAsia="zh-CN"/>
        </w:rPr>
        <w:t>J 84</w:t>
      </w:r>
    </w:p>
    <w:p w14:paraId="38D0D894">
      <w:pPr>
        <w:pStyle w:val="35"/>
        <w:rPr>
          <w:rFonts w:hAnsi="黑体" w:cs="黑体"/>
          <w:szCs w:val="20"/>
        </w:rPr>
      </w:pPr>
    </w:p>
    <w:p w14:paraId="5B607148">
      <w:pPr>
        <w:rPr>
          <w:rFonts w:ascii="黑体" w:hAnsi="黑体" w:eastAsia="黑体" w:cs="黑体"/>
          <w:sz w:val="18"/>
          <w:szCs w:val="18"/>
        </w:rPr>
      </w:pPr>
    </w:p>
    <w:p w14:paraId="4B7871C0">
      <w:pPr>
        <w:snapToGrid w:val="0"/>
        <w:spacing w:after="57"/>
        <w:jc w:val="center"/>
        <w:rPr>
          <w:rFonts w:ascii="黑体" w:hAnsi="黑体" w:eastAsia="黑体" w:cs="黑体"/>
          <w:sz w:val="72"/>
          <w:szCs w:val="72"/>
        </w:rPr>
      </w:pPr>
      <w:r>
        <w:rPr>
          <w:rFonts w:hint="eastAsia" w:ascii="黑体" w:hAnsi="黑体" w:eastAsia="黑体" w:cs="黑体"/>
          <w:sz w:val="72"/>
          <w:szCs w:val="72"/>
        </w:rPr>
        <w:t>团     体     标     准</w:t>
      </w:r>
    </w:p>
    <w:p w14:paraId="4CEDC537">
      <w:pPr>
        <w:pStyle w:val="33"/>
        <w:spacing w:line="360" w:lineRule="exact"/>
        <w:ind w:firstLine="0" w:firstLineChars="0"/>
        <w:jc w:val="right"/>
        <w:rPr>
          <w:rFonts w:hint="default" w:ascii="Times New Roman" w:hAnsi="Times New Roman" w:eastAsia="黑体" w:cs="Times New Roman"/>
          <w:kern w:val="0"/>
          <w:sz w:val="28"/>
          <w:szCs w:val="20"/>
          <w:lang w:val="en-US" w:eastAsia="zh-CN"/>
        </w:rPr>
      </w:pPr>
      <w:r>
        <w:rPr>
          <w:rFonts w:ascii="Times New Roman" w:hAnsi="Times New Roman" w:eastAsia="黑体" w:cs="Times New Roman"/>
          <w:b/>
          <w:bCs/>
          <w:kern w:val="0"/>
          <w:sz w:val="28"/>
          <w:szCs w:val="20"/>
        </w:rPr>
        <w:t>T/</w:t>
      </w:r>
      <w:r>
        <w:rPr>
          <w:rFonts w:hint="eastAsia" w:ascii="Times New Roman" w:hAnsi="Times New Roman" w:eastAsia="黑体" w:cs="Times New Roman"/>
          <w:b/>
          <w:bCs/>
          <w:kern w:val="0"/>
          <w:sz w:val="28"/>
          <w:szCs w:val="20"/>
          <w:lang w:val="en-US" w:eastAsia="zh-CN"/>
        </w:rPr>
        <w:t>ZS</w:t>
      </w:r>
      <w:r>
        <w:rPr>
          <w:rFonts w:ascii="Times New Roman" w:hAnsi="Times New Roman" w:eastAsia="黑体" w:cs="Times New Roman"/>
          <w:kern w:val="0"/>
          <w:sz w:val="28"/>
          <w:szCs w:val="20"/>
        </w:rPr>
        <w:t xml:space="preserve"> </w:t>
      </w:r>
      <w:r>
        <w:rPr>
          <w:rFonts w:hint="eastAsia" w:ascii="Times New Roman" w:hAnsi="Times New Roman" w:eastAsia="黑体" w:cs="Times New Roman"/>
          <w:kern w:val="0"/>
          <w:sz w:val="28"/>
          <w:szCs w:val="20"/>
          <w:lang w:val="en-US" w:eastAsia="zh-CN"/>
        </w:rPr>
        <w:t>xxxx</w:t>
      </w:r>
      <w:r>
        <w:rPr>
          <w:rFonts w:hint="eastAsia" w:ascii="Times New Roman" w:hAnsi="Times New Roman" w:eastAsia="黑体" w:cs="Times New Roman"/>
          <w:kern w:val="0"/>
          <w:sz w:val="28"/>
          <w:szCs w:val="20"/>
        </w:rPr>
        <w:t>—</w:t>
      </w:r>
      <w:r>
        <w:rPr>
          <w:rFonts w:hint="eastAsia" w:ascii="Times New Roman" w:hAnsi="Times New Roman" w:eastAsia="黑体" w:cs="Times New Roman"/>
          <w:kern w:val="0"/>
          <w:sz w:val="28"/>
          <w:szCs w:val="20"/>
          <w:lang w:val="en-US" w:eastAsia="zh-CN"/>
        </w:rPr>
        <w:t>2024</w:t>
      </w:r>
    </w:p>
    <w:p w14:paraId="0E55E375">
      <w:pPr>
        <w:pStyle w:val="33"/>
        <w:spacing w:line="360" w:lineRule="exact"/>
        <w:ind w:firstLine="0" w:firstLineChars="0"/>
        <w:jc w:val="right"/>
        <w:rPr>
          <w:rFonts w:hint="default" w:ascii="黑体" w:hAnsi="黑体" w:eastAsia="黑体" w:cs="黑体"/>
          <w:b/>
          <w:sz w:val="24"/>
          <w:szCs w:val="24"/>
          <w:lang w:val="en-US" w:eastAsia="zh-CN"/>
        </w:rPr>
      </w:pPr>
      <w:r>
        <w:rPr>
          <w:rFonts w:ascii="Times New Roman" w:hAnsi="Times New Roman" w:eastAsia="黑体" w:cs="Times New Roman"/>
          <w:b/>
          <w:bCs/>
          <w:kern w:val="0"/>
          <w:sz w:val="28"/>
          <w:szCs w:val="20"/>
        </w:rPr>
        <w:t>T/</w:t>
      </w:r>
      <w:r>
        <w:rPr>
          <w:rFonts w:hint="eastAsia" w:ascii="Times New Roman" w:hAnsi="Times New Roman" w:eastAsia="黑体" w:cs="Times New Roman"/>
          <w:b/>
          <w:bCs/>
          <w:kern w:val="0"/>
          <w:sz w:val="28"/>
          <w:szCs w:val="20"/>
          <w:lang w:val="en-US" w:eastAsia="zh-CN"/>
        </w:rPr>
        <w:t>CSTE</w:t>
      </w:r>
      <w:r>
        <w:rPr>
          <w:rFonts w:hint="eastAsia" w:ascii="Times New Roman" w:hAnsi="Times New Roman" w:eastAsia="黑体" w:cs="Times New Roman"/>
          <w:kern w:val="0"/>
          <w:sz w:val="28"/>
          <w:szCs w:val="20"/>
        </w:rPr>
        <w:t xml:space="preserve"> </w:t>
      </w:r>
      <w:r>
        <w:rPr>
          <w:rFonts w:hint="eastAsia" w:ascii="Times New Roman" w:hAnsi="Times New Roman" w:eastAsia="黑体" w:cs="Times New Roman"/>
          <w:kern w:val="0"/>
          <w:sz w:val="28"/>
          <w:szCs w:val="20"/>
          <w:lang w:val="en-US" w:eastAsia="zh-CN"/>
        </w:rPr>
        <w:t>xxxx</w:t>
      </w:r>
      <w:r>
        <w:rPr>
          <w:rFonts w:hint="eastAsia" w:ascii="Times New Roman" w:hAnsi="Times New Roman" w:eastAsia="黑体" w:cs="Times New Roman"/>
          <w:kern w:val="0"/>
          <w:sz w:val="28"/>
          <w:szCs w:val="20"/>
        </w:rPr>
        <w:t>—</w:t>
      </w:r>
      <w:r>
        <w:rPr>
          <w:rFonts w:hint="eastAsia" w:ascii="黑体" w:hAnsi="黑体" w:eastAsia="黑体" w:cs="黑体"/>
          <w:b/>
          <w:bCs/>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381635</wp:posOffset>
                </wp:positionV>
                <wp:extent cx="6120130" cy="0"/>
                <wp:effectExtent l="0" t="6350" r="4445" b="7620"/>
                <wp:wrapNone/>
                <wp:docPr id="24"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1.15pt;margin-top:30.05pt;height:0pt;width:481.9pt;z-index:251659264;mso-width-relative:page;mso-height-relative:page;" filled="f" stroked="t" coordsize="21600,21600" o:gfxdata="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uGTK1wAA&#10;AAgBAAAPAAAAAAAAAAEAIAAAACIAAABkcnMvZG93bnJldi54bWxQSwECFAAUAAAACACHTuJAvIsA&#10;buYBAACtAwAADgAAAAAAAAABACAAAAAmAQAAZHJzL2Uyb0RvYy54bWxQSwUGAAAAAAYABgBZAQAA&#10;fgUAAAAA&#10;">
                <v:fill on="f" focussize="0,0"/>
                <v:stroke weight="1pt" color="#080000" joinstyle="round"/>
                <v:imagedata o:title=""/>
                <o:lock v:ext="edit" aspectratio="f"/>
              </v:line>
            </w:pict>
          </mc:Fallback>
        </mc:AlternateContent>
      </w:r>
      <w:r>
        <w:rPr>
          <w:rFonts w:hint="eastAsia" w:ascii="Times New Roman" w:hAnsi="Times New Roman" w:eastAsia="黑体" w:cs="Times New Roman"/>
          <w:kern w:val="0"/>
          <w:sz w:val="28"/>
          <w:szCs w:val="20"/>
          <w:lang w:val="en-US" w:eastAsia="zh-CN"/>
        </w:rPr>
        <w:t>2024</w:t>
      </w:r>
    </w:p>
    <w:p w14:paraId="6E1CB0C7">
      <w:pPr>
        <w:pStyle w:val="33"/>
        <w:ind w:firstLine="0" w:firstLineChars="0"/>
        <w:rPr>
          <w:rFonts w:ascii="黑体" w:hAnsi="黑体" w:eastAsia="黑体" w:cs="黑体"/>
          <w:b/>
          <w:spacing w:val="40"/>
          <w:kern w:val="0"/>
          <w:sz w:val="52"/>
          <w:szCs w:val="52"/>
        </w:rPr>
      </w:pPr>
    </w:p>
    <w:p w14:paraId="6429A64F">
      <w:pPr>
        <w:pStyle w:val="33"/>
        <w:ind w:firstLine="548" w:firstLineChars="100"/>
        <w:jc w:val="center"/>
        <w:rPr>
          <w:rFonts w:ascii="黑体" w:hAnsi="黑体" w:eastAsia="黑体" w:cs="黑体"/>
          <w:bCs/>
          <w:spacing w:val="40"/>
          <w:w w:val="90"/>
          <w:kern w:val="0"/>
          <w:sz w:val="52"/>
          <w:szCs w:val="52"/>
        </w:rPr>
      </w:pPr>
      <w:r>
        <w:rPr>
          <w:rFonts w:hint="eastAsia" w:ascii="黑体" w:hAnsi="黑体" w:eastAsia="黑体" w:cs="黑体"/>
          <w:bCs/>
          <w:spacing w:val="40"/>
          <w:w w:val="90"/>
          <w:kern w:val="0"/>
          <w:sz w:val="52"/>
          <w:szCs w:val="52"/>
        </w:rPr>
        <w:t xml:space="preserve">质量分级及“领跑者”评价要求 </w:t>
      </w:r>
    </w:p>
    <w:p w14:paraId="68DB2A34">
      <w:pPr>
        <w:pStyle w:val="33"/>
        <w:ind w:firstLine="548" w:firstLineChars="100"/>
        <w:jc w:val="center"/>
        <w:outlineLvl w:val="0"/>
        <w:rPr>
          <w:rFonts w:hint="default" w:ascii="黑体" w:hAnsi="黑体" w:eastAsia="黑体" w:cs="黑体"/>
          <w:bCs/>
          <w:spacing w:val="40"/>
          <w:w w:val="90"/>
          <w:kern w:val="0"/>
          <w:sz w:val="52"/>
          <w:szCs w:val="52"/>
          <w:lang w:val="en-US" w:eastAsia="zh-CN"/>
        </w:rPr>
      </w:pPr>
      <w:r>
        <w:rPr>
          <w:rFonts w:hint="eastAsia" w:ascii="黑体" w:hAnsi="黑体" w:eastAsia="黑体" w:cs="黑体"/>
          <w:bCs/>
          <w:spacing w:val="40"/>
          <w:w w:val="90"/>
          <w:kern w:val="0"/>
          <w:sz w:val="52"/>
          <w:szCs w:val="52"/>
          <w:lang w:val="en-US" w:eastAsia="zh-CN"/>
        </w:rPr>
        <w:t>露天潜孔钻车</w:t>
      </w:r>
    </w:p>
    <w:p w14:paraId="29D2B443">
      <w:pPr>
        <w:spacing w:before="156" w:beforeLines="50"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 xml:space="preserve">Assessment requirements for quality grading and forerunner — </w:t>
      </w:r>
    </w:p>
    <w:p w14:paraId="306B68CF">
      <w:pPr>
        <w:spacing w:before="156" w:beforeLines="50" w:line="360" w:lineRule="exact"/>
        <w:jc w:val="center"/>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Open-pit type downhole drills</w:t>
      </w:r>
    </w:p>
    <w:p w14:paraId="33BDFA0F">
      <w:pPr>
        <w:pStyle w:val="33"/>
        <w:ind w:firstLine="0" w:firstLineChars="0"/>
        <w:rPr>
          <w:rFonts w:ascii="黑体" w:hAnsi="黑体" w:eastAsia="黑体" w:cs="黑体"/>
          <w:kern w:val="0"/>
          <w:sz w:val="36"/>
          <w:szCs w:val="20"/>
        </w:rPr>
      </w:pPr>
    </w:p>
    <w:p w14:paraId="40305E40">
      <w:pPr>
        <w:pStyle w:val="33"/>
        <w:ind w:firstLine="0" w:firstLineChars="0"/>
        <w:rPr>
          <w:rFonts w:ascii="黑体" w:hAnsi="黑体" w:eastAsia="黑体" w:cs="黑体"/>
          <w:sz w:val="18"/>
          <w:szCs w:val="18"/>
        </w:rPr>
      </w:pPr>
    </w:p>
    <w:p w14:paraId="18458BB9">
      <w:pPr>
        <w:pStyle w:val="33"/>
        <w:ind w:firstLine="0" w:firstLineChars="0"/>
        <w:rPr>
          <w:rFonts w:ascii="黑体" w:hAnsi="黑体" w:eastAsia="黑体" w:cs="黑体"/>
          <w:sz w:val="18"/>
          <w:szCs w:val="18"/>
        </w:rPr>
      </w:pPr>
    </w:p>
    <w:p w14:paraId="33E9381B">
      <w:pPr>
        <w:pStyle w:val="33"/>
        <w:ind w:firstLine="0" w:firstLineChars="0"/>
        <w:rPr>
          <w:rFonts w:ascii="黑体" w:hAnsi="黑体" w:eastAsia="黑体" w:cs="黑体"/>
          <w:sz w:val="18"/>
          <w:szCs w:val="18"/>
        </w:rPr>
      </w:pPr>
    </w:p>
    <w:p w14:paraId="0D84DAE7">
      <w:pPr>
        <w:pStyle w:val="33"/>
        <w:ind w:firstLine="0" w:firstLineChars="0"/>
        <w:rPr>
          <w:rFonts w:ascii="黑体" w:hAnsi="黑体" w:eastAsia="黑体" w:cs="黑体"/>
          <w:sz w:val="18"/>
          <w:szCs w:val="18"/>
        </w:rPr>
      </w:pPr>
    </w:p>
    <w:bookmarkEnd w:id="0"/>
    <w:bookmarkEnd w:id="1"/>
    <w:bookmarkEnd w:id="2"/>
    <w:bookmarkEnd w:id="3"/>
    <w:p w14:paraId="23B15204">
      <w:pPr>
        <w:pStyle w:val="83"/>
        <w:framePr w:w="3816" w:h="1340" w:hRule="exact" w:vAnchor="page" w:hAnchor="page" w:x="3532" w:y="14771"/>
        <w:spacing w:line="580" w:lineRule="exact"/>
        <w:jc w:val="distribute"/>
        <w:rPr>
          <w:rFonts w:ascii="黑体" w:hAnsi="黑体" w:eastAsia="黑体" w:cs="黑体"/>
          <w:bCs/>
          <w:spacing w:val="0"/>
          <w:w w:val="100"/>
          <w:sz w:val="28"/>
          <w:szCs w:val="28"/>
        </w:rPr>
      </w:pPr>
      <w:bookmarkStart w:id="4" w:name="_Hlk131520131"/>
      <w:r>
        <w:rPr>
          <w:rFonts w:hint="eastAsia" w:ascii="黑体" w:hAnsi="黑体" w:eastAsia="黑体" w:cs="黑体"/>
          <w:bCs/>
          <w:spacing w:val="0"/>
          <w:w w:val="100"/>
          <w:sz w:val="28"/>
          <w:szCs w:val="28"/>
        </w:rPr>
        <w:t>浙江省产品与工程标准化协会</w:t>
      </w:r>
    </w:p>
    <w:p w14:paraId="2EBB5B09">
      <w:pPr>
        <w:pStyle w:val="83"/>
        <w:framePr w:w="3816" w:h="1340" w:hRule="exact" w:vAnchor="page" w:hAnchor="page" w:x="3532" w:y="14771"/>
        <w:spacing w:line="580" w:lineRule="exact"/>
        <w:jc w:val="distribute"/>
        <w:rPr>
          <w:rFonts w:ascii="黑体" w:hAnsi="黑体" w:eastAsia="黑体" w:cs="黑体"/>
          <w:bCs/>
          <w:spacing w:val="0"/>
          <w:w w:val="100"/>
          <w:sz w:val="28"/>
          <w:szCs w:val="28"/>
        </w:rPr>
      </w:pPr>
      <w:r>
        <w:rPr>
          <w:rFonts w:hint="eastAsia" w:ascii="黑体" w:hAnsi="黑体" w:eastAsia="黑体" w:cs="黑体"/>
          <w:bCs/>
          <w:spacing w:val="0"/>
          <w:w w:val="100"/>
          <w:sz w:val="28"/>
          <w:szCs w:val="28"/>
        </w:rPr>
        <w:t>中国技术经济</w:t>
      </w:r>
      <w:r>
        <w:rPr>
          <w:rFonts w:hint="eastAsia" w:ascii="黑体" w:hAnsi="黑体" w:eastAsia="黑体" w:cs="黑体"/>
          <w:bCs/>
          <w:spacing w:val="0"/>
          <w:w w:val="100"/>
          <w:sz w:val="28"/>
          <w:szCs w:val="28"/>
          <w:lang w:val="en-US" w:eastAsia="zh-CN"/>
        </w:rPr>
        <w:t>学</w:t>
      </w:r>
      <w:r>
        <w:rPr>
          <w:rFonts w:hint="eastAsia" w:ascii="黑体" w:hAnsi="黑体" w:eastAsia="黑体" w:cs="黑体"/>
          <w:bCs/>
          <w:spacing w:val="0"/>
          <w:w w:val="100"/>
          <w:sz w:val="28"/>
          <w:szCs w:val="28"/>
        </w:rPr>
        <w:t>会</w:t>
      </w:r>
    </w:p>
    <w:bookmarkEnd w:id="4"/>
    <w:p w14:paraId="6B53CD99">
      <w:pPr>
        <w:rPr>
          <w:rFonts w:ascii="宋体"/>
          <w:szCs w:val="21"/>
        </w:rPr>
      </w:pPr>
    </w:p>
    <w:p w14:paraId="4FDE24CC">
      <w:pPr>
        <w:rPr>
          <w:rFonts w:ascii="宋体"/>
          <w:szCs w:val="21"/>
        </w:rPr>
      </w:pPr>
    </w:p>
    <w:p w14:paraId="219E3DB2">
      <w:pPr>
        <w:rPr>
          <w:rFonts w:ascii="宋体"/>
          <w:szCs w:val="21"/>
        </w:rPr>
      </w:pPr>
    </w:p>
    <w:p w14:paraId="368EDFFA">
      <w:pPr>
        <w:rPr>
          <w:rFonts w:ascii="宋体"/>
          <w:szCs w:val="21"/>
        </w:rPr>
      </w:pPr>
    </w:p>
    <w:p w14:paraId="11C4E0C8">
      <w:pPr>
        <w:pStyle w:val="2"/>
      </w:pPr>
    </w:p>
    <w:p w14:paraId="030865EF">
      <w:pPr>
        <w:pStyle w:val="2"/>
      </w:pPr>
    </w:p>
    <w:p w14:paraId="2C71A16A">
      <w:pPr>
        <w:rPr>
          <w:rFonts w:ascii="宋体"/>
          <w:szCs w:val="21"/>
        </w:rPr>
      </w:pPr>
    </w:p>
    <w:p w14:paraId="754EE24D">
      <w:pPr>
        <w:pStyle w:val="2"/>
      </w:pPr>
    </w:p>
    <w:p w14:paraId="7BF836C1">
      <w:pPr>
        <w:rPr>
          <w:rFonts w:ascii="宋体"/>
          <w:szCs w:val="21"/>
        </w:rPr>
      </w:pPr>
    </w:p>
    <w:p w14:paraId="519ACE15">
      <w:pPr>
        <w:rPr>
          <w:rFonts w:ascii="宋体"/>
          <w:szCs w:val="21"/>
        </w:rPr>
      </w:pPr>
    </w:p>
    <w:p w14:paraId="288AE38D">
      <w:pPr>
        <w:ind w:left="-424" w:leftChars="-202" w:firstLine="423" w:firstLineChars="153"/>
        <w:jc w:val="left"/>
        <w:rPr>
          <w:rFonts w:ascii="黑体" w:hAnsi="微软雅黑" w:eastAsia="黑体"/>
          <w:sz w:val="28"/>
          <w:szCs w:val="28"/>
        </w:rPr>
      </w:pPr>
      <w:r>
        <w:rPr>
          <w:rFonts w:hint="eastAsia" w:ascii="黑体" w:hAnsi="黑体" w:eastAsia="黑体"/>
          <w:w w:val="99"/>
          <w:sz w:val="28"/>
          <w:szCs w:val="28"/>
        </w:rPr>
        <w:t xml:space="preserve">                 </w:t>
      </w:r>
    </w:p>
    <w:p w14:paraId="628BDC4A">
      <w:pPr>
        <w:rPr>
          <w:rFonts w:ascii="宋体"/>
          <w:szCs w:val="21"/>
        </w:rPr>
      </w:pPr>
      <w:r>
        <w:rPr>
          <w:rFonts w:ascii="宋体"/>
          <w:szCs w:val="21"/>
        </w:rPr>
        <mc:AlternateContent>
          <mc:Choice Requires="wps">
            <w:drawing>
              <wp:anchor distT="45720" distB="45720" distL="114300" distR="114300" simplePos="0" relativeHeight="251662336" behindDoc="0" locked="0" layoutInCell="1" allowOverlap="1">
                <wp:simplePos x="0" y="0"/>
                <wp:positionH relativeFrom="column">
                  <wp:posOffset>4715510</wp:posOffset>
                </wp:positionH>
                <wp:positionV relativeFrom="paragraph">
                  <wp:posOffset>19685</wp:posOffset>
                </wp:positionV>
                <wp:extent cx="1644650" cy="393700"/>
                <wp:effectExtent l="6350" t="6350" r="25400" b="6350"/>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44650" cy="393700"/>
                        </a:xfrm>
                        <a:prstGeom prst="rect">
                          <a:avLst/>
                        </a:prstGeom>
                        <a:solidFill>
                          <a:schemeClr val="bg1"/>
                        </a:solidFill>
                        <a:ln w="9525">
                          <a:solidFill>
                            <a:schemeClr val="bg1"/>
                          </a:solidFill>
                          <a:miter lim="800000"/>
                        </a:ln>
                      </wps:spPr>
                      <wps:txbx>
                        <w:txbxContent>
                          <w:p w14:paraId="040E6D05">
                            <w:r>
                              <w:rPr>
                                <w:rFonts w:hint="eastAsia" w:ascii="黑体" w:hAnsi="微软雅黑" w:eastAsia="黑体"/>
                                <w:w w:val="99"/>
                                <w:sz w:val="28"/>
                                <w:szCs w:val="28"/>
                              </w:rPr>
                              <w:t>202</w:t>
                            </w:r>
                            <w:r>
                              <w:rPr>
                                <w:rFonts w:hint="eastAsia" w:ascii="黑体" w:hAnsi="微软雅黑" w:eastAsia="黑体"/>
                                <w:w w:val="99"/>
                                <w:sz w:val="28"/>
                                <w:szCs w:val="28"/>
                                <w:lang w:val="en-US" w:eastAsia="zh-CN"/>
                              </w:rPr>
                              <w:t>4</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 xml:space="preserve"> </w:t>
                            </w:r>
                            <w:r>
                              <w:rPr>
                                <w:rFonts w:hint="eastAsia" w:ascii="黑体" w:hAnsi="黑体" w:eastAsia="黑体"/>
                                <w:w w:val="99"/>
                                <w:sz w:val="28"/>
                                <w:szCs w:val="28"/>
                              </w:rPr>
                              <w:t>实施</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71.3pt;margin-top:1.55pt;height:31pt;width:129.5pt;mso-wrap-distance-bottom:3.6pt;mso-wrap-distance-left:9pt;mso-wrap-distance-right:9pt;mso-wrap-distance-top:3.6pt;z-index:251662336;mso-width-relative:page;mso-height-relative:page;" fillcolor="#FFFFFF [3212]" filled="t" stroked="t" coordsize="21600,21600" o:gfxdata="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OnygjWAAAACQEAAA8AAAAAAAAAAQAgAAAAIgAAAGRycy9kb3ducmV2&#10;LnhtbFBLAQIUABQAAAAIAIdO4kDX7W/ZNwIAAHwEAAAOAAAAAAAAAAEAIAAAACUBAABkcnMvZTJv&#10;RG9jLnhtbFBLBQYAAAAABgAGAFkBAADOBQAAAAA=&#10;">
                <v:fill on="t" focussize="0,0"/>
                <v:stroke color="#FFFFFF [3212]" miterlimit="8" joinstyle="miter"/>
                <v:imagedata o:title=""/>
                <o:lock v:ext="edit" aspectratio="f"/>
                <v:textbox>
                  <w:txbxContent>
                    <w:p w14:paraId="040E6D05">
                      <w:r>
                        <w:rPr>
                          <w:rFonts w:hint="eastAsia" w:ascii="黑体" w:hAnsi="微软雅黑" w:eastAsia="黑体"/>
                          <w:w w:val="99"/>
                          <w:sz w:val="28"/>
                          <w:szCs w:val="28"/>
                        </w:rPr>
                        <w:t>202</w:t>
                      </w:r>
                      <w:r>
                        <w:rPr>
                          <w:rFonts w:hint="eastAsia" w:ascii="黑体" w:hAnsi="微软雅黑" w:eastAsia="黑体"/>
                          <w:w w:val="99"/>
                          <w:sz w:val="28"/>
                          <w:szCs w:val="28"/>
                          <w:lang w:val="en-US" w:eastAsia="zh-CN"/>
                        </w:rPr>
                        <w:t>4</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 xml:space="preserve"> </w:t>
                      </w:r>
                      <w:r>
                        <w:rPr>
                          <w:rFonts w:hint="eastAsia" w:ascii="黑体" w:hAnsi="黑体" w:eastAsia="黑体"/>
                          <w:w w:val="99"/>
                          <w:sz w:val="28"/>
                          <w:szCs w:val="28"/>
                        </w:rPr>
                        <w:t>实施</w:t>
                      </w:r>
                    </w:p>
                  </w:txbxContent>
                </v:textbox>
                <w10:wrap type="square"/>
              </v:shape>
            </w:pict>
          </mc:Fallback>
        </mc:AlternateContent>
      </w:r>
      <w:r>
        <w:rPr>
          <w:rFonts w:ascii="宋体"/>
          <w:szCs w:val="21"/>
        </w:rPr>
        <mc:AlternateContent>
          <mc:Choice Requires="wps">
            <w:drawing>
              <wp:anchor distT="45720" distB="45720" distL="114300" distR="114300" simplePos="0" relativeHeight="251661312" behindDoc="0" locked="0" layoutInCell="1" allowOverlap="1">
                <wp:simplePos x="0" y="0"/>
                <wp:positionH relativeFrom="column">
                  <wp:posOffset>-53340</wp:posOffset>
                </wp:positionH>
                <wp:positionV relativeFrom="paragraph">
                  <wp:posOffset>32385</wp:posOffset>
                </wp:positionV>
                <wp:extent cx="2273300" cy="381000"/>
                <wp:effectExtent l="0" t="0" r="1270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73300" cy="381000"/>
                        </a:xfrm>
                        <a:prstGeom prst="rect">
                          <a:avLst/>
                        </a:prstGeom>
                        <a:solidFill>
                          <a:schemeClr val="bg1"/>
                        </a:solidFill>
                        <a:ln w="9525">
                          <a:solidFill>
                            <a:schemeClr val="bg1"/>
                          </a:solidFill>
                          <a:miter lim="800000"/>
                        </a:ln>
                      </wps:spPr>
                      <wps:txbx>
                        <w:txbxContent>
                          <w:p w14:paraId="4C8AE41B">
                            <w:r>
                              <w:rPr>
                                <w:rFonts w:hint="eastAsia" w:ascii="黑体" w:hAnsi="微软雅黑" w:eastAsia="黑体"/>
                                <w:w w:val="99"/>
                                <w:sz w:val="28"/>
                                <w:szCs w:val="28"/>
                              </w:rPr>
                              <w:t>202</w:t>
                            </w:r>
                            <w:r>
                              <w:rPr>
                                <w:rFonts w:hint="eastAsia" w:ascii="黑体" w:hAnsi="微软雅黑" w:eastAsia="黑体"/>
                                <w:w w:val="99"/>
                                <w:sz w:val="28"/>
                                <w:szCs w:val="28"/>
                                <w:lang w:val="en-US" w:eastAsia="zh-CN"/>
                              </w:rPr>
                              <w:t>4</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 xml:space="preserve"> </w:t>
                            </w:r>
                            <w:r>
                              <w:rPr>
                                <w:rFonts w:hint="eastAsia" w:ascii="黑体" w:hAnsi="黑体" w:eastAsia="黑体"/>
                                <w:w w:val="99"/>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2pt;margin-top:2.55pt;height:30pt;width:179pt;mso-wrap-distance-bottom:3.6pt;mso-wrap-distance-left:9pt;mso-wrap-distance-right:9pt;mso-wrap-distance-top:3.6pt;z-index:251661312;mso-width-relative:page;mso-height-relative:page;" fillcolor="#FFFFFF [3212]" filled="t" stroked="t" coordsize="21600,21600" o:gfxdata="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wLQhNUAAAAHAQAADwAAAAAAAAABACAAAAAiAAAAZHJzL2Rvd25yZXYu&#10;eG1sUEsBAhQAFAAAAAgAh07iQKm4gvQ3AgAAfQQAAA4AAAAAAAAAAQAgAAAAJAEAAGRycy9lMm9E&#10;b2MueG1sUEsFBgAAAAAGAAYAWQEAAM0FAAAAAA==&#10;">
                <v:fill on="t" focussize="0,0"/>
                <v:stroke color="#FFFFFF [3212]" miterlimit="8" joinstyle="miter"/>
                <v:imagedata o:title=""/>
                <o:lock v:ext="edit" aspectratio="f"/>
                <v:textbox>
                  <w:txbxContent>
                    <w:p w14:paraId="4C8AE41B">
                      <w:r>
                        <w:rPr>
                          <w:rFonts w:hint="eastAsia" w:ascii="黑体" w:hAnsi="微软雅黑" w:eastAsia="黑体"/>
                          <w:w w:val="99"/>
                          <w:sz w:val="28"/>
                          <w:szCs w:val="28"/>
                        </w:rPr>
                        <w:t>202</w:t>
                      </w:r>
                      <w:r>
                        <w:rPr>
                          <w:rFonts w:hint="eastAsia" w:ascii="黑体" w:hAnsi="微软雅黑" w:eastAsia="黑体"/>
                          <w:w w:val="99"/>
                          <w:sz w:val="28"/>
                          <w:szCs w:val="28"/>
                          <w:lang w:val="en-US" w:eastAsia="zh-CN"/>
                        </w:rPr>
                        <w:t>4</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w:t>
                      </w:r>
                      <w:r>
                        <w:rPr>
                          <w:rFonts w:hint="eastAsia" w:ascii="黑体" w:hAnsi="微软雅黑" w:eastAsia="黑体"/>
                          <w:w w:val="99"/>
                          <w:sz w:val="28"/>
                          <w:szCs w:val="28"/>
                          <w:lang w:val="en-US" w:eastAsia="zh-CN"/>
                        </w:rPr>
                        <w:t>xx</w:t>
                      </w:r>
                      <w:r>
                        <w:rPr>
                          <w:rFonts w:hint="eastAsia" w:ascii="黑体" w:hAnsi="微软雅黑" w:eastAsia="黑体"/>
                          <w:w w:val="99"/>
                          <w:sz w:val="28"/>
                          <w:szCs w:val="28"/>
                        </w:rPr>
                        <w:t xml:space="preserve"> </w:t>
                      </w:r>
                      <w:r>
                        <w:rPr>
                          <w:rFonts w:hint="eastAsia" w:ascii="黑体" w:hAnsi="黑体" w:eastAsia="黑体"/>
                          <w:w w:val="99"/>
                          <w:sz w:val="28"/>
                          <w:szCs w:val="28"/>
                        </w:rPr>
                        <w:t>发布</w:t>
                      </w:r>
                    </w:p>
                  </w:txbxContent>
                </v:textbox>
                <w10:wrap type="square"/>
              </v:shape>
            </w:pict>
          </mc:Fallback>
        </mc:AlternateContent>
      </w:r>
    </w:p>
    <w:p w14:paraId="39467F20">
      <w:pPr>
        <w:rPr>
          <w:rFonts w:ascii="宋体"/>
          <w:szCs w:val="21"/>
        </w:rPr>
      </w:pPr>
    </w:p>
    <w:p w14:paraId="049BFE10">
      <w:pPr>
        <w:rPr>
          <w:rFonts w:ascii="宋体"/>
          <w:szCs w:val="21"/>
        </w:rPr>
      </w:pPr>
      <w:r>
        <w:rPr>
          <w:rFonts w:hint="eastAsia" w:ascii="黑体" w:hAnsi="黑体" w:eastAsia="黑体" w:cs="黑体"/>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82550</wp:posOffset>
                </wp:positionV>
                <wp:extent cx="6121400" cy="0"/>
                <wp:effectExtent l="0" t="6350" r="3175" b="7620"/>
                <wp:wrapNone/>
                <wp:docPr id="8"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2.25pt;margin-top:6.5pt;height:0pt;width:482pt;z-index:251660288;mso-width-relative:page;mso-height-relative:page;" filled="f" stroked="t" coordsize="21600,21600" o:gfxdata="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klo/DVAAAABwEA&#10;AA8AAAAAAAAAAQAgAAAAIgAAAGRycy9kb3ducmV2LnhtbFBLAQIUABQAAAAIAIdO4kBvuq+U5AEA&#10;AKwDAAAOAAAAAAAAAAEAIAAAACQBAABkcnMvZTJvRG9jLnhtbFBLBQYAAAAABgAGAFkBAAB6BQAA&#10;AAA=&#10;">
                <v:fill on="f" focussize="0,0"/>
                <v:stroke weight="1pt" color="#080000" joinstyle="round"/>
                <v:imagedata o:title=""/>
                <o:lock v:ext="edit" aspectratio="f"/>
              </v:line>
            </w:pict>
          </mc:Fallback>
        </mc:AlternateContent>
      </w:r>
    </w:p>
    <w:p w14:paraId="332DA14E">
      <w:pPr>
        <w:rPr>
          <w:rFonts w:ascii="宋体"/>
          <w:szCs w:val="21"/>
        </w:rPr>
      </w:pPr>
    </w:p>
    <w:p w14:paraId="00B300BE">
      <w:pPr>
        <w:pStyle w:val="83"/>
        <w:framePr w:w="1314" w:h="654" w:hRule="exact" w:vAnchor="page" w:hAnchor="page" w:x="7588" w:y="15066"/>
        <w:spacing w:line="580" w:lineRule="exact"/>
        <w:rPr>
          <w:rFonts w:ascii="黑体" w:hAnsi="黑体" w:eastAsia="黑体" w:cs="黑体"/>
          <w:bCs/>
          <w:spacing w:val="0"/>
          <w:w w:val="100"/>
          <w:sz w:val="28"/>
          <w:szCs w:val="28"/>
        </w:rPr>
      </w:pPr>
      <w:r>
        <w:rPr>
          <w:rFonts w:hint="eastAsia" w:ascii="黑体" w:hAnsi="黑体" w:eastAsia="黑体" w:cs="黑体"/>
          <w:bCs/>
          <w:spacing w:val="0"/>
          <w:w w:val="100"/>
          <w:sz w:val="28"/>
          <w:szCs w:val="28"/>
          <w:lang w:val="en-US" w:eastAsia="zh-CN"/>
        </w:rPr>
        <w:t>联合</w:t>
      </w:r>
      <w:r>
        <w:rPr>
          <w:rFonts w:hint="eastAsia" w:ascii="黑体" w:hAnsi="黑体" w:eastAsia="黑体" w:cs="黑体"/>
          <w:bCs/>
          <w:spacing w:val="0"/>
          <w:w w:val="100"/>
          <w:sz w:val="28"/>
          <w:szCs w:val="28"/>
        </w:rPr>
        <w:t>发布</w:t>
      </w:r>
    </w:p>
    <w:p w14:paraId="6B20B056">
      <w:pPr>
        <w:rPr>
          <w:rFonts w:ascii="宋体"/>
          <w:szCs w:val="21"/>
        </w:rPr>
      </w:pPr>
    </w:p>
    <w:p w14:paraId="0047F74C">
      <w:pPr>
        <w:rPr>
          <w:rFonts w:ascii="宋体"/>
          <w:szCs w:val="21"/>
        </w:rPr>
      </w:pPr>
    </w:p>
    <w:p w14:paraId="3AAD1E89">
      <w:pPr>
        <w:rPr>
          <w:rFonts w:ascii="宋体"/>
          <w:szCs w:val="21"/>
        </w:rPr>
      </w:pPr>
    </w:p>
    <w:p w14:paraId="13417D4F">
      <w:pPr>
        <w:rPr>
          <w:rFonts w:ascii="宋体"/>
          <w:szCs w:val="21"/>
        </w:rPr>
      </w:pPr>
    </w:p>
    <w:p w14:paraId="6DFCC3AD">
      <w:pPr>
        <w:rPr>
          <w:rFonts w:ascii="宋体"/>
          <w:szCs w:val="21"/>
        </w:rPr>
      </w:pPr>
    </w:p>
    <w:p w14:paraId="067CDFD7">
      <w:pPr>
        <w:rPr>
          <w:rFonts w:ascii="宋体"/>
          <w:szCs w:val="21"/>
        </w:rPr>
      </w:pPr>
    </w:p>
    <w:p w14:paraId="19A60746">
      <w:pPr>
        <w:rPr>
          <w:rFonts w:ascii="宋体"/>
          <w:szCs w:val="21"/>
        </w:rPr>
      </w:pPr>
    </w:p>
    <w:p w14:paraId="6E2E8598">
      <w:pPr>
        <w:rPr>
          <w:rFonts w:ascii="宋体"/>
          <w:szCs w:val="21"/>
        </w:rPr>
      </w:pPr>
    </w:p>
    <w:p w14:paraId="7F9CFBB6">
      <w:pPr>
        <w:rPr>
          <w:rFonts w:ascii="宋体"/>
          <w:szCs w:val="21"/>
        </w:rPr>
      </w:pPr>
    </w:p>
    <w:p w14:paraId="6331A938">
      <w:pPr>
        <w:rPr>
          <w:rFonts w:ascii="宋体"/>
          <w:szCs w:val="21"/>
        </w:rPr>
      </w:pPr>
    </w:p>
    <w:p w14:paraId="66D781A0">
      <w:pPr>
        <w:rPr>
          <w:rFonts w:ascii="宋体"/>
          <w:szCs w:val="21"/>
        </w:rPr>
      </w:pPr>
    </w:p>
    <w:p w14:paraId="6E95B99B">
      <w:pPr>
        <w:rPr>
          <w:rFonts w:ascii="宋体"/>
          <w:szCs w:val="21"/>
        </w:rPr>
      </w:pPr>
    </w:p>
    <w:p w14:paraId="71F1AA33">
      <w:pPr>
        <w:rPr>
          <w:rFonts w:ascii="宋体"/>
          <w:szCs w:val="21"/>
        </w:rPr>
      </w:pPr>
    </w:p>
    <w:p w14:paraId="61C03C59">
      <w:pPr>
        <w:rPr>
          <w:rFonts w:ascii="宋体"/>
          <w:szCs w:val="21"/>
        </w:rPr>
      </w:pPr>
    </w:p>
    <w:p w14:paraId="00AE5D7D">
      <w:pPr>
        <w:rPr>
          <w:rFonts w:ascii="宋体"/>
          <w:szCs w:val="21"/>
        </w:rPr>
      </w:pPr>
    </w:p>
    <w:p w14:paraId="641F6CEC">
      <w:pPr>
        <w:rPr>
          <w:rFonts w:ascii="宋体"/>
          <w:szCs w:val="21"/>
        </w:rPr>
      </w:pPr>
    </w:p>
    <w:p w14:paraId="6803E1D2">
      <w:pPr>
        <w:rPr>
          <w:rFonts w:ascii="宋体"/>
          <w:szCs w:val="21"/>
        </w:rPr>
      </w:pPr>
    </w:p>
    <w:p w14:paraId="3E9C5A96">
      <w:pPr>
        <w:rPr>
          <w:rFonts w:ascii="宋体"/>
          <w:szCs w:val="21"/>
        </w:rPr>
      </w:pPr>
    </w:p>
    <w:p w14:paraId="6AB9221D">
      <w:pPr>
        <w:rPr>
          <w:rFonts w:ascii="宋体"/>
          <w:szCs w:val="21"/>
        </w:rPr>
      </w:pPr>
    </w:p>
    <w:p w14:paraId="78F8B4AB">
      <w:pPr>
        <w:rPr>
          <w:rFonts w:ascii="宋体"/>
          <w:szCs w:val="21"/>
        </w:rPr>
      </w:pPr>
    </w:p>
    <w:p w14:paraId="4A08FEFA">
      <w:pPr>
        <w:rPr>
          <w:rFonts w:ascii="宋体"/>
          <w:szCs w:val="21"/>
        </w:rPr>
      </w:pPr>
    </w:p>
    <w:p w14:paraId="786AE4FB">
      <w:pPr>
        <w:rPr>
          <w:rFonts w:ascii="宋体"/>
          <w:szCs w:val="21"/>
        </w:rPr>
      </w:pPr>
    </w:p>
    <w:p w14:paraId="29AC8F3C">
      <w:pPr>
        <w:rPr>
          <w:rFonts w:ascii="宋体"/>
          <w:szCs w:val="21"/>
        </w:rPr>
      </w:pPr>
    </w:p>
    <w:p w14:paraId="373C2189">
      <w:pPr>
        <w:rPr>
          <w:rFonts w:ascii="宋体"/>
          <w:szCs w:val="21"/>
        </w:rPr>
      </w:pPr>
    </w:p>
    <w:p w14:paraId="370FF9B5">
      <w:pPr>
        <w:rPr>
          <w:rFonts w:ascii="宋体"/>
          <w:szCs w:val="21"/>
        </w:rPr>
      </w:pPr>
    </w:p>
    <w:p w14:paraId="165DE01D">
      <w:pPr>
        <w:rPr>
          <w:rFonts w:ascii="宋体"/>
          <w:szCs w:val="21"/>
        </w:rPr>
      </w:pPr>
    </w:p>
    <w:p w14:paraId="60CCE3AB">
      <w:pPr>
        <w:rPr>
          <w:rFonts w:ascii="宋体"/>
          <w:szCs w:val="21"/>
        </w:rPr>
      </w:pPr>
    </w:p>
    <w:p w14:paraId="074C7E4F">
      <w:pPr>
        <w:rPr>
          <w:rFonts w:ascii="宋体"/>
          <w:szCs w:val="21"/>
        </w:rPr>
      </w:pPr>
    </w:p>
    <w:p w14:paraId="1948A688">
      <w:pPr>
        <w:rPr>
          <w:rFonts w:ascii="宋体"/>
          <w:szCs w:val="21"/>
        </w:rPr>
      </w:pPr>
    </w:p>
    <w:p w14:paraId="5650C338">
      <w:pPr>
        <w:rPr>
          <w:rFonts w:ascii="宋体"/>
          <w:szCs w:val="21"/>
        </w:rPr>
      </w:pPr>
    </w:p>
    <w:p w14:paraId="06C02857">
      <w:pPr>
        <w:pStyle w:val="2"/>
      </w:pPr>
    </w:p>
    <w:p w14:paraId="6A1DEA27">
      <w:pPr>
        <w:rPr>
          <w:rFonts w:ascii="宋体"/>
          <w:szCs w:val="21"/>
        </w:rPr>
      </w:pPr>
    </w:p>
    <w:p w14:paraId="3B77F468">
      <w:pPr>
        <w:rPr>
          <w:rFonts w:ascii="宋体"/>
          <w:szCs w:val="21"/>
        </w:rPr>
      </w:pPr>
    </w:p>
    <w:p w14:paraId="4763FA17">
      <w:pPr>
        <w:rPr>
          <w:rFonts w:ascii="宋体"/>
          <w:szCs w:val="21"/>
        </w:rPr>
      </w:pPr>
    </w:p>
    <w:p w14:paraId="6C406F7D">
      <w:pPr>
        <w:rPr>
          <w:rFonts w:ascii="宋体"/>
          <w:szCs w:val="21"/>
        </w:rPr>
      </w:pPr>
    </w:p>
    <w:p w14:paraId="34A49D5E">
      <w:pPr>
        <w:rPr>
          <w:rFonts w:ascii="宋体"/>
          <w:szCs w:val="21"/>
        </w:rPr>
      </w:pPr>
    </w:p>
    <w:p w14:paraId="53743838">
      <w:pPr>
        <w:rPr>
          <w:rFonts w:ascii="宋体"/>
          <w:szCs w:val="21"/>
        </w:rPr>
      </w:pPr>
    </w:p>
    <w:p w14:paraId="627E9A05">
      <w:pPr>
        <w:rPr>
          <w:rFonts w:ascii="宋体"/>
          <w:szCs w:val="21"/>
        </w:rPr>
      </w:pPr>
      <w:r>
        <w:rPr>
          <w:rFonts w:ascii="宋体"/>
          <w:szCs w:val="21"/>
        </w:rPr>
        <w:drawing>
          <wp:inline distT="0" distB="0" distL="114300" distR="114300">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808990" cy="765175"/>
                    </a:xfrm>
                    <a:prstGeom prst="rect">
                      <a:avLst/>
                    </a:prstGeom>
                    <a:noFill/>
                    <a:ln>
                      <a:noFill/>
                    </a:ln>
                  </pic:spPr>
                </pic:pic>
              </a:graphicData>
            </a:graphic>
          </wp:inline>
        </w:drawing>
      </w:r>
      <w:r>
        <w:rPr>
          <w:rFonts w:ascii="宋体"/>
          <w:szCs w:val="21"/>
        </w:rPr>
        <w:t xml:space="preserve"> </w:t>
      </w:r>
      <w:r>
        <w:rPr>
          <w:rFonts w:hint="eastAsia" w:ascii="宋体"/>
          <w:szCs w:val="21"/>
        </w:rPr>
        <w:t>版权保护文件</w:t>
      </w:r>
    </w:p>
    <w:p w14:paraId="41E5F2B2">
      <w:pPr>
        <w:spacing w:before="156" w:beforeLines="50" w:after="156" w:afterLines="50"/>
        <w:rPr>
          <w:rFonts w:ascii="宋体"/>
          <w:szCs w:val="21"/>
        </w:rPr>
      </w:pPr>
      <w:r>
        <w:rPr>
          <w:rFonts w:hint="eastAsia" w:ascii="宋体"/>
          <w:szCs w:val="21"/>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14:paraId="348B1CFF">
      <w:pPr>
        <w:pStyle w:val="42"/>
        <w:shd w:val="clear" w:color="FFFFFF" w:fill="FFFFFF"/>
        <w:outlineLvl w:val="9"/>
        <w:rPr>
          <w:rFonts w:hint="eastAsia" w:hAnsi="Times New Roman" w:cs="Times New Roman"/>
          <w:lang w:val="en-US" w:eastAsia="zh-CN"/>
        </w:rPr>
        <w:sectPr>
          <w:headerReference r:id="rId3" w:type="default"/>
          <w:headerReference r:id="rId4" w:type="even"/>
          <w:pgSz w:w="11906" w:h="16838"/>
          <w:pgMar w:top="1134" w:right="1134" w:bottom="1134" w:left="1134" w:header="737" w:footer="850"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sdt>
      <w:sdtPr>
        <w:rPr>
          <w:rFonts w:hint="eastAsia" w:hAnsi="Times New Roman" w:cs="Times New Roman"/>
          <w:lang w:val="en-US" w:eastAsia="zh-CN"/>
        </w:rPr>
        <w:id w:val="147457847"/>
        <w15:color w:val="DBDBDB"/>
        <w:docPartObj>
          <w:docPartGallery w:val="Table of Contents"/>
          <w:docPartUnique/>
        </w:docPartObj>
      </w:sdtPr>
      <w:sdtEndPr>
        <w:rPr>
          <w:rFonts w:hint="eastAsia" w:hAnsi="Times New Roman" w:cs="Times New Roman"/>
          <w:b/>
          <w:lang w:val="en-US" w:eastAsia="zh-CN"/>
        </w:rPr>
      </w:sdtEndPr>
      <w:sdtContent>
        <w:p w14:paraId="4BF57449">
          <w:pPr>
            <w:pStyle w:val="42"/>
            <w:keepNext/>
            <w:keepLines w:val="0"/>
            <w:pageBreakBefore/>
            <w:widowControl/>
            <w:shd w:val="clear" w:color="FFFFFF" w:fill="FFFFFF"/>
            <w:kinsoku/>
            <w:wordWrap/>
            <w:overflowPunct/>
            <w:topLinePunct w:val="0"/>
            <w:autoSpaceDE/>
            <w:autoSpaceDN/>
            <w:bidi w:val="0"/>
            <w:adjustRightInd/>
            <w:snapToGrid/>
            <w:textAlignment w:val="auto"/>
            <w:outlineLvl w:val="0"/>
            <w:rPr>
              <w:rFonts w:hint="default" w:hAnsi="Times New Roman" w:cs="Times New Roman"/>
              <w:lang w:val="en-US" w:eastAsia="zh-CN"/>
            </w:rPr>
          </w:pPr>
          <w:r>
            <w:rPr>
              <w:rFonts w:hint="eastAsia" w:hAnsi="Times New Roman" w:cs="Times New Roman"/>
              <w:lang w:val="en-US" w:eastAsia="zh-CN"/>
            </w:rPr>
            <w:t xml:space="preserve">目  </w:t>
          </w:r>
          <w:r>
            <w:rPr>
              <w:rFonts w:hint="eastAsia" w:cs="Times New Roman"/>
              <w:lang w:val="en-US" w:eastAsia="zh-CN"/>
            </w:rPr>
            <w:t>次</w:t>
          </w:r>
        </w:p>
        <w:p w14:paraId="371EADF6">
          <w:pPr>
            <w:pStyle w:val="94"/>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TOC \o "1-2" \h \u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_Toc9583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前言</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_Toc9583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II</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0E6DB52D">
          <w:pPr>
            <w:pStyle w:val="94"/>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_Toc12865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 范围</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_Toc12865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68CE5AC0">
          <w:pPr>
            <w:pStyle w:val="94"/>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_Toc6565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 规范性引用文件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_Toc6565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72334DBD">
          <w:pPr>
            <w:pStyle w:val="94"/>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_Toc32736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 术语和定义</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_Toc32736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4C684CD2">
          <w:pPr>
            <w:pStyle w:val="94"/>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_Toc26156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 基本要求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_Toc26156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760CAE8E">
          <w:pPr>
            <w:pStyle w:val="94"/>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_Toc23997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 评价指标及要求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_Toc23997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3E612F39">
          <w:pPr>
            <w:pStyle w:val="95"/>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_Toc22366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评价指标分类</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_Toc22366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7C9B233A">
          <w:pPr>
            <w:pStyle w:val="95"/>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_Toc27247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评价指标体系框架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_Toc27247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63A36BAA">
          <w:pPr>
            <w:pStyle w:val="94"/>
            <w:tabs>
              <w:tab w:val="right" w:leader="dot" w:pos="9638"/>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_Toc3724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 评价方法及等级划分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_Toc3724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42A7ACFF">
          <w:r>
            <w:rPr>
              <w:rFonts w:hint="eastAsia" w:ascii="宋体" w:hAnsi="宋体" w:eastAsia="宋体" w:cs="宋体"/>
              <w:b w:val="0"/>
              <w:bCs w:val="0"/>
              <w:sz w:val="21"/>
              <w:szCs w:val="21"/>
            </w:rPr>
            <w:fldChar w:fldCharType="end"/>
          </w:r>
        </w:p>
      </w:sdtContent>
    </w:sdt>
    <w:p w14:paraId="7B37D080">
      <w:pPr>
        <w:rPr>
          <w:rFonts w:hint="eastAsia"/>
        </w:rPr>
      </w:pPr>
      <w:r>
        <w:rPr>
          <w:rFonts w:hint="eastAsia"/>
        </w:rPr>
        <w:br w:type="page"/>
      </w:r>
    </w:p>
    <w:p w14:paraId="7BBA2E4C">
      <w:pPr>
        <w:pStyle w:val="42"/>
        <w:outlineLvl w:val="0"/>
      </w:pPr>
      <w:bookmarkStart w:id="5" w:name="_Toc9583"/>
      <w:r>
        <w:rPr>
          <w:rFonts w:hint="eastAsia"/>
        </w:rPr>
        <w:t>前</w:t>
      </w:r>
      <w:bookmarkStart w:id="6" w:name="BKQY"/>
      <w:r>
        <w:rPr>
          <w:rFonts w:hint="eastAsia"/>
        </w:rPr>
        <w:t>  言</w:t>
      </w:r>
      <w:bookmarkEnd w:id="5"/>
      <w:bookmarkEnd w:id="6"/>
    </w:p>
    <w:p w14:paraId="408975CE">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Times New Roman"/>
          <w:kern w:val="0"/>
          <w:highlight w:val="none"/>
        </w:rPr>
      </w:pPr>
      <w:bookmarkStart w:id="7" w:name="_Toc65687977"/>
      <w:r>
        <w:rPr>
          <w:rFonts w:hint="eastAsia" w:ascii="宋体" w:hAnsi="宋体" w:eastAsia="宋体" w:cs="Times New Roman"/>
          <w:kern w:val="0"/>
          <w:highlight w:val="none"/>
        </w:rPr>
        <w:t>本文件按照GB/T 1.1—2020《标准化工作导则 第1部分：标准化文件的结构和起草规则》和T/CAS 700—2023、T/CSTE 0321—2023《质量分级及“领跑者”评价标准编制通则》的规定起草。</w:t>
      </w:r>
    </w:p>
    <w:p w14:paraId="379F4337">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Times New Roman"/>
          <w:kern w:val="0"/>
          <w:highlight w:val="none"/>
        </w:rPr>
      </w:pPr>
      <w:r>
        <w:rPr>
          <w:rFonts w:ascii="宋体" w:hAnsi="宋体" w:eastAsia="宋体" w:cs="Times New Roman"/>
          <w:kern w:val="0"/>
          <w:highlight w:val="none"/>
        </w:rPr>
        <w:t>请注意本文件的某些内容可能涉及专利。本文件的发布机构不承担识别专利的责任。</w:t>
      </w:r>
    </w:p>
    <w:p w14:paraId="715FCA75">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Times New Roman"/>
          <w:kern w:val="0"/>
          <w:highlight w:val="none"/>
        </w:rPr>
      </w:pPr>
      <w:r>
        <w:rPr>
          <w:rFonts w:hint="eastAsia" w:ascii="宋体" w:hAnsi="宋体" w:eastAsia="宋体" w:cs="Times New Roman"/>
          <w:kern w:val="0"/>
          <w:highlight w:val="none"/>
        </w:rPr>
        <w:t>本文件由</w:t>
      </w:r>
      <w:r>
        <w:rPr>
          <w:rFonts w:hint="eastAsia" w:cs="宋体"/>
          <w:highlight w:val="none"/>
        </w:rPr>
        <w:t>浙江省产品与工程标准化协会</w:t>
      </w:r>
      <w:r>
        <w:rPr>
          <w:rFonts w:hint="eastAsia" w:cs="宋体"/>
          <w:highlight w:val="none"/>
          <w:lang w:val="en-US" w:eastAsia="zh-CN"/>
        </w:rPr>
        <w:t>、</w:t>
      </w:r>
      <w:r>
        <w:rPr>
          <w:rFonts w:hint="eastAsia" w:ascii="宋体" w:hAnsi="宋体" w:eastAsia="宋体" w:cs="Times New Roman"/>
          <w:kern w:val="0"/>
          <w:highlight w:val="none"/>
        </w:rPr>
        <w:t>中国技术经济学会</w:t>
      </w:r>
      <w:r>
        <w:rPr>
          <w:rFonts w:hint="eastAsia" w:ascii="宋体" w:hAnsi="宋体" w:eastAsia="宋体" w:cs="Times New Roman"/>
          <w:kern w:val="0"/>
          <w:highlight w:val="none"/>
          <w:lang w:val="en-US" w:eastAsia="zh-CN"/>
        </w:rPr>
        <w:t>提出并</w:t>
      </w:r>
      <w:r>
        <w:rPr>
          <w:rFonts w:hint="eastAsia" w:ascii="宋体" w:hAnsi="宋体" w:eastAsia="宋体" w:cs="Times New Roman"/>
          <w:kern w:val="0"/>
          <w:highlight w:val="none"/>
        </w:rPr>
        <w:t>归口。</w:t>
      </w:r>
    </w:p>
    <w:p w14:paraId="73A36A92">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Times New Roman"/>
          <w:kern w:val="0"/>
          <w:highlight w:val="none"/>
        </w:rPr>
      </w:pPr>
      <w:r>
        <w:rPr>
          <w:rFonts w:hint="eastAsia" w:ascii="宋体" w:hAnsi="宋体" w:eastAsia="宋体" w:cs="Times New Roman"/>
          <w:kern w:val="0"/>
          <w:highlight w:val="none"/>
        </w:rPr>
        <w:t>本文件起草单位</w:t>
      </w:r>
      <w:r>
        <w:rPr>
          <w:rFonts w:ascii="宋体" w:hAnsi="宋体" w:eastAsia="宋体" w:cs="Times New Roman"/>
          <w:kern w:val="0"/>
          <w:highlight w:val="none"/>
        </w:rPr>
        <w:t>：</w:t>
      </w:r>
      <w:r>
        <w:rPr>
          <w:rFonts w:hint="eastAsia" w:ascii="Times New Roman" w:hAnsi="Times New Roman" w:eastAsia="宋体" w:cs="宋体"/>
          <w:highlight w:val="none"/>
        </w:rPr>
        <w:t>衢州市计量质量检验研究院</w:t>
      </w:r>
      <w:r>
        <w:rPr>
          <w:rFonts w:hint="eastAsia" w:ascii="Times New Roman" w:hAnsi="Times New Roman" w:eastAsia="宋体" w:cs="宋体"/>
          <w:highlight w:val="none"/>
          <w:lang w:eastAsia="zh-CN"/>
        </w:rPr>
        <w:t>、</w:t>
      </w:r>
      <w:r>
        <w:rPr>
          <w:rFonts w:hint="eastAsia" w:cs="宋体"/>
          <w:highlight w:val="none"/>
        </w:rPr>
        <w:t>浙江省产品与工程标准化协会</w:t>
      </w:r>
      <w:r>
        <w:rPr>
          <w:rFonts w:hint="eastAsia" w:ascii="宋体" w:hAnsi="宋体" w:eastAsia="宋体" w:cs="Times New Roman"/>
          <w:kern w:val="0"/>
          <w:highlight w:val="none"/>
        </w:rPr>
        <w:t>。</w:t>
      </w:r>
    </w:p>
    <w:p w14:paraId="14DAF3C1">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Times New Roman"/>
          <w:kern w:val="0"/>
          <w:highlight w:val="none"/>
        </w:rPr>
      </w:pPr>
      <w:r>
        <w:rPr>
          <w:rFonts w:hint="eastAsia" w:ascii="宋体" w:hAnsi="宋体" w:eastAsia="宋体" w:cs="Times New Roman"/>
          <w:kern w:val="0"/>
          <w:highlight w:val="none"/>
        </w:rPr>
        <w:t>本文件主要起草人：。</w:t>
      </w:r>
    </w:p>
    <w:p w14:paraId="49E7D1DF">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ascii="宋体" w:hAnsi="宋体" w:eastAsia="宋体" w:cs="Times New Roman"/>
          <w:kern w:val="0"/>
          <w:highlight w:val="none"/>
        </w:rPr>
      </w:pPr>
      <w:r>
        <w:rPr>
          <w:rFonts w:hint="eastAsia" w:ascii="宋体" w:hAnsi="宋体" w:eastAsia="宋体" w:cs="Times New Roman"/>
          <w:kern w:val="0"/>
          <w:highlight w:val="none"/>
        </w:rPr>
        <w:t>本文件为首次发布。</w:t>
      </w:r>
    </w:p>
    <w:p w14:paraId="2D1C76AC">
      <w:pPr>
        <w:autoSpaceDE w:val="0"/>
        <w:autoSpaceDN w:val="0"/>
        <w:adjustRightInd w:val="0"/>
        <w:spacing w:line="276" w:lineRule="auto"/>
        <w:ind w:firstLine="420" w:firstLineChars="200"/>
        <w:rPr>
          <w:rFonts w:ascii="宋体" w:hAnsi="宋体" w:eastAsia="宋体" w:cs="Times New Roman"/>
          <w:kern w:val="0"/>
          <w:highlight w:val="none"/>
        </w:rPr>
        <w:sectPr>
          <w:headerReference r:id="rId5" w:type="default"/>
          <w:footerReference r:id="rId7" w:type="default"/>
          <w:headerReference r:id="rId6" w:type="even"/>
          <w:footerReference r:id="rId8" w:type="even"/>
          <w:pgSz w:w="11906" w:h="16838"/>
          <w:pgMar w:top="1134" w:right="1134" w:bottom="1134" w:left="1134" w:header="737" w:footer="850"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14:paraId="719B46F6">
      <w:pPr>
        <w:pStyle w:val="58"/>
        <w:outlineLvl w:val="9"/>
        <w:rPr>
          <w:rFonts w:hint="default" w:eastAsia="黑体"/>
          <w:lang w:val="en-US" w:eastAsia="zh-CN"/>
        </w:rPr>
      </w:pPr>
      <w:r>
        <w:tab/>
      </w:r>
      <w:bookmarkEnd w:id="7"/>
      <w:bookmarkStart w:id="8" w:name="_Toc1340869351"/>
      <w:bookmarkStart w:id="9" w:name="_Toc1814653834"/>
      <w:r>
        <w:rPr>
          <w:rFonts w:hint="eastAsia"/>
        </w:rPr>
        <w:t xml:space="preserve">质量分级及“领跑者”评价要求 </w:t>
      </w:r>
      <w:bookmarkEnd w:id="8"/>
      <w:bookmarkEnd w:id="9"/>
      <w:r>
        <w:rPr>
          <w:rFonts w:hint="eastAsia"/>
          <w:lang w:val="en-US" w:eastAsia="zh-CN"/>
        </w:rPr>
        <w:t>露天潜孔钻车</w:t>
      </w:r>
    </w:p>
    <w:p w14:paraId="3ED6B6C0">
      <w:pPr>
        <w:pStyle w:val="3"/>
        <w:spacing w:before="0" w:after="0"/>
        <w:rPr>
          <w:rFonts w:ascii="黑体" w:hAnsi="黑体" w:eastAsia="黑体"/>
          <w:b w:val="0"/>
          <w:sz w:val="24"/>
          <w:szCs w:val="24"/>
        </w:rPr>
      </w:pPr>
      <w:bookmarkStart w:id="10" w:name="_Toc65687978"/>
      <w:bookmarkStart w:id="11" w:name="_Toc23920"/>
      <w:bookmarkStart w:id="12" w:name="_Toc415043895"/>
      <w:bookmarkStart w:id="13" w:name="_Toc12865"/>
      <w:bookmarkStart w:id="14" w:name="_Toc385601798"/>
      <w:bookmarkStart w:id="15" w:name="_Toc324233344"/>
      <w:bookmarkStart w:id="16" w:name="_Toc415043549"/>
      <w:bookmarkStart w:id="17" w:name="_Toc415043488"/>
      <w:bookmarkStart w:id="18" w:name="_Toc385602847"/>
      <w:r>
        <w:rPr>
          <w:rFonts w:hint="eastAsia" w:ascii="黑体" w:hAnsi="黑体" w:eastAsia="黑体"/>
          <w:b w:val="0"/>
          <w:sz w:val="24"/>
          <w:szCs w:val="24"/>
        </w:rPr>
        <w:t>1 范围</w:t>
      </w:r>
      <w:bookmarkEnd w:id="10"/>
      <w:bookmarkEnd w:id="11"/>
      <w:bookmarkEnd w:id="12"/>
      <w:bookmarkEnd w:id="13"/>
      <w:bookmarkEnd w:id="14"/>
      <w:bookmarkEnd w:id="15"/>
      <w:bookmarkEnd w:id="16"/>
      <w:bookmarkEnd w:id="17"/>
      <w:bookmarkEnd w:id="18"/>
    </w:p>
    <w:p w14:paraId="0CA8DD3B">
      <w:pPr>
        <w:pStyle w:val="33"/>
        <w:spacing w:line="276" w:lineRule="auto"/>
        <w:rPr>
          <w:rFonts w:hint="eastAsia"/>
        </w:rPr>
      </w:pPr>
      <w:r>
        <w:rPr>
          <w:rFonts w:hint="eastAsia"/>
        </w:rPr>
        <w:t>本文件规定了露天潜孔钻</w:t>
      </w:r>
      <w:r>
        <w:rPr>
          <w:rFonts w:hint="eastAsia"/>
          <w:lang w:val="en-US" w:eastAsia="zh-CN"/>
        </w:rPr>
        <w:t>车</w:t>
      </w:r>
      <w:r>
        <w:rPr>
          <w:rFonts w:hint="eastAsia"/>
        </w:rPr>
        <w:t>产品质量分级及企业标准水平的基本要求、评价指标及要求、评价方法及等级划分。</w:t>
      </w:r>
    </w:p>
    <w:p w14:paraId="69B31AD4">
      <w:pPr>
        <w:pStyle w:val="33"/>
        <w:spacing w:line="276" w:lineRule="auto"/>
      </w:pPr>
      <w:r>
        <w:rPr>
          <w:rFonts w:hint="eastAsia"/>
        </w:rPr>
        <w:t>本文件适用于露天潜孔钻</w:t>
      </w:r>
      <w:r>
        <w:rPr>
          <w:rFonts w:hint="eastAsia"/>
          <w:lang w:val="en-US" w:eastAsia="zh-CN"/>
        </w:rPr>
        <w:t>车</w:t>
      </w:r>
      <w:r>
        <w:rPr>
          <w:rFonts w:hint="eastAsia"/>
        </w:rPr>
        <w:t>产品质量分级及企业标准水平评价，相关机构开展质量分级和企业标准水平评价、“领跑者”产品评价以及相关认证或评价时可参照使用，相关企业在制定企业标准时也可参照本文件。</w:t>
      </w:r>
    </w:p>
    <w:p w14:paraId="448C1065">
      <w:pPr>
        <w:pStyle w:val="3"/>
        <w:spacing w:before="0" w:after="0"/>
        <w:rPr>
          <w:rFonts w:ascii="黑体" w:hAnsi="黑体" w:eastAsia="黑体"/>
          <w:b w:val="0"/>
          <w:sz w:val="24"/>
          <w:szCs w:val="24"/>
        </w:rPr>
      </w:pPr>
      <w:bookmarkStart w:id="19" w:name="_Toc385601799"/>
      <w:bookmarkStart w:id="20" w:name="_Toc17469"/>
      <w:bookmarkStart w:id="21" w:name="_Toc6565"/>
      <w:bookmarkStart w:id="22" w:name="_Toc1223800169"/>
      <w:bookmarkStart w:id="23" w:name="_Toc415043489"/>
      <w:bookmarkStart w:id="24" w:name="_Toc415043896"/>
      <w:bookmarkStart w:id="25" w:name="_Toc385602848"/>
      <w:bookmarkStart w:id="26" w:name="_Toc65687979"/>
      <w:bookmarkStart w:id="27" w:name="_Toc415043550"/>
      <w:r>
        <w:rPr>
          <w:rFonts w:hint="eastAsia" w:ascii="黑体" w:hAnsi="黑体" w:eastAsia="黑体"/>
          <w:b w:val="0"/>
          <w:sz w:val="24"/>
          <w:szCs w:val="24"/>
        </w:rPr>
        <w:t>2 规范性引用文件</w:t>
      </w:r>
      <w:bookmarkEnd w:id="19"/>
      <w:bookmarkEnd w:id="20"/>
      <w:bookmarkEnd w:id="21"/>
      <w:bookmarkEnd w:id="22"/>
      <w:bookmarkEnd w:id="23"/>
      <w:bookmarkEnd w:id="24"/>
      <w:bookmarkEnd w:id="25"/>
      <w:bookmarkEnd w:id="26"/>
      <w:bookmarkEnd w:id="27"/>
    </w:p>
    <w:p w14:paraId="6D7D0A44">
      <w:pPr>
        <w:spacing w:line="276" w:lineRule="auto"/>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B243A44">
      <w:pPr>
        <w:pStyle w:val="2"/>
        <w:ind w:left="113" w:leftChars="54" w:firstLine="304" w:firstLineChars="145"/>
        <w:rPr>
          <w:rFonts w:hint="eastAsia" w:ascii="宋体" w:hAnsi="宋体" w:eastAsia="宋体" w:cs="宋体"/>
          <w:kern w:val="2"/>
          <w:sz w:val="21"/>
          <w:szCs w:val="22"/>
          <w:lang w:val="en-US" w:eastAsia="zh-CN" w:bidi="ar-SA"/>
        </w:rPr>
      </w:pPr>
      <w:bookmarkStart w:id="28" w:name="_Toc385601800"/>
      <w:bookmarkEnd w:id="28"/>
      <w:bookmarkStart w:id="29" w:name="_Toc385602849"/>
      <w:bookmarkStart w:id="30" w:name="_Toc415043490"/>
      <w:bookmarkStart w:id="31" w:name="_Toc19706"/>
      <w:bookmarkStart w:id="32" w:name="_Toc65687980"/>
      <w:bookmarkStart w:id="33" w:name="_Toc415043551"/>
      <w:bookmarkStart w:id="34" w:name="_Toc415043897"/>
      <w:r>
        <w:rPr>
          <w:rFonts w:hint="eastAsia" w:ascii="宋体" w:hAnsi="宋体" w:eastAsia="宋体" w:cs="宋体"/>
          <w:kern w:val="2"/>
          <w:sz w:val="21"/>
          <w:szCs w:val="22"/>
          <w:lang w:val="en-US" w:eastAsia="zh-CN" w:bidi="ar-SA"/>
        </w:rPr>
        <w:t>GB/T 19001  质量管理体系  要求</w:t>
      </w:r>
    </w:p>
    <w:p w14:paraId="4CD40151">
      <w:pPr>
        <w:pStyle w:val="2"/>
        <w:ind w:left="113" w:leftChars="54" w:firstLine="304" w:firstLineChars="145"/>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GB/T 23331  能源管理体系  要求及使用指南</w:t>
      </w:r>
    </w:p>
    <w:p w14:paraId="5DD581D0">
      <w:pPr>
        <w:pStyle w:val="2"/>
        <w:ind w:left="113" w:leftChars="54" w:firstLine="304" w:firstLineChars="145"/>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GB/T 24001  环境管理体系  要求及使用指南</w:t>
      </w:r>
    </w:p>
    <w:p w14:paraId="57B1798F">
      <w:pPr>
        <w:pStyle w:val="2"/>
        <w:ind w:left="113" w:leftChars="54" w:firstLine="304" w:firstLineChars="145"/>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GB/T 45001  职业健康安全管理体系  要求及使用指南</w:t>
      </w:r>
    </w:p>
    <w:p w14:paraId="7E61F985">
      <w:pPr>
        <w:pStyle w:val="2"/>
        <w:ind w:left="113" w:leftChars="54" w:firstLine="304" w:firstLineChars="145"/>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JB/T 10247</w:t>
      </w:r>
      <w:r>
        <w:rPr>
          <w:rFonts w:hint="eastAsia" w:cs="宋体"/>
          <w:kern w:val="2"/>
          <w:sz w:val="21"/>
          <w:szCs w:val="22"/>
          <w:lang w:val="en-US" w:eastAsia="zh-CN" w:bidi="ar-SA"/>
        </w:rPr>
        <w:t xml:space="preserve">  </w:t>
      </w:r>
      <w:r>
        <w:rPr>
          <w:rFonts w:hint="eastAsia" w:ascii="宋体" w:hAnsi="宋体" w:eastAsia="宋体" w:cs="宋体"/>
          <w:kern w:val="2"/>
          <w:sz w:val="21"/>
          <w:szCs w:val="22"/>
          <w:lang w:val="en-US" w:eastAsia="zh-CN" w:bidi="ar-SA"/>
        </w:rPr>
        <w:t>履带式露天潜孔钻机</w:t>
      </w:r>
    </w:p>
    <w:p w14:paraId="7F473D16">
      <w:pPr>
        <w:pStyle w:val="2"/>
        <w:ind w:left="113" w:leftChars="54" w:firstLine="304" w:firstLineChars="145"/>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T/CSTE 0421</w:t>
      </w:r>
      <w:r>
        <w:rPr>
          <w:rFonts w:hint="eastAsia" w:cs="宋体"/>
          <w:kern w:val="2"/>
          <w:sz w:val="21"/>
          <w:szCs w:val="22"/>
          <w:lang w:val="en-US" w:eastAsia="zh-CN" w:bidi="ar-SA"/>
        </w:rPr>
        <w:t>/T/CAS 703</w:t>
      </w:r>
      <w:r>
        <w:rPr>
          <w:rFonts w:hint="eastAsia" w:ascii="宋体" w:hAnsi="宋体" w:eastAsia="宋体" w:cs="宋体"/>
          <w:kern w:val="2"/>
          <w:sz w:val="21"/>
          <w:szCs w:val="22"/>
          <w:lang w:val="en-US" w:eastAsia="zh-CN" w:bidi="ar-SA"/>
        </w:rPr>
        <w:t xml:space="preserve">  质量分级及“领跑者”标识</w:t>
      </w:r>
    </w:p>
    <w:p w14:paraId="4D45FDFD">
      <w:pPr>
        <w:pStyle w:val="3"/>
        <w:spacing w:before="0" w:after="0"/>
        <w:rPr>
          <w:rFonts w:ascii="黑体" w:hAnsi="黑体" w:eastAsia="黑体"/>
          <w:b w:val="0"/>
          <w:sz w:val="24"/>
          <w:szCs w:val="24"/>
        </w:rPr>
      </w:pPr>
      <w:bookmarkStart w:id="35" w:name="_Toc32736"/>
      <w:bookmarkStart w:id="36" w:name="_Toc1958553064"/>
      <w:r>
        <w:rPr>
          <w:rFonts w:hint="eastAsia" w:ascii="黑体" w:hAnsi="黑体" w:eastAsia="黑体"/>
          <w:b w:val="0"/>
          <w:sz w:val="24"/>
          <w:szCs w:val="24"/>
        </w:rPr>
        <w:t>3 术语和定义</w:t>
      </w:r>
      <w:bookmarkEnd w:id="29"/>
      <w:bookmarkEnd w:id="30"/>
      <w:bookmarkEnd w:id="31"/>
      <w:bookmarkEnd w:id="32"/>
      <w:bookmarkEnd w:id="33"/>
      <w:bookmarkEnd w:id="34"/>
      <w:bookmarkEnd w:id="35"/>
      <w:bookmarkEnd w:id="36"/>
    </w:p>
    <w:p w14:paraId="287545ED">
      <w:pPr>
        <w:ind w:firstLine="420" w:firstLineChars="200"/>
        <w:rPr>
          <w:rFonts w:hint="eastAsia" w:ascii="Times New Roman" w:hAnsi="Times New Roman" w:cs="Times New Roman"/>
        </w:rPr>
      </w:pPr>
      <w:bookmarkStart w:id="37" w:name="_Toc415043553"/>
      <w:bookmarkEnd w:id="37"/>
      <w:bookmarkStart w:id="38" w:name="_Toc415043899"/>
      <w:bookmarkEnd w:id="38"/>
      <w:bookmarkStart w:id="39" w:name="_Toc415043491"/>
      <w:bookmarkEnd w:id="39"/>
      <w:bookmarkStart w:id="40" w:name="_Toc415043898"/>
      <w:bookmarkEnd w:id="40"/>
      <w:bookmarkStart w:id="41" w:name="_Toc415043492"/>
      <w:bookmarkEnd w:id="41"/>
      <w:bookmarkStart w:id="42" w:name="_Toc375076815"/>
      <w:bookmarkEnd w:id="42"/>
      <w:bookmarkStart w:id="43" w:name="_Toc415043552"/>
      <w:bookmarkEnd w:id="43"/>
      <w:bookmarkStart w:id="44" w:name="_Toc361997824"/>
      <w:bookmarkStart w:id="45" w:name="_Toc362007003"/>
      <w:bookmarkStart w:id="46" w:name="_Toc362172291"/>
      <w:bookmarkStart w:id="47" w:name="_Toc65687981"/>
      <w:bookmarkStart w:id="48" w:name="_Toc361323765"/>
      <w:bookmarkStart w:id="49" w:name="_Toc362005232"/>
      <w:bookmarkStart w:id="50" w:name="_Toc415043557"/>
      <w:bookmarkStart w:id="51" w:name="_Toc415043903"/>
      <w:bookmarkStart w:id="52" w:name="_Toc385602850"/>
      <w:bookmarkStart w:id="53" w:name="_Toc528835813"/>
      <w:bookmarkStart w:id="54" w:name="_Toc25668"/>
      <w:bookmarkStart w:id="55" w:name="_Toc415043496"/>
      <w:r>
        <w:rPr>
          <w:rFonts w:hint="eastAsia" w:ascii="宋体" w:hAnsi="宋体" w:eastAsia="宋体" w:cs="宋体"/>
          <w:lang w:val="en-US" w:eastAsia="zh-CN"/>
        </w:rPr>
        <w:t>JB/T 10247</w:t>
      </w:r>
      <w:r>
        <w:rPr>
          <w:rFonts w:hint="eastAsia" w:ascii="Times New Roman" w:hAnsi="Times New Roman" w:cs="Times New Roman"/>
        </w:rPr>
        <w:t>界定的术语和定义适用于本文件。</w:t>
      </w:r>
    </w:p>
    <w:bookmarkEnd w:id="44"/>
    <w:bookmarkEnd w:id="45"/>
    <w:bookmarkEnd w:id="46"/>
    <w:bookmarkEnd w:id="47"/>
    <w:bookmarkEnd w:id="48"/>
    <w:bookmarkEnd w:id="49"/>
    <w:p w14:paraId="1627E79D">
      <w:pPr>
        <w:pStyle w:val="3"/>
        <w:spacing w:before="0" w:after="0"/>
        <w:rPr>
          <w:rFonts w:ascii="黑体" w:hAnsi="黑体" w:eastAsia="黑体"/>
          <w:b w:val="0"/>
          <w:sz w:val="24"/>
          <w:szCs w:val="24"/>
        </w:rPr>
      </w:pPr>
      <w:bookmarkStart w:id="56" w:name="_Toc26156"/>
      <w:bookmarkStart w:id="57" w:name="_Toc33563757"/>
      <w:bookmarkStart w:id="58" w:name="_Toc401669933"/>
      <w:bookmarkStart w:id="59" w:name="_Toc35259974"/>
      <w:r>
        <w:rPr>
          <w:rFonts w:hint="eastAsia" w:ascii="黑体" w:hAnsi="黑体" w:eastAsia="黑体"/>
          <w:b w:val="0"/>
          <w:sz w:val="24"/>
          <w:szCs w:val="24"/>
        </w:rPr>
        <w:t>4 基本要求</w:t>
      </w:r>
      <w:bookmarkEnd w:id="56"/>
    </w:p>
    <w:p w14:paraId="3BEE50E8">
      <w:pPr>
        <w:pStyle w:val="80"/>
        <w:rPr>
          <w:rFonts w:ascii="Times New Roman" w:hAnsi="Times New Roman" w:cs="Times New Roman"/>
          <w:sz w:val="21"/>
          <w:szCs w:val="21"/>
          <w:lang w:eastAsia="zh-CN"/>
        </w:rPr>
      </w:pPr>
      <w:bookmarkStart w:id="60" w:name="_Toc65687984"/>
      <w:r>
        <w:rPr>
          <w:rFonts w:ascii="黑体" w:hAnsi="黑体" w:eastAsia="黑体" w:cs="Times New Roman"/>
          <w:sz w:val="21"/>
          <w:szCs w:val="21"/>
          <w:lang w:eastAsia="zh-CN"/>
        </w:rPr>
        <w:t>4.1</w:t>
      </w:r>
      <w:r>
        <w:rPr>
          <w:rFonts w:ascii="Times New Roman" w:hAnsi="Times New Roman" w:cs="Times New Roman"/>
          <w:sz w:val="21"/>
          <w:szCs w:val="21"/>
          <w:lang w:eastAsia="zh-CN"/>
        </w:rPr>
        <w:t xml:space="preserve"> </w:t>
      </w:r>
      <w:r>
        <w:rPr>
          <w:rFonts w:hint="eastAsia" w:ascii="Times New Roman" w:hAnsi="Times New Roman" w:cs="Times New Roman"/>
          <w:sz w:val="21"/>
          <w:szCs w:val="21"/>
          <w:highlight w:val="none"/>
          <w:lang w:eastAsia="zh-CN"/>
        </w:rPr>
        <w:t>近三年，企业无较大及以上质量、环境、安全等事故</w:t>
      </w:r>
      <w:r>
        <w:rPr>
          <w:rFonts w:hint="eastAsia" w:ascii="Times New Roman" w:hAnsi="Times New Roman" w:cs="Times New Roman"/>
          <w:sz w:val="21"/>
          <w:szCs w:val="21"/>
          <w:lang w:eastAsia="zh-CN"/>
        </w:rPr>
        <w:t>。</w:t>
      </w:r>
    </w:p>
    <w:p w14:paraId="5CC26959">
      <w:pPr>
        <w:pStyle w:val="80"/>
        <w:rPr>
          <w:rFonts w:ascii="Times New Roman" w:hAnsi="Times New Roman" w:cs="Times New Roman"/>
          <w:sz w:val="21"/>
          <w:szCs w:val="21"/>
          <w:lang w:eastAsia="zh-CN"/>
        </w:rPr>
      </w:pPr>
      <w:r>
        <w:rPr>
          <w:rFonts w:ascii="黑体" w:hAnsi="黑体" w:eastAsia="黑体" w:cs="Times New Roman"/>
          <w:sz w:val="21"/>
          <w:szCs w:val="21"/>
          <w:lang w:eastAsia="zh-CN"/>
        </w:rPr>
        <w:t>4.2</w:t>
      </w:r>
      <w:r>
        <w:rPr>
          <w:rFonts w:ascii="Times New Roman" w:hAnsi="Times New Roman" w:cs="Times New Roman"/>
          <w:sz w:val="21"/>
          <w:szCs w:val="21"/>
          <w:lang w:eastAsia="zh-CN"/>
        </w:rPr>
        <w:t xml:space="preserve"> </w:t>
      </w:r>
      <w:r>
        <w:rPr>
          <w:rFonts w:hint="eastAsia" w:ascii="Times New Roman" w:hAnsi="Times New Roman" w:cs="Times New Roman"/>
          <w:sz w:val="21"/>
          <w:szCs w:val="21"/>
          <w:lang w:eastAsia="zh-CN"/>
        </w:rPr>
        <w:t>企业应未列入国家信用信息严重失信主体相关名录。</w:t>
      </w:r>
    </w:p>
    <w:p w14:paraId="5232A2D6">
      <w:pPr>
        <w:pStyle w:val="80"/>
        <w:rPr>
          <w:rFonts w:cs="Times New Roman" w:asciiTheme="minorEastAsia" w:hAnsiTheme="minorEastAsia"/>
          <w:sz w:val="21"/>
          <w:szCs w:val="21"/>
          <w:lang w:eastAsia="zh-CN"/>
        </w:rPr>
      </w:pPr>
      <w:r>
        <w:rPr>
          <w:rFonts w:hint="eastAsia" w:ascii="黑体" w:hAnsi="黑体" w:eastAsia="黑体" w:cs="Times New Roman"/>
          <w:sz w:val="21"/>
          <w:szCs w:val="21"/>
          <w:lang w:eastAsia="zh-CN"/>
        </w:rPr>
        <w:t>4.3</w:t>
      </w:r>
      <w:r>
        <w:rPr>
          <w:rFonts w:hint="eastAsia" w:ascii="黑体" w:hAnsi="黑体" w:eastAsia="黑体" w:cs="Times New Roman"/>
          <w:sz w:val="21"/>
          <w:szCs w:val="21"/>
          <w:lang w:val="en-US" w:eastAsia="zh-CN"/>
        </w:rPr>
        <w:t xml:space="preserve"> </w:t>
      </w:r>
      <w:r>
        <w:rPr>
          <w:rFonts w:ascii="Times New Roman" w:hAnsi="Times New Roman" w:cs="Times New Roman"/>
          <w:sz w:val="21"/>
          <w:szCs w:val="21"/>
          <w:lang w:eastAsia="zh-CN"/>
        </w:rPr>
        <w:t>企业可根据</w:t>
      </w:r>
      <w:r>
        <w:rPr>
          <w:rFonts w:hint="eastAsia" w:ascii="宋体" w:hAnsi="宋体" w:eastAsia="宋体" w:cs="宋体"/>
          <w:sz w:val="21"/>
          <w:szCs w:val="21"/>
          <w:lang w:eastAsia="zh-CN"/>
        </w:rPr>
        <w:t>GB/T 19001、GB/T 23331、GB/T 24001、GB/T 45001建立并运行相应质量、能源、环境和职业健康安全等管理体系，鼓励企业根据自身运营情况建立其他高水</w:t>
      </w:r>
      <w:r>
        <w:rPr>
          <w:rFonts w:ascii="Times New Roman" w:hAnsi="Times New Roman" w:cs="Times New Roman"/>
          <w:sz w:val="21"/>
          <w:szCs w:val="21"/>
          <w:lang w:eastAsia="zh-CN"/>
        </w:rPr>
        <w:t>平的相关管理体系。</w:t>
      </w:r>
    </w:p>
    <w:p w14:paraId="61357874">
      <w:pPr>
        <w:pStyle w:val="80"/>
        <w:spacing w:line="276" w:lineRule="auto"/>
        <w:jc w:val="both"/>
        <w:rPr>
          <w:rFonts w:ascii="Times New Roman" w:hAnsi="Times New Roman"/>
          <w:bCs/>
          <w:lang w:eastAsia="zh-CN"/>
        </w:rPr>
      </w:pPr>
      <w:r>
        <w:rPr>
          <w:rFonts w:hint="eastAsia" w:ascii="黑体" w:hAnsi="黑体" w:eastAsia="黑体" w:cs="黑体"/>
          <w:bCs/>
          <w:sz w:val="21"/>
          <w:szCs w:val="21"/>
          <w:lang w:eastAsia="zh-CN"/>
        </w:rPr>
        <w:t>4.4</w:t>
      </w:r>
      <w:r>
        <w:rPr>
          <w:rFonts w:hint="eastAsia" w:ascii="黑体" w:hAnsi="黑体" w:eastAsia="黑体" w:cs="黑体"/>
          <w:bCs/>
          <w:sz w:val="21"/>
          <w:szCs w:val="21"/>
          <w:lang w:val="en-US" w:eastAsia="zh-CN"/>
        </w:rPr>
        <w:t xml:space="preserve"> </w:t>
      </w:r>
      <w:r>
        <w:rPr>
          <w:rFonts w:hint="eastAsia" w:ascii="Times New Roman" w:hAnsi="Times New Roman" w:cs="Times New Roman"/>
          <w:bCs/>
          <w:sz w:val="21"/>
          <w:szCs w:val="21"/>
          <w:lang w:eastAsia="zh-CN"/>
        </w:rPr>
        <w:t>产品应为量产产品，</w:t>
      </w:r>
      <w:r>
        <w:rPr>
          <w:rFonts w:hint="eastAsia" w:ascii="宋体" w:hAnsi="宋体" w:eastAsia="宋体" w:cs="宋体"/>
          <w:sz w:val="21"/>
          <w:szCs w:val="21"/>
          <w:lang w:eastAsia="zh-CN"/>
        </w:rPr>
        <w:t>露天潜孔钻</w:t>
      </w:r>
      <w:r>
        <w:rPr>
          <w:rFonts w:hint="eastAsia" w:ascii="宋体" w:hAnsi="宋体" w:eastAsia="宋体" w:cs="宋体"/>
          <w:sz w:val="21"/>
          <w:szCs w:val="21"/>
          <w:lang w:val="en-US" w:eastAsia="zh-CN"/>
        </w:rPr>
        <w:t>车</w:t>
      </w:r>
      <w:r>
        <w:rPr>
          <w:rFonts w:hint="eastAsia" w:ascii="Times New Roman" w:hAnsi="Times New Roman" w:cs="Times New Roman"/>
          <w:bCs/>
          <w:sz w:val="21"/>
          <w:szCs w:val="21"/>
          <w:lang w:eastAsia="zh-CN"/>
        </w:rPr>
        <w:t>应满足国家强制性标准</w:t>
      </w:r>
      <w:r>
        <w:rPr>
          <w:rFonts w:hint="eastAsia" w:ascii="宋体" w:hAnsi="宋体" w:eastAsia="宋体" w:cs="宋体"/>
          <w:bCs/>
          <w:sz w:val="21"/>
          <w:szCs w:val="21"/>
          <w:lang w:eastAsia="zh-CN"/>
        </w:rPr>
        <w:t>及</w:t>
      </w:r>
      <w:r>
        <w:rPr>
          <w:rFonts w:hint="eastAsia" w:ascii="宋体" w:hAnsi="宋体" w:eastAsia="宋体" w:cs="宋体"/>
          <w:bCs/>
          <w:sz w:val="21"/>
          <w:szCs w:val="21"/>
          <w:lang w:val="en-US" w:eastAsia="zh-CN"/>
        </w:rPr>
        <w:t>JB/T 10247</w:t>
      </w:r>
      <w:r>
        <w:rPr>
          <w:rFonts w:hint="eastAsia" w:ascii="宋体" w:hAnsi="宋体" w:eastAsia="宋体" w:cs="宋体"/>
          <w:bCs/>
          <w:sz w:val="21"/>
          <w:szCs w:val="21"/>
          <w:lang w:eastAsia="zh-CN"/>
        </w:rPr>
        <w:t>规</w:t>
      </w:r>
      <w:r>
        <w:rPr>
          <w:rFonts w:hint="eastAsia" w:ascii="Times New Roman" w:hAnsi="Times New Roman" w:cs="Times New Roman"/>
          <w:bCs/>
          <w:sz w:val="21"/>
          <w:szCs w:val="21"/>
          <w:lang w:eastAsia="zh-CN"/>
        </w:rPr>
        <w:t>定的要求。</w:t>
      </w:r>
    </w:p>
    <w:p w14:paraId="63FBA584">
      <w:pPr>
        <w:pStyle w:val="3"/>
        <w:spacing w:before="0" w:after="0"/>
        <w:rPr>
          <w:rFonts w:ascii="黑体" w:hAnsi="黑体" w:eastAsia="黑体"/>
          <w:b w:val="0"/>
          <w:sz w:val="24"/>
          <w:szCs w:val="24"/>
          <w:vertAlign w:val="subscript"/>
        </w:rPr>
      </w:pPr>
      <w:bookmarkStart w:id="61" w:name="_Toc23997"/>
      <w:r>
        <w:rPr>
          <w:rFonts w:hint="eastAsia" w:ascii="黑体" w:hAnsi="黑体" w:eastAsia="黑体"/>
          <w:b w:val="0"/>
          <w:sz w:val="24"/>
          <w:szCs w:val="24"/>
        </w:rPr>
        <w:t>5 评价指标及要求</w:t>
      </w:r>
      <w:bookmarkEnd w:id="61"/>
    </w:p>
    <w:p w14:paraId="553E9AEB">
      <w:pPr>
        <w:pStyle w:val="65"/>
        <w:spacing w:line="300" w:lineRule="auto"/>
        <w:ind w:firstLine="0" w:firstLineChars="0"/>
        <w:outlineLvl w:val="1"/>
        <w:rPr>
          <w:rFonts w:ascii="黑体" w:hAnsi="黑体" w:eastAsia="黑体" w:cs="黑体"/>
          <w:szCs w:val="21"/>
        </w:rPr>
      </w:pPr>
      <w:bookmarkStart w:id="62" w:name="_Toc22366"/>
      <w:r>
        <w:rPr>
          <w:rFonts w:hint="eastAsia" w:ascii="黑体" w:hAnsi="黑体" w:eastAsia="黑体" w:cs="黑体"/>
          <w:szCs w:val="21"/>
        </w:rPr>
        <w:t>5.1</w:t>
      </w:r>
      <w:r>
        <w:rPr>
          <w:rFonts w:hint="eastAsia" w:ascii="黑体" w:hAnsi="黑体" w:eastAsia="黑体" w:cs="黑体"/>
          <w:szCs w:val="21"/>
          <w:lang w:val="en-US" w:eastAsia="zh-CN"/>
        </w:rPr>
        <w:t xml:space="preserve"> </w:t>
      </w:r>
      <w:r>
        <w:rPr>
          <w:rFonts w:hint="eastAsia" w:ascii="黑体" w:hAnsi="黑体" w:eastAsia="黑体" w:cs="黑体"/>
          <w:szCs w:val="21"/>
        </w:rPr>
        <w:t>评价指标分类</w:t>
      </w:r>
      <w:bookmarkEnd w:id="62"/>
    </w:p>
    <w:p w14:paraId="66BDD7A1">
      <w:pPr>
        <w:spacing w:line="300" w:lineRule="auto"/>
      </w:pPr>
      <w:r>
        <w:rPr>
          <w:rFonts w:hint="eastAsia" w:ascii="黑体" w:hAnsi="黑体" w:eastAsia="黑体"/>
        </w:rPr>
        <w:t>5.1</w:t>
      </w:r>
      <w:r>
        <w:rPr>
          <w:rFonts w:ascii="黑体" w:hAnsi="黑体" w:eastAsia="黑体"/>
        </w:rPr>
        <w:t>.</w:t>
      </w:r>
      <w:r>
        <w:rPr>
          <w:rFonts w:hint="eastAsia" w:ascii="黑体" w:hAnsi="黑体" w:eastAsia="黑体"/>
        </w:rPr>
        <w:t>1</w:t>
      </w:r>
      <w:r>
        <w:rPr>
          <w:rFonts w:ascii="Times New Roman" w:hAnsi="Times New Roman"/>
        </w:rPr>
        <w:t xml:space="preserve"> </w:t>
      </w:r>
      <w:r>
        <w:rPr>
          <w:rFonts w:hint="eastAsia" w:ascii="Times New Roman" w:hAnsi="Times New Roman"/>
        </w:rPr>
        <w:t>露天潜孔钻</w:t>
      </w:r>
      <w:r>
        <w:rPr>
          <w:rFonts w:hint="eastAsia" w:ascii="Times New Roman" w:hAnsi="Times New Roman"/>
          <w:lang w:val="en-US" w:eastAsia="zh-CN"/>
        </w:rPr>
        <w:t>车</w:t>
      </w:r>
      <w:r>
        <w:rPr>
          <w:rFonts w:hint="eastAsia"/>
        </w:rPr>
        <w:t>评价指标体系应包括基础指标、核心指标和创新指标。</w:t>
      </w:r>
    </w:p>
    <w:p w14:paraId="2B9A9DE2">
      <w:pPr>
        <w:spacing w:line="300" w:lineRule="auto"/>
        <w:rPr>
          <w:rFonts w:asciiTheme="minorEastAsia" w:hAnsiTheme="minorEastAsia"/>
        </w:rPr>
      </w:pPr>
      <w:r>
        <w:rPr>
          <w:rFonts w:hint="eastAsia" w:ascii="黑体" w:hAnsi="黑体" w:eastAsia="黑体"/>
        </w:rPr>
        <w:t>5.1.</w:t>
      </w:r>
      <w:r>
        <w:rPr>
          <w:rFonts w:ascii="黑体" w:hAnsi="黑体" w:eastAsia="黑体"/>
        </w:rPr>
        <w:t>2</w:t>
      </w:r>
      <w:r>
        <w:rPr>
          <w:rFonts w:hint="eastAsia" w:ascii="Times New Roman" w:hAnsi="Times New Roman"/>
        </w:rPr>
        <w:t xml:space="preserve"> </w:t>
      </w:r>
      <w:r>
        <w:rPr>
          <w:rFonts w:hint="eastAsia" w:ascii="Times New Roman" w:hAnsi="Times New Roman" w:cs="Times New Roman"/>
          <w:szCs w:val="24"/>
        </w:rPr>
        <w:t>基础指标应包括</w:t>
      </w:r>
      <w:r>
        <w:rPr>
          <w:rFonts w:hint="eastAsia" w:ascii="Times New Roman" w:hAnsi="Times New Roman" w:cs="Times New Roman"/>
          <w:szCs w:val="24"/>
          <w:lang w:val="en-US" w:eastAsia="zh-CN"/>
        </w:rPr>
        <w:t>机重、爬坡能力、噪声</w:t>
      </w:r>
      <w:r>
        <w:rPr>
          <w:rFonts w:hint="eastAsia" w:ascii="Times New Roman" w:hAnsi="Times New Roman" w:cs="Times New Roman"/>
          <w:szCs w:val="24"/>
        </w:rPr>
        <w:t>。</w:t>
      </w:r>
    </w:p>
    <w:p w14:paraId="76612A43">
      <w:pPr>
        <w:spacing w:line="300" w:lineRule="auto"/>
        <w:rPr>
          <w:rFonts w:hint="eastAsia" w:ascii="Times New Roman" w:hAnsi="Times New Roman" w:cs="Times New Roman"/>
          <w:szCs w:val="24"/>
        </w:rPr>
      </w:pPr>
      <w:r>
        <w:rPr>
          <w:rFonts w:hint="eastAsia" w:ascii="黑体" w:hAnsi="黑体" w:eastAsia="黑体"/>
          <w:szCs w:val="24"/>
        </w:rPr>
        <w:t>5.1.</w:t>
      </w:r>
      <w:r>
        <w:rPr>
          <w:rFonts w:ascii="黑体" w:hAnsi="黑体" w:eastAsia="黑体"/>
          <w:szCs w:val="24"/>
        </w:rPr>
        <w:t>3</w:t>
      </w:r>
      <w:r>
        <w:rPr>
          <w:rFonts w:hint="eastAsia" w:ascii="Times New Roman" w:hAnsi="宋体" w:eastAsia="宋体"/>
          <w:szCs w:val="24"/>
        </w:rPr>
        <w:t xml:space="preserve"> </w:t>
      </w:r>
      <w:r>
        <w:rPr>
          <w:rFonts w:hint="eastAsia" w:ascii="Times New Roman" w:hAnsi="Times New Roman" w:cs="Times New Roman"/>
          <w:szCs w:val="24"/>
        </w:rPr>
        <w:t>核心指标应包括</w:t>
      </w:r>
      <w:r>
        <w:rPr>
          <w:rFonts w:hint="eastAsia" w:ascii="Times New Roman" w:hAnsi="Times New Roman" w:cs="Times New Roman"/>
          <w:szCs w:val="24"/>
          <w:lang w:val="en-US" w:eastAsia="zh-CN"/>
        </w:rPr>
        <w:t>凿孔直径、凿孔深度、凿岩耗氧量、提升力、</w:t>
      </w:r>
      <w:r>
        <w:rPr>
          <w:rFonts w:hint="eastAsia"/>
          <w:lang w:val="en-US" w:eastAsia="zh-CN"/>
        </w:rPr>
        <w:t>回转扭矩</w:t>
      </w:r>
      <w:r>
        <w:rPr>
          <w:rFonts w:hint="eastAsia" w:ascii="Times New Roman" w:hAnsi="Times New Roman" w:cs="Times New Roman"/>
          <w:szCs w:val="24"/>
        </w:rPr>
        <w:t>，核心指标应分为三个等级，包括领跑者水平，相当于企业标准</w:t>
      </w:r>
      <w:r>
        <w:rPr>
          <w:rFonts w:hint="eastAsia" w:ascii="宋体" w:hAnsi="宋体" w:eastAsia="宋体" w:cs="宋体"/>
          <w:szCs w:val="24"/>
        </w:rPr>
        <w:t>排行榜中5星级水平；优质水平，相当于企业标准排行榜中4星级水平；达标水平，相当于企业标准排行榜中3星级水</w:t>
      </w:r>
      <w:r>
        <w:rPr>
          <w:rFonts w:hint="eastAsia" w:ascii="Times New Roman" w:hAnsi="Times New Roman" w:cs="Times New Roman"/>
          <w:szCs w:val="24"/>
        </w:rPr>
        <w:t>平。</w:t>
      </w:r>
    </w:p>
    <w:p w14:paraId="7B0AFE09">
      <w:pPr>
        <w:spacing w:line="300" w:lineRule="auto"/>
      </w:pPr>
      <w:r>
        <w:rPr>
          <w:rFonts w:hint="eastAsia" w:ascii="黑体" w:hAnsi="黑体" w:eastAsia="黑体"/>
          <w:szCs w:val="24"/>
        </w:rPr>
        <w:t>5.1.4</w:t>
      </w:r>
      <w:r>
        <w:rPr>
          <w:rFonts w:hint="eastAsia"/>
        </w:rPr>
        <w:t xml:space="preserve"> 创新指标应包括</w:t>
      </w:r>
      <w:r>
        <w:rPr>
          <w:rFonts w:hint="eastAsia"/>
          <w:lang w:val="en-US" w:eastAsia="zh-CN"/>
        </w:rPr>
        <w:t>大臂俯仰角度、大臂摆动范围</w:t>
      </w:r>
      <w:r>
        <w:rPr>
          <w:rFonts w:hint="eastAsia"/>
        </w:rPr>
        <w:t>。</w:t>
      </w:r>
    </w:p>
    <w:bookmarkEnd w:id="60"/>
    <w:p w14:paraId="1B6FEBEA">
      <w:pPr>
        <w:pStyle w:val="65"/>
        <w:spacing w:line="300" w:lineRule="auto"/>
        <w:ind w:firstLine="0" w:firstLineChars="0"/>
        <w:outlineLvl w:val="1"/>
        <w:rPr>
          <w:rFonts w:ascii="黑体" w:hAnsi="黑体" w:eastAsia="黑体" w:cs="黑体"/>
          <w:szCs w:val="21"/>
        </w:rPr>
      </w:pPr>
      <w:bookmarkStart w:id="63" w:name="_Toc27247"/>
      <w:r>
        <w:rPr>
          <w:rFonts w:hint="eastAsia" w:ascii="黑体" w:hAnsi="黑体" w:eastAsia="黑体" w:cs="黑体"/>
          <w:szCs w:val="21"/>
        </w:rPr>
        <w:t>5.2</w:t>
      </w:r>
      <w:r>
        <w:rPr>
          <w:rFonts w:hint="eastAsia" w:ascii="黑体" w:hAnsi="黑体" w:eastAsia="黑体" w:cs="黑体"/>
          <w:szCs w:val="21"/>
          <w:lang w:val="en-US" w:eastAsia="zh-CN"/>
        </w:rPr>
        <w:t xml:space="preserve"> </w:t>
      </w:r>
      <w:r>
        <w:rPr>
          <w:rFonts w:hint="eastAsia" w:ascii="黑体" w:hAnsi="黑体" w:eastAsia="黑体" w:cs="黑体"/>
          <w:szCs w:val="21"/>
        </w:rPr>
        <w:t>评价指标体系框架</w:t>
      </w:r>
      <w:bookmarkEnd w:id="63"/>
    </w:p>
    <w:p w14:paraId="1A580868">
      <w:pPr>
        <w:spacing w:line="360" w:lineRule="auto"/>
        <w:rPr>
          <w:rFonts w:ascii="Times New Roman" w:hAnsi="Times New Roman"/>
        </w:rPr>
      </w:pPr>
      <w:r>
        <w:rPr>
          <w:rFonts w:hint="eastAsia" w:ascii="黑体" w:hAnsi="黑体" w:eastAsia="黑体" w:cs="黑体"/>
        </w:rPr>
        <w:t xml:space="preserve">5.2.1 </w:t>
      </w:r>
      <w:r>
        <w:rPr>
          <w:rFonts w:hint="eastAsia" w:ascii="Times New Roman" w:hAnsi="Times New Roman"/>
        </w:rPr>
        <w:t>露天潜孔钻</w:t>
      </w:r>
      <w:r>
        <w:rPr>
          <w:rFonts w:hint="eastAsia" w:ascii="Times New Roman" w:hAnsi="Times New Roman"/>
          <w:lang w:val="en-US" w:eastAsia="zh-CN"/>
        </w:rPr>
        <w:t>车</w:t>
      </w:r>
      <w:r>
        <w:rPr>
          <w:rFonts w:hint="eastAsia" w:ascii="Times New Roman" w:hAnsi="Times New Roman" w:cs="Times New Roman"/>
        </w:rPr>
        <w:t>评价指标体系框架应符合表</w:t>
      </w:r>
      <w:r>
        <w:rPr>
          <w:rFonts w:hint="eastAsia" w:ascii="宋体" w:hAnsi="宋体" w:eastAsia="宋体" w:cs="宋体"/>
        </w:rPr>
        <w:t>1</w:t>
      </w:r>
      <w:r>
        <w:rPr>
          <w:rFonts w:hint="eastAsia" w:ascii="Times New Roman" w:hAnsi="Times New Roman" w:cs="Times New Roman"/>
        </w:rPr>
        <w:t>的规定。</w:t>
      </w:r>
    </w:p>
    <w:p w14:paraId="6FA69DC5">
      <w:pPr>
        <w:keepNext w:val="0"/>
        <w:keepLines w:val="0"/>
        <w:pageBreakBefore w:val="0"/>
        <w:widowControl w:val="0"/>
        <w:kinsoku/>
        <w:wordWrap/>
        <w:overflowPunct/>
        <w:topLinePunct w:val="0"/>
        <w:autoSpaceDE/>
        <w:autoSpaceDN/>
        <w:bidi w:val="0"/>
        <w:adjustRightInd/>
        <w:snapToGrid/>
        <w:spacing w:after="156" w:afterLines="50"/>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ascii="黑体" w:hAnsi="黑体" w:eastAsia="黑体" w:cs="黑体"/>
          <w:szCs w:val="21"/>
        </w:rPr>
        <w:t>1</w:t>
      </w:r>
      <w:bookmarkStart w:id="64" w:name="_Hlk42778042"/>
      <w:r>
        <w:rPr>
          <w:rFonts w:hint="eastAsia" w:ascii="黑体" w:hAnsi="黑体" w:eastAsia="黑体" w:cs="黑体"/>
          <w:szCs w:val="21"/>
          <w:lang w:val="en-US" w:eastAsia="zh-CN"/>
        </w:rPr>
        <w:t xml:space="preserve"> </w:t>
      </w:r>
      <w:bookmarkStart w:id="75" w:name="_GoBack"/>
      <w:bookmarkEnd w:id="75"/>
      <w:r>
        <w:rPr>
          <w:rFonts w:hint="eastAsia" w:ascii="黑体" w:hAnsi="黑体" w:eastAsia="黑体" w:cs="黑体"/>
          <w:szCs w:val="21"/>
        </w:rPr>
        <w:t xml:space="preserve"> </w:t>
      </w:r>
      <w:bookmarkEnd w:id="64"/>
      <w:r>
        <w:rPr>
          <w:rFonts w:hint="eastAsia" w:ascii="黑体" w:hAnsi="黑体" w:eastAsia="黑体" w:cs="黑体"/>
          <w:szCs w:val="21"/>
        </w:rPr>
        <w:t>露天潜孔钻</w:t>
      </w:r>
      <w:r>
        <w:rPr>
          <w:rFonts w:hint="eastAsia" w:ascii="黑体" w:hAnsi="黑体" w:eastAsia="黑体" w:cs="黑体"/>
          <w:szCs w:val="21"/>
          <w:lang w:val="en-US" w:eastAsia="zh-CN"/>
        </w:rPr>
        <w:t>车</w:t>
      </w:r>
      <w:r>
        <w:rPr>
          <w:rFonts w:hint="eastAsia" w:ascii="黑体" w:hAnsi="黑体" w:eastAsia="黑体" w:cs="黑体"/>
          <w:szCs w:val="21"/>
        </w:rPr>
        <w:t>指标体系框架</w:t>
      </w:r>
    </w:p>
    <w:tbl>
      <w:tblPr>
        <w:tblStyle w:val="22"/>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587"/>
        <w:gridCol w:w="678"/>
        <w:gridCol w:w="1937"/>
        <w:gridCol w:w="1088"/>
        <w:gridCol w:w="1183"/>
        <w:gridCol w:w="1100"/>
        <w:gridCol w:w="1067"/>
        <w:gridCol w:w="1771"/>
      </w:tblGrid>
      <w:tr w14:paraId="44AF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 w:type="dxa"/>
            <w:vMerge w:val="restart"/>
            <w:tcBorders>
              <w:tl2br w:val="nil"/>
              <w:tr2bl w:val="nil"/>
            </w:tcBorders>
            <w:vAlign w:val="center"/>
          </w:tcPr>
          <w:p w14:paraId="0A29CC78">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序号</w:t>
            </w:r>
          </w:p>
        </w:tc>
        <w:tc>
          <w:tcPr>
            <w:tcW w:w="587" w:type="dxa"/>
            <w:vMerge w:val="restart"/>
            <w:tcBorders>
              <w:tl2br w:val="nil"/>
              <w:tr2bl w:val="nil"/>
            </w:tcBorders>
            <w:shd w:val="clear" w:color="auto" w:fill="auto"/>
            <w:vAlign w:val="center"/>
          </w:tcPr>
          <w:p w14:paraId="4DF89E0D">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指标类型</w:t>
            </w:r>
          </w:p>
        </w:tc>
        <w:tc>
          <w:tcPr>
            <w:tcW w:w="2615" w:type="dxa"/>
            <w:gridSpan w:val="2"/>
            <w:vMerge w:val="restart"/>
            <w:tcBorders>
              <w:tl2br w:val="nil"/>
              <w:tr2bl w:val="nil"/>
            </w:tcBorders>
            <w:shd w:val="clear" w:color="auto" w:fill="auto"/>
            <w:vAlign w:val="center"/>
          </w:tcPr>
          <w:p w14:paraId="58A898E5">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评价指标</w:t>
            </w:r>
          </w:p>
        </w:tc>
        <w:tc>
          <w:tcPr>
            <w:tcW w:w="1088" w:type="dxa"/>
            <w:vMerge w:val="restart"/>
            <w:tcBorders>
              <w:tl2br w:val="nil"/>
              <w:tr2bl w:val="nil"/>
            </w:tcBorders>
            <w:shd w:val="clear" w:color="auto" w:fill="auto"/>
            <w:vAlign w:val="center"/>
          </w:tcPr>
          <w:p w14:paraId="1319B65E">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指标来源</w:t>
            </w:r>
          </w:p>
        </w:tc>
        <w:tc>
          <w:tcPr>
            <w:tcW w:w="3350" w:type="dxa"/>
            <w:gridSpan w:val="3"/>
            <w:tcBorders>
              <w:tl2br w:val="nil"/>
              <w:tr2bl w:val="nil"/>
            </w:tcBorders>
            <w:shd w:val="clear" w:color="auto" w:fill="auto"/>
            <w:vAlign w:val="center"/>
          </w:tcPr>
          <w:p w14:paraId="7DD4A2B3">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指标水平分级</w:t>
            </w:r>
          </w:p>
        </w:tc>
        <w:tc>
          <w:tcPr>
            <w:tcW w:w="1771" w:type="dxa"/>
            <w:vMerge w:val="restart"/>
            <w:tcBorders>
              <w:tl2br w:val="nil"/>
              <w:tr2bl w:val="nil"/>
            </w:tcBorders>
            <w:shd w:val="clear" w:color="auto" w:fill="auto"/>
            <w:vAlign w:val="center"/>
          </w:tcPr>
          <w:p w14:paraId="5297339A">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判定依据/方法</w:t>
            </w:r>
          </w:p>
        </w:tc>
      </w:tr>
      <w:tr w14:paraId="2C55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31" w:type="dxa"/>
            <w:vMerge w:val="continue"/>
            <w:tcBorders>
              <w:tl2br w:val="nil"/>
              <w:tr2bl w:val="nil"/>
            </w:tcBorders>
            <w:vAlign w:val="center"/>
          </w:tcPr>
          <w:p w14:paraId="0D87C363">
            <w:pPr>
              <w:keepNext w:val="0"/>
              <w:keepLines w:val="0"/>
              <w:pageBreakBefore w:val="0"/>
              <w:widowControl/>
              <w:kinsoku/>
              <w:wordWrap/>
              <w:overflowPunct/>
              <w:topLinePunct w:val="0"/>
              <w:bidi w:val="0"/>
              <w:adjustRightInd/>
              <w:snapToGrid/>
              <w:spacing w:line="240" w:lineRule="exact"/>
              <w:jc w:val="left"/>
              <w:textAlignment w:val="auto"/>
              <w:rPr>
                <w:rFonts w:ascii="宋体" w:hAnsi="宋体" w:eastAsia="宋体" w:cs="宋体"/>
                <w:kern w:val="0"/>
                <w:sz w:val="18"/>
                <w:szCs w:val="18"/>
              </w:rPr>
            </w:pPr>
          </w:p>
        </w:tc>
        <w:tc>
          <w:tcPr>
            <w:tcW w:w="587" w:type="dxa"/>
            <w:vMerge w:val="continue"/>
            <w:tcBorders>
              <w:tl2br w:val="nil"/>
              <w:tr2bl w:val="nil"/>
            </w:tcBorders>
            <w:vAlign w:val="center"/>
          </w:tcPr>
          <w:p w14:paraId="6EE363E5">
            <w:pPr>
              <w:keepNext w:val="0"/>
              <w:keepLines w:val="0"/>
              <w:pageBreakBefore w:val="0"/>
              <w:widowControl/>
              <w:kinsoku/>
              <w:wordWrap/>
              <w:overflowPunct/>
              <w:topLinePunct w:val="0"/>
              <w:bidi w:val="0"/>
              <w:adjustRightInd/>
              <w:snapToGrid/>
              <w:spacing w:line="240" w:lineRule="exact"/>
              <w:jc w:val="left"/>
              <w:textAlignment w:val="auto"/>
              <w:rPr>
                <w:rFonts w:ascii="宋体" w:hAnsi="宋体" w:eastAsia="宋体" w:cs="宋体"/>
                <w:kern w:val="0"/>
                <w:sz w:val="18"/>
                <w:szCs w:val="18"/>
              </w:rPr>
            </w:pPr>
          </w:p>
        </w:tc>
        <w:tc>
          <w:tcPr>
            <w:tcW w:w="2615" w:type="dxa"/>
            <w:gridSpan w:val="2"/>
            <w:vMerge w:val="continue"/>
            <w:tcBorders>
              <w:tl2br w:val="nil"/>
              <w:tr2bl w:val="nil"/>
            </w:tcBorders>
            <w:vAlign w:val="center"/>
          </w:tcPr>
          <w:p w14:paraId="1F00ED77">
            <w:pPr>
              <w:keepNext w:val="0"/>
              <w:keepLines w:val="0"/>
              <w:pageBreakBefore w:val="0"/>
              <w:widowControl/>
              <w:kinsoku/>
              <w:wordWrap/>
              <w:overflowPunct/>
              <w:topLinePunct w:val="0"/>
              <w:bidi w:val="0"/>
              <w:adjustRightInd/>
              <w:snapToGrid/>
              <w:spacing w:line="240" w:lineRule="exact"/>
              <w:jc w:val="center"/>
              <w:textAlignment w:val="auto"/>
              <w:rPr>
                <w:rFonts w:ascii="宋体" w:hAnsi="宋体" w:eastAsia="宋体" w:cs="宋体"/>
                <w:kern w:val="0"/>
                <w:sz w:val="18"/>
                <w:szCs w:val="18"/>
              </w:rPr>
            </w:pPr>
          </w:p>
        </w:tc>
        <w:tc>
          <w:tcPr>
            <w:tcW w:w="1088" w:type="dxa"/>
            <w:vMerge w:val="continue"/>
            <w:tcBorders>
              <w:tl2br w:val="nil"/>
              <w:tr2bl w:val="nil"/>
            </w:tcBorders>
            <w:vAlign w:val="center"/>
          </w:tcPr>
          <w:p w14:paraId="07A7DDE4">
            <w:pPr>
              <w:keepNext w:val="0"/>
              <w:keepLines w:val="0"/>
              <w:pageBreakBefore w:val="0"/>
              <w:widowControl/>
              <w:kinsoku/>
              <w:wordWrap/>
              <w:overflowPunct/>
              <w:topLinePunct w:val="0"/>
              <w:bidi w:val="0"/>
              <w:adjustRightInd/>
              <w:snapToGrid/>
              <w:spacing w:line="240" w:lineRule="exact"/>
              <w:jc w:val="left"/>
              <w:textAlignment w:val="auto"/>
              <w:rPr>
                <w:rFonts w:ascii="宋体" w:hAnsi="宋体" w:eastAsia="宋体" w:cs="宋体"/>
                <w:kern w:val="0"/>
                <w:sz w:val="18"/>
                <w:szCs w:val="18"/>
              </w:rPr>
            </w:pPr>
          </w:p>
        </w:tc>
        <w:tc>
          <w:tcPr>
            <w:tcW w:w="1183" w:type="dxa"/>
            <w:tcBorders>
              <w:tl2br w:val="nil"/>
              <w:tr2bl w:val="nil"/>
            </w:tcBorders>
            <w:shd w:val="clear" w:color="auto" w:fill="auto"/>
            <w:vAlign w:val="center"/>
          </w:tcPr>
          <w:p w14:paraId="335F9B4C">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领跑者水平</w:t>
            </w:r>
          </w:p>
          <w:p w14:paraId="02B1E4D4">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（5星级）</w:t>
            </w:r>
          </w:p>
        </w:tc>
        <w:tc>
          <w:tcPr>
            <w:tcW w:w="1100" w:type="dxa"/>
            <w:tcBorders>
              <w:tl2br w:val="nil"/>
              <w:tr2bl w:val="nil"/>
            </w:tcBorders>
            <w:shd w:val="clear" w:color="auto" w:fill="auto"/>
            <w:vAlign w:val="center"/>
          </w:tcPr>
          <w:p w14:paraId="3ADD397F">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优质水平</w:t>
            </w:r>
          </w:p>
          <w:p w14:paraId="6FDACA52">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（4星级）</w:t>
            </w:r>
          </w:p>
        </w:tc>
        <w:tc>
          <w:tcPr>
            <w:tcW w:w="1067" w:type="dxa"/>
            <w:tcBorders>
              <w:tl2br w:val="nil"/>
              <w:tr2bl w:val="nil"/>
            </w:tcBorders>
            <w:shd w:val="clear" w:color="auto" w:fill="auto"/>
            <w:vAlign w:val="center"/>
          </w:tcPr>
          <w:p w14:paraId="3AFB9394">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达标水平</w:t>
            </w:r>
          </w:p>
          <w:p w14:paraId="5A630E00">
            <w:pPr>
              <w:keepNext w:val="0"/>
              <w:keepLines w:val="0"/>
              <w:pageBreakBefore w:val="0"/>
              <w:widowControl/>
              <w:kinsoku/>
              <w:wordWrap/>
              <w:overflowPunct/>
              <w:topLinePunct w:val="0"/>
              <w:bidi w:val="0"/>
              <w:adjustRightInd/>
              <w:snapToGrid/>
              <w:spacing w:line="240" w:lineRule="exact"/>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（3星级）</w:t>
            </w:r>
          </w:p>
        </w:tc>
        <w:tc>
          <w:tcPr>
            <w:tcW w:w="1771" w:type="dxa"/>
            <w:vMerge w:val="continue"/>
            <w:tcBorders>
              <w:tl2br w:val="nil"/>
              <w:tr2bl w:val="nil"/>
            </w:tcBorders>
            <w:shd w:val="clear" w:color="auto" w:fill="auto"/>
            <w:vAlign w:val="center"/>
          </w:tcPr>
          <w:p w14:paraId="0F1E7F2C">
            <w:pPr>
              <w:keepNext w:val="0"/>
              <w:keepLines w:val="0"/>
              <w:pageBreakBefore w:val="0"/>
              <w:widowControl/>
              <w:kinsoku/>
              <w:wordWrap/>
              <w:overflowPunct/>
              <w:topLinePunct w:val="0"/>
              <w:bidi w:val="0"/>
              <w:adjustRightInd/>
              <w:snapToGrid/>
              <w:spacing w:line="240" w:lineRule="exact"/>
              <w:jc w:val="center"/>
              <w:textAlignment w:val="auto"/>
              <w:rPr>
                <w:rFonts w:ascii="宋体" w:hAnsi="宋体" w:eastAsia="宋体" w:cs="宋体"/>
                <w:kern w:val="0"/>
                <w:sz w:val="18"/>
                <w:szCs w:val="18"/>
              </w:rPr>
            </w:pPr>
          </w:p>
        </w:tc>
      </w:tr>
      <w:tr w14:paraId="191A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31" w:type="dxa"/>
            <w:tcBorders>
              <w:tl2br w:val="nil"/>
              <w:tr2bl w:val="nil"/>
            </w:tcBorders>
            <w:vAlign w:val="center"/>
          </w:tcPr>
          <w:p w14:paraId="43C35671">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87" w:type="dxa"/>
            <w:vMerge w:val="restart"/>
            <w:tcBorders>
              <w:tl2br w:val="nil"/>
              <w:tr2bl w:val="nil"/>
            </w:tcBorders>
            <w:shd w:val="clear" w:color="auto" w:fill="auto"/>
            <w:vAlign w:val="center"/>
          </w:tcPr>
          <w:p w14:paraId="30E1778D">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基础指标</w:t>
            </w:r>
          </w:p>
        </w:tc>
        <w:tc>
          <w:tcPr>
            <w:tcW w:w="2615" w:type="dxa"/>
            <w:gridSpan w:val="2"/>
            <w:tcBorders>
              <w:tl2br w:val="nil"/>
              <w:tr2bl w:val="nil"/>
            </w:tcBorders>
            <w:shd w:val="clear" w:color="auto" w:fill="auto"/>
            <w:vAlign w:val="center"/>
          </w:tcPr>
          <w:p w14:paraId="67619C18">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sz w:val="18"/>
                <w:szCs w:val="18"/>
                <w:highlight w:val="yellow"/>
              </w:rPr>
            </w:pPr>
            <w:r>
              <w:rPr>
                <w:rFonts w:hint="eastAsia" w:ascii="宋体" w:hAnsi="宋体" w:eastAsia="宋体" w:cs="宋体"/>
                <w:sz w:val="18"/>
                <w:szCs w:val="18"/>
                <w:lang w:val="en-US" w:eastAsia="zh-CN"/>
              </w:rPr>
              <w:t>机重（kg）</w:t>
            </w:r>
          </w:p>
        </w:tc>
        <w:tc>
          <w:tcPr>
            <w:tcW w:w="1088" w:type="dxa"/>
            <w:tcBorders>
              <w:tl2br w:val="nil"/>
              <w:tr2bl w:val="nil"/>
            </w:tcBorders>
            <w:shd w:val="clear" w:color="auto" w:fill="auto"/>
            <w:vAlign w:val="center"/>
          </w:tcPr>
          <w:p w14:paraId="5C11FBA5">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w:t>
            </w:r>
          </w:p>
        </w:tc>
        <w:tc>
          <w:tcPr>
            <w:tcW w:w="3350" w:type="dxa"/>
            <w:gridSpan w:val="3"/>
            <w:tcBorders>
              <w:tl2br w:val="nil"/>
              <w:tr2bl w:val="nil"/>
            </w:tcBorders>
            <w:shd w:val="clear" w:color="auto" w:fill="auto"/>
            <w:vAlign w:val="center"/>
          </w:tcPr>
          <w:p w14:paraId="05788B2A">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sz w:val="18"/>
                <w:szCs w:val="18"/>
                <w:highlight w:val="yellow"/>
                <w:lang w:val="en-US" w:eastAsia="zh-CN"/>
              </w:rPr>
            </w:pPr>
            <w:r>
              <w:rPr>
                <w:rFonts w:hint="eastAsia" w:ascii="宋体" w:hAnsi="宋体" w:eastAsia="宋体" w:cs="宋体"/>
                <w:sz w:val="18"/>
                <w:szCs w:val="18"/>
                <w:highlight w:val="none"/>
                <w:lang w:val="en-US" w:eastAsia="zh-CN"/>
              </w:rPr>
              <w:t>≤8000</w:t>
            </w:r>
          </w:p>
        </w:tc>
        <w:tc>
          <w:tcPr>
            <w:tcW w:w="1771" w:type="dxa"/>
            <w:tcBorders>
              <w:tl2br w:val="nil"/>
              <w:tr2bl w:val="nil"/>
            </w:tcBorders>
            <w:shd w:val="clear" w:color="auto" w:fill="auto"/>
            <w:vAlign w:val="center"/>
          </w:tcPr>
          <w:p w14:paraId="04F16FE7">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10247中</w:t>
            </w:r>
          </w:p>
          <w:p w14:paraId="08E28CCC">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default" w:ascii="宋体" w:hAnsi="宋体" w:eastAsia="宋体" w:cs="宋体"/>
                <w:kern w:val="0"/>
                <w:sz w:val="18"/>
                <w:szCs w:val="18"/>
                <w:highlight w:val="yellow"/>
                <w:lang w:val="en-US"/>
              </w:rPr>
            </w:pPr>
            <w:r>
              <w:rPr>
                <w:rFonts w:hint="eastAsia" w:ascii="宋体" w:hAnsi="宋体" w:eastAsia="宋体" w:cs="宋体"/>
                <w:bCs/>
                <w:sz w:val="18"/>
                <w:szCs w:val="18"/>
                <w:highlight w:val="none"/>
                <w:lang w:val="en-US" w:eastAsia="zh-CN"/>
              </w:rPr>
              <w:t>第5章</w:t>
            </w:r>
          </w:p>
        </w:tc>
      </w:tr>
      <w:tr w14:paraId="1187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1" w:type="dxa"/>
            <w:tcBorders>
              <w:tl2br w:val="nil"/>
              <w:tr2bl w:val="nil"/>
            </w:tcBorders>
            <w:vAlign w:val="center"/>
          </w:tcPr>
          <w:p w14:paraId="78640EB4">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587" w:type="dxa"/>
            <w:vMerge w:val="continue"/>
            <w:tcBorders>
              <w:tl2br w:val="nil"/>
              <w:tr2bl w:val="nil"/>
            </w:tcBorders>
            <w:shd w:val="clear" w:color="auto" w:fill="auto"/>
            <w:vAlign w:val="center"/>
          </w:tcPr>
          <w:p w14:paraId="7AD7B237">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p>
        </w:tc>
        <w:tc>
          <w:tcPr>
            <w:tcW w:w="2615" w:type="dxa"/>
            <w:gridSpan w:val="2"/>
            <w:tcBorders>
              <w:tl2br w:val="nil"/>
              <w:tr2bl w:val="nil"/>
            </w:tcBorders>
            <w:shd w:val="clear" w:color="auto" w:fill="auto"/>
            <w:vAlign w:val="center"/>
          </w:tcPr>
          <w:p w14:paraId="3B961C60">
            <w:pPr>
              <w:pStyle w:val="33"/>
              <w:keepNext w:val="0"/>
              <w:keepLines w:val="0"/>
              <w:pageBreakBefore w:val="0"/>
              <w:widowControl/>
              <w:numPr>
                <w:ilvl w:val="0"/>
                <w:numId w:val="5"/>
              </w:numPr>
              <w:kinsoku/>
              <w:wordWrap/>
              <w:overflowPunct/>
              <w:topLinePunct w:val="0"/>
              <w:bidi w:val="0"/>
              <w:adjustRightInd/>
              <w:snapToGrid/>
              <w:spacing w:line="240" w:lineRule="exact"/>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爬坡能力（°）</w:t>
            </w:r>
          </w:p>
        </w:tc>
        <w:tc>
          <w:tcPr>
            <w:tcW w:w="1088" w:type="dxa"/>
            <w:tcBorders>
              <w:tl2br w:val="nil"/>
              <w:tr2bl w:val="nil"/>
            </w:tcBorders>
            <w:shd w:val="clear" w:color="auto" w:fill="auto"/>
            <w:vAlign w:val="center"/>
          </w:tcPr>
          <w:p w14:paraId="234C304B">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eastAsia="宋体" w:cs="宋体"/>
                <w:bCs/>
                <w:sz w:val="18"/>
                <w:szCs w:val="18"/>
                <w:highlight w:val="yellow"/>
              </w:rPr>
            </w:pPr>
            <w:r>
              <w:rPr>
                <w:rFonts w:hint="eastAsia" w:ascii="宋体" w:hAnsi="宋体" w:eastAsia="宋体" w:cs="宋体"/>
                <w:bCs/>
                <w:sz w:val="18"/>
                <w:szCs w:val="18"/>
                <w:highlight w:val="none"/>
                <w:lang w:val="en-US" w:eastAsia="zh-CN"/>
              </w:rPr>
              <w:t>JB/T 10247</w:t>
            </w:r>
          </w:p>
        </w:tc>
        <w:tc>
          <w:tcPr>
            <w:tcW w:w="3350" w:type="dxa"/>
            <w:gridSpan w:val="3"/>
            <w:tcBorders>
              <w:tl2br w:val="nil"/>
              <w:tr2bl w:val="nil"/>
            </w:tcBorders>
            <w:shd w:val="clear" w:color="auto" w:fill="auto"/>
            <w:vAlign w:val="center"/>
          </w:tcPr>
          <w:p w14:paraId="775237D5">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≥25</w:t>
            </w:r>
          </w:p>
        </w:tc>
        <w:tc>
          <w:tcPr>
            <w:tcW w:w="1771" w:type="dxa"/>
            <w:tcBorders>
              <w:tl2br w:val="nil"/>
              <w:tr2bl w:val="nil"/>
            </w:tcBorders>
            <w:shd w:val="clear" w:color="auto" w:fill="auto"/>
            <w:vAlign w:val="center"/>
          </w:tcPr>
          <w:p w14:paraId="6D9401F7">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10247中</w:t>
            </w:r>
          </w:p>
          <w:p w14:paraId="3A85E55A">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bCs/>
                <w:sz w:val="18"/>
                <w:szCs w:val="18"/>
                <w:highlight w:val="none"/>
                <w:lang w:val="en-US" w:eastAsia="zh-CN"/>
              </w:rPr>
              <w:t>第5章</w:t>
            </w:r>
          </w:p>
        </w:tc>
      </w:tr>
      <w:tr w14:paraId="7F58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1" w:type="dxa"/>
            <w:tcBorders>
              <w:tl2br w:val="nil"/>
              <w:tr2bl w:val="nil"/>
            </w:tcBorders>
            <w:vAlign w:val="center"/>
          </w:tcPr>
          <w:p w14:paraId="55213CE9">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587" w:type="dxa"/>
            <w:vMerge w:val="continue"/>
            <w:tcBorders>
              <w:tl2br w:val="nil"/>
              <w:tr2bl w:val="nil"/>
            </w:tcBorders>
            <w:shd w:val="clear" w:color="auto" w:fill="auto"/>
            <w:vAlign w:val="center"/>
          </w:tcPr>
          <w:p w14:paraId="5F46FD7F">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p>
        </w:tc>
        <w:tc>
          <w:tcPr>
            <w:tcW w:w="2615" w:type="dxa"/>
            <w:gridSpan w:val="2"/>
            <w:tcBorders>
              <w:tl2br w:val="nil"/>
              <w:tr2bl w:val="nil"/>
            </w:tcBorders>
            <w:shd w:val="clear" w:color="auto" w:fill="auto"/>
            <w:vAlign w:val="center"/>
          </w:tcPr>
          <w:p w14:paraId="307898B4">
            <w:pPr>
              <w:pStyle w:val="33"/>
              <w:keepNext w:val="0"/>
              <w:keepLines w:val="0"/>
              <w:pageBreakBefore w:val="0"/>
              <w:widowControl/>
              <w:numPr>
                <w:ilvl w:val="0"/>
                <w:numId w:val="5"/>
              </w:numPr>
              <w:kinsoku/>
              <w:wordWrap/>
              <w:overflowPunct/>
              <w:topLinePunct w:val="0"/>
              <w:bidi w:val="0"/>
              <w:adjustRightInd/>
              <w:snapToGrid/>
              <w:spacing w:line="240" w:lineRule="exact"/>
              <w:ind w:left="0" w:lef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噪声（dB（A））</w:t>
            </w:r>
          </w:p>
        </w:tc>
        <w:tc>
          <w:tcPr>
            <w:tcW w:w="1088" w:type="dxa"/>
            <w:tcBorders>
              <w:tl2br w:val="nil"/>
              <w:tr2bl w:val="nil"/>
            </w:tcBorders>
            <w:shd w:val="clear" w:color="auto" w:fill="auto"/>
            <w:vAlign w:val="center"/>
          </w:tcPr>
          <w:p w14:paraId="21631D0C">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eastAsia="宋体" w:cs="宋体"/>
                <w:bCs/>
                <w:sz w:val="18"/>
                <w:szCs w:val="18"/>
                <w:highlight w:val="yellow"/>
              </w:rPr>
            </w:pPr>
            <w:r>
              <w:rPr>
                <w:rFonts w:hint="eastAsia" w:ascii="宋体" w:hAnsi="宋体" w:eastAsia="宋体" w:cs="宋体"/>
                <w:bCs/>
                <w:sz w:val="18"/>
                <w:szCs w:val="18"/>
                <w:highlight w:val="none"/>
                <w:lang w:val="en-US" w:eastAsia="zh-CN"/>
              </w:rPr>
              <w:t>JB/T 10247</w:t>
            </w:r>
          </w:p>
        </w:tc>
        <w:tc>
          <w:tcPr>
            <w:tcW w:w="3350" w:type="dxa"/>
            <w:gridSpan w:val="3"/>
            <w:tcBorders>
              <w:tl2br w:val="nil"/>
              <w:tr2bl w:val="nil"/>
            </w:tcBorders>
            <w:shd w:val="clear" w:color="auto" w:fill="auto"/>
            <w:vAlign w:val="center"/>
          </w:tcPr>
          <w:p w14:paraId="79651A37">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sz w:val="18"/>
                <w:szCs w:val="18"/>
                <w:highlight w:val="none"/>
                <w:lang w:val="en-US" w:eastAsia="zh-CN"/>
              </w:rPr>
              <w:t>≤126</w:t>
            </w:r>
          </w:p>
        </w:tc>
        <w:tc>
          <w:tcPr>
            <w:tcW w:w="1771" w:type="dxa"/>
            <w:tcBorders>
              <w:tl2br w:val="nil"/>
              <w:tr2bl w:val="nil"/>
            </w:tcBorders>
            <w:shd w:val="clear" w:color="auto" w:fill="auto"/>
            <w:vAlign w:val="center"/>
          </w:tcPr>
          <w:p w14:paraId="25722424">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10247中</w:t>
            </w:r>
          </w:p>
          <w:p w14:paraId="49471EE2">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bCs/>
                <w:sz w:val="18"/>
                <w:szCs w:val="18"/>
                <w:highlight w:val="none"/>
                <w:lang w:val="en-US" w:eastAsia="zh-CN"/>
              </w:rPr>
              <w:t>第5章</w:t>
            </w:r>
          </w:p>
        </w:tc>
      </w:tr>
      <w:tr w14:paraId="27FE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1" w:type="dxa"/>
            <w:tcBorders>
              <w:tl2br w:val="nil"/>
              <w:tr2bl w:val="nil"/>
            </w:tcBorders>
            <w:vAlign w:val="center"/>
          </w:tcPr>
          <w:p w14:paraId="2BEFD8F1">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587" w:type="dxa"/>
            <w:vMerge w:val="restart"/>
            <w:tcBorders>
              <w:tl2br w:val="nil"/>
              <w:tr2bl w:val="nil"/>
            </w:tcBorders>
            <w:shd w:val="clear" w:color="auto" w:fill="auto"/>
            <w:vAlign w:val="center"/>
          </w:tcPr>
          <w:p w14:paraId="3C111DE6">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核心指标</w:t>
            </w:r>
          </w:p>
        </w:tc>
        <w:tc>
          <w:tcPr>
            <w:tcW w:w="2615" w:type="dxa"/>
            <w:gridSpan w:val="2"/>
            <w:tcBorders>
              <w:tl2br w:val="nil"/>
              <w:tr2bl w:val="nil"/>
            </w:tcBorders>
            <w:shd w:val="clear" w:color="auto" w:fill="auto"/>
            <w:vAlign w:val="center"/>
          </w:tcPr>
          <w:p w14:paraId="5D1FC874">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凿孔直径（mm）</w:t>
            </w:r>
          </w:p>
        </w:tc>
        <w:tc>
          <w:tcPr>
            <w:tcW w:w="1088" w:type="dxa"/>
            <w:tcBorders>
              <w:tl2br w:val="nil"/>
              <w:tr2bl w:val="nil"/>
            </w:tcBorders>
            <w:shd w:val="clear" w:color="auto" w:fill="auto"/>
            <w:vAlign w:val="center"/>
          </w:tcPr>
          <w:p w14:paraId="4BBA40FF">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bCs/>
                <w:sz w:val="18"/>
                <w:szCs w:val="18"/>
                <w:highlight w:val="none"/>
                <w:lang w:val="en-US" w:eastAsia="zh-CN"/>
              </w:rPr>
              <w:t>JB/T 10247</w:t>
            </w:r>
          </w:p>
        </w:tc>
        <w:tc>
          <w:tcPr>
            <w:tcW w:w="1183" w:type="dxa"/>
            <w:tcBorders>
              <w:tl2br w:val="nil"/>
              <w:tr2bl w:val="nil"/>
            </w:tcBorders>
            <w:shd w:val="clear" w:color="auto" w:fill="auto"/>
            <w:vAlign w:val="center"/>
          </w:tcPr>
          <w:p w14:paraId="25B1A093">
            <w:pPr>
              <w:keepNext w:val="0"/>
              <w:keepLines w:val="0"/>
              <w:pageBreakBefore w:val="0"/>
              <w:widowControl/>
              <w:kinsoku/>
              <w:wordWrap/>
              <w:overflowPunct/>
              <w:topLinePunct w:val="0"/>
              <w:bidi w:val="0"/>
              <w:adjustRightInd/>
              <w:snapToGrid/>
              <w:spacing w:line="24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≥150</w:t>
            </w:r>
          </w:p>
        </w:tc>
        <w:tc>
          <w:tcPr>
            <w:tcW w:w="1100" w:type="dxa"/>
            <w:tcBorders>
              <w:tl2br w:val="nil"/>
              <w:tr2bl w:val="nil"/>
            </w:tcBorders>
            <w:shd w:val="clear" w:color="auto" w:fill="auto"/>
            <w:vAlign w:val="center"/>
          </w:tcPr>
          <w:p w14:paraId="0227BAA4">
            <w:pPr>
              <w:keepNext w:val="0"/>
              <w:keepLines w:val="0"/>
              <w:pageBreakBefore w:val="0"/>
              <w:widowControl/>
              <w:kinsoku/>
              <w:wordWrap/>
              <w:overflowPunct/>
              <w:topLinePunct w:val="0"/>
              <w:bidi w:val="0"/>
              <w:adjustRightInd/>
              <w:snapToGrid/>
              <w:spacing w:line="240" w:lineRule="exact"/>
              <w:jc w:val="center"/>
              <w:textAlignment w:val="auto"/>
              <w:rPr>
                <w:rFonts w:hint="default" w:ascii="宋体" w:hAnsi="宋体" w:eastAsia="宋体" w:cs="宋体"/>
                <w:kern w:val="0"/>
                <w:sz w:val="18"/>
                <w:szCs w:val="18"/>
                <w:highlight w:val="none"/>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≥130</w:t>
            </w:r>
          </w:p>
        </w:tc>
        <w:tc>
          <w:tcPr>
            <w:tcW w:w="1067" w:type="dxa"/>
            <w:tcBorders>
              <w:tl2br w:val="nil"/>
              <w:tr2bl w:val="nil"/>
            </w:tcBorders>
            <w:shd w:val="clear" w:color="auto" w:fill="auto"/>
            <w:vAlign w:val="center"/>
          </w:tcPr>
          <w:p w14:paraId="49174A6C">
            <w:pPr>
              <w:pStyle w:val="33"/>
              <w:keepNext w:val="0"/>
              <w:keepLines w:val="0"/>
              <w:pageBreakBefore w:val="0"/>
              <w:kinsoku/>
              <w:wordWrap/>
              <w:overflowPunct/>
              <w:topLinePunct w:val="0"/>
              <w:bidi w:val="0"/>
              <w:adjustRightInd/>
              <w:snapToGrid/>
              <w:spacing w:line="240" w:lineRule="exact"/>
              <w:ind w:firstLine="0" w:firstLineChars="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auto"/>
                <w:sz w:val="18"/>
                <w:szCs w:val="18"/>
                <w:highlight w:val="none"/>
                <w:lang w:val="en-US" w:eastAsia="zh-CN"/>
              </w:rPr>
              <w:t>80</w:t>
            </w:r>
          </w:p>
        </w:tc>
        <w:tc>
          <w:tcPr>
            <w:tcW w:w="1771" w:type="dxa"/>
            <w:tcBorders>
              <w:tl2br w:val="nil"/>
              <w:tr2bl w:val="nil"/>
            </w:tcBorders>
            <w:shd w:val="clear" w:color="auto" w:fill="auto"/>
            <w:vAlign w:val="center"/>
          </w:tcPr>
          <w:p w14:paraId="21EDD4A7">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10247中</w:t>
            </w:r>
          </w:p>
          <w:p w14:paraId="6120EDF6">
            <w:pPr>
              <w:pStyle w:val="33"/>
              <w:keepNext w:val="0"/>
              <w:keepLines w:val="0"/>
              <w:pageBreakBefore w:val="0"/>
              <w:kinsoku/>
              <w:wordWrap/>
              <w:overflowPunct/>
              <w:topLinePunct w:val="0"/>
              <w:bidi w:val="0"/>
              <w:adjustRightInd/>
              <w:snapToGrid/>
              <w:spacing w:line="240" w:lineRule="exact"/>
              <w:ind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bCs/>
                <w:sz w:val="18"/>
                <w:szCs w:val="18"/>
                <w:highlight w:val="none"/>
                <w:lang w:val="en-US" w:eastAsia="zh-CN"/>
              </w:rPr>
              <w:t>第5章</w:t>
            </w:r>
          </w:p>
        </w:tc>
      </w:tr>
      <w:tr w14:paraId="5649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1" w:type="dxa"/>
            <w:tcBorders>
              <w:tl2br w:val="nil"/>
              <w:tr2bl w:val="nil"/>
            </w:tcBorders>
            <w:vAlign w:val="center"/>
          </w:tcPr>
          <w:p w14:paraId="04C63B4E">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587" w:type="dxa"/>
            <w:vMerge w:val="continue"/>
            <w:tcBorders>
              <w:tl2br w:val="nil"/>
              <w:tr2bl w:val="nil"/>
            </w:tcBorders>
            <w:shd w:val="clear" w:color="auto" w:fill="auto"/>
            <w:vAlign w:val="center"/>
          </w:tcPr>
          <w:p w14:paraId="5376755B">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p>
        </w:tc>
        <w:tc>
          <w:tcPr>
            <w:tcW w:w="2615" w:type="dxa"/>
            <w:gridSpan w:val="2"/>
            <w:tcBorders>
              <w:tl2br w:val="nil"/>
              <w:tr2bl w:val="nil"/>
            </w:tcBorders>
            <w:shd w:val="clear" w:color="auto" w:fill="auto"/>
            <w:vAlign w:val="center"/>
          </w:tcPr>
          <w:p w14:paraId="773E5289">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凿孔深度（m）</w:t>
            </w:r>
          </w:p>
        </w:tc>
        <w:tc>
          <w:tcPr>
            <w:tcW w:w="1088" w:type="dxa"/>
            <w:tcBorders>
              <w:tl2br w:val="nil"/>
              <w:tr2bl w:val="nil"/>
            </w:tcBorders>
            <w:shd w:val="clear" w:color="auto" w:fill="auto"/>
            <w:vAlign w:val="center"/>
          </w:tcPr>
          <w:p w14:paraId="35ED1A28">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bCs/>
                <w:sz w:val="18"/>
                <w:szCs w:val="18"/>
                <w:highlight w:val="none"/>
                <w:lang w:val="en-US" w:eastAsia="zh-CN"/>
              </w:rPr>
              <w:t>JB/T 10247</w:t>
            </w:r>
          </w:p>
        </w:tc>
        <w:tc>
          <w:tcPr>
            <w:tcW w:w="1183" w:type="dxa"/>
            <w:tcBorders>
              <w:tl2br w:val="nil"/>
              <w:tr2bl w:val="nil"/>
            </w:tcBorders>
            <w:shd w:val="clear" w:color="auto" w:fill="auto"/>
            <w:vAlign w:val="center"/>
          </w:tcPr>
          <w:p w14:paraId="132DAA1F">
            <w:pPr>
              <w:keepNext w:val="0"/>
              <w:keepLines w:val="0"/>
              <w:pageBreakBefore w:val="0"/>
              <w:widowControl/>
              <w:kinsoku/>
              <w:wordWrap/>
              <w:overflowPunct/>
              <w:topLinePunct w:val="0"/>
              <w:bidi w:val="0"/>
              <w:adjustRightInd/>
              <w:snapToGrid/>
              <w:spacing w:line="240" w:lineRule="exact"/>
              <w:jc w:val="center"/>
              <w:textAlignment w:val="auto"/>
              <w:rPr>
                <w:rFonts w:hint="default"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≥40</w:t>
            </w:r>
          </w:p>
        </w:tc>
        <w:tc>
          <w:tcPr>
            <w:tcW w:w="1100" w:type="dxa"/>
            <w:tcBorders>
              <w:tl2br w:val="nil"/>
              <w:tr2bl w:val="nil"/>
            </w:tcBorders>
            <w:shd w:val="clear" w:color="auto" w:fill="auto"/>
            <w:vAlign w:val="center"/>
          </w:tcPr>
          <w:p w14:paraId="772E4B39">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color w:val="000000" w:themeColor="text1"/>
                <w:sz w:val="18"/>
                <w:szCs w:val="18"/>
                <w:lang w:val="en-US" w:eastAsia="zh-CN"/>
                <w14:textFill>
                  <w14:solidFill>
                    <w14:schemeClr w14:val="tx1"/>
                  </w14:solidFill>
                </w14:textFill>
              </w:rPr>
              <w:t>≥30</w:t>
            </w:r>
          </w:p>
        </w:tc>
        <w:tc>
          <w:tcPr>
            <w:tcW w:w="1067" w:type="dxa"/>
            <w:tcBorders>
              <w:tl2br w:val="nil"/>
              <w:tr2bl w:val="nil"/>
            </w:tcBorders>
            <w:shd w:val="clear" w:color="auto" w:fill="auto"/>
            <w:vAlign w:val="center"/>
          </w:tcPr>
          <w:p w14:paraId="71F4B024">
            <w:pPr>
              <w:pStyle w:val="33"/>
              <w:keepNext w:val="0"/>
              <w:keepLines w:val="0"/>
              <w:pageBreakBefore w:val="0"/>
              <w:kinsoku/>
              <w:wordWrap/>
              <w:overflowPunct/>
              <w:topLinePunct w:val="0"/>
              <w:bidi w:val="0"/>
              <w:adjustRightInd/>
              <w:snapToGrid/>
              <w:spacing w:line="240" w:lineRule="exact"/>
              <w:ind w:firstLine="0" w:firstLineChars="0"/>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themeColor="text1"/>
                <w:sz w:val="18"/>
                <w:szCs w:val="18"/>
                <w:lang w:val="en-US" w:eastAsia="zh-CN"/>
                <w14:textFill>
                  <w14:solidFill>
                    <w14:schemeClr w14:val="tx1"/>
                  </w14:solidFill>
                </w14:textFill>
              </w:rPr>
              <w:t>≥25</w:t>
            </w:r>
          </w:p>
        </w:tc>
        <w:tc>
          <w:tcPr>
            <w:tcW w:w="1771" w:type="dxa"/>
            <w:tcBorders>
              <w:tl2br w:val="nil"/>
              <w:tr2bl w:val="nil"/>
            </w:tcBorders>
            <w:shd w:val="clear" w:color="auto" w:fill="auto"/>
            <w:vAlign w:val="center"/>
          </w:tcPr>
          <w:p w14:paraId="1FF5E2AF">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10247中</w:t>
            </w:r>
          </w:p>
          <w:p w14:paraId="00A8B860">
            <w:pPr>
              <w:pStyle w:val="33"/>
              <w:keepNext w:val="0"/>
              <w:keepLines w:val="0"/>
              <w:pageBreakBefore w:val="0"/>
              <w:kinsoku/>
              <w:wordWrap/>
              <w:overflowPunct/>
              <w:topLinePunct w:val="0"/>
              <w:bidi w:val="0"/>
              <w:adjustRightInd/>
              <w:snapToGrid/>
              <w:spacing w:line="240" w:lineRule="exact"/>
              <w:ind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bCs/>
                <w:sz w:val="18"/>
                <w:szCs w:val="18"/>
                <w:highlight w:val="none"/>
                <w:lang w:val="en-US" w:eastAsia="zh-CN"/>
              </w:rPr>
              <w:t>第5章</w:t>
            </w:r>
          </w:p>
        </w:tc>
      </w:tr>
      <w:tr w14:paraId="14FD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1" w:type="dxa"/>
            <w:tcBorders>
              <w:tl2br w:val="nil"/>
              <w:tr2bl w:val="nil"/>
            </w:tcBorders>
            <w:vAlign w:val="center"/>
          </w:tcPr>
          <w:p w14:paraId="25ECCBC7">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587" w:type="dxa"/>
            <w:vMerge w:val="continue"/>
            <w:tcBorders>
              <w:tl2br w:val="nil"/>
              <w:tr2bl w:val="nil"/>
            </w:tcBorders>
            <w:shd w:val="clear" w:color="auto" w:fill="auto"/>
            <w:vAlign w:val="center"/>
          </w:tcPr>
          <w:p w14:paraId="77A99E82">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p>
        </w:tc>
        <w:tc>
          <w:tcPr>
            <w:tcW w:w="2615" w:type="dxa"/>
            <w:gridSpan w:val="2"/>
            <w:tcBorders>
              <w:tl2br w:val="nil"/>
              <w:tr2bl w:val="nil"/>
            </w:tcBorders>
            <w:shd w:val="clear" w:color="auto" w:fill="auto"/>
            <w:vAlign w:val="center"/>
          </w:tcPr>
          <w:p w14:paraId="6646A61F">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凿岩耗氧量（L/s）</w:t>
            </w:r>
          </w:p>
        </w:tc>
        <w:tc>
          <w:tcPr>
            <w:tcW w:w="1088" w:type="dxa"/>
            <w:tcBorders>
              <w:tl2br w:val="nil"/>
              <w:tr2bl w:val="nil"/>
            </w:tcBorders>
            <w:shd w:val="clear" w:color="auto" w:fill="auto"/>
            <w:vAlign w:val="center"/>
          </w:tcPr>
          <w:p w14:paraId="44F34A3A">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bCs/>
                <w:sz w:val="18"/>
                <w:szCs w:val="18"/>
                <w:highlight w:val="none"/>
                <w:lang w:val="en-US" w:eastAsia="zh-CN"/>
              </w:rPr>
              <w:t>JB/T 10247</w:t>
            </w:r>
          </w:p>
        </w:tc>
        <w:tc>
          <w:tcPr>
            <w:tcW w:w="1183" w:type="dxa"/>
            <w:tcBorders>
              <w:tl2br w:val="nil"/>
              <w:tr2bl w:val="nil"/>
            </w:tcBorders>
            <w:shd w:val="clear" w:color="auto" w:fill="auto"/>
            <w:vAlign w:val="center"/>
          </w:tcPr>
          <w:p w14:paraId="288E85B2">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sz w:val="18"/>
                <w:szCs w:val="18"/>
                <w:highlight w:val="none"/>
                <w:lang w:val="en-US" w:eastAsia="zh-CN"/>
              </w:rPr>
              <w:t>≤250</w:t>
            </w:r>
          </w:p>
        </w:tc>
        <w:tc>
          <w:tcPr>
            <w:tcW w:w="1100" w:type="dxa"/>
            <w:tcBorders>
              <w:tl2br w:val="nil"/>
              <w:tr2bl w:val="nil"/>
            </w:tcBorders>
            <w:shd w:val="clear" w:color="auto" w:fill="auto"/>
            <w:vAlign w:val="center"/>
          </w:tcPr>
          <w:p w14:paraId="3BCEC7A4">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highlight w:val="none"/>
                <w:lang w:val="en-US" w:eastAsia="zh-CN" w:bidi="ar-SA"/>
              </w:rPr>
            </w:pPr>
            <w:r>
              <w:rPr>
                <w:rFonts w:hint="eastAsia" w:ascii="宋体" w:hAnsi="宋体" w:eastAsia="宋体" w:cs="宋体"/>
                <w:sz w:val="18"/>
                <w:szCs w:val="18"/>
                <w:highlight w:val="none"/>
                <w:lang w:val="en-US" w:eastAsia="zh-CN"/>
              </w:rPr>
              <w:t>≤280</w:t>
            </w:r>
          </w:p>
        </w:tc>
        <w:tc>
          <w:tcPr>
            <w:tcW w:w="1067" w:type="dxa"/>
            <w:tcBorders>
              <w:tl2br w:val="nil"/>
              <w:tr2bl w:val="nil"/>
            </w:tcBorders>
            <w:shd w:val="clear" w:color="auto" w:fill="auto"/>
            <w:vAlign w:val="center"/>
          </w:tcPr>
          <w:p w14:paraId="66444708">
            <w:pPr>
              <w:pStyle w:val="33"/>
              <w:keepNext w:val="0"/>
              <w:keepLines w:val="0"/>
              <w:pageBreakBefore w:val="0"/>
              <w:kinsoku/>
              <w:wordWrap/>
              <w:overflowPunct/>
              <w:topLinePunct w:val="0"/>
              <w:bidi w:val="0"/>
              <w:adjustRightInd/>
              <w:snapToGrid/>
              <w:spacing w:line="240" w:lineRule="exact"/>
              <w:ind w:firstLine="0" w:firstLineChars="0"/>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≤300</w:t>
            </w:r>
          </w:p>
        </w:tc>
        <w:tc>
          <w:tcPr>
            <w:tcW w:w="1771" w:type="dxa"/>
            <w:tcBorders>
              <w:tl2br w:val="nil"/>
              <w:tr2bl w:val="nil"/>
            </w:tcBorders>
            <w:shd w:val="clear" w:color="auto" w:fill="auto"/>
            <w:vAlign w:val="center"/>
          </w:tcPr>
          <w:p w14:paraId="4F856402">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10247中</w:t>
            </w:r>
          </w:p>
          <w:p w14:paraId="3A25404E">
            <w:pPr>
              <w:pStyle w:val="33"/>
              <w:keepNext w:val="0"/>
              <w:keepLines w:val="0"/>
              <w:pageBreakBefore w:val="0"/>
              <w:kinsoku/>
              <w:wordWrap/>
              <w:overflowPunct/>
              <w:topLinePunct w:val="0"/>
              <w:bidi w:val="0"/>
              <w:adjustRightInd/>
              <w:snapToGrid/>
              <w:spacing w:line="240" w:lineRule="exact"/>
              <w:ind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bCs/>
                <w:sz w:val="18"/>
                <w:szCs w:val="18"/>
                <w:highlight w:val="none"/>
                <w:lang w:val="en-US" w:eastAsia="zh-CN"/>
              </w:rPr>
              <w:t>第5章</w:t>
            </w:r>
          </w:p>
        </w:tc>
      </w:tr>
      <w:tr w14:paraId="39E9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1" w:type="dxa"/>
            <w:tcBorders>
              <w:tl2br w:val="nil"/>
              <w:tr2bl w:val="nil"/>
            </w:tcBorders>
            <w:vAlign w:val="center"/>
          </w:tcPr>
          <w:p w14:paraId="37F7F52C">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7</w:t>
            </w:r>
          </w:p>
        </w:tc>
        <w:tc>
          <w:tcPr>
            <w:tcW w:w="587" w:type="dxa"/>
            <w:vMerge w:val="continue"/>
            <w:tcBorders>
              <w:tl2br w:val="nil"/>
              <w:tr2bl w:val="nil"/>
            </w:tcBorders>
            <w:shd w:val="clear" w:color="auto" w:fill="auto"/>
            <w:vAlign w:val="center"/>
          </w:tcPr>
          <w:p w14:paraId="74CE31AB">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p>
        </w:tc>
        <w:tc>
          <w:tcPr>
            <w:tcW w:w="2615" w:type="dxa"/>
            <w:gridSpan w:val="2"/>
            <w:tcBorders>
              <w:tl2br w:val="nil"/>
              <w:tr2bl w:val="nil"/>
            </w:tcBorders>
            <w:shd w:val="clear" w:color="auto" w:fill="auto"/>
            <w:vAlign w:val="center"/>
          </w:tcPr>
          <w:p w14:paraId="271FABB8">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提升力（KN）</w:t>
            </w:r>
          </w:p>
        </w:tc>
        <w:tc>
          <w:tcPr>
            <w:tcW w:w="1088" w:type="dxa"/>
            <w:tcBorders>
              <w:tl2br w:val="nil"/>
              <w:tr2bl w:val="nil"/>
            </w:tcBorders>
            <w:shd w:val="clear" w:color="auto" w:fill="auto"/>
            <w:vAlign w:val="center"/>
          </w:tcPr>
          <w:p w14:paraId="30BBA909">
            <w:pPr>
              <w:keepNext w:val="0"/>
              <w:keepLines w:val="0"/>
              <w:pageBreakBefore w:val="0"/>
              <w:widowControl/>
              <w:kinsoku/>
              <w:wordWrap/>
              <w:overflowPunct/>
              <w:topLinePunct w:val="0"/>
              <w:bidi w:val="0"/>
              <w:adjustRightInd/>
              <w:snapToGrid/>
              <w:spacing w:line="240" w:lineRule="exact"/>
              <w:ind w:left="90" w:hanging="90" w:hangingChars="50"/>
              <w:jc w:val="center"/>
              <w:textAlignment w:val="auto"/>
              <w:rPr>
                <w:rFonts w:hint="eastAsia" w:ascii="宋体" w:hAnsi="宋体" w:eastAsia="宋体" w:cs="宋体"/>
                <w:bCs/>
                <w:sz w:val="18"/>
                <w:szCs w:val="18"/>
                <w:highlight w:val="none"/>
              </w:rPr>
            </w:pPr>
            <w:r>
              <w:rPr>
                <w:rFonts w:hint="eastAsia" w:ascii="宋体" w:hAnsi="宋体" w:eastAsia="宋体" w:cs="宋体"/>
                <w:bCs/>
                <w:sz w:val="18"/>
                <w:szCs w:val="18"/>
                <w:highlight w:val="none"/>
                <w:lang w:val="en-US" w:eastAsia="zh-CN"/>
              </w:rPr>
              <w:t>JB/T 10247</w:t>
            </w:r>
          </w:p>
        </w:tc>
        <w:tc>
          <w:tcPr>
            <w:tcW w:w="1183" w:type="dxa"/>
            <w:tcBorders>
              <w:tl2br w:val="nil"/>
              <w:tr2bl w:val="nil"/>
            </w:tcBorders>
            <w:shd w:val="clear" w:color="auto" w:fill="auto"/>
            <w:vAlign w:val="center"/>
          </w:tcPr>
          <w:p w14:paraId="41C7D76E">
            <w:pPr>
              <w:keepNext w:val="0"/>
              <w:keepLines w:val="0"/>
              <w:pageBreakBefore w:val="0"/>
              <w:widowControl/>
              <w:kinsoku/>
              <w:wordWrap/>
              <w:overflowPunct/>
              <w:topLinePunct w:val="0"/>
              <w:bidi w:val="0"/>
              <w:adjustRightInd/>
              <w:snapToGrid/>
              <w:spacing w:line="240" w:lineRule="exact"/>
              <w:jc w:val="center"/>
              <w:textAlignment w:val="auto"/>
              <w:rPr>
                <w:rFonts w:hint="default"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≥25</w:t>
            </w:r>
          </w:p>
        </w:tc>
        <w:tc>
          <w:tcPr>
            <w:tcW w:w="1100" w:type="dxa"/>
            <w:tcBorders>
              <w:tl2br w:val="nil"/>
              <w:tr2bl w:val="nil"/>
            </w:tcBorders>
            <w:shd w:val="clear" w:color="auto" w:fill="auto"/>
            <w:vAlign w:val="center"/>
          </w:tcPr>
          <w:p w14:paraId="3499B7FA">
            <w:pPr>
              <w:keepNext w:val="0"/>
              <w:keepLines w:val="0"/>
              <w:pageBreakBefore w:val="0"/>
              <w:widowControl/>
              <w:kinsoku/>
              <w:wordWrap/>
              <w:overflowPunct/>
              <w:topLinePunct w:val="0"/>
              <w:bidi w:val="0"/>
              <w:adjustRightInd/>
              <w:snapToGrid/>
              <w:spacing w:line="240" w:lineRule="exact"/>
              <w:jc w:val="center"/>
              <w:textAlignment w:val="auto"/>
              <w:rPr>
                <w:rFonts w:hint="default" w:ascii="宋体" w:hAnsi="宋体" w:eastAsia="宋体" w:cs="宋体"/>
                <w:sz w:val="18"/>
                <w:szCs w:val="18"/>
                <w:highlight w:val="none"/>
                <w:lang w:val="en-US"/>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sz w:val="18"/>
                <w:szCs w:val="18"/>
                <w:highlight w:val="none"/>
                <w:lang w:val="en-US" w:eastAsia="zh-CN"/>
              </w:rPr>
              <w:t>15</w:t>
            </w:r>
          </w:p>
        </w:tc>
        <w:tc>
          <w:tcPr>
            <w:tcW w:w="1067" w:type="dxa"/>
            <w:tcBorders>
              <w:tl2br w:val="nil"/>
              <w:tr2bl w:val="nil"/>
            </w:tcBorders>
            <w:shd w:val="clear" w:color="auto" w:fill="auto"/>
            <w:vAlign w:val="center"/>
          </w:tcPr>
          <w:p w14:paraId="74D927B3">
            <w:pPr>
              <w:pStyle w:val="33"/>
              <w:keepNext w:val="0"/>
              <w:keepLines w:val="0"/>
              <w:pageBreakBefore w:val="0"/>
              <w:kinsoku/>
              <w:wordWrap/>
              <w:overflowPunct/>
              <w:topLinePunct w:val="0"/>
              <w:bidi w:val="0"/>
              <w:adjustRightInd/>
              <w:snapToGrid/>
              <w:spacing w:line="240" w:lineRule="exact"/>
              <w:ind w:firstLine="0" w:firstLineChars="0"/>
              <w:jc w:val="center"/>
              <w:textAlignment w:val="auto"/>
              <w:rPr>
                <w:rFonts w:hint="default" w:ascii="宋体" w:hAnsi="宋体" w:eastAsia="宋体" w:cs="宋体"/>
                <w:sz w:val="18"/>
                <w:szCs w:val="18"/>
                <w:highlight w:val="none"/>
                <w:lang w:val="en-US"/>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hAnsi="宋体" w:eastAsia="宋体" w:cs="宋体"/>
                <w:color w:val="000000" w:themeColor="text1"/>
                <w:sz w:val="18"/>
                <w:szCs w:val="18"/>
                <w:lang w:val="en-US" w:eastAsia="zh-CN"/>
                <w14:textFill>
                  <w14:solidFill>
                    <w14:schemeClr w14:val="tx1"/>
                  </w14:solidFill>
                </w14:textFill>
              </w:rPr>
              <w:t>10</w:t>
            </w:r>
          </w:p>
        </w:tc>
        <w:tc>
          <w:tcPr>
            <w:tcW w:w="1771" w:type="dxa"/>
            <w:tcBorders>
              <w:tl2br w:val="nil"/>
              <w:tr2bl w:val="nil"/>
            </w:tcBorders>
            <w:shd w:val="clear" w:color="auto" w:fill="auto"/>
            <w:vAlign w:val="center"/>
          </w:tcPr>
          <w:p w14:paraId="0331160F">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10247中</w:t>
            </w:r>
          </w:p>
          <w:p w14:paraId="3ADD2F47">
            <w:pPr>
              <w:pStyle w:val="33"/>
              <w:keepNext w:val="0"/>
              <w:keepLines w:val="0"/>
              <w:pageBreakBefore w:val="0"/>
              <w:kinsoku/>
              <w:wordWrap/>
              <w:overflowPunct/>
              <w:topLinePunct w:val="0"/>
              <w:bidi w:val="0"/>
              <w:adjustRightInd/>
              <w:snapToGrid/>
              <w:spacing w:line="240" w:lineRule="exact"/>
              <w:ind w:firstLine="0" w:firstLineChars="0"/>
              <w:jc w:val="center"/>
              <w:textAlignment w:val="auto"/>
              <w:rPr>
                <w:rFonts w:hint="eastAsia" w:ascii="宋体" w:hAnsi="宋体" w:eastAsia="宋体" w:cs="宋体"/>
                <w:kern w:val="0"/>
                <w:sz w:val="18"/>
                <w:szCs w:val="18"/>
                <w:highlight w:val="none"/>
              </w:rPr>
            </w:pPr>
            <w:r>
              <w:rPr>
                <w:rFonts w:hint="eastAsia" w:ascii="宋体" w:hAnsi="宋体" w:eastAsia="宋体" w:cs="宋体"/>
                <w:bCs/>
                <w:sz w:val="18"/>
                <w:szCs w:val="18"/>
                <w:highlight w:val="none"/>
                <w:lang w:val="en-US" w:eastAsia="zh-CN"/>
              </w:rPr>
              <w:t>第5章</w:t>
            </w:r>
          </w:p>
        </w:tc>
      </w:tr>
      <w:tr w14:paraId="3261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1" w:type="dxa"/>
            <w:tcBorders>
              <w:tl2br w:val="nil"/>
              <w:tr2bl w:val="nil"/>
            </w:tcBorders>
            <w:vAlign w:val="center"/>
          </w:tcPr>
          <w:p w14:paraId="0D37D2C0">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587" w:type="dxa"/>
            <w:vMerge w:val="continue"/>
            <w:tcBorders>
              <w:tl2br w:val="nil"/>
              <w:tr2bl w:val="nil"/>
            </w:tcBorders>
            <w:shd w:val="clear" w:color="auto" w:fill="auto"/>
            <w:vAlign w:val="center"/>
          </w:tcPr>
          <w:p w14:paraId="670D1EA7">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p>
        </w:tc>
        <w:tc>
          <w:tcPr>
            <w:tcW w:w="2615" w:type="dxa"/>
            <w:gridSpan w:val="2"/>
            <w:tcBorders>
              <w:tl2br w:val="nil"/>
              <w:tr2bl w:val="nil"/>
            </w:tcBorders>
            <w:shd w:val="clear" w:color="auto" w:fill="auto"/>
            <w:vAlign w:val="center"/>
          </w:tcPr>
          <w:p w14:paraId="6B1DEBFF">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回转扭矩（N·M）</w:t>
            </w:r>
          </w:p>
        </w:tc>
        <w:tc>
          <w:tcPr>
            <w:tcW w:w="1088" w:type="dxa"/>
            <w:tcBorders>
              <w:tl2br w:val="nil"/>
              <w:tr2bl w:val="nil"/>
            </w:tcBorders>
            <w:shd w:val="clear" w:color="auto" w:fill="auto"/>
            <w:vAlign w:val="center"/>
          </w:tcPr>
          <w:p w14:paraId="54DE4B24">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sz w:val="18"/>
                <w:szCs w:val="18"/>
                <w:highlight w:val="none"/>
              </w:rPr>
            </w:pPr>
            <w:r>
              <w:rPr>
                <w:rFonts w:hint="eastAsia" w:ascii="宋体" w:hAnsi="宋体" w:eastAsia="宋体" w:cs="宋体"/>
                <w:bCs/>
                <w:sz w:val="18"/>
                <w:szCs w:val="18"/>
                <w:highlight w:val="none"/>
                <w:lang w:val="en-US" w:eastAsia="zh-CN"/>
              </w:rPr>
              <w:t>JB/T 10247</w:t>
            </w:r>
          </w:p>
        </w:tc>
        <w:tc>
          <w:tcPr>
            <w:tcW w:w="1183" w:type="dxa"/>
            <w:tcBorders>
              <w:tl2br w:val="nil"/>
              <w:tr2bl w:val="nil"/>
            </w:tcBorders>
            <w:shd w:val="clear" w:color="auto" w:fill="auto"/>
            <w:vAlign w:val="center"/>
          </w:tcPr>
          <w:p w14:paraId="5990BE6F">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≥1100</w:t>
            </w:r>
          </w:p>
        </w:tc>
        <w:tc>
          <w:tcPr>
            <w:tcW w:w="1100" w:type="dxa"/>
            <w:tcBorders>
              <w:tl2br w:val="nil"/>
              <w:tr2bl w:val="nil"/>
            </w:tcBorders>
            <w:shd w:val="clear" w:color="auto" w:fill="auto"/>
            <w:vAlign w:val="center"/>
          </w:tcPr>
          <w:p w14:paraId="50C8D42C">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highlight w:val="none"/>
              </w:rPr>
            </w:pPr>
            <w:r>
              <w:rPr>
                <w:rFonts w:hint="eastAsia" w:ascii="宋体" w:hAnsi="宋体" w:eastAsia="宋体" w:cs="宋体"/>
                <w:color w:val="000000" w:themeColor="text1"/>
                <w:sz w:val="18"/>
                <w:szCs w:val="18"/>
                <w:lang w:val="en-US" w:eastAsia="zh-CN"/>
                <w14:textFill>
                  <w14:solidFill>
                    <w14:schemeClr w14:val="tx1"/>
                  </w14:solidFill>
                </w14:textFill>
              </w:rPr>
              <w:t>≥1000</w:t>
            </w:r>
          </w:p>
        </w:tc>
        <w:tc>
          <w:tcPr>
            <w:tcW w:w="1067" w:type="dxa"/>
            <w:tcBorders>
              <w:tl2br w:val="nil"/>
              <w:tr2bl w:val="nil"/>
            </w:tcBorders>
            <w:shd w:val="clear" w:color="auto" w:fill="auto"/>
            <w:vAlign w:val="center"/>
          </w:tcPr>
          <w:p w14:paraId="5CA522EB">
            <w:pPr>
              <w:keepNext w:val="0"/>
              <w:keepLines w:val="0"/>
              <w:pageBreakBefore w:val="0"/>
              <w:widowControl/>
              <w:kinsoku/>
              <w:wordWrap/>
              <w:overflowPunct/>
              <w:topLinePunct w:val="0"/>
              <w:bidi w:val="0"/>
              <w:adjustRightInd/>
              <w:snapToGrid/>
              <w:spacing w:line="240" w:lineRule="exact"/>
              <w:jc w:val="center"/>
              <w:textAlignment w:val="auto"/>
              <w:rPr>
                <w:rFonts w:hint="default" w:ascii="宋体" w:hAnsi="宋体" w:eastAsia="宋体" w:cs="宋体"/>
                <w:sz w:val="18"/>
                <w:szCs w:val="18"/>
                <w:highlight w:val="none"/>
                <w:lang w:val="en-US"/>
              </w:rPr>
            </w:pPr>
            <w:r>
              <w:rPr>
                <w:rFonts w:hint="eastAsia" w:ascii="宋体" w:hAnsi="宋体" w:eastAsia="宋体" w:cs="宋体"/>
                <w:color w:val="000000" w:themeColor="text1"/>
                <w:sz w:val="18"/>
                <w:szCs w:val="18"/>
                <w:lang w:val="en-US" w:eastAsia="zh-CN"/>
                <w14:textFill>
                  <w14:solidFill>
                    <w14:schemeClr w14:val="tx1"/>
                  </w14:solidFill>
                </w14:textFill>
              </w:rPr>
              <w:t>≥900</w:t>
            </w:r>
          </w:p>
        </w:tc>
        <w:tc>
          <w:tcPr>
            <w:tcW w:w="1771" w:type="dxa"/>
            <w:tcBorders>
              <w:tl2br w:val="nil"/>
              <w:tr2bl w:val="nil"/>
            </w:tcBorders>
            <w:shd w:val="clear" w:color="auto" w:fill="auto"/>
            <w:vAlign w:val="center"/>
          </w:tcPr>
          <w:p w14:paraId="6130FFE5">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10247中</w:t>
            </w:r>
          </w:p>
          <w:p w14:paraId="178AB8C8">
            <w:pPr>
              <w:pStyle w:val="33"/>
              <w:keepNext w:val="0"/>
              <w:keepLines w:val="0"/>
              <w:pageBreakBefore w:val="0"/>
              <w:kinsoku/>
              <w:wordWrap/>
              <w:overflowPunct/>
              <w:topLinePunct w:val="0"/>
              <w:bidi w:val="0"/>
              <w:adjustRightInd/>
              <w:snapToGrid/>
              <w:spacing w:line="240" w:lineRule="exact"/>
              <w:ind w:firstLine="0" w:firstLineChars="0"/>
              <w:jc w:val="center"/>
              <w:textAlignment w:val="auto"/>
              <w:rPr>
                <w:rFonts w:hint="eastAsia" w:ascii="宋体" w:hAnsi="宋体" w:eastAsia="宋体" w:cs="宋体"/>
                <w:sz w:val="18"/>
                <w:szCs w:val="18"/>
                <w:highlight w:val="none"/>
              </w:rPr>
            </w:pPr>
            <w:r>
              <w:rPr>
                <w:rFonts w:hint="eastAsia" w:ascii="宋体" w:hAnsi="宋体" w:eastAsia="宋体" w:cs="宋体"/>
                <w:bCs/>
                <w:sz w:val="18"/>
                <w:szCs w:val="18"/>
                <w:highlight w:val="none"/>
                <w:lang w:val="en-US" w:eastAsia="zh-CN"/>
              </w:rPr>
              <w:t>第5章</w:t>
            </w:r>
          </w:p>
        </w:tc>
      </w:tr>
      <w:tr w14:paraId="7354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31" w:type="dxa"/>
            <w:tcBorders>
              <w:tl2br w:val="nil"/>
              <w:tr2bl w:val="nil"/>
            </w:tcBorders>
            <w:vAlign w:val="center"/>
          </w:tcPr>
          <w:p w14:paraId="6E82A01F">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9</w:t>
            </w:r>
          </w:p>
        </w:tc>
        <w:tc>
          <w:tcPr>
            <w:tcW w:w="587" w:type="dxa"/>
            <w:vMerge w:val="restart"/>
            <w:tcBorders>
              <w:tl2br w:val="nil"/>
              <w:tr2bl w:val="nil"/>
            </w:tcBorders>
            <w:shd w:val="clear" w:color="auto" w:fill="auto"/>
            <w:vAlign w:val="center"/>
          </w:tcPr>
          <w:p w14:paraId="710A154D">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创新指标</w:t>
            </w:r>
          </w:p>
        </w:tc>
        <w:tc>
          <w:tcPr>
            <w:tcW w:w="678" w:type="dxa"/>
            <w:vMerge w:val="restart"/>
            <w:tcBorders>
              <w:tl2br w:val="nil"/>
              <w:tr2bl w:val="nil"/>
            </w:tcBorders>
            <w:shd w:val="clear" w:color="auto" w:fill="auto"/>
            <w:vAlign w:val="center"/>
          </w:tcPr>
          <w:p w14:paraId="5C57D0A1">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钻臂</w:t>
            </w:r>
          </w:p>
        </w:tc>
        <w:tc>
          <w:tcPr>
            <w:tcW w:w="1937" w:type="dxa"/>
            <w:tcBorders>
              <w:tl2br w:val="nil"/>
              <w:tr2bl w:val="nil"/>
            </w:tcBorders>
            <w:shd w:val="clear" w:color="auto" w:fill="auto"/>
            <w:vAlign w:val="center"/>
          </w:tcPr>
          <w:p w14:paraId="0F2C0518">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大臂俯仰角度（°）</w:t>
            </w:r>
          </w:p>
        </w:tc>
        <w:tc>
          <w:tcPr>
            <w:tcW w:w="1088" w:type="dxa"/>
            <w:tcBorders>
              <w:tl2br w:val="nil"/>
              <w:tr2bl w:val="nil"/>
            </w:tcBorders>
            <w:shd w:val="clear" w:color="auto" w:fill="auto"/>
            <w:vAlign w:val="center"/>
          </w:tcPr>
          <w:p w14:paraId="106B911F">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bCs/>
                <w:sz w:val="18"/>
                <w:szCs w:val="18"/>
                <w:highlight w:val="none"/>
                <w:lang w:val="en-US" w:eastAsia="zh-CN"/>
              </w:rPr>
              <w:t>JB/T 10247</w:t>
            </w:r>
          </w:p>
        </w:tc>
        <w:tc>
          <w:tcPr>
            <w:tcW w:w="3350" w:type="dxa"/>
            <w:gridSpan w:val="3"/>
            <w:tcBorders>
              <w:tl2br w:val="nil"/>
              <w:tr2bl w:val="nil"/>
            </w:tcBorders>
            <w:shd w:val="clear" w:color="auto" w:fill="auto"/>
            <w:vAlign w:val="center"/>
          </w:tcPr>
          <w:p w14:paraId="5ADEC764">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≥80</w:t>
            </w:r>
          </w:p>
        </w:tc>
        <w:tc>
          <w:tcPr>
            <w:tcW w:w="1771" w:type="dxa"/>
            <w:tcBorders>
              <w:tl2br w:val="nil"/>
              <w:tr2bl w:val="nil"/>
            </w:tcBorders>
            <w:shd w:val="clear" w:color="auto" w:fill="auto"/>
            <w:vAlign w:val="center"/>
          </w:tcPr>
          <w:p w14:paraId="2C725D50">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10247中</w:t>
            </w:r>
          </w:p>
          <w:p w14:paraId="77D7194C">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r>
              <w:rPr>
                <w:rFonts w:hint="eastAsia" w:ascii="宋体" w:hAnsi="宋体" w:eastAsia="宋体" w:cs="宋体"/>
                <w:bCs/>
                <w:sz w:val="18"/>
                <w:szCs w:val="18"/>
                <w:highlight w:val="none"/>
                <w:lang w:val="en-US" w:eastAsia="zh-CN"/>
              </w:rPr>
              <w:t>第5章</w:t>
            </w:r>
          </w:p>
        </w:tc>
      </w:tr>
      <w:tr w14:paraId="3EC2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31" w:type="dxa"/>
            <w:tcBorders>
              <w:tl2br w:val="nil"/>
              <w:tr2bl w:val="nil"/>
            </w:tcBorders>
            <w:vAlign w:val="center"/>
          </w:tcPr>
          <w:p w14:paraId="380B4C12">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87" w:type="dxa"/>
            <w:vMerge w:val="continue"/>
            <w:tcBorders>
              <w:tl2br w:val="nil"/>
              <w:tr2bl w:val="nil"/>
            </w:tcBorders>
            <w:shd w:val="clear" w:color="auto" w:fill="auto"/>
            <w:vAlign w:val="center"/>
          </w:tcPr>
          <w:p w14:paraId="20C7A04F">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p>
        </w:tc>
        <w:tc>
          <w:tcPr>
            <w:tcW w:w="678" w:type="dxa"/>
            <w:vMerge w:val="continue"/>
            <w:tcBorders>
              <w:tl2br w:val="nil"/>
              <w:tr2bl w:val="nil"/>
            </w:tcBorders>
            <w:shd w:val="clear" w:color="auto" w:fill="auto"/>
            <w:vAlign w:val="center"/>
          </w:tcPr>
          <w:p w14:paraId="1D0CEEA6">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kern w:val="2"/>
                <w:sz w:val="18"/>
                <w:szCs w:val="18"/>
                <w:lang w:val="en-US" w:eastAsia="zh-CN" w:bidi="ar-SA"/>
              </w:rPr>
            </w:pPr>
          </w:p>
        </w:tc>
        <w:tc>
          <w:tcPr>
            <w:tcW w:w="1937" w:type="dxa"/>
            <w:tcBorders>
              <w:tl2br w:val="nil"/>
              <w:tr2bl w:val="nil"/>
            </w:tcBorders>
            <w:shd w:val="clear" w:color="auto" w:fill="auto"/>
            <w:vAlign w:val="center"/>
          </w:tcPr>
          <w:p w14:paraId="7B0BDA82">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大臂摆动范围（°）</w:t>
            </w:r>
          </w:p>
        </w:tc>
        <w:tc>
          <w:tcPr>
            <w:tcW w:w="1088" w:type="dxa"/>
            <w:tcBorders>
              <w:tl2br w:val="nil"/>
              <w:tr2bl w:val="nil"/>
            </w:tcBorders>
            <w:shd w:val="clear" w:color="auto" w:fill="auto"/>
            <w:vAlign w:val="center"/>
          </w:tcPr>
          <w:p w14:paraId="30D8D1DF">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bCs/>
                <w:sz w:val="18"/>
                <w:szCs w:val="18"/>
                <w:highlight w:val="none"/>
                <w:lang w:val="en-US" w:eastAsia="zh-CN"/>
              </w:rPr>
              <w:t>JB/T 10247</w:t>
            </w:r>
          </w:p>
        </w:tc>
        <w:tc>
          <w:tcPr>
            <w:tcW w:w="3350" w:type="dxa"/>
            <w:gridSpan w:val="3"/>
            <w:tcBorders>
              <w:tl2br w:val="nil"/>
              <w:tr2bl w:val="nil"/>
            </w:tcBorders>
            <w:shd w:val="clear" w:color="auto" w:fill="auto"/>
            <w:vAlign w:val="center"/>
          </w:tcPr>
          <w:p w14:paraId="1830B784">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≥90</w:t>
            </w:r>
          </w:p>
        </w:tc>
        <w:tc>
          <w:tcPr>
            <w:tcW w:w="1771" w:type="dxa"/>
            <w:tcBorders>
              <w:tl2br w:val="nil"/>
              <w:tr2bl w:val="nil"/>
            </w:tcBorders>
            <w:shd w:val="clear" w:color="auto" w:fill="auto"/>
            <w:vAlign w:val="center"/>
          </w:tcPr>
          <w:p w14:paraId="58148127">
            <w:pPr>
              <w:keepNext w:val="0"/>
              <w:keepLines w:val="0"/>
              <w:pageBreakBefore w:val="0"/>
              <w:widowControl/>
              <w:kinsoku/>
              <w:wordWrap/>
              <w:overflowPunct/>
              <w:topLinePunct w:val="0"/>
              <w:bidi w:val="0"/>
              <w:adjustRightInd/>
              <w:snapToGrid/>
              <w:spacing w:line="240" w:lineRule="exact"/>
              <w:ind w:left="0" w:leftChars="0"/>
              <w:jc w:val="center"/>
              <w:textAlignment w:val="auto"/>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JB/T 10247中</w:t>
            </w:r>
          </w:p>
          <w:p w14:paraId="39BF2015">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kern w:val="0"/>
                <w:sz w:val="18"/>
                <w:szCs w:val="18"/>
              </w:rPr>
            </w:pPr>
            <w:r>
              <w:rPr>
                <w:rFonts w:hint="eastAsia" w:ascii="宋体" w:hAnsi="宋体" w:eastAsia="宋体" w:cs="宋体"/>
                <w:bCs/>
                <w:sz w:val="18"/>
                <w:szCs w:val="18"/>
                <w:highlight w:val="none"/>
                <w:lang w:val="en-US" w:eastAsia="zh-CN"/>
              </w:rPr>
              <w:t>第5章</w:t>
            </w:r>
          </w:p>
        </w:tc>
      </w:tr>
      <w:tr w14:paraId="02E9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42" w:type="dxa"/>
            <w:gridSpan w:val="9"/>
            <w:tcBorders>
              <w:tl2br w:val="nil"/>
              <w:tr2bl w:val="nil"/>
            </w:tcBorders>
            <w:vAlign w:val="center"/>
          </w:tcPr>
          <w:p w14:paraId="31B476F1">
            <w:pPr>
              <w:keepNext w:val="0"/>
              <w:keepLines w:val="0"/>
              <w:pageBreakBefore w:val="0"/>
              <w:widowControl/>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注:除噪声外的各项性能指标均为试验气压在0.63Mpa下的试验数据。</w:t>
            </w:r>
          </w:p>
        </w:tc>
      </w:tr>
    </w:tbl>
    <w:p w14:paraId="541B92B5">
      <w:pPr>
        <w:pStyle w:val="3"/>
        <w:spacing w:before="0" w:after="0"/>
        <w:rPr>
          <w:rFonts w:ascii="黑体" w:hAnsi="黑体" w:eastAsia="黑体"/>
          <w:b w:val="0"/>
          <w:sz w:val="24"/>
          <w:szCs w:val="24"/>
        </w:rPr>
      </w:pPr>
      <w:bookmarkStart w:id="65" w:name="_Toc35353330"/>
      <w:bookmarkStart w:id="66" w:name="_Toc2061132326"/>
      <w:bookmarkStart w:id="67" w:name="_Toc3724"/>
      <w:bookmarkStart w:id="68" w:name="_Toc324165027"/>
      <w:bookmarkStart w:id="69" w:name="_Toc324165077"/>
      <w:bookmarkStart w:id="70" w:name="_Toc323891329"/>
      <w:bookmarkStart w:id="71" w:name="_Toc323891250"/>
      <w:bookmarkStart w:id="72" w:name="_Toc353278168"/>
      <w:r>
        <w:rPr>
          <w:rFonts w:hint="eastAsia" w:ascii="黑体" w:hAnsi="黑体" w:eastAsia="黑体"/>
          <w:b w:val="0"/>
          <w:sz w:val="24"/>
          <w:szCs w:val="24"/>
        </w:rPr>
        <w:t xml:space="preserve">6 </w:t>
      </w:r>
      <w:bookmarkEnd w:id="65"/>
      <w:r>
        <w:rPr>
          <w:rFonts w:hint="eastAsia" w:ascii="黑体" w:hAnsi="黑体" w:eastAsia="黑体"/>
          <w:b w:val="0"/>
          <w:sz w:val="24"/>
          <w:szCs w:val="24"/>
        </w:rPr>
        <w:t>评价方法及等级划分</w:t>
      </w:r>
      <w:bookmarkEnd w:id="66"/>
      <w:bookmarkEnd w:id="67"/>
    </w:p>
    <w:bookmarkEnd w:id="68"/>
    <w:bookmarkEnd w:id="69"/>
    <w:bookmarkEnd w:id="70"/>
    <w:bookmarkEnd w:id="71"/>
    <w:bookmarkEnd w:id="72"/>
    <w:p w14:paraId="5D1B33C0">
      <w:pPr>
        <w:spacing w:line="276" w:lineRule="auto"/>
        <w:rPr>
          <w:rFonts w:ascii="Times New Roman" w:hAnsi="Times New Roman"/>
          <w:highlight w:val="none"/>
        </w:rPr>
      </w:pPr>
      <w:r>
        <w:rPr>
          <w:rFonts w:hint="eastAsia" w:ascii="黑体" w:hAnsi="黑体" w:eastAsia="黑体"/>
          <w:highlight w:val="none"/>
        </w:rPr>
        <w:t>6.1</w:t>
      </w:r>
      <w:r>
        <w:rPr>
          <w:rFonts w:hint="eastAsia" w:ascii="Times New Roman" w:hAnsi="Times New Roman"/>
          <w:highlight w:val="none"/>
        </w:rPr>
        <w:t xml:space="preserve"> 对具</w:t>
      </w:r>
      <w:r>
        <w:rPr>
          <w:rFonts w:hint="eastAsia" w:ascii="宋体" w:hAnsi="宋体" w:eastAsia="宋体" w:cs="宋体"/>
          <w:highlight w:val="none"/>
        </w:rPr>
        <w:t>体产品企业标准的指标进行综合评价，评价结果划分为领跑者水平、优质水平、达标水平，划分依据见表</w:t>
      </w:r>
      <w:r>
        <w:rPr>
          <w:rFonts w:hint="eastAsia" w:ascii="宋体" w:hAnsi="宋体" w:eastAsia="宋体" w:cs="宋体"/>
          <w:highlight w:val="none"/>
          <w:lang w:val="en-US" w:eastAsia="zh-CN"/>
        </w:rPr>
        <w:t>2</w:t>
      </w:r>
      <w:r>
        <w:rPr>
          <w:rFonts w:hint="eastAsia" w:ascii="Times New Roman" w:hAnsi="Times New Roman"/>
          <w:highlight w:val="none"/>
        </w:rPr>
        <w:t>。</w:t>
      </w:r>
    </w:p>
    <w:p w14:paraId="15B21020">
      <w:pPr>
        <w:spacing w:line="276" w:lineRule="auto"/>
        <w:rPr>
          <w:highlight w:val="none"/>
        </w:rPr>
      </w:pPr>
      <w:r>
        <w:rPr>
          <w:rFonts w:hint="eastAsia" w:ascii="黑体" w:hAnsi="黑体" w:eastAsia="黑体" w:cs="黑体"/>
          <w:highlight w:val="none"/>
        </w:rPr>
        <w:t>6.2</w:t>
      </w:r>
      <w:r>
        <w:rPr>
          <w:rFonts w:hint="eastAsia" w:ascii="Times New Roman" w:hAnsi="Times New Roman"/>
          <w:highlight w:val="none"/>
        </w:rPr>
        <w:t xml:space="preserve"> </w:t>
      </w:r>
      <w:r>
        <w:rPr>
          <w:rFonts w:hint="eastAsia"/>
          <w:highlight w:val="none"/>
        </w:rPr>
        <w:t>综合评价满</w:t>
      </w:r>
      <w:r>
        <w:rPr>
          <w:rFonts w:hint="eastAsia" w:ascii="宋体" w:hAnsi="宋体" w:eastAsia="宋体" w:cs="宋体"/>
          <w:highlight w:val="none"/>
        </w:rPr>
        <w:t>足表</w:t>
      </w:r>
      <w:r>
        <w:rPr>
          <w:rFonts w:hint="eastAsia" w:ascii="宋体" w:hAnsi="宋体" w:eastAsia="宋体" w:cs="宋体"/>
          <w:highlight w:val="none"/>
          <w:lang w:val="en-US" w:eastAsia="zh-CN"/>
        </w:rPr>
        <w:t>2</w:t>
      </w:r>
      <w:r>
        <w:rPr>
          <w:rFonts w:hint="eastAsia" w:ascii="宋体" w:hAnsi="宋体" w:eastAsia="宋体" w:cs="宋体"/>
          <w:highlight w:val="none"/>
        </w:rPr>
        <w:t>中领跑者水平的企业标准为“领跑者”标准，应符合表</w:t>
      </w:r>
      <w:r>
        <w:rPr>
          <w:rFonts w:hint="eastAsia" w:ascii="宋体" w:hAnsi="宋体" w:eastAsia="宋体" w:cs="宋体"/>
          <w:highlight w:val="none"/>
          <w:lang w:val="en-US" w:eastAsia="zh-CN"/>
        </w:rPr>
        <w:t>2</w:t>
      </w:r>
      <w:r>
        <w:rPr>
          <w:rFonts w:hint="eastAsia" w:ascii="宋体" w:hAnsi="宋体" w:eastAsia="宋体" w:cs="宋体"/>
          <w:highlight w:val="none"/>
        </w:rPr>
        <w:t>中领跑者水平的产品为“领跑者”产品，自我声明标识可使用T/CSTE 0421中4.4图4-1自我声明“领跑者”标识，认证标识可使用T/CSTE 0421中4.5图5-1“领跑者”认证标识。</w:t>
      </w:r>
    </w:p>
    <w:p w14:paraId="257A8F6B">
      <w:pPr>
        <w:spacing w:line="276" w:lineRule="auto"/>
        <w:rPr>
          <w:highlight w:val="none"/>
        </w:rPr>
      </w:pPr>
      <w:r>
        <w:rPr>
          <w:rFonts w:hint="eastAsia" w:ascii="黑体" w:hAnsi="黑体" w:eastAsia="黑体" w:cs="黑体"/>
          <w:highlight w:val="none"/>
        </w:rPr>
        <w:t>6.3</w:t>
      </w:r>
      <w:r>
        <w:rPr>
          <w:rFonts w:hint="eastAsia" w:ascii="Times New Roman" w:hAnsi="Times New Roman"/>
          <w:highlight w:val="none"/>
        </w:rPr>
        <w:t xml:space="preserve"> </w:t>
      </w:r>
      <w:r>
        <w:rPr>
          <w:rFonts w:hint="eastAsia"/>
          <w:highlight w:val="none"/>
        </w:rPr>
        <w:t>综合</w:t>
      </w:r>
      <w:r>
        <w:rPr>
          <w:rFonts w:hint="eastAsia" w:ascii="宋体" w:hAnsi="宋体" w:eastAsia="宋体" w:cs="宋体"/>
          <w:highlight w:val="none"/>
        </w:rPr>
        <w:t>评价满足表</w:t>
      </w:r>
      <w:r>
        <w:rPr>
          <w:rFonts w:hint="eastAsia" w:ascii="宋体" w:hAnsi="宋体" w:eastAsia="宋体" w:cs="宋体"/>
          <w:highlight w:val="none"/>
          <w:lang w:val="en-US" w:eastAsia="zh-CN"/>
        </w:rPr>
        <w:t>2</w:t>
      </w:r>
      <w:r>
        <w:rPr>
          <w:rFonts w:hint="eastAsia" w:ascii="宋体" w:hAnsi="宋体" w:eastAsia="宋体" w:cs="宋体"/>
          <w:highlight w:val="none"/>
        </w:rPr>
        <w:t>中优质水平的企业标准为“优质”标准，应符合表</w:t>
      </w:r>
      <w:r>
        <w:rPr>
          <w:rFonts w:hint="eastAsia" w:ascii="宋体" w:hAnsi="宋体" w:eastAsia="宋体" w:cs="宋体"/>
          <w:highlight w:val="none"/>
          <w:lang w:val="en-US" w:eastAsia="zh-CN"/>
        </w:rPr>
        <w:t>2</w:t>
      </w:r>
      <w:r>
        <w:rPr>
          <w:rFonts w:hint="eastAsia" w:ascii="宋体" w:hAnsi="宋体" w:eastAsia="宋体" w:cs="宋体"/>
          <w:highlight w:val="none"/>
        </w:rPr>
        <w:t>中优质水平的产品为“优质”产品，自我声明标识可使用T/CSTE 0421中4.4图4-2自我声明“优质”标识，认证标识可使用T/CSTE 0421中4.5图5-2“优质”认证标识。</w:t>
      </w:r>
    </w:p>
    <w:p w14:paraId="1BE108B3">
      <w:pPr>
        <w:spacing w:line="276" w:lineRule="auto"/>
        <w:rPr>
          <w:highlight w:val="none"/>
        </w:rPr>
      </w:pPr>
      <w:r>
        <w:rPr>
          <w:rFonts w:hint="eastAsia" w:ascii="黑体" w:hAnsi="黑体" w:eastAsia="黑体" w:cs="黑体"/>
          <w:highlight w:val="none"/>
        </w:rPr>
        <w:t>6.4</w:t>
      </w:r>
      <w:r>
        <w:rPr>
          <w:rFonts w:hint="eastAsia" w:ascii="Times New Roman" w:hAnsi="Times New Roman"/>
          <w:highlight w:val="none"/>
        </w:rPr>
        <w:t xml:space="preserve"> </w:t>
      </w:r>
      <w:r>
        <w:rPr>
          <w:rFonts w:hint="eastAsia"/>
          <w:highlight w:val="none"/>
        </w:rPr>
        <w:t>综合评</w:t>
      </w:r>
      <w:r>
        <w:rPr>
          <w:rFonts w:hint="eastAsia" w:ascii="宋体" w:hAnsi="宋体" w:eastAsia="宋体" w:cs="宋体"/>
          <w:highlight w:val="none"/>
        </w:rPr>
        <w:t>价满足表</w:t>
      </w:r>
      <w:r>
        <w:rPr>
          <w:rFonts w:hint="eastAsia" w:ascii="宋体" w:hAnsi="宋体" w:eastAsia="宋体" w:cs="宋体"/>
          <w:highlight w:val="none"/>
          <w:lang w:val="en-US" w:eastAsia="zh-CN"/>
        </w:rPr>
        <w:t>2</w:t>
      </w:r>
      <w:r>
        <w:rPr>
          <w:rFonts w:hint="eastAsia" w:ascii="宋体" w:hAnsi="宋体" w:eastAsia="宋体" w:cs="宋体"/>
          <w:highlight w:val="none"/>
        </w:rPr>
        <w:t>中达标水平的企业标准为“达标”标准，应符合表</w:t>
      </w:r>
      <w:r>
        <w:rPr>
          <w:rFonts w:hint="eastAsia" w:ascii="宋体" w:hAnsi="宋体" w:eastAsia="宋体" w:cs="宋体"/>
          <w:highlight w:val="none"/>
          <w:lang w:val="en-US" w:eastAsia="zh-CN"/>
        </w:rPr>
        <w:t>2</w:t>
      </w:r>
      <w:r>
        <w:rPr>
          <w:rFonts w:hint="eastAsia" w:ascii="宋体" w:hAnsi="宋体" w:eastAsia="宋体" w:cs="宋体"/>
          <w:highlight w:val="none"/>
        </w:rPr>
        <w:t>中达标水平的产品为“达标”产品，自我声明标识可使用T/CSTE 0421中4.4图4-3自我声明“达标”标识，认证标识可使用T/CSTE 0421中4.5图5-3“达标”认证标识。</w:t>
      </w:r>
    </w:p>
    <w:p w14:paraId="15FA34DC">
      <w:pPr>
        <w:pStyle w:val="33"/>
        <w:keepNext w:val="0"/>
        <w:keepLines w:val="0"/>
        <w:pageBreakBefore w:val="0"/>
        <w:widowControl/>
        <w:numPr>
          <w:ilvl w:val="0"/>
          <w:numId w:val="2"/>
        </w:numPr>
        <w:kinsoku/>
        <w:wordWrap/>
        <w:overflowPunct/>
        <w:topLinePunct w:val="0"/>
        <w:autoSpaceDE w:val="0"/>
        <w:autoSpaceDN w:val="0"/>
        <w:bidi w:val="0"/>
        <w:adjustRightInd/>
        <w:snapToGrid/>
        <w:spacing w:after="157" w:afterLines="50" w:line="240" w:lineRule="auto"/>
        <w:ind w:firstLineChars="0"/>
        <w:jc w:val="center"/>
        <w:textAlignment w:val="auto"/>
        <w:outlineLvl w:val="9"/>
        <w:rPr>
          <w:rFonts w:hint="eastAsia" w:ascii="黑体" w:hAnsi="黑体" w:eastAsia="黑体" w:cs="黑体"/>
          <w:kern w:val="2"/>
          <w:sz w:val="21"/>
          <w:szCs w:val="21"/>
          <w:lang w:val="en-US" w:eastAsia="zh-CN" w:bidi="ar-SA"/>
        </w:rPr>
      </w:pPr>
      <w:bookmarkStart w:id="73" w:name="_Toc12984"/>
      <w:r>
        <w:rPr>
          <w:rFonts w:hint="eastAsia" w:ascii="黑体" w:hAnsi="黑体" w:eastAsia="黑体" w:cs="黑体"/>
          <w:kern w:val="2"/>
          <w:sz w:val="21"/>
          <w:szCs w:val="21"/>
          <w:lang w:val="en-US" w:eastAsia="zh-CN" w:bidi="ar-SA"/>
        </w:rPr>
        <w:t>表2  指标评价要求及等级划分</w:t>
      </w:r>
      <w:bookmarkEnd w:id="73"/>
    </w:p>
    <w:bookmarkEnd w:id="50"/>
    <w:bookmarkEnd w:id="51"/>
    <w:bookmarkEnd w:id="52"/>
    <w:bookmarkEnd w:id="53"/>
    <w:bookmarkEnd w:id="54"/>
    <w:bookmarkEnd w:id="55"/>
    <w:bookmarkEnd w:id="57"/>
    <w:bookmarkEnd w:id="58"/>
    <w:bookmarkEnd w:id="59"/>
    <w:tbl>
      <w:tblPr>
        <w:tblStyle w:val="22"/>
        <w:tblW w:w="9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2"/>
        <w:gridCol w:w="1081"/>
        <w:gridCol w:w="1339"/>
        <w:gridCol w:w="3414"/>
        <w:gridCol w:w="2626"/>
      </w:tblGrid>
      <w:tr w14:paraId="7A2BA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382" w:type="dxa"/>
            <w:tcBorders>
              <w:tl2br w:val="nil"/>
              <w:tr2bl w:val="nil"/>
            </w:tcBorders>
            <w:shd w:val="clear" w:color="auto" w:fill="auto"/>
            <w:vAlign w:val="center"/>
          </w:tcPr>
          <w:p w14:paraId="29ECD556">
            <w:pPr>
              <w:pStyle w:val="33"/>
              <w:ind w:firstLine="0" w:firstLineChars="0"/>
              <w:jc w:val="center"/>
              <w:rPr>
                <w:rFonts w:ascii="黑体" w:hAnsi="黑体" w:eastAsia="黑体" w:cs="黑体"/>
                <w:sz w:val="18"/>
                <w:szCs w:val="18"/>
              </w:rPr>
            </w:pPr>
            <w:bookmarkStart w:id="74" w:name="_Hlk35975549"/>
            <w:r>
              <w:rPr>
                <w:rFonts w:hint="eastAsia" w:ascii="黑体" w:hAnsi="黑体" w:eastAsia="黑体" w:cs="黑体"/>
                <w:sz w:val="18"/>
                <w:szCs w:val="18"/>
              </w:rPr>
              <w:t>标准等级</w:t>
            </w:r>
          </w:p>
        </w:tc>
        <w:tc>
          <w:tcPr>
            <w:tcW w:w="8460" w:type="dxa"/>
            <w:gridSpan w:val="4"/>
            <w:tcBorders>
              <w:tl2br w:val="nil"/>
              <w:tr2bl w:val="nil"/>
            </w:tcBorders>
            <w:shd w:val="clear" w:color="auto" w:fill="auto"/>
            <w:vAlign w:val="center"/>
          </w:tcPr>
          <w:p w14:paraId="4B04E963">
            <w:pPr>
              <w:spacing w:line="360" w:lineRule="auto"/>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分级水平</w:t>
            </w:r>
          </w:p>
        </w:tc>
      </w:tr>
      <w:tr w14:paraId="415E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2" w:type="dxa"/>
            <w:tcBorders>
              <w:tl2br w:val="nil"/>
              <w:tr2bl w:val="nil"/>
            </w:tcBorders>
            <w:shd w:val="clear" w:color="auto" w:fill="auto"/>
            <w:vAlign w:val="center"/>
          </w:tcPr>
          <w:p w14:paraId="1F35D046">
            <w:pPr>
              <w:pStyle w:val="33"/>
              <w:ind w:firstLine="0" w:firstLineChars="0"/>
              <w:jc w:val="center"/>
              <w:rPr>
                <w:rFonts w:hAnsi="宋体" w:eastAsia="宋体" w:cs="宋体"/>
                <w:sz w:val="18"/>
                <w:szCs w:val="18"/>
              </w:rPr>
            </w:pPr>
            <w:r>
              <w:rPr>
                <w:rFonts w:hint="eastAsia" w:hAnsi="宋体" w:eastAsia="宋体" w:cs="宋体"/>
                <w:sz w:val="18"/>
                <w:szCs w:val="18"/>
              </w:rPr>
              <w:t>领跑者水平</w:t>
            </w:r>
          </w:p>
        </w:tc>
        <w:tc>
          <w:tcPr>
            <w:tcW w:w="1081" w:type="dxa"/>
            <w:tcBorders>
              <w:tl2br w:val="nil"/>
              <w:tr2bl w:val="nil"/>
            </w:tcBorders>
            <w:shd w:val="clear" w:color="auto" w:fill="auto"/>
            <w:vAlign w:val="center"/>
          </w:tcPr>
          <w:p w14:paraId="6F6851B9">
            <w:pPr>
              <w:adjustRightInd w:val="0"/>
              <w:snapToGrid w:val="0"/>
              <w:jc w:val="center"/>
              <w:rPr>
                <w:rFonts w:ascii="宋体" w:hAnsi="宋体" w:eastAsia="宋体" w:cs="宋体"/>
                <w:sz w:val="18"/>
                <w:szCs w:val="18"/>
              </w:rPr>
            </w:pPr>
            <w:r>
              <w:rPr>
                <w:rFonts w:hint="eastAsia" w:ascii="宋体" w:hAnsi="宋体" w:eastAsia="宋体" w:cs="宋体"/>
                <w:sz w:val="18"/>
                <w:szCs w:val="18"/>
                <w:lang w:eastAsia="zh-CN"/>
              </w:rPr>
              <w:t>满足</w:t>
            </w:r>
            <w:r>
              <w:rPr>
                <w:rFonts w:hint="eastAsia" w:ascii="宋体" w:hAnsi="宋体" w:eastAsia="宋体" w:cs="宋体"/>
                <w:sz w:val="18"/>
                <w:szCs w:val="18"/>
              </w:rPr>
              <w:t>基本要求</w:t>
            </w:r>
          </w:p>
        </w:tc>
        <w:tc>
          <w:tcPr>
            <w:tcW w:w="1339" w:type="dxa"/>
            <w:tcBorders>
              <w:tl2br w:val="nil"/>
              <w:tr2bl w:val="nil"/>
            </w:tcBorders>
            <w:shd w:val="clear" w:color="auto" w:fill="auto"/>
            <w:vAlign w:val="center"/>
          </w:tcPr>
          <w:p w14:paraId="78F74453">
            <w:pPr>
              <w:adjustRightInd w:val="0"/>
              <w:snapToGrid w:val="0"/>
              <w:jc w:val="center"/>
              <w:rPr>
                <w:rFonts w:ascii="宋体" w:hAnsi="宋体" w:eastAsia="宋体" w:cs="宋体"/>
                <w:sz w:val="18"/>
                <w:szCs w:val="18"/>
              </w:rPr>
            </w:pPr>
            <w:r>
              <w:rPr>
                <w:rFonts w:hint="eastAsia" w:ascii="宋体" w:hAnsi="宋体" w:eastAsia="宋体" w:cs="宋体"/>
                <w:sz w:val="18"/>
                <w:szCs w:val="18"/>
                <w:lang w:eastAsia="zh-CN"/>
              </w:rPr>
              <w:t>满足</w:t>
            </w:r>
            <w:r>
              <w:rPr>
                <w:rFonts w:hint="eastAsia" w:ascii="宋体" w:hAnsi="宋体" w:eastAsia="宋体" w:cs="宋体"/>
                <w:sz w:val="18"/>
                <w:szCs w:val="18"/>
              </w:rPr>
              <w:t>基础指标要求</w:t>
            </w:r>
          </w:p>
        </w:tc>
        <w:tc>
          <w:tcPr>
            <w:tcW w:w="3414" w:type="dxa"/>
            <w:tcBorders>
              <w:tl2br w:val="nil"/>
              <w:tr2bl w:val="nil"/>
            </w:tcBorders>
            <w:shd w:val="clear" w:color="auto" w:fill="auto"/>
            <w:vAlign w:val="center"/>
          </w:tcPr>
          <w:p w14:paraId="3240E75C">
            <w:pPr>
              <w:adjustRightInd w:val="0"/>
              <w:snapToGrid w:val="0"/>
              <w:jc w:val="center"/>
              <w:rPr>
                <w:rFonts w:ascii="宋体" w:hAnsi="宋体" w:eastAsia="宋体" w:cs="宋体"/>
                <w:sz w:val="18"/>
                <w:szCs w:val="18"/>
              </w:rPr>
            </w:pPr>
            <w:r>
              <w:rPr>
                <w:rFonts w:hint="eastAsia" w:ascii="宋体" w:hAnsi="宋体" w:eastAsia="宋体" w:cs="宋体"/>
                <w:sz w:val="18"/>
                <w:szCs w:val="18"/>
              </w:rPr>
              <w:t>核心指标领跑者水平（5星级）要求</w:t>
            </w:r>
          </w:p>
        </w:tc>
        <w:tc>
          <w:tcPr>
            <w:tcW w:w="2626" w:type="dxa"/>
            <w:tcBorders>
              <w:tl2br w:val="nil"/>
              <w:tr2bl w:val="nil"/>
            </w:tcBorders>
            <w:shd w:val="clear" w:color="auto" w:fill="auto"/>
            <w:vAlign w:val="center"/>
          </w:tcPr>
          <w:p w14:paraId="492B95C9">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满足</w:t>
            </w:r>
            <w:r>
              <w:rPr>
                <w:rFonts w:hint="eastAsia" w:ascii="宋体" w:hAnsi="宋体" w:eastAsia="宋体" w:cs="宋体"/>
                <w:sz w:val="18"/>
                <w:szCs w:val="18"/>
                <w:highlight w:val="none"/>
              </w:rPr>
              <w:t>创新指标要求</w:t>
            </w:r>
          </w:p>
        </w:tc>
      </w:tr>
      <w:tr w14:paraId="748D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2" w:type="dxa"/>
            <w:tcBorders>
              <w:tl2br w:val="nil"/>
              <w:tr2bl w:val="nil"/>
            </w:tcBorders>
            <w:shd w:val="clear" w:color="auto" w:fill="auto"/>
            <w:vAlign w:val="center"/>
          </w:tcPr>
          <w:p w14:paraId="33473748">
            <w:pPr>
              <w:pStyle w:val="33"/>
              <w:ind w:firstLine="0" w:firstLineChars="0"/>
              <w:jc w:val="center"/>
              <w:rPr>
                <w:rFonts w:hAnsi="宋体" w:eastAsia="宋体" w:cs="宋体"/>
                <w:sz w:val="18"/>
                <w:szCs w:val="18"/>
              </w:rPr>
            </w:pPr>
            <w:r>
              <w:rPr>
                <w:rFonts w:hint="eastAsia" w:hAnsi="宋体" w:eastAsia="宋体" w:cs="宋体"/>
                <w:sz w:val="18"/>
                <w:szCs w:val="18"/>
              </w:rPr>
              <w:t>优质水平</w:t>
            </w:r>
          </w:p>
        </w:tc>
        <w:tc>
          <w:tcPr>
            <w:tcW w:w="1081" w:type="dxa"/>
            <w:tcBorders>
              <w:tl2br w:val="nil"/>
              <w:tr2bl w:val="nil"/>
            </w:tcBorders>
            <w:shd w:val="clear" w:color="auto" w:fill="auto"/>
            <w:vAlign w:val="center"/>
          </w:tcPr>
          <w:p w14:paraId="39D42EF2">
            <w:pPr>
              <w:adjustRightInd w:val="0"/>
              <w:snapToGrid w:val="0"/>
              <w:jc w:val="center"/>
              <w:rPr>
                <w:rFonts w:ascii="宋体" w:hAnsi="宋体" w:eastAsia="宋体" w:cs="宋体"/>
                <w:sz w:val="18"/>
                <w:szCs w:val="18"/>
              </w:rPr>
            </w:pPr>
            <w:r>
              <w:rPr>
                <w:rFonts w:hint="eastAsia" w:ascii="宋体" w:hAnsi="宋体" w:eastAsia="宋体" w:cs="宋体"/>
                <w:sz w:val="18"/>
                <w:szCs w:val="18"/>
                <w:lang w:eastAsia="zh-CN"/>
              </w:rPr>
              <w:t>满足</w:t>
            </w:r>
            <w:r>
              <w:rPr>
                <w:rFonts w:hint="eastAsia" w:ascii="宋体" w:hAnsi="宋体" w:eastAsia="宋体" w:cs="宋体"/>
                <w:sz w:val="18"/>
                <w:szCs w:val="18"/>
              </w:rPr>
              <w:t>基本要求</w:t>
            </w:r>
          </w:p>
        </w:tc>
        <w:tc>
          <w:tcPr>
            <w:tcW w:w="1339" w:type="dxa"/>
            <w:tcBorders>
              <w:tl2br w:val="nil"/>
              <w:tr2bl w:val="nil"/>
            </w:tcBorders>
            <w:shd w:val="clear" w:color="auto" w:fill="auto"/>
            <w:vAlign w:val="center"/>
          </w:tcPr>
          <w:p w14:paraId="754511D7">
            <w:pPr>
              <w:adjustRightInd w:val="0"/>
              <w:snapToGrid w:val="0"/>
              <w:jc w:val="center"/>
              <w:rPr>
                <w:rFonts w:ascii="宋体" w:hAnsi="宋体" w:eastAsia="宋体" w:cs="宋体"/>
                <w:sz w:val="18"/>
                <w:szCs w:val="18"/>
              </w:rPr>
            </w:pPr>
            <w:r>
              <w:rPr>
                <w:rFonts w:hint="eastAsia" w:ascii="宋体" w:hAnsi="宋体" w:eastAsia="宋体" w:cs="宋体"/>
                <w:sz w:val="18"/>
                <w:szCs w:val="18"/>
                <w:lang w:eastAsia="zh-CN"/>
              </w:rPr>
              <w:t>满足</w:t>
            </w:r>
            <w:r>
              <w:rPr>
                <w:rFonts w:hint="eastAsia" w:ascii="宋体" w:hAnsi="宋体" w:eastAsia="宋体" w:cs="宋体"/>
                <w:sz w:val="18"/>
                <w:szCs w:val="18"/>
              </w:rPr>
              <w:t>基础指标要求</w:t>
            </w:r>
          </w:p>
        </w:tc>
        <w:tc>
          <w:tcPr>
            <w:tcW w:w="3414" w:type="dxa"/>
            <w:tcBorders>
              <w:tl2br w:val="nil"/>
              <w:tr2bl w:val="nil"/>
            </w:tcBorders>
            <w:shd w:val="clear" w:color="auto" w:fill="auto"/>
            <w:vAlign w:val="center"/>
          </w:tcPr>
          <w:p w14:paraId="5733C9ED">
            <w:pPr>
              <w:adjustRightInd w:val="0"/>
              <w:snapToGrid w:val="0"/>
              <w:jc w:val="center"/>
              <w:rPr>
                <w:rFonts w:ascii="宋体" w:hAnsi="宋体" w:eastAsia="宋体" w:cs="宋体"/>
                <w:sz w:val="18"/>
                <w:szCs w:val="18"/>
              </w:rPr>
            </w:pPr>
            <w:r>
              <w:rPr>
                <w:rFonts w:hint="eastAsia" w:ascii="宋体" w:hAnsi="宋体" w:eastAsia="宋体" w:cs="宋体"/>
                <w:sz w:val="18"/>
                <w:szCs w:val="18"/>
              </w:rPr>
              <w:t>核心指标不低于优质水平（4星级）要求</w:t>
            </w:r>
          </w:p>
        </w:tc>
        <w:tc>
          <w:tcPr>
            <w:tcW w:w="2626" w:type="dxa"/>
            <w:tcBorders>
              <w:tl2br w:val="nil"/>
              <w:tr2bl w:val="nil"/>
            </w:tcBorders>
            <w:shd w:val="clear" w:color="auto" w:fill="auto"/>
            <w:vAlign w:val="center"/>
          </w:tcPr>
          <w:p w14:paraId="49A87959">
            <w:pPr>
              <w:adjustRightInd w:val="0"/>
              <w:snapToGrid w:val="0"/>
              <w:jc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满足</w:t>
            </w:r>
            <w:r>
              <w:rPr>
                <w:rFonts w:hint="eastAsia" w:ascii="宋体" w:hAnsi="宋体" w:eastAsia="宋体" w:cs="宋体"/>
                <w:sz w:val="18"/>
                <w:szCs w:val="18"/>
                <w:highlight w:val="none"/>
              </w:rPr>
              <w:t>创新指标要求</w:t>
            </w:r>
          </w:p>
        </w:tc>
      </w:tr>
      <w:tr w14:paraId="2A870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2" w:type="dxa"/>
            <w:tcBorders>
              <w:tl2br w:val="nil"/>
              <w:tr2bl w:val="nil"/>
            </w:tcBorders>
            <w:shd w:val="clear" w:color="auto" w:fill="auto"/>
            <w:vAlign w:val="center"/>
          </w:tcPr>
          <w:p w14:paraId="2EC48A38">
            <w:pPr>
              <w:pStyle w:val="33"/>
              <w:ind w:firstLine="0" w:firstLineChars="0"/>
              <w:jc w:val="center"/>
              <w:rPr>
                <w:rFonts w:hAnsi="宋体" w:eastAsia="宋体" w:cs="宋体"/>
                <w:sz w:val="18"/>
                <w:szCs w:val="18"/>
              </w:rPr>
            </w:pPr>
            <w:r>
              <w:rPr>
                <w:rFonts w:hint="eastAsia" w:hAnsi="宋体" w:eastAsia="宋体" w:cs="宋体"/>
                <w:sz w:val="18"/>
                <w:szCs w:val="18"/>
              </w:rPr>
              <w:t>达标水平</w:t>
            </w:r>
          </w:p>
        </w:tc>
        <w:tc>
          <w:tcPr>
            <w:tcW w:w="1081" w:type="dxa"/>
            <w:tcBorders>
              <w:tl2br w:val="nil"/>
              <w:tr2bl w:val="nil"/>
            </w:tcBorders>
            <w:shd w:val="clear" w:color="auto" w:fill="auto"/>
            <w:vAlign w:val="center"/>
          </w:tcPr>
          <w:p w14:paraId="70A0454A">
            <w:pPr>
              <w:adjustRightInd w:val="0"/>
              <w:snapToGrid w:val="0"/>
              <w:jc w:val="center"/>
              <w:rPr>
                <w:rFonts w:ascii="宋体" w:hAnsi="宋体" w:eastAsia="宋体" w:cs="宋体"/>
                <w:sz w:val="18"/>
                <w:szCs w:val="18"/>
              </w:rPr>
            </w:pPr>
            <w:r>
              <w:rPr>
                <w:rFonts w:hint="eastAsia" w:ascii="宋体" w:hAnsi="宋体" w:eastAsia="宋体" w:cs="宋体"/>
                <w:sz w:val="18"/>
                <w:szCs w:val="18"/>
                <w:lang w:eastAsia="zh-CN"/>
              </w:rPr>
              <w:t>满足</w:t>
            </w:r>
            <w:r>
              <w:rPr>
                <w:rFonts w:hint="eastAsia" w:ascii="宋体" w:hAnsi="宋体" w:eastAsia="宋体" w:cs="宋体"/>
                <w:sz w:val="18"/>
                <w:szCs w:val="18"/>
              </w:rPr>
              <w:t>基本要求</w:t>
            </w:r>
          </w:p>
        </w:tc>
        <w:tc>
          <w:tcPr>
            <w:tcW w:w="1339" w:type="dxa"/>
            <w:tcBorders>
              <w:tl2br w:val="nil"/>
              <w:tr2bl w:val="nil"/>
            </w:tcBorders>
            <w:shd w:val="clear" w:color="auto" w:fill="auto"/>
            <w:vAlign w:val="center"/>
          </w:tcPr>
          <w:p w14:paraId="5838887B">
            <w:pPr>
              <w:adjustRightInd w:val="0"/>
              <w:snapToGrid w:val="0"/>
              <w:jc w:val="center"/>
              <w:rPr>
                <w:rFonts w:ascii="宋体" w:hAnsi="宋体" w:eastAsia="宋体" w:cs="宋体"/>
                <w:sz w:val="18"/>
                <w:szCs w:val="18"/>
              </w:rPr>
            </w:pPr>
            <w:r>
              <w:rPr>
                <w:rFonts w:hint="eastAsia" w:ascii="宋体" w:hAnsi="宋体" w:eastAsia="宋体" w:cs="宋体"/>
                <w:sz w:val="18"/>
                <w:szCs w:val="18"/>
                <w:lang w:eastAsia="zh-CN"/>
              </w:rPr>
              <w:t>满足</w:t>
            </w:r>
            <w:r>
              <w:rPr>
                <w:rFonts w:hint="eastAsia" w:ascii="宋体" w:hAnsi="宋体" w:eastAsia="宋体" w:cs="宋体"/>
                <w:sz w:val="18"/>
                <w:szCs w:val="18"/>
              </w:rPr>
              <w:t>基础指标要求</w:t>
            </w:r>
          </w:p>
        </w:tc>
        <w:tc>
          <w:tcPr>
            <w:tcW w:w="3414" w:type="dxa"/>
            <w:tcBorders>
              <w:tl2br w:val="nil"/>
              <w:tr2bl w:val="nil"/>
            </w:tcBorders>
            <w:shd w:val="clear" w:color="auto" w:fill="auto"/>
            <w:vAlign w:val="center"/>
          </w:tcPr>
          <w:p w14:paraId="1039CF75">
            <w:pPr>
              <w:adjustRightInd w:val="0"/>
              <w:snapToGrid w:val="0"/>
              <w:jc w:val="center"/>
              <w:rPr>
                <w:rFonts w:ascii="宋体" w:hAnsi="宋体" w:eastAsia="宋体" w:cs="宋体"/>
                <w:sz w:val="18"/>
                <w:szCs w:val="18"/>
              </w:rPr>
            </w:pPr>
            <w:r>
              <w:rPr>
                <w:rFonts w:hint="eastAsia" w:ascii="宋体" w:hAnsi="宋体" w:eastAsia="宋体" w:cs="宋体"/>
                <w:sz w:val="18"/>
                <w:szCs w:val="18"/>
              </w:rPr>
              <w:t>核心指标不低于达标水平（3星级）要求</w:t>
            </w:r>
          </w:p>
        </w:tc>
        <w:tc>
          <w:tcPr>
            <w:tcW w:w="2626" w:type="dxa"/>
            <w:tcBorders>
              <w:tl2br w:val="nil"/>
              <w:tr2bl w:val="nil"/>
            </w:tcBorders>
            <w:shd w:val="clear" w:color="auto" w:fill="auto"/>
            <w:vAlign w:val="center"/>
          </w:tcPr>
          <w:p w14:paraId="0152C2AD">
            <w:pPr>
              <w:pStyle w:val="33"/>
              <w:ind w:firstLine="0" w:firstLineChars="0"/>
              <w:jc w:val="center"/>
              <w:rPr>
                <w:rFonts w:hint="eastAsia" w:hAnsi="宋体" w:eastAsia="宋体" w:cs="宋体"/>
                <w:sz w:val="18"/>
                <w:szCs w:val="18"/>
                <w:highlight w:val="none"/>
                <w:lang w:val="en-US" w:eastAsia="zh-CN"/>
              </w:rPr>
            </w:pPr>
            <w:r>
              <w:rPr>
                <w:rFonts w:hint="eastAsia" w:hAnsi="宋体" w:eastAsia="宋体" w:cs="宋体"/>
                <w:sz w:val="18"/>
                <w:szCs w:val="18"/>
                <w:highlight w:val="none"/>
                <w:lang w:val="en-US" w:eastAsia="zh-CN"/>
              </w:rPr>
              <w:t>-</w:t>
            </w:r>
          </w:p>
        </w:tc>
      </w:tr>
      <w:bookmarkEnd w:id="74"/>
    </w:tbl>
    <w:p w14:paraId="371AB119">
      <w:pPr>
        <w:rPr>
          <w:rFonts w:ascii="Times New Roman" w:hAnsi="Times New Roman"/>
          <w:color w:val="000000" w:themeColor="text1"/>
          <w14:textFill>
            <w14:solidFill>
              <w14:schemeClr w14:val="tx1"/>
            </w14:solidFill>
          </w14:textFill>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1953260</wp:posOffset>
                </wp:positionH>
                <wp:positionV relativeFrom="paragraph">
                  <wp:posOffset>2059305</wp:posOffset>
                </wp:positionV>
                <wp:extent cx="2272665" cy="0"/>
                <wp:effectExtent l="0" t="6350" r="0" b="6350"/>
                <wp:wrapNone/>
                <wp:docPr id="1" name="AutoShape 18"/>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153.8pt;margin-top:162.15pt;height:0pt;width:178.95pt;z-index:251663360;mso-width-relative:page;mso-height-relative:page;" filled="f" stroked="t" coordsize="21600,21600" o:gfxdata="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OZ1m2AAAAAsBAAAPAAAAAAAAAAEA&#10;IAAAACIAAABkcnMvZG93bnJldi54bWxQSwECFAAUAAAACACHTuJAEM42idYBAACzAwAADgAAAAAA&#10;AAABACAAAAAnAQAAZHJzL2Uyb0RvYy54bWxQSwUGAAAAAAYABgBZAQAAbwUAAAAA&#10;">
                <v:fill on="f" focussize="0,0"/>
                <v:stroke color="#000000" joinstyle="round"/>
                <v:imagedata o:title=""/>
                <o:lock v:ext="edit" aspectratio="f"/>
              </v:shape>
            </w:pict>
          </mc:Fallback>
        </mc:AlternateContent>
      </w:r>
    </w:p>
    <w:sectPr>
      <w:footerReference r:id="rId9" w:type="default"/>
      <w:footerReference r:id="rId10" w:type="even"/>
      <w:pgSz w:w="11906" w:h="16838"/>
      <w:pgMar w:top="1134" w:right="1134" w:bottom="1134" w:left="1134" w:header="737" w:footer="850" w:gutter="0"/>
      <w:pgBorders>
        <w:top w:val="none" w:sz="0" w:space="0"/>
        <w:left w:val="none" w:sz="0" w:space="0"/>
        <w:bottom w:val="none" w:sz="0" w:space="0"/>
        <w:right w:val="none" w:sz="0" w:space="0"/>
      </w:pgBorders>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80D7">
    <w:pPr>
      <w:pStyle w:val="1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2320C">
                          <w:pPr>
                            <w:pStyle w:val="13"/>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DA2320C">
                    <w:pPr>
                      <w:pStyle w:val="13"/>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2F852">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D69A3">
                          <w:pPr>
                            <w:pStyle w:val="1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4D69A3">
                    <w:pPr>
                      <w:pStyle w:val="1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B456">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F61C3">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5DF61C3">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D2E3B">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688FB">
                          <w:pPr>
                            <w:pStyle w:val="1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9D688FB">
                    <w:pPr>
                      <w:pStyle w:val="1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FEC3">
    <w:pPr>
      <w:pStyle w:val="33"/>
      <w:keepNext w:val="0"/>
      <w:keepLines w:val="0"/>
      <w:pageBreakBefore w:val="0"/>
      <w:widowControl/>
      <w:kinsoku/>
      <w:wordWrap/>
      <w:overflowPunct/>
      <w:topLinePunct w:val="0"/>
      <w:bidi w:val="0"/>
      <w:adjustRightInd/>
      <w:snapToGrid/>
      <w:spacing w:line="0" w:lineRule="atLeast"/>
      <w:ind w:firstLine="0" w:firstLineChars="0"/>
      <w:jc w:val="right"/>
      <w:textAlignment w:val="auto"/>
      <w:rPr>
        <w:rFonts w:hint="eastAsia" w:ascii="Times New Roman" w:hAnsi="Times New Roman" w:eastAsia="黑体" w:cs="Times New Roman"/>
        <w:kern w:val="0"/>
        <w:sz w:val="18"/>
        <w:szCs w:val="1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3F23">
    <w:pPr>
      <w:pStyle w:val="14"/>
      <w:pBdr>
        <w:bottom w:val="none" w:color="auto" w:sz="0" w:space="1"/>
      </w:pBdr>
      <w:jc w:val="left"/>
      <w:rPr>
        <w:rFonts w:hint="default" w:ascii="Times New Roman" w:hAnsi="Times New Roman" w:cs="Times New Roman"/>
      </w:rPr>
    </w:pPr>
    <w:r>
      <w:rPr>
        <w:rFonts w:hint="default" w:ascii="Times New Roman" w:hAnsi="Times New Roman" w:cs="Times New Roman"/>
      </w:rPr>
      <w:t xml:space="preserve">T/ZS </w:t>
    </w:r>
    <w:r>
      <w:rPr>
        <w:rFonts w:hint="eastAsia" w:ascii="Times New Roman" w:hAnsi="Times New Roman" w:cs="Times New Roman"/>
        <w:lang w:val="en-US" w:eastAsia="zh-CN"/>
      </w:rPr>
      <w:t>xxxx</w:t>
    </w:r>
    <w:r>
      <w:rPr>
        <w:rFonts w:hint="default" w:ascii="Times New Roman" w:hAnsi="Times New Roman" w:cs="Times New Roman"/>
      </w:rPr>
      <w:t>—2024</w:t>
    </w:r>
  </w:p>
  <w:p w14:paraId="2B18A6CF">
    <w:pPr>
      <w:pStyle w:val="14"/>
      <w:pBdr>
        <w:bottom w:val="none" w:color="auto" w:sz="0" w:space="1"/>
      </w:pBdr>
      <w:jc w:val="left"/>
      <w:rPr>
        <w:rFonts w:hint="default" w:ascii="Times New Roman" w:hAnsi="Times New Roman" w:cs="Times New Roman"/>
      </w:rPr>
    </w:pPr>
    <w:r>
      <w:rPr>
        <w:rFonts w:hint="default" w:ascii="Times New Roman" w:hAnsi="Times New Roman" w:cs="Times New Roman"/>
      </w:rPr>
      <w:t xml:space="preserve">T/CSTE </w:t>
    </w:r>
    <w:r>
      <w:rPr>
        <w:rFonts w:hint="eastAsia" w:ascii="Times New Roman" w:hAnsi="Times New Roman" w:cs="Times New Roman"/>
        <w:lang w:val="en-US" w:eastAsia="zh-CN"/>
      </w:rPr>
      <w:t>xxxx</w:t>
    </w:r>
    <w:r>
      <w:rPr>
        <w:rFonts w:hint="default" w:ascii="Times New Roman" w:hAnsi="Times New Roman" w:cs="Times New Roman"/>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505A">
    <w:pPr>
      <w:pStyle w:val="33"/>
      <w:keepNext w:val="0"/>
      <w:keepLines w:val="0"/>
      <w:pageBreakBefore w:val="0"/>
      <w:widowControl/>
      <w:kinsoku/>
      <w:wordWrap/>
      <w:overflowPunct/>
      <w:topLinePunct w:val="0"/>
      <w:bidi w:val="0"/>
      <w:adjustRightInd/>
      <w:snapToGrid/>
      <w:spacing w:line="0" w:lineRule="atLeast"/>
      <w:ind w:firstLine="0" w:firstLineChars="0"/>
      <w:jc w:val="right"/>
      <w:textAlignment w:val="auto"/>
      <w:rPr>
        <w:rFonts w:hint="eastAsia" w:ascii="Times New Roman" w:hAnsi="Times New Roman" w:eastAsia="黑体" w:cs="Times New Roman"/>
        <w:kern w:val="0"/>
        <w:sz w:val="18"/>
        <w:szCs w:val="11"/>
      </w:rPr>
    </w:pPr>
    <w:r>
      <w:rPr>
        <w:rFonts w:hint="eastAsia" w:ascii="Times New Roman" w:hAnsi="Times New Roman" w:eastAsia="黑体" w:cs="Times New Roman"/>
        <w:kern w:val="0"/>
        <w:sz w:val="18"/>
        <w:szCs w:val="11"/>
      </w:rPr>
      <w:t xml:space="preserve">T/ZS </w:t>
    </w:r>
    <w:r>
      <w:rPr>
        <w:rFonts w:hint="eastAsia" w:ascii="Times New Roman" w:hAnsi="Times New Roman" w:eastAsia="黑体" w:cs="Times New Roman"/>
        <w:kern w:val="0"/>
        <w:sz w:val="18"/>
        <w:szCs w:val="11"/>
        <w:lang w:val="en-US" w:eastAsia="zh-CN"/>
      </w:rPr>
      <w:t>xxxx</w:t>
    </w:r>
    <w:r>
      <w:rPr>
        <w:rFonts w:hint="eastAsia" w:ascii="Times New Roman" w:hAnsi="Times New Roman" w:eastAsia="黑体" w:cs="Times New Roman"/>
        <w:kern w:val="0"/>
        <w:sz w:val="18"/>
        <w:szCs w:val="11"/>
      </w:rPr>
      <w:t>—2024</w:t>
    </w:r>
  </w:p>
  <w:p w14:paraId="4CFD2558">
    <w:pPr>
      <w:pStyle w:val="33"/>
      <w:keepNext w:val="0"/>
      <w:keepLines w:val="0"/>
      <w:pageBreakBefore w:val="0"/>
      <w:widowControl/>
      <w:kinsoku/>
      <w:wordWrap/>
      <w:overflowPunct/>
      <w:topLinePunct w:val="0"/>
      <w:bidi w:val="0"/>
      <w:adjustRightInd/>
      <w:snapToGrid/>
      <w:spacing w:line="0" w:lineRule="atLeast"/>
      <w:ind w:firstLine="0" w:firstLineChars="0"/>
      <w:jc w:val="right"/>
      <w:textAlignment w:val="auto"/>
      <w:rPr>
        <w:rFonts w:hint="eastAsia" w:ascii="Times New Roman" w:hAnsi="Times New Roman" w:eastAsia="黑体" w:cs="Times New Roman"/>
        <w:kern w:val="0"/>
        <w:sz w:val="18"/>
        <w:szCs w:val="11"/>
        <w:lang w:eastAsia="zh-CN"/>
      </w:rPr>
    </w:pPr>
    <w:r>
      <w:rPr>
        <w:rFonts w:hint="eastAsia" w:ascii="Times New Roman" w:hAnsi="Times New Roman" w:eastAsia="黑体" w:cs="Times New Roman"/>
        <w:kern w:val="0"/>
        <w:sz w:val="18"/>
        <w:szCs w:val="11"/>
      </w:rPr>
      <w:t xml:space="preserve">T/CSTE </w:t>
    </w:r>
    <w:r>
      <w:rPr>
        <w:rFonts w:hint="eastAsia" w:ascii="Times New Roman" w:hAnsi="Times New Roman" w:eastAsia="黑体" w:cs="Times New Roman"/>
        <w:kern w:val="0"/>
        <w:sz w:val="18"/>
        <w:szCs w:val="11"/>
        <w:lang w:val="en-US" w:eastAsia="zh-CN"/>
      </w:rPr>
      <w:t>xxxx</w:t>
    </w:r>
    <w:r>
      <w:rPr>
        <w:rFonts w:hint="eastAsia" w:ascii="Times New Roman" w:hAnsi="Times New Roman" w:eastAsia="黑体" w:cs="Times New Roman"/>
        <w:kern w:val="0"/>
        <w:sz w:val="18"/>
        <w:szCs w:val="11"/>
      </w:rPr>
      <w:t>—2024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42BD">
    <w:pPr>
      <w:pStyle w:val="33"/>
      <w:keepNext w:val="0"/>
      <w:keepLines w:val="0"/>
      <w:pageBreakBefore w:val="0"/>
      <w:widowControl/>
      <w:kinsoku/>
      <w:wordWrap/>
      <w:overflowPunct/>
      <w:topLinePunct w:val="0"/>
      <w:bidi w:val="0"/>
      <w:adjustRightInd/>
      <w:snapToGrid/>
      <w:spacing w:line="0" w:lineRule="atLeast"/>
      <w:ind w:firstLine="0" w:firstLineChars="0"/>
      <w:jc w:val="left"/>
      <w:textAlignment w:val="auto"/>
      <w:rPr>
        <w:rFonts w:hint="eastAsia" w:ascii="Times New Roman" w:hAnsi="Times New Roman" w:eastAsia="黑体" w:cs="Times New Roman"/>
        <w:kern w:val="0"/>
        <w:sz w:val="18"/>
        <w:szCs w:val="11"/>
      </w:rPr>
    </w:pPr>
    <w:r>
      <w:rPr>
        <w:rFonts w:hint="eastAsia" w:ascii="Times New Roman" w:hAnsi="Times New Roman" w:eastAsia="黑体" w:cs="Times New Roman"/>
        <w:kern w:val="0"/>
        <w:sz w:val="18"/>
        <w:szCs w:val="11"/>
      </w:rPr>
      <w:t xml:space="preserve">T/ZS </w:t>
    </w:r>
    <w:r>
      <w:rPr>
        <w:rFonts w:hint="eastAsia" w:ascii="Times New Roman" w:hAnsi="Times New Roman" w:eastAsia="黑体" w:cs="Times New Roman"/>
        <w:kern w:val="0"/>
        <w:sz w:val="18"/>
        <w:szCs w:val="11"/>
        <w:lang w:val="en-US" w:eastAsia="zh-CN"/>
      </w:rPr>
      <w:t>xxxx</w:t>
    </w:r>
    <w:r>
      <w:rPr>
        <w:rFonts w:hint="eastAsia" w:ascii="Times New Roman" w:hAnsi="Times New Roman" w:eastAsia="黑体" w:cs="Times New Roman"/>
        <w:kern w:val="0"/>
        <w:sz w:val="18"/>
        <w:szCs w:val="11"/>
      </w:rPr>
      <w:t>—2024</w:t>
    </w:r>
  </w:p>
  <w:p w14:paraId="264642FF">
    <w:pPr>
      <w:pStyle w:val="33"/>
      <w:keepNext w:val="0"/>
      <w:keepLines w:val="0"/>
      <w:pageBreakBefore w:val="0"/>
      <w:widowControl/>
      <w:kinsoku/>
      <w:wordWrap/>
      <w:overflowPunct/>
      <w:topLinePunct w:val="0"/>
      <w:bidi w:val="0"/>
      <w:adjustRightInd/>
      <w:snapToGrid/>
      <w:spacing w:line="0" w:lineRule="atLeast"/>
      <w:ind w:firstLine="0" w:firstLineChars="0"/>
      <w:jc w:val="left"/>
      <w:textAlignment w:val="auto"/>
    </w:pPr>
    <w:r>
      <w:rPr>
        <w:rFonts w:hint="eastAsia" w:ascii="Times New Roman" w:hAnsi="Times New Roman" w:eastAsia="黑体" w:cs="Times New Roman"/>
        <w:kern w:val="0"/>
        <w:sz w:val="18"/>
        <w:szCs w:val="11"/>
      </w:rPr>
      <w:t xml:space="preserve">T/CSTE </w:t>
    </w:r>
    <w:r>
      <w:rPr>
        <w:rFonts w:hint="eastAsia" w:ascii="Times New Roman" w:hAnsi="Times New Roman" w:eastAsia="黑体" w:cs="Times New Roman"/>
        <w:kern w:val="0"/>
        <w:sz w:val="18"/>
        <w:szCs w:val="11"/>
        <w:lang w:val="en-US" w:eastAsia="zh-CN"/>
      </w:rPr>
      <w:t>xxxx</w:t>
    </w:r>
    <w:r>
      <w:rPr>
        <w:rFonts w:hint="eastAsia" w:ascii="Times New Roman" w:hAnsi="Times New Roman" w:eastAsia="黑体" w:cs="Times New Roman"/>
        <w:kern w:val="0"/>
        <w:sz w:val="18"/>
        <w:szCs w:val="11"/>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41"/>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57D3FBC"/>
    <w:multiLevelType w:val="multilevel"/>
    <w:tmpl w:val="657D3FBC"/>
    <w:lvl w:ilvl="0" w:tentative="0">
      <w:start w:val="1"/>
      <w:numFmt w:val="upperLetter"/>
      <w:pStyle w:val="91"/>
      <w:suff w:val="nothing"/>
      <w:lvlText w:val="附录%1"/>
      <w:lvlJc w:val="left"/>
      <w:pPr>
        <w:ind w:left="0" w:firstLine="0"/>
      </w:pPr>
      <w:rPr>
        <w:rFonts w:hint="eastAsia"/>
        <w:spacing w:val="100"/>
      </w:rPr>
    </w:lvl>
    <w:lvl w:ilvl="1" w:tentative="0">
      <w:start w:val="1"/>
      <w:numFmt w:val="decimal"/>
      <w:pStyle w:val="87"/>
      <w:suff w:val="nothing"/>
      <w:lvlText w:val="%1.%2　"/>
      <w:lvlJc w:val="left"/>
      <w:pPr>
        <w:ind w:left="0" w:firstLine="0"/>
      </w:pPr>
      <w:rPr>
        <w:rFonts w:hint="eastAsia" w:ascii="黑体" w:eastAsia="黑体"/>
        <w:b w:val="0"/>
        <w:i w:val="0"/>
        <w:sz w:val="21"/>
      </w:rPr>
    </w:lvl>
    <w:lvl w:ilvl="2" w:tentative="0">
      <w:start w:val="1"/>
      <w:numFmt w:val="decimal"/>
      <w:pStyle w:val="90"/>
      <w:suff w:val="nothing"/>
      <w:lvlText w:val="%1.%2.%3　"/>
      <w:lvlJc w:val="left"/>
      <w:pPr>
        <w:ind w:left="1418"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A5F709D"/>
    <w:multiLevelType w:val="multilevel"/>
    <w:tmpl w:val="7A5F709D"/>
    <w:lvl w:ilvl="0" w:tentative="0">
      <w:start w:val="1"/>
      <w:numFmt w:val="decimal"/>
      <w:pStyle w:val="85"/>
      <w:suff w:val="nothing"/>
      <w:lvlText w:val="表%1　"/>
      <w:lvlJc w:val="left"/>
      <w:pPr>
        <w:ind w:left="420" w:hanging="42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MGFhMjIxMmQzNTFmNTk5ZDhlNGU1MjJlYTJhY2MifQ=="/>
  </w:docVars>
  <w:rsids>
    <w:rsidRoot w:val="00A76214"/>
    <w:rsid w:val="000114C6"/>
    <w:rsid w:val="000239AB"/>
    <w:rsid w:val="000300A6"/>
    <w:rsid w:val="00032198"/>
    <w:rsid w:val="00033864"/>
    <w:rsid w:val="00066B7E"/>
    <w:rsid w:val="0007651C"/>
    <w:rsid w:val="000D746D"/>
    <w:rsid w:val="0010549C"/>
    <w:rsid w:val="00113B38"/>
    <w:rsid w:val="00143450"/>
    <w:rsid w:val="001A358D"/>
    <w:rsid w:val="001D76E3"/>
    <w:rsid w:val="001F17FA"/>
    <w:rsid w:val="00216C01"/>
    <w:rsid w:val="00217E11"/>
    <w:rsid w:val="002367FE"/>
    <w:rsid w:val="00291BD6"/>
    <w:rsid w:val="00293294"/>
    <w:rsid w:val="00294203"/>
    <w:rsid w:val="002A43B9"/>
    <w:rsid w:val="002F6056"/>
    <w:rsid w:val="00321A74"/>
    <w:rsid w:val="00332D97"/>
    <w:rsid w:val="0036091F"/>
    <w:rsid w:val="00383BFC"/>
    <w:rsid w:val="003B12C0"/>
    <w:rsid w:val="003B39A5"/>
    <w:rsid w:val="003F4973"/>
    <w:rsid w:val="00432B0E"/>
    <w:rsid w:val="00456864"/>
    <w:rsid w:val="00473C3A"/>
    <w:rsid w:val="004C70C8"/>
    <w:rsid w:val="004D24D0"/>
    <w:rsid w:val="004D5A24"/>
    <w:rsid w:val="00501AB6"/>
    <w:rsid w:val="00503BD3"/>
    <w:rsid w:val="00510E7A"/>
    <w:rsid w:val="0051315C"/>
    <w:rsid w:val="00561B77"/>
    <w:rsid w:val="00575322"/>
    <w:rsid w:val="00581323"/>
    <w:rsid w:val="005E5918"/>
    <w:rsid w:val="006672F1"/>
    <w:rsid w:val="00667E0C"/>
    <w:rsid w:val="00674783"/>
    <w:rsid w:val="00685036"/>
    <w:rsid w:val="00686D2E"/>
    <w:rsid w:val="0069318D"/>
    <w:rsid w:val="006A21B5"/>
    <w:rsid w:val="00706338"/>
    <w:rsid w:val="00741191"/>
    <w:rsid w:val="00743E65"/>
    <w:rsid w:val="00764771"/>
    <w:rsid w:val="0077344E"/>
    <w:rsid w:val="00785BB9"/>
    <w:rsid w:val="007E26A9"/>
    <w:rsid w:val="008058CC"/>
    <w:rsid w:val="00873604"/>
    <w:rsid w:val="00875A81"/>
    <w:rsid w:val="008803BF"/>
    <w:rsid w:val="008C74EF"/>
    <w:rsid w:val="0091523A"/>
    <w:rsid w:val="00947D41"/>
    <w:rsid w:val="0098485D"/>
    <w:rsid w:val="00987042"/>
    <w:rsid w:val="009938AE"/>
    <w:rsid w:val="00993A63"/>
    <w:rsid w:val="009A4C8F"/>
    <w:rsid w:val="009A6C34"/>
    <w:rsid w:val="009C1C6E"/>
    <w:rsid w:val="009D3FE5"/>
    <w:rsid w:val="009D4008"/>
    <w:rsid w:val="009E01B2"/>
    <w:rsid w:val="009E0910"/>
    <w:rsid w:val="00A1013C"/>
    <w:rsid w:val="00A137E4"/>
    <w:rsid w:val="00A170F3"/>
    <w:rsid w:val="00A76214"/>
    <w:rsid w:val="00B13684"/>
    <w:rsid w:val="00B51C1B"/>
    <w:rsid w:val="00B73D93"/>
    <w:rsid w:val="00BC2766"/>
    <w:rsid w:val="00BE6C42"/>
    <w:rsid w:val="00C04F35"/>
    <w:rsid w:val="00C7626A"/>
    <w:rsid w:val="00C911FC"/>
    <w:rsid w:val="00CB68D8"/>
    <w:rsid w:val="00CD56AE"/>
    <w:rsid w:val="00CE3347"/>
    <w:rsid w:val="00D0010A"/>
    <w:rsid w:val="00D71493"/>
    <w:rsid w:val="00D87475"/>
    <w:rsid w:val="00D94E14"/>
    <w:rsid w:val="00DB4B5A"/>
    <w:rsid w:val="00E5036C"/>
    <w:rsid w:val="00E52B5B"/>
    <w:rsid w:val="00EA5954"/>
    <w:rsid w:val="00EC15D9"/>
    <w:rsid w:val="00F53FCF"/>
    <w:rsid w:val="00F70A05"/>
    <w:rsid w:val="00F83CBA"/>
    <w:rsid w:val="00FB7C61"/>
    <w:rsid w:val="00FF5F7D"/>
    <w:rsid w:val="01011E1F"/>
    <w:rsid w:val="013D1161"/>
    <w:rsid w:val="0157144D"/>
    <w:rsid w:val="017A10E5"/>
    <w:rsid w:val="017F0419"/>
    <w:rsid w:val="01A22C15"/>
    <w:rsid w:val="01A40D00"/>
    <w:rsid w:val="02985DC6"/>
    <w:rsid w:val="033E3BD6"/>
    <w:rsid w:val="03D351A4"/>
    <w:rsid w:val="04231082"/>
    <w:rsid w:val="0430275A"/>
    <w:rsid w:val="04396DED"/>
    <w:rsid w:val="04BC5D9C"/>
    <w:rsid w:val="04DF1353"/>
    <w:rsid w:val="052E6005"/>
    <w:rsid w:val="0532620C"/>
    <w:rsid w:val="054162A1"/>
    <w:rsid w:val="056C1E37"/>
    <w:rsid w:val="060A00C1"/>
    <w:rsid w:val="06603FA5"/>
    <w:rsid w:val="06B223B0"/>
    <w:rsid w:val="06C31FE9"/>
    <w:rsid w:val="0715674C"/>
    <w:rsid w:val="08314631"/>
    <w:rsid w:val="08430582"/>
    <w:rsid w:val="08652BE4"/>
    <w:rsid w:val="0897315E"/>
    <w:rsid w:val="08CB026F"/>
    <w:rsid w:val="08FF41FE"/>
    <w:rsid w:val="09374DB2"/>
    <w:rsid w:val="099771D4"/>
    <w:rsid w:val="09B034BB"/>
    <w:rsid w:val="0A0E0485"/>
    <w:rsid w:val="0A670478"/>
    <w:rsid w:val="0ACC50F7"/>
    <w:rsid w:val="0ADE57CD"/>
    <w:rsid w:val="0B914450"/>
    <w:rsid w:val="0BBA4FFF"/>
    <w:rsid w:val="0BC773BD"/>
    <w:rsid w:val="0C0C5CC9"/>
    <w:rsid w:val="0C8D346B"/>
    <w:rsid w:val="0CEC743A"/>
    <w:rsid w:val="0D2563C4"/>
    <w:rsid w:val="0D970F8B"/>
    <w:rsid w:val="0DC91474"/>
    <w:rsid w:val="0DFC3F18"/>
    <w:rsid w:val="0E0662D9"/>
    <w:rsid w:val="0E0C5438"/>
    <w:rsid w:val="0E364E7D"/>
    <w:rsid w:val="0E7E0566"/>
    <w:rsid w:val="0EB73455"/>
    <w:rsid w:val="0EF279EF"/>
    <w:rsid w:val="0F4C0664"/>
    <w:rsid w:val="0F5C0C86"/>
    <w:rsid w:val="0F7F3E70"/>
    <w:rsid w:val="0F900551"/>
    <w:rsid w:val="0F9A13CF"/>
    <w:rsid w:val="0F9B1A19"/>
    <w:rsid w:val="101C784D"/>
    <w:rsid w:val="112E3AE6"/>
    <w:rsid w:val="116D17AA"/>
    <w:rsid w:val="11800A13"/>
    <w:rsid w:val="11946955"/>
    <w:rsid w:val="11993255"/>
    <w:rsid w:val="11AF4661"/>
    <w:rsid w:val="11C3029D"/>
    <w:rsid w:val="12132744"/>
    <w:rsid w:val="123950D3"/>
    <w:rsid w:val="124A7371"/>
    <w:rsid w:val="13386D6B"/>
    <w:rsid w:val="135209F1"/>
    <w:rsid w:val="13904FC3"/>
    <w:rsid w:val="13A84C2D"/>
    <w:rsid w:val="13C52E49"/>
    <w:rsid w:val="13D70D51"/>
    <w:rsid w:val="143E2655"/>
    <w:rsid w:val="14574345"/>
    <w:rsid w:val="14741101"/>
    <w:rsid w:val="14991245"/>
    <w:rsid w:val="15616904"/>
    <w:rsid w:val="158F3762"/>
    <w:rsid w:val="15D40117"/>
    <w:rsid w:val="16316C16"/>
    <w:rsid w:val="16B77FD1"/>
    <w:rsid w:val="174F2A9F"/>
    <w:rsid w:val="17D17958"/>
    <w:rsid w:val="17DA13A7"/>
    <w:rsid w:val="180E4A95"/>
    <w:rsid w:val="18585384"/>
    <w:rsid w:val="185D743E"/>
    <w:rsid w:val="18A16C3C"/>
    <w:rsid w:val="18DD79A1"/>
    <w:rsid w:val="18FE652B"/>
    <w:rsid w:val="194D55A9"/>
    <w:rsid w:val="19C76021"/>
    <w:rsid w:val="1A7123F6"/>
    <w:rsid w:val="1A887C80"/>
    <w:rsid w:val="1ABA1D83"/>
    <w:rsid w:val="1AE80243"/>
    <w:rsid w:val="1B240FCE"/>
    <w:rsid w:val="1B886580"/>
    <w:rsid w:val="1B910DB4"/>
    <w:rsid w:val="1B9273FE"/>
    <w:rsid w:val="1C116575"/>
    <w:rsid w:val="1C13738E"/>
    <w:rsid w:val="1CE31C2F"/>
    <w:rsid w:val="1D1B2CB8"/>
    <w:rsid w:val="1DCF0496"/>
    <w:rsid w:val="1DD54CF5"/>
    <w:rsid w:val="1E704E6F"/>
    <w:rsid w:val="1E7F5650"/>
    <w:rsid w:val="1EBD3405"/>
    <w:rsid w:val="1ED17431"/>
    <w:rsid w:val="1F365B58"/>
    <w:rsid w:val="1F9C4CF0"/>
    <w:rsid w:val="1FB05E2C"/>
    <w:rsid w:val="1FBB41D0"/>
    <w:rsid w:val="20286583"/>
    <w:rsid w:val="205828FC"/>
    <w:rsid w:val="20BF5065"/>
    <w:rsid w:val="21076199"/>
    <w:rsid w:val="2118156D"/>
    <w:rsid w:val="212E7BC9"/>
    <w:rsid w:val="216364D8"/>
    <w:rsid w:val="21E6650E"/>
    <w:rsid w:val="21F44CBE"/>
    <w:rsid w:val="22927EB5"/>
    <w:rsid w:val="235F050E"/>
    <w:rsid w:val="239038EC"/>
    <w:rsid w:val="23962050"/>
    <w:rsid w:val="23C245F9"/>
    <w:rsid w:val="24170DE9"/>
    <w:rsid w:val="250F1AC0"/>
    <w:rsid w:val="25770F38"/>
    <w:rsid w:val="259D76A5"/>
    <w:rsid w:val="26F725F1"/>
    <w:rsid w:val="27111B1F"/>
    <w:rsid w:val="275613EA"/>
    <w:rsid w:val="27651E6B"/>
    <w:rsid w:val="27A62658"/>
    <w:rsid w:val="27A75FE0"/>
    <w:rsid w:val="27B23302"/>
    <w:rsid w:val="27DA27C2"/>
    <w:rsid w:val="27F03E2A"/>
    <w:rsid w:val="28011B94"/>
    <w:rsid w:val="28212236"/>
    <w:rsid w:val="2829057B"/>
    <w:rsid w:val="28404E9B"/>
    <w:rsid w:val="286F11F3"/>
    <w:rsid w:val="2888032F"/>
    <w:rsid w:val="28E717BF"/>
    <w:rsid w:val="29104EC2"/>
    <w:rsid w:val="29347ACD"/>
    <w:rsid w:val="298A4D77"/>
    <w:rsid w:val="29EA7DDC"/>
    <w:rsid w:val="2A093583"/>
    <w:rsid w:val="2A135BAE"/>
    <w:rsid w:val="2A621607"/>
    <w:rsid w:val="2AA607D0"/>
    <w:rsid w:val="2AD27734"/>
    <w:rsid w:val="2B003D2F"/>
    <w:rsid w:val="2B1B665A"/>
    <w:rsid w:val="2B591CE7"/>
    <w:rsid w:val="2BE710A1"/>
    <w:rsid w:val="2BFD08C4"/>
    <w:rsid w:val="2C516C94"/>
    <w:rsid w:val="2C5219A4"/>
    <w:rsid w:val="2C6E21E4"/>
    <w:rsid w:val="2C932FD6"/>
    <w:rsid w:val="2CF972DD"/>
    <w:rsid w:val="2D0F6DD8"/>
    <w:rsid w:val="2D2770B2"/>
    <w:rsid w:val="2D502C75"/>
    <w:rsid w:val="2DCF003E"/>
    <w:rsid w:val="2E450564"/>
    <w:rsid w:val="2E494294"/>
    <w:rsid w:val="2EFF2BA5"/>
    <w:rsid w:val="2F61666C"/>
    <w:rsid w:val="2FFF9F38"/>
    <w:rsid w:val="30734518"/>
    <w:rsid w:val="307B44AD"/>
    <w:rsid w:val="30B23898"/>
    <w:rsid w:val="30B637FD"/>
    <w:rsid w:val="31C205E6"/>
    <w:rsid w:val="31C6519A"/>
    <w:rsid w:val="31C73034"/>
    <w:rsid w:val="32087FC3"/>
    <w:rsid w:val="320F4EAD"/>
    <w:rsid w:val="322A6C7A"/>
    <w:rsid w:val="32356F54"/>
    <w:rsid w:val="32A76BDA"/>
    <w:rsid w:val="32B33085"/>
    <w:rsid w:val="32E160FF"/>
    <w:rsid w:val="32F13CE5"/>
    <w:rsid w:val="32F32A21"/>
    <w:rsid w:val="330172C6"/>
    <w:rsid w:val="334131D3"/>
    <w:rsid w:val="33423060"/>
    <w:rsid w:val="33557238"/>
    <w:rsid w:val="34597BA1"/>
    <w:rsid w:val="34800CEE"/>
    <w:rsid w:val="349E076A"/>
    <w:rsid w:val="34C6027F"/>
    <w:rsid w:val="350F0BFE"/>
    <w:rsid w:val="35643AD5"/>
    <w:rsid w:val="356B689E"/>
    <w:rsid w:val="357240D1"/>
    <w:rsid w:val="35778528"/>
    <w:rsid w:val="35FA5E74"/>
    <w:rsid w:val="364A32AA"/>
    <w:rsid w:val="374313BA"/>
    <w:rsid w:val="376B630F"/>
    <w:rsid w:val="37A771DD"/>
    <w:rsid w:val="37AB1B1C"/>
    <w:rsid w:val="38037262"/>
    <w:rsid w:val="380C5996"/>
    <w:rsid w:val="386F3515"/>
    <w:rsid w:val="38B30E35"/>
    <w:rsid w:val="38E0098C"/>
    <w:rsid w:val="3902576C"/>
    <w:rsid w:val="39237490"/>
    <w:rsid w:val="392E6A78"/>
    <w:rsid w:val="39677413"/>
    <w:rsid w:val="39AF5FE9"/>
    <w:rsid w:val="3A687850"/>
    <w:rsid w:val="3A8C2C0D"/>
    <w:rsid w:val="3A9B669F"/>
    <w:rsid w:val="3A9B7C26"/>
    <w:rsid w:val="3AF008DB"/>
    <w:rsid w:val="3AFC6589"/>
    <w:rsid w:val="3B9F72A2"/>
    <w:rsid w:val="3BAE6A8A"/>
    <w:rsid w:val="3C3E4D0D"/>
    <w:rsid w:val="3C876AF0"/>
    <w:rsid w:val="3C8B5A78"/>
    <w:rsid w:val="3D5B369C"/>
    <w:rsid w:val="3D613D22"/>
    <w:rsid w:val="3E3143FD"/>
    <w:rsid w:val="3E614CE2"/>
    <w:rsid w:val="3EC95459"/>
    <w:rsid w:val="3F5FCF9C"/>
    <w:rsid w:val="3F941E72"/>
    <w:rsid w:val="3FA06F86"/>
    <w:rsid w:val="3FB157F6"/>
    <w:rsid w:val="40062ACB"/>
    <w:rsid w:val="40313A54"/>
    <w:rsid w:val="40644392"/>
    <w:rsid w:val="40882F15"/>
    <w:rsid w:val="40C663C9"/>
    <w:rsid w:val="412F1B65"/>
    <w:rsid w:val="417D1041"/>
    <w:rsid w:val="41A315F9"/>
    <w:rsid w:val="4265671D"/>
    <w:rsid w:val="427F1561"/>
    <w:rsid w:val="42BA0E65"/>
    <w:rsid w:val="42CD6DEA"/>
    <w:rsid w:val="430E5A01"/>
    <w:rsid w:val="431C1B20"/>
    <w:rsid w:val="4338240D"/>
    <w:rsid w:val="4367281E"/>
    <w:rsid w:val="438D0328"/>
    <w:rsid w:val="43A30364"/>
    <w:rsid w:val="43C85745"/>
    <w:rsid w:val="442D1921"/>
    <w:rsid w:val="44B235D6"/>
    <w:rsid w:val="44E66AD2"/>
    <w:rsid w:val="44FB7D48"/>
    <w:rsid w:val="46200F7E"/>
    <w:rsid w:val="464A0752"/>
    <w:rsid w:val="46715CDF"/>
    <w:rsid w:val="46D36999"/>
    <w:rsid w:val="47471001"/>
    <w:rsid w:val="476A2C78"/>
    <w:rsid w:val="47777325"/>
    <w:rsid w:val="478005D2"/>
    <w:rsid w:val="47992888"/>
    <w:rsid w:val="479D3534"/>
    <w:rsid w:val="47C307BC"/>
    <w:rsid w:val="4854142E"/>
    <w:rsid w:val="4858276E"/>
    <w:rsid w:val="48A51834"/>
    <w:rsid w:val="48AD7515"/>
    <w:rsid w:val="48E94252"/>
    <w:rsid w:val="49022A4B"/>
    <w:rsid w:val="490A726C"/>
    <w:rsid w:val="4933906D"/>
    <w:rsid w:val="498336EE"/>
    <w:rsid w:val="49A92BA2"/>
    <w:rsid w:val="49CF169A"/>
    <w:rsid w:val="49FE3D2D"/>
    <w:rsid w:val="4A3B0E89"/>
    <w:rsid w:val="4A3E47FB"/>
    <w:rsid w:val="4A590F64"/>
    <w:rsid w:val="4A5A086E"/>
    <w:rsid w:val="4BBF0072"/>
    <w:rsid w:val="4BD036A7"/>
    <w:rsid w:val="4C5F3DED"/>
    <w:rsid w:val="4CAA1F4A"/>
    <w:rsid w:val="4CDC29F0"/>
    <w:rsid w:val="4CDF5BD4"/>
    <w:rsid w:val="4D212310"/>
    <w:rsid w:val="4D3D691B"/>
    <w:rsid w:val="4D4C0D5E"/>
    <w:rsid w:val="4DB17F72"/>
    <w:rsid w:val="4DDA060D"/>
    <w:rsid w:val="4DF220DA"/>
    <w:rsid w:val="4EA60F65"/>
    <w:rsid w:val="4EC16AC8"/>
    <w:rsid w:val="4EFB6A8D"/>
    <w:rsid w:val="4F3F4BCC"/>
    <w:rsid w:val="4FD95020"/>
    <w:rsid w:val="4FFC9930"/>
    <w:rsid w:val="50342257"/>
    <w:rsid w:val="50B047BD"/>
    <w:rsid w:val="51083017"/>
    <w:rsid w:val="515423B5"/>
    <w:rsid w:val="51CF2D8E"/>
    <w:rsid w:val="52A953C7"/>
    <w:rsid w:val="52CA1B96"/>
    <w:rsid w:val="531A4198"/>
    <w:rsid w:val="539B6B72"/>
    <w:rsid w:val="53A633FC"/>
    <w:rsid w:val="53E5ABE5"/>
    <w:rsid w:val="53EE5CD3"/>
    <w:rsid w:val="5406286E"/>
    <w:rsid w:val="54071A30"/>
    <w:rsid w:val="54C6369A"/>
    <w:rsid w:val="550545DD"/>
    <w:rsid w:val="550A7A2A"/>
    <w:rsid w:val="5536754D"/>
    <w:rsid w:val="5539030F"/>
    <w:rsid w:val="556967CA"/>
    <w:rsid w:val="56DC79F4"/>
    <w:rsid w:val="56EF4237"/>
    <w:rsid w:val="570F7EDB"/>
    <w:rsid w:val="571E77BD"/>
    <w:rsid w:val="573C74B5"/>
    <w:rsid w:val="575FDBBD"/>
    <w:rsid w:val="57715B3F"/>
    <w:rsid w:val="57785224"/>
    <w:rsid w:val="58935F89"/>
    <w:rsid w:val="58995112"/>
    <w:rsid w:val="58A70D79"/>
    <w:rsid w:val="58D35E49"/>
    <w:rsid w:val="58F85DEC"/>
    <w:rsid w:val="596D2336"/>
    <w:rsid w:val="59C40A7F"/>
    <w:rsid w:val="59E771C6"/>
    <w:rsid w:val="5A9D6C4B"/>
    <w:rsid w:val="5AB2291B"/>
    <w:rsid w:val="5ACE14FA"/>
    <w:rsid w:val="5B09250D"/>
    <w:rsid w:val="5BE909A8"/>
    <w:rsid w:val="5C121CF5"/>
    <w:rsid w:val="5C5509A8"/>
    <w:rsid w:val="5C5B5D44"/>
    <w:rsid w:val="5C7F6BB4"/>
    <w:rsid w:val="5CAC586B"/>
    <w:rsid w:val="5CBFAD6F"/>
    <w:rsid w:val="5CF80110"/>
    <w:rsid w:val="5D727DDC"/>
    <w:rsid w:val="5DDD3E9C"/>
    <w:rsid w:val="5E8C7702"/>
    <w:rsid w:val="5F072BE8"/>
    <w:rsid w:val="5F0A2F96"/>
    <w:rsid w:val="5F4B34F8"/>
    <w:rsid w:val="5F61293D"/>
    <w:rsid w:val="5FBA3DFB"/>
    <w:rsid w:val="5FCAF25B"/>
    <w:rsid w:val="5FE2D360"/>
    <w:rsid w:val="602773EC"/>
    <w:rsid w:val="60413278"/>
    <w:rsid w:val="609A21B5"/>
    <w:rsid w:val="60F8107F"/>
    <w:rsid w:val="61AE4166"/>
    <w:rsid w:val="620847C0"/>
    <w:rsid w:val="623460E6"/>
    <w:rsid w:val="637349EC"/>
    <w:rsid w:val="63DE6250"/>
    <w:rsid w:val="64371CD5"/>
    <w:rsid w:val="64433B1E"/>
    <w:rsid w:val="645E7E8B"/>
    <w:rsid w:val="666A0801"/>
    <w:rsid w:val="66736D0A"/>
    <w:rsid w:val="66FA4404"/>
    <w:rsid w:val="678A0557"/>
    <w:rsid w:val="67B24FE9"/>
    <w:rsid w:val="67CA3D41"/>
    <w:rsid w:val="67F26902"/>
    <w:rsid w:val="67FF0B88"/>
    <w:rsid w:val="687234C5"/>
    <w:rsid w:val="68840F62"/>
    <w:rsid w:val="689E02F8"/>
    <w:rsid w:val="68D4417F"/>
    <w:rsid w:val="68D8128A"/>
    <w:rsid w:val="69670B4F"/>
    <w:rsid w:val="698A0CE2"/>
    <w:rsid w:val="69C6217D"/>
    <w:rsid w:val="69EF1BC6"/>
    <w:rsid w:val="69F73655"/>
    <w:rsid w:val="6AF32471"/>
    <w:rsid w:val="6B0C5E52"/>
    <w:rsid w:val="6B351850"/>
    <w:rsid w:val="6B517D09"/>
    <w:rsid w:val="6C2C48AC"/>
    <w:rsid w:val="6C64581A"/>
    <w:rsid w:val="6C7D068A"/>
    <w:rsid w:val="6C8E5718"/>
    <w:rsid w:val="6CC22328"/>
    <w:rsid w:val="6CD56AF4"/>
    <w:rsid w:val="6D105413"/>
    <w:rsid w:val="6D8E6A33"/>
    <w:rsid w:val="6DB620A5"/>
    <w:rsid w:val="6DC5678C"/>
    <w:rsid w:val="6DCC7B1B"/>
    <w:rsid w:val="6DDE0181"/>
    <w:rsid w:val="6DEE7A91"/>
    <w:rsid w:val="6DF6BDC5"/>
    <w:rsid w:val="6E361438"/>
    <w:rsid w:val="6E732C64"/>
    <w:rsid w:val="6F154B2D"/>
    <w:rsid w:val="6F241291"/>
    <w:rsid w:val="6F2511CB"/>
    <w:rsid w:val="6F2968A7"/>
    <w:rsid w:val="6F751AEC"/>
    <w:rsid w:val="6FB50225"/>
    <w:rsid w:val="6FC53298"/>
    <w:rsid w:val="6FD6B8BC"/>
    <w:rsid w:val="6FD74555"/>
    <w:rsid w:val="707F6CDF"/>
    <w:rsid w:val="70B623BC"/>
    <w:rsid w:val="70EC5DDE"/>
    <w:rsid w:val="715B7839"/>
    <w:rsid w:val="716A6CEF"/>
    <w:rsid w:val="7174629C"/>
    <w:rsid w:val="71771B4C"/>
    <w:rsid w:val="728F7C9A"/>
    <w:rsid w:val="72914E8F"/>
    <w:rsid w:val="730E68A8"/>
    <w:rsid w:val="736507F6"/>
    <w:rsid w:val="738348E4"/>
    <w:rsid w:val="73B434AA"/>
    <w:rsid w:val="73FF1D4B"/>
    <w:rsid w:val="741E09A4"/>
    <w:rsid w:val="75042A89"/>
    <w:rsid w:val="75056276"/>
    <w:rsid w:val="75267B11"/>
    <w:rsid w:val="75347DB2"/>
    <w:rsid w:val="76361FD5"/>
    <w:rsid w:val="764D31BA"/>
    <w:rsid w:val="76C27424"/>
    <w:rsid w:val="76CE1080"/>
    <w:rsid w:val="76FC03FE"/>
    <w:rsid w:val="774A788F"/>
    <w:rsid w:val="77565BBE"/>
    <w:rsid w:val="77A933ED"/>
    <w:rsid w:val="77CBA0AB"/>
    <w:rsid w:val="781F13F3"/>
    <w:rsid w:val="786966E6"/>
    <w:rsid w:val="78895CA5"/>
    <w:rsid w:val="79157851"/>
    <w:rsid w:val="79202BB4"/>
    <w:rsid w:val="79490272"/>
    <w:rsid w:val="79A12457"/>
    <w:rsid w:val="79AA5B6F"/>
    <w:rsid w:val="79E76A6B"/>
    <w:rsid w:val="7A0B1FEC"/>
    <w:rsid w:val="7A140B64"/>
    <w:rsid w:val="7A20184B"/>
    <w:rsid w:val="7A6212D3"/>
    <w:rsid w:val="7A86426A"/>
    <w:rsid w:val="7B0D1124"/>
    <w:rsid w:val="7B67393B"/>
    <w:rsid w:val="7B7F4866"/>
    <w:rsid w:val="7C190ABB"/>
    <w:rsid w:val="7C305674"/>
    <w:rsid w:val="7C440929"/>
    <w:rsid w:val="7C7A77AE"/>
    <w:rsid w:val="7C961A20"/>
    <w:rsid w:val="7D6F6B54"/>
    <w:rsid w:val="7DB859C6"/>
    <w:rsid w:val="7DCD7646"/>
    <w:rsid w:val="7DF98374"/>
    <w:rsid w:val="7E18FDD7"/>
    <w:rsid w:val="7EC23C02"/>
    <w:rsid w:val="7ED24865"/>
    <w:rsid w:val="7EF548B9"/>
    <w:rsid w:val="7EFFA417"/>
    <w:rsid w:val="7F0B7D77"/>
    <w:rsid w:val="7F342CC9"/>
    <w:rsid w:val="7F7EC88B"/>
    <w:rsid w:val="7F880D74"/>
    <w:rsid w:val="7F8C9C1C"/>
    <w:rsid w:val="7FEB1055"/>
    <w:rsid w:val="8F7F5C6F"/>
    <w:rsid w:val="A27DC8B4"/>
    <w:rsid w:val="B7ABDB07"/>
    <w:rsid w:val="B8F45885"/>
    <w:rsid w:val="B95FDB74"/>
    <w:rsid w:val="BF3F907F"/>
    <w:rsid w:val="CCFF3AA7"/>
    <w:rsid w:val="D7BE0C35"/>
    <w:rsid w:val="DBFC5895"/>
    <w:rsid w:val="DF4F0C07"/>
    <w:rsid w:val="EBAFC30D"/>
    <w:rsid w:val="EF6E45BE"/>
    <w:rsid w:val="F4BD5C5F"/>
    <w:rsid w:val="F7F7F9A5"/>
    <w:rsid w:val="FB7942D9"/>
    <w:rsid w:val="FBDB1CD8"/>
    <w:rsid w:val="FBF62B0A"/>
    <w:rsid w:val="FBFF4177"/>
    <w:rsid w:val="FDBB8212"/>
    <w:rsid w:val="FEFDBA5F"/>
    <w:rsid w:val="FF3F9297"/>
    <w:rsid w:val="FF5FDFB0"/>
    <w:rsid w:val="FF73CEA2"/>
    <w:rsid w:val="FF7DF014"/>
    <w:rsid w:val="FF7EC768"/>
    <w:rsid w:val="FFEB3C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6"/>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7"/>
    <w:qFormat/>
    <w:uiPriority w:val="1"/>
    <w:pPr>
      <w:spacing w:before="116"/>
      <w:ind w:left="117"/>
      <w:jc w:val="left"/>
    </w:pPr>
    <w:rPr>
      <w:rFonts w:ascii="宋体" w:hAnsi="宋体" w:eastAsia="宋体"/>
      <w:kern w:val="0"/>
      <w:szCs w:val="21"/>
      <w:lang w:eastAsia="en-US"/>
    </w:rPr>
  </w:style>
  <w:style w:type="paragraph" w:styleId="6">
    <w:name w:val="toc 7"/>
    <w:basedOn w:val="1"/>
    <w:next w:val="1"/>
    <w:unhideWhenUsed/>
    <w:qFormat/>
    <w:uiPriority w:val="39"/>
    <w:pPr>
      <w:ind w:left="1260"/>
      <w:jc w:val="left"/>
    </w:pPr>
    <w:rPr>
      <w:rFonts w:cstheme="minorHAnsi"/>
      <w:sz w:val="18"/>
      <w:szCs w:val="18"/>
    </w:rPr>
  </w:style>
  <w:style w:type="paragraph" w:styleId="7">
    <w:name w:val="annotation text"/>
    <w:basedOn w:val="1"/>
    <w:link w:val="72"/>
    <w:unhideWhenUsed/>
    <w:qFormat/>
    <w:uiPriority w:val="0"/>
    <w:pPr>
      <w:jc w:val="left"/>
    </w:pPr>
  </w:style>
  <w:style w:type="paragraph" w:styleId="8">
    <w:name w:val="toc 5"/>
    <w:basedOn w:val="1"/>
    <w:next w:val="1"/>
    <w:unhideWhenUsed/>
    <w:qFormat/>
    <w:uiPriority w:val="39"/>
    <w:pPr>
      <w:ind w:left="840"/>
      <w:jc w:val="left"/>
    </w:pPr>
    <w:rPr>
      <w:rFonts w:cstheme="minorHAnsi"/>
      <w:sz w:val="18"/>
      <w:szCs w:val="18"/>
    </w:rPr>
  </w:style>
  <w:style w:type="paragraph" w:styleId="9">
    <w:name w:val="toc 3"/>
    <w:basedOn w:val="1"/>
    <w:next w:val="1"/>
    <w:qFormat/>
    <w:uiPriority w:val="39"/>
    <w:pPr>
      <w:ind w:left="420"/>
      <w:jc w:val="left"/>
    </w:pPr>
    <w:rPr>
      <w:rFonts w:cstheme="minorHAnsi"/>
      <w:i/>
      <w:iCs/>
      <w:sz w:val="20"/>
      <w:szCs w:val="20"/>
    </w:rPr>
  </w:style>
  <w:style w:type="paragraph" w:styleId="10">
    <w:name w:val="toc 8"/>
    <w:basedOn w:val="1"/>
    <w:next w:val="1"/>
    <w:unhideWhenUsed/>
    <w:qFormat/>
    <w:uiPriority w:val="39"/>
    <w:pPr>
      <w:ind w:left="1470"/>
      <w:jc w:val="left"/>
    </w:pPr>
    <w:rPr>
      <w:rFonts w:cstheme="minorHAnsi"/>
      <w:sz w:val="18"/>
      <w:szCs w:val="18"/>
    </w:rPr>
  </w:style>
  <w:style w:type="paragraph" w:styleId="11">
    <w:name w:val="Date"/>
    <w:basedOn w:val="1"/>
    <w:next w:val="1"/>
    <w:link w:val="69"/>
    <w:semiHidden/>
    <w:unhideWhenUsed/>
    <w:qFormat/>
    <w:uiPriority w:val="99"/>
    <w:pPr>
      <w:ind w:left="100" w:leftChars="2500"/>
    </w:pPr>
  </w:style>
  <w:style w:type="paragraph" w:styleId="12">
    <w:name w:val="Balloon Text"/>
    <w:basedOn w:val="1"/>
    <w:link w:val="64"/>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cstheme="minorHAnsi"/>
      <w:b/>
      <w:bCs/>
      <w:caps/>
      <w:sz w:val="20"/>
      <w:szCs w:val="20"/>
    </w:rPr>
  </w:style>
  <w:style w:type="paragraph" w:styleId="16">
    <w:name w:val="toc 4"/>
    <w:basedOn w:val="1"/>
    <w:next w:val="1"/>
    <w:unhideWhenUsed/>
    <w:qFormat/>
    <w:uiPriority w:val="39"/>
    <w:pPr>
      <w:ind w:left="630"/>
      <w:jc w:val="left"/>
    </w:pPr>
    <w:rPr>
      <w:rFonts w:cstheme="minorHAnsi"/>
      <w:sz w:val="18"/>
      <w:szCs w:val="18"/>
    </w:rPr>
  </w:style>
  <w:style w:type="paragraph" w:styleId="17">
    <w:name w:val="toc 6"/>
    <w:basedOn w:val="1"/>
    <w:next w:val="1"/>
    <w:unhideWhenUsed/>
    <w:qFormat/>
    <w:uiPriority w:val="39"/>
    <w:pPr>
      <w:ind w:left="1050"/>
      <w:jc w:val="left"/>
    </w:pPr>
    <w:rPr>
      <w:rFonts w:cstheme="minorHAnsi"/>
      <w:sz w:val="18"/>
      <w:szCs w:val="18"/>
    </w:rPr>
  </w:style>
  <w:style w:type="paragraph" w:styleId="18">
    <w:name w:val="toc 2"/>
    <w:basedOn w:val="1"/>
    <w:next w:val="1"/>
    <w:unhideWhenUsed/>
    <w:qFormat/>
    <w:uiPriority w:val="39"/>
    <w:pPr>
      <w:ind w:left="210"/>
      <w:jc w:val="left"/>
    </w:pPr>
    <w:rPr>
      <w:rFonts w:cstheme="minorHAnsi"/>
      <w:smallCaps/>
      <w:sz w:val="20"/>
      <w:szCs w:val="20"/>
    </w:rPr>
  </w:style>
  <w:style w:type="paragraph" w:styleId="19">
    <w:name w:val="toc 9"/>
    <w:basedOn w:val="1"/>
    <w:next w:val="1"/>
    <w:unhideWhenUsed/>
    <w:qFormat/>
    <w:uiPriority w:val="39"/>
    <w:pPr>
      <w:ind w:left="1680"/>
      <w:jc w:val="left"/>
    </w:pPr>
    <w:rPr>
      <w:rFonts w:cstheme="minorHAnsi"/>
      <w:sz w:val="18"/>
      <w:szCs w:val="18"/>
    </w:rPr>
  </w:style>
  <w:style w:type="paragraph" w:styleId="2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7"/>
    <w:next w:val="7"/>
    <w:link w:val="73"/>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6">
    <w:name w:val="Hyperlink"/>
    <w:qFormat/>
    <w:uiPriority w:val="99"/>
    <w:rPr>
      <w:color w:val="0000FF"/>
      <w:spacing w:val="0"/>
      <w:w w:val="100"/>
      <w:szCs w:val="21"/>
      <w:u w:val="single"/>
      <w:lang w:val="en-US" w:eastAsia="zh-CN"/>
    </w:rPr>
  </w:style>
  <w:style w:type="character" w:styleId="27">
    <w:name w:val="annotation reference"/>
    <w:basedOn w:val="24"/>
    <w:unhideWhenUsed/>
    <w:qFormat/>
    <w:uiPriority w:val="0"/>
    <w:rPr>
      <w:sz w:val="21"/>
      <w:szCs w:val="21"/>
    </w:rPr>
  </w:style>
  <w:style w:type="character" w:customStyle="1" w:styleId="28">
    <w:name w:val="页眉 Char"/>
    <w:basedOn w:val="24"/>
    <w:link w:val="14"/>
    <w:qFormat/>
    <w:uiPriority w:val="99"/>
    <w:rPr>
      <w:sz w:val="18"/>
      <w:szCs w:val="18"/>
    </w:rPr>
  </w:style>
  <w:style w:type="character" w:customStyle="1" w:styleId="29">
    <w:name w:val="页脚 Char"/>
    <w:basedOn w:val="24"/>
    <w:link w:val="13"/>
    <w:qFormat/>
    <w:uiPriority w:val="99"/>
    <w:rPr>
      <w:sz w:val="18"/>
      <w:szCs w:val="18"/>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英文名称"/>
    <w:basedOn w:val="30"/>
    <w:qFormat/>
    <w:uiPriority w:val="0"/>
    <w:pPr>
      <w:spacing w:before="370" w:line="400" w:lineRule="exact"/>
    </w:pPr>
    <w:rPr>
      <w:rFonts w:ascii="Times New Roman"/>
      <w:sz w:val="28"/>
      <w:szCs w:val="28"/>
    </w:rPr>
  </w:style>
  <w:style w:type="character" w:customStyle="1" w:styleId="32">
    <w:name w:val="段 Char"/>
    <w:link w:val="33"/>
    <w:qFormat/>
    <w:uiPriority w:val="0"/>
    <w:rPr>
      <w:rFonts w:ascii="宋体"/>
    </w:rPr>
  </w:style>
  <w:style w:type="paragraph" w:customStyle="1" w:styleId="33">
    <w:name w:val="段"/>
    <w:link w:val="3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34">
    <w:name w:val="发布"/>
    <w:qFormat/>
    <w:uiPriority w:val="0"/>
    <w:rPr>
      <w:rFonts w:ascii="黑体" w:eastAsia="黑体"/>
      <w:spacing w:val="85"/>
      <w:w w:val="100"/>
      <w:position w:val="3"/>
      <w:sz w:val="28"/>
      <w:szCs w:val="28"/>
    </w:rPr>
  </w:style>
  <w:style w:type="paragraph" w:customStyle="1" w:styleId="35">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6">
    <w:name w:val="二级条标题"/>
    <w:basedOn w:val="37"/>
    <w:next w:val="33"/>
    <w:qFormat/>
    <w:uiPriority w:val="0"/>
    <w:pPr>
      <w:numPr>
        <w:ilvl w:val="2"/>
      </w:numPr>
      <w:spacing w:beforeLines="0" w:afterLines="0"/>
      <w:outlineLvl w:val="3"/>
    </w:pPr>
  </w:style>
  <w:style w:type="paragraph" w:customStyle="1" w:styleId="37">
    <w:name w:val="一级条标题"/>
    <w:next w:val="3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8">
    <w:name w:val="附录表标号"/>
    <w:basedOn w:val="1"/>
    <w:next w:val="33"/>
    <w:qFormat/>
    <w:uiPriority w:val="0"/>
    <w:pPr>
      <w:spacing w:line="14" w:lineRule="exact"/>
      <w:ind w:left="811" w:hanging="448"/>
      <w:jc w:val="center"/>
      <w:outlineLvl w:val="0"/>
    </w:pPr>
    <w:rPr>
      <w:rFonts w:ascii="Times New Roman" w:hAnsi="Times New Roman" w:eastAsia="宋体" w:cs="Times New Roman"/>
      <w:color w:val="FFFFFF"/>
      <w:szCs w:val="24"/>
    </w:rPr>
  </w:style>
  <w:style w:type="paragraph" w:customStyle="1" w:styleId="39">
    <w:name w:val="正文表标题"/>
    <w:next w:val="33"/>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0">
    <w:name w:val="字母编号列项（一级）"/>
    <w:qFormat/>
    <w:uiPriority w:val="0"/>
    <w:pPr>
      <w:tabs>
        <w:tab w:val="left" w:pos="720"/>
        <w:tab w:val="left" w:pos="840"/>
      </w:tabs>
      <w:ind w:left="720" w:hanging="720"/>
      <w:jc w:val="both"/>
    </w:pPr>
    <w:rPr>
      <w:rFonts w:ascii="宋体" w:hAnsi="Times New Roman" w:eastAsia="宋体" w:cs="Times New Roman"/>
      <w:sz w:val="21"/>
      <w:lang w:val="en-US" w:eastAsia="zh-CN" w:bidi="ar-SA"/>
    </w:rPr>
  </w:style>
  <w:style w:type="paragraph" w:customStyle="1" w:styleId="41">
    <w:name w:val="章标题"/>
    <w:next w:val="33"/>
    <w:link w:val="8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封面一致性程度标识"/>
    <w:basedOn w:val="31"/>
    <w:qFormat/>
    <w:uiPriority w:val="0"/>
    <w:pPr>
      <w:spacing w:before="440"/>
    </w:pPr>
    <w:rPr>
      <w:rFonts w:ascii="宋体" w:eastAsia="宋体"/>
    </w:rPr>
  </w:style>
  <w:style w:type="paragraph" w:customStyle="1" w:styleId="45">
    <w:name w:val="终结线"/>
    <w:basedOn w:val="1"/>
    <w:qFormat/>
    <w:uiPriority w:val="0"/>
    <w:rPr>
      <w:rFonts w:ascii="Times New Roman" w:hAnsi="Times New Roman" w:eastAsia="宋体" w:cs="Times New Roman"/>
      <w:szCs w:val="24"/>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paragraph" w:customStyle="1" w:styleId="4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其他发布日期"/>
    <w:basedOn w:val="1"/>
    <w:qFormat/>
    <w:uiPriority w:val="0"/>
    <w:pPr>
      <w:widowControl/>
      <w:jc w:val="left"/>
    </w:pPr>
    <w:rPr>
      <w:rFonts w:ascii="Times New Roman" w:hAnsi="Times New Roman" w:eastAsia="黑体" w:cs="Times New Roman"/>
      <w:kern w:val="0"/>
      <w:sz w:val="28"/>
      <w:szCs w:val="20"/>
    </w:rPr>
  </w:style>
  <w:style w:type="paragraph" w:customStyle="1" w:styleId="50">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51">
    <w:name w:val="封面标准文稿编辑信息"/>
    <w:basedOn w:val="52"/>
    <w:qFormat/>
    <w:uiPriority w:val="0"/>
    <w:pPr>
      <w:spacing w:before="180" w:line="180" w:lineRule="exact"/>
    </w:pPr>
    <w:rPr>
      <w:sz w:val="21"/>
    </w:rPr>
  </w:style>
  <w:style w:type="paragraph" w:customStyle="1" w:styleId="52">
    <w:name w:val="封面标准文稿类别"/>
    <w:basedOn w:val="44"/>
    <w:qFormat/>
    <w:uiPriority w:val="0"/>
    <w:pPr>
      <w:spacing w:after="160" w:line="240" w:lineRule="auto"/>
    </w:pPr>
    <w:rPr>
      <w:sz w:val="24"/>
    </w:rPr>
  </w:style>
  <w:style w:type="paragraph" w:customStyle="1" w:styleId="53">
    <w:name w:val="附录标识"/>
    <w:basedOn w:val="1"/>
    <w:next w:val="33"/>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4">
    <w:name w:val="列项——（一级）"/>
    <w:qFormat/>
    <w:uiPriority w:val="0"/>
    <w:pPr>
      <w:widowControl w:val="0"/>
      <w:ind w:left="623" w:hanging="425"/>
      <w:jc w:val="both"/>
    </w:pPr>
    <w:rPr>
      <w:rFonts w:ascii="宋体" w:hAnsi="Times New Roman" w:eastAsia="宋体" w:cs="Times New Roman"/>
      <w:sz w:val="21"/>
      <w:lang w:val="en-US" w:eastAsia="zh-CN" w:bidi="ar-SA"/>
    </w:rPr>
  </w:style>
  <w:style w:type="paragraph" w:customStyle="1" w:styleId="55">
    <w:name w:val="附录图标号"/>
    <w:basedOn w:val="1"/>
    <w:qFormat/>
    <w:uiPriority w:val="0"/>
    <w:pPr>
      <w:keepNext/>
      <w:pageBreakBefore/>
      <w:widowControl/>
      <w:tabs>
        <w:tab w:val="left" w:pos="720"/>
      </w:tabs>
      <w:spacing w:line="14" w:lineRule="exact"/>
      <w:ind w:left="720" w:firstLine="363"/>
      <w:jc w:val="center"/>
      <w:outlineLvl w:val="0"/>
    </w:pPr>
    <w:rPr>
      <w:rFonts w:ascii="Times New Roman" w:hAnsi="Times New Roman" w:eastAsia="宋体" w:cs="Times New Roman"/>
      <w:color w:val="FFFFFF"/>
      <w:szCs w:val="24"/>
    </w:rPr>
  </w:style>
  <w:style w:type="paragraph" w:customStyle="1" w:styleId="56">
    <w:name w:val="其他标准标志"/>
    <w:basedOn w:val="1"/>
    <w:qFormat/>
    <w:uiPriority w:val="0"/>
    <w:pPr>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7">
    <w:name w:val="其他实施日期"/>
    <w:basedOn w:val="1"/>
    <w:qFormat/>
    <w:uiPriority w:val="0"/>
    <w:pPr>
      <w:widowControl/>
      <w:jc w:val="right"/>
    </w:pPr>
    <w:rPr>
      <w:rFonts w:ascii="Times New Roman" w:hAnsi="Times New Roman" w:eastAsia="黑体" w:cs="Times New Roman"/>
      <w:kern w:val="0"/>
      <w:sz w:val="28"/>
      <w:szCs w:val="20"/>
    </w:rPr>
  </w:style>
  <w:style w:type="paragraph" w:customStyle="1" w:styleId="58">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9">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6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61">
    <w:name w:val="标题 1 Char"/>
    <w:basedOn w:val="24"/>
    <w:link w:val="3"/>
    <w:qFormat/>
    <w:uiPriority w:val="9"/>
    <w:rPr>
      <w:b/>
      <w:bCs/>
      <w:kern w:val="44"/>
      <w:sz w:val="44"/>
      <w:szCs w:val="44"/>
    </w:rPr>
  </w:style>
  <w:style w:type="character" w:customStyle="1" w:styleId="62">
    <w:name w:val="标题 2 Char"/>
    <w:basedOn w:val="24"/>
    <w:link w:val="4"/>
    <w:qFormat/>
    <w:uiPriority w:val="9"/>
    <w:rPr>
      <w:rFonts w:asciiTheme="majorHAnsi" w:hAnsiTheme="majorHAnsi" w:eastAsiaTheme="majorEastAsia" w:cstheme="majorBidi"/>
      <w:b/>
      <w:bCs/>
      <w:sz w:val="32"/>
      <w:szCs w:val="32"/>
    </w:rPr>
  </w:style>
  <w:style w:type="paragraph" w:customStyle="1" w:styleId="6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批注框文本 Char"/>
    <w:basedOn w:val="24"/>
    <w:link w:val="12"/>
    <w:semiHidden/>
    <w:qFormat/>
    <w:uiPriority w:val="99"/>
    <w:rPr>
      <w:sz w:val="18"/>
      <w:szCs w:val="18"/>
    </w:rPr>
  </w:style>
  <w:style w:type="paragraph" w:styleId="65">
    <w:name w:val="List Paragraph"/>
    <w:basedOn w:val="1"/>
    <w:qFormat/>
    <w:uiPriority w:val="99"/>
    <w:pPr>
      <w:ind w:firstLine="420" w:firstLineChars="200"/>
    </w:pPr>
  </w:style>
  <w:style w:type="character" w:customStyle="1" w:styleId="66">
    <w:name w:val="标题 3 Char"/>
    <w:basedOn w:val="24"/>
    <w:link w:val="5"/>
    <w:qFormat/>
    <w:uiPriority w:val="9"/>
    <w:rPr>
      <w:b/>
      <w:bCs/>
      <w:sz w:val="32"/>
      <w:szCs w:val="32"/>
    </w:rPr>
  </w:style>
  <w:style w:type="character" w:customStyle="1" w:styleId="67">
    <w:name w:val="正文文本 Char"/>
    <w:basedOn w:val="24"/>
    <w:link w:val="2"/>
    <w:qFormat/>
    <w:uiPriority w:val="1"/>
    <w:rPr>
      <w:rFonts w:ascii="宋体" w:hAnsi="宋体" w:eastAsia="宋体"/>
      <w:kern w:val="0"/>
      <w:szCs w:val="21"/>
      <w:lang w:eastAsia="en-US"/>
    </w:rPr>
  </w:style>
  <w:style w:type="paragraph" w:customStyle="1" w:styleId="68">
    <w:name w:val="标准书眉_偶数页"/>
    <w:basedOn w:val="43"/>
    <w:next w:val="1"/>
    <w:qFormat/>
    <w:uiPriority w:val="0"/>
    <w:pPr>
      <w:jc w:val="left"/>
    </w:pPr>
  </w:style>
  <w:style w:type="character" w:customStyle="1" w:styleId="69">
    <w:name w:val="日期 Char"/>
    <w:basedOn w:val="24"/>
    <w:link w:val="11"/>
    <w:semiHidden/>
    <w:qFormat/>
    <w:uiPriority w:val="99"/>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72">
    <w:name w:val="批注文字 Char"/>
    <w:basedOn w:val="24"/>
    <w:link w:val="7"/>
    <w:qFormat/>
    <w:uiPriority w:val="0"/>
  </w:style>
  <w:style w:type="character" w:customStyle="1" w:styleId="73">
    <w:name w:val="批注主题 Char"/>
    <w:basedOn w:val="72"/>
    <w:link w:val="21"/>
    <w:semiHidden/>
    <w:qFormat/>
    <w:uiPriority w:val="99"/>
    <w:rPr>
      <w:b/>
      <w:bCs/>
    </w:rPr>
  </w:style>
  <w:style w:type="paragraph" w:customStyle="1" w:styleId="74">
    <w:name w:val="条2"/>
    <w:basedOn w:val="1"/>
    <w:next w:val="33"/>
    <w:qFormat/>
    <w:uiPriority w:val="0"/>
    <w:pPr>
      <w:spacing w:beforeLines="50" w:afterLines="50"/>
      <w:outlineLvl w:val="1"/>
    </w:pPr>
    <w:rPr>
      <w:rFonts w:ascii="黑体" w:hAnsi="Times New Roman" w:eastAsia="黑体" w:cs="Times New Roman"/>
      <w:kern w:val="21"/>
      <w:szCs w:val="20"/>
    </w:rPr>
  </w:style>
  <w:style w:type="paragraph" w:customStyle="1" w:styleId="7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6">
    <w:name w:val="fontstyle01"/>
    <w:basedOn w:val="24"/>
    <w:qFormat/>
    <w:uiPriority w:val="0"/>
    <w:rPr>
      <w:rFonts w:hint="eastAsia" w:ascii="宋体" w:hAnsi="宋体" w:eastAsia="宋体"/>
      <w:color w:val="000000"/>
      <w:sz w:val="42"/>
      <w:szCs w:val="42"/>
    </w:rPr>
  </w:style>
  <w:style w:type="paragraph" w:customStyle="1" w:styleId="77">
    <w:name w:val="三级条标题"/>
    <w:basedOn w:val="36"/>
    <w:next w:val="1"/>
    <w:qFormat/>
    <w:uiPriority w:val="0"/>
    <w:pPr>
      <w:numPr>
        <w:ilvl w:val="0"/>
        <w:numId w:val="0"/>
      </w:numPr>
      <w:spacing w:beforeLines="50" w:afterLines="50"/>
      <w:outlineLvl w:val="4"/>
    </w:pPr>
  </w:style>
  <w:style w:type="paragraph" w:customStyle="1" w:styleId="78">
    <w:name w:val="四级条标题"/>
    <w:basedOn w:val="77"/>
    <w:next w:val="1"/>
    <w:qFormat/>
    <w:uiPriority w:val="0"/>
    <w:pPr>
      <w:outlineLvl w:val="5"/>
    </w:pPr>
  </w:style>
  <w:style w:type="paragraph" w:customStyle="1" w:styleId="79">
    <w:name w:val="五级条标题"/>
    <w:basedOn w:val="78"/>
    <w:next w:val="1"/>
    <w:qFormat/>
    <w:uiPriority w:val="0"/>
    <w:pPr>
      <w:outlineLvl w:val="6"/>
    </w:pPr>
  </w:style>
  <w:style w:type="paragraph" w:customStyle="1" w:styleId="80">
    <w:name w:val="Table Paragraph"/>
    <w:basedOn w:val="1"/>
    <w:qFormat/>
    <w:uiPriority w:val="1"/>
    <w:pPr>
      <w:spacing w:line="300" w:lineRule="auto"/>
      <w:jc w:val="left"/>
    </w:pPr>
    <w:rPr>
      <w:kern w:val="0"/>
      <w:sz w:val="22"/>
      <w:lang w:eastAsia="en-US"/>
    </w:rPr>
  </w:style>
  <w:style w:type="character" w:customStyle="1" w:styleId="81">
    <w:name w:val="章标题 Char"/>
    <w:link w:val="41"/>
    <w:qFormat/>
    <w:uiPriority w:val="0"/>
    <w:rPr>
      <w:rFonts w:ascii="黑体" w:hAnsi="Times New Roman" w:eastAsia="黑体" w:cs="Times New Roman"/>
      <w:kern w:val="0"/>
      <w:szCs w:val="20"/>
    </w:rPr>
  </w:style>
  <w:style w:type="paragraph" w:customStyle="1" w:styleId="82">
    <w:name w:val="二级无"/>
    <w:basedOn w:val="36"/>
    <w:qFormat/>
    <w:uiPriority w:val="0"/>
    <w:pPr>
      <w:numPr>
        <w:numId w:val="2"/>
      </w:numPr>
    </w:pPr>
    <w:rPr>
      <w:rFonts w:ascii="宋体" w:eastAsia="宋体"/>
    </w:rPr>
  </w:style>
  <w:style w:type="paragraph" w:customStyle="1" w:styleId="8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84">
    <w:name w:val="fontstyle11"/>
    <w:basedOn w:val="24"/>
    <w:qFormat/>
    <w:uiPriority w:val="0"/>
    <w:rPr>
      <w:rFonts w:hint="eastAsia" w:ascii="宋体" w:hAnsi="宋体" w:eastAsia="宋体"/>
      <w:color w:val="000000"/>
      <w:sz w:val="22"/>
      <w:szCs w:val="22"/>
    </w:rPr>
  </w:style>
  <w:style w:type="paragraph" w:customStyle="1" w:styleId="85">
    <w:name w:val="正文表序"/>
    <w:next w:val="1"/>
    <w:qFormat/>
    <w:uiPriority w:val="1"/>
    <w:pPr>
      <w:numPr>
        <w:ilvl w:val="0"/>
        <w:numId w:val="3"/>
      </w:numPr>
      <w:spacing w:before="100" w:beforeLines="100" w:after="100" w:afterLines="100"/>
      <w:jc w:val="center"/>
    </w:pPr>
    <w:rPr>
      <w:rFonts w:ascii="Times New Roman" w:hAnsi="Times New Roman" w:eastAsia="黑体" w:cs="Times New Roman"/>
      <w:kern w:val="2"/>
      <w:sz w:val="21"/>
      <w:szCs w:val="24"/>
      <w:lang w:val="en-US" w:eastAsia="zh-CN" w:bidi="ar-SA"/>
    </w:rPr>
  </w:style>
  <w:style w:type="paragraph" w:customStyle="1" w:styleId="86">
    <w:name w:val="列表段落2"/>
    <w:basedOn w:val="1"/>
    <w:qFormat/>
    <w:uiPriority w:val="99"/>
    <w:pPr>
      <w:ind w:firstLine="420" w:firstLineChars="200"/>
    </w:pPr>
  </w:style>
  <w:style w:type="paragraph" w:customStyle="1" w:styleId="87">
    <w:name w:val="标准文件_附录一级条标题"/>
    <w:next w:val="8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标准文件_附录三级条标题"/>
    <w:next w:val="8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二级条标题"/>
    <w:basedOn w:val="87"/>
    <w:next w:val="88"/>
    <w:qFormat/>
    <w:uiPriority w:val="0"/>
    <w:pPr>
      <w:widowControl/>
      <w:numPr>
        <w:ilvl w:val="2"/>
      </w:numPr>
      <w:wordWrap w:val="0"/>
      <w:overflowPunct w:val="0"/>
      <w:autoSpaceDE w:val="0"/>
      <w:autoSpaceDN w:val="0"/>
      <w:ind w:left="568"/>
      <w:textAlignment w:val="baseline"/>
      <w:outlineLvl w:val="3"/>
    </w:pPr>
  </w:style>
  <w:style w:type="paragraph" w:customStyle="1" w:styleId="91">
    <w:name w:val="标准文件_附录标识"/>
    <w:next w:val="8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2">
    <w:name w:val="标准文件_附录四级条标题"/>
    <w:next w:val="8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参考文献标题"/>
    <w:basedOn w:val="1"/>
    <w:next w:val="1"/>
    <w:qFormat/>
    <w:uiPriority w:val="0"/>
    <w:pPr>
      <w:widowControl/>
      <w:shd w:val="clear" w:color="FFFFFF" w:fill="FFFFFF"/>
      <w:spacing w:beforeLines="40" w:afterLines="50"/>
      <w:jc w:val="center"/>
      <w:outlineLvl w:val="0"/>
    </w:pPr>
    <w:rPr>
      <w:rFonts w:ascii="黑体" w:eastAsia="黑体"/>
      <w:kern w:val="0"/>
    </w:rPr>
  </w:style>
  <w:style w:type="paragraph" w:customStyle="1" w:styleId="94">
    <w:name w:val="WPSOffice手动目录 1"/>
    <w:qFormat/>
    <w:uiPriority w:val="0"/>
    <w:pPr>
      <w:ind w:leftChars="0"/>
    </w:pPr>
    <w:rPr>
      <w:rFonts w:ascii="Times New Roman" w:hAnsi="Times New Roman" w:eastAsia="宋体" w:cs="Times New Roman"/>
      <w:sz w:val="20"/>
      <w:szCs w:val="20"/>
    </w:rPr>
  </w:style>
  <w:style w:type="paragraph" w:customStyle="1" w:styleId="9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qianchen\Library\Containers\com.kingsoft.wpsoffice.mac\Data\C:\Users\qianchen\Library\Containers\com.kingsoft.wpsoffice.mac\Data\C:\Users\qianchen\Library\Containers\com.kingsoft.wpsoffice.mac\Data\C:\Users\qianchen\Library\Containers\com.kingsoft.wpsoffice.mac\Data\C:\Users\LSQ\Desktop\&#12304;&#38468;&#20214;1&#12305;&#12298;&#36136;&#37327;&#20998;&#32423;&#21450;&#8220;&#39046;&#36305;&#32773;&#8221;&#35780;&#20215;&#35201;&#27714;%20&#26426;&#21160;&#36710;&#20799;&#31461;&#20056;&#21592;&#29992;&#32422;&#26463;&#31995;&#32479;&#12299;&#22242;&#20307;&#26631;&#20934;&#25991;&#2641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【附件1】《质量分级及“领跑者”评价要求 机动车儿童乘员用约束系统》团体标准文本.dotm</Template>
  <Company>cnis</Company>
  <Pages>7</Pages>
  <Words>2030</Words>
  <Characters>2555</Characters>
  <Lines>90</Lines>
  <Paragraphs>25</Paragraphs>
  <TotalTime>0</TotalTime>
  <ScaleCrop>false</ScaleCrop>
  <LinksUpToDate>false</LinksUpToDate>
  <CharactersWithSpaces>2713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2023-09-15T11:04:00Z</dcterms:created>
  <dc:creator>QianChen</dc:creator>
  <cp:lastModifiedBy>拉离梦境</cp:lastModifiedBy>
  <cp:lastPrinted>2023-06-02T13:54:00Z</cp:lastPrinted>
  <dcterms:modified xsi:type="dcterms:W3CDTF">2024-08-06T00:34:51Z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DEE38C273156F4CD727126652AA84185_43</vt:lpwstr>
  </property>
</Properties>
</file>