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73.060.01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framePr w:wrap="notBeside" w:vAnchor="page" w:hAnchor="page" w:x="1372" w:y="568"/>
                    <w:rPr>
                      <w:rFonts w:ascii="Times New Roman" w:hAnsi="Times New Roman"/>
                    </w:rPr>
                  </w:pPr>
                  <w:r>
                    <w:t xml:space="preserve">                                                             </w:t>
                  </w:r>
                  <w:r>
                    <w:rPr>
                      <w:rFonts w:cs="Calibri"/>
                      <w:b/>
                      <w:sz w:val="52"/>
                      <w:szCs w:val="52"/>
                    </w:rPr>
                    <w:t>T/HNNMIA</w:t>
                  </w:r>
                </w:p>
                <w:p>
                  <w:pPr>
                    <w:pStyle w:val="49"/>
                    <w:framePr w:wrap="notBeside" w:vAnchor="page" w:hAnchor="page" w:x="1372" w:y="568"/>
                    <w:ind w:left="420" w:right="624"/>
                    <w:rPr>
                      <w:rFonts w:hint="eastAsia"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B0922</w:t>
            </w:r>
            <w:r>
              <w:rPr>
                <w:rFonts w:ascii="黑体" w:hAnsi="黑体" w:eastAsia="黑体"/>
                <w:sz w:val="21"/>
                <w:szCs w:val="21"/>
              </w:rPr>
              <w:fldChar w:fldCharType="end"/>
            </w:r>
            <w:bookmarkEnd w:id="1"/>
          </w:p>
        </w:tc>
      </w:tr>
    </w:tbl>
    <w:p>
      <w:pPr>
        <w:pStyle w:val="50"/>
        <w:framePr w:w="9723" w:h="1201" w:hRule="exact" w:hSpace="181" w:vSpace="181" w:wrap="around" w:hAnchor="page" w:x="1210" w:y="2151"/>
        <w:rPr>
          <w:rFonts w:hint="eastAsia"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rPr>
          <w:rFonts w:hint="eastAsia"/>
        </w:rPr>
        <w:t>银矿石</w:t>
      </w:r>
    </w:p>
    <w:p>
      <w:pPr>
        <w:pStyle w:val="197"/>
        <w:framePr w:h="6974" w:hRule="exact" w:wrap="around" w:x="1419" w:anchorLock="1"/>
        <w:rPr>
          <w:rFonts w:hint="eastAsia"/>
        </w:rPr>
      </w:pPr>
      <w:r>
        <w:rPr>
          <w:rFonts w:hint="eastAsia"/>
        </w:rPr>
        <w:t>银</w:t>
      </w:r>
      <w:r>
        <w:t>含量的测定</w:t>
      </w:r>
    </w:p>
    <w:p>
      <w:pPr>
        <w:pStyle w:val="197"/>
        <w:framePr w:h="6974" w:hRule="exact" w:wrap="around" w:x="1419" w:anchorLock="1"/>
        <w:rPr>
          <w:rFonts w:hint="eastAsia"/>
        </w:rPr>
      </w:pPr>
      <w:r>
        <w:rPr>
          <w:rFonts w:hint="eastAsia"/>
        </w:rPr>
        <w:t>王水介质火焰原子吸收光谱法</w:t>
      </w:r>
      <w:r>
        <w:fldChar w:fldCharType="end"/>
      </w:r>
      <w:bookmarkEnd w:id="3"/>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4" w:name="ESTD_NAME"/>
      <w:r>
        <w:rPr>
          <w:rFonts w:eastAsia="黑体"/>
          <w:szCs w:val="28"/>
        </w:rPr>
        <w:instrText xml:space="preserve"> FORMTEXT </w:instrText>
      </w:r>
      <w:r>
        <w:rPr>
          <w:rFonts w:eastAsia="黑体"/>
          <w:szCs w:val="28"/>
        </w:rPr>
        <w:fldChar w:fldCharType="separate"/>
      </w:r>
      <w:r>
        <w:rPr>
          <w:rFonts w:hint="eastAsia" w:eastAsia="黑体"/>
          <w:szCs w:val="28"/>
        </w:rPr>
        <w:t>Silver ore</w:t>
      </w:r>
      <w:r>
        <w:rPr>
          <w:rFonts w:eastAsia="黑体"/>
          <w:szCs w:val="28"/>
        </w:rPr>
        <w:t>—</w:t>
      </w:r>
    </w:p>
    <w:p>
      <w:pPr>
        <w:pStyle w:val="125"/>
        <w:framePr w:w="9639" w:h="6974" w:hRule="exact" w:wrap="around" w:vAnchor="page" w:hAnchor="page" w:x="1419" w:y="6408" w:anchorLock="1"/>
        <w:textAlignment w:val="bottom"/>
        <w:rPr>
          <w:rFonts w:eastAsia="黑体"/>
          <w:szCs w:val="28"/>
        </w:rPr>
      </w:pPr>
      <w:r>
        <w:rPr>
          <w:rFonts w:eastAsia="黑体"/>
          <w:szCs w:val="28"/>
        </w:rPr>
        <w:t xml:space="preserve">Determination of </w:t>
      </w:r>
      <w:r>
        <w:rPr>
          <w:rFonts w:hint="eastAsia" w:eastAsia="黑体"/>
          <w:szCs w:val="28"/>
        </w:rPr>
        <w:t>silver content</w:t>
      </w:r>
      <w:r>
        <w:rPr>
          <w:rFonts w:eastAsia="黑体"/>
          <w:szCs w:val="28"/>
        </w:rPr>
        <w:t>—</w:t>
      </w:r>
    </w:p>
    <w:p>
      <w:pPr>
        <w:pStyle w:val="125"/>
        <w:framePr w:w="9639" w:h="6974" w:hRule="exact" w:wrap="around" w:vAnchor="page" w:hAnchor="page" w:x="1419" w:y="6408" w:anchorLock="1"/>
        <w:textAlignment w:val="bottom"/>
        <w:rPr>
          <w:rFonts w:eastAsia="黑体"/>
          <w:szCs w:val="28"/>
        </w:rPr>
      </w:pPr>
      <w:r>
        <w:rPr>
          <w:rFonts w:hint="eastAsia" w:eastAsia="黑体"/>
          <w:szCs w:val="28"/>
        </w:rPr>
        <w:t>Aqua regia medium flame atomic absorption spectrometry</w:t>
      </w:r>
      <w:r>
        <w:rPr>
          <w:rFonts w:eastAsia="黑体"/>
          <w:szCs w:val="28"/>
        </w:rPr>
        <w:fldChar w:fldCharType="end"/>
      </w:r>
      <w:bookmarkEnd w:id="4"/>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fldChar w:fldCharType="separate"/>
      </w:r>
      <w:r>
        <w:rPr>
          <w:sz w:val="24"/>
          <w:szCs w:val="28"/>
        </w:rPr>
        <w:fldChar w:fldCharType="end"/>
      </w:r>
      <w:bookmarkEnd w:id="5"/>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6"/>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fldChar w:fldCharType="separate"/>
      </w:r>
      <w:r>
        <w:rPr>
          <w:b/>
          <w:sz w:val="21"/>
          <w:szCs w:val="28"/>
        </w:rPr>
        <w:fldChar w:fldCharType="end"/>
      </w:r>
      <w:bookmarkEnd w:id="7"/>
    </w:p>
    <w:p>
      <w:pPr>
        <w:pStyle w:val="193"/>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Ansi="黑体"/>
          <w:w w:val="100"/>
          <w:sz w:val="28"/>
        </w:rPr>
        <w:t>河</w:t>
      </w:r>
      <w:r>
        <w:rPr>
          <w:rFonts w:hint="eastAsia" w:hAnsi="黑体"/>
          <w:w w:val="100"/>
          <w:sz w:val="28"/>
        </w:rPr>
        <w:t>南省有色金属行业协会</w:t>
      </w:r>
      <w:r>
        <w:rPr>
          <w:rFonts w:hAnsi="黑体"/>
          <w:w w:val="100"/>
          <w:sz w:val="28"/>
        </w:rPr>
        <w:fldChar w:fldCharType="end"/>
      </w:r>
      <w:bookmarkEnd w:id="14"/>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pStyle w:val="195"/>
        <w:framePr w:w="9253" w:h="411" w:hRule="exact" w:x="1760" w:y="3711"/>
      </w:pPr>
      <w:r>
        <w:t>T/</w:t>
      </w:r>
      <w:r>
        <w:fldChar w:fldCharType="begin">
          <w:ffData>
            <w:name w:val="文字1"/>
            <w:enabled/>
            <w:calcOnExit w:val="0"/>
            <w:textInput>
              <w:default w:val="XXX"/>
            </w:textInput>
          </w:ffData>
        </w:fldChar>
      </w:r>
      <w:bookmarkStart w:id="15" w:name="文字1"/>
      <w:r>
        <w:instrText xml:space="preserve"> FORMTEXT </w:instrText>
      </w:r>
      <w:r>
        <w:fldChar w:fldCharType="separate"/>
      </w:r>
      <w:r>
        <w:t>HNNMIA</w:t>
      </w:r>
      <w:r>
        <w:fldChar w:fldCharType="end"/>
      </w:r>
      <w:bookmarkEnd w:id="15"/>
      <w:r>
        <w:t xml:space="preserve"> </w:t>
      </w:r>
      <w:r>
        <w:fldChar w:fldCharType="begin">
          <w:ffData>
            <w:name w:val="NSTD_CODE_F"/>
            <w:enabled/>
            <w:calcOnExit w:val="0"/>
            <w:textInput>
              <w:default w:val="XXXX"/>
            </w:textInput>
          </w:ffData>
        </w:fldChar>
      </w:r>
      <w:bookmarkStart w:id="16" w:name="NSTD_CODE_F"/>
      <w:r>
        <w:instrText xml:space="preserve"> FORMTEXT </w:instrText>
      </w:r>
      <w:r>
        <w:fldChar w:fldCharType="separate"/>
      </w:r>
      <w:r>
        <w:t>XXXX</w:t>
      </w:r>
      <w:r>
        <w:fldChar w:fldCharType="end"/>
      </w:r>
      <w:bookmarkEnd w:id="16"/>
      <w:r>
        <w:rPr>
          <w:rFonts w:hAnsi="黑体"/>
        </w:rPr>
        <w:t>—</w:t>
      </w:r>
      <w:r>
        <w:fldChar w:fldCharType="begin">
          <w:ffData>
            <w:name w:val="NSTD_CODE_B"/>
            <w:enabled/>
            <w:calcOnExit w:val="0"/>
            <w:textInput>
              <w:default w:val="XXXX"/>
            </w:textInput>
          </w:ffData>
        </w:fldChar>
      </w:r>
      <w:bookmarkStart w:id="17" w:name="NSTD_CODE_B"/>
      <w:r>
        <w:instrText xml:space="preserve"> FORMTEXT </w:instrText>
      </w:r>
      <w:r>
        <w:fldChar w:fldCharType="separate"/>
      </w:r>
      <w:r>
        <w:t>202</w:t>
      </w:r>
      <w:r>
        <w:rPr>
          <w:rFonts w:hint="eastAsia"/>
        </w:rPr>
        <w:t>4</w:t>
      </w:r>
      <w:r>
        <w:fldChar w:fldCharType="end"/>
      </w:r>
      <w:bookmarkEnd w:id="17"/>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18" w:name="BookMark2"/>
      <w:r>
        <w:rPr>
          <w:spacing w:val="320"/>
        </w:rPr>
        <w:t>前</w:t>
      </w:r>
      <w:r>
        <w:t>言</w:t>
      </w:r>
    </w:p>
    <w:p>
      <w:pPr>
        <w:widowControl/>
        <w:kinsoku w:val="0"/>
        <w:autoSpaceDE w:val="0"/>
        <w:autoSpaceDN w:val="0"/>
        <w:snapToGrid w:val="0"/>
        <w:spacing w:before="65" w:line="239" w:lineRule="auto"/>
        <w:ind w:right="3" w:firstLine="420"/>
        <w:jc w:val="left"/>
        <w:textAlignment w:val="baseline"/>
        <w:rPr>
          <w:rFonts w:hint="eastAsia" w:ascii="宋体" w:hAnsi="宋体" w:cs="宋体"/>
          <w:snapToGrid w:val="0"/>
          <w:color w:val="000000"/>
          <w:kern w:val="0"/>
          <w:lang w:eastAsia="en-US"/>
        </w:rPr>
      </w:pPr>
      <w:r>
        <w:rPr>
          <w:rFonts w:ascii="宋体" w:hAnsi="宋体" w:cs="宋体"/>
          <w:snapToGrid w:val="0"/>
          <w:color w:val="000000"/>
          <w:spacing w:val="9"/>
          <w:kern w:val="0"/>
          <w:lang w:eastAsia="en-US"/>
        </w:rPr>
        <w:t>本文件按照</w:t>
      </w:r>
      <w:r>
        <w:rPr>
          <w:rFonts w:ascii="宋体" w:hAnsi="宋体" w:cs="宋体"/>
          <w:snapToGrid w:val="0"/>
          <w:color w:val="000000"/>
          <w:kern w:val="0"/>
          <w:lang w:eastAsia="en-US"/>
        </w:rPr>
        <w:t>GB</w:t>
      </w:r>
      <w:r>
        <w:rPr>
          <w:rFonts w:ascii="宋体" w:hAnsi="宋体" w:cs="宋体"/>
          <w:snapToGrid w:val="0"/>
          <w:color w:val="000000"/>
          <w:spacing w:val="9"/>
          <w:kern w:val="0"/>
          <w:lang w:eastAsia="en-US"/>
        </w:rPr>
        <w:t>/T 1.1—2020《标准化工作导则</w:t>
      </w:r>
      <w:r>
        <w:rPr>
          <w:rFonts w:hint="eastAsia" w:ascii="宋体" w:hAnsi="宋体" w:cs="宋体"/>
          <w:snapToGrid w:val="0"/>
          <w:color w:val="000000"/>
          <w:spacing w:val="9"/>
          <w:kern w:val="0"/>
        </w:rPr>
        <w:t xml:space="preserve">  </w:t>
      </w:r>
      <w:r>
        <w:rPr>
          <w:rFonts w:ascii="宋体" w:hAnsi="宋体" w:cs="宋体"/>
          <w:snapToGrid w:val="0"/>
          <w:color w:val="000000"/>
          <w:spacing w:val="9"/>
          <w:kern w:val="0"/>
          <w:lang w:eastAsia="en-US"/>
        </w:rPr>
        <w:t>第1部分：标准化文件</w:t>
      </w:r>
      <w:r>
        <w:rPr>
          <w:rFonts w:ascii="宋体" w:hAnsi="宋体" w:cs="宋体"/>
          <w:snapToGrid w:val="0"/>
          <w:color w:val="000000"/>
          <w:spacing w:val="8"/>
          <w:kern w:val="0"/>
          <w:lang w:eastAsia="en-US"/>
        </w:rPr>
        <w:t>的结构和起草规则》的规定</w:t>
      </w:r>
      <w:r>
        <w:rPr>
          <w:rFonts w:ascii="宋体" w:hAnsi="宋体" w:cs="宋体"/>
          <w:snapToGrid w:val="0"/>
          <w:color w:val="000000"/>
          <w:spacing w:val="2"/>
          <w:kern w:val="0"/>
          <w:lang w:eastAsia="en-US"/>
        </w:rPr>
        <w:t>起草。</w:t>
      </w:r>
    </w:p>
    <w:p>
      <w:pPr>
        <w:pStyle w:val="230"/>
        <w:autoSpaceDE/>
        <w:autoSpaceDN/>
        <w:rPr>
          <w:rFonts w:ascii="Times New Roman"/>
          <w:szCs w:val="21"/>
        </w:rPr>
      </w:pPr>
      <w:r>
        <w:rPr>
          <w:rFonts w:ascii="Times New Roman"/>
          <w:szCs w:val="21"/>
        </w:rPr>
        <w:t>请注意本文件的某些内容可能涉及专利。本文件的发布机构不承担识别专利的责任。</w:t>
      </w:r>
    </w:p>
    <w:p>
      <w:pPr>
        <w:pStyle w:val="230"/>
        <w:rPr>
          <w:rFonts w:ascii="Times New Roman"/>
          <w:szCs w:val="21"/>
        </w:rPr>
      </w:pPr>
      <w:r>
        <w:rPr>
          <w:rFonts w:ascii="Times New Roman"/>
          <w:szCs w:val="21"/>
        </w:rPr>
        <w:t>本文件由河南省核技术应用中心提出</w:t>
      </w:r>
      <w:r>
        <w:rPr>
          <w:rFonts w:ascii="Times New Roman"/>
          <w:color w:val="000000"/>
          <w:szCs w:val="21"/>
        </w:rPr>
        <w:t>。</w:t>
      </w:r>
    </w:p>
    <w:p>
      <w:pPr>
        <w:pStyle w:val="230"/>
        <w:rPr>
          <w:rFonts w:ascii="Times New Roman"/>
          <w:szCs w:val="21"/>
        </w:rPr>
      </w:pPr>
      <w:r>
        <w:rPr>
          <w:rFonts w:ascii="Times New Roman"/>
          <w:szCs w:val="21"/>
        </w:rPr>
        <w:t>本文件由河南省有色金属行业协会归口。</w:t>
      </w:r>
    </w:p>
    <w:p>
      <w:pPr>
        <w:pStyle w:val="230"/>
        <w:rPr>
          <w:rFonts w:ascii="Times New Roman"/>
          <w:szCs w:val="21"/>
        </w:rPr>
      </w:pPr>
      <w:r>
        <w:rPr>
          <w:rFonts w:ascii="Times New Roman"/>
          <w:szCs w:val="21"/>
        </w:rPr>
        <w:t>本文件起草单位：</w:t>
      </w:r>
      <w:bookmarkStart w:id="19" w:name="_Hlk172833352"/>
      <w:r>
        <w:rPr>
          <w:rFonts w:ascii="Times New Roman"/>
          <w:szCs w:val="21"/>
        </w:rPr>
        <w:t>河南省核技术应用中心、河南省地质研究院、河南省第一地质大队有限公司、河南省第二地质大队有限公司、河南省第三地质大队有限公司、河南省第六地质大队有限公司、河南省国土空间调查规划院、河南省第一地质矿产调查院有限公司、河南省地质局地质灾害防治中心</w:t>
      </w:r>
      <w:bookmarkEnd w:id="19"/>
      <w:r>
        <w:rPr>
          <w:rFonts w:ascii="Times New Roman"/>
          <w:szCs w:val="21"/>
        </w:rPr>
        <w:t>。</w:t>
      </w:r>
    </w:p>
    <w:p>
      <w:pPr>
        <w:pStyle w:val="56"/>
        <w:ind w:firstLine="420"/>
        <w:rPr>
          <w:rFonts w:ascii="Times New Roman"/>
          <w:szCs w:val="21"/>
        </w:rPr>
      </w:pPr>
      <w:r>
        <w:rPr>
          <w:szCs w:val="21"/>
        </w:rPr>
        <w:t>本文件主要起草人：</w:t>
      </w:r>
      <w:r>
        <w:rPr>
          <w:rFonts w:ascii="Times New Roman"/>
          <w:szCs w:val="21"/>
        </w:rPr>
        <w:t>金艳妮、王书勤、邓太秀、袁广胜、孙延龙、祝也丽、肖剑、张宏伟、何新航</w:t>
      </w:r>
      <w:r>
        <w:rPr>
          <w:rFonts w:hint="eastAsia" w:ascii="Times New Roman"/>
          <w:szCs w:val="21"/>
        </w:rPr>
        <w:t>、</w:t>
      </w:r>
      <w:r>
        <w:rPr>
          <w:rFonts w:ascii="Times New Roman"/>
          <w:szCs w:val="21"/>
        </w:rPr>
        <w:t>梁倩、陈俊魁。</w:t>
      </w: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18"/>
    <w:p>
      <w:pPr>
        <w:spacing w:line="20" w:lineRule="exact"/>
        <w:jc w:val="center"/>
        <w:rPr>
          <w:rFonts w:hint="eastAsia" w:ascii="黑体" w:hAnsi="黑体" w:eastAsia="黑体"/>
          <w:sz w:val="32"/>
          <w:szCs w:val="32"/>
        </w:rPr>
      </w:pPr>
      <w:bookmarkStart w:id="20"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7FE4940183384A9385538D8DB0AA5D5B"/>
        </w:placeholder>
      </w:sdtPr>
      <w:sdtContent>
        <w:p>
          <w:pPr>
            <w:pStyle w:val="177"/>
            <w:spacing w:before="2" w:beforeLines="1" w:after="2" w:afterLines="1"/>
            <w:rPr>
              <w:rFonts w:hint="eastAsia"/>
            </w:rPr>
          </w:pPr>
          <w:bookmarkStart w:id="21" w:name="NEW_STAND_NAME"/>
          <w:r>
            <w:rPr>
              <w:rFonts w:hint="eastAsia"/>
            </w:rPr>
            <w:t>银矿石</w:t>
          </w:r>
        </w:p>
        <w:p>
          <w:pPr>
            <w:pStyle w:val="177"/>
            <w:spacing w:before="2" w:beforeLines="1" w:after="2" w:afterLines="1"/>
            <w:rPr>
              <w:rFonts w:hint="eastAsia"/>
            </w:rPr>
          </w:pPr>
          <w:r>
            <w:rPr>
              <w:rFonts w:hint="eastAsia"/>
            </w:rPr>
            <w:t>银含量的测定</w:t>
          </w:r>
        </w:p>
        <w:p>
          <w:pPr>
            <w:pStyle w:val="177"/>
            <w:spacing w:before="2" w:beforeLines="1" w:after="680"/>
            <w:rPr>
              <w:rFonts w:hint="eastAsia"/>
            </w:rPr>
          </w:pPr>
          <w:r>
            <w:rPr>
              <w:rFonts w:hint="eastAsia"/>
            </w:rPr>
            <w:t>王水介质火焰原子吸收光谱法</w:t>
          </w:r>
        </w:p>
      </w:sdtContent>
    </w:sdt>
    <w:bookmarkEnd w:id="21"/>
    <w:p>
      <w:pPr>
        <w:pStyle w:val="104"/>
        <w:spacing w:before="240" w:after="240"/>
      </w:pPr>
      <w:bookmarkStart w:id="22" w:name="_Toc17233325"/>
      <w:bookmarkStart w:id="23" w:name="_Toc24884218"/>
      <w:bookmarkStart w:id="24" w:name="_Toc26718930"/>
      <w:bookmarkStart w:id="25" w:name="_Toc24884211"/>
      <w:bookmarkStart w:id="26" w:name="_Toc26986530"/>
      <w:bookmarkStart w:id="27" w:name="_Toc17233333"/>
      <w:bookmarkStart w:id="28" w:name="_Toc26986771"/>
      <w:bookmarkStart w:id="29" w:name="_Toc26648465"/>
      <w:r>
        <w:rPr>
          <w:rFonts w:hint="eastAsia"/>
        </w:rPr>
        <w:t>范围</w:t>
      </w:r>
      <w:bookmarkEnd w:id="22"/>
      <w:bookmarkEnd w:id="23"/>
      <w:bookmarkEnd w:id="24"/>
      <w:bookmarkEnd w:id="25"/>
      <w:bookmarkEnd w:id="26"/>
      <w:bookmarkEnd w:id="27"/>
      <w:bookmarkEnd w:id="28"/>
      <w:bookmarkEnd w:id="29"/>
    </w:p>
    <w:p>
      <w:pPr>
        <w:widowControl/>
        <w:snapToGrid w:val="0"/>
        <w:spacing w:line="240" w:lineRule="auto"/>
        <w:ind w:firstLine="315" w:firstLineChars="150"/>
        <w:jc w:val="left"/>
        <w:rPr>
          <w:rFonts w:hint="eastAsia" w:ascii="宋体" w:hAnsi="宋体" w:cs="宋体"/>
        </w:rPr>
      </w:pPr>
      <w:bookmarkStart w:id="30" w:name="_Toc17233334"/>
      <w:bookmarkStart w:id="31" w:name="_Toc26648466"/>
      <w:bookmarkStart w:id="32" w:name="_Toc26986772"/>
      <w:bookmarkStart w:id="33" w:name="_Toc24884212"/>
      <w:bookmarkStart w:id="34" w:name="_Toc17233326"/>
      <w:bookmarkStart w:id="35" w:name="_Toc26718931"/>
      <w:bookmarkStart w:id="36" w:name="_Toc24884219"/>
      <w:bookmarkStart w:id="37" w:name="_Toc26986531"/>
      <w:r>
        <w:rPr>
          <w:rFonts w:hint="eastAsia" w:ascii="宋体" w:hAnsi="宋体" w:cs="宋体"/>
        </w:rPr>
        <w:t>本文件描述了王水介质火焰原子吸收光谱法测定银矿石中银含量的方法。</w:t>
      </w:r>
    </w:p>
    <w:p>
      <w:pPr>
        <w:widowControl/>
        <w:snapToGrid w:val="0"/>
        <w:spacing w:line="240" w:lineRule="auto"/>
        <w:ind w:firstLine="315" w:firstLineChars="150"/>
        <w:jc w:val="left"/>
        <w:rPr>
          <w:rFonts w:ascii="宋体" w:hAnsi="宋体" w:cs="宋体"/>
        </w:rPr>
      </w:pPr>
      <w:r>
        <w:rPr>
          <w:rFonts w:hint="eastAsia" w:ascii="宋体" w:hAnsi="宋体" w:cs="宋体"/>
        </w:rPr>
        <w:t>本文件适用于银矿石样品中银含量的测定。测定范围</w:t>
      </w:r>
      <w:bookmarkStart w:id="38" w:name="_Hlk172831574"/>
      <w:r>
        <w:rPr>
          <w:rFonts w:hint="eastAsia" w:ascii="宋体" w:hAnsi="宋体" w:cs="宋体"/>
        </w:rPr>
        <w:t xml:space="preserve"> Ag</w:t>
      </w:r>
      <w:bookmarkEnd w:id="38"/>
      <w:r>
        <w:rPr>
          <w:rFonts w:hint="eastAsia" w:ascii="宋体" w:hAnsi="宋体" w:cs="宋体"/>
        </w:rPr>
        <w:t>（质量分数）：5.00 g/t ～ 2500 g/t</w:t>
      </w:r>
      <w:bookmarkStart w:id="39" w:name="_Hlk154427568"/>
      <w:r>
        <w:rPr>
          <w:rFonts w:hint="eastAsia" w:ascii="宋体" w:hAnsi="宋体" w:cs="宋体"/>
        </w:rPr>
        <w:t>；方法检出限Ag：1.25 g/t。</w:t>
      </w:r>
    </w:p>
    <w:bookmarkEnd w:id="39"/>
    <w:p>
      <w:pPr>
        <w:pStyle w:val="104"/>
        <w:spacing w:before="240" w:after="240"/>
      </w:pPr>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B1F901AE30B342618829D0B44B7DB64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rPr>
          <w:rFonts w:hint="eastAsia" w:hAnsi="宋体" w:cs="宋体"/>
          <w:szCs w:val="21"/>
        </w:rPr>
      </w:pPr>
      <w:r>
        <w:rPr>
          <w:rFonts w:hint="eastAsia" w:hAnsi="宋体" w:cs="宋体"/>
          <w:szCs w:val="21"/>
        </w:rPr>
        <w:t>GB/T 6379.2 测量方法与结果的准确度（正确度与精密度） 第2部分：确定标准测量方法重复性与再现性的基本方法</w:t>
      </w:r>
    </w:p>
    <w:p>
      <w:pPr>
        <w:pStyle w:val="230"/>
        <w:rPr>
          <w:rFonts w:hint="eastAsia" w:hAnsi="宋体" w:cs="宋体"/>
          <w:szCs w:val="21"/>
        </w:rPr>
      </w:pPr>
      <w:r>
        <w:rPr>
          <w:rFonts w:hint="eastAsia" w:hAnsi="宋体" w:cs="宋体"/>
          <w:szCs w:val="21"/>
        </w:rPr>
        <w:t>GB/T 6682  分析实验室用水规格和试验方法</w:t>
      </w:r>
    </w:p>
    <w:p>
      <w:pPr>
        <w:pStyle w:val="56"/>
        <w:ind w:firstLine="420"/>
        <w:rPr>
          <w:rFonts w:hint="eastAsia" w:hAnsi="宋体" w:eastAsia="宋体" w:cs="宋体"/>
          <w:szCs w:val="21"/>
          <w:lang w:eastAsia="zh-CN"/>
        </w:rPr>
      </w:pPr>
      <w:r>
        <w:rPr>
          <w:rFonts w:hint="eastAsia" w:hAnsi="宋体" w:cs="宋体"/>
          <w:szCs w:val="21"/>
        </w:rPr>
        <w:t>GB/T 14505  岩石和矿石化学分析方法  总则及一般规定</w:t>
      </w:r>
    </w:p>
    <w:p>
      <w:pPr>
        <w:pStyle w:val="104"/>
        <w:spacing w:before="240" w:after="240"/>
      </w:pPr>
      <w:r>
        <w:rPr>
          <w:rFonts w:hint="eastAsia"/>
          <w:szCs w:val="21"/>
        </w:rPr>
        <w:t>术语和定义</w:t>
      </w:r>
    </w:p>
    <w:sdt>
      <w:sdtPr>
        <w:id w:val="-1909835108"/>
        <w:placeholder>
          <w:docPart w:val="33AB043F6F8942918D02EEF6D33DBA7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0" w:name="_Toc26986532"/>
          <w:bookmarkEnd w:id="40"/>
          <w:r>
            <w:t>本文件没有需要界定的术语和定义。</w:t>
          </w:r>
        </w:p>
      </w:sdtContent>
    </w:sdt>
    <w:p>
      <w:pPr>
        <w:pStyle w:val="104"/>
        <w:spacing w:before="240" w:after="240"/>
      </w:pPr>
      <w:r>
        <w:rPr>
          <w:rFonts w:hint="eastAsia"/>
        </w:rPr>
        <w:t>原理</w:t>
      </w:r>
    </w:p>
    <w:p>
      <w:pPr>
        <w:pStyle w:val="56"/>
        <w:ind w:firstLine="420"/>
      </w:pPr>
      <w:r>
        <w:rPr>
          <w:color w:val="000000"/>
          <w:szCs w:val="21"/>
        </w:rPr>
        <w:t>试样经盐酸和硝酸溶解后，在20%王水溶液介质中，用空气-乙炔火焰原子吸收分光光谱法测定银的吸光度，计算其银含量。</w:t>
      </w:r>
    </w:p>
    <w:p>
      <w:pPr>
        <w:pStyle w:val="104"/>
        <w:spacing w:before="240" w:after="240"/>
      </w:pPr>
      <w:r>
        <w:rPr>
          <w:rFonts w:hint="eastAsia"/>
        </w:rPr>
        <w:t>试剂和材料</w:t>
      </w:r>
    </w:p>
    <w:p>
      <w:pPr>
        <w:pStyle w:val="56"/>
        <w:ind w:firstLine="420"/>
        <w:rPr>
          <w:rFonts w:hint="eastAsia" w:hAnsi="宋体" w:cs="宋体"/>
          <w:szCs w:val="21"/>
        </w:rPr>
      </w:pPr>
      <w:r>
        <w:rPr>
          <w:rFonts w:hint="eastAsia" w:hAnsi="宋体" w:cs="宋体"/>
          <w:color w:val="000000"/>
          <w:kern w:val="2"/>
          <w:szCs w:val="21"/>
        </w:rPr>
        <w:t>除非另有说明，在分析中仅使用确认为分析纯的试剂和符合GB/T 6682规定的二级水。</w:t>
      </w:r>
    </w:p>
    <w:p>
      <w:pPr>
        <w:pStyle w:val="162"/>
        <w:rPr>
          <w:rFonts w:hint="eastAsia" w:hAnsi="宋体" w:cs="宋体"/>
          <w:szCs w:val="21"/>
        </w:rPr>
      </w:pPr>
      <w:r>
        <w:rPr>
          <w:rFonts w:hint="eastAsia" w:hAnsi="宋体" w:cs="宋体"/>
          <w:szCs w:val="21"/>
        </w:rPr>
        <w:t>盐酸（ρ=1.19 g/mL）。</w:t>
      </w:r>
    </w:p>
    <w:p>
      <w:pPr>
        <w:pStyle w:val="162"/>
        <w:rPr>
          <w:rFonts w:hint="eastAsia" w:hAnsi="宋体" w:cs="宋体"/>
          <w:szCs w:val="21"/>
        </w:rPr>
      </w:pPr>
      <w:r>
        <w:rPr>
          <w:rFonts w:hint="eastAsia" w:hAnsi="宋体" w:cs="宋体"/>
          <w:szCs w:val="21"/>
        </w:rPr>
        <w:t>硝酸（ρ=1.42 g/mL）。</w:t>
      </w:r>
    </w:p>
    <w:p>
      <w:pPr>
        <w:pStyle w:val="162"/>
        <w:rPr>
          <w:rFonts w:hint="eastAsia" w:hAnsi="宋体" w:cs="宋体"/>
          <w:szCs w:val="21"/>
        </w:rPr>
      </w:pPr>
      <w:bookmarkStart w:id="41" w:name="_Hlk154474432"/>
      <w:r>
        <w:rPr>
          <w:rFonts w:hint="eastAsia" w:hAnsi="宋体" w:cs="宋体"/>
          <w:szCs w:val="21"/>
        </w:rPr>
        <w:t>王水</w:t>
      </w:r>
      <w:bookmarkEnd w:id="41"/>
      <w:r>
        <w:rPr>
          <w:rFonts w:hint="eastAsia" w:hAnsi="宋体" w:cs="宋体"/>
          <w:szCs w:val="21"/>
        </w:rPr>
        <w:t>溶液：取4份盐酸（5.1）与1份硝酸（5.2）混合。</w:t>
      </w:r>
    </w:p>
    <w:p>
      <w:pPr>
        <w:pStyle w:val="162"/>
        <w:rPr>
          <w:rFonts w:hint="eastAsia" w:hAnsi="宋体" w:cs="宋体"/>
          <w:szCs w:val="21"/>
        </w:rPr>
      </w:pPr>
      <w:r>
        <w:rPr>
          <w:rFonts w:hint="eastAsia" w:hAnsi="宋体" w:cs="宋体"/>
          <w:szCs w:val="21"/>
        </w:rPr>
        <w:t>银标准储备溶液（1 mg/mL）：</w:t>
      </w:r>
    </w:p>
    <w:p>
      <w:pPr>
        <w:pStyle w:val="162"/>
        <w:numPr>
          <w:ilvl w:val="2"/>
          <w:numId w:val="0"/>
        </w:numPr>
        <w:rPr>
          <w:rFonts w:hint="eastAsia" w:hAnsi="宋体" w:cs="宋体"/>
          <w:szCs w:val="21"/>
        </w:rPr>
      </w:pPr>
      <w:r>
        <w:rPr>
          <w:rFonts w:hint="eastAsia" w:hAnsi="宋体" w:cs="宋体"/>
          <w:szCs w:val="21"/>
        </w:rPr>
        <w:t>建议使用有证书的标准物质溶液或实验室自备标准溶液。</w:t>
      </w:r>
    </w:p>
    <w:p>
      <w:pPr>
        <w:pStyle w:val="162"/>
        <w:rPr>
          <w:rFonts w:hint="eastAsia" w:hAnsi="宋体" w:cs="宋体"/>
          <w:szCs w:val="21"/>
        </w:rPr>
      </w:pPr>
      <w:r>
        <w:rPr>
          <w:rFonts w:hint="eastAsia" w:hAnsi="宋体" w:cs="宋体"/>
          <w:szCs w:val="21"/>
        </w:rPr>
        <w:t xml:space="preserve">银标准工作溶液（50 </w:t>
      </w:r>
      <w:r>
        <w:rPr>
          <w:rFonts w:hint="eastAsia" w:hAnsi="宋体" w:cs="宋体"/>
          <w:szCs w:val="21"/>
        </w:rPr>
        <w:sym w:font="Symbol" w:char="006D"/>
      </w:r>
      <w:r>
        <w:rPr>
          <w:rFonts w:hint="eastAsia" w:hAnsi="宋体" w:cs="宋体"/>
          <w:szCs w:val="21"/>
        </w:rPr>
        <w:t>g/mL）：</w:t>
      </w:r>
    </w:p>
    <w:p>
      <w:pPr>
        <w:pStyle w:val="162"/>
        <w:numPr>
          <w:ilvl w:val="2"/>
          <w:numId w:val="0"/>
        </w:numPr>
        <w:rPr>
          <w:rFonts w:hint="eastAsia" w:hAnsi="宋体" w:cs="宋体"/>
          <w:szCs w:val="21"/>
        </w:rPr>
      </w:pPr>
      <w:r>
        <w:rPr>
          <w:rFonts w:hint="eastAsia" w:hAnsi="宋体" w:cs="宋体"/>
          <w:szCs w:val="21"/>
        </w:rPr>
        <w:t>移取5.00 mL银标准储备溶液（5.4）于100 mL容量瓶中，加入硝酸（5.2）4 mL，用水稀释至刻度，摇匀。</w:t>
      </w:r>
    </w:p>
    <w:p>
      <w:pPr>
        <w:pStyle w:val="104"/>
        <w:spacing w:before="240" w:after="240"/>
      </w:pPr>
      <w:r>
        <w:rPr>
          <w:rFonts w:hint="eastAsia"/>
        </w:rPr>
        <w:t>仪器设备</w:t>
      </w:r>
    </w:p>
    <w:p>
      <w:pPr>
        <w:pStyle w:val="162"/>
        <w:rPr>
          <w:rFonts w:hint="eastAsia" w:hAnsi="宋体" w:cs="宋体"/>
          <w:szCs w:val="21"/>
        </w:rPr>
      </w:pPr>
      <w:r>
        <w:rPr>
          <w:rFonts w:hint="eastAsia" w:hAnsi="宋体" w:cs="宋体"/>
          <w:szCs w:val="21"/>
        </w:rPr>
        <w:t>原子吸收分光光度计：工作条件参数见附录A。</w:t>
      </w:r>
    </w:p>
    <w:p>
      <w:pPr>
        <w:pStyle w:val="162"/>
        <w:rPr>
          <w:rFonts w:hint="eastAsia" w:hAnsi="宋体" w:cs="宋体"/>
          <w:szCs w:val="21"/>
        </w:rPr>
      </w:pPr>
      <w:r>
        <w:rPr>
          <w:rFonts w:hint="eastAsia" w:hAnsi="宋体" w:cs="宋体"/>
          <w:szCs w:val="21"/>
        </w:rPr>
        <w:t>银空心阴极灯。</w:t>
      </w:r>
    </w:p>
    <w:p>
      <w:pPr>
        <w:pStyle w:val="162"/>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烘箱：250 </w:t>
      </w:r>
      <w:bookmarkStart w:id="42" w:name="_Hlk172901317"/>
      <w:r>
        <w:rPr>
          <w:rFonts w:hint="eastAsia" w:hAnsi="宋体" w:cs="宋体"/>
          <w:color w:val="000000" w:themeColor="text1"/>
          <w:szCs w:val="21"/>
          <w14:textFill>
            <w14:solidFill>
              <w14:schemeClr w14:val="tx1"/>
            </w14:solidFill>
          </w14:textFill>
        </w:rPr>
        <w:t>℃</w:t>
      </w:r>
      <w:bookmarkEnd w:id="42"/>
      <w:r>
        <w:rPr>
          <w:rFonts w:hint="eastAsia" w:hAnsi="宋体" w:cs="宋体"/>
          <w:color w:val="000000" w:themeColor="text1"/>
          <w:szCs w:val="21"/>
          <w14:textFill>
            <w14:solidFill>
              <w14:schemeClr w14:val="tx1"/>
            </w14:solidFill>
          </w14:textFill>
        </w:rPr>
        <w:t>± 5 ℃。</w:t>
      </w:r>
    </w:p>
    <w:p>
      <w:pPr>
        <w:pStyle w:val="162"/>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恒温电热板：300 ℃±2 ℃。</w:t>
      </w:r>
    </w:p>
    <w:p>
      <w:pPr>
        <w:pStyle w:val="162"/>
        <w:rPr>
          <w:rFonts w:hint="eastAsia" w:hAnsi="宋体" w:cs="宋体"/>
          <w:szCs w:val="21"/>
        </w:rPr>
      </w:pPr>
      <w:r>
        <w:rPr>
          <w:rFonts w:hint="eastAsia" w:hAnsi="宋体" w:cs="宋体"/>
          <w:szCs w:val="21"/>
        </w:rPr>
        <w:t>分析天平：感量0.1 mg。</w:t>
      </w:r>
    </w:p>
    <w:p>
      <w:pPr>
        <w:pStyle w:val="104"/>
        <w:spacing w:before="240" w:after="240"/>
      </w:pPr>
      <w:r>
        <w:rPr>
          <w:rFonts w:hint="eastAsia"/>
        </w:rPr>
        <w:t>样品</w:t>
      </w:r>
    </w:p>
    <w:p>
      <w:pPr>
        <w:pStyle w:val="162"/>
      </w:pPr>
      <w:r>
        <w:rPr>
          <w:rFonts w:hint="eastAsia"/>
        </w:rPr>
        <w:t>按GB/T 14505中规定，制取样品，粒度小于74 µm。</w:t>
      </w:r>
    </w:p>
    <w:p>
      <w:pPr>
        <w:pStyle w:val="162"/>
      </w:pPr>
      <w:r>
        <w:rPr>
          <w:rFonts w:hint="eastAsia"/>
        </w:rPr>
        <w:t>样品在110 ℃±5 ℃烘箱中干燥2 h，置于干燥器中冷却至室温。</w:t>
      </w:r>
    </w:p>
    <w:p>
      <w:pPr>
        <w:pStyle w:val="104"/>
        <w:spacing w:before="240" w:after="240"/>
      </w:pPr>
      <w:r>
        <w:rPr>
          <w:rFonts w:hint="eastAsia"/>
        </w:rPr>
        <w:t>试验步骤</w:t>
      </w:r>
    </w:p>
    <w:p>
      <w:pPr>
        <w:pStyle w:val="105"/>
        <w:spacing w:before="120" w:after="120"/>
      </w:pPr>
      <w:r>
        <w:rPr>
          <w:rFonts w:hint="eastAsia"/>
        </w:rPr>
        <w:t>试料</w:t>
      </w:r>
    </w:p>
    <w:p>
      <w:pPr>
        <w:pStyle w:val="105"/>
        <w:numPr>
          <w:ilvl w:val="0"/>
          <w:numId w:val="0"/>
        </w:numPr>
        <w:spacing w:before="120" w:after="120"/>
        <w:ind w:firstLine="420" w:firstLineChars="200"/>
      </w:pPr>
      <w:r>
        <w:rPr>
          <w:rFonts w:hint="eastAsia" w:ascii="宋体" w:eastAsia="宋体"/>
        </w:rPr>
        <w:t>称取 0.3 g—0.5 g</w:t>
      </w:r>
      <w:r>
        <w:rPr>
          <w:rFonts w:hint="eastAsia" w:ascii="宋体" w:eastAsia="宋体"/>
          <w:lang w:val="en-US" w:eastAsia="zh-CN"/>
        </w:rPr>
        <w:t>样品</w:t>
      </w:r>
      <w:r>
        <w:rPr>
          <w:rFonts w:hint="eastAsia" w:ascii="宋体" w:eastAsia="宋体"/>
        </w:rPr>
        <w:t>，精确至0.0001g。</w:t>
      </w:r>
    </w:p>
    <w:p>
      <w:pPr>
        <w:pStyle w:val="105"/>
        <w:spacing w:before="120" w:after="120"/>
      </w:pPr>
      <w:r>
        <w:rPr>
          <w:rFonts w:hint="eastAsia"/>
        </w:rPr>
        <w:t>测定次数</w:t>
      </w:r>
    </w:p>
    <w:p>
      <w:pPr>
        <w:pStyle w:val="104"/>
        <w:numPr>
          <w:ilvl w:val="0"/>
          <w:numId w:val="0"/>
        </w:numPr>
        <w:spacing w:before="240" w:after="240"/>
        <w:ind w:firstLine="420" w:firstLineChars="200"/>
        <w:rPr>
          <w:rFonts w:ascii="宋体" w:eastAsia="宋体"/>
        </w:rPr>
      </w:pPr>
      <w:r>
        <w:rPr>
          <w:rFonts w:hint="eastAsia" w:ascii="宋体" w:eastAsia="宋体"/>
        </w:rPr>
        <w:t>平行地做两份试验，取其平均值。</w:t>
      </w:r>
    </w:p>
    <w:p>
      <w:pPr>
        <w:pStyle w:val="105"/>
        <w:spacing w:before="120" w:after="120"/>
      </w:pPr>
      <w:r>
        <w:rPr>
          <w:rFonts w:hint="eastAsia"/>
        </w:rPr>
        <w:t>空白试验</w:t>
      </w:r>
    </w:p>
    <w:p>
      <w:pPr>
        <w:pStyle w:val="104"/>
        <w:numPr>
          <w:ilvl w:val="0"/>
          <w:numId w:val="0"/>
        </w:numPr>
        <w:spacing w:before="240" w:after="240"/>
        <w:ind w:firstLine="420" w:firstLineChars="200"/>
        <w:rPr>
          <w:rFonts w:ascii="宋体" w:eastAsia="宋体"/>
        </w:rPr>
      </w:pPr>
      <w:r>
        <w:rPr>
          <w:rFonts w:hint="eastAsia" w:ascii="宋体" w:eastAsia="宋体"/>
        </w:rPr>
        <w:t>随同试料做空白试验。</w:t>
      </w:r>
      <w:bookmarkStart w:id="51" w:name="_GoBack"/>
      <w:bookmarkEnd w:id="51"/>
    </w:p>
    <w:p>
      <w:pPr>
        <w:pStyle w:val="105"/>
        <w:spacing w:before="120" w:after="120"/>
      </w:pPr>
      <w:r>
        <w:rPr>
          <w:rFonts w:hint="eastAsia"/>
        </w:rPr>
        <w:t>测定</w:t>
      </w:r>
    </w:p>
    <w:p>
      <w:pPr>
        <w:pStyle w:val="165"/>
      </w:pPr>
      <w:r>
        <w:rPr>
          <w:rFonts w:hint="eastAsia"/>
        </w:rPr>
        <w:t>溶样</w:t>
      </w:r>
    </w:p>
    <w:p>
      <w:pPr>
        <w:pStyle w:val="165"/>
        <w:numPr>
          <w:ilvl w:val="3"/>
          <w:numId w:val="0"/>
        </w:numPr>
        <w:ind w:firstLine="420" w:firstLineChars="200"/>
      </w:pPr>
      <w:r>
        <w:rPr>
          <w:rFonts w:hint="eastAsia"/>
        </w:rPr>
        <w:t>将试料（8.1）于100 mL烧杯中，用少量水润湿，加入15 mL盐酸（5.1），溶解30 min，加入5 mL硝酸（5.2）盖上表面皿，于电热板（6.4）上在190 ℃±5 ℃溶解并蒸发至尽干后，取下冷却，用少量水冲洗表面皿和烧杯壁，加入</w:t>
      </w:r>
      <w:bookmarkStart w:id="43" w:name="_Hlk154432465"/>
      <w:r>
        <w:rPr>
          <w:rFonts w:hint="eastAsia"/>
        </w:rPr>
        <w:t xml:space="preserve">20 </w:t>
      </w:r>
      <w:bookmarkStart w:id="44" w:name="_Hlk159855759"/>
      <w:r>
        <w:rPr>
          <w:rFonts w:hint="eastAsia"/>
        </w:rPr>
        <w:t>mL</w:t>
      </w:r>
      <w:bookmarkEnd w:id="43"/>
      <w:bookmarkEnd w:id="44"/>
      <w:r>
        <w:rPr>
          <w:rFonts w:hint="eastAsia"/>
        </w:rPr>
        <w:t>王水溶液（5.3），继续在电热板上加热至盐类溶解，取下冷却后移入100 mL容量瓶中，用水稀释至刻度，摇匀静置，取上层清液待测。</w:t>
      </w:r>
      <w:bookmarkStart w:id="45" w:name="_Hlk154477141"/>
    </w:p>
    <w:p>
      <w:pPr>
        <w:pStyle w:val="165"/>
      </w:pPr>
      <w:r>
        <w:rPr>
          <w:rFonts w:hint="eastAsia"/>
        </w:rPr>
        <w:t>校准系列溶液的配制</w:t>
      </w:r>
    </w:p>
    <w:p>
      <w:pPr>
        <w:pStyle w:val="165"/>
        <w:numPr>
          <w:ilvl w:val="3"/>
          <w:numId w:val="0"/>
        </w:numPr>
        <w:ind w:firstLine="420" w:firstLineChars="200"/>
        <w:rPr>
          <w:rFonts w:hint="eastAsia" w:hAnsi="宋体" w:cs="宋体"/>
          <w:szCs w:val="21"/>
        </w:rPr>
      </w:pPr>
      <w:r>
        <w:rPr>
          <w:rFonts w:hint="eastAsia" w:hAnsi="宋体" w:cs="宋体"/>
          <w:szCs w:val="21"/>
        </w:rPr>
        <w:t>分别移取银标准工作溶液（5.5） 0.00 mL、1.00 mL、2.00 mL、3.00 mL、4.00 mL、5.00 mL于50 mL容量瓶中，各加入10 mL王水溶液(5.3)、用水稀释至刻度，摇匀备用。</w:t>
      </w:r>
    </w:p>
    <w:p>
      <w:pPr>
        <w:pStyle w:val="165"/>
        <w:rPr>
          <w:rFonts w:hint="eastAsia" w:hAnsi="宋体" w:cs="宋体"/>
          <w:color w:val="000000"/>
          <w:szCs w:val="21"/>
        </w:rPr>
      </w:pPr>
      <w:r>
        <w:rPr>
          <w:rFonts w:hint="eastAsia" w:hAnsi="宋体" w:cs="宋体"/>
          <w:szCs w:val="21"/>
        </w:rPr>
        <w:t>按照附录A设定的仪器工作条件，测定标准系列溶液的吸光值，以吸光值为纵坐标，银的浓度为横坐标绘制标准曲线。</w:t>
      </w:r>
    </w:p>
    <w:p>
      <w:pPr>
        <w:pStyle w:val="165"/>
        <w:rPr>
          <w:rFonts w:hint="eastAsia" w:hAnsi="宋体" w:cs="宋体"/>
          <w:szCs w:val="21"/>
        </w:rPr>
      </w:pPr>
      <w:r>
        <w:rPr>
          <w:rFonts w:hint="eastAsia" w:hAnsi="宋体" w:cs="宋体"/>
          <w:szCs w:val="21"/>
        </w:rPr>
        <w:t>按照附录A设定的仪器工作条件</w:t>
      </w:r>
      <w:r>
        <w:rPr>
          <w:rFonts w:hint="eastAsia" w:hAnsi="宋体" w:cs="宋体"/>
          <w:color w:val="000000"/>
          <w:szCs w:val="21"/>
        </w:rPr>
        <w:t>，测定试样溶液、空白溶液的吸光值，从标准曲线上查得样品中银的浓度</w:t>
      </w:r>
      <w:bookmarkStart w:id="46" w:name="_Hlk154498071"/>
      <w:r>
        <w:rPr>
          <w:rFonts w:hint="eastAsia" w:hAnsi="宋体" w:cs="宋体"/>
          <w:szCs w:val="21"/>
        </w:rPr>
        <w:t>。</w:t>
      </w:r>
      <w:bookmarkEnd w:id="45"/>
      <w:bookmarkEnd w:id="46"/>
    </w:p>
    <w:p>
      <w:pPr>
        <w:pStyle w:val="104"/>
        <w:spacing w:before="240" w:after="240"/>
      </w:pPr>
      <w:r>
        <w:rPr>
          <w:rFonts w:hint="eastAsia"/>
        </w:rPr>
        <w:t>试验数据处理</w:t>
      </w:r>
    </w:p>
    <w:p>
      <w:pPr>
        <w:pStyle w:val="56"/>
        <w:ind w:firstLine="420"/>
      </w:pPr>
      <w:r>
        <w:rPr>
          <w:rFonts w:hint="eastAsia"/>
        </w:rPr>
        <w:t>银的含量以银的质量分数ω</w:t>
      </w:r>
      <w:r>
        <w:rPr>
          <w:rFonts w:hint="eastAsia"/>
          <w:vertAlign w:val="subscript"/>
        </w:rPr>
        <w:t>Ag</w:t>
      </w:r>
      <w:r>
        <w:rPr>
          <w:rFonts w:hint="eastAsia"/>
        </w:rPr>
        <w:t>计，单位为克/吨（g/t），按公式（1）计算。</w:t>
      </w:r>
    </w:p>
    <w:p>
      <w:pPr>
        <w:pStyle w:val="113"/>
        <w:rPr>
          <w:rFonts w:hint="eastAsia"/>
        </w:rPr>
      </w:pPr>
      <w:r>
        <w:tab/>
      </w:r>
      <m:oMath>
        <m:sSub>
          <m:sSubPr>
            <m:ctrlPr>
              <w:rPr>
                <w:rFonts w:hint="eastAsia" w:ascii="Cambria Math" w:hAnsi="Cambria Math"/>
              </w:rPr>
            </m:ctrlPr>
          </m:sSubPr>
          <m:e>
            <m:r>
              <m:rPr>
                <m:sty m:val="p"/>
              </m:rPr>
              <w:rPr>
                <w:rFonts w:hint="eastAsia" w:ascii="Cambria Math" w:hAnsi="Cambria Math"/>
              </w:rPr>
              <m:t>ω</m:t>
            </m:r>
            <m:ctrlPr>
              <w:rPr>
                <w:rFonts w:hint="eastAsia" w:ascii="Cambria Math" w:hAnsi="Cambria Math"/>
              </w:rPr>
            </m:ctrlPr>
          </m:e>
          <m:sub>
            <m:r>
              <m:rPr>
                <m:sty m:val="p"/>
              </m:rPr>
              <w:rPr>
                <w:rFonts w:hint="eastAsia" w:ascii="Cambria Math" w:hAnsi="Cambria Math"/>
                <w:vertAlign w:val="subscript"/>
              </w:rPr>
              <m:t>Ag</m:t>
            </m:r>
            <m:ctrlPr>
              <w:rPr>
                <w:rFonts w:hint="eastAsia" w:ascii="Cambria Math" w:hAnsi="Cambria Math"/>
              </w:rPr>
            </m:ctrlPr>
          </m:sub>
        </m:sSub>
        <m:r>
          <m:rPr/>
          <w:rPr>
            <w:rFonts w:ascii="Cambria Math" w:hAnsi="Cambria Math" w:eastAsia="等线"/>
            <w:szCs w:val="22"/>
          </w:rPr>
          <m:t>=</m:t>
        </m:r>
        <m:f>
          <m:fPr>
            <m:ctrlPr>
              <w:rPr>
                <w:rFonts w:ascii="Cambria Math" w:hAnsi="Cambria Math" w:eastAsia="等线"/>
                <w:i/>
                <w:szCs w:val="22"/>
              </w:rPr>
            </m:ctrlPr>
          </m:fPr>
          <m:num>
            <m:r>
              <m:rPr/>
              <w:rPr>
                <w:rFonts w:ascii="Cambria Math" w:hAnsi="Cambria Math" w:eastAsia="等线"/>
                <w:szCs w:val="22"/>
              </w:rPr>
              <m:t>(c−</m:t>
            </m:r>
            <m:sSub>
              <m:sSubPr>
                <m:ctrlPr>
                  <w:rPr>
                    <w:rFonts w:ascii="Cambria Math" w:hAnsi="Cambria Math" w:eastAsia="等线"/>
                    <w:i/>
                    <w:szCs w:val="22"/>
                  </w:rPr>
                </m:ctrlPr>
              </m:sSubPr>
              <m:e>
                <m:r>
                  <m:rPr/>
                  <w:rPr>
                    <w:rFonts w:ascii="Cambria Math" w:hAnsi="Cambria Math" w:eastAsia="等线"/>
                    <w:szCs w:val="22"/>
                  </w:rPr>
                  <m:t>c</m:t>
                </m:r>
                <m:ctrlPr>
                  <w:rPr>
                    <w:rFonts w:ascii="Cambria Math" w:hAnsi="Cambria Math" w:eastAsia="等线"/>
                    <w:i/>
                    <w:szCs w:val="22"/>
                  </w:rPr>
                </m:ctrlPr>
              </m:e>
              <m:sub>
                <m:r>
                  <m:rPr/>
                  <w:rPr>
                    <w:rFonts w:ascii="Cambria Math" w:hAnsi="Cambria Math" w:eastAsia="等线"/>
                    <w:szCs w:val="22"/>
                  </w:rPr>
                  <m:t>0</m:t>
                </m:r>
                <m:ctrlPr>
                  <w:rPr>
                    <w:rFonts w:ascii="Cambria Math" w:hAnsi="Cambria Math" w:eastAsia="等线"/>
                    <w:i/>
                    <w:szCs w:val="22"/>
                  </w:rPr>
                </m:ctrlPr>
              </m:sub>
            </m:sSub>
            <m:r>
              <m:rPr/>
              <w:rPr>
                <w:rFonts w:ascii="Cambria Math" w:hAnsi="Cambria Math" w:eastAsia="等线"/>
                <w:szCs w:val="22"/>
              </w:rPr>
              <m:t>)×v</m:t>
            </m:r>
            <m:ctrlPr>
              <w:rPr>
                <w:rFonts w:ascii="Cambria Math" w:hAnsi="Cambria Math" w:eastAsia="等线"/>
                <w:i/>
                <w:szCs w:val="22"/>
              </w:rPr>
            </m:ctrlPr>
          </m:num>
          <m:den>
            <m:r>
              <m:rPr/>
              <w:rPr>
                <w:rFonts w:ascii="Cambria Math" w:hAnsi="Cambria Math" w:eastAsia="等线"/>
                <w:szCs w:val="22"/>
              </w:rPr>
              <m:t>m</m:t>
            </m:r>
            <m:ctrlPr>
              <w:rPr>
                <w:rFonts w:ascii="Cambria Math" w:hAnsi="Cambria Math" w:eastAsia="等线"/>
                <w:i/>
                <w:szCs w:val="22"/>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230"/>
        <w:autoSpaceDE/>
        <w:autoSpaceDN/>
        <w:rPr>
          <w:rFonts w:hint="eastAsia" w:hAnsi="宋体" w:cs="宋体"/>
          <w:i/>
          <w:color w:val="000000"/>
          <w:szCs w:val="21"/>
        </w:rPr>
      </w:pPr>
      <w:r>
        <w:rPr>
          <w:rFonts w:hint="eastAsia"/>
        </w:rPr>
        <w:t>ω</w:t>
      </w:r>
      <w:r>
        <w:rPr>
          <w:rFonts w:hint="eastAsia"/>
          <w:vertAlign w:val="subscript"/>
        </w:rPr>
        <w:t>Ag</w:t>
      </w:r>
      <w:r>
        <w:rPr>
          <w:rFonts w:ascii="Times New Roman"/>
          <w:color w:val="000000"/>
          <w:sz w:val="20"/>
        </w:rPr>
        <w:t xml:space="preserve">   </w:t>
      </w:r>
      <w:r>
        <w:rPr>
          <w:rFonts w:hint="eastAsia"/>
        </w:rPr>
        <w:t>──</w:t>
      </w:r>
      <w:r>
        <w:rPr>
          <w:rFonts w:hint="eastAsia" w:hAnsi="宋体" w:cs="宋体"/>
          <w:color w:val="000000"/>
          <w:szCs w:val="21"/>
        </w:rPr>
        <w:t>试料中银的含量，g/t；</w:t>
      </w:r>
    </w:p>
    <w:p>
      <w:pPr>
        <w:pStyle w:val="230"/>
        <w:autoSpaceDE/>
        <w:autoSpaceDN/>
        <w:rPr>
          <w:rFonts w:hint="eastAsia" w:hAnsi="宋体" w:cs="宋体"/>
          <w:color w:val="000000"/>
          <w:szCs w:val="21"/>
        </w:rPr>
      </w:pPr>
      <w:r>
        <w:rPr>
          <w:rFonts w:hint="eastAsia" w:hAnsi="宋体" w:cs="宋体"/>
          <w:i/>
          <w:iCs/>
          <w:color w:val="000000"/>
          <w:szCs w:val="21"/>
        </w:rPr>
        <w:t xml:space="preserve">c </w:t>
      </w:r>
      <w:r>
        <w:rPr>
          <w:rFonts w:hint="eastAsia" w:hAnsi="宋体" w:cs="宋体"/>
          <w:color w:val="000000"/>
          <w:szCs w:val="21"/>
        </w:rPr>
        <w:t xml:space="preserve">   </w:t>
      </w:r>
      <w:r>
        <w:rPr>
          <w:rFonts w:hint="eastAsia" w:hAnsi="宋体" w:cs="宋体"/>
          <w:szCs w:val="21"/>
        </w:rPr>
        <w:t>──</w:t>
      </w:r>
      <w:r>
        <w:rPr>
          <w:rFonts w:hint="eastAsia" w:hAnsi="宋体" w:cs="宋体"/>
          <w:color w:val="000000"/>
          <w:szCs w:val="21"/>
        </w:rPr>
        <w:t>从校准曲线上查得样品中银的浓度，单位为</w:t>
      </w:r>
      <w:bookmarkStart w:id="47" w:name="_Hlk159856321"/>
      <w:r>
        <w:rPr>
          <w:rFonts w:hint="eastAsia" w:hAnsi="宋体" w:cs="宋体"/>
          <w:color w:val="000000"/>
          <w:szCs w:val="21"/>
        </w:rPr>
        <w:t>微克每毫升（µg/mL）</w:t>
      </w:r>
      <w:bookmarkEnd w:id="47"/>
      <w:r>
        <w:rPr>
          <w:rFonts w:hint="eastAsia" w:hAnsi="宋体" w:cs="宋体"/>
          <w:color w:val="000000"/>
          <w:szCs w:val="21"/>
        </w:rPr>
        <w:t>；</w:t>
      </w:r>
    </w:p>
    <w:p>
      <w:pPr>
        <w:pStyle w:val="230"/>
        <w:autoSpaceDE/>
        <w:autoSpaceDN/>
        <w:rPr>
          <w:rFonts w:hint="eastAsia" w:hAnsi="宋体" w:cs="宋体"/>
          <w:color w:val="000000"/>
          <w:szCs w:val="21"/>
        </w:rPr>
      </w:pPr>
      <w:r>
        <w:rPr>
          <w:rFonts w:hint="eastAsia" w:hAnsi="宋体" w:cs="宋体"/>
          <w:i/>
          <w:color w:val="000000"/>
          <w:szCs w:val="21"/>
        </w:rPr>
        <w:t>c</w:t>
      </w:r>
      <w:r>
        <w:rPr>
          <w:rFonts w:hint="eastAsia" w:hAnsi="宋体" w:cs="宋体"/>
          <w:i/>
          <w:color w:val="000000"/>
          <w:szCs w:val="21"/>
          <w:vertAlign w:val="subscript"/>
        </w:rPr>
        <w:t>0</w:t>
      </w:r>
      <w:r>
        <w:rPr>
          <w:rFonts w:hint="eastAsia" w:hAnsi="宋体" w:cs="宋体"/>
          <w:color w:val="000000"/>
          <w:szCs w:val="21"/>
        </w:rPr>
        <w:t xml:space="preserve">   </w:t>
      </w:r>
      <w:r>
        <w:rPr>
          <w:rFonts w:hint="eastAsia" w:hAnsi="宋体" w:cs="宋体"/>
          <w:szCs w:val="21"/>
        </w:rPr>
        <w:t>──</w:t>
      </w:r>
      <w:r>
        <w:rPr>
          <w:rFonts w:hint="eastAsia" w:hAnsi="宋体" w:cs="宋体"/>
          <w:color w:val="000000"/>
          <w:szCs w:val="21"/>
        </w:rPr>
        <w:t>从校准曲线上查得的空白溶液中银的浓度，单位为微克每毫升（µg/mL）；</w:t>
      </w:r>
    </w:p>
    <w:p>
      <w:pPr>
        <w:pStyle w:val="230"/>
        <w:autoSpaceDE/>
        <w:autoSpaceDN/>
        <w:rPr>
          <w:rFonts w:hint="eastAsia" w:hAnsi="宋体" w:cs="宋体"/>
          <w:color w:val="000000"/>
          <w:szCs w:val="21"/>
        </w:rPr>
      </w:pPr>
      <w:r>
        <w:rPr>
          <w:rFonts w:hint="eastAsia" w:hAnsi="宋体" w:cs="宋体"/>
          <w:i/>
          <w:color w:val="000000"/>
          <w:szCs w:val="21"/>
        </w:rPr>
        <w:t>v</w:t>
      </w:r>
      <w:r>
        <w:rPr>
          <w:rFonts w:hint="eastAsia" w:hAnsi="宋体" w:cs="宋体"/>
          <w:color w:val="000000"/>
          <w:szCs w:val="21"/>
        </w:rPr>
        <w:t xml:space="preserve">   </w:t>
      </w:r>
      <w:r>
        <w:rPr>
          <w:rFonts w:hint="eastAsia" w:hAnsi="宋体" w:cs="宋体"/>
          <w:szCs w:val="21"/>
        </w:rPr>
        <w:t>──</w:t>
      </w:r>
      <w:r>
        <w:rPr>
          <w:rFonts w:hint="eastAsia" w:hAnsi="宋体" w:cs="宋体"/>
          <w:color w:val="000000"/>
          <w:szCs w:val="21"/>
        </w:rPr>
        <w:t>被测溶液的体积，单位为毫升（mL）；</w:t>
      </w:r>
    </w:p>
    <w:p>
      <w:pPr>
        <w:pStyle w:val="230"/>
        <w:autoSpaceDE/>
        <w:autoSpaceDN/>
        <w:rPr>
          <w:rFonts w:ascii="Times New Roman"/>
          <w:color w:val="000000"/>
          <w:sz w:val="20"/>
        </w:rPr>
      </w:pPr>
      <w:r>
        <w:rPr>
          <w:rFonts w:hint="eastAsia" w:hAnsi="宋体" w:cs="宋体"/>
          <w:i/>
          <w:color w:val="000000"/>
          <w:szCs w:val="21"/>
        </w:rPr>
        <w:t>m</w:t>
      </w:r>
      <w:r>
        <w:rPr>
          <w:rFonts w:hint="eastAsia" w:hAnsi="宋体" w:cs="宋体"/>
          <w:color w:val="000000"/>
          <w:szCs w:val="21"/>
        </w:rPr>
        <w:t xml:space="preserve">   </w:t>
      </w:r>
      <w:r>
        <w:rPr>
          <w:rFonts w:hint="eastAsia" w:hAnsi="宋体" w:cs="宋体"/>
          <w:szCs w:val="21"/>
        </w:rPr>
        <w:t>──</w:t>
      </w:r>
      <w:r>
        <w:rPr>
          <w:rFonts w:hint="eastAsia" w:hAnsi="宋体" w:cs="宋体"/>
          <w:color w:val="000000"/>
          <w:szCs w:val="21"/>
        </w:rPr>
        <w:t>被测溶液相当的试料量，单位为克（g）；</w:t>
      </w:r>
    </w:p>
    <w:p>
      <w:pPr>
        <w:pStyle w:val="230"/>
        <w:autoSpaceDE/>
        <w:autoSpaceDN/>
      </w:pPr>
      <w:r>
        <w:rPr>
          <w:rFonts w:hint="eastAsia" w:hAnsi="宋体" w:cs="宋体"/>
          <w:color w:val="000000"/>
          <w:szCs w:val="21"/>
        </w:rPr>
        <w:t>计算结果表示为： X.XX g/t、XX.X g/t、XXX g/t、XXXX g/t</w:t>
      </w:r>
      <w:r>
        <w:rPr>
          <w:rFonts w:hint="eastAsia" w:hAnsi="宋体" w:cs="宋体"/>
          <w:szCs w:val="21"/>
        </w:rPr>
        <w:t>。</w:t>
      </w:r>
    </w:p>
    <w:p>
      <w:pPr>
        <w:pStyle w:val="104"/>
        <w:spacing w:before="240" w:after="240"/>
      </w:pPr>
      <w:r>
        <w:rPr>
          <w:rFonts w:hint="eastAsia"/>
        </w:rPr>
        <w:t>精密度</w:t>
      </w:r>
    </w:p>
    <w:p>
      <w:pPr>
        <w:pStyle w:val="230"/>
        <w:autoSpaceDE/>
        <w:autoSpaceDN/>
        <w:rPr>
          <w:rFonts w:hint="eastAsia" w:hAnsi="宋体" w:cs="宋体"/>
          <w:szCs w:val="21"/>
        </w:rPr>
      </w:pPr>
      <w:r>
        <w:rPr>
          <w:rFonts w:hint="eastAsia" w:hAnsi="宋体" w:cs="宋体"/>
          <w:szCs w:val="21"/>
        </w:rPr>
        <w:t>精密度数据由8个实验室的操作人员对7个水平的银矿石样品进行共同试验，每个实验室对每个水平的样品独立测定3次。试验数据按GB/T 6379.2进行统计分析，结果见表1。</w:t>
      </w:r>
    </w:p>
    <w:p>
      <w:pPr>
        <w:pStyle w:val="230"/>
        <w:autoSpaceDE/>
        <w:autoSpaceDN/>
        <w:rPr>
          <w:rFonts w:hint="eastAsia" w:hAnsi="宋体" w:cs="宋体"/>
          <w:szCs w:val="21"/>
        </w:rPr>
      </w:pPr>
      <w:r>
        <w:rPr>
          <w:rFonts w:hint="eastAsia" w:hAnsi="宋体" w:cs="宋体"/>
          <w:szCs w:val="21"/>
        </w:rPr>
        <w:t>在重复性条件下，获得的两次独立结果差值的绝对值不大于重复性限（</w:t>
      </w:r>
      <w:r>
        <w:rPr>
          <w:rFonts w:hint="eastAsia" w:hAnsi="宋体" w:cs="宋体"/>
          <w:i/>
          <w:szCs w:val="21"/>
        </w:rPr>
        <w:t>r</w:t>
      </w:r>
      <w:r>
        <w:rPr>
          <w:rFonts w:hint="eastAsia" w:hAnsi="宋体" w:cs="宋体"/>
          <w:szCs w:val="21"/>
        </w:rPr>
        <w:t>），出现大于重复性限（</w:t>
      </w:r>
      <w:r>
        <w:rPr>
          <w:rFonts w:hint="eastAsia" w:hAnsi="宋体" w:cs="宋体"/>
          <w:i/>
          <w:szCs w:val="21"/>
        </w:rPr>
        <w:t>r</w:t>
      </w:r>
      <w:r>
        <w:rPr>
          <w:rFonts w:hint="eastAsia" w:hAnsi="宋体" w:cs="宋体"/>
          <w:szCs w:val="21"/>
        </w:rPr>
        <w:t>）的</w:t>
      </w:r>
      <w:r>
        <w:rPr>
          <w:rFonts w:hint="eastAsia" w:hAnsi="宋体" w:cs="宋体"/>
          <w:color w:val="000000" w:themeColor="text1"/>
          <w:szCs w:val="21"/>
          <w14:textFill>
            <w14:solidFill>
              <w14:schemeClr w14:val="tx1"/>
            </w14:solidFill>
          </w14:textFill>
        </w:rPr>
        <w:t>概率不大于5%。</w:t>
      </w:r>
    </w:p>
    <w:p>
      <w:pPr>
        <w:pStyle w:val="230"/>
        <w:autoSpaceDE/>
        <w:autoSpaceDN/>
        <w:rPr>
          <w:rFonts w:hint="eastAsia" w:hAnsi="宋体" w:cs="宋体"/>
          <w:szCs w:val="21"/>
        </w:rPr>
      </w:pPr>
      <w:r>
        <w:rPr>
          <w:rFonts w:hint="eastAsia" w:hAnsi="宋体" w:cs="宋体"/>
          <w:szCs w:val="21"/>
        </w:rPr>
        <w:t>在再现性条件下，获得的两次独立测试结果差值的绝对值不大于再现性限（</w:t>
      </w:r>
      <w:r>
        <w:rPr>
          <w:rFonts w:hint="eastAsia" w:hAnsi="宋体" w:cs="宋体"/>
          <w:i/>
          <w:szCs w:val="21"/>
        </w:rPr>
        <w:t>R</w:t>
      </w:r>
      <w:r>
        <w:rPr>
          <w:rFonts w:hint="eastAsia" w:hAnsi="宋体" w:cs="宋体"/>
          <w:szCs w:val="21"/>
        </w:rPr>
        <w:t>），出现大于再现性限（</w:t>
      </w:r>
      <w:r>
        <w:rPr>
          <w:rFonts w:hint="eastAsia" w:hAnsi="宋体" w:cs="宋体"/>
          <w:i/>
          <w:szCs w:val="21"/>
        </w:rPr>
        <w:t>R</w:t>
      </w:r>
      <w:r>
        <w:rPr>
          <w:rFonts w:hint="eastAsia" w:hAnsi="宋体" w:cs="宋体"/>
          <w:szCs w:val="21"/>
        </w:rPr>
        <w:t>）</w:t>
      </w:r>
      <w:r>
        <w:rPr>
          <w:rFonts w:hint="eastAsia" w:hAnsi="宋体" w:cs="宋体"/>
          <w:color w:val="000000" w:themeColor="text1"/>
          <w:szCs w:val="21"/>
          <w14:textFill>
            <w14:solidFill>
              <w14:schemeClr w14:val="tx1"/>
            </w14:solidFill>
          </w14:textFill>
        </w:rPr>
        <w:t>的概率不大于5%。</w:t>
      </w:r>
    </w:p>
    <w:p>
      <w:pPr>
        <w:pStyle w:val="236"/>
        <w:spacing w:before="120" w:after="120"/>
        <w:rPr>
          <w:rFonts w:hint="eastAsia" w:ascii="宋体" w:hAnsi="宋体" w:eastAsia="宋体" w:cs="宋体"/>
          <w:szCs w:val="21"/>
        </w:rPr>
      </w:pPr>
      <w:r>
        <w:rPr>
          <w:rFonts w:hint="eastAsia" w:hAnsi="黑体" w:cs="黑体"/>
          <w:szCs w:val="21"/>
        </w:rPr>
        <w:t>精密度</w:t>
      </w:r>
    </w:p>
    <w:p>
      <w:pPr>
        <w:pStyle w:val="236"/>
        <w:numPr>
          <w:ilvl w:val="0"/>
          <w:numId w:val="0"/>
        </w:numPr>
        <w:adjustRightInd w:val="0"/>
        <w:snapToGrid w:val="0"/>
        <w:spacing w:before="0" w:beforeLines="0" w:after="0" w:afterLines="0"/>
        <w:ind w:firstLine="4620" w:firstLineChars="2200"/>
        <w:jc w:val="both"/>
        <w:rPr>
          <w:rFonts w:hint="eastAsia" w:ascii="宋体" w:hAnsi="宋体" w:eastAsia="宋体" w:cs="宋体"/>
          <w:szCs w:val="21"/>
        </w:rPr>
      </w:pPr>
      <w:r>
        <w:rPr>
          <w:rFonts w:hint="eastAsia" w:hAnsi="黑体" w:cs="黑体"/>
          <w:szCs w:val="21"/>
        </w:rPr>
        <w:t xml:space="preserve">                             </w:t>
      </w:r>
      <w:r>
        <w:rPr>
          <w:rFonts w:hint="eastAsia" w:ascii="宋体" w:hAnsi="宋体" w:eastAsia="宋体" w:cs="宋体"/>
          <w:szCs w:val="21"/>
        </w:rPr>
        <w:t xml:space="preserve"> 单位： g/t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107"/>
        <w:gridCol w:w="2108"/>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107" w:type="dxa"/>
          </w:tcPr>
          <w:p>
            <w:pPr>
              <w:widowControl/>
              <w:tabs>
                <w:tab w:val="center" w:pos="4201"/>
                <w:tab w:val="right" w:leader="dot" w:pos="9298"/>
              </w:tabs>
              <w:autoSpaceDE w:val="0"/>
              <w:autoSpaceDN w:val="0"/>
              <w:snapToGrid w:val="0"/>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元素</w:t>
            </w:r>
          </w:p>
        </w:tc>
        <w:tc>
          <w:tcPr>
            <w:tcW w:w="2107" w:type="dxa"/>
          </w:tcPr>
          <w:p>
            <w:pPr>
              <w:widowControl/>
              <w:tabs>
                <w:tab w:val="center" w:pos="4201"/>
                <w:tab w:val="right" w:leader="dot" w:pos="9298"/>
              </w:tabs>
              <w:autoSpaceDE w:val="0"/>
              <w:autoSpaceDN w:val="0"/>
              <w:snapToGrid w:val="0"/>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水平范围 </w:t>
            </w:r>
            <w:r>
              <w:rPr>
                <w:rFonts w:hint="eastAsia" w:ascii="宋体" w:hAnsi="宋体" w:cs="宋体"/>
                <w:i/>
                <w:iCs/>
                <w:color w:val="000000"/>
                <w:kern w:val="0"/>
                <w:sz w:val="18"/>
                <w:szCs w:val="18"/>
              </w:rPr>
              <w:t>m</w:t>
            </w:r>
          </w:p>
        </w:tc>
        <w:tc>
          <w:tcPr>
            <w:tcW w:w="2108" w:type="dxa"/>
          </w:tcPr>
          <w:p>
            <w:pPr>
              <w:widowControl/>
              <w:tabs>
                <w:tab w:val="center" w:pos="4201"/>
                <w:tab w:val="right" w:leader="dot" w:pos="9298"/>
              </w:tabs>
              <w:autoSpaceDE w:val="0"/>
              <w:autoSpaceDN w:val="0"/>
              <w:snapToGrid w:val="0"/>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重复性限 </w:t>
            </w:r>
            <w:r>
              <w:rPr>
                <w:rFonts w:hint="eastAsia" w:ascii="宋体" w:hAnsi="宋体" w:cs="宋体"/>
                <w:i/>
                <w:iCs/>
                <w:color w:val="000000"/>
                <w:kern w:val="0"/>
                <w:sz w:val="18"/>
                <w:szCs w:val="18"/>
              </w:rPr>
              <w:t>r</w:t>
            </w:r>
          </w:p>
        </w:tc>
        <w:tc>
          <w:tcPr>
            <w:tcW w:w="2108" w:type="dxa"/>
          </w:tcPr>
          <w:p>
            <w:pPr>
              <w:widowControl/>
              <w:tabs>
                <w:tab w:val="center" w:pos="4201"/>
                <w:tab w:val="right" w:leader="dot" w:pos="9298"/>
              </w:tabs>
              <w:autoSpaceDE w:val="0"/>
              <w:autoSpaceDN w:val="0"/>
              <w:snapToGrid w:val="0"/>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再现性限</w:t>
            </w:r>
            <w:r>
              <w:rPr>
                <w:rFonts w:hint="eastAsia" w:ascii="宋体" w:hAnsi="宋体" w:cs="宋体"/>
                <w:i/>
                <w:iCs/>
                <w:color w:val="000000"/>
                <w:kern w:val="0"/>
                <w:sz w:val="18"/>
                <w:szCs w:val="18"/>
              </w:rPr>
              <w:t xml:space="preserve">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107" w:type="dxa"/>
          </w:tcPr>
          <w:p>
            <w:pPr>
              <w:widowControl/>
              <w:tabs>
                <w:tab w:val="center" w:pos="4201"/>
                <w:tab w:val="right" w:leader="dot" w:pos="9298"/>
              </w:tabs>
              <w:autoSpaceDE w:val="0"/>
              <w:autoSpaceDN w:val="0"/>
              <w:snapToGrid w:val="0"/>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Ag</w:t>
            </w:r>
          </w:p>
        </w:tc>
        <w:tc>
          <w:tcPr>
            <w:tcW w:w="2107" w:type="dxa"/>
          </w:tcPr>
          <w:p>
            <w:pPr>
              <w:widowControl/>
              <w:tabs>
                <w:tab w:val="center" w:pos="4201"/>
                <w:tab w:val="right" w:leader="dot" w:pos="9298"/>
              </w:tabs>
              <w:snapToGrid w:val="0"/>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18.5～1024 </w:t>
            </w:r>
          </w:p>
        </w:tc>
        <w:tc>
          <w:tcPr>
            <w:tcW w:w="2108" w:type="dxa"/>
          </w:tcPr>
          <w:p>
            <w:pPr>
              <w:widowControl/>
              <w:tabs>
                <w:tab w:val="center" w:pos="4201"/>
                <w:tab w:val="right" w:leader="dot" w:pos="9298"/>
              </w:tabs>
              <w:snapToGrid w:val="0"/>
              <w:spacing w:line="240" w:lineRule="auto"/>
              <w:jc w:val="center"/>
              <w:rPr>
                <w:rFonts w:hint="eastAsia" w:ascii="宋体" w:hAnsi="宋体" w:cs="宋体"/>
                <w:color w:val="000000"/>
                <w:kern w:val="0"/>
                <w:sz w:val="18"/>
                <w:szCs w:val="18"/>
              </w:rPr>
            </w:pPr>
            <w:r>
              <w:rPr>
                <w:rFonts w:hint="eastAsia" w:ascii="宋体" w:hAnsi="宋体" w:cs="宋体"/>
                <w:i/>
                <w:iCs/>
                <w:color w:val="000000"/>
                <w:kern w:val="0"/>
                <w:sz w:val="18"/>
                <w:szCs w:val="18"/>
              </w:rPr>
              <w:t>r</w:t>
            </w:r>
            <w:r>
              <w:rPr>
                <w:rFonts w:hint="eastAsia" w:ascii="宋体" w:hAnsi="宋体" w:cs="宋体"/>
                <w:color w:val="000000"/>
                <w:kern w:val="0"/>
                <w:sz w:val="18"/>
                <w:szCs w:val="18"/>
              </w:rPr>
              <w:t xml:space="preserve"> =0.0155</w:t>
            </w:r>
            <w:r>
              <w:rPr>
                <w:rFonts w:hint="eastAsia" w:ascii="宋体" w:hAnsi="宋体" w:cs="宋体"/>
                <w:i/>
                <w:iCs/>
                <w:color w:val="000000"/>
                <w:kern w:val="0"/>
                <w:sz w:val="18"/>
                <w:szCs w:val="18"/>
              </w:rPr>
              <w:t>m</w:t>
            </w:r>
            <w:r>
              <w:rPr>
                <w:rFonts w:hint="eastAsia" w:ascii="宋体" w:hAnsi="宋体" w:cs="宋体"/>
                <w:color w:val="000000"/>
                <w:kern w:val="0"/>
                <w:sz w:val="18"/>
                <w:szCs w:val="18"/>
              </w:rPr>
              <w:t>+3.1654</w:t>
            </w:r>
          </w:p>
        </w:tc>
        <w:tc>
          <w:tcPr>
            <w:tcW w:w="2108" w:type="dxa"/>
          </w:tcPr>
          <w:p>
            <w:pPr>
              <w:widowControl/>
              <w:tabs>
                <w:tab w:val="center" w:pos="4201"/>
                <w:tab w:val="right" w:leader="dot" w:pos="9298"/>
              </w:tabs>
              <w:snapToGrid w:val="0"/>
              <w:spacing w:line="240" w:lineRule="auto"/>
              <w:jc w:val="center"/>
              <w:rPr>
                <w:rFonts w:hint="eastAsia" w:ascii="宋体" w:hAnsi="宋体" w:cs="宋体"/>
                <w:color w:val="000000"/>
                <w:kern w:val="0"/>
                <w:sz w:val="18"/>
                <w:szCs w:val="18"/>
              </w:rPr>
            </w:pPr>
            <w:r>
              <w:rPr>
                <w:rFonts w:hint="eastAsia" w:ascii="宋体" w:hAnsi="宋体" w:cs="宋体"/>
                <w:i/>
                <w:iCs/>
                <w:color w:val="000000"/>
                <w:kern w:val="0"/>
                <w:sz w:val="18"/>
                <w:szCs w:val="18"/>
              </w:rPr>
              <w:t>R</w:t>
            </w:r>
            <w:r>
              <w:rPr>
                <w:rFonts w:hint="eastAsia" w:ascii="宋体" w:hAnsi="宋体" w:cs="宋体"/>
                <w:color w:val="000000"/>
                <w:kern w:val="0"/>
                <w:sz w:val="18"/>
                <w:szCs w:val="18"/>
              </w:rPr>
              <w:t xml:space="preserve"> =0.0239</w:t>
            </w:r>
            <w:r>
              <w:rPr>
                <w:rFonts w:hint="eastAsia" w:ascii="宋体" w:hAnsi="宋体" w:cs="宋体"/>
                <w:i/>
                <w:iCs/>
                <w:color w:val="000000"/>
                <w:kern w:val="0"/>
                <w:sz w:val="18"/>
                <w:szCs w:val="18"/>
              </w:rPr>
              <w:t>m</w:t>
            </w:r>
            <w:r>
              <w:rPr>
                <w:rFonts w:hint="eastAsia" w:ascii="宋体" w:hAnsi="宋体" w:cs="宋体"/>
                <w:color w:val="000000"/>
                <w:kern w:val="0"/>
                <w:sz w:val="18"/>
                <w:szCs w:val="18"/>
              </w:rPr>
              <w:t>+3.1603</w:t>
            </w:r>
          </w:p>
        </w:tc>
      </w:tr>
    </w:tbl>
    <w:p>
      <w:pPr>
        <w:pStyle w:val="56"/>
        <w:ind w:firstLine="199" w:firstLineChars="95"/>
      </w:pPr>
    </w:p>
    <w:p>
      <w:pPr>
        <w:pStyle w:val="104"/>
        <w:spacing w:before="240" w:after="240"/>
      </w:pPr>
      <w:r>
        <w:rPr>
          <w:rFonts w:hint="eastAsia"/>
        </w:rPr>
        <w:t>试验报告</w:t>
      </w:r>
    </w:p>
    <w:p>
      <w:pPr>
        <w:pStyle w:val="56"/>
        <w:ind w:firstLine="420"/>
      </w:pPr>
      <w:r>
        <w:rPr>
          <w:rFonts w:hint="eastAsia"/>
        </w:rPr>
        <w:t>试验报告应包括下列内容：</w:t>
      </w:r>
    </w:p>
    <w:p>
      <w:pPr>
        <w:tabs>
          <w:tab w:val="left" w:pos="319"/>
        </w:tabs>
        <w:adjustRightInd/>
        <w:snapToGrid w:val="0"/>
        <w:spacing w:line="240" w:lineRule="auto"/>
        <w:ind w:firstLine="420" w:firstLineChars="200"/>
        <w:rPr>
          <w:rFonts w:hint="eastAsia" w:ascii="宋体" w:hAnsi="宋体" w:cs="宋体"/>
          <w:kern w:val="0"/>
        </w:rPr>
      </w:pPr>
      <w:r>
        <w:rPr>
          <w:rFonts w:hint="eastAsia" w:ascii="宋体" w:hAnsi="宋体" w:cs="宋体"/>
          <w:kern w:val="0"/>
        </w:rPr>
        <w:t>——识别样品、实验室和试验日期所需的相关资料；</w:t>
      </w:r>
    </w:p>
    <w:p>
      <w:pPr>
        <w:tabs>
          <w:tab w:val="left" w:pos="326"/>
        </w:tabs>
        <w:adjustRightInd/>
        <w:snapToGrid w:val="0"/>
        <w:spacing w:line="240" w:lineRule="auto"/>
        <w:ind w:firstLine="420" w:firstLineChars="200"/>
        <w:rPr>
          <w:rFonts w:hint="eastAsia" w:ascii="宋体" w:hAnsi="宋体" w:cs="宋体"/>
          <w:kern w:val="0"/>
        </w:rPr>
      </w:pPr>
      <w:r>
        <w:rPr>
          <w:rFonts w:hint="eastAsia" w:ascii="宋体" w:hAnsi="宋体" w:cs="宋体"/>
          <w:kern w:val="0"/>
        </w:rPr>
        <w:t>——引用标准；</w:t>
      </w:r>
    </w:p>
    <w:p>
      <w:pPr>
        <w:tabs>
          <w:tab w:val="left" w:pos="326"/>
        </w:tabs>
        <w:adjustRightInd/>
        <w:snapToGrid w:val="0"/>
        <w:spacing w:line="240" w:lineRule="auto"/>
        <w:ind w:firstLine="420" w:firstLineChars="200"/>
        <w:rPr>
          <w:rFonts w:hint="eastAsia" w:ascii="宋体" w:hAnsi="宋体" w:cs="宋体"/>
          <w:kern w:val="0"/>
        </w:rPr>
      </w:pPr>
      <w:r>
        <w:rPr>
          <w:rFonts w:hint="eastAsia" w:ascii="宋体" w:hAnsi="宋体" w:cs="宋体"/>
          <w:kern w:val="0"/>
        </w:rPr>
        <w:t>——结果与其表示；</w:t>
      </w:r>
    </w:p>
    <w:p>
      <w:pPr>
        <w:tabs>
          <w:tab w:val="left" w:pos="330"/>
        </w:tabs>
        <w:adjustRightInd/>
        <w:snapToGrid w:val="0"/>
        <w:spacing w:line="240" w:lineRule="auto"/>
        <w:ind w:firstLine="420" w:firstLineChars="200"/>
        <w:rPr>
          <w:rFonts w:hint="eastAsia" w:ascii="宋体" w:hAnsi="宋体" w:cs="宋体"/>
          <w:kern w:val="0"/>
        </w:rPr>
      </w:pPr>
      <w:r>
        <w:rPr>
          <w:rFonts w:hint="eastAsia" w:ascii="宋体" w:hAnsi="宋体" w:cs="宋体"/>
          <w:kern w:val="0"/>
        </w:rPr>
        <w:t>——测定中发现的异常现象；</w:t>
      </w:r>
    </w:p>
    <w:p>
      <w:pPr>
        <w:pStyle w:val="230"/>
        <w:snapToGrid w:val="0"/>
        <w:rPr>
          <w:rFonts w:ascii="Times New Roman"/>
          <w:sz w:val="20"/>
        </w:rPr>
      </w:pPr>
      <w:r>
        <w:rPr>
          <w:rFonts w:hint="eastAsia" w:hAnsi="宋体" w:cs="宋体"/>
          <w:szCs w:val="21"/>
        </w:rPr>
        <w:t>——在测定过程中注意到的任何特性和本标准中没有规定的可能对试样和认证标准物质的结果产生影响的任何操作。</w:t>
      </w:r>
    </w:p>
    <w:p>
      <w:pPr>
        <w:pStyle w:val="56"/>
        <w:ind w:firstLine="420"/>
        <w:sectPr>
          <w:pgSz w:w="11906" w:h="16838"/>
          <w:pgMar w:top="2410" w:right="1134" w:bottom="1134" w:left="1134" w:header="1418" w:footer="1134" w:gutter="284"/>
          <w:pgNumType w:start="1"/>
          <w:cols w:space="425" w:num="1"/>
          <w:formProt w:val="0"/>
          <w:docGrid w:linePitch="312" w:charSpace="0"/>
        </w:sectPr>
      </w:pPr>
    </w:p>
    <w:bookmarkEnd w:id="20"/>
    <w:p>
      <w:pPr>
        <w:pStyle w:val="198"/>
        <w:rPr>
          <w:rFonts w:hint="eastAsia"/>
        </w:rPr>
      </w:pPr>
      <w:bookmarkStart w:id="48" w:name="BookMark5"/>
    </w:p>
    <w:p>
      <w:pPr>
        <w:pStyle w:val="199"/>
      </w:pPr>
    </w:p>
    <w:p>
      <w:pPr>
        <w:pStyle w:val="76"/>
        <w:spacing w:before="60" w:after="120"/>
      </w:pPr>
      <w:r>
        <w:br w:type="textWrapping"/>
      </w:r>
      <w:r>
        <w:rPr>
          <w:rFonts w:hint="eastAsia"/>
        </w:rPr>
        <w:t>（资料性）</w:t>
      </w:r>
      <w:r>
        <w:br w:type="textWrapping"/>
      </w:r>
      <w:r>
        <w:rPr>
          <w:rFonts w:ascii="Times New Roman"/>
          <w:sz w:val="20"/>
        </w:rPr>
        <w:t>原子吸收分光光度计参考工作条件</w:t>
      </w:r>
    </w:p>
    <w:p>
      <w:pPr>
        <w:pStyle w:val="230"/>
        <w:spacing w:line="360" w:lineRule="exact"/>
        <w:rPr>
          <w:rFonts w:hint="eastAsia" w:hAnsi="宋体" w:cs="宋体"/>
          <w:szCs w:val="21"/>
        </w:rPr>
      </w:pPr>
      <w:r>
        <w:rPr>
          <w:rFonts w:hint="eastAsia" w:hAnsi="宋体" w:cs="宋体"/>
          <w:szCs w:val="21"/>
        </w:rPr>
        <w:t>原子吸收分光光度计参考工作条件见A.1。</w:t>
      </w:r>
    </w:p>
    <w:p>
      <w:pPr>
        <w:pStyle w:val="230"/>
        <w:spacing w:line="360" w:lineRule="exact"/>
        <w:jc w:val="center"/>
        <w:rPr>
          <w:rFonts w:hint="eastAsia" w:ascii="黑体" w:hAnsi="黑体" w:eastAsia="黑体" w:cs="黑体"/>
          <w:szCs w:val="21"/>
        </w:rPr>
      </w:pPr>
      <w:r>
        <w:rPr>
          <w:rFonts w:hint="eastAsia" w:ascii="黑体" w:hAnsi="黑体" w:eastAsia="黑体" w:cs="黑体"/>
          <w:szCs w:val="21"/>
        </w:rPr>
        <w:t>表A.1 原子吸收分光光度计参考工作条件</w:t>
      </w:r>
    </w:p>
    <w:tbl>
      <w:tblPr>
        <w:tblStyle w:val="26"/>
        <w:tblW w:w="96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2117"/>
        <w:gridCol w:w="2294"/>
        <w:gridCol w:w="29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252"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元素</w:t>
            </w:r>
          </w:p>
        </w:tc>
        <w:tc>
          <w:tcPr>
            <w:tcW w:w="2117"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Ag</w:t>
            </w:r>
          </w:p>
        </w:tc>
        <w:tc>
          <w:tcPr>
            <w:tcW w:w="2294"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光源</w:t>
            </w:r>
          </w:p>
        </w:tc>
        <w:tc>
          <w:tcPr>
            <w:tcW w:w="2956"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空心阴极灯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252"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bookmarkStart w:id="49" w:name="_Hlk154498276"/>
            <w:r>
              <w:rPr>
                <w:rFonts w:hint="eastAsia" w:ascii="宋体" w:hAnsi="宋体" w:cs="宋体"/>
                <w:sz w:val="18"/>
                <w:szCs w:val="18"/>
              </w:rPr>
              <w:t>波长/nm</w:t>
            </w:r>
          </w:p>
        </w:tc>
        <w:tc>
          <w:tcPr>
            <w:tcW w:w="2117"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328.1</w:t>
            </w:r>
          </w:p>
        </w:tc>
        <w:tc>
          <w:tcPr>
            <w:tcW w:w="2294"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狭缝</w:t>
            </w:r>
          </w:p>
        </w:tc>
        <w:tc>
          <w:tcPr>
            <w:tcW w:w="2956"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0.7H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252" w:type="dxa"/>
            <w:tcBorders>
              <w:top w:val="single" w:color="auto" w:sz="12" w:space="0"/>
              <w:bottom w:val="single" w:color="auto" w:sz="12" w:space="0"/>
            </w:tcBorders>
          </w:tcPr>
          <w:p>
            <w:pPr>
              <w:pStyle w:val="230"/>
              <w:adjustRightInd w:val="0"/>
              <w:snapToGrid w:val="0"/>
              <w:ind w:firstLine="0" w:firstLineChars="0"/>
              <w:jc w:val="center"/>
              <w:rPr>
                <w:rFonts w:hint="eastAsia" w:hAnsi="宋体" w:cs="宋体"/>
                <w:sz w:val="18"/>
                <w:szCs w:val="18"/>
              </w:rPr>
            </w:pPr>
            <w:r>
              <w:rPr>
                <w:rFonts w:hint="eastAsia" w:hAnsi="宋体" w:cs="宋体"/>
                <w:sz w:val="18"/>
                <w:szCs w:val="18"/>
              </w:rPr>
              <w:t>乙炔流量(L/min)</w:t>
            </w:r>
          </w:p>
        </w:tc>
        <w:tc>
          <w:tcPr>
            <w:tcW w:w="2117" w:type="dxa"/>
            <w:tcBorders>
              <w:top w:val="single" w:color="auto" w:sz="12" w:space="0"/>
              <w:bottom w:val="single" w:color="auto" w:sz="12" w:space="0"/>
            </w:tcBorders>
          </w:tcPr>
          <w:p>
            <w:pPr>
              <w:snapToGrid w:val="0"/>
              <w:spacing w:line="240" w:lineRule="auto"/>
              <w:jc w:val="center"/>
              <w:rPr>
                <w:rFonts w:hint="eastAsia" w:ascii="宋体" w:hAnsi="宋体" w:cs="宋体"/>
                <w:sz w:val="18"/>
                <w:szCs w:val="18"/>
              </w:rPr>
            </w:pPr>
            <w:r>
              <w:rPr>
                <w:rFonts w:hint="eastAsia" w:ascii="宋体" w:hAnsi="宋体" w:cs="宋体"/>
                <w:sz w:val="18"/>
                <w:szCs w:val="18"/>
              </w:rPr>
              <w:t>0.80</w:t>
            </w:r>
          </w:p>
        </w:tc>
        <w:tc>
          <w:tcPr>
            <w:tcW w:w="2294" w:type="dxa"/>
            <w:tcBorders>
              <w:top w:val="single" w:color="auto" w:sz="12" w:space="0"/>
              <w:bottom w:val="single" w:color="auto" w:sz="12" w:space="0"/>
            </w:tcBorders>
          </w:tcPr>
          <w:p>
            <w:pPr>
              <w:snapToGrid w:val="0"/>
              <w:spacing w:line="240" w:lineRule="auto"/>
              <w:jc w:val="center"/>
              <w:rPr>
                <w:rFonts w:hint="eastAsia" w:ascii="宋体" w:hAnsi="宋体" w:cs="宋体"/>
                <w:sz w:val="18"/>
                <w:szCs w:val="18"/>
              </w:rPr>
            </w:pPr>
            <w:r>
              <w:rPr>
                <w:rFonts w:hint="eastAsia" w:ascii="宋体" w:hAnsi="宋体" w:cs="宋体"/>
                <w:sz w:val="18"/>
                <w:szCs w:val="18"/>
              </w:rPr>
              <w:t>空气气流量(L/min)</w:t>
            </w:r>
          </w:p>
        </w:tc>
        <w:tc>
          <w:tcPr>
            <w:tcW w:w="2956" w:type="dxa"/>
            <w:tcBorders>
              <w:top w:val="single" w:color="auto" w:sz="12" w:space="0"/>
              <w:bottom w:val="single" w:color="auto" w:sz="12" w:space="0"/>
            </w:tcBorders>
          </w:tcPr>
          <w:p>
            <w:pPr>
              <w:snapToGrid w:val="0"/>
              <w:spacing w:line="240" w:lineRule="auto"/>
              <w:jc w:val="center"/>
              <w:rPr>
                <w:rFonts w:hint="eastAsia" w:ascii="宋体" w:hAnsi="宋体" w:cs="宋体"/>
                <w:sz w:val="18"/>
                <w:szCs w:val="18"/>
              </w:rPr>
            </w:pPr>
            <w:r>
              <w:rPr>
                <w:rFonts w:hint="eastAsia" w:ascii="宋体" w:hAnsi="宋体" w:cs="宋体"/>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252" w:type="dxa"/>
            <w:tcBorders>
              <w:top w:val="single" w:color="auto" w:sz="12" w:space="0"/>
              <w:bottom w:val="single" w:color="auto" w:sz="12" w:space="0"/>
            </w:tcBorders>
            <w:vAlign w:val="center"/>
          </w:tcPr>
          <w:p>
            <w:pPr>
              <w:pStyle w:val="230"/>
              <w:adjustRightInd w:val="0"/>
              <w:snapToGrid w:val="0"/>
              <w:ind w:firstLine="0" w:firstLineChars="0"/>
              <w:jc w:val="center"/>
              <w:rPr>
                <w:rFonts w:hint="eastAsia" w:hAnsi="宋体" w:cs="宋体"/>
                <w:sz w:val="18"/>
                <w:szCs w:val="18"/>
              </w:rPr>
            </w:pPr>
            <w:r>
              <w:rPr>
                <w:rFonts w:hint="eastAsia" w:hAnsi="宋体" w:cs="宋体"/>
                <w:sz w:val="18"/>
                <w:szCs w:val="18"/>
              </w:rPr>
              <w:t>火焰类型</w:t>
            </w:r>
          </w:p>
        </w:tc>
        <w:tc>
          <w:tcPr>
            <w:tcW w:w="2117"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空气-乙炔，氧化型</w:t>
            </w:r>
          </w:p>
        </w:tc>
        <w:tc>
          <w:tcPr>
            <w:tcW w:w="2294"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灯电流/mA</w:t>
            </w:r>
          </w:p>
        </w:tc>
        <w:tc>
          <w:tcPr>
            <w:tcW w:w="2956"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252" w:type="dxa"/>
            <w:tcBorders>
              <w:top w:val="single" w:color="auto" w:sz="12" w:space="0"/>
              <w:bottom w:val="single" w:color="auto" w:sz="12" w:space="0"/>
            </w:tcBorders>
            <w:vAlign w:val="center"/>
          </w:tcPr>
          <w:p>
            <w:pPr>
              <w:pStyle w:val="230"/>
              <w:adjustRightInd w:val="0"/>
              <w:snapToGrid w:val="0"/>
              <w:ind w:firstLine="0" w:firstLineChars="0"/>
              <w:jc w:val="center"/>
              <w:rPr>
                <w:rFonts w:hint="eastAsia" w:hAnsi="宋体" w:cs="宋体"/>
                <w:sz w:val="18"/>
                <w:szCs w:val="18"/>
              </w:rPr>
            </w:pPr>
            <w:r>
              <w:rPr>
                <w:rFonts w:hint="eastAsia" w:hAnsi="宋体" w:cs="宋体"/>
                <w:sz w:val="18"/>
                <w:szCs w:val="18"/>
              </w:rPr>
              <w:t>燃烧头高度/mm</w:t>
            </w:r>
          </w:p>
        </w:tc>
        <w:tc>
          <w:tcPr>
            <w:tcW w:w="2117"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8</w:t>
            </w:r>
          </w:p>
        </w:tc>
        <w:tc>
          <w:tcPr>
            <w:tcW w:w="2294"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测量方法</w:t>
            </w:r>
          </w:p>
        </w:tc>
        <w:tc>
          <w:tcPr>
            <w:tcW w:w="2956" w:type="dxa"/>
            <w:tcBorders>
              <w:top w:val="single" w:color="auto" w:sz="12" w:space="0"/>
              <w:bottom w:val="single" w:color="auto" w:sz="12" w:space="0"/>
            </w:tcBorders>
            <w:vAlign w:val="center"/>
          </w:tcPr>
          <w:p>
            <w:pPr>
              <w:snapToGrid w:val="0"/>
              <w:spacing w:line="240" w:lineRule="auto"/>
              <w:jc w:val="center"/>
              <w:rPr>
                <w:rFonts w:hint="eastAsia" w:ascii="宋体" w:hAnsi="宋体" w:cs="宋体"/>
                <w:sz w:val="18"/>
                <w:szCs w:val="18"/>
              </w:rPr>
            </w:pPr>
            <w:r>
              <w:rPr>
                <w:rFonts w:hint="eastAsia" w:ascii="宋体" w:hAnsi="宋体" w:cs="宋体"/>
                <w:sz w:val="18"/>
                <w:szCs w:val="18"/>
              </w:rPr>
              <w:t>校准曲线</w:t>
            </w:r>
          </w:p>
        </w:tc>
      </w:tr>
      <w:bookmarkEnd w:id="49"/>
    </w:tbl>
    <w:p>
      <w:pPr>
        <w:pStyle w:val="56"/>
        <w:ind w:firstLine="0" w:firstLineChars="0"/>
      </w:pPr>
    </w:p>
    <w:p>
      <w:pPr>
        <w:pStyle w:val="56"/>
        <w:ind w:firstLine="420"/>
      </w:pPr>
    </w:p>
    <w:p>
      <w:pPr>
        <w:pStyle w:val="56"/>
        <w:ind w:firstLine="420"/>
      </w:pPr>
    </w:p>
    <w:p>
      <w:pPr>
        <w:pStyle w:val="56"/>
        <w:ind w:firstLine="420"/>
      </w:pPr>
    </w:p>
    <w:bookmarkEnd w:id="48"/>
    <w:p>
      <w:pPr>
        <w:pStyle w:val="56"/>
        <w:ind w:firstLine="0" w:firstLineChars="0"/>
        <w:jc w:val="center"/>
      </w:pPr>
      <w:bookmarkStart w:id="50" w:name="BookMark8"/>
      <w:r>
        <w:rPr>
          <w:rFonts w:hint="eastAsia"/>
        </w:rPr>
        <w:drawing>
          <wp:inline distT="0" distB="0" distL="0" distR="0">
            <wp:extent cx="1485900" cy="317500"/>
            <wp:effectExtent l="0" t="0" r="0" b="6350"/>
            <wp:docPr id="249286319" name="图片 1"/>
            <wp:cNvGraphicFramePr/>
            <a:graphic xmlns:a="http://schemas.openxmlformats.org/drawingml/2006/main">
              <a:graphicData uri="http://schemas.openxmlformats.org/drawingml/2006/picture">
                <pic:pic xmlns:pic="http://schemas.openxmlformats.org/drawingml/2006/picture">
                  <pic:nvPicPr>
                    <pic:cNvPr id="249286319"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T/HNNMIA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T/HNNMIA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pStyle w:val="23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0"/>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0"/>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23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18"/>
  </w:num>
  <w:num w:numId="17">
    <w:abstractNumId w:val="30"/>
  </w:num>
  <w:num w:numId="18">
    <w:abstractNumId w:val="16"/>
  </w:num>
  <w:num w:numId="19">
    <w:abstractNumId w:val="1"/>
  </w:num>
  <w:num w:numId="20">
    <w:abstractNumId w:val="11"/>
  </w:num>
  <w:num w:numId="21">
    <w:abstractNumId w:val="31"/>
  </w:num>
  <w:num w:numId="22">
    <w:abstractNumId w:val="21"/>
  </w:num>
  <w:num w:numId="23">
    <w:abstractNumId w:val="6"/>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jKtMskL+9bjhiIOJW/duEH13T4GQ3jhgMaS0pj3S3+kUWd58Jv5V1L72u/Za+v2a1wz+r5GYtXCXERTCrntHrw==" w:salt="L/O6P5kx3RtU2ROWi0HE7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mNTFhMjU1NDczOWU1NTFhNTU4NTg1ZmMyODIwMDMifQ=="/>
  </w:docVars>
  <w:rsids>
    <w:rsidRoot w:val="005D3DC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E9"/>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431"/>
    <w:rsid w:val="000F4AEA"/>
    <w:rsid w:val="000F67E9"/>
    <w:rsid w:val="00104926"/>
    <w:rsid w:val="00112EFB"/>
    <w:rsid w:val="00113B1E"/>
    <w:rsid w:val="0011711C"/>
    <w:rsid w:val="00124E4F"/>
    <w:rsid w:val="001260B7"/>
    <w:rsid w:val="001265CB"/>
    <w:rsid w:val="00131D6A"/>
    <w:rsid w:val="001321C6"/>
    <w:rsid w:val="001325C4"/>
    <w:rsid w:val="00133010"/>
    <w:rsid w:val="001338EE"/>
    <w:rsid w:val="00133AAE"/>
    <w:rsid w:val="00135323"/>
    <w:rsid w:val="001356C4"/>
    <w:rsid w:val="00137565"/>
    <w:rsid w:val="00141114"/>
    <w:rsid w:val="00142969"/>
    <w:rsid w:val="00143BD1"/>
    <w:rsid w:val="001446C2"/>
    <w:rsid w:val="001457E7"/>
    <w:rsid w:val="00145D9D"/>
    <w:rsid w:val="00146388"/>
    <w:rsid w:val="001529E5"/>
    <w:rsid w:val="00152FB3"/>
    <w:rsid w:val="00153C7E"/>
    <w:rsid w:val="00156B25"/>
    <w:rsid w:val="00156E1A"/>
    <w:rsid w:val="00157894"/>
    <w:rsid w:val="00157B55"/>
    <w:rsid w:val="001642FA"/>
    <w:rsid w:val="001642FD"/>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D6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BD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930"/>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64B"/>
    <w:rsid w:val="0036107C"/>
    <w:rsid w:val="003615D2"/>
    <w:rsid w:val="0036429C"/>
    <w:rsid w:val="00364A53"/>
    <w:rsid w:val="003654CB"/>
    <w:rsid w:val="00365AA9"/>
    <w:rsid w:val="00365F86"/>
    <w:rsid w:val="00365F87"/>
    <w:rsid w:val="00366E89"/>
    <w:rsid w:val="003705F4"/>
    <w:rsid w:val="00370D58"/>
    <w:rsid w:val="00371316"/>
    <w:rsid w:val="003758A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2531"/>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0A3B"/>
    <w:rsid w:val="003F23D3"/>
    <w:rsid w:val="003F3F08"/>
    <w:rsid w:val="003F49F1"/>
    <w:rsid w:val="003F6272"/>
    <w:rsid w:val="00400E72"/>
    <w:rsid w:val="00401400"/>
    <w:rsid w:val="00404869"/>
    <w:rsid w:val="00405884"/>
    <w:rsid w:val="00407D39"/>
    <w:rsid w:val="0041477A"/>
    <w:rsid w:val="004167A3"/>
    <w:rsid w:val="00423AC2"/>
    <w:rsid w:val="00432DAA"/>
    <w:rsid w:val="00434305"/>
    <w:rsid w:val="00435DF7"/>
    <w:rsid w:val="0044083F"/>
    <w:rsid w:val="00441AE7"/>
    <w:rsid w:val="00441FA5"/>
    <w:rsid w:val="00445574"/>
    <w:rsid w:val="004467FB"/>
    <w:rsid w:val="00452D6B"/>
    <w:rsid w:val="00454484"/>
    <w:rsid w:val="0045517B"/>
    <w:rsid w:val="00463B77"/>
    <w:rsid w:val="00463C7B"/>
    <w:rsid w:val="004644A6"/>
    <w:rsid w:val="004659BD"/>
    <w:rsid w:val="00470775"/>
    <w:rsid w:val="00473FE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2ED"/>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9AB"/>
    <w:rsid w:val="00561475"/>
    <w:rsid w:val="00562308"/>
    <w:rsid w:val="0056487B"/>
    <w:rsid w:val="00564FB9"/>
    <w:rsid w:val="00573D9E"/>
    <w:rsid w:val="00577F5C"/>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DCD"/>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3"/>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1A96"/>
    <w:rsid w:val="006A25E5"/>
    <w:rsid w:val="006A2B46"/>
    <w:rsid w:val="006A336D"/>
    <w:rsid w:val="006A37B9"/>
    <w:rsid w:val="006B2672"/>
    <w:rsid w:val="006B529F"/>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19D"/>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1A5"/>
    <w:rsid w:val="00765C43"/>
    <w:rsid w:val="00765EFB"/>
    <w:rsid w:val="007671CA"/>
    <w:rsid w:val="00767C61"/>
    <w:rsid w:val="0077008A"/>
    <w:rsid w:val="00773C1F"/>
    <w:rsid w:val="00774DA4"/>
    <w:rsid w:val="00775BB2"/>
    <w:rsid w:val="0077623C"/>
    <w:rsid w:val="00776599"/>
    <w:rsid w:val="0078114B"/>
    <w:rsid w:val="00781DD2"/>
    <w:rsid w:val="00783ECF"/>
    <w:rsid w:val="0078413A"/>
    <w:rsid w:val="007864E3"/>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3C3D"/>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3FB"/>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E49"/>
    <w:rsid w:val="00893FD1"/>
    <w:rsid w:val="00894836"/>
    <w:rsid w:val="00895172"/>
    <w:rsid w:val="00895680"/>
    <w:rsid w:val="00896DFF"/>
    <w:rsid w:val="0089762C"/>
    <w:rsid w:val="008A173B"/>
    <w:rsid w:val="008A1893"/>
    <w:rsid w:val="008A3179"/>
    <w:rsid w:val="008A57E6"/>
    <w:rsid w:val="008A6F81"/>
    <w:rsid w:val="008A769A"/>
    <w:rsid w:val="008B0C9C"/>
    <w:rsid w:val="008B166D"/>
    <w:rsid w:val="008B17F4"/>
    <w:rsid w:val="008B3615"/>
    <w:rsid w:val="008B4AC4"/>
    <w:rsid w:val="008B50C8"/>
    <w:rsid w:val="008B5281"/>
    <w:rsid w:val="008B602D"/>
    <w:rsid w:val="008B7E05"/>
    <w:rsid w:val="008C1797"/>
    <w:rsid w:val="008C219C"/>
    <w:rsid w:val="008C475E"/>
    <w:rsid w:val="008C619A"/>
    <w:rsid w:val="008D0CE8"/>
    <w:rsid w:val="008D2D1D"/>
    <w:rsid w:val="008D453D"/>
    <w:rsid w:val="008D53AD"/>
    <w:rsid w:val="008D562B"/>
    <w:rsid w:val="008D5733"/>
    <w:rsid w:val="008D622B"/>
    <w:rsid w:val="008D666C"/>
    <w:rsid w:val="008D77D3"/>
    <w:rsid w:val="008D7B54"/>
    <w:rsid w:val="008E0C9D"/>
    <w:rsid w:val="008E1648"/>
    <w:rsid w:val="008E1B3E"/>
    <w:rsid w:val="008E2319"/>
    <w:rsid w:val="008E4BB6"/>
    <w:rsid w:val="008E5518"/>
    <w:rsid w:val="008E6A84"/>
    <w:rsid w:val="008F0CDC"/>
    <w:rsid w:val="008F17A3"/>
    <w:rsid w:val="008F1ED3"/>
    <w:rsid w:val="008F4C29"/>
    <w:rsid w:val="008F70BD"/>
    <w:rsid w:val="008F7336"/>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D3F"/>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F19"/>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FC7"/>
    <w:rsid w:val="00A2271D"/>
    <w:rsid w:val="00A237D5"/>
    <w:rsid w:val="00A242F7"/>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6EF"/>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B63"/>
    <w:rsid w:val="00B4654C"/>
    <w:rsid w:val="00B47293"/>
    <w:rsid w:val="00B50E50"/>
    <w:rsid w:val="00B52120"/>
    <w:rsid w:val="00B54ABC"/>
    <w:rsid w:val="00B56FBE"/>
    <w:rsid w:val="00B60ACF"/>
    <w:rsid w:val="00B62B58"/>
    <w:rsid w:val="00B63192"/>
    <w:rsid w:val="00B65149"/>
    <w:rsid w:val="00B66567"/>
    <w:rsid w:val="00B66F52"/>
    <w:rsid w:val="00B66FE5"/>
    <w:rsid w:val="00B72880"/>
    <w:rsid w:val="00B758BF"/>
    <w:rsid w:val="00B761FE"/>
    <w:rsid w:val="00B77EC8"/>
    <w:rsid w:val="00B827A6"/>
    <w:rsid w:val="00B831CE"/>
    <w:rsid w:val="00B86677"/>
    <w:rsid w:val="00B87131"/>
    <w:rsid w:val="00B939B1"/>
    <w:rsid w:val="00B96D40"/>
    <w:rsid w:val="00B97386"/>
    <w:rsid w:val="00B97F91"/>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86D"/>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5C8"/>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3F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DF8"/>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6D09"/>
    <w:rsid w:val="00D97F99"/>
    <w:rsid w:val="00DA1E08"/>
    <w:rsid w:val="00DA24F8"/>
    <w:rsid w:val="00DA28E8"/>
    <w:rsid w:val="00DA38D3"/>
    <w:rsid w:val="00DA3932"/>
    <w:rsid w:val="00DA3AFC"/>
    <w:rsid w:val="00DA64F8"/>
    <w:rsid w:val="00DA6C15"/>
    <w:rsid w:val="00DB0258"/>
    <w:rsid w:val="00DB0949"/>
    <w:rsid w:val="00DB38EE"/>
    <w:rsid w:val="00DB39F0"/>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1B75"/>
    <w:rsid w:val="00E02DFB"/>
    <w:rsid w:val="00E030F9"/>
    <w:rsid w:val="00E0311A"/>
    <w:rsid w:val="00E03138"/>
    <w:rsid w:val="00E06404"/>
    <w:rsid w:val="00E11A85"/>
    <w:rsid w:val="00E12495"/>
    <w:rsid w:val="00E15CCD"/>
    <w:rsid w:val="00E202EF"/>
    <w:rsid w:val="00E210B5"/>
    <w:rsid w:val="00E23D76"/>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F83"/>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8AC"/>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31F7"/>
    <w:rsid w:val="00F1409D"/>
    <w:rsid w:val="00F14214"/>
    <w:rsid w:val="00F157A9"/>
    <w:rsid w:val="00F16F00"/>
    <w:rsid w:val="00F25BB6"/>
    <w:rsid w:val="00F26B7E"/>
    <w:rsid w:val="00F27A3B"/>
    <w:rsid w:val="00F3007A"/>
    <w:rsid w:val="00F33817"/>
    <w:rsid w:val="00F420D5"/>
    <w:rsid w:val="00F451EA"/>
    <w:rsid w:val="00F45447"/>
    <w:rsid w:val="00F456C6"/>
    <w:rsid w:val="00F4577B"/>
    <w:rsid w:val="00F46496"/>
    <w:rsid w:val="00F47362"/>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178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4DA"/>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C31E14"/>
    <w:rsid w:val="037819BF"/>
    <w:rsid w:val="07830DF3"/>
    <w:rsid w:val="08F57ACE"/>
    <w:rsid w:val="0A717687"/>
    <w:rsid w:val="0ACA0AE6"/>
    <w:rsid w:val="0EF65315"/>
    <w:rsid w:val="11166833"/>
    <w:rsid w:val="18AB1F57"/>
    <w:rsid w:val="1C817B9F"/>
    <w:rsid w:val="1CD51C99"/>
    <w:rsid w:val="1EBE6F18"/>
    <w:rsid w:val="21146123"/>
    <w:rsid w:val="23B00D6A"/>
    <w:rsid w:val="255B2F57"/>
    <w:rsid w:val="2A6401B8"/>
    <w:rsid w:val="2B8B711F"/>
    <w:rsid w:val="2F49673C"/>
    <w:rsid w:val="302D38F9"/>
    <w:rsid w:val="35747E49"/>
    <w:rsid w:val="364D2448"/>
    <w:rsid w:val="36D641EB"/>
    <w:rsid w:val="37D5211A"/>
    <w:rsid w:val="37DD15AA"/>
    <w:rsid w:val="37F012DD"/>
    <w:rsid w:val="3BEE647B"/>
    <w:rsid w:val="3E4008D9"/>
    <w:rsid w:val="3FF322B2"/>
    <w:rsid w:val="41650F8E"/>
    <w:rsid w:val="4235728E"/>
    <w:rsid w:val="42997141"/>
    <w:rsid w:val="42B20202"/>
    <w:rsid w:val="4446483B"/>
    <w:rsid w:val="446461CA"/>
    <w:rsid w:val="46456C98"/>
    <w:rsid w:val="47B265AF"/>
    <w:rsid w:val="483B2A48"/>
    <w:rsid w:val="50665D79"/>
    <w:rsid w:val="50E7376D"/>
    <w:rsid w:val="51654692"/>
    <w:rsid w:val="51AC0513"/>
    <w:rsid w:val="51E87CF6"/>
    <w:rsid w:val="533B7DA0"/>
    <w:rsid w:val="537D51B6"/>
    <w:rsid w:val="56F3629C"/>
    <w:rsid w:val="57B63E99"/>
    <w:rsid w:val="59F47352"/>
    <w:rsid w:val="5DD92690"/>
    <w:rsid w:val="5E1B65BF"/>
    <w:rsid w:val="60000117"/>
    <w:rsid w:val="609C0429"/>
    <w:rsid w:val="616A3388"/>
    <w:rsid w:val="6602146F"/>
    <w:rsid w:val="677D5E3A"/>
    <w:rsid w:val="68555008"/>
    <w:rsid w:val="68D75A1D"/>
    <w:rsid w:val="694D7A8E"/>
    <w:rsid w:val="69A36B7C"/>
    <w:rsid w:val="6A7C017E"/>
    <w:rsid w:val="6C5351BD"/>
    <w:rsid w:val="74271331"/>
    <w:rsid w:val="751C1388"/>
    <w:rsid w:val="79B208FA"/>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19"/>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0"/>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19"/>
      </w:numPr>
      <w:adjustRightInd/>
    </w:pPr>
    <w:rPr>
      <w:szCs w:val="24"/>
    </w:rPr>
  </w:style>
  <w:style w:type="paragraph" w:customStyle="1" w:styleId="159">
    <w:name w:val="一级无标题条"/>
    <w:basedOn w:val="1"/>
    <w:autoRedefine/>
    <w:qFormat/>
    <w:uiPriority w:val="0"/>
    <w:pPr>
      <w:numPr>
        <w:ilvl w:val="2"/>
        <w:numId w:val="19"/>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2"/>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3"/>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0"/>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4"/>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0"/>
      </w:numPr>
      <w:ind w:left="1271" w:hanging="420" w:firstLineChars="0"/>
    </w:pPr>
  </w:style>
  <w:style w:type="paragraph" w:customStyle="1" w:styleId="188">
    <w:name w:val="标准文件_三级项2"/>
    <w:basedOn w:val="56"/>
    <w:autoRedefine/>
    <w:qFormat/>
    <w:uiPriority w:val="0"/>
    <w:pPr>
      <w:numPr>
        <w:ilvl w:val="0"/>
        <w:numId w:val="29"/>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0"/>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autoRedefine/>
    <w:qFormat/>
    <w:uiPriority w:val="0"/>
    <w:rPr>
      <w:rFonts w:ascii="宋体" w:hAnsi="Times New Roman"/>
      <w:sz w:val="21"/>
    </w:rPr>
  </w:style>
  <w:style w:type="paragraph" w:customStyle="1" w:styleId="232">
    <w:name w:val="附录表标题"/>
    <w:basedOn w:val="1"/>
    <w:next w:val="230"/>
    <w:qFormat/>
    <w:uiPriority w:val="0"/>
    <w:pPr>
      <w:numPr>
        <w:ilvl w:val="1"/>
        <w:numId w:val="14"/>
      </w:numPr>
      <w:tabs>
        <w:tab w:val="left" w:pos="180"/>
      </w:tabs>
      <w:adjustRightInd/>
      <w:spacing w:before="50" w:beforeLines="50" w:after="50" w:afterLines="50" w:line="240" w:lineRule="auto"/>
      <w:jc w:val="center"/>
    </w:pPr>
    <w:rPr>
      <w:rFonts w:ascii="黑体" w:hAnsi="Times New Roman" w:eastAsia="黑体"/>
    </w:rPr>
  </w:style>
  <w:style w:type="character" w:customStyle="1" w:styleId="233">
    <w:name w:val="font01"/>
    <w:basedOn w:val="28"/>
    <w:autoRedefine/>
    <w:qFormat/>
    <w:uiPriority w:val="0"/>
    <w:rPr>
      <w:rFonts w:hint="eastAsia" w:ascii="宋体" w:hAnsi="宋体" w:eastAsia="宋体" w:cs="宋体"/>
      <w:b/>
      <w:bCs/>
      <w:color w:val="000000"/>
      <w:sz w:val="21"/>
      <w:szCs w:val="21"/>
      <w:u w:val="none"/>
    </w:rPr>
  </w:style>
  <w:style w:type="paragraph" w:customStyle="1" w:styleId="234">
    <w:name w:val="二级条标题"/>
    <w:basedOn w:val="235"/>
    <w:next w:val="230"/>
    <w:qFormat/>
    <w:uiPriority w:val="0"/>
    <w:pPr>
      <w:numPr>
        <w:ilvl w:val="2"/>
      </w:numPr>
      <w:spacing w:before="50" w:after="50"/>
      <w:outlineLvl w:val="3"/>
    </w:pPr>
  </w:style>
  <w:style w:type="paragraph" w:customStyle="1" w:styleId="235">
    <w:name w:val="一级条标题"/>
    <w:next w:val="230"/>
    <w:autoRedefine/>
    <w:qFormat/>
    <w:uiPriority w:val="0"/>
    <w:pPr>
      <w:numPr>
        <w:ilvl w:val="1"/>
        <w:numId w:val="3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正文表标题"/>
    <w:next w:val="230"/>
    <w:autoRedefine/>
    <w:qFormat/>
    <w:uiPriority w:val="0"/>
    <w:pPr>
      <w:numPr>
        <w:ilvl w:val="0"/>
        <w:numId w:val="32"/>
      </w:num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E4940183384A9385538D8DB0AA5D5B"/>
        <w:style w:val=""/>
        <w:category>
          <w:name w:val="常规"/>
          <w:gallery w:val="placeholder"/>
        </w:category>
        <w:types>
          <w:type w:val="bbPlcHdr"/>
        </w:types>
        <w:behaviors>
          <w:behavior w:val="content"/>
        </w:behaviors>
        <w:description w:val=""/>
        <w:guid w:val="{2B3F842D-E7BE-4CB9-803F-8F9BA047AE87}"/>
      </w:docPartPr>
      <w:docPartBody>
        <w:p>
          <w:pPr>
            <w:pStyle w:val="5"/>
            <w:rPr>
              <w:rFonts w:hint="eastAsia"/>
            </w:rPr>
          </w:pPr>
          <w:r>
            <w:rPr>
              <w:rStyle w:val="4"/>
              <w:rFonts w:hint="eastAsia"/>
            </w:rPr>
            <w:t>单击或点击此处输入文字。</w:t>
          </w:r>
        </w:p>
      </w:docPartBody>
    </w:docPart>
    <w:docPart>
      <w:docPartPr>
        <w:name w:val="B1F901AE30B342618829D0B44B7DB643"/>
        <w:style w:val=""/>
        <w:category>
          <w:name w:val="常规"/>
          <w:gallery w:val="placeholder"/>
        </w:category>
        <w:types>
          <w:type w:val="bbPlcHdr"/>
        </w:types>
        <w:behaviors>
          <w:behavior w:val="content"/>
        </w:behaviors>
        <w:description w:val=""/>
        <w:guid w:val="{CC9B6F8E-D24F-4519-8303-6C057AD87C31}"/>
      </w:docPartPr>
      <w:docPartBody>
        <w:p>
          <w:pPr>
            <w:pStyle w:val="6"/>
            <w:rPr>
              <w:rFonts w:hint="eastAsia"/>
            </w:rPr>
          </w:pPr>
          <w:r>
            <w:rPr>
              <w:rStyle w:val="4"/>
              <w:rFonts w:hint="eastAsia"/>
            </w:rPr>
            <w:t>选择一项。</w:t>
          </w:r>
        </w:p>
      </w:docPartBody>
    </w:docPart>
    <w:docPart>
      <w:docPartPr>
        <w:name w:val="33AB043F6F8942918D02EEF6D33DBA78"/>
        <w:style w:val=""/>
        <w:category>
          <w:name w:val="常规"/>
          <w:gallery w:val="placeholder"/>
        </w:category>
        <w:types>
          <w:type w:val="bbPlcHdr"/>
        </w:types>
        <w:behaviors>
          <w:behavior w:val="content"/>
        </w:behaviors>
        <w:description w:val=""/>
        <w:guid w:val="{AC4D4E88-CD58-4B2D-9D60-E4585648AB85}"/>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A3"/>
    <w:rsid w:val="00047A1A"/>
    <w:rsid w:val="00055709"/>
    <w:rsid w:val="000D63AF"/>
    <w:rsid w:val="00112EFB"/>
    <w:rsid w:val="00140B53"/>
    <w:rsid w:val="00281A8D"/>
    <w:rsid w:val="003758A5"/>
    <w:rsid w:val="0052396F"/>
    <w:rsid w:val="005C456F"/>
    <w:rsid w:val="00613593"/>
    <w:rsid w:val="006F2F23"/>
    <w:rsid w:val="0078576A"/>
    <w:rsid w:val="008A35DE"/>
    <w:rsid w:val="008B602D"/>
    <w:rsid w:val="008D7B81"/>
    <w:rsid w:val="009052A3"/>
    <w:rsid w:val="009D0F19"/>
    <w:rsid w:val="00A906EF"/>
    <w:rsid w:val="00B64465"/>
    <w:rsid w:val="00C43FE5"/>
    <w:rsid w:val="00D11923"/>
    <w:rsid w:val="00D25DF8"/>
    <w:rsid w:val="00F02C4E"/>
    <w:rsid w:val="00F131F7"/>
    <w:rsid w:val="00F4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E4940183384A9385538D8DB0AA5D5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1F901AE30B342618829D0B44B7DB6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33AB043F6F8942918D02EEF6D33DBA7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2049</Words>
  <Characters>2479</Characters>
  <Lines>22</Lines>
  <Paragraphs>6</Paragraphs>
  <TotalTime>7</TotalTime>
  <ScaleCrop>false</ScaleCrop>
  <LinksUpToDate>false</LinksUpToDate>
  <CharactersWithSpaces>2686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2024-07-30T23:20:00Z</dcterms:created>
  <dc:creator>dell</dc:creator>
  <dc:description>&lt;config cover="true" show_menu="true" version="1.0.0" doctype="SDKXY"&gt;_x000d_
&lt;/config&gt;</dc:description>
  <cp:lastModifiedBy>--</cp:lastModifiedBy>
  <cp:lastPrinted>2021-02-02T08:22:00Z</cp:lastPrinted>
  <dcterms:modified xsi:type="dcterms:W3CDTF">2024-08-02T01:44:03Z</dcterms:modified>
  <dc:title>团体标准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A2DBA96DE2934D9FABB2C066691F6857_13</vt:lpwstr>
  </property>
</Properties>
</file>