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2008A4">
      <w:pPr>
        <w:framePr w:wrap="auto" w:vAnchor="margin" w:hAnchor="text" w:yAlign="inline"/>
        <w:spacing w:line="300" w:lineRule="auto"/>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w:t>
      </w:r>
      <w:r>
        <w:rPr>
          <w:rFonts w:ascii="宋体" w:hAnsi="宋体" w:eastAsia="宋体" w:cs="宋体"/>
          <w:b/>
          <w:bCs/>
          <w:sz w:val="32"/>
          <w:szCs w:val="32"/>
          <w:lang w:val="zh-TW"/>
        </w:rPr>
        <w:t>低空经济营商环境法治保障评估指南</w:t>
      </w:r>
      <w:r>
        <w:rPr>
          <w:rFonts w:hint="cs" w:ascii="宋体" w:hAnsi="宋体" w:eastAsia="宋体" w:cs="宋体"/>
          <w:b/>
          <w:bCs/>
          <w:sz w:val="32"/>
          <w:szCs w:val="32"/>
          <w:lang w:val="zh-TW"/>
        </w:rPr>
        <w:t>》</w:t>
      </w:r>
    </w:p>
    <w:p w14:paraId="00F85BA4">
      <w:pPr>
        <w:framePr w:wrap="auto" w:vAnchor="margin" w:hAnchor="text" w:yAlign="inline"/>
        <w:spacing w:line="300" w:lineRule="auto"/>
        <w:jc w:val="center"/>
        <w:outlineLvl w:val="0"/>
        <w:rPr>
          <w:rFonts w:hint="default"/>
          <w:b/>
          <w:bCs/>
          <w:sz w:val="32"/>
          <w:szCs w:val="32"/>
          <w:lang w:val="zh-TW" w:eastAsia="zh-TW"/>
        </w:rPr>
      </w:pPr>
      <w:r>
        <w:rPr>
          <w:rFonts w:ascii="宋体" w:hAnsi="宋体" w:eastAsia="宋体" w:cs="宋体"/>
          <w:b/>
          <w:bCs/>
          <w:sz w:val="32"/>
          <w:szCs w:val="32"/>
          <w:lang w:val="zh-TW" w:eastAsia="zh-TW"/>
        </w:rPr>
        <w:t>团体标准编制说明</w:t>
      </w:r>
    </w:p>
    <w:p w14:paraId="52E050F5">
      <w:pPr>
        <w:framePr w:wrap="auto" w:vAnchor="margin" w:hAnchor="text" w:yAlign="inline"/>
        <w:spacing w:line="360" w:lineRule="auto"/>
        <w:ind w:firstLine="482"/>
        <w:rPr>
          <w:rFonts w:ascii="宋体" w:hAnsi="宋体" w:eastAsia="宋体" w:cs="宋体"/>
          <w:b/>
          <w:bCs/>
          <w:kern w:val="0"/>
          <w:sz w:val="24"/>
          <w:szCs w:val="24"/>
          <w:lang w:eastAsia="zh-TW"/>
        </w:rPr>
      </w:pPr>
    </w:p>
    <w:p w14:paraId="028EB18F">
      <w:pPr>
        <w:pStyle w:val="12"/>
        <w:framePr w:wrap="auto" w:vAnchor="margin" w:hAnchor="text" w:yAlign="inline"/>
        <w:spacing w:line="360" w:lineRule="auto"/>
        <w:ind w:left="482" w:firstLine="0"/>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eastAsia="zh-TW"/>
        </w:rPr>
        <w:t>标准项目来源</w:t>
      </w:r>
    </w:p>
    <w:p w14:paraId="3A3D3697">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本标准回应了联合国2030可持续发展目标中的第8项“体面工作和经济增长”、第9项“产业、创新和基础设施”和第10项“和平、正义与强大机构”，由中国国际贸易促进会商业行业委员会营商环境监测中心提出并组织起草本标准，由中国国际贸易促进委员会商业行业委员会归口管理</w:t>
      </w:r>
      <w:r>
        <w:rPr>
          <w:rFonts w:ascii="宋体" w:hAnsi="宋体" w:eastAsia="宋体" w:cs="宋体"/>
          <w:color w:val="auto"/>
          <w:sz w:val="24"/>
          <w:szCs w:val="24"/>
          <w:lang w:val="zh-TW"/>
        </w:rPr>
        <w:t>。</w:t>
      </w:r>
    </w:p>
    <w:p w14:paraId="6EC6584C">
      <w:pPr>
        <w:framePr w:wrap="auto" w:vAnchor="margin" w:hAnchor="text" w:yAlign="inline"/>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4A365D4F">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编制目的</w:t>
      </w:r>
    </w:p>
    <w:p w14:paraId="22A689B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推动低空经济法治化进程</w:t>
      </w:r>
    </w:p>
    <w:p w14:paraId="69FE58DE">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随着低空经济的快速发展，需要建立与之相匹配的法治保障体系，确保低空经济在合法、合规的轨道上健康发展。编制该团体标准，旨在通过明确法治保障的具体要求和评估指标，推动低空经济相关法律法规的完善和实施。</w:t>
      </w:r>
    </w:p>
    <w:p w14:paraId="5DA4349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提升营商环境质量</w:t>
      </w:r>
    </w:p>
    <w:p w14:paraId="7F83171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企业满意度调查是衡量营商环境建设水平的重要标尺。该标准的编制有助于政府和服务机构了解低空经济领域企业的法治需求，从而提供更加精准、高效的服务，提升整个低空经济营商环境的质量和效率。</w:t>
      </w:r>
    </w:p>
    <w:p w14:paraId="6319C610">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激发市场活力与创新</w:t>
      </w:r>
    </w:p>
    <w:p w14:paraId="6ED045A0">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通过法治保障评估，可以识别并消除影响低空经济发展的制度性障碍，激发市场主体的创新活力和发展潜力，为低空经济的持续健康发展提供有力支撑。</w:t>
      </w:r>
    </w:p>
    <w:p w14:paraId="470C07F5">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编制意义</w:t>
      </w:r>
    </w:p>
    <w:p w14:paraId="339A0D2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为行业提供统一评价标尺</w:t>
      </w:r>
    </w:p>
    <w:p w14:paraId="37F7987D">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该团体标准的编制为低空经济领域的法治保障工作提供了统一的评价标尺，有助于实现评估工作的规范化、标准化和科学化，提高评估结果的客观性和公信力。</w:t>
      </w:r>
    </w:p>
    <w:p w14:paraId="30A1CEE6">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促进政商关系和谐</w:t>
      </w:r>
    </w:p>
    <w:p w14:paraId="4A8B1F14">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法治是保障政商关系和谐的重要基石。通过编制和实施该标准，可以进一步明确政府在低空经济发展中的职责和作用，促进政府与企业之间的良性互动和合作，为低空经济的健康发展营造良好的外部环境。</w:t>
      </w:r>
    </w:p>
    <w:p w14:paraId="56340DB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推动行业健康发展</w:t>
      </w:r>
    </w:p>
    <w:p w14:paraId="25FF2250">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法治保障评估指南的制定和实施，有助于引导低空经济领域的企业依法经营、合规发展，减少违法违规行为的发生，维护市场的公平竞争秩序。同时，通过评估结果的反馈和整改落实，可以推动整个行业的持续改进和健康发展。</w:t>
      </w:r>
    </w:p>
    <w:p w14:paraId="47D42211">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4.</w:t>
      </w:r>
      <w:r>
        <w:rPr>
          <w:rFonts w:hint="default" w:ascii="宋体" w:hAnsi="宋体" w:eastAsia="宋体" w:cs="宋体"/>
          <w:color w:val="auto"/>
          <w:sz w:val="24"/>
          <w:szCs w:val="24"/>
          <w:lang w:val="zh-TW"/>
        </w:rPr>
        <w:t>积累前瞻性应用数据</w:t>
      </w:r>
    </w:p>
    <w:p w14:paraId="302BB93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团体标准相对于国家标准来说，周期性较短，制定和发布过程较为灵活。该标准的编制和实施过程中，可以积累大量关于低空经济营商环境法治保障的前瞻性应用数据，为未来相关国家标准的制定和修订提供参考依据。</w:t>
      </w:r>
    </w:p>
    <w:p w14:paraId="186C96E5">
      <w:pPr>
        <w:pStyle w:val="12"/>
        <w:framePr w:wrap="auto" w:vAnchor="margin" w:hAnchor="text" w:yAlign="inline"/>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18E59FF8">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（一）预研阶段</w:t>
      </w:r>
    </w:p>
    <w:p w14:paraId="3C36993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中国国际贸易促进会商业行业委员会营商环境监测中心组织标准编写小组，于2024年4月启动项目需求调研工作，主要调研了河南、湖北、北京、吉林等相关政府和企业，收集企业满意度领域的企业、政府部门、行业协会等相关方的需求和意见，了解当前企业满意度调查的现状及存在问题。</w:t>
      </w:r>
    </w:p>
    <w:p w14:paraId="15A11F6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组织专家对国内外相关领域的法律法规、政策文件、标准规范等进行收集和分析，为研究制定团体标准提供理论依据和参考。同时进行研讨，明确标准制定的目标、原则、范围和技术要求等。</w:t>
      </w:r>
    </w:p>
    <w:p w14:paraId="613DE038">
      <w:pPr>
        <w:framePr w:wrap="auto" w:vAnchor="margin" w:hAnchor="text" w:yAlign="inline"/>
        <w:spacing w:line="360" w:lineRule="auto"/>
        <w:ind w:firstLine="482" w:firstLineChars="20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（二）立项阶段</w:t>
      </w:r>
    </w:p>
    <w:p w14:paraId="1DCFBA95">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1.2024年5月由中国贸促会商业行业委员会营商环境监测中心整理资料，向中国国际贸易促进委员会商业行业委员会提交立项申请。</w:t>
      </w:r>
    </w:p>
    <w:p w14:paraId="4535B1B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中国国际贸易促进委员会商业行业委员会对</w:t>
      </w:r>
      <w:r>
        <w:rPr>
          <w:rFonts w:hint="eastAsia" w:ascii="宋体" w:hAnsi="宋体" w:eastAsia="宋体" w:cs="宋体"/>
          <w:color w:val="auto"/>
          <w:sz w:val="24"/>
          <w:szCs w:val="24"/>
          <w:lang w:val="en-US" w:eastAsia="zh-CN"/>
        </w:rPr>
        <w:t>标准的必要性和合理性进行评估后，</w:t>
      </w:r>
      <w:r>
        <w:rPr>
          <w:rFonts w:ascii="宋体" w:hAnsi="宋体" w:eastAsia="宋体" w:cs="宋体"/>
          <w:color w:val="auto"/>
          <w:sz w:val="24"/>
          <w:szCs w:val="24"/>
          <w:lang w:val="zh-TW"/>
        </w:rPr>
        <w:t>2024年6月25日</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rPr>
        <w:t>于</w:t>
      </w:r>
      <w:r>
        <w:rPr>
          <w:rFonts w:hint="eastAsia" w:ascii="宋体" w:hAnsi="宋体" w:eastAsia="宋体" w:cs="宋体"/>
          <w:color w:val="auto"/>
          <w:sz w:val="24"/>
          <w:szCs w:val="24"/>
          <w:lang w:val="en-US" w:eastAsia="zh-CN"/>
        </w:rPr>
        <w:t>《关于下达2024年第五批团体标准项目计划的通知》（商贸促字〔2024〕143号）</w:t>
      </w:r>
      <w:r>
        <w:rPr>
          <w:rFonts w:ascii="宋体" w:hAnsi="宋体" w:eastAsia="宋体" w:cs="宋体"/>
          <w:color w:val="auto"/>
          <w:sz w:val="24"/>
          <w:szCs w:val="24"/>
          <w:lang w:val="zh-TW"/>
        </w:rPr>
        <w:t>中正式批准立项</w:t>
      </w:r>
      <w:r>
        <w:rPr>
          <w:rFonts w:ascii="宋体" w:hAnsi="宋体" w:eastAsia="宋体" w:cs="宋体"/>
          <w:color w:val="auto"/>
          <w:sz w:val="24"/>
          <w:szCs w:val="24"/>
          <w:lang w:val="zh-TW" w:eastAsia="zh-TW"/>
        </w:rPr>
        <w:t>，</w:t>
      </w:r>
      <w:bookmarkStart w:id="7" w:name="_GoBack"/>
      <w:bookmarkEnd w:id="7"/>
      <w:r>
        <w:rPr>
          <w:rFonts w:ascii="宋体" w:hAnsi="宋体" w:eastAsia="宋体" w:cs="宋体"/>
          <w:color w:val="auto"/>
          <w:sz w:val="24"/>
          <w:szCs w:val="24"/>
          <w:lang w:val="zh-TW"/>
        </w:rPr>
        <w:t>计划编号：CCPIT-CSC-JH20242</w:t>
      </w:r>
      <w:r>
        <w:rPr>
          <w:rFonts w:ascii="宋体" w:hAnsi="宋体" w:eastAsia="宋体" w:cs="宋体"/>
          <w:color w:val="auto"/>
          <w:sz w:val="24"/>
          <w:szCs w:val="24"/>
        </w:rPr>
        <w:t>85</w:t>
      </w:r>
      <w:r>
        <w:rPr>
          <w:rFonts w:ascii="宋体" w:hAnsi="宋体" w:eastAsia="宋体" w:cs="宋体"/>
          <w:color w:val="auto"/>
          <w:sz w:val="24"/>
          <w:szCs w:val="24"/>
          <w:lang w:val="zh-TW"/>
        </w:rPr>
        <w:t>。</w:t>
      </w:r>
    </w:p>
    <w:p w14:paraId="37F03757">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（三）起草阶段</w:t>
      </w:r>
    </w:p>
    <w:p w14:paraId="1587C75F">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1.组织起草小组：2024年6月，由中国贸促会商业行业委员会营商环境监测中心牵头成立起草小组，明确职责分工。</w:t>
      </w:r>
    </w:p>
    <w:p w14:paraId="14F834EC">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编制标准草案：2024年6月召开标准启动会暨首次研讨会，来自企事业单位、高校、科研院所10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评估原则、评估指标体系、评估方法等。会后，起草组针对启动会前和会后，各单位及专家提出的11条修改建议进行了处理，并对相应的标准文本进行修订，开始新一轮意见征集。</w:t>
      </w:r>
    </w:p>
    <w:p w14:paraId="1112F810">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3.内部审查：起草小组内部对标准草案进行多次审查和修改，确保标准内容的科学性、合理性和可操作性。2024年7月，标准第二次研讨会顺利召开，</w:t>
      </w:r>
      <w:r>
        <w:rPr>
          <w:rFonts w:hint="eastAsia" w:ascii="宋体" w:hAnsi="宋体" w:eastAsia="宋体" w:cs="宋体"/>
          <w:color w:val="auto"/>
          <w:sz w:val="24"/>
          <w:szCs w:val="24"/>
          <w:lang w:val="zh-TW" w:eastAsia="zh-CN"/>
        </w:rPr>
        <w:t>会议</w:t>
      </w:r>
      <w:r>
        <w:rPr>
          <w:rFonts w:ascii="宋体" w:hAnsi="宋体" w:eastAsia="宋体" w:cs="宋体"/>
          <w:color w:val="auto"/>
          <w:sz w:val="24"/>
          <w:szCs w:val="24"/>
          <w:lang w:val="zh-TW"/>
        </w:rPr>
        <w:t>主要围绕启动会和首次研讨会召开以来征集到的意见进行讨论，针对专家提出的8条修改建议进行处理，并对相应的标准文本进行修改。2004年7月，标准第三次研讨会召开，针对专家提出的修改5条修改建议进行处理。</w:t>
      </w:r>
    </w:p>
    <w:p w14:paraId="1FC32560">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（四）征求意见阶段</w:t>
      </w:r>
    </w:p>
    <w:p w14:paraId="1C7DAA1F">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在征求意见阶段，主要工作包括：</w:t>
      </w:r>
    </w:p>
    <w:p w14:paraId="1BF41D5D">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1.公开征求意见：通过信函、网上公开、会议等多种形式，向相关企业、政府部门、行业协会等广泛征求意见。</w:t>
      </w:r>
    </w:p>
    <w:p w14:paraId="7F1731CD">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2.意见汇总与处理：2024年8月，我们将对收集到的意见进行汇总和分析，对合理的意见进行采纳，对不合理的意见进行解释说明，并对标准草案进行相应修改。</w:t>
      </w:r>
    </w:p>
    <w:p w14:paraId="37DE8E71">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（五）送审阶段</w:t>
      </w:r>
    </w:p>
    <w:p w14:paraId="700B606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2024年9月，送审阶段主要工作包括：</w:t>
      </w:r>
    </w:p>
    <w:p w14:paraId="7F7D9FE9">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1.提交送审稿：中国贸促会商业行业委员会营商环境监测中心将修改完善后的标准送审稿提交给</w:t>
      </w:r>
      <w:r>
        <w:rPr>
          <w:rFonts w:hint="eastAsia" w:ascii="宋体" w:hAnsi="宋体" w:eastAsia="宋体" w:cs="宋体"/>
          <w:color w:val="auto"/>
          <w:sz w:val="24"/>
          <w:szCs w:val="24"/>
          <w:lang w:val="en-US" w:eastAsia="zh-CN"/>
        </w:rPr>
        <w:t>中国国际贸易促进委员会</w:t>
      </w:r>
      <w:r>
        <w:rPr>
          <w:rFonts w:ascii="宋体" w:hAnsi="宋体" w:eastAsia="宋体" w:cs="宋体"/>
          <w:color w:val="auto"/>
          <w:sz w:val="24"/>
          <w:szCs w:val="24"/>
          <w:lang w:val="zh-TW"/>
        </w:rPr>
        <w:t>商业行业委员会进行审查。</w:t>
      </w:r>
    </w:p>
    <w:p w14:paraId="116CA7D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2.审查与批准：中国国际贸易促进委员会商业行业委员会组织专家对送审稿进行审查，提出修改建议。起草小组根据审查意见对标准进行修改和完善，直至获得批准发布。</w:t>
      </w:r>
    </w:p>
    <w:p w14:paraId="107039EE">
      <w:pPr>
        <w:framePr w:wrap="auto" w:vAnchor="margin" w:hAnchor="text" w:yAlign="inline"/>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3C6B09DF">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（一）</w:t>
      </w:r>
      <w:r>
        <w:rPr>
          <w:rFonts w:hint="default" w:ascii="宋体" w:hAnsi="宋体" w:eastAsia="宋体" w:cs="宋体"/>
          <w:b/>
          <w:bCs/>
          <w:color w:val="auto"/>
          <w:sz w:val="24"/>
          <w:szCs w:val="24"/>
          <w:lang w:val="zh-TW"/>
        </w:rPr>
        <w:t>制定原则</w:t>
      </w:r>
    </w:p>
    <w:p w14:paraId="71668281">
      <w:pPr>
        <w:framePr w:wrap="auto" w:vAnchor="margin" w:hAnchor="text" w:yAlign="inline"/>
        <w:spacing w:line="360" w:lineRule="auto"/>
        <w:ind w:firstLine="480" w:firstLineChars="200"/>
        <w:rPr>
          <w:rFonts w:ascii="宋体" w:hAnsi="宋体" w:eastAsia="宋体" w:cs="宋体"/>
          <w:color w:val="auto"/>
          <w:sz w:val="24"/>
          <w:szCs w:val="24"/>
        </w:rPr>
      </w:pPr>
      <w:bookmarkStart w:id="0" w:name="_Toc27761"/>
      <w:r>
        <w:rPr>
          <w:rFonts w:ascii="宋体" w:hAnsi="宋体" w:eastAsia="宋体" w:cs="宋体"/>
          <w:color w:val="auto"/>
          <w:sz w:val="24"/>
          <w:szCs w:val="24"/>
        </w:rPr>
        <w:t>1.合法合理原则</w:t>
      </w:r>
      <w:bookmarkEnd w:id="0"/>
    </w:p>
    <w:p w14:paraId="04A98E8C">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本标准应当符合法律、行政法规等上位法以及国家政策的要求，符合理性、适当的要求。</w:t>
      </w:r>
    </w:p>
    <w:p w14:paraId="77CE31C0">
      <w:pPr>
        <w:framePr w:wrap="auto" w:vAnchor="margin" w:hAnchor="text" w:yAlign="inline"/>
        <w:spacing w:line="360" w:lineRule="auto"/>
        <w:ind w:firstLine="480" w:firstLineChars="200"/>
        <w:rPr>
          <w:rFonts w:ascii="宋体" w:hAnsi="宋体" w:eastAsia="宋体" w:cs="宋体"/>
          <w:color w:val="auto"/>
          <w:sz w:val="24"/>
          <w:szCs w:val="24"/>
        </w:rPr>
      </w:pPr>
      <w:bookmarkStart w:id="1" w:name="_Toc18780"/>
      <w:bookmarkStart w:id="2" w:name="_Toc169546872"/>
      <w:r>
        <w:rPr>
          <w:rFonts w:ascii="宋体" w:hAnsi="宋体" w:eastAsia="宋体" w:cs="宋体"/>
          <w:color w:val="auto"/>
          <w:sz w:val="24"/>
          <w:szCs w:val="24"/>
        </w:rPr>
        <w:t>2.科学准确原则</w:t>
      </w:r>
      <w:bookmarkEnd w:id="1"/>
      <w:bookmarkEnd w:id="2"/>
    </w:p>
    <w:p w14:paraId="3C5788FD">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依据低空经济营商环境的实际情况和客观数据，科学确定评估指标和方法，避免主观臆断，并且综合考虑低空经济产业链的各个环节和影响因素，形成完整闭合的评估框架。</w:t>
      </w:r>
    </w:p>
    <w:p w14:paraId="052F1DAB">
      <w:pPr>
        <w:framePr w:wrap="auto" w:vAnchor="margin" w:hAnchor="text" w:yAlign="inline"/>
        <w:spacing w:line="360" w:lineRule="auto"/>
        <w:ind w:firstLine="480" w:firstLineChars="200"/>
        <w:rPr>
          <w:rFonts w:ascii="宋体" w:hAnsi="宋体" w:eastAsia="宋体" w:cs="宋体"/>
          <w:color w:val="auto"/>
          <w:sz w:val="24"/>
          <w:szCs w:val="24"/>
        </w:rPr>
      </w:pPr>
      <w:bookmarkStart w:id="3" w:name="_Toc169546873"/>
      <w:bookmarkStart w:id="4" w:name="_Toc3427"/>
      <w:r>
        <w:rPr>
          <w:rFonts w:ascii="宋体" w:hAnsi="宋体" w:eastAsia="宋体" w:cs="宋体"/>
          <w:color w:val="auto"/>
          <w:sz w:val="24"/>
          <w:szCs w:val="24"/>
        </w:rPr>
        <w:t>3.重点突出原则</w:t>
      </w:r>
      <w:bookmarkEnd w:id="3"/>
      <w:bookmarkEnd w:id="4"/>
    </w:p>
    <w:p w14:paraId="7B91CEBB">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突出低空经济营商环境法治保障的重点领域和关键环节，突出评估指标的代表性和引导性，避免面面俱到。</w:t>
      </w:r>
    </w:p>
    <w:p w14:paraId="23B4E32E">
      <w:pPr>
        <w:framePr w:wrap="auto" w:vAnchor="margin" w:hAnchor="text" w:yAlign="inline"/>
        <w:spacing w:line="360" w:lineRule="auto"/>
        <w:ind w:firstLine="480" w:firstLineChars="200"/>
        <w:rPr>
          <w:rFonts w:ascii="宋体" w:hAnsi="宋体" w:eastAsia="宋体" w:cs="宋体"/>
          <w:color w:val="auto"/>
          <w:sz w:val="24"/>
          <w:szCs w:val="24"/>
        </w:rPr>
      </w:pPr>
      <w:bookmarkStart w:id="5" w:name="_Toc16684"/>
      <w:bookmarkStart w:id="6" w:name="_Toc169546874"/>
      <w:r>
        <w:rPr>
          <w:rFonts w:ascii="宋体" w:hAnsi="宋体" w:eastAsia="宋体" w:cs="宋体"/>
          <w:color w:val="auto"/>
          <w:sz w:val="24"/>
          <w:szCs w:val="24"/>
        </w:rPr>
        <w:t>4.便利持续原则</w:t>
      </w:r>
      <w:bookmarkEnd w:id="5"/>
      <w:bookmarkEnd w:id="6"/>
    </w:p>
    <w:p w14:paraId="6D7C304D">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采用数据“无感</w:t>
      </w:r>
      <w:r>
        <w:rPr>
          <w:rFonts w:hint="default" w:ascii="宋体" w:hAnsi="宋体" w:eastAsia="宋体" w:cs="宋体"/>
          <w:color w:val="auto"/>
          <w:sz w:val="24"/>
          <w:szCs w:val="24"/>
          <w:lang w:val="zh-TW"/>
        </w:rPr>
        <w:t>”</w:t>
      </w:r>
      <w:r>
        <w:rPr>
          <w:rFonts w:ascii="宋体" w:hAnsi="宋体" w:eastAsia="宋体" w:cs="宋体"/>
          <w:color w:val="auto"/>
          <w:sz w:val="24"/>
          <w:szCs w:val="24"/>
          <w:lang w:val="zh-TW"/>
        </w:rPr>
        <w:t>收集等方式，提高数据收集的便利度，确保评估方法和指标体系在实际操作中具有可行性，能够客观反映营商环境现状；同时结合低空经济产业及其营商环境的发展变化，定期更新评估体系，并持续开展评估工作。</w:t>
      </w:r>
    </w:p>
    <w:p w14:paraId="5055FCF2">
      <w:pPr>
        <w:pStyle w:val="9"/>
        <w:spacing w:line="360" w:lineRule="auto"/>
        <w:ind w:firstLine="482"/>
        <w:rPr>
          <w:b/>
          <w:bCs/>
        </w:rPr>
      </w:pPr>
      <w:r>
        <w:rPr>
          <w:rFonts w:hint="eastAsia" w:hAnsi="宋体" w:cs="宋体"/>
          <w:b/>
          <w:bCs/>
          <w:sz w:val="24"/>
          <w:szCs w:val="24"/>
          <w:lang w:val="zh-TW"/>
        </w:rPr>
        <w:t>（二）</w:t>
      </w:r>
      <w:r>
        <w:rPr>
          <w:rFonts w:hAnsi="宋体" w:cs="宋体"/>
          <w:b/>
          <w:bCs/>
          <w:sz w:val="24"/>
          <w:szCs w:val="24"/>
          <w:lang w:val="zh-TW"/>
        </w:rPr>
        <w:t>主要技术内容的说</w:t>
      </w:r>
      <w:r>
        <w:rPr>
          <w:rFonts w:hint="eastAsia" w:hAnsi="宋体" w:cs="宋体"/>
          <w:b/>
          <w:bCs/>
          <w:sz w:val="24"/>
          <w:szCs w:val="24"/>
          <w:lang w:val="zh-TW"/>
        </w:rPr>
        <w:t>明</w:t>
      </w:r>
    </w:p>
    <w:p w14:paraId="0DD5BD3D">
      <w:pPr>
        <w:pStyle w:val="9"/>
        <w:spacing w:line="360" w:lineRule="auto"/>
        <w:ind w:firstLine="480"/>
        <w:rPr>
          <w:rFonts w:hint="eastAsia" w:hAnsi="宋体" w:cs="宋体"/>
          <w:kern w:val="2"/>
          <w:sz w:val="24"/>
          <w:szCs w:val="24"/>
          <w:u w:color="000000"/>
          <w:lang w:val="zh-TW"/>
        </w:rPr>
      </w:pPr>
      <w:r>
        <w:rPr>
          <w:rFonts w:hAnsi="宋体" w:cs="宋体"/>
          <w:kern w:val="2"/>
          <w:sz w:val="24"/>
          <w:szCs w:val="24"/>
          <w:u w:color="000000"/>
          <w:lang w:val="zh-TW"/>
        </w:rPr>
        <w:t>给出了低空经济营商环境相关的法规政策、执法规范、保障促进、纠纷化解以及营造氛围等法治保障举措，提出了对低空经济营商环境法治保障进行科学评估的方法和指标体系。</w:t>
      </w:r>
    </w:p>
    <w:p w14:paraId="5BC98129">
      <w:pPr>
        <w:framePr w:wrap="auto" w:vAnchor="margin" w:hAnchor="text" w:yAlign="inline"/>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5C6CDDFB">
      <w:pPr>
        <w:framePr w:wrap="auto" w:vAnchor="margin" w:hAnchor="text" w:yAlign="inline"/>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该团体标准作为低空经济领域营商环境法治保障的专业性评估指南，其水平应定位于国内</w:t>
      </w:r>
      <w:r>
        <w:rPr>
          <w:rFonts w:ascii="宋体" w:hAnsi="宋体" w:eastAsia="宋体" w:cs="宋体"/>
          <w:color w:val="auto"/>
          <w:sz w:val="24"/>
          <w:szCs w:val="24"/>
        </w:rPr>
        <w:t>领先</w:t>
      </w:r>
      <w:r>
        <w:rPr>
          <w:rFonts w:hint="default" w:ascii="宋体" w:hAnsi="宋体" w:eastAsia="宋体" w:cs="宋体"/>
          <w:color w:val="auto"/>
          <w:sz w:val="24"/>
          <w:szCs w:val="24"/>
          <w:lang w:val="zh-TW"/>
        </w:rPr>
        <w:t>水平或国际先进水平，具体取决于标准制定过程中所参考的国内外相关标准、技术发展趋势以及低空经济行业的实际需求。该标准将结合低空经济的特点和法治保障的要求，提出具有科学性、合理性和可操作性的评估指标体系和方法，为低空经济营商环境的优化和提升提供有力支撑。</w:t>
      </w:r>
    </w:p>
    <w:p w14:paraId="578CC916">
      <w:pPr>
        <w:framePr w:wrap="auto" w:vAnchor="margin" w:hAnchor="text" w:yAlign="inline"/>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F0B4834">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与现行法律、法规的关系</w:t>
      </w:r>
    </w:p>
    <w:p w14:paraId="7EDDCC5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严格遵循国家现行的相关法律、法规，确保评估工作的合法性和合规性。在遵循国家法律、法规的基础上，该标准将进一步细化低空经济营商环境法治保障的具体要求和评估指标，为相关方提供更加详细、具体的指导。</w:t>
      </w:r>
    </w:p>
    <w:p w14:paraId="1DF59441">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与强制性国家标准的关系</w:t>
      </w:r>
    </w:p>
    <w:p w14:paraId="71454951">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目前该领域尚无国家强制标准。</w:t>
      </w:r>
      <w:r>
        <w:rPr>
          <w:rFonts w:hint="default" w:ascii="宋体" w:hAnsi="宋体" w:eastAsia="宋体" w:cs="宋体"/>
          <w:color w:val="auto"/>
          <w:sz w:val="24"/>
          <w:szCs w:val="24"/>
          <w:lang w:val="zh-TW"/>
        </w:rPr>
        <w:t>该团体标准将填补低空经济领域营商环境法治保障方面的标准空白，为行业的健康发展提供有力保障。</w:t>
      </w:r>
    </w:p>
    <w:p w14:paraId="0A1AA21D">
      <w:pPr>
        <w:framePr w:wrap="auto" w:vAnchor="margin" w:hAnchor="text" w:yAlign="inline"/>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3AC9E56A">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贯彻标准的要求</w:t>
      </w:r>
    </w:p>
    <w:p w14:paraId="6E72D3C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广泛宣传：通过多种</w:t>
      </w:r>
      <w:r>
        <w:rPr>
          <w:rFonts w:hint="eastAsia" w:ascii="宋体" w:hAnsi="宋体" w:eastAsia="宋体" w:cs="宋体"/>
          <w:color w:val="auto"/>
          <w:sz w:val="24"/>
          <w:szCs w:val="24"/>
          <w:lang w:val="zh-TW" w:eastAsia="zh-CN"/>
        </w:rPr>
        <w:t>渠道</w:t>
      </w:r>
      <w:r>
        <w:rPr>
          <w:rFonts w:hint="default" w:ascii="宋体" w:hAnsi="宋体" w:eastAsia="宋体" w:cs="宋体"/>
          <w:color w:val="auto"/>
          <w:sz w:val="24"/>
          <w:szCs w:val="24"/>
          <w:lang w:val="zh-TW"/>
        </w:rPr>
        <w:t>和方式，广泛宣传该团体标准的重要性和必要性，提高相关方的认知度和接受度。</w:t>
      </w:r>
    </w:p>
    <w:p w14:paraId="46340D1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培训教育：组织专题培训和交流活动，提高相关方对标准的理解和应用能力。</w:t>
      </w:r>
    </w:p>
    <w:p w14:paraId="55E7901C">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2F907111">
      <w:pPr>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措施建议</w:t>
      </w:r>
    </w:p>
    <w:p w14:paraId="534E6C6C">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02A23D82">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w:t>
      </w:r>
      <w:r>
        <w:rPr>
          <w:rFonts w:hint="default" w:ascii="宋体" w:hAnsi="宋体" w:eastAsia="宋体" w:cs="宋体"/>
          <w:color w:val="auto"/>
          <w:sz w:val="24"/>
          <w:szCs w:val="24"/>
          <w:lang w:val="zh-TW"/>
        </w:rPr>
        <w:t>加强协调合作：加强政府、企业、行业协会等各方之间的协调合作，形成合力推动标准的贯彻实施。</w:t>
      </w:r>
    </w:p>
    <w:p w14:paraId="251E68A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1AA108D7">
      <w:pPr>
        <w:framePr w:wrap="auto" w:vAnchor="margin" w:hAnchor="text" w:yAlign="inline"/>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2EDCDF7F">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（一）</w:t>
      </w:r>
      <w:r>
        <w:rPr>
          <w:rFonts w:hint="default" w:ascii="宋体" w:hAnsi="宋体" w:eastAsia="宋体" w:cs="宋体"/>
          <w:color w:val="auto"/>
          <w:sz w:val="24"/>
          <w:szCs w:val="24"/>
          <w:lang w:val="zh-TW"/>
        </w:rPr>
        <w:t>提升低空经济营商环境法治化水平：通过标准的实施，推动低空经济领域相关法律法规的完善和实施，提升营商环境的法治化水平。</w:t>
      </w:r>
    </w:p>
    <w:p w14:paraId="6A76D83C">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（二）</w:t>
      </w:r>
      <w:r>
        <w:rPr>
          <w:rFonts w:hint="default" w:ascii="宋体" w:hAnsi="宋体" w:eastAsia="宋体" w:cs="宋体"/>
          <w:color w:val="auto"/>
          <w:sz w:val="24"/>
          <w:szCs w:val="24"/>
          <w:lang w:val="zh-TW"/>
        </w:rPr>
        <w:t>优化营商环境：标准中的评估指标体系将引导相关方关注并解决营商环境中的关键问题，推动营商环境的持续优化。</w:t>
      </w:r>
    </w:p>
    <w:p w14:paraId="6C52727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（三）</w:t>
      </w:r>
      <w:r>
        <w:rPr>
          <w:rFonts w:hint="default" w:ascii="宋体" w:hAnsi="宋体" w:eastAsia="宋体" w:cs="宋体"/>
          <w:color w:val="auto"/>
          <w:sz w:val="24"/>
          <w:szCs w:val="24"/>
          <w:lang w:val="zh-TW"/>
        </w:rPr>
        <w:t>激发市场活力：法治保障的提升将激发低空经济领域企业的创新活力和发展潜力，推动行业的快速发展。</w:t>
      </w:r>
    </w:p>
    <w:p w14:paraId="31FE95C0">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（四）</w:t>
      </w:r>
      <w:r>
        <w:rPr>
          <w:rFonts w:hint="default" w:ascii="宋体" w:hAnsi="宋体" w:eastAsia="宋体" w:cs="宋体"/>
          <w:color w:val="auto"/>
          <w:sz w:val="24"/>
          <w:szCs w:val="24"/>
          <w:lang w:val="zh-TW"/>
        </w:rPr>
        <w:t>促进公平竞争：标准的实施有助于维护市场的公平竞争秩序，保护企业和消费者的合法权益。</w:t>
      </w:r>
    </w:p>
    <w:p w14:paraId="0EC3C21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（五）</w:t>
      </w:r>
      <w:r>
        <w:rPr>
          <w:rFonts w:hint="default" w:ascii="宋体" w:hAnsi="宋体" w:eastAsia="宋体" w:cs="宋体"/>
          <w:color w:val="auto"/>
          <w:sz w:val="24"/>
          <w:szCs w:val="24"/>
          <w:lang w:val="zh-TW"/>
        </w:rPr>
        <w:t>积累宝贵经验：团体标准的制定和实施过程将为未来相关国家标准的制定和修订提供宝贵经验和数据支持。</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CDA3">
    <w:pPr>
      <w:pStyle w:val="2"/>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4E55">
    <w:pPr>
      <w:pStyle w:val="11"/>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3F033CC4">
                          <w:pPr>
                            <w:pStyle w:val="2"/>
                          </w:pPr>
                          <w:r>
                            <w:fldChar w:fldCharType="begin"/>
                          </w:r>
                          <w:r>
                            <w:instrText xml:space="preserve"> PAGE </w:instrText>
                          </w:r>
                          <w:r>
                            <w:fldChar w:fldCharType="separate"/>
                          </w:r>
                          <w:r>
                            <w:rPr>
                              <w:rFonts w:eastAsia="宋体"/>
                            </w:rP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3F033CC4">
                    <w:pPr>
                      <w:pStyle w:val="2"/>
                    </w:pPr>
                    <w:r>
                      <w:fldChar w:fldCharType="begin"/>
                    </w:r>
                    <w:r>
                      <w:instrText xml:space="preserve"> PAGE </w:instrText>
                    </w:r>
                    <w:r>
                      <w:fldChar w:fldCharType="separate"/>
                    </w:r>
                    <w:r>
                      <w:rPr>
                        <w:rFonts w:eastAsia="宋体"/>
                      </w:rP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MDBlOWJiMzljNTUxODg0YTk2M2RjZjdjOTZjNzcifQ=="/>
  </w:docVars>
  <w:rsids>
    <w:rsidRoot w:val="001C1971"/>
    <w:rsid w:val="0000007A"/>
    <w:rsid w:val="00001B5B"/>
    <w:rsid w:val="00010B53"/>
    <w:rsid w:val="000117FA"/>
    <w:rsid w:val="00015ECA"/>
    <w:rsid w:val="00021F88"/>
    <w:rsid w:val="00023AB0"/>
    <w:rsid w:val="00035B6D"/>
    <w:rsid w:val="00037A2E"/>
    <w:rsid w:val="00050AEC"/>
    <w:rsid w:val="00082FF1"/>
    <w:rsid w:val="00084859"/>
    <w:rsid w:val="000905AB"/>
    <w:rsid w:val="00094129"/>
    <w:rsid w:val="000B3167"/>
    <w:rsid w:val="000C006E"/>
    <w:rsid w:val="000F45D3"/>
    <w:rsid w:val="000F71FA"/>
    <w:rsid w:val="00102875"/>
    <w:rsid w:val="00136DC2"/>
    <w:rsid w:val="001445DA"/>
    <w:rsid w:val="001A4B92"/>
    <w:rsid w:val="001C1971"/>
    <w:rsid w:val="00204F84"/>
    <w:rsid w:val="00215DD7"/>
    <w:rsid w:val="002512F2"/>
    <w:rsid w:val="00264B72"/>
    <w:rsid w:val="002663D9"/>
    <w:rsid w:val="002665EC"/>
    <w:rsid w:val="0028709D"/>
    <w:rsid w:val="00295751"/>
    <w:rsid w:val="002B4CE6"/>
    <w:rsid w:val="002D4343"/>
    <w:rsid w:val="002F0B8B"/>
    <w:rsid w:val="002F3AA6"/>
    <w:rsid w:val="002F3F3E"/>
    <w:rsid w:val="0030564F"/>
    <w:rsid w:val="0031319C"/>
    <w:rsid w:val="0035380E"/>
    <w:rsid w:val="00377697"/>
    <w:rsid w:val="00391E44"/>
    <w:rsid w:val="00392AF6"/>
    <w:rsid w:val="0039677A"/>
    <w:rsid w:val="003A0FD7"/>
    <w:rsid w:val="003B30F9"/>
    <w:rsid w:val="003C6F12"/>
    <w:rsid w:val="003D652D"/>
    <w:rsid w:val="003E7684"/>
    <w:rsid w:val="004005B0"/>
    <w:rsid w:val="004240F0"/>
    <w:rsid w:val="00435909"/>
    <w:rsid w:val="00453F8D"/>
    <w:rsid w:val="004B46F1"/>
    <w:rsid w:val="004B56C3"/>
    <w:rsid w:val="004D05EE"/>
    <w:rsid w:val="004D285A"/>
    <w:rsid w:val="00525B9B"/>
    <w:rsid w:val="00546C9F"/>
    <w:rsid w:val="00550AA3"/>
    <w:rsid w:val="00555768"/>
    <w:rsid w:val="0059365C"/>
    <w:rsid w:val="005A6EF5"/>
    <w:rsid w:val="005B13B2"/>
    <w:rsid w:val="005F7B08"/>
    <w:rsid w:val="00605F70"/>
    <w:rsid w:val="006123BD"/>
    <w:rsid w:val="00647AAD"/>
    <w:rsid w:val="00666AC0"/>
    <w:rsid w:val="00695C8A"/>
    <w:rsid w:val="006A4054"/>
    <w:rsid w:val="006A5904"/>
    <w:rsid w:val="006D28E6"/>
    <w:rsid w:val="006E4EB5"/>
    <w:rsid w:val="006E7F2E"/>
    <w:rsid w:val="00713B38"/>
    <w:rsid w:val="00716D2A"/>
    <w:rsid w:val="00720891"/>
    <w:rsid w:val="00753EC9"/>
    <w:rsid w:val="00791143"/>
    <w:rsid w:val="007A6EC1"/>
    <w:rsid w:val="007C78B9"/>
    <w:rsid w:val="007D7840"/>
    <w:rsid w:val="007F7367"/>
    <w:rsid w:val="00844A75"/>
    <w:rsid w:val="00852083"/>
    <w:rsid w:val="00872310"/>
    <w:rsid w:val="00885B23"/>
    <w:rsid w:val="008A1E38"/>
    <w:rsid w:val="008D1A07"/>
    <w:rsid w:val="008E73B2"/>
    <w:rsid w:val="00903D18"/>
    <w:rsid w:val="009078BB"/>
    <w:rsid w:val="0092426D"/>
    <w:rsid w:val="0092709E"/>
    <w:rsid w:val="00951C47"/>
    <w:rsid w:val="009618BF"/>
    <w:rsid w:val="0096218D"/>
    <w:rsid w:val="00964B16"/>
    <w:rsid w:val="009936AB"/>
    <w:rsid w:val="009A2906"/>
    <w:rsid w:val="009A514C"/>
    <w:rsid w:val="009B4725"/>
    <w:rsid w:val="009C08DA"/>
    <w:rsid w:val="009C17C9"/>
    <w:rsid w:val="009C333D"/>
    <w:rsid w:val="009D2E05"/>
    <w:rsid w:val="009F19C0"/>
    <w:rsid w:val="00A14861"/>
    <w:rsid w:val="00A22E73"/>
    <w:rsid w:val="00A329F7"/>
    <w:rsid w:val="00A369F1"/>
    <w:rsid w:val="00A56255"/>
    <w:rsid w:val="00A7221A"/>
    <w:rsid w:val="00A72D65"/>
    <w:rsid w:val="00A76DB0"/>
    <w:rsid w:val="00AE5E92"/>
    <w:rsid w:val="00B0520A"/>
    <w:rsid w:val="00B154D0"/>
    <w:rsid w:val="00B20DF2"/>
    <w:rsid w:val="00B33BF1"/>
    <w:rsid w:val="00B3497B"/>
    <w:rsid w:val="00B45AE7"/>
    <w:rsid w:val="00B5017B"/>
    <w:rsid w:val="00B6654C"/>
    <w:rsid w:val="00C01246"/>
    <w:rsid w:val="00C149D5"/>
    <w:rsid w:val="00C223EE"/>
    <w:rsid w:val="00C50B12"/>
    <w:rsid w:val="00C731C6"/>
    <w:rsid w:val="00C870A4"/>
    <w:rsid w:val="00C923B3"/>
    <w:rsid w:val="00CC03AF"/>
    <w:rsid w:val="00CD3464"/>
    <w:rsid w:val="00CE51C9"/>
    <w:rsid w:val="00D20D5B"/>
    <w:rsid w:val="00D418D7"/>
    <w:rsid w:val="00D42091"/>
    <w:rsid w:val="00D42375"/>
    <w:rsid w:val="00D92B72"/>
    <w:rsid w:val="00D92D8A"/>
    <w:rsid w:val="00D9431E"/>
    <w:rsid w:val="00DA1793"/>
    <w:rsid w:val="00DB3344"/>
    <w:rsid w:val="00DC0655"/>
    <w:rsid w:val="00DD1545"/>
    <w:rsid w:val="00DF5A59"/>
    <w:rsid w:val="00E01854"/>
    <w:rsid w:val="00E045F4"/>
    <w:rsid w:val="00E20101"/>
    <w:rsid w:val="00E21072"/>
    <w:rsid w:val="00E223F5"/>
    <w:rsid w:val="00E42EA4"/>
    <w:rsid w:val="00E476F5"/>
    <w:rsid w:val="00E66352"/>
    <w:rsid w:val="00E86919"/>
    <w:rsid w:val="00E95A59"/>
    <w:rsid w:val="00EA0E6F"/>
    <w:rsid w:val="00EA45A0"/>
    <w:rsid w:val="00EB7D2E"/>
    <w:rsid w:val="00ED4542"/>
    <w:rsid w:val="00ED6663"/>
    <w:rsid w:val="00EE0D56"/>
    <w:rsid w:val="00EE2BFC"/>
    <w:rsid w:val="00EF578C"/>
    <w:rsid w:val="00F06039"/>
    <w:rsid w:val="00F10349"/>
    <w:rsid w:val="00F12041"/>
    <w:rsid w:val="00F379DE"/>
    <w:rsid w:val="00F4411B"/>
    <w:rsid w:val="00F52EE6"/>
    <w:rsid w:val="00F60ACD"/>
    <w:rsid w:val="00F707BF"/>
    <w:rsid w:val="00F770A2"/>
    <w:rsid w:val="00F91175"/>
    <w:rsid w:val="00F92653"/>
    <w:rsid w:val="00FB455B"/>
    <w:rsid w:val="026976F5"/>
    <w:rsid w:val="02A00385"/>
    <w:rsid w:val="032B2B30"/>
    <w:rsid w:val="03304250"/>
    <w:rsid w:val="053D281E"/>
    <w:rsid w:val="062D0592"/>
    <w:rsid w:val="06907B34"/>
    <w:rsid w:val="08B651F8"/>
    <w:rsid w:val="0A432ABB"/>
    <w:rsid w:val="0B7C05A0"/>
    <w:rsid w:val="0C6B2020"/>
    <w:rsid w:val="0CEF76F2"/>
    <w:rsid w:val="0F726C51"/>
    <w:rsid w:val="113A48EC"/>
    <w:rsid w:val="14373691"/>
    <w:rsid w:val="17C50FB3"/>
    <w:rsid w:val="1AB01AA7"/>
    <w:rsid w:val="1E8D27EC"/>
    <w:rsid w:val="1F3C2B91"/>
    <w:rsid w:val="20C535E8"/>
    <w:rsid w:val="223E208E"/>
    <w:rsid w:val="22D24A4D"/>
    <w:rsid w:val="22E744D4"/>
    <w:rsid w:val="2446347C"/>
    <w:rsid w:val="24AC5E86"/>
    <w:rsid w:val="25215D4A"/>
    <w:rsid w:val="266A6FA3"/>
    <w:rsid w:val="269C6D59"/>
    <w:rsid w:val="26AD77E2"/>
    <w:rsid w:val="28616AD6"/>
    <w:rsid w:val="287700A8"/>
    <w:rsid w:val="298567F4"/>
    <w:rsid w:val="2DD66AA1"/>
    <w:rsid w:val="2E666BF4"/>
    <w:rsid w:val="31482EFD"/>
    <w:rsid w:val="321476E2"/>
    <w:rsid w:val="356F0F35"/>
    <w:rsid w:val="3667350A"/>
    <w:rsid w:val="3715740A"/>
    <w:rsid w:val="375A12C0"/>
    <w:rsid w:val="3864556C"/>
    <w:rsid w:val="3ACF1138"/>
    <w:rsid w:val="3B351E28"/>
    <w:rsid w:val="3C9C04DD"/>
    <w:rsid w:val="3D9910E3"/>
    <w:rsid w:val="3F75072D"/>
    <w:rsid w:val="401172D8"/>
    <w:rsid w:val="41C51A2C"/>
    <w:rsid w:val="43572B58"/>
    <w:rsid w:val="470B5E7C"/>
    <w:rsid w:val="48580610"/>
    <w:rsid w:val="488A4EC3"/>
    <w:rsid w:val="49430BE5"/>
    <w:rsid w:val="4B9E11B1"/>
    <w:rsid w:val="4C5F21E2"/>
    <w:rsid w:val="4ECD3290"/>
    <w:rsid w:val="4F1F09CE"/>
    <w:rsid w:val="50EC2B32"/>
    <w:rsid w:val="52CA0C50"/>
    <w:rsid w:val="52D72CE8"/>
    <w:rsid w:val="536C2A87"/>
    <w:rsid w:val="556E3DBC"/>
    <w:rsid w:val="587358E6"/>
    <w:rsid w:val="5AFE384D"/>
    <w:rsid w:val="5DD0445A"/>
    <w:rsid w:val="60127A3F"/>
    <w:rsid w:val="668A40BD"/>
    <w:rsid w:val="67515045"/>
    <w:rsid w:val="6796514D"/>
    <w:rsid w:val="6AF3513D"/>
    <w:rsid w:val="6D2F7BD6"/>
    <w:rsid w:val="6E09576B"/>
    <w:rsid w:val="6E1A6AD8"/>
    <w:rsid w:val="6EF94940"/>
    <w:rsid w:val="72BD3ED6"/>
    <w:rsid w:val="73065C3A"/>
    <w:rsid w:val="747607E0"/>
    <w:rsid w:val="74844CAB"/>
    <w:rsid w:val="77316A3F"/>
    <w:rsid w:val="791974F6"/>
    <w:rsid w:val="79D02533"/>
    <w:rsid w:val="7D2C3E22"/>
    <w:rsid w:val="7DDB6D31"/>
    <w:rsid w:val="7E7E2189"/>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3">
    <w:name w:val="header"/>
    <w:basedOn w:val="1"/>
    <w:link w:val="13"/>
    <w:qFormat/>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framePr w:wrap="around"/>
    </w:pPr>
    <w:rPr>
      <w:sz w:val="24"/>
    </w:rPr>
  </w:style>
  <w:style w:type="character" w:styleId="7">
    <w:name w:val="Hyperlink"/>
    <w:qFormat/>
    <w:uiPriority w:val="0"/>
    <w:rPr>
      <w:u w:val="single"/>
    </w:rPr>
  </w:style>
  <w:style w:type="paragraph" w:customStyle="1" w:styleId="8">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2">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页眉 字符"/>
    <w:basedOn w:val="6"/>
    <w:link w:val="3"/>
    <w:qFormat/>
    <w:uiPriority w:val="0"/>
    <w:rPr>
      <w:rFonts w:ascii="Arial Unicode MS" w:hAnsi="Arial Unicode MS" w:eastAsia="Times New Roman" w:cs="Arial Unicode MS"/>
      <w:color w:val="000000"/>
      <w:kern w:val="2"/>
      <w:sz w:val="18"/>
      <w:szCs w:val="18"/>
      <w:u w:color="000000"/>
    </w:rPr>
  </w:style>
  <w:style w:type="paragraph" w:customStyle="1" w:styleId="14">
    <w:name w:val="列表段落1"/>
    <w:basedOn w:val="1"/>
    <w:qFormat/>
    <w:uiPriority w:val="99"/>
    <w:pPr>
      <w:framePr w:wrap="around"/>
      <w:ind w:firstLine="420" w:firstLineChars="200"/>
    </w:pPr>
  </w:style>
  <w:style w:type="paragraph" w:customStyle="1" w:styleId="15">
    <w:name w:val="标准文件_一级条标题"/>
    <w:basedOn w:val="16"/>
    <w:next w:val="17"/>
    <w:qFormat/>
    <w:uiPriority w:val="0"/>
    <w:pPr>
      <w:numPr>
        <w:ilvl w:val="2"/>
      </w:numPr>
      <w:spacing w:beforeLines="50" w:afterLines="50"/>
      <w:outlineLvl w:val="1"/>
    </w:pPr>
  </w:style>
  <w:style w:type="paragraph" w:customStyle="1" w:styleId="16">
    <w:name w:val="标准文件_章标题"/>
    <w:next w:val="1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19">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3369</Words>
  <Characters>3456</Characters>
  <Lines>24</Lines>
  <Paragraphs>6</Paragraphs>
  <TotalTime>0</TotalTime>
  <ScaleCrop>false</ScaleCrop>
  <LinksUpToDate>false</LinksUpToDate>
  <CharactersWithSpaces>3456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2024-07-31T02:35:00Z</dcterms:created>
  <dc:creator>HP</dc:creator>
  <cp:lastModifiedBy>紫嫣</cp:lastModifiedBy>
  <cp:lastPrinted>2019-06-17T03:57:00Z</cp:lastPrinted>
  <dcterms:modified xsi:type="dcterms:W3CDTF">2024-07-31T05:44:49Z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1A4709A94DDE4205B55ACA7116913740_13</vt:lpwstr>
  </property>
</Properties>
</file>