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DBC805">
      <w:pPr>
        <w:framePr w:wrap="auto" w:vAnchor="margin" w:hAnchor="text" w:yAlign="inline"/>
        <w:spacing w:line="300" w:lineRule="auto"/>
        <w:jc w:val="center"/>
        <w:outlineLvl w:val="0"/>
        <w:rPr>
          <w:rFonts w:ascii="宋体" w:hAnsi="宋体" w:eastAsia="宋体" w:cs="宋体"/>
          <w:b/>
          <w:bCs/>
          <w:sz w:val="32"/>
          <w:szCs w:val="32"/>
          <w:lang w:val="zh-TW" w:eastAsia="zh-TW"/>
        </w:rPr>
      </w:pPr>
      <w:r>
        <w:rPr>
          <w:rFonts w:hint="cs" w:ascii="宋体" w:hAnsi="宋体" w:eastAsia="宋体" w:cs="宋体"/>
          <w:b/>
          <w:bCs/>
          <w:sz w:val="32"/>
          <w:szCs w:val="32"/>
          <w:lang w:val="zh-TW" w:eastAsia="zh-TW"/>
        </w:rPr>
        <w:t>《</w:t>
      </w:r>
      <w:r>
        <w:rPr>
          <w:rFonts w:ascii="宋体" w:hAnsi="宋体" w:eastAsia="宋体" w:cs="宋体"/>
          <w:b/>
          <w:bCs/>
          <w:sz w:val="32"/>
          <w:szCs w:val="32"/>
        </w:rPr>
        <w:t>产业园区营商环境招商引资能力评估准则</w:t>
      </w:r>
      <w:r>
        <w:rPr>
          <w:rFonts w:hint="cs" w:ascii="宋体" w:hAnsi="宋体" w:eastAsia="宋体" w:cs="宋体"/>
          <w:b/>
          <w:bCs/>
          <w:sz w:val="32"/>
          <w:szCs w:val="32"/>
          <w:lang w:val="zh-TW" w:eastAsia="zh-TW"/>
        </w:rPr>
        <w:t>》</w:t>
      </w:r>
    </w:p>
    <w:p w14:paraId="2A952449">
      <w:pPr>
        <w:framePr w:wrap="auto" w:vAnchor="margin" w:hAnchor="text" w:yAlign="inline"/>
        <w:spacing w:line="300" w:lineRule="auto"/>
        <w:jc w:val="center"/>
        <w:outlineLvl w:val="0"/>
        <w:rPr>
          <w:rFonts w:hint="default"/>
          <w:b/>
          <w:bCs/>
          <w:sz w:val="32"/>
          <w:szCs w:val="32"/>
          <w:lang w:val="zh-TW" w:eastAsia="zh-TW"/>
        </w:rPr>
      </w:pPr>
      <w:r>
        <w:rPr>
          <w:rFonts w:ascii="宋体" w:hAnsi="宋体" w:eastAsia="宋体" w:cs="宋体"/>
          <w:b/>
          <w:bCs/>
          <w:sz w:val="32"/>
          <w:szCs w:val="32"/>
          <w:lang w:val="zh-TW" w:eastAsia="zh-TW"/>
        </w:rPr>
        <w:t>团体标准编制说明</w:t>
      </w:r>
    </w:p>
    <w:p w14:paraId="369DCE66">
      <w:pPr>
        <w:framePr w:wrap="auto" w:vAnchor="margin" w:hAnchor="text" w:yAlign="inline"/>
        <w:spacing w:line="360" w:lineRule="auto"/>
        <w:ind w:firstLine="482"/>
        <w:rPr>
          <w:rFonts w:ascii="宋体" w:hAnsi="宋体" w:eastAsia="宋体" w:cs="宋体"/>
          <w:b/>
          <w:bCs/>
          <w:kern w:val="0"/>
          <w:sz w:val="24"/>
          <w:szCs w:val="24"/>
          <w:lang w:eastAsia="zh-TW"/>
        </w:rPr>
      </w:pPr>
    </w:p>
    <w:p w14:paraId="5F03FCA3">
      <w:pPr>
        <w:pStyle w:val="14"/>
        <w:framePr w:wrap="auto" w:vAnchor="margin" w:hAnchor="text" w:yAlign="inline"/>
        <w:numPr>
          <w:ilvl w:val="0"/>
          <w:numId w:val="2"/>
        </w:numPr>
        <w:spacing w:line="360" w:lineRule="auto"/>
        <w:ind w:left="0" w:firstLine="482" w:firstLineChars="200"/>
        <w:rPr>
          <w:rFonts w:ascii="宋体" w:hAnsi="宋体" w:eastAsia="PMingLiU"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标准项目来源</w:t>
      </w:r>
    </w:p>
    <w:p w14:paraId="36FFF466">
      <w:pPr>
        <w:pStyle w:val="14"/>
        <w:framePr w:wrap="auto" w:vAnchor="margin" w:hAnchor="text" w:yAlign="inline"/>
        <w:spacing w:line="360" w:lineRule="auto"/>
        <w:ind w:firstLine="480" w:firstLineChars="200"/>
        <w:rPr>
          <w:rFonts w:asciiTheme="minorEastAsia" w:hAnsiTheme="minorEastAsia" w:eastAsiaTheme="minorEastAsia" w:cstheme="minorEastAsia"/>
          <w:color w:val="auto"/>
          <w:sz w:val="24"/>
          <w:szCs w:val="24"/>
          <w:lang w:val="zh-TW" w:eastAsia="zh-TW"/>
        </w:rPr>
      </w:pPr>
      <w:r>
        <w:rPr>
          <w:rFonts w:asciiTheme="minorEastAsia" w:hAnsiTheme="minorEastAsia" w:eastAsiaTheme="minorEastAsia" w:cstheme="minorEastAsia"/>
          <w:color w:val="auto"/>
          <w:sz w:val="24"/>
          <w:szCs w:val="24"/>
        </w:rPr>
        <w:t>由中国国际贸易促进会商业行业委员会营商环境监测中心提出并组织起草本标准，由中国国际贸易促进委员会商业行业委员会归口管理。</w:t>
      </w:r>
    </w:p>
    <w:p w14:paraId="144FB836">
      <w:pPr>
        <w:pStyle w:val="14"/>
        <w:framePr w:wrap="auto" w:vAnchor="margin" w:hAnchor="text" w:yAlign="inline"/>
        <w:numPr>
          <w:ilvl w:val="0"/>
          <w:numId w:val="2"/>
        </w:numPr>
        <w:spacing w:line="360" w:lineRule="auto"/>
        <w:ind w:left="0" w:firstLine="482" w:firstLineChars="20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eastAsia="zh-TW"/>
        </w:rPr>
        <w:t>标准制定的目的和意义</w:t>
      </w:r>
    </w:p>
    <w:p w14:paraId="7EB42035">
      <w:pPr>
        <w:pStyle w:val="14"/>
        <w:framePr w:wrap="auto" w:vAnchor="margin" w:hAnchor="text" w:yAlign="inline"/>
        <w:spacing w:line="360" w:lineRule="auto"/>
        <w:ind w:firstLine="480" w:firstLineChars="200"/>
        <w:rPr>
          <w:rFonts w:ascii="宋体" w:hAnsi="宋体" w:eastAsia="宋体" w:cs="宋体"/>
          <w:b/>
          <w:bCs/>
          <w:color w:val="auto"/>
          <w:kern w:val="0"/>
          <w:sz w:val="24"/>
          <w:szCs w:val="24"/>
          <w:u w:color="0000FF"/>
          <w:lang w:val="zh-TW"/>
        </w:rPr>
      </w:pPr>
      <w:r>
        <w:rPr>
          <w:rFonts w:asciiTheme="minorEastAsia" w:hAnsiTheme="minorEastAsia" w:eastAsiaTheme="minorEastAsia" w:cstheme="minorEastAsia"/>
          <w:color w:val="auto"/>
          <w:sz w:val="24"/>
          <w:szCs w:val="24"/>
          <w:lang w:val="zh-TW" w:eastAsia="zh-TW"/>
        </w:rPr>
        <w:t>加强新时代招商引资工作，是深入贯彻落实党的二十大精神、习近平总书记重要讲话和重要指示批示精神的具体体现。对此，国务院</w:t>
      </w:r>
      <w:r>
        <w:rPr>
          <w:rFonts w:asciiTheme="minorEastAsia" w:hAnsiTheme="minorEastAsia" w:eastAsiaTheme="minorEastAsia" w:cstheme="minorEastAsia"/>
          <w:color w:val="auto"/>
          <w:sz w:val="24"/>
          <w:szCs w:val="24"/>
        </w:rPr>
        <w:t>印发了</w:t>
      </w:r>
      <w:r>
        <w:rPr>
          <w:rFonts w:asciiTheme="minorEastAsia" w:hAnsiTheme="minorEastAsia" w:eastAsiaTheme="minorEastAsia" w:cstheme="minorEastAsia"/>
          <w:color w:val="auto"/>
          <w:sz w:val="24"/>
          <w:szCs w:val="24"/>
          <w:lang w:val="zh-TW" w:eastAsia="zh-TW"/>
        </w:rPr>
        <w:t>《优化营商环境条例》</w:t>
      </w:r>
      <w:r>
        <w:rPr>
          <w:rFonts w:asciiTheme="minorEastAsia" w:hAnsiTheme="minorEastAsia" w:eastAsiaTheme="minorEastAsia" w:cstheme="minorEastAsia"/>
          <w:color w:val="auto"/>
          <w:sz w:val="24"/>
          <w:szCs w:val="24"/>
          <w:lang w:val="zh-TW"/>
        </w:rPr>
        <w:t>，商务部</w:t>
      </w:r>
      <w:r>
        <w:rPr>
          <w:rFonts w:asciiTheme="minorEastAsia" w:hAnsiTheme="minorEastAsia" w:eastAsiaTheme="minorEastAsia" w:cstheme="minorEastAsia"/>
          <w:color w:val="auto"/>
          <w:sz w:val="24"/>
          <w:szCs w:val="24"/>
        </w:rPr>
        <w:t>印发</w:t>
      </w:r>
      <w:r>
        <w:rPr>
          <w:rFonts w:asciiTheme="minorEastAsia" w:hAnsiTheme="minorEastAsia" w:eastAsiaTheme="minorEastAsia" w:cstheme="minorEastAsia"/>
          <w:color w:val="auto"/>
          <w:sz w:val="24"/>
          <w:szCs w:val="24"/>
          <w:lang w:val="zh-TW"/>
        </w:rPr>
        <w:t>《</w:t>
      </w:r>
      <w:r>
        <w:rPr>
          <w:rFonts w:asciiTheme="minorEastAsia" w:hAnsiTheme="minorEastAsia" w:eastAsiaTheme="minorEastAsia" w:cstheme="minorEastAsia"/>
          <w:color w:val="auto"/>
          <w:sz w:val="24"/>
          <w:szCs w:val="24"/>
          <w:lang w:val="zh-TW" w:eastAsia="zh-TW"/>
        </w:rPr>
        <w:t>商务部等10部门关于支持国家级经济技术开发区创新提升更好发挥示范作用若干措施</w:t>
      </w:r>
      <w:r>
        <w:rPr>
          <w:rFonts w:asciiTheme="minorEastAsia" w:hAnsiTheme="minorEastAsia" w:eastAsiaTheme="minorEastAsia" w:cstheme="minorEastAsia"/>
          <w:color w:val="auto"/>
          <w:sz w:val="24"/>
          <w:szCs w:val="24"/>
          <w:lang w:val="zh-TW"/>
        </w:rPr>
        <w:t>》（</w:t>
      </w:r>
      <w:r>
        <w:rPr>
          <w:rFonts w:asciiTheme="minorEastAsia" w:hAnsiTheme="minorEastAsia" w:eastAsiaTheme="minorEastAsia" w:cstheme="minorEastAsia"/>
          <w:color w:val="auto"/>
          <w:sz w:val="24"/>
          <w:szCs w:val="24"/>
          <w:lang w:val="zh-TW" w:eastAsia="zh-TW"/>
        </w:rPr>
        <w:t>商资函〔2022〕549号</w:t>
      </w:r>
      <w:r>
        <w:rPr>
          <w:rFonts w:asciiTheme="minorEastAsia" w:hAnsiTheme="minorEastAsia" w:eastAsiaTheme="minorEastAsia" w:cstheme="minorEastAsia"/>
          <w:color w:val="auto"/>
          <w:sz w:val="24"/>
          <w:szCs w:val="24"/>
          <w:lang w:val="zh-TW"/>
        </w:rPr>
        <w:t>）</w:t>
      </w:r>
      <w:r>
        <w:rPr>
          <w:rFonts w:asciiTheme="minorEastAsia" w:hAnsiTheme="minorEastAsia" w:eastAsiaTheme="minorEastAsia" w:cstheme="minorEastAsia"/>
          <w:color w:val="auto"/>
          <w:sz w:val="24"/>
          <w:szCs w:val="24"/>
          <w:lang w:val="zh-TW" w:eastAsia="zh-TW"/>
        </w:rPr>
        <w:t>的通知</w:t>
      </w:r>
      <w:r>
        <w:rPr>
          <w:rFonts w:asciiTheme="minorEastAsia" w:hAnsiTheme="minorEastAsia" w:eastAsiaTheme="minorEastAsia" w:cstheme="minorEastAsia"/>
          <w:color w:val="auto"/>
          <w:sz w:val="24"/>
          <w:szCs w:val="24"/>
        </w:rPr>
        <w:t>等政策</w:t>
      </w:r>
      <w:r>
        <w:rPr>
          <w:rFonts w:asciiTheme="minorEastAsia" w:hAnsiTheme="minorEastAsia" w:eastAsiaTheme="minorEastAsia" w:cstheme="minorEastAsia"/>
          <w:color w:val="auto"/>
          <w:sz w:val="24"/>
          <w:szCs w:val="24"/>
          <w:lang w:val="zh-TW" w:eastAsia="zh-TW"/>
        </w:rPr>
        <w:t>，明确推出针对性政策措施，深化营商环境重点领域改革，</w:t>
      </w:r>
      <w:r>
        <w:rPr>
          <w:rFonts w:asciiTheme="minorEastAsia" w:hAnsiTheme="minorEastAsia" w:eastAsiaTheme="minorEastAsia" w:cstheme="minorEastAsia"/>
          <w:color w:val="auto"/>
          <w:sz w:val="24"/>
          <w:szCs w:val="24"/>
        </w:rPr>
        <w:t>提升产业园区招商引资能力</w:t>
      </w:r>
      <w:r>
        <w:rPr>
          <w:rFonts w:asciiTheme="minorEastAsia" w:hAnsiTheme="minorEastAsia" w:eastAsiaTheme="minorEastAsia" w:cstheme="minorEastAsia"/>
          <w:color w:val="auto"/>
          <w:sz w:val="24"/>
          <w:szCs w:val="24"/>
          <w:lang w:val="zh-TW"/>
        </w:rPr>
        <w:t>，</w:t>
      </w:r>
      <w:r>
        <w:rPr>
          <w:rFonts w:asciiTheme="minorEastAsia" w:hAnsiTheme="minorEastAsia" w:eastAsiaTheme="minorEastAsia" w:cstheme="minorEastAsia"/>
          <w:color w:val="auto"/>
          <w:sz w:val="24"/>
          <w:szCs w:val="24"/>
          <w:lang w:val="zh-TW" w:eastAsia="zh-TW"/>
        </w:rPr>
        <w:t>进一步稳定社会预期、提振发展信心、激发市场活力。</w:t>
      </w:r>
    </w:p>
    <w:p w14:paraId="515AAA36">
      <w:pPr>
        <w:framePr w:wrap="auto" w:vAnchor="margin" w:hAnchor="text" w:yAlign="inline"/>
        <w:spacing w:line="360" w:lineRule="auto"/>
        <w:ind w:firstLine="482" w:firstLineChars="200"/>
        <w:rPr>
          <w:rFonts w:ascii="宋体" w:hAnsi="宋体" w:eastAsia="宋体" w:cs="宋体"/>
          <w:b/>
          <w:bCs/>
          <w:color w:val="auto"/>
          <w:sz w:val="24"/>
          <w:szCs w:val="24"/>
          <w:lang w:val="zh-TW" w:eastAsia="zh-TW"/>
        </w:rPr>
      </w:pPr>
      <w:r>
        <w:rPr>
          <w:rFonts w:ascii="宋体" w:hAnsi="宋体" w:eastAsia="宋体" w:cs="宋体"/>
          <w:b/>
          <w:bCs/>
          <w:color w:val="auto"/>
          <w:sz w:val="24"/>
          <w:szCs w:val="24"/>
        </w:rPr>
        <w:t>（一）</w:t>
      </w:r>
      <w:r>
        <w:rPr>
          <w:rFonts w:hint="default" w:ascii="宋体" w:hAnsi="宋体" w:eastAsia="宋体" w:cs="宋体"/>
          <w:b/>
          <w:bCs/>
          <w:color w:val="auto"/>
          <w:sz w:val="24"/>
          <w:szCs w:val="24"/>
          <w:lang w:val="zh-TW" w:eastAsia="zh-TW"/>
        </w:rPr>
        <w:t>编制目的</w:t>
      </w:r>
    </w:p>
    <w:p w14:paraId="1E40B51B">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1.</w:t>
      </w:r>
      <w:r>
        <w:rPr>
          <w:rFonts w:ascii="宋体" w:hAnsi="宋体" w:eastAsia="宋体" w:cs="宋体"/>
          <w:color w:val="auto"/>
          <w:sz w:val="24"/>
          <w:szCs w:val="24"/>
        </w:rPr>
        <w:t>产业园区优化营商环境</w:t>
      </w:r>
    </w:p>
    <w:p w14:paraId="33709E55">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通过实施该标准，推动各级政府部门、行业协会等加强对</w:t>
      </w:r>
      <w:r>
        <w:rPr>
          <w:rFonts w:ascii="宋体" w:hAnsi="宋体" w:eastAsia="宋体" w:cs="宋体"/>
          <w:color w:val="auto"/>
          <w:sz w:val="24"/>
          <w:szCs w:val="24"/>
        </w:rPr>
        <w:t>产业园区</w:t>
      </w:r>
      <w:r>
        <w:rPr>
          <w:rFonts w:ascii="宋体" w:hAnsi="宋体" w:eastAsia="宋体" w:cs="宋体"/>
          <w:color w:val="auto"/>
          <w:sz w:val="24"/>
          <w:szCs w:val="24"/>
          <w:lang w:val="zh-TW"/>
        </w:rPr>
        <w:t>的</w:t>
      </w:r>
      <w:r>
        <w:rPr>
          <w:rFonts w:ascii="宋体" w:hAnsi="宋体" w:eastAsia="宋体" w:cs="宋体"/>
          <w:color w:val="auto"/>
          <w:sz w:val="24"/>
          <w:szCs w:val="24"/>
        </w:rPr>
        <w:t>督促</w:t>
      </w:r>
      <w:r>
        <w:rPr>
          <w:rFonts w:ascii="宋体" w:hAnsi="宋体" w:eastAsia="宋体" w:cs="宋体"/>
          <w:color w:val="auto"/>
          <w:sz w:val="24"/>
          <w:szCs w:val="24"/>
          <w:lang w:val="zh-TW"/>
        </w:rPr>
        <w:t>和支持，优化</w:t>
      </w:r>
      <w:r>
        <w:rPr>
          <w:rFonts w:ascii="宋体" w:hAnsi="宋体" w:eastAsia="宋体" w:cs="宋体"/>
          <w:color w:val="auto"/>
          <w:sz w:val="24"/>
          <w:szCs w:val="24"/>
        </w:rPr>
        <w:t>产业园区</w:t>
      </w:r>
      <w:r>
        <w:rPr>
          <w:rFonts w:ascii="宋体" w:hAnsi="宋体" w:eastAsia="宋体" w:cs="宋体"/>
          <w:color w:val="auto"/>
          <w:sz w:val="24"/>
          <w:szCs w:val="24"/>
          <w:lang w:val="zh-TW"/>
        </w:rPr>
        <w:t>营商环境，</w:t>
      </w:r>
      <w:r>
        <w:rPr>
          <w:rFonts w:ascii="宋体" w:hAnsi="宋体" w:eastAsia="宋体" w:cs="宋体"/>
          <w:color w:val="auto"/>
          <w:sz w:val="24"/>
          <w:szCs w:val="24"/>
        </w:rPr>
        <w:t>打造良好的招商引资环境</w:t>
      </w:r>
      <w:r>
        <w:rPr>
          <w:rFonts w:ascii="宋体" w:hAnsi="宋体" w:eastAsia="宋体" w:cs="宋体"/>
          <w:color w:val="auto"/>
          <w:sz w:val="24"/>
          <w:szCs w:val="24"/>
          <w:lang w:val="zh-TW"/>
        </w:rPr>
        <w:t>。</w:t>
      </w:r>
    </w:p>
    <w:p w14:paraId="0276EE56">
      <w:pPr>
        <w:framePr w:wrap="auto" w:vAnchor="margin" w:hAnchor="text" w:yAlign="inline"/>
        <w:spacing w:line="360" w:lineRule="auto"/>
        <w:ind w:firstLine="480" w:firstLineChars="200"/>
        <w:rPr>
          <w:rFonts w:ascii="宋体" w:hAnsi="宋体" w:eastAsia="宋体" w:cs="宋体"/>
          <w:color w:val="auto"/>
          <w:sz w:val="24"/>
          <w:szCs w:val="24"/>
          <w:lang w:eastAsia="zh-TW"/>
        </w:rPr>
      </w:pPr>
      <w:r>
        <w:rPr>
          <w:rFonts w:ascii="宋体" w:hAnsi="宋体" w:eastAsia="宋体" w:cs="宋体"/>
          <w:color w:val="auto"/>
          <w:sz w:val="24"/>
          <w:szCs w:val="24"/>
          <w:lang w:val="zh-TW"/>
        </w:rPr>
        <w:t>2.</w:t>
      </w:r>
      <w:r>
        <w:rPr>
          <w:rFonts w:ascii="宋体" w:hAnsi="宋体" w:eastAsia="宋体" w:cs="宋体"/>
          <w:color w:val="auto"/>
          <w:sz w:val="24"/>
          <w:szCs w:val="24"/>
        </w:rPr>
        <w:t>提升投资吸引力</w:t>
      </w:r>
    </w:p>
    <w:p w14:paraId="27A20959">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hint="default" w:ascii="宋体" w:hAnsi="宋体" w:eastAsia="宋体" w:cs="宋体"/>
          <w:color w:val="auto"/>
          <w:sz w:val="24"/>
          <w:szCs w:val="24"/>
          <w:lang w:val="zh-TW" w:eastAsia="zh-TW"/>
        </w:rPr>
        <w:t>通过改进营商环境，增强产业园区对外部投资者的吸引力，吸引更多高质量的</w:t>
      </w:r>
      <w:r>
        <w:rPr>
          <w:rFonts w:ascii="宋体" w:hAnsi="宋体" w:eastAsia="宋体" w:cs="宋体"/>
          <w:color w:val="auto"/>
          <w:sz w:val="24"/>
          <w:szCs w:val="24"/>
        </w:rPr>
        <w:t>企业和</w:t>
      </w:r>
      <w:r>
        <w:rPr>
          <w:rFonts w:hint="default" w:ascii="宋体" w:hAnsi="宋体" w:eastAsia="宋体" w:cs="宋体"/>
          <w:color w:val="auto"/>
          <w:sz w:val="24"/>
          <w:szCs w:val="24"/>
          <w:lang w:val="zh-TW" w:eastAsia="zh-TW"/>
        </w:rPr>
        <w:t>投资项目。</w:t>
      </w:r>
    </w:p>
    <w:p w14:paraId="0E4D6657">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3.</w:t>
      </w:r>
      <w:r>
        <w:rPr>
          <w:rFonts w:hint="default" w:ascii="宋体" w:hAnsi="宋体" w:eastAsia="宋体" w:cs="宋体"/>
          <w:color w:val="auto"/>
          <w:sz w:val="24"/>
          <w:szCs w:val="24"/>
          <w:lang w:val="zh-TW" w:eastAsia="zh-TW"/>
        </w:rPr>
        <w:t>促进公平竞争</w:t>
      </w:r>
    </w:p>
    <w:p w14:paraId="4A5BDB44">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rPr>
        <w:t>通过制定和实施一系列促进公平竞争的政策措施，</w:t>
      </w:r>
      <w:r>
        <w:rPr>
          <w:rFonts w:hint="default" w:ascii="宋体" w:hAnsi="宋体" w:eastAsia="宋体" w:cs="宋体"/>
          <w:color w:val="auto"/>
          <w:sz w:val="24"/>
          <w:szCs w:val="24"/>
          <w:lang w:val="zh-TW" w:eastAsia="zh-TW"/>
        </w:rPr>
        <w:t>对产业园区营商环境的持续改善，促进区域经济的整体发展和产业结构的优化升级</w:t>
      </w:r>
      <w:r>
        <w:rPr>
          <w:rFonts w:ascii="宋体" w:hAnsi="宋体" w:eastAsia="宋体" w:cs="宋体"/>
          <w:color w:val="auto"/>
          <w:sz w:val="24"/>
          <w:szCs w:val="24"/>
          <w:lang w:val="zh-TW" w:eastAsia="zh-TW"/>
        </w:rPr>
        <w:t>。</w:t>
      </w:r>
    </w:p>
    <w:p w14:paraId="40F79A5E">
      <w:pPr>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（二）</w:t>
      </w:r>
      <w:r>
        <w:rPr>
          <w:rFonts w:hint="default" w:ascii="宋体" w:hAnsi="宋体" w:eastAsia="宋体" w:cs="宋体"/>
          <w:b/>
          <w:bCs/>
          <w:color w:val="auto"/>
          <w:sz w:val="24"/>
          <w:szCs w:val="24"/>
          <w:lang w:val="zh-TW" w:eastAsia="zh-TW"/>
        </w:rPr>
        <w:t>编制意义</w:t>
      </w:r>
    </w:p>
    <w:p w14:paraId="75E9D9BE">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rPr>
        <w:t>1.提供制度保障</w:t>
      </w:r>
    </w:p>
    <w:p w14:paraId="275346CF">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本标准为产业园区营商环境招商引资能力评估的制度设计、实施及其评价提供了科学、系统的依据，为各地政府和相关机构开展工作提供了明确的指导和规范。</w:t>
      </w:r>
    </w:p>
    <w:p w14:paraId="40D0458C">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2.</w:t>
      </w:r>
      <w:r>
        <w:rPr>
          <w:rFonts w:ascii="宋体" w:hAnsi="宋体" w:eastAsia="宋体" w:cs="宋体"/>
          <w:color w:val="auto"/>
          <w:sz w:val="24"/>
          <w:szCs w:val="24"/>
        </w:rPr>
        <w:t>推动地方标准制定</w:t>
      </w:r>
    </w:p>
    <w:p w14:paraId="1108D73E">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针对特定地区（如自贸区、经济特区、产业园区等）的特殊情况，本标准可作为基础，制定更为具体细化的地方标准或行业标准，以满足不同地区的实际需求，推动地方</w:t>
      </w:r>
      <w:r>
        <w:rPr>
          <w:rFonts w:ascii="宋体" w:hAnsi="宋体" w:eastAsia="宋体" w:cs="宋体"/>
          <w:color w:val="auto"/>
          <w:sz w:val="24"/>
          <w:szCs w:val="24"/>
        </w:rPr>
        <w:t>产业园区招商引资能力的提升</w:t>
      </w:r>
      <w:r>
        <w:rPr>
          <w:rFonts w:ascii="宋体" w:hAnsi="宋体" w:eastAsia="宋体" w:cs="宋体"/>
          <w:color w:val="auto"/>
          <w:sz w:val="24"/>
          <w:szCs w:val="24"/>
          <w:lang w:val="zh-TW"/>
        </w:rPr>
        <w:t>。</w:t>
      </w:r>
    </w:p>
    <w:p w14:paraId="1B360EA9">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3.</w:t>
      </w:r>
      <w:r>
        <w:rPr>
          <w:rFonts w:ascii="宋体" w:hAnsi="宋体" w:eastAsia="宋体" w:cs="宋体"/>
          <w:color w:val="auto"/>
          <w:sz w:val="24"/>
          <w:szCs w:val="24"/>
        </w:rPr>
        <w:t>促进经济高质量发展</w:t>
      </w:r>
    </w:p>
    <w:p w14:paraId="03DD3886">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rPr>
        <w:t>通过优化产业园区的营商环境，保障经营主体权益，激发市场活力和创造力，推动经济高质量发展。同时，通过产业园区带动地区就业，促进经济社会的和谐稳定。</w:t>
      </w:r>
    </w:p>
    <w:p w14:paraId="58CE18F6">
      <w:pPr>
        <w:pStyle w:val="14"/>
        <w:framePr w:wrap="auto" w:vAnchor="margin" w:hAnchor="text" w:yAlign="inline"/>
        <w:spacing w:line="360" w:lineRule="auto"/>
        <w:ind w:firstLine="482" w:firstLineChars="200"/>
        <w:rPr>
          <w:rFonts w:ascii="宋体" w:hAnsi="宋体" w:eastAsia="宋体"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三、标准起草的过程简述</w:t>
      </w:r>
    </w:p>
    <w:p w14:paraId="75A07C9E">
      <w:pPr>
        <w:framePr w:wrap="auto" w:vAnchor="margin" w:hAnchor="text" w:yAlign="inline"/>
        <w:spacing w:line="360" w:lineRule="auto"/>
        <w:ind w:firstLine="482" w:firstLineChars="200"/>
        <w:rPr>
          <w:rFonts w:ascii="宋体" w:hAnsi="宋体" w:eastAsia="宋体" w:cs="宋体"/>
          <w:b/>
          <w:bCs/>
          <w:color w:val="auto"/>
          <w:sz w:val="24"/>
          <w:szCs w:val="24"/>
          <w:lang w:val="zh-TW" w:eastAsia="zh-TW"/>
        </w:rPr>
      </w:pPr>
      <w:r>
        <w:rPr>
          <w:rFonts w:ascii="宋体" w:hAnsi="宋体" w:eastAsia="宋体" w:cs="宋体"/>
          <w:b/>
          <w:bCs/>
          <w:color w:val="auto"/>
          <w:sz w:val="24"/>
          <w:szCs w:val="24"/>
          <w:lang w:val="zh-TW" w:eastAsia="zh-TW"/>
        </w:rPr>
        <w:t>（一）预研阶段</w:t>
      </w:r>
    </w:p>
    <w:p w14:paraId="28D99EC7">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中国国际贸易促进会商业行业委员会营商环境监测中心组织标准编写小组，于2024年</w:t>
      </w:r>
      <w:r>
        <w:rPr>
          <w:rFonts w:ascii="宋体" w:hAnsi="宋体" w:eastAsia="宋体" w:cs="宋体"/>
          <w:color w:val="auto"/>
          <w:sz w:val="24"/>
          <w:szCs w:val="24"/>
          <w:lang w:val="zh-TW"/>
        </w:rPr>
        <w:t>4</w:t>
      </w:r>
      <w:r>
        <w:rPr>
          <w:rFonts w:ascii="宋体" w:hAnsi="宋体" w:eastAsia="宋体" w:cs="宋体"/>
          <w:color w:val="auto"/>
          <w:sz w:val="24"/>
          <w:szCs w:val="24"/>
          <w:lang w:val="zh-TW" w:eastAsia="zh-TW"/>
        </w:rPr>
        <w:t>月启动项目需求调研工作，主要调研了河南、湖北、北京、吉林等相关政府和企业，收集企业满意度领域的企业、政府部门、行业协会等相关方的需求和意见，了解当前企业满意度调查的现状及存在问题。</w:t>
      </w:r>
    </w:p>
    <w:p w14:paraId="3FAD08FE">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组织专家对国内外相关领域的法律法规、政策文件、标准规范等进行收集和分析，为研究制定团体标准提供理论依据和参考。同时进行研讨，明确标准制定的目标、原则、范围和技术要求等。</w:t>
      </w:r>
    </w:p>
    <w:p w14:paraId="6C3EC3CC">
      <w:pPr>
        <w:framePr w:wrap="auto" w:vAnchor="margin" w:hAnchor="text" w:yAlign="inline"/>
        <w:spacing w:line="360" w:lineRule="auto"/>
        <w:ind w:firstLine="482" w:firstLineChars="200"/>
        <w:rPr>
          <w:rFonts w:ascii="宋体" w:hAnsi="宋体" w:eastAsia="宋体" w:cs="宋体"/>
          <w:b/>
          <w:bCs/>
          <w:color w:val="auto"/>
          <w:sz w:val="24"/>
          <w:szCs w:val="24"/>
          <w:lang w:val="zh-TW" w:eastAsia="zh-TW"/>
        </w:rPr>
      </w:pPr>
      <w:r>
        <w:rPr>
          <w:rFonts w:ascii="宋体" w:hAnsi="宋体" w:eastAsia="宋体" w:cs="宋体"/>
          <w:b/>
          <w:bCs/>
          <w:color w:val="auto"/>
          <w:sz w:val="24"/>
          <w:szCs w:val="24"/>
          <w:lang w:val="zh-TW" w:eastAsia="zh-TW"/>
        </w:rPr>
        <w:t>（二）立项阶段</w:t>
      </w:r>
    </w:p>
    <w:p w14:paraId="3EEA6CE9">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1.</w:t>
      </w:r>
      <w:r>
        <w:rPr>
          <w:rFonts w:ascii="宋体" w:hAnsi="宋体" w:eastAsia="宋体" w:cs="宋体"/>
          <w:color w:val="auto"/>
          <w:sz w:val="24"/>
          <w:szCs w:val="24"/>
          <w:lang w:val="zh-TW" w:eastAsia="zh-TW"/>
        </w:rPr>
        <w:t>2024年</w:t>
      </w:r>
      <w:r>
        <w:rPr>
          <w:rFonts w:ascii="宋体" w:hAnsi="宋体" w:eastAsia="宋体" w:cs="宋体"/>
          <w:color w:val="auto"/>
          <w:sz w:val="24"/>
          <w:szCs w:val="24"/>
          <w:lang w:val="zh-TW"/>
        </w:rPr>
        <w:t>5</w:t>
      </w:r>
      <w:r>
        <w:rPr>
          <w:rFonts w:ascii="宋体" w:hAnsi="宋体" w:eastAsia="宋体" w:cs="宋体"/>
          <w:color w:val="auto"/>
          <w:sz w:val="24"/>
          <w:szCs w:val="24"/>
          <w:lang w:val="zh-TW" w:eastAsia="zh-TW"/>
        </w:rPr>
        <w:t>月由中国贸促会商业行业委员会营商环境监测中心整理资料，向中国国际贸易促进委员会商业行业委员会提交立项申请。</w:t>
      </w:r>
    </w:p>
    <w:p w14:paraId="4260ED9A">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2.</w:t>
      </w:r>
      <w:r>
        <w:rPr>
          <w:rFonts w:ascii="宋体" w:hAnsi="宋体" w:eastAsia="宋体" w:cs="宋体"/>
          <w:color w:val="auto"/>
          <w:sz w:val="24"/>
          <w:szCs w:val="24"/>
          <w:lang w:val="zh-TW" w:eastAsia="zh-TW"/>
        </w:rPr>
        <w:t>中国国际贸易促进委员会商业行业委员会对</w:t>
      </w:r>
      <w:r>
        <w:rPr>
          <w:rFonts w:hint="eastAsia" w:ascii="宋体" w:hAnsi="宋体" w:eastAsia="宋体" w:cs="宋体"/>
          <w:color w:val="auto"/>
          <w:sz w:val="24"/>
          <w:szCs w:val="24"/>
          <w:lang w:val="en-US" w:eastAsia="zh-CN"/>
        </w:rPr>
        <w:t>标准的必要性和合理性进行评估后，</w:t>
      </w:r>
      <w:r>
        <w:rPr>
          <w:rFonts w:ascii="宋体" w:hAnsi="宋体" w:eastAsia="宋体" w:cs="宋体"/>
          <w:color w:val="auto"/>
          <w:sz w:val="24"/>
          <w:szCs w:val="24"/>
          <w:lang w:val="zh-TW"/>
        </w:rPr>
        <w:t>2024年6月25日</w:t>
      </w:r>
      <w:r>
        <w:rPr>
          <w:rFonts w:hint="eastAsia" w:ascii="宋体" w:hAnsi="宋体" w:eastAsia="宋体" w:cs="宋体"/>
          <w:color w:val="auto"/>
          <w:sz w:val="24"/>
          <w:szCs w:val="24"/>
          <w:lang w:val="zh-TW" w:eastAsia="zh-CN"/>
        </w:rPr>
        <w:t>，</w:t>
      </w:r>
      <w:r>
        <w:rPr>
          <w:rFonts w:ascii="宋体" w:hAnsi="宋体" w:eastAsia="宋体" w:cs="宋体"/>
          <w:color w:val="auto"/>
          <w:sz w:val="24"/>
          <w:szCs w:val="24"/>
          <w:lang w:val="zh-TW"/>
        </w:rPr>
        <w:t>于</w:t>
      </w:r>
      <w:r>
        <w:rPr>
          <w:rFonts w:hint="eastAsia" w:ascii="宋体" w:hAnsi="宋体" w:eastAsia="宋体" w:cs="宋体"/>
          <w:color w:val="auto"/>
          <w:sz w:val="24"/>
          <w:szCs w:val="24"/>
          <w:lang w:val="en-US" w:eastAsia="zh-CN"/>
        </w:rPr>
        <w:t>《关于下达2024年第五批团体标准项目计划的通知》（商贸促字〔2024〕143号）</w:t>
      </w:r>
      <w:r>
        <w:rPr>
          <w:rFonts w:ascii="宋体" w:hAnsi="宋体" w:eastAsia="宋体" w:cs="宋体"/>
          <w:color w:val="auto"/>
          <w:sz w:val="24"/>
          <w:szCs w:val="24"/>
          <w:lang w:val="zh-TW"/>
        </w:rPr>
        <w:t>中正式批准立项</w:t>
      </w:r>
      <w:r>
        <w:rPr>
          <w:rFonts w:ascii="宋体" w:hAnsi="宋体" w:eastAsia="宋体" w:cs="宋体"/>
          <w:color w:val="auto"/>
          <w:sz w:val="24"/>
          <w:szCs w:val="24"/>
          <w:lang w:val="zh-TW" w:eastAsia="zh-TW"/>
        </w:rPr>
        <w:t>，计划编号：CCPITCSC-JH2024288。</w:t>
      </w:r>
      <w:bookmarkStart w:id="5" w:name="_GoBack"/>
      <w:bookmarkEnd w:id="5"/>
    </w:p>
    <w:p w14:paraId="1B880750">
      <w:pPr>
        <w:framePr w:wrap="auto" w:vAnchor="margin" w:hAnchor="text" w:yAlign="inline"/>
        <w:spacing w:line="360" w:lineRule="auto"/>
        <w:ind w:firstLine="482" w:firstLineChars="200"/>
        <w:rPr>
          <w:rFonts w:ascii="宋体" w:hAnsi="宋体" w:eastAsia="宋体" w:cs="宋体"/>
          <w:b/>
          <w:bCs/>
          <w:color w:val="auto"/>
          <w:sz w:val="24"/>
          <w:szCs w:val="24"/>
          <w:lang w:val="zh-TW" w:eastAsia="zh-TW"/>
        </w:rPr>
      </w:pPr>
      <w:r>
        <w:rPr>
          <w:rFonts w:ascii="宋体" w:hAnsi="宋体" w:eastAsia="宋体" w:cs="宋体"/>
          <w:b/>
          <w:bCs/>
          <w:color w:val="auto"/>
          <w:sz w:val="24"/>
          <w:szCs w:val="24"/>
          <w:lang w:val="zh-TW" w:eastAsia="zh-TW"/>
        </w:rPr>
        <w:t>（三）起草阶段</w:t>
      </w:r>
    </w:p>
    <w:p w14:paraId="4C8D3DC9">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1.</w:t>
      </w:r>
      <w:r>
        <w:rPr>
          <w:rFonts w:ascii="宋体" w:hAnsi="宋体" w:eastAsia="宋体" w:cs="宋体"/>
          <w:color w:val="auto"/>
          <w:sz w:val="24"/>
          <w:szCs w:val="24"/>
          <w:lang w:val="zh-TW" w:eastAsia="zh-TW"/>
        </w:rPr>
        <w:t>组织起草小组：2024年</w:t>
      </w:r>
      <w:r>
        <w:rPr>
          <w:rFonts w:ascii="宋体" w:hAnsi="宋体" w:eastAsia="宋体" w:cs="宋体"/>
          <w:color w:val="auto"/>
          <w:sz w:val="24"/>
          <w:szCs w:val="24"/>
          <w:lang w:val="zh-TW"/>
        </w:rPr>
        <w:t>6</w:t>
      </w:r>
      <w:r>
        <w:rPr>
          <w:rFonts w:ascii="宋体" w:hAnsi="宋体" w:eastAsia="宋体" w:cs="宋体"/>
          <w:color w:val="auto"/>
          <w:sz w:val="24"/>
          <w:szCs w:val="24"/>
          <w:lang w:val="zh-TW" w:eastAsia="zh-TW"/>
        </w:rPr>
        <w:t>月，由中国贸促会商业行业委员会营商环境监测中心牵头成立起草小组，明确职责分工。</w:t>
      </w:r>
    </w:p>
    <w:p w14:paraId="61882AEC">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2.</w:t>
      </w:r>
      <w:r>
        <w:rPr>
          <w:rFonts w:ascii="宋体" w:hAnsi="宋体" w:eastAsia="宋体" w:cs="宋体"/>
          <w:color w:val="auto"/>
          <w:sz w:val="24"/>
          <w:szCs w:val="24"/>
          <w:lang w:val="zh-TW" w:eastAsia="zh-TW"/>
        </w:rPr>
        <w:t>编制标准草案：2024年</w:t>
      </w:r>
      <w:r>
        <w:rPr>
          <w:rFonts w:ascii="宋体" w:hAnsi="宋体" w:eastAsia="宋体" w:cs="宋体"/>
          <w:color w:val="auto"/>
          <w:sz w:val="24"/>
          <w:szCs w:val="24"/>
          <w:lang w:val="zh-TW"/>
        </w:rPr>
        <w:t>6</w:t>
      </w:r>
      <w:r>
        <w:rPr>
          <w:rFonts w:ascii="宋体" w:hAnsi="宋体" w:eastAsia="宋体" w:cs="宋体"/>
          <w:color w:val="auto"/>
          <w:sz w:val="24"/>
          <w:szCs w:val="24"/>
          <w:lang w:val="zh-TW" w:eastAsia="zh-TW"/>
        </w:rPr>
        <w:t>月召开标准启动会暨首次研讨会，来自企事业单位、高校、科研院所30余名代表通过线上线下方式参加了会议，起草组对标准情况进行了汇报，并围绕标准内容等方面展开了讨论。起草小组根据预研阶段的成果，结合国内外相关标准和实际情况，编制标准草案。主要内容包括标准的适用范围、术语和定义、评估原则、评估指标体系、评估方法等。会后，起草组针对启动会前和会后，各单位及专家提出的1</w:t>
      </w:r>
      <w:r>
        <w:rPr>
          <w:rFonts w:ascii="宋体" w:hAnsi="宋体" w:eastAsia="宋体" w:cs="宋体"/>
          <w:color w:val="auto"/>
          <w:sz w:val="24"/>
          <w:szCs w:val="24"/>
          <w:lang w:val="zh-TW"/>
        </w:rPr>
        <w:t>2</w:t>
      </w:r>
      <w:r>
        <w:rPr>
          <w:rFonts w:ascii="宋体" w:hAnsi="宋体" w:eastAsia="宋体" w:cs="宋体"/>
          <w:color w:val="auto"/>
          <w:sz w:val="24"/>
          <w:szCs w:val="24"/>
          <w:lang w:val="zh-TW" w:eastAsia="zh-TW"/>
        </w:rPr>
        <w:t>条修改建议进行了处理，并对相应的标准文本进行修订，开始新一轮意见征集。</w:t>
      </w:r>
    </w:p>
    <w:p w14:paraId="3FE396F2">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3.</w:t>
      </w:r>
      <w:r>
        <w:rPr>
          <w:rFonts w:ascii="宋体" w:hAnsi="宋体" w:eastAsia="宋体" w:cs="宋体"/>
          <w:color w:val="auto"/>
          <w:sz w:val="24"/>
          <w:szCs w:val="24"/>
          <w:lang w:val="zh-TW" w:eastAsia="zh-TW"/>
        </w:rPr>
        <w:t>内部审查：起草小组内部对标准草案进行多次审查和修改，确保标准内容的科学性、合理性和可操作性。2024年</w:t>
      </w:r>
      <w:r>
        <w:rPr>
          <w:rFonts w:ascii="宋体" w:hAnsi="宋体" w:eastAsia="宋体" w:cs="宋体"/>
          <w:color w:val="auto"/>
          <w:sz w:val="24"/>
          <w:szCs w:val="24"/>
          <w:lang w:val="zh-TW"/>
        </w:rPr>
        <w:t>7</w:t>
      </w:r>
      <w:r>
        <w:rPr>
          <w:rFonts w:ascii="宋体" w:hAnsi="宋体" w:eastAsia="宋体" w:cs="宋体"/>
          <w:color w:val="auto"/>
          <w:sz w:val="24"/>
          <w:szCs w:val="24"/>
          <w:lang w:val="zh-TW" w:eastAsia="zh-TW"/>
        </w:rPr>
        <w:t>月，标准第二次研讨会顺利召开，</w:t>
      </w:r>
      <w:r>
        <w:rPr>
          <w:rFonts w:hint="eastAsia" w:ascii="宋体" w:hAnsi="宋体" w:eastAsia="宋体" w:cs="宋体"/>
          <w:color w:val="auto"/>
          <w:sz w:val="24"/>
          <w:szCs w:val="24"/>
          <w:lang w:val="zh-TW" w:eastAsia="zh-CN"/>
        </w:rPr>
        <w:t>会议</w:t>
      </w:r>
      <w:r>
        <w:rPr>
          <w:rFonts w:ascii="宋体" w:hAnsi="宋体" w:eastAsia="宋体" w:cs="宋体"/>
          <w:color w:val="auto"/>
          <w:sz w:val="24"/>
          <w:szCs w:val="24"/>
          <w:lang w:val="zh-TW" w:eastAsia="zh-TW"/>
        </w:rPr>
        <w:t>主要围绕启动会和首次研讨会召开以来征集到的意见进行讨论，针对专家提出的1</w:t>
      </w:r>
      <w:r>
        <w:rPr>
          <w:rFonts w:ascii="宋体" w:hAnsi="宋体" w:eastAsia="宋体" w:cs="宋体"/>
          <w:color w:val="auto"/>
          <w:sz w:val="24"/>
          <w:szCs w:val="24"/>
          <w:lang w:val="zh-TW"/>
        </w:rPr>
        <w:t>0</w:t>
      </w:r>
      <w:r>
        <w:rPr>
          <w:rFonts w:ascii="宋体" w:hAnsi="宋体" w:eastAsia="宋体" w:cs="宋体"/>
          <w:color w:val="auto"/>
          <w:sz w:val="24"/>
          <w:szCs w:val="24"/>
          <w:lang w:val="zh-TW" w:eastAsia="zh-TW"/>
        </w:rPr>
        <w:t>条修改建议进行处理，并对相应的标准文本进行修改。2004年</w:t>
      </w:r>
      <w:r>
        <w:rPr>
          <w:rFonts w:ascii="宋体" w:hAnsi="宋体" w:eastAsia="宋体" w:cs="宋体"/>
          <w:color w:val="auto"/>
          <w:sz w:val="24"/>
          <w:szCs w:val="24"/>
          <w:lang w:val="zh-TW"/>
        </w:rPr>
        <w:t>7</w:t>
      </w:r>
      <w:r>
        <w:rPr>
          <w:rFonts w:ascii="宋体" w:hAnsi="宋体" w:eastAsia="宋体" w:cs="宋体"/>
          <w:color w:val="auto"/>
          <w:sz w:val="24"/>
          <w:szCs w:val="24"/>
          <w:lang w:val="zh-TW" w:eastAsia="zh-TW"/>
        </w:rPr>
        <w:t>月，标准第三次研讨会召开，针对专家提出的修改5条修改建议进行处理。</w:t>
      </w:r>
    </w:p>
    <w:p w14:paraId="19229B62">
      <w:pPr>
        <w:framePr w:wrap="auto" w:vAnchor="margin" w:hAnchor="text" w:yAlign="inline"/>
        <w:spacing w:line="360" w:lineRule="auto"/>
        <w:ind w:firstLine="482" w:firstLineChars="200"/>
        <w:rPr>
          <w:rFonts w:ascii="宋体" w:hAnsi="宋体" w:eastAsia="宋体" w:cs="宋体"/>
          <w:b/>
          <w:bCs/>
          <w:color w:val="auto"/>
          <w:sz w:val="24"/>
          <w:szCs w:val="24"/>
          <w:lang w:val="zh-TW" w:eastAsia="zh-TW"/>
        </w:rPr>
      </w:pPr>
      <w:r>
        <w:rPr>
          <w:rFonts w:ascii="宋体" w:hAnsi="宋体" w:eastAsia="宋体" w:cs="宋体"/>
          <w:b/>
          <w:bCs/>
          <w:color w:val="auto"/>
          <w:sz w:val="24"/>
          <w:szCs w:val="24"/>
          <w:lang w:val="zh-TW" w:eastAsia="zh-TW"/>
        </w:rPr>
        <w:t>（四）征求意见阶段</w:t>
      </w:r>
    </w:p>
    <w:p w14:paraId="5FAFAD6E">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在征求意见阶段，主要工作包括：</w:t>
      </w:r>
    </w:p>
    <w:p w14:paraId="719D42F4">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1.</w:t>
      </w:r>
      <w:r>
        <w:rPr>
          <w:rFonts w:ascii="宋体" w:hAnsi="宋体" w:eastAsia="宋体" w:cs="宋体"/>
          <w:color w:val="auto"/>
          <w:sz w:val="24"/>
          <w:szCs w:val="24"/>
          <w:lang w:val="zh-TW" w:eastAsia="zh-TW"/>
        </w:rPr>
        <w:t>公开征求意见：通过信函、网上公开、会议等多种形式，向相关企业、政府部门、行业协会等广泛征求意见。</w:t>
      </w:r>
    </w:p>
    <w:p w14:paraId="391E7D5B">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2.</w:t>
      </w:r>
      <w:r>
        <w:rPr>
          <w:rFonts w:ascii="宋体" w:hAnsi="宋体" w:eastAsia="宋体" w:cs="宋体"/>
          <w:color w:val="auto"/>
          <w:sz w:val="24"/>
          <w:szCs w:val="24"/>
          <w:lang w:val="zh-TW" w:eastAsia="zh-TW"/>
        </w:rPr>
        <w:t>意见汇总与处理：2024年8月，我们将对收集到的意见进行汇总和分析，对合理的意见进行采纳，对不合理的意见进行解释说明，并对标准草案进行相应修改。</w:t>
      </w:r>
    </w:p>
    <w:p w14:paraId="61BBE97E">
      <w:pPr>
        <w:framePr w:wrap="auto" w:vAnchor="margin" w:hAnchor="text" w:yAlign="inline"/>
        <w:spacing w:line="360" w:lineRule="auto"/>
        <w:ind w:firstLine="482" w:firstLineChars="200"/>
        <w:rPr>
          <w:rFonts w:ascii="宋体" w:hAnsi="宋体" w:eastAsia="宋体" w:cs="宋体"/>
          <w:b/>
          <w:bCs/>
          <w:color w:val="auto"/>
          <w:sz w:val="24"/>
          <w:szCs w:val="24"/>
          <w:lang w:val="zh-TW" w:eastAsia="zh-TW"/>
        </w:rPr>
      </w:pPr>
      <w:r>
        <w:rPr>
          <w:rFonts w:ascii="宋体" w:hAnsi="宋体" w:eastAsia="宋体" w:cs="宋体"/>
          <w:b/>
          <w:bCs/>
          <w:color w:val="auto"/>
          <w:sz w:val="24"/>
          <w:szCs w:val="24"/>
          <w:lang w:val="zh-TW" w:eastAsia="zh-TW"/>
        </w:rPr>
        <w:t>（五）送审阶段</w:t>
      </w:r>
    </w:p>
    <w:p w14:paraId="00F97406">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2024年9月，送审阶段主要工作包括：</w:t>
      </w:r>
    </w:p>
    <w:p w14:paraId="7CE4B735">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1.</w:t>
      </w:r>
      <w:r>
        <w:rPr>
          <w:rFonts w:ascii="宋体" w:hAnsi="宋体" w:eastAsia="宋体" w:cs="宋体"/>
          <w:color w:val="auto"/>
          <w:sz w:val="24"/>
          <w:szCs w:val="24"/>
          <w:lang w:val="zh-TW" w:eastAsia="zh-TW"/>
        </w:rPr>
        <w:t>提交送审稿：中国贸促会商业行业委员会营商环境监测中心将修改完善后的标准送审稿提交给中国国际贸易促进委员会商业行业委员会进行审查。</w:t>
      </w:r>
    </w:p>
    <w:p w14:paraId="6D5572D3">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2.</w:t>
      </w:r>
      <w:r>
        <w:rPr>
          <w:rFonts w:ascii="宋体" w:hAnsi="宋体" w:eastAsia="宋体" w:cs="宋体"/>
          <w:color w:val="auto"/>
          <w:sz w:val="24"/>
          <w:szCs w:val="24"/>
          <w:lang w:val="zh-TW" w:eastAsia="zh-TW"/>
        </w:rPr>
        <w:t>审查与批准：中国国际贸易促进委员会商业行业委员会组织专家对送审稿进行审查，提出修改建议。起草小组根据审查意见对标准进行修改和完善，直至获得批准发布。</w:t>
      </w:r>
    </w:p>
    <w:p w14:paraId="0222F6BA">
      <w:pPr>
        <w:framePr w:wrap="auto" w:vAnchor="margin" w:hAnchor="text" w:yAlign="inline"/>
        <w:spacing w:line="360" w:lineRule="auto"/>
        <w:ind w:firstLine="482" w:firstLineChars="200"/>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四、标准的主要内容和依据</w:t>
      </w:r>
    </w:p>
    <w:p w14:paraId="125FEA9B">
      <w:pPr>
        <w:framePr w:wrap="auto" w:vAnchor="margin" w:hAnchor="text" w:yAlign="inline"/>
        <w:spacing w:line="360" w:lineRule="auto"/>
        <w:ind w:firstLine="482" w:firstLineChars="200"/>
        <w:rPr>
          <w:rFonts w:ascii="宋体" w:hAnsi="宋体" w:eastAsia="宋体" w:cs="宋体"/>
          <w:b/>
          <w:bCs/>
          <w:color w:val="auto"/>
          <w:sz w:val="24"/>
          <w:szCs w:val="24"/>
        </w:rPr>
      </w:pPr>
      <w:r>
        <w:rPr>
          <w:rFonts w:ascii="宋体" w:hAnsi="宋体" w:eastAsia="宋体" w:cs="宋体"/>
          <w:b/>
          <w:bCs/>
          <w:color w:val="auto"/>
          <w:sz w:val="24"/>
          <w:szCs w:val="24"/>
        </w:rPr>
        <w:t>（一）</w:t>
      </w:r>
      <w:r>
        <w:rPr>
          <w:rFonts w:ascii="宋体" w:hAnsi="宋体" w:eastAsia="宋体" w:cs="宋体"/>
          <w:b/>
          <w:bCs/>
          <w:color w:val="auto"/>
          <w:sz w:val="24"/>
          <w:szCs w:val="24"/>
          <w:lang w:val="zh-TW" w:eastAsia="zh-TW"/>
        </w:rPr>
        <w:t>制定原则</w:t>
      </w:r>
    </w:p>
    <w:p w14:paraId="04B7F629">
      <w:pPr>
        <w:framePr w:wrap="auto" w:vAnchor="margin" w:hAnchor="text" w:yAlign="inline"/>
        <w:spacing w:line="360" w:lineRule="auto"/>
        <w:ind w:firstLine="480" w:firstLineChars="200"/>
        <w:rPr>
          <w:rFonts w:ascii="宋体" w:hAnsi="宋体" w:eastAsia="宋体" w:cs="宋体"/>
          <w:color w:val="auto"/>
          <w:sz w:val="24"/>
          <w:szCs w:val="24"/>
        </w:rPr>
      </w:pPr>
      <w:bookmarkStart w:id="0" w:name="_Toc27761"/>
      <w:r>
        <w:rPr>
          <w:rFonts w:ascii="宋体" w:hAnsi="宋体" w:eastAsia="宋体" w:cs="宋体"/>
          <w:color w:val="auto"/>
          <w:sz w:val="24"/>
          <w:szCs w:val="24"/>
        </w:rPr>
        <w:t>1.合法合理原则</w:t>
      </w:r>
      <w:bookmarkEnd w:id="0"/>
    </w:p>
    <w:p w14:paraId="206B2FB4">
      <w:pPr>
        <w:framePr w:wrap="auto" w:vAnchor="margin" w:hAnchor="text" w:yAlign="inline"/>
        <w:spacing w:line="360" w:lineRule="auto"/>
        <w:ind w:firstLine="480" w:firstLineChars="200"/>
        <w:rPr>
          <w:rFonts w:ascii="宋体" w:hAnsi="宋体" w:eastAsia="宋体" w:cs="宋体"/>
          <w:color w:val="auto"/>
          <w:sz w:val="24"/>
          <w:szCs w:val="24"/>
        </w:rPr>
      </w:pPr>
      <w:bookmarkStart w:id="1" w:name="_Toc169546872"/>
      <w:bookmarkStart w:id="2" w:name="_Toc18780"/>
      <w:r>
        <w:rPr>
          <w:rFonts w:ascii="宋体" w:hAnsi="宋体" w:eastAsia="宋体" w:cs="宋体"/>
          <w:color w:val="auto"/>
          <w:sz w:val="24"/>
          <w:szCs w:val="24"/>
        </w:rPr>
        <w:t>本标准应当符合法律、行政法规等上位法以及国家政策文件的要求，符合理性、适当的要求。</w:t>
      </w:r>
    </w:p>
    <w:p w14:paraId="4B11D7B1">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2.公平公正原则</w:t>
      </w:r>
      <w:bookmarkEnd w:id="1"/>
      <w:bookmarkEnd w:id="2"/>
    </w:p>
    <w:p w14:paraId="068C9033">
      <w:pPr>
        <w:framePr w:wrap="auto" w:vAnchor="margin" w:hAnchor="text" w:yAlign="inline"/>
        <w:spacing w:line="360" w:lineRule="auto"/>
        <w:ind w:firstLine="480" w:firstLineChars="200"/>
        <w:rPr>
          <w:rFonts w:ascii="宋体" w:hAnsi="宋体" w:eastAsia="宋体" w:cs="宋体"/>
          <w:color w:val="auto"/>
          <w:sz w:val="24"/>
          <w:szCs w:val="24"/>
        </w:rPr>
      </w:pPr>
      <w:bookmarkStart w:id="3" w:name="_Toc169546873"/>
      <w:bookmarkStart w:id="4" w:name="_Toc3427"/>
      <w:r>
        <w:rPr>
          <w:rFonts w:ascii="宋体" w:hAnsi="宋体" w:eastAsia="宋体" w:cs="宋体"/>
          <w:color w:val="auto"/>
          <w:sz w:val="24"/>
          <w:szCs w:val="24"/>
        </w:rPr>
        <w:t>本标准应当符合公正、公平的要求，不偏袒特定利益相关者，依据产业园区的实际情况和客观数据，综合考虑影响招商引资的各个环节和影响因素，科学确定制定本标准的内容体系。</w:t>
      </w:r>
    </w:p>
    <w:p w14:paraId="5984A168">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3.透明参与原则</w:t>
      </w:r>
      <w:bookmarkEnd w:id="3"/>
      <w:bookmarkEnd w:id="4"/>
    </w:p>
    <w:p w14:paraId="50310B6A">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本标准的过程应当公开透明，充分吸纳各方的意见和建议，并且鼓励相关方参与标准的制定和修订过程，结合营商环境的发展变化及时更新标准内容，确保标准的全面性、适宜性和可接受性。</w:t>
      </w:r>
    </w:p>
    <w:p w14:paraId="048FCC49">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4.便于应用原则</w:t>
      </w:r>
    </w:p>
    <w:p w14:paraId="1B9CB9C7">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制定本标准和后续的应用，应当同时设定可衡量、可评价的指标，并且确保评价方法和指标体系在实际操作中具有可行性，尽量采用数据“无感</w:t>
      </w:r>
      <w:r>
        <w:rPr>
          <w:rFonts w:ascii="宋体" w:hAnsi="宋体" w:eastAsia="宋体" w:cs="宋体"/>
          <w:color w:val="auto"/>
          <w:sz w:val="24"/>
          <w:szCs w:val="24"/>
          <w:lang w:val="zh-TW"/>
        </w:rPr>
        <w:t>”</w:t>
      </w:r>
      <w:r>
        <w:rPr>
          <w:rFonts w:ascii="宋体" w:hAnsi="宋体" w:eastAsia="宋体" w:cs="宋体"/>
          <w:color w:val="auto"/>
          <w:sz w:val="24"/>
          <w:szCs w:val="24"/>
          <w:lang w:val="zh-TW" w:eastAsia="zh-TW"/>
        </w:rPr>
        <w:t>收集等方式，提高数据收集的便利度，从而客观及时</w:t>
      </w:r>
      <w:r>
        <w:rPr>
          <w:rFonts w:ascii="宋体" w:hAnsi="宋体" w:eastAsia="宋体" w:cs="宋体"/>
          <w:color w:val="auto"/>
          <w:sz w:val="24"/>
          <w:szCs w:val="24"/>
          <w:lang w:val="zh-TW"/>
        </w:rPr>
        <w:t>反映</w:t>
      </w:r>
      <w:r>
        <w:rPr>
          <w:rFonts w:ascii="宋体" w:hAnsi="宋体" w:eastAsia="宋体" w:cs="宋体"/>
          <w:color w:val="auto"/>
          <w:sz w:val="24"/>
          <w:szCs w:val="24"/>
        </w:rPr>
        <w:t>产业园区的招商引资现状</w:t>
      </w:r>
      <w:r>
        <w:rPr>
          <w:rFonts w:ascii="宋体" w:hAnsi="宋体" w:eastAsia="宋体" w:cs="宋体"/>
          <w:color w:val="auto"/>
          <w:sz w:val="24"/>
          <w:szCs w:val="24"/>
          <w:lang w:val="zh-TW" w:eastAsia="zh-TW"/>
        </w:rPr>
        <w:t>。</w:t>
      </w:r>
    </w:p>
    <w:p w14:paraId="668FD60A">
      <w:pPr>
        <w:pStyle w:val="10"/>
        <w:numPr>
          <w:ilvl w:val="0"/>
          <w:numId w:val="0"/>
        </w:numPr>
        <w:tabs>
          <w:tab w:val="left" w:pos="312"/>
        </w:tabs>
        <w:spacing w:before="0" w:beforeLines="0" w:after="0" w:afterLines="0" w:line="360" w:lineRule="auto"/>
        <w:ind w:firstLine="482" w:firstLineChars="200"/>
        <w:rPr>
          <w:b/>
          <w:bCs/>
        </w:rPr>
      </w:pPr>
      <w:r>
        <w:rPr>
          <w:rFonts w:hint="eastAsia" w:ascii="宋体" w:hAnsi="宋体" w:eastAsia="宋体" w:cs="宋体"/>
          <w:b/>
          <w:bCs/>
          <w:sz w:val="24"/>
          <w:szCs w:val="24"/>
          <w:lang w:val="zh-TW"/>
        </w:rPr>
        <w:t>（二）</w:t>
      </w:r>
      <w:r>
        <w:rPr>
          <w:rFonts w:ascii="宋体" w:hAnsi="宋体" w:eastAsia="宋体" w:cs="宋体"/>
          <w:b/>
          <w:bCs/>
          <w:sz w:val="24"/>
          <w:szCs w:val="24"/>
          <w:lang w:val="zh-TW" w:eastAsia="zh-TW"/>
        </w:rPr>
        <w:t>主要技术内容的说</w:t>
      </w:r>
      <w:r>
        <w:rPr>
          <w:rFonts w:hint="eastAsia" w:ascii="宋体" w:hAnsi="宋体" w:eastAsia="宋体" w:cs="宋体"/>
          <w:b/>
          <w:bCs/>
          <w:sz w:val="24"/>
          <w:szCs w:val="24"/>
          <w:lang w:val="zh-TW"/>
        </w:rPr>
        <w:t>明</w:t>
      </w:r>
    </w:p>
    <w:p w14:paraId="37133A2A">
      <w:pPr>
        <w:framePr w:wrap="auto" w:vAnchor="margin" w:hAnchor="text" w:yAlign="inline"/>
        <w:spacing w:line="360" w:lineRule="auto"/>
        <w:ind w:firstLine="480" w:firstLineChars="200"/>
        <w:rPr>
          <w:rFonts w:hAnsi="宋体" w:eastAsia="宋体" w:cs="宋体"/>
          <w:sz w:val="24"/>
          <w:szCs w:val="24"/>
        </w:rPr>
      </w:pPr>
      <w:r>
        <w:rPr>
          <w:rFonts w:ascii="宋体" w:hAnsi="宋体" w:eastAsia="宋体" w:cs="宋体"/>
          <w:color w:val="auto"/>
          <w:sz w:val="24"/>
          <w:szCs w:val="24"/>
          <w:lang w:val="zh-TW" w:eastAsia="zh-TW"/>
        </w:rPr>
        <w:t>本标准以</w:t>
      </w:r>
      <w:r>
        <w:rPr>
          <w:rFonts w:ascii="宋体" w:hAnsi="宋体" w:eastAsia="宋体" w:cs="宋体"/>
          <w:color w:val="auto"/>
          <w:sz w:val="24"/>
          <w:szCs w:val="24"/>
        </w:rPr>
        <w:t>产业园区营商环境建设情况</w:t>
      </w:r>
      <w:r>
        <w:rPr>
          <w:rFonts w:ascii="宋体" w:hAnsi="宋体" w:eastAsia="宋体" w:cs="宋体"/>
          <w:color w:val="auto"/>
          <w:sz w:val="24"/>
          <w:szCs w:val="24"/>
          <w:lang w:val="zh-TW" w:eastAsia="zh-TW"/>
        </w:rPr>
        <w:t>为轴线，以招商引资能力为</w:t>
      </w:r>
      <w:r>
        <w:rPr>
          <w:rFonts w:ascii="宋体" w:hAnsi="宋体" w:eastAsia="宋体" w:cs="宋体"/>
          <w:color w:val="auto"/>
          <w:sz w:val="24"/>
          <w:szCs w:val="24"/>
          <w:lang w:val="zh-TW"/>
        </w:rPr>
        <w:t>重点</w:t>
      </w:r>
      <w:r>
        <w:rPr>
          <w:rFonts w:ascii="宋体" w:hAnsi="宋体" w:eastAsia="宋体" w:cs="宋体"/>
          <w:color w:val="auto"/>
          <w:sz w:val="24"/>
          <w:szCs w:val="24"/>
          <w:lang w:val="zh-TW" w:eastAsia="zh-TW"/>
        </w:rPr>
        <w:t>，</w:t>
      </w:r>
      <w:r>
        <w:rPr>
          <w:rFonts w:ascii="宋体" w:hAnsi="宋体" w:eastAsia="宋体" w:cs="宋体"/>
          <w:color w:val="auto"/>
          <w:sz w:val="24"/>
          <w:szCs w:val="24"/>
        </w:rPr>
        <w:t>设计体现产业园区招商引资能力的4个一级指标，即管理支持、</w:t>
      </w:r>
      <w:r>
        <w:rPr>
          <w:rFonts w:ascii="宋体" w:hAnsi="宋体" w:eastAsia="宋体" w:cs="宋体"/>
          <w:color w:val="auto"/>
          <w:sz w:val="24"/>
          <w:szCs w:val="24"/>
          <w:lang w:val="zh-TW" w:eastAsia="zh-TW"/>
        </w:rPr>
        <w:t>经济效益</w:t>
      </w:r>
      <w:r>
        <w:rPr>
          <w:rFonts w:ascii="宋体" w:hAnsi="宋体" w:eastAsia="宋体" w:cs="宋体"/>
          <w:color w:val="auto"/>
          <w:sz w:val="24"/>
          <w:szCs w:val="24"/>
          <w:lang w:val="zh-TW"/>
        </w:rPr>
        <w:t>、</w:t>
      </w:r>
      <w:r>
        <w:rPr>
          <w:rFonts w:ascii="宋体" w:hAnsi="宋体" w:eastAsia="宋体" w:cs="宋体"/>
          <w:color w:val="auto"/>
          <w:sz w:val="24"/>
          <w:szCs w:val="24"/>
        </w:rPr>
        <w:t>社会贡献、综合评价，下设21个二级指标、50个三级指标。</w:t>
      </w:r>
    </w:p>
    <w:p w14:paraId="77AB32BF">
      <w:pPr>
        <w:framePr w:wrap="auto" w:vAnchor="margin" w:hAnchor="text" w:yAlign="inline"/>
        <w:spacing w:line="360" w:lineRule="auto"/>
        <w:ind w:firstLine="482" w:firstLineChars="200"/>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五、标准的水平</w:t>
      </w:r>
    </w:p>
    <w:p w14:paraId="7DC6D340">
      <w:pPr>
        <w:framePr w:wrap="auto" w:vAnchor="margin" w:hAnchor="text" w:yAlign="inline"/>
        <w:spacing w:line="360" w:lineRule="auto"/>
        <w:ind w:firstLine="480" w:firstLineChars="200"/>
        <w:rPr>
          <w:rFonts w:ascii="宋体" w:hAnsi="宋体" w:eastAsia="宋体" w:cs="宋体"/>
          <w:color w:val="auto"/>
          <w:sz w:val="24"/>
          <w:szCs w:val="24"/>
        </w:rPr>
      </w:pPr>
      <w:r>
        <w:rPr>
          <w:rFonts w:hint="default" w:ascii="宋体" w:hAnsi="宋体" w:eastAsia="宋体" w:cs="宋体"/>
          <w:color w:val="auto"/>
          <w:sz w:val="24"/>
          <w:szCs w:val="24"/>
          <w:lang w:val="zh-TW" w:eastAsia="zh-TW"/>
        </w:rPr>
        <w:t>该团体标准作为产业园区营商环境招商引资能力评估</w:t>
      </w:r>
      <w:r>
        <w:rPr>
          <w:rFonts w:ascii="宋体" w:hAnsi="宋体" w:eastAsia="宋体" w:cs="宋体"/>
          <w:color w:val="auto"/>
          <w:sz w:val="24"/>
          <w:szCs w:val="24"/>
        </w:rPr>
        <w:t>的专业性指标，</w:t>
      </w:r>
      <w:r>
        <w:rPr>
          <w:rFonts w:hint="default" w:ascii="宋体" w:hAnsi="宋体" w:eastAsia="宋体" w:cs="宋体"/>
          <w:color w:val="auto"/>
          <w:sz w:val="24"/>
          <w:szCs w:val="24"/>
          <w:lang w:val="zh-TW" w:eastAsia="zh-TW"/>
        </w:rPr>
        <w:t>水平应定位于国内先进水平或国际先进水平，具体取决于标准制定过程中所参考的国内外相关标准、技术发展趋势以及</w:t>
      </w:r>
      <w:r>
        <w:rPr>
          <w:rFonts w:ascii="宋体" w:hAnsi="宋体" w:eastAsia="宋体" w:cs="宋体"/>
          <w:color w:val="auto"/>
          <w:sz w:val="24"/>
          <w:szCs w:val="24"/>
        </w:rPr>
        <w:t>产业园区营商环境招商引资能力评估准则方面</w:t>
      </w:r>
      <w:r>
        <w:rPr>
          <w:rFonts w:hint="default" w:ascii="宋体" w:hAnsi="宋体" w:eastAsia="宋体" w:cs="宋体"/>
          <w:color w:val="auto"/>
          <w:sz w:val="24"/>
          <w:szCs w:val="24"/>
          <w:lang w:val="zh-TW" w:eastAsia="zh-TW"/>
        </w:rPr>
        <w:t>的实际需求。该标准将结合</w:t>
      </w:r>
      <w:r>
        <w:rPr>
          <w:rFonts w:ascii="宋体" w:hAnsi="宋体" w:eastAsia="宋体" w:cs="宋体"/>
          <w:color w:val="auto"/>
          <w:sz w:val="24"/>
          <w:szCs w:val="24"/>
        </w:rPr>
        <w:t>产业园区营商环境招商引资能力评估准则的特点与</w:t>
      </w:r>
      <w:r>
        <w:rPr>
          <w:rFonts w:hint="default" w:ascii="宋体" w:hAnsi="宋体" w:eastAsia="宋体" w:cs="宋体"/>
          <w:color w:val="auto"/>
          <w:sz w:val="24"/>
          <w:szCs w:val="24"/>
          <w:lang w:val="zh-TW" w:eastAsia="zh-TW"/>
        </w:rPr>
        <w:t>要求，提出具有科学性、合理性和可操作性的</w:t>
      </w:r>
      <w:r>
        <w:rPr>
          <w:rFonts w:ascii="宋体" w:hAnsi="宋体" w:eastAsia="宋体" w:cs="宋体"/>
          <w:color w:val="auto"/>
          <w:sz w:val="24"/>
          <w:szCs w:val="24"/>
        </w:rPr>
        <w:t>评估准则方案</w:t>
      </w:r>
      <w:r>
        <w:rPr>
          <w:rFonts w:hint="default" w:ascii="宋体" w:hAnsi="宋体" w:eastAsia="宋体" w:cs="宋体"/>
          <w:color w:val="auto"/>
          <w:sz w:val="24"/>
          <w:szCs w:val="24"/>
          <w:lang w:val="zh-TW" w:eastAsia="zh-TW"/>
        </w:rPr>
        <w:t>，为建设市场化法治化国际化营商环境提供可操作的有效参考</w:t>
      </w:r>
      <w:r>
        <w:rPr>
          <w:rFonts w:ascii="宋体" w:hAnsi="宋体" w:eastAsia="宋体" w:cs="宋体"/>
          <w:color w:val="auto"/>
          <w:sz w:val="24"/>
          <w:szCs w:val="24"/>
          <w:lang w:val="zh-TW"/>
        </w:rPr>
        <w:t>，</w:t>
      </w:r>
      <w:r>
        <w:rPr>
          <w:rFonts w:hint="default" w:ascii="宋体" w:hAnsi="宋体" w:eastAsia="宋体" w:cs="宋体"/>
          <w:color w:val="auto"/>
          <w:sz w:val="24"/>
          <w:szCs w:val="24"/>
          <w:lang w:val="zh-TW" w:eastAsia="zh-TW"/>
        </w:rPr>
        <w:t xml:space="preserve"> 为高质量发展提供积极的制度动力。</w:t>
      </w:r>
    </w:p>
    <w:p w14:paraId="4FA346D8">
      <w:pPr>
        <w:framePr w:wrap="auto" w:vAnchor="margin" w:hAnchor="text" w:yAlign="inline"/>
        <w:spacing w:line="360" w:lineRule="auto"/>
        <w:ind w:firstLine="482" w:firstLineChars="200"/>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六、与有关的现行法律、法规和强制性国家标准的关系</w:t>
      </w:r>
    </w:p>
    <w:p w14:paraId="45E1AB67">
      <w:pPr>
        <w:framePr w:wrap="auto" w:vAnchor="margin" w:hAnchor="text" w:yAlign="inline"/>
        <w:spacing w:line="360" w:lineRule="auto"/>
        <w:ind w:firstLine="482" w:firstLineChars="200"/>
        <w:rPr>
          <w:rFonts w:ascii="宋体" w:hAnsi="宋体" w:eastAsia="宋体" w:cs="宋体"/>
          <w:b/>
          <w:bCs/>
          <w:color w:val="auto"/>
          <w:sz w:val="24"/>
          <w:szCs w:val="24"/>
          <w:lang w:val="zh-TW" w:eastAsia="zh-TW"/>
        </w:rPr>
      </w:pPr>
      <w:r>
        <w:rPr>
          <w:rFonts w:ascii="宋体" w:hAnsi="宋体" w:eastAsia="宋体" w:cs="宋体"/>
          <w:b/>
          <w:bCs/>
          <w:color w:val="auto"/>
          <w:sz w:val="24"/>
          <w:szCs w:val="24"/>
        </w:rPr>
        <w:t>（一）</w:t>
      </w:r>
      <w:r>
        <w:rPr>
          <w:rFonts w:hint="default" w:ascii="宋体" w:hAnsi="宋体" w:eastAsia="宋体" w:cs="宋体"/>
          <w:b/>
          <w:bCs/>
          <w:color w:val="auto"/>
          <w:sz w:val="24"/>
          <w:szCs w:val="24"/>
          <w:lang w:val="zh-TW" w:eastAsia="zh-TW"/>
        </w:rPr>
        <w:t>与现行法律、法规的关系</w:t>
      </w:r>
    </w:p>
    <w:p w14:paraId="7D796D93">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eastAsia="zh-TW"/>
        </w:rPr>
        <w:t>该团体标准严格遵循国家现行的相关法律、法规，确保评估工作的合法性和合规性。</w:t>
      </w:r>
      <w:r>
        <w:rPr>
          <w:rFonts w:ascii="宋体" w:hAnsi="宋体" w:eastAsia="宋体" w:cs="宋体"/>
          <w:color w:val="auto"/>
          <w:sz w:val="24"/>
          <w:szCs w:val="24"/>
          <w:lang w:val="zh-TW"/>
        </w:rPr>
        <w:t>产业园区营商环境的优化和招商引资能力的提升，必须建立在遵循和符合国家和地方的法律、法规框架之上。这些法律、法规为产业园区的规划、建设、运营和招商引资提供了基本的指导和规范，确保了产业园区发展的合法性和可持续性。</w:t>
      </w:r>
    </w:p>
    <w:p w14:paraId="366D9478">
      <w:pPr>
        <w:framePr w:wrap="auto" w:vAnchor="margin" w:hAnchor="text" w:yAlign="inline"/>
        <w:spacing w:line="360" w:lineRule="auto"/>
        <w:ind w:firstLine="482" w:firstLineChars="200"/>
        <w:rPr>
          <w:rFonts w:ascii="宋体" w:hAnsi="宋体" w:eastAsia="宋体" w:cs="宋体"/>
          <w:b/>
          <w:bCs/>
          <w:color w:val="auto"/>
          <w:sz w:val="24"/>
          <w:szCs w:val="24"/>
          <w:lang w:val="zh-TW" w:eastAsia="zh-TW"/>
        </w:rPr>
      </w:pPr>
      <w:r>
        <w:rPr>
          <w:rFonts w:ascii="宋体" w:hAnsi="宋体" w:eastAsia="宋体" w:cs="宋体"/>
          <w:b/>
          <w:bCs/>
          <w:color w:val="auto"/>
          <w:sz w:val="24"/>
          <w:szCs w:val="24"/>
        </w:rPr>
        <w:t>（二）</w:t>
      </w:r>
      <w:r>
        <w:rPr>
          <w:rFonts w:hint="default" w:ascii="宋体" w:hAnsi="宋体" w:eastAsia="宋体" w:cs="宋体"/>
          <w:b/>
          <w:bCs/>
          <w:color w:val="auto"/>
          <w:sz w:val="24"/>
          <w:szCs w:val="24"/>
          <w:lang w:val="zh-TW" w:eastAsia="zh-TW"/>
        </w:rPr>
        <w:t>与强制性国家标准的关系</w:t>
      </w:r>
    </w:p>
    <w:p w14:paraId="24E58102">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rPr>
        <w:t>目前该领域尚无国家强制标准。</w:t>
      </w:r>
      <w:r>
        <w:rPr>
          <w:rFonts w:hint="default" w:ascii="宋体" w:hAnsi="宋体" w:eastAsia="宋体" w:cs="宋体"/>
          <w:color w:val="auto"/>
          <w:sz w:val="24"/>
          <w:szCs w:val="24"/>
          <w:lang w:val="zh-TW" w:eastAsia="zh-TW"/>
        </w:rPr>
        <w:t>该团体标准将填补</w:t>
      </w:r>
      <w:r>
        <w:rPr>
          <w:rFonts w:ascii="宋体" w:hAnsi="宋体" w:eastAsia="宋体" w:cs="宋体"/>
          <w:color w:val="auto"/>
          <w:sz w:val="24"/>
          <w:szCs w:val="24"/>
        </w:rPr>
        <w:t>产业园区营商环境招商引资能力评估准则</w:t>
      </w:r>
      <w:r>
        <w:rPr>
          <w:rFonts w:hint="default" w:ascii="宋体" w:hAnsi="宋体" w:eastAsia="宋体" w:cs="宋体"/>
          <w:color w:val="auto"/>
          <w:sz w:val="24"/>
          <w:szCs w:val="24"/>
          <w:lang w:val="zh-TW" w:eastAsia="zh-TW"/>
        </w:rPr>
        <w:t>方面标准</w:t>
      </w:r>
      <w:r>
        <w:rPr>
          <w:rFonts w:ascii="宋体" w:hAnsi="宋体" w:eastAsia="宋体" w:cs="宋体"/>
          <w:color w:val="auto"/>
          <w:sz w:val="24"/>
          <w:szCs w:val="24"/>
        </w:rPr>
        <w:t>的</w:t>
      </w:r>
      <w:r>
        <w:rPr>
          <w:rFonts w:hint="default" w:ascii="宋体" w:hAnsi="宋体" w:eastAsia="宋体" w:cs="宋体"/>
          <w:color w:val="auto"/>
          <w:sz w:val="24"/>
          <w:szCs w:val="24"/>
          <w:lang w:val="zh-TW" w:eastAsia="zh-TW"/>
        </w:rPr>
        <w:t>空白，为行业的健康发展提供有力保障。</w:t>
      </w:r>
    </w:p>
    <w:p w14:paraId="1392F329">
      <w:pPr>
        <w:framePr w:wrap="auto" w:vAnchor="margin" w:hAnchor="text" w:yAlign="inline"/>
        <w:spacing w:line="360" w:lineRule="auto"/>
        <w:ind w:firstLine="482" w:firstLineChars="200"/>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七、贯彻标准的要求和措施建议</w:t>
      </w:r>
    </w:p>
    <w:p w14:paraId="07871FAC">
      <w:pPr>
        <w:framePr w:wrap="auto" w:vAnchor="margin" w:hAnchor="text" w:yAlign="inline"/>
        <w:spacing w:line="360" w:lineRule="auto"/>
        <w:ind w:firstLine="482" w:firstLineChars="200"/>
        <w:rPr>
          <w:rFonts w:ascii="宋体" w:hAnsi="宋体" w:eastAsia="宋体" w:cs="宋体"/>
          <w:b/>
          <w:bCs/>
          <w:color w:val="auto"/>
          <w:sz w:val="24"/>
          <w:szCs w:val="24"/>
          <w:lang w:val="zh-TW" w:eastAsia="zh-TW"/>
        </w:rPr>
      </w:pPr>
      <w:r>
        <w:rPr>
          <w:rFonts w:ascii="宋体" w:hAnsi="宋体" w:eastAsia="宋体" w:cs="宋体"/>
          <w:b/>
          <w:bCs/>
          <w:color w:val="auto"/>
          <w:sz w:val="24"/>
          <w:szCs w:val="24"/>
        </w:rPr>
        <w:t>（一）</w:t>
      </w:r>
      <w:r>
        <w:rPr>
          <w:rFonts w:hint="default" w:ascii="宋体" w:hAnsi="宋体" w:eastAsia="宋体" w:cs="宋体"/>
          <w:b/>
          <w:bCs/>
          <w:color w:val="auto"/>
          <w:sz w:val="24"/>
          <w:szCs w:val="24"/>
          <w:lang w:val="zh-TW" w:eastAsia="zh-TW"/>
        </w:rPr>
        <w:t>贯彻标准的要求</w:t>
      </w:r>
    </w:p>
    <w:p w14:paraId="65D6D0AA">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1.</w:t>
      </w:r>
      <w:r>
        <w:rPr>
          <w:rFonts w:hint="default" w:ascii="宋体" w:hAnsi="宋体" w:eastAsia="宋体" w:cs="宋体"/>
          <w:color w:val="auto"/>
          <w:sz w:val="24"/>
          <w:szCs w:val="24"/>
          <w:lang w:val="zh-TW" w:eastAsia="zh-TW"/>
        </w:rPr>
        <w:t>广泛宣传：通过多种</w:t>
      </w:r>
      <w:r>
        <w:rPr>
          <w:rFonts w:ascii="宋体" w:hAnsi="宋体" w:eastAsia="宋体" w:cs="宋体"/>
          <w:color w:val="auto"/>
          <w:sz w:val="24"/>
          <w:szCs w:val="24"/>
        </w:rPr>
        <w:t>渠道</w:t>
      </w:r>
      <w:r>
        <w:rPr>
          <w:rFonts w:hint="default" w:ascii="宋体" w:hAnsi="宋体" w:eastAsia="宋体" w:cs="宋体"/>
          <w:color w:val="auto"/>
          <w:sz w:val="24"/>
          <w:szCs w:val="24"/>
          <w:lang w:val="zh-TW" w:eastAsia="zh-TW"/>
        </w:rPr>
        <w:t>和方式，广泛宣传该团体标准的重要性和必要性，提高相关方的认知度和接受度。</w:t>
      </w:r>
    </w:p>
    <w:p w14:paraId="7D0FF906">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2.</w:t>
      </w:r>
      <w:r>
        <w:rPr>
          <w:rFonts w:hint="default" w:ascii="宋体" w:hAnsi="宋体" w:eastAsia="宋体" w:cs="宋体"/>
          <w:color w:val="auto"/>
          <w:sz w:val="24"/>
          <w:szCs w:val="24"/>
          <w:lang w:val="zh-TW" w:eastAsia="zh-TW"/>
        </w:rPr>
        <w:t>培训教育：组织专题培训和交流活动，提高相关方对标准的理解和应用能力。</w:t>
      </w:r>
    </w:p>
    <w:p w14:paraId="68D15144">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3.</w:t>
      </w:r>
      <w:r>
        <w:rPr>
          <w:rFonts w:hint="default" w:ascii="宋体" w:hAnsi="宋体" w:eastAsia="宋体" w:cs="宋体"/>
          <w:color w:val="auto"/>
          <w:sz w:val="24"/>
          <w:szCs w:val="24"/>
          <w:lang w:val="zh-TW" w:eastAsia="zh-TW"/>
        </w:rPr>
        <w:t>严格实施：要求相关方在评估工作中严格按照标准执行，确保评估结果的客观性和准确性。</w:t>
      </w:r>
    </w:p>
    <w:p w14:paraId="412781BC">
      <w:pPr>
        <w:framePr w:wrap="auto" w:vAnchor="margin" w:hAnchor="text" w:yAlign="inline"/>
        <w:spacing w:line="360" w:lineRule="auto"/>
        <w:ind w:firstLine="482" w:firstLineChars="200"/>
        <w:rPr>
          <w:rFonts w:ascii="宋体" w:hAnsi="宋体" w:eastAsia="宋体" w:cs="宋体"/>
          <w:b/>
          <w:bCs/>
          <w:color w:val="auto"/>
          <w:sz w:val="24"/>
          <w:szCs w:val="24"/>
          <w:lang w:val="zh-TW" w:eastAsia="zh-TW"/>
        </w:rPr>
      </w:pPr>
      <w:r>
        <w:rPr>
          <w:rFonts w:ascii="宋体" w:hAnsi="宋体" w:eastAsia="宋体" w:cs="宋体"/>
          <w:b/>
          <w:bCs/>
          <w:color w:val="auto"/>
          <w:sz w:val="24"/>
          <w:szCs w:val="24"/>
        </w:rPr>
        <w:t>（二）</w:t>
      </w:r>
      <w:r>
        <w:rPr>
          <w:rFonts w:hint="default" w:ascii="宋体" w:hAnsi="宋体" w:eastAsia="宋体" w:cs="宋体"/>
          <w:b/>
          <w:bCs/>
          <w:color w:val="auto"/>
          <w:sz w:val="24"/>
          <w:szCs w:val="24"/>
          <w:lang w:val="zh-TW" w:eastAsia="zh-TW"/>
        </w:rPr>
        <w:t>措施建议</w:t>
      </w:r>
    </w:p>
    <w:p w14:paraId="23A8CF95">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1.</w:t>
      </w:r>
      <w:r>
        <w:rPr>
          <w:rFonts w:hint="default" w:ascii="宋体" w:hAnsi="宋体" w:eastAsia="宋体" w:cs="宋体"/>
          <w:color w:val="auto"/>
          <w:sz w:val="24"/>
          <w:szCs w:val="24"/>
          <w:lang w:val="zh-TW" w:eastAsia="zh-TW"/>
        </w:rPr>
        <w:t>建立监督机制：建立健全的监督机制，对标准的实施情况进行定期检查和评估，确保标准的有效执行。</w:t>
      </w:r>
    </w:p>
    <w:p w14:paraId="1E304925">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2.</w:t>
      </w:r>
      <w:r>
        <w:rPr>
          <w:rFonts w:hint="default" w:ascii="宋体" w:hAnsi="宋体" w:eastAsia="宋体" w:cs="宋体"/>
          <w:color w:val="auto"/>
          <w:sz w:val="24"/>
          <w:szCs w:val="24"/>
          <w:lang w:val="zh-TW" w:eastAsia="zh-TW"/>
        </w:rPr>
        <w:t>加强协调合作：加强政府、企业、行业协会等各方之间的协调合作，形成合力推动标准的贯彻实施。</w:t>
      </w:r>
    </w:p>
    <w:p w14:paraId="3D72C4E4">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rPr>
        <w:t>3.</w:t>
      </w:r>
      <w:r>
        <w:rPr>
          <w:rFonts w:hint="default" w:ascii="宋体" w:hAnsi="宋体" w:eastAsia="宋体" w:cs="宋体"/>
          <w:color w:val="auto"/>
          <w:sz w:val="24"/>
          <w:szCs w:val="24"/>
          <w:lang w:val="zh-TW" w:eastAsia="zh-TW"/>
        </w:rPr>
        <w:t>鼓励创新：鼓励相关方在标准实施过程中积极创新，探索更加高效、便捷的评估方法和技术手段。</w:t>
      </w:r>
    </w:p>
    <w:p w14:paraId="76F83E5C">
      <w:pPr>
        <w:framePr w:wrap="auto" w:vAnchor="margin" w:hAnchor="text" w:yAlign="inline"/>
        <w:spacing w:line="360" w:lineRule="auto"/>
        <w:ind w:firstLine="482" w:firstLineChars="200"/>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八、标准实施的预期效果</w:t>
      </w:r>
    </w:p>
    <w:p w14:paraId="2C7D3FF7">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（一）优化</w:t>
      </w:r>
      <w:r>
        <w:rPr>
          <w:rFonts w:ascii="宋体" w:hAnsi="宋体" w:eastAsia="宋体" w:cs="宋体"/>
          <w:color w:val="auto"/>
          <w:sz w:val="24"/>
          <w:szCs w:val="24"/>
        </w:rPr>
        <w:t>产业园区</w:t>
      </w:r>
      <w:r>
        <w:rPr>
          <w:rFonts w:ascii="宋体" w:hAnsi="宋体" w:eastAsia="宋体" w:cs="宋体"/>
          <w:color w:val="auto"/>
          <w:sz w:val="24"/>
          <w:szCs w:val="24"/>
          <w:lang w:val="zh-TW"/>
        </w:rPr>
        <w:t>营商环境：评估准则的实施能够系统性地分析产业园区在招商引资过程中的各项关键指标，从而精准识别</w:t>
      </w:r>
      <w:r>
        <w:rPr>
          <w:rFonts w:ascii="宋体" w:hAnsi="宋体" w:eastAsia="宋体" w:cs="宋体"/>
          <w:color w:val="auto"/>
          <w:sz w:val="24"/>
          <w:szCs w:val="24"/>
        </w:rPr>
        <w:t>产业</w:t>
      </w:r>
      <w:r>
        <w:rPr>
          <w:rFonts w:ascii="宋体" w:hAnsi="宋体" w:eastAsia="宋体" w:cs="宋体"/>
          <w:color w:val="auto"/>
          <w:sz w:val="24"/>
          <w:szCs w:val="24"/>
          <w:lang w:val="zh-TW"/>
        </w:rPr>
        <w:t>园区的优势与短板。基于评估结果，</w:t>
      </w:r>
      <w:r>
        <w:rPr>
          <w:rFonts w:ascii="宋体" w:hAnsi="宋体" w:eastAsia="宋体" w:cs="宋体"/>
          <w:color w:val="auto"/>
          <w:sz w:val="24"/>
          <w:szCs w:val="24"/>
        </w:rPr>
        <w:t>产业</w:t>
      </w:r>
      <w:r>
        <w:rPr>
          <w:rFonts w:ascii="宋体" w:hAnsi="宋体" w:eastAsia="宋体" w:cs="宋体"/>
          <w:color w:val="auto"/>
          <w:sz w:val="24"/>
          <w:szCs w:val="24"/>
          <w:lang w:val="zh-TW"/>
        </w:rPr>
        <w:t>园区管理者能够制定出更具针对性的优化策略，加强优势领域，弥补不足，全面提升</w:t>
      </w:r>
      <w:r>
        <w:rPr>
          <w:rFonts w:ascii="宋体" w:hAnsi="宋体" w:eastAsia="宋体" w:cs="宋体"/>
          <w:color w:val="auto"/>
          <w:sz w:val="24"/>
          <w:szCs w:val="24"/>
        </w:rPr>
        <w:t>产业</w:t>
      </w:r>
      <w:r>
        <w:rPr>
          <w:rFonts w:ascii="宋体" w:hAnsi="宋体" w:eastAsia="宋体" w:cs="宋体"/>
          <w:color w:val="auto"/>
          <w:sz w:val="24"/>
          <w:szCs w:val="24"/>
          <w:lang w:val="zh-TW"/>
        </w:rPr>
        <w:t>园区的招商引资能力。</w:t>
      </w:r>
    </w:p>
    <w:p w14:paraId="5C0BB9F9">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（二）</w:t>
      </w:r>
      <w:r>
        <w:rPr>
          <w:rFonts w:ascii="宋体" w:hAnsi="宋体" w:eastAsia="宋体" w:cs="宋体"/>
          <w:color w:val="auto"/>
          <w:sz w:val="24"/>
          <w:szCs w:val="24"/>
          <w:lang w:val="zh-TW"/>
        </w:rPr>
        <w:t>促进</w:t>
      </w:r>
      <w:r>
        <w:rPr>
          <w:rFonts w:ascii="宋体" w:hAnsi="宋体" w:eastAsia="宋体" w:cs="宋体"/>
          <w:color w:val="auto"/>
          <w:sz w:val="24"/>
          <w:szCs w:val="24"/>
        </w:rPr>
        <w:t>产业</w:t>
      </w:r>
      <w:r>
        <w:rPr>
          <w:rFonts w:ascii="宋体" w:hAnsi="宋体" w:eastAsia="宋体" w:cs="宋体"/>
          <w:color w:val="auto"/>
          <w:sz w:val="24"/>
          <w:szCs w:val="24"/>
          <w:lang w:val="zh-TW"/>
        </w:rPr>
        <w:t>园区间交流与合作：评估结果不仅为</w:t>
      </w:r>
      <w:r>
        <w:rPr>
          <w:rFonts w:ascii="宋体" w:hAnsi="宋体" w:eastAsia="宋体" w:cs="宋体"/>
          <w:color w:val="auto"/>
          <w:sz w:val="24"/>
          <w:szCs w:val="24"/>
        </w:rPr>
        <w:t>产业</w:t>
      </w:r>
      <w:r>
        <w:rPr>
          <w:rFonts w:ascii="宋体" w:hAnsi="宋体" w:eastAsia="宋体" w:cs="宋体"/>
          <w:color w:val="auto"/>
          <w:sz w:val="24"/>
          <w:szCs w:val="24"/>
          <w:lang w:val="zh-TW"/>
        </w:rPr>
        <w:t>园区内部改进提供依据，还可作为</w:t>
      </w:r>
      <w:r>
        <w:rPr>
          <w:rFonts w:ascii="宋体" w:hAnsi="宋体" w:eastAsia="宋体" w:cs="宋体"/>
          <w:color w:val="auto"/>
          <w:sz w:val="24"/>
          <w:szCs w:val="24"/>
        </w:rPr>
        <w:t>产业</w:t>
      </w:r>
      <w:r>
        <w:rPr>
          <w:rFonts w:ascii="宋体" w:hAnsi="宋体" w:eastAsia="宋体" w:cs="宋体"/>
          <w:color w:val="auto"/>
          <w:sz w:val="24"/>
          <w:szCs w:val="24"/>
          <w:lang w:val="zh-TW"/>
        </w:rPr>
        <w:t>园区间比较和交流的重要参考。通过分享评估经验和最佳实践，各</w:t>
      </w:r>
      <w:r>
        <w:rPr>
          <w:rFonts w:ascii="宋体" w:hAnsi="宋体" w:eastAsia="宋体" w:cs="宋体"/>
          <w:color w:val="auto"/>
          <w:sz w:val="24"/>
          <w:szCs w:val="24"/>
        </w:rPr>
        <w:t>产业</w:t>
      </w:r>
      <w:r>
        <w:rPr>
          <w:rFonts w:ascii="宋体" w:hAnsi="宋体" w:eastAsia="宋体" w:cs="宋体"/>
          <w:color w:val="auto"/>
          <w:sz w:val="24"/>
          <w:szCs w:val="24"/>
          <w:lang w:val="zh-TW"/>
        </w:rPr>
        <w:t>园区可以相互学习、取长补短，共同推动全国产业园区营商环境整体提升。</w:t>
      </w:r>
    </w:p>
    <w:p w14:paraId="48EA7E17">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（三）</w:t>
      </w:r>
      <w:r>
        <w:rPr>
          <w:rFonts w:ascii="宋体" w:hAnsi="宋体" w:eastAsia="宋体" w:cs="宋体"/>
          <w:color w:val="auto"/>
          <w:sz w:val="24"/>
          <w:szCs w:val="24"/>
          <w:lang w:val="zh-TW"/>
        </w:rPr>
        <w:t>推动区域经济发展：招商引资能力的提升将直接促进</w:t>
      </w:r>
      <w:r>
        <w:rPr>
          <w:rFonts w:ascii="宋体" w:hAnsi="宋体" w:eastAsia="宋体" w:cs="宋体"/>
          <w:color w:val="auto"/>
          <w:sz w:val="24"/>
          <w:szCs w:val="24"/>
        </w:rPr>
        <w:t>产业</w:t>
      </w:r>
      <w:r>
        <w:rPr>
          <w:rFonts w:ascii="宋体" w:hAnsi="宋体" w:eastAsia="宋体" w:cs="宋体"/>
          <w:color w:val="auto"/>
          <w:sz w:val="24"/>
          <w:szCs w:val="24"/>
          <w:lang w:val="zh-TW"/>
        </w:rPr>
        <w:t>园区内企业的集聚和发展，带动相关产业链上下游企业的入驻和扩张。企业的快速发展将创造更多的就业机会和税收收入，为区域经济发展注入强劲动力。</w:t>
      </w:r>
    </w:p>
    <w:p w14:paraId="66F42320">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lang w:eastAsia="zh-TW"/>
        </w:rPr>
        <w:t>（四）</w:t>
      </w:r>
      <w:r>
        <w:rPr>
          <w:rFonts w:ascii="宋体" w:hAnsi="宋体" w:eastAsia="宋体" w:cs="宋体"/>
          <w:color w:val="auto"/>
          <w:sz w:val="24"/>
          <w:szCs w:val="24"/>
        </w:rPr>
        <w:t>带动社区就业：产业园区的发展可以引入更多的优质企业，促进地区经济发展的同时，可以为当地带来更多就业岗位，进一步带动居民收入增长和社会稳定。</w:t>
      </w:r>
    </w:p>
    <w:sectPr>
      <w:headerReference r:id="rId3" w:type="default"/>
      <w:footerReference r:id="rId4" w:type="default"/>
      <w:pgSz w:w="11900" w:h="16840"/>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Arial"/>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7004">
    <w:pPr>
      <w:pStyle w:val="3"/>
      <w:framePr w:wrap="auto" w:vAnchor="margin" w:hAnchor="text" w:yAlign="inline"/>
      <w:tabs>
        <w:tab w:val="right" w:pos="828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6CF2">
    <w:pPr>
      <w:pStyle w:val="13"/>
      <w:framePr w:wrap="auto" w:vAnchor="margin" w:hAnchor="text" w:yAlign="inline"/>
    </w:pPr>
    <w:r>
      <mc:AlternateContent>
        <mc:Choice Requires="wps">
          <w:drawing>
            <wp:anchor distT="152400" distB="152400" distL="152400" distR="152400" simplePos="0" relativeHeight="251659264"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1574F931">
                          <w:pPr>
                            <w:pStyle w:val="3"/>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95.35pt;margin-top:774.3pt;height:10.35pt;width:4.55pt;mso-position-horizontal-relative:page;mso-position-vertical-relative:page;z-index:-251657216;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U1QY2gAAAA0BAAAPAAAAAAAAAAEAIAAA&#10;ACIAAABkcnMvZG93bnJldi54bWxQSwECFAAUAAAACACHTuJA98QOIAoCAAD+AwAADgAAAAAAAAAB&#10;ACAAAAApAQAAZHJzL2Uyb0RvYy54bWxQSwUGAAAAAAYABgBZAQAApQUAAAAA&#10;">
              <v:fill on="f" focussize="0,0"/>
              <v:stroke on="f" weight="1pt" miterlimit="4" joinstyle="miter"/>
              <v:imagedata o:title=""/>
              <o:lock v:ext="edit" aspectratio="f"/>
              <v:textbox inset="0mm,0mm,0mm,0mm">
                <w:txbxContent>
                  <w:p w14:paraId="1574F931">
                    <w:pPr>
                      <w:pStyle w:val="3"/>
                    </w:pPr>
                    <w:r>
                      <w:fldChar w:fldCharType="begin"/>
                    </w:r>
                    <w:r>
                      <w:instrText xml:space="preserve"> PAGE </w:instrText>
                    </w:r>
                    <w:r>
                      <w:fldChar w:fldCharType="separate"/>
                    </w:r>
                    <w:r>
                      <w:t>3</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7C542B2"/>
    <w:multiLevelType w:val="multilevel"/>
    <w:tmpl w:val="37C542B2"/>
    <w:lvl w:ilvl="0" w:tentative="0">
      <w:start w:val="1"/>
      <w:numFmt w:val="chineseCountingThousand"/>
      <w:suff w:val="nothing"/>
      <w:lvlText w:val="%1、"/>
      <w:lvlJc w:val="left"/>
      <w:pPr>
        <w:ind w:left="992" w:hanging="510"/>
      </w:pPr>
      <w:rPr>
        <w:rFonts w:hint="default"/>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lMDBlOWJiMzljNTUxODg0YTk2M2RjZjdjOTZjNzcifQ=="/>
  </w:docVars>
  <w:rsids>
    <w:rsidRoot w:val="001C1971"/>
    <w:rsid w:val="0000007A"/>
    <w:rsid w:val="00001B5B"/>
    <w:rsid w:val="00010B53"/>
    <w:rsid w:val="000117FA"/>
    <w:rsid w:val="00015ECA"/>
    <w:rsid w:val="00021F88"/>
    <w:rsid w:val="00023AB0"/>
    <w:rsid w:val="00024E73"/>
    <w:rsid w:val="00035B6D"/>
    <w:rsid w:val="00037A2E"/>
    <w:rsid w:val="00050AEC"/>
    <w:rsid w:val="00060C6A"/>
    <w:rsid w:val="00082FF1"/>
    <w:rsid w:val="00084859"/>
    <w:rsid w:val="000905AB"/>
    <w:rsid w:val="00094129"/>
    <w:rsid w:val="000B3167"/>
    <w:rsid w:val="000C006E"/>
    <w:rsid w:val="000D5D80"/>
    <w:rsid w:val="000F45D3"/>
    <w:rsid w:val="000F71FA"/>
    <w:rsid w:val="00101AE9"/>
    <w:rsid w:val="00102875"/>
    <w:rsid w:val="00136DC2"/>
    <w:rsid w:val="001445DA"/>
    <w:rsid w:val="0018099E"/>
    <w:rsid w:val="00185E10"/>
    <w:rsid w:val="001C1971"/>
    <w:rsid w:val="00204F84"/>
    <w:rsid w:val="002057A7"/>
    <w:rsid w:val="002064AA"/>
    <w:rsid w:val="00215DD7"/>
    <w:rsid w:val="002512F2"/>
    <w:rsid w:val="00264B72"/>
    <w:rsid w:val="002663D9"/>
    <w:rsid w:val="002665EC"/>
    <w:rsid w:val="0028709D"/>
    <w:rsid w:val="00295751"/>
    <w:rsid w:val="002B4CE6"/>
    <w:rsid w:val="002D4343"/>
    <w:rsid w:val="002F0B8B"/>
    <w:rsid w:val="002F3AA6"/>
    <w:rsid w:val="002F3F3E"/>
    <w:rsid w:val="0030564F"/>
    <w:rsid w:val="0031319C"/>
    <w:rsid w:val="0035380E"/>
    <w:rsid w:val="00377697"/>
    <w:rsid w:val="00391E44"/>
    <w:rsid w:val="00392AF6"/>
    <w:rsid w:val="0039677A"/>
    <w:rsid w:val="003A0FD7"/>
    <w:rsid w:val="003B30F9"/>
    <w:rsid w:val="003C6F12"/>
    <w:rsid w:val="003D652D"/>
    <w:rsid w:val="003D6F16"/>
    <w:rsid w:val="004005B0"/>
    <w:rsid w:val="004240F0"/>
    <w:rsid w:val="00435909"/>
    <w:rsid w:val="00453F8D"/>
    <w:rsid w:val="004B46F1"/>
    <w:rsid w:val="004B56C3"/>
    <w:rsid w:val="004D05EE"/>
    <w:rsid w:val="004D285A"/>
    <w:rsid w:val="00521808"/>
    <w:rsid w:val="00525B9B"/>
    <w:rsid w:val="00546C9F"/>
    <w:rsid w:val="00550AA3"/>
    <w:rsid w:val="00555768"/>
    <w:rsid w:val="0059365C"/>
    <w:rsid w:val="005A6EF5"/>
    <w:rsid w:val="005B13B2"/>
    <w:rsid w:val="005C68D1"/>
    <w:rsid w:val="005F1370"/>
    <w:rsid w:val="005F7B08"/>
    <w:rsid w:val="00604D0B"/>
    <w:rsid w:val="00605F70"/>
    <w:rsid w:val="006123BD"/>
    <w:rsid w:val="00647AAD"/>
    <w:rsid w:val="00666AC0"/>
    <w:rsid w:val="00681BE2"/>
    <w:rsid w:val="00686F99"/>
    <w:rsid w:val="00695C8A"/>
    <w:rsid w:val="006A4054"/>
    <w:rsid w:val="006A5904"/>
    <w:rsid w:val="006D28E6"/>
    <w:rsid w:val="006E4EB5"/>
    <w:rsid w:val="006E7F2E"/>
    <w:rsid w:val="00713B38"/>
    <w:rsid w:val="00716D2A"/>
    <w:rsid w:val="00720891"/>
    <w:rsid w:val="00753EC9"/>
    <w:rsid w:val="00791143"/>
    <w:rsid w:val="007A6EC1"/>
    <w:rsid w:val="007C78B9"/>
    <w:rsid w:val="007D7840"/>
    <w:rsid w:val="007F6F49"/>
    <w:rsid w:val="007F7367"/>
    <w:rsid w:val="00844A75"/>
    <w:rsid w:val="00852083"/>
    <w:rsid w:val="00872310"/>
    <w:rsid w:val="008A1E38"/>
    <w:rsid w:val="008D1A07"/>
    <w:rsid w:val="008E73B2"/>
    <w:rsid w:val="00903D18"/>
    <w:rsid w:val="009078BB"/>
    <w:rsid w:val="0092426D"/>
    <w:rsid w:val="0092709E"/>
    <w:rsid w:val="00951C47"/>
    <w:rsid w:val="009618BF"/>
    <w:rsid w:val="0096218D"/>
    <w:rsid w:val="00964B16"/>
    <w:rsid w:val="009936AB"/>
    <w:rsid w:val="009A2906"/>
    <w:rsid w:val="009A514C"/>
    <w:rsid w:val="009B4725"/>
    <w:rsid w:val="009C08DA"/>
    <w:rsid w:val="009C333D"/>
    <w:rsid w:val="009D2E05"/>
    <w:rsid w:val="009F19C0"/>
    <w:rsid w:val="00A14861"/>
    <w:rsid w:val="00A22E73"/>
    <w:rsid w:val="00A329F7"/>
    <w:rsid w:val="00A369F1"/>
    <w:rsid w:val="00A56255"/>
    <w:rsid w:val="00A7221A"/>
    <w:rsid w:val="00A72D65"/>
    <w:rsid w:val="00A76DB0"/>
    <w:rsid w:val="00AE5E92"/>
    <w:rsid w:val="00B0520A"/>
    <w:rsid w:val="00B154D0"/>
    <w:rsid w:val="00B33BF1"/>
    <w:rsid w:val="00B3497B"/>
    <w:rsid w:val="00B45AE7"/>
    <w:rsid w:val="00B5017B"/>
    <w:rsid w:val="00C01246"/>
    <w:rsid w:val="00C1183E"/>
    <w:rsid w:val="00C149D5"/>
    <w:rsid w:val="00C223EE"/>
    <w:rsid w:val="00C50B12"/>
    <w:rsid w:val="00C63289"/>
    <w:rsid w:val="00C731C6"/>
    <w:rsid w:val="00C870A4"/>
    <w:rsid w:val="00C923B3"/>
    <w:rsid w:val="00CD3464"/>
    <w:rsid w:val="00CE51C9"/>
    <w:rsid w:val="00D20D5B"/>
    <w:rsid w:val="00D418D7"/>
    <w:rsid w:val="00D42091"/>
    <w:rsid w:val="00D42375"/>
    <w:rsid w:val="00D92B72"/>
    <w:rsid w:val="00D92D8A"/>
    <w:rsid w:val="00D9431E"/>
    <w:rsid w:val="00DA1793"/>
    <w:rsid w:val="00DB3344"/>
    <w:rsid w:val="00DC0655"/>
    <w:rsid w:val="00DD1545"/>
    <w:rsid w:val="00DF5A59"/>
    <w:rsid w:val="00E045F4"/>
    <w:rsid w:val="00E20101"/>
    <w:rsid w:val="00E21072"/>
    <w:rsid w:val="00E223F5"/>
    <w:rsid w:val="00E42EA4"/>
    <w:rsid w:val="00E476F5"/>
    <w:rsid w:val="00E66352"/>
    <w:rsid w:val="00E86919"/>
    <w:rsid w:val="00E95A59"/>
    <w:rsid w:val="00EA058C"/>
    <w:rsid w:val="00EA0E6F"/>
    <w:rsid w:val="00EA45A0"/>
    <w:rsid w:val="00EB7D2E"/>
    <w:rsid w:val="00ED4542"/>
    <w:rsid w:val="00ED6663"/>
    <w:rsid w:val="00EE0D56"/>
    <w:rsid w:val="00EE2BFC"/>
    <w:rsid w:val="00EF578C"/>
    <w:rsid w:val="00F06039"/>
    <w:rsid w:val="00F10349"/>
    <w:rsid w:val="00F379DE"/>
    <w:rsid w:val="00F4411B"/>
    <w:rsid w:val="00F52EE6"/>
    <w:rsid w:val="00F60ACD"/>
    <w:rsid w:val="00F707BF"/>
    <w:rsid w:val="00F770A2"/>
    <w:rsid w:val="00F91175"/>
    <w:rsid w:val="00F92653"/>
    <w:rsid w:val="00FB455B"/>
    <w:rsid w:val="012F2443"/>
    <w:rsid w:val="013B0DE8"/>
    <w:rsid w:val="02EF1E8A"/>
    <w:rsid w:val="031F3C92"/>
    <w:rsid w:val="034B4BE6"/>
    <w:rsid w:val="03A367D0"/>
    <w:rsid w:val="047C599F"/>
    <w:rsid w:val="04AE367F"/>
    <w:rsid w:val="051931EE"/>
    <w:rsid w:val="05EE6B0C"/>
    <w:rsid w:val="06084DCB"/>
    <w:rsid w:val="062D0592"/>
    <w:rsid w:val="06450013"/>
    <w:rsid w:val="0687687D"/>
    <w:rsid w:val="06907B34"/>
    <w:rsid w:val="06BD3726"/>
    <w:rsid w:val="074739D9"/>
    <w:rsid w:val="07E01DA1"/>
    <w:rsid w:val="07EC4BEA"/>
    <w:rsid w:val="082C148A"/>
    <w:rsid w:val="08314CF2"/>
    <w:rsid w:val="085A4D8F"/>
    <w:rsid w:val="08B576D2"/>
    <w:rsid w:val="08DD388E"/>
    <w:rsid w:val="091A7C8A"/>
    <w:rsid w:val="09864AAE"/>
    <w:rsid w:val="098D5F59"/>
    <w:rsid w:val="09AD65FB"/>
    <w:rsid w:val="0A3E54A5"/>
    <w:rsid w:val="0A5237B5"/>
    <w:rsid w:val="0A5D1DCF"/>
    <w:rsid w:val="0A690774"/>
    <w:rsid w:val="0A7315F2"/>
    <w:rsid w:val="0A83110A"/>
    <w:rsid w:val="0AAB0D8C"/>
    <w:rsid w:val="0AE0030A"/>
    <w:rsid w:val="0BA47589"/>
    <w:rsid w:val="0BE14583"/>
    <w:rsid w:val="0BEF2EFA"/>
    <w:rsid w:val="0C3B6140"/>
    <w:rsid w:val="0C4A1EDF"/>
    <w:rsid w:val="0C6B2020"/>
    <w:rsid w:val="0C82125C"/>
    <w:rsid w:val="0C8A49D1"/>
    <w:rsid w:val="0CA5180B"/>
    <w:rsid w:val="0CEF76F2"/>
    <w:rsid w:val="0CF12CA2"/>
    <w:rsid w:val="0D690A8B"/>
    <w:rsid w:val="0D692839"/>
    <w:rsid w:val="0DD95C10"/>
    <w:rsid w:val="0EE37416"/>
    <w:rsid w:val="0F5C47D0"/>
    <w:rsid w:val="0F8971C2"/>
    <w:rsid w:val="10125409"/>
    <w:rsid w:val="10463305"/>
    <w:rsid w:val="10A342B4"/>
    <w:rsid w:val="10D51B29"/>
    <w:rsid w:val="10E87F18"/>
    <w:rsid w:val="11020FDA"/>
    <w:rsid w:val="11181FA7"/>
    <w:rsid w:val="118828DE"/>
    <w:rsid w:val="12107EF5"/>
    <w:rsid w:val="1234028D"/>
    <w:rsid w:val="124318AA"/>
    <w:rsid w:val="12AF6F40"/>
    <w:rsid w:val="12E5482C"/>
    <w:rsid w:val="1312127D"/>
    <w:rsid w:val="1424395D"/>
    <w:rsid w:val="1439622D"/>
    <w:rsid w:val="143E4A1F"/>
    <w:rsid w:val="14A423A8"/>
    <w:rsid w:val="15211C4B"/>
    <w:rsid w:val="157B57FF"/>
    <w:rsid w:val="15A20FDE"/>
    <w:rsid w:val="161A2C9D"/>
    <w:rsid w:val="16700443"/>
    <w:rsid w:val="167427AE"/>
    <w:rsid w:val="167F131F"/>
    <w:rsid w:val="16D927DD"/>
    <w:rsid w:val="17463BEB"/>
    <w:rsid w:val="176A5B2B"/>
    <w:rsid w:val="178169D1"/>
    <w:rsid w:val="17C90AA4"/>
    <w:rsid w:val="18356139"/>
    <w:rsid w:val="18622CA6"/>
    <w:rsid w:val="1864257A"/>
    <w:rsid w:val="194235E6"/>
    <w:rsid w:val="19B4308D"/>
    <w:rsid w:val="19F53C62"/>
    <w:rsid w:val="1A023DF9"/>
    <w:rsid w:val="1A7A6085"/>
    <w:rsid w:val="1AC612CA"/>
    <w:rsid w:val="1B43291B"/>
    <w:rsid w:val="1B481CDF"/>
    <w:rsid w:val="1B79458F"/>
    <w:rsid w:val="1B8371BB"/>
    <w:rsid w:val="1CB078CC"/>
    <w:rsid w:val="1D0E7FE7"/>
    <w:rsid w:val="1D3372DB"/>
    <w:rsid w:val="1D632E00"/>
    <w:rsid w:val="1E4C3866"/>
    <w:rsid w:val="1E8D27EC"/>
    <w:rsid w:val="1F0B3750"/>
    <w:rsid w:val="1F100D66"/>
    <w:rsid w:val="1F5F1881"/>
    <w:rsid w:val="1F95570F"/>
    <w:rsid w:val="20A0611A"/>
    <w:rsid w:val="20A57BD4"/>
    <w:rsid w:val="20BA365F"/>
    <w:rsid w:val="20D364EF"/>
    <w:rsid w:val="210C7C53"/>
    <w:rsid w:val="2142325F"/>
    <w:rsid w:val="21B93937"/>
    <w:rsid w:val="226A69DF"/>
    <w:rsid w:val="22983F62"/>
    <w:rsid w:val="22E04EF3"/>
    <w:rsid w:val="23360FB7"/>
    <w:rsid w:val="23B337F3"/>
    <w:rsid w:val="23EF66AB"/>
    <w:rsid w:val="24374FE7"/>
    <w:rsid w:val="249146F7"/>
    <w:rsid w:val="24A501A2"/>
    <w:rsid w:val="24AC5E86"/>
    <w:rsid w:val="25215D4A"/>
    <w:rsid w:val="253B0B07"/>
    <w:rsid w:val="25B21D4E"/>
    <w:rsid w:val="25D458D2"/>
    <w:rsid w:val="25DA20CE"/>
    <w:rsid w:val="25DF5936"/>
    <w:rsid w:val="2604714B"/>
    <w:rsid w:val="26284BE7"/>
    <w:rsid w:val="26FF52F9"/>
    <w:rsid w:val="27C750DF"/>
    <w:rsid w:val="28215D92"/>
    <w:rsid w:val="284C1B65"/>
    <w:rsid w:val="28EA087A"/>
    <w:rsid w:val="29001E4B"/>
    <w:rsid w:val="2903193C"/>
    <w:rsid w:val="29C70BBB"/>
    <w:rsid w:val="29F45386"/>
    <w:rsid w:val="2A0B6CFA"/>
    <w:rsid w:val="2AFA0B1C"/>
    <w:rsid w:val="2B2C33CC"/>
    <w:rsid w:val="2B5C5333"/>
    <w:rsid w:val="2BE235EB"/>
    <w:rsid w:val="2BED2F82"/>
    <w:rsid w:val="2C6170A5"/>
    <w:rsid w:val="2CCD58A6"/>
    <w:rsid w:val="2DBA005B"/>
    <w:rsid w:val="2DD66AA1"/>
    <w:rsid w:val="2E1B14D5"/>
    <w:rsid w:val="2E6A5A60"/>
    <w:rsid w:val="2EBF00B3"/>
    <w:rsid w:val="2EC04C1B"/>
    <w:rsid w:val="2F414F6C"/>
    <w:rsid w:val="2F503401"/>
    <w:rsid w:val="2F6F7D2B"/>
    <w:rsid w:val="2F7630B6"/>
    <w:rsid w:val="30A734F4"/>
    <w:rsid w:val="30D347B2"/>
    <w:rsid w:val="30EF7855"/>
    <w:rsid w:val="312C09A0"/>
    <w:rsid w:val="32885924"/>
    <w:rsid w:val="32AD6CF9"/>
    <w:rsid w:val="32D004E7"/>
    <w:rsid w:val="32F12805"/>
    <w:rsid w:val="32F8062C"/>
    <w:rsid w:val="332B2711"/>
    <w:rsid w:val="33D740F0"/>
    <w:rsid w:val="33F26834"/>
    <w:rsid w:val="34254E5C"/>
    <w:rsid w:val="349D0E96"/>
    <w:rsid w:val="34DC5AF1"/>
    <w:rsid w:val="355B5EB9"/>
    <w:rsid w:val="35A26038"/>
    <w:rsid w:val="35B50461"/>
    <w:rsid w:val="35BE10C4"/>
    <w:rsid w:val="36237179"/>
    <w:rsid w:val="369D7C73"/>
    <w:rsid w:val="36AA5AEC"/>
    <w:rsid w:val="36CE17DB"/>
    <w:rsid w:val="36D641EB"/>
    <w:rsid w:val="379320DC"/>
    <w:rsid w:val="37DE3C9F"/>
    <w:rsid w:val="380203CC"/>
    <w:rsid w:val="385775AE"/>
    <w:rsid w:val="39672DBD"/>
    <w:rsid w:val="3A157721"/>
    <w:rsid w:val="3A4F49E1"/>
    <w:rsid w:val="3B5B5607"/>
    <w:rsid w:val="3D9910E3"/>
    <w:rsid w:val="3DE41C1D"/>
    <w:rsid w:val="3E1D2786"/>
    <w:rsid w:val="3E502AD5"/>
    <w:rsid w:val="3E5F540E"/>
    <w:rsid w:val="3E793C4B"/>
    <w:rsid w:val="3E8310FD"/>
    <w:rsid w:val="3EFB28CA"/>
    <w:rsid w:val="3F3B3785"/>
    <w:rsid w:val="3F4168C2"/>
    <w:rsid w:val="3F9B4224"/>
    <w:rsid w:val="3FD57736"/>
    <w:rsid w:val="3FF12096"/>
    <w:rsid w:val="40224945"/>
    <w:rsid w:val="40C003E6"/>
    <w:rsid w:val="40C770F8"/>
    <w:rsid w:val="41016309"/>
    <w:rsid w:val="41A83096"/>
    <w:rsid w:val="42925DB2"/>
    <w:rsid w:val="42A81132"/>
    <w:rsid w:val="42F02E45"/>
    <w:rsid w:val="432A5FEB"/>
    <w:rsid w:val="43576E7E"/>
    <w:rsid w:val="43E412E1"/>
    <w:rsid w:val="443B5FD6"/>
    <w:rsid w:val="446C618F"/>
    <w:rsid w:val="44915BF6"/>
    <w:rsid w:val="449C6A74"/>
    <w:rsid w:val="451231DA"/>
    <w:rsid w:val="45442C68"/>
    <w:rsid w:val="458F482B"/>
    <w:rsid w:val="45AF4585"/>
    <w:rsid w:val="462211FB"/>
    <w:rsid w:val="48482A6F"/>
    <w:rsid w:val="484A4A39"/>
    <w:rsid w:val="48580610"/>
    <w:rsid w:val="488A4EC3"/>
    <w:rsid w:val="48BF2D31"/>
    <w:rsid w:val="48D2515B"/>
    <w:rsid w:val="48D52555"/>
    <w:rsid w:val="48E7672C"/>
    <w:rsid w:val="49476478"/>
    <w:rsid w:val="49F64E79"/>
    <w:rsid w:val="4A981A8C"/>
    <w:rsid w:val="4AA04DE4"/>
    <w:rsid w:val="4B105AC6"/>
    <w:rsid w:val="4B3317B5"/>
    <w:rsid w:val="4B481EFF"/>
    <w:rsid w:val="4B4B2FA2"/>
    <w:rsid w:val="4B6F6C84"/>
    <w:rsid w:val="4C3D6D8F"/>
    <w:rsid w:val="4C5F21E2"/>
    <w:rsid w:val="4C6F4A6E"/>
    <w:rsid w:val="4C802464"/>
    <w:rsid w:val="4D6E4D26"/>
    <w:rsid w:val="4DB21E35"/>
    <w:rsid w:val="4DF26CE0"/>
    <w:rsid w:val="4E8A5B90"/>
    <w:rsid w:val="4E9C3B15"/>
    <w:rsid w:val="4F895E47"/>
    <w:rsid w:val="4FA64C4B"/>
    <w:rsid w:val="5010010B"/>
    <w:rsid w:val="508D7BB9"/>
    <w:rsid w:val="512C2345"/>
    <w:rsid w:val="512F2A1E"/>
    <w:rsid w:val="514F5E63"/>
    <w:rsid w:val="521354A9"/>
    <w:rsid w:val="522D51B0"/>
    <w:rsid w:val="525B67C3"/>
    <w:rsid w:val="52DC7DB4"/>
    <w:rsid w:val="536C2A87"/>
    <w:rsid w:val="53B4545D"/>
    <w:rsid w:val="53BC2C8F"/>
    <w:rsid w:val="53BD07B5"/>
    <w:rsid w:val="54A35BFD"/>
    <w:rsid w:val="54F8606C"/>
    <w:rsid w:val="550F6DEF"/>
    <w:rsid w:val="551B5793"/>
    <w:rsid w:val="551E34D6"/>
    <w:rsid w:val="556E3DBC"/>
    <w:rsid w:val="55B61960"/>
    <w:rsid w:val="567C4958"/>
    <w:rsid w:val="56811F6E"/>
    <w:rsid w:val="57D63BF4"/>
    <w:rsid w:val="5806097D"/>
    <w:rsid w:val="58305B05"/>
    <w:rsid w:val="584B2834"/>
    <w:rsid w:val="59945B14"/>
    <w:rsid w:val="59AD19C2"/>
    <w:rsid w:val="5A875679"/>
    <w:rsid w:val="5B0B62AA"/>
    <w:rsid w:val="5B157129"/>
    <w:rsid w:val="5B4D1AD4"/>
    <w:rsid w:val="5B7B3430"/>
    <w:rsid w:val="5BC8419B"/>
    <w:rsid w:val="5BF136F2"/>
    <w:rsid w:val="5C951D47"/>
    <w:rsid w:val="5D041203"/>
    <w:rsid w:val="5D1C02FB"/>
    <w:rsid w:val="5D5B2B0C"/>
    <w:rsid w:val="5D8F6D1E"/>
    <w:rsid w:val="5D900CE9"/>
    <w:rsid w:val="5EBA426F"/>
    <w:rsid w:val="5EF62DCD"/>
    <w:rsid w:val="5F1D47FE"/>
    <w:rsid w:val="609805E0"/>
    <w:rsid w:val="60F65306"/>
    <w:rsid w:val="62344338"/>
    <w:rsid w:val="624A76B8"/>
    <w:rsid w:val="62CC27C3"/>
    <w:rsid w:val="62F5337B"/>
    <w:rsid w:val="63276A8B"/>
    <w:rsid w:val="638766EA"/>
    <w:rsid w:val="63935B88"/>
    <w:rsid w:val="63D27965"/>
    <w:rsid w:val="6424218B"/>
    <w:rsid w:val="647C3D75"/>
    <w:rsid w:val="64CE7FFF"/>
    <w:rsid w:val="65371580"/>
    <w:rsid w:val="654E3963"/>
    <w:rsid w:val="66D734E4"/>
    <w:rsid w:val="66DB1226"/>
    <w:rsid w:val="66E3632D"/>
    <w:rsid w:val="66E520A5"/>
    <w:rsid w:val="66F10A4A"/>
    <w:rsid w:val="672673DD"/>
    <w:rsid w:val="67705E13"/>
    <w:rsid w:val="677B6565"/>
    <w:rsid w:val="68376930"/>
    <w:rsid w:val="688A1F52"/>
    <w:rsid w:val="68923B67"/>
    <w:rsid w:val="68A4383E"/>
    <w:rsid w:val="690031C6"/>
    <w:rsid w:val="69006D22"/>
    <w:rsid w:val="69D41F5D"/>
    <w:rsid w:val="69D501AF"/>
    <w:rsid w:val="6A0E546F"/>
    <w:rsid w:val="6A102F95"/>
    <w:rsid w:val="6A3C6480"/>
    <w:rsid w:val="6A843983"/>
    <w:rsid w:val="6A9E4A45"/>
    <w:rsid w:val="6B673089"/>
    <w:rsid w:val="6BFD39ED"/>
    <w:rsid w:val="6C043ADD"/>
    <w:rsid w:val="6C9C6D62"/>
    <w:rsid w:val="6CF255E8"/>
    <w:rsid w:val="6D3A657B"/>
    <w:rsid w:val="6DB60126"/>
    <w:rsid w:val="6DE50BDD"/>
    <w:rsid w:val="6DF1132F"/>
    <w:rsid w:val="6E001573"/>
    <w:rsid w:val="6E0C7F17"/>
    <w:rsid w:val="6FDD7DBD"/>
    <w:rsid w:val="70453BB5"/>
    <w:rsid w:val="70512559"/>
    <w:rsid w:val="706E49B4"/>
    <w:rsid w:val="70741DA4"/>
    <w:rsid w:val="7084648B"/>
    <w:rsid w:val="70BA3C5B"/>
    <w:rsid w:val="72C47013"/>
    <w:rsid w:val="73010267"/>
    <w:rsid w:val="7306762B"/>
    <w:rsid w:val="73AD3F4B"/>
    <w:rsid w:val="73D43285"/>
    <w:rsid w:val="740A4EF9"/>
    <w:rsid w:val="746F2FAE"/>
    <w:rsid w:val="74C7032E"/>
    <w:rsid w:val="74E81852"/>
    <w:rsid w:val="758962F1"/>
    <w:rsid w:val="75C335B1"/>
    <w:rsid w:val="75D354AB"/>
    <w:rsid w:val="76263B40"/>
    <w:rsid w:val="76471759"/>
    <w:rsid w:val="76982C90"/>
    <w:rsid w:val="76DE43A6"/>
    <w:rsid w:val="77553DF8"/>
    <w:rsid w:val="7762504C"/>
    <w:rsid w:val="78362761"/>
    <w:rsid w:val="7840713B"/>
    <w:rsid w:val="787E1A12"/>
    <w:rsid w:val="78994A9D"/>
    <w:rsid w:val="78C733B9"/>
    <w:rsid w:val="78DE0702"/>
    <w:rsid w:val="78F65A4C"/>
    <w:rsid w:val="791974F6"/>
    <w:rsid w:val="7AD65B35"/>
    <w:rsid w:val="7AD80573"/>
    <w:rsid w:val="7ADB314B"/>
    <w:rsid w:val="7AE2272C"/>
    <w:rsid w:val="7B415327"/>
    <w:rsid w:val="7B424F78"/>
    <w:rsid w:val="7B737828"/>
    <w:rsid w:val="7BBD6CF5"/>
    <w:rsid w:val="7BDE7397"/>
    <w:rsid w:val="7BF81ADB"/>
    <w:rsid w:val="7C122B9D"/>
    <w:rsid w:val="7C3A6597"/>
    <w:rsid w:val="7CD75B94"/>
    <w:rsid w:val="7D0C268E"/>
    <w:rsid w:val="7DDB6D31"/>
    <w:rsid w:val="7DE0670B"/>
    <w:rsid w:val="7E8B30DA"/>
    <w:rsid w:val="7ED22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2">
    <w:name w:val="heading 1"/>
    <w:basedOn w:val="1"/>
    <w:next w:val="1"/>
    <w:qFormat/>
    <w:uiPriority w:val="0"/>
    <w:pPr>
      <w:framePr w:wrap="around"/>
      <w:spacing w:beforeAutospacing="1" w:afterAutospacing="1"/>
      <w:jc w:val="left"/>
      <w:outlineLvl w:val="0"/>
    </w:pPr>
    <w:rPr>
      <w:rFonts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4">
    <w:name w:val="header"/>
    <w:basedOn w:val="1"/>
    <w:link w:val="15"/>
    <w:qFormat/>
    <w:uiPriority w:val="0"/>
    <w:pPr>
      <w:framePr w:wrap="around"/>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framePr w:wrap="around"/>
    </w:pPr>
    <w:rPr>
      <w:sz w:val="24"/>
    </w:rPr>
  </w:style>
  <w:style w:type="character" w:styleId="8">
    <w:name w:val="Strong"/>
    <w:basedOn w:val="7"/>
    <w:qFormat/>
    <w:uiPriority w:val="0"/>
    <w:rPr>
      <w:b/>
    </w:rPr>
  </w:style>
  <w:style w:type="character" w:styleId="9">
    <w:name w:val="Hyperlink"/>
    <w:qFormat/>
    <w:uiPriority w:val="0"/>
    <w:rPr>
      <w:u w:val="single"/>
    </w:rPr>
  </w:style>
  <w:style w:type="paragraph" w:customStyle="1" w:styleId="10">
    <w:name w:val="章标题"/>
    <w:next w:val="11"/>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12">
    <w:name w:val="Table Normal"/>
    <w:qFormat/>
    <w:uiPriority w:val="0"/>
    <w:tblPr>
      <w:tblCellMar>
        <w:top w:w="0" w:type="dxa"/>
        <w:left w:w="0" w:type="dxa"/>
        <w:bottom w:w="0" w:type="dxa"/>
        <w:right w:w="0" w:type="dxa"/>
      </w:tblCellMar>
    </w:tblPr>
  </w:style>
  <w:style w:type="paragraph" w:customStyle="1" w:styleId="13">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4">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5">
    <w:name w:val="页眉 字符"/>
    <w:basedOn w:val="7"/>
    <w:link w:val="4"/>
    <w:qFormat/>
    <w:uiPriority w:val="0"/>
    <w:rPr>
      <w:rFonts w:ascii="Arial Unicode MS" w:hAnsi="Arial Unicode MS" w:eastAsia="Times New Roman" w:cs="Arial Unicode MS"/>
      <w:color w:val="000000"/>
      <w:kern w:val="2"/>
      <w:sz w:val="18"/>
      <w:szCs w:val="18"/>
      <w:u w:color="000000"/>
    </w:rPr>
  </w:style>
  <w:style w:type="paragraph" w:customStyle="1" w:styleId="16">
    <w:name w:val="列表段落1"/>
    <w:basedOn w:val="1"/>
    <w:qFormat/>
    <w:uiPriority w:val="99"/>
    <w:pPr>
      <w:framePr w:wrap="around"/>
      <w:ind w:firstLine="420" w:firstLineChars="200"/>
    </w:pPr>
  </w:style>
  <w:style w:type="paragraph" w:customStyle="1" w:styleId="1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
    <w:name w:val="Revision"/>
    <w:hidden/>
    <w:unhideWhenUsed/>
    <w:uiPriority w:val="99"/>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3535</Words>
  <Characters>3625</Characters>
  <Lines>25</Lines>
  <Paragraphs>7</Paragraphs>
  <TotalTime>5</TotalTime>
  <ScaleCrop>false</ScaleCrop>
  <LinksUpToDate>false</LinksUpToDate>
  <CharactersWithSpaces>3626</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2024-07-31T02:13:00Z</dcterms:created>
  <dc:creator>HP</dc:creator>
  <cp:lastModifiedBy>紫嫣</cp:lastModifiedBy>
  <cp:lastPrinted>2019-06-17T03:57:00Z</cp:lastPrinted>
  <dcterms:modified xsi:type="dcterms:W3CDTF">2024-07-31T05:41:44Z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EE41DF59045D4100A007C79BB2B3397E_13</vt:lpwstr>
  </property>
</Properties>
</file>