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9EE00">
      <w:pPr>
        <w:pStyle w:val="142"/>
        <w:framePr w:w="4201" w:h="1152" w:hRule="exact" w:wrap="around"/>
        <w:rPr>
          <w:rFonts w:hint="eastAsia" w:ascii="Times New Roman"/>
          <w:lang w:val="en-US" w:eastAsia="zh-CN"/>
        </w:rPr>
      </w:pPr>
      <w:r>
        <w:rPr>
          <w:rFonts w:hint="eastAsia" w:ascii="Times New Roman"/>
          <w:lang w:val="en-US" w:eastAsia="zh-CN"/>
        </w:rPr>
        <w:t>ICS 13.020.40</w:t>
      </w:r>
    </w:p>
    <w:p w14:paraId="0C64C94F">
      <w:pPr>
        <w:pStyle w:val="142"/>
        <w:framePr w:w="4201" w:h="1152" w:hRule="exact" w:wrap="around"/>
        <w:rPr>
          <w:rFonts w:hint="default" w:ascii="Times New Roman"/>
          <w:lang w:val="en-US" w:eastAsia="zh-CN"/>
        </w:rPr>
      </w:pPr>
      <w:r>
        <w:rPr>
          <w:rFonts w:hint="eastAsia" w:ascii="Times New Roman"/>
          <w:lang w:val="en-US" w:eastAsia="zh-CN"/>
        </w:rPr>
        <w:t>CCS Z 10</w:t>
      </w:r>
    </w:p>
    <w:p w14:paraId="3C22DD44">
      <w:pPr>
        <w:pStyle w:val="144"/>
        <w:framePr w:wrap="around"/>
      </w:pPr>
      <w:bookmarkStart w:id="65" w:name="_GoBack"/>
      <w:bookmarkEnd w:id="65"/>
      <w:r>
        <w:t>XX</w:t>
      </w:r>
    </w:p>
    <w:p w14:paraId="729102B9">
      <w:pPr>
        <w:pStyle w:val="88"/>
        <w:framePr w:wrap="around"/>
        <w:rPr>
          <w:rFonts w:ascii="Times New Roman" w:hAnsi="Times New Roman"/>
        </w:rPr>
      </w:pPr>
      <w:r>
        <w:rPr>
          <w:rFonts w:hint="eastAsia" w:ascii="Times New Roman" w:hAnsi="Times New Roman"/>
          <w:sz w:val="96"/>
          <w:szCs w:val="96"/>
        </w:rPr>
        <w:t>团体</w:t>
      </w:r>
      <w:r>
        <w:rPr>
          <w:rFonts w:ascii="Times New Roman" w:hAnsi="Times New Roman"/>
          <w:sz w:val="96"/>
          <w:szCs w:val="96"/>
        </w:rPr>
        <w:t>标准</w:t>
      </w:r>
    </w:p>
    <w:p w14:paraId="5895FA8E">
      <w:pPr>
        <w:pStyle w:val="94"/>
        <w:framePr w:wrap="around" w:x="1854" w:y="3345"/>
        <w:rPr>
          <w:rFonts w:ascii="Times New Roman"/>
        </w:rPr>
      </w:pPr>
      <w:r>
        <w:rPr>
          <w:rFonts w:hint="eastAsia" w:ascii="Times New Roman"/>
        </w:rPr>
        <w:t>T</w:t>
      </w:r>
      <w:r>
        <w:rPr>
          <w:rFonts w:ascii="Times New Roman"/>
        </w:rPr>
        <w:t xml:space="preserve">/ </w:t>
      </w:r>
      <w:bookmarkStart w:id="0" w:name="StdNo1"/>
      <w:r>
        <w:rPr>
          <w:rFonts w:ascii="Times New Roman"/>
        </w:rPr>
        <w:t>XXXX</w:t>
      </w:r>
      <w:bookmarkEnd w:id="0"/>
      <w:r>
        <w:rPr>
          <w:rFonts w:ascii="Times New Roman"/>
        </w:rPr>
        <w:t>—</w:t>
      </w:r>
      <w:bookmarkStart w:id="1" w:name="StdNo2"/>
      <w:r>
        <w:rPr>
          <w:rFonts w:ascii="Times New Roman"/>
        </w:rPr>
        <w:t>XXXX</w:t>
      </w:r>
      <w:bookmarkEnd w:id="1"/>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783B4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6A19E76D">
            <w:pPr>
              <w:pStyle w:val="137"/>
              <w:framePr w:wrap="around" w:x="1854" w:y="3345"/>
              <w:rPr>
                <w:rFonts w:ascii="Times New Roman"/>
              </w:rPr>
            </w:pPr>
            <w:bookmarkStart w:id="2" w:name="DT"/>
            <w:r>
              <w:rPr>
                <w:rFonts w:ascii="Times New Roman"/>
              </w:rP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906023774" name="矩形 6"/>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6" o:spid="_x0000_s1026" o:spt="1" style="position:absolute;left:0pt;margin-left:372.8pt;margin-top:2.7pt;height:18pt;width:90pt;z-index:-25165619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mDyy9YA&#10;AAAIAQAADwAAAAAAAAABACAAAAAiAAAAZHJzL2Rvd25yZXYueG1sUEsBAhQAFAAAAAgAh07iQN/X&#10;YXMhAgAALgQAAA4AAAAAAAAAAQAgAAAAJQEAAGRycy9lMm9Eb2MueG1sUEsFBgAAAAAGAAYAWQEA&#10;ALgFAAAAAA==&#10;">
                      <v:fill on="t" focussize="0,0"/>
                      <v:stroke on="f"/>
                      <v:imagedata o:title=""/>
                      <o:lock v:ext="edit" aspectratio="f"/>
                    </v:rect>
                  </w:pict>
                </mc:Fallback>
              </mc:AlternateContent>
            </w:r>
            <w:r>
              <w:rPr>
                <w:rFonts w:ascii="Times New Roman"/>
              </w:rPr>
              <w:fldChar w:fldCharType="begin">
                <w:ffData>
                  <w:name w:val="DT"/>
                  <w:enabled/>
                  <w:calcOnExit w:val="0"/>
                  <w:textInput/>
                </w:ffData>
              </w:fldChar>
            </w:r>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2"/>
          </w:p>
        </w:tc>
      </w:tr>
    </w:tbl>
    <w:p w14:paraId="27F9D74B">
      <w:pPr>
        <w:pStyle w:val="94"/>
        <w:framePr w:wrap="around" w:x="1854" w:y="3345"/>
        <w:rPr>
          <w:rFonts w:ascii="Times New Roman"/>
        </w:rPr>
      </w:pPr>
    </w:p>
    <w:p w14:paraId="569DCAFD">
      <w:pPr>
        <w:pStyle w:val="94"/>
        <w:framePr w:wrap="around" w:x="1854" w:y="3345"/>
        <w:rPr>
          <w:rFonts w:ascii="Times New Roman"/>
        </w:rPr>
      </w:pPr>
    </w:p>
    <w:p w14:paraId="1610C14E">
      <w:pPr>
        <w:pStyle w:val="56"/>
        <w:framePr w:wrap="around" w:x="1161" w:y="5721"/>
        <w:rPr>
          <w:rFonts w:ascii="Times New Roman"/>
        </w:rPr>
      </w:pPr>
      <w:bookmarkStart w:id="3" w:name="StdName"/>
    </w:p>
    <w:p w14:paraId="5AFE7DE9">
      <w:pPr>
        <w:pStyle w:val="56"/>
        <w:framePr w:wrap="around" w:x="1161" w:y="5721"/>
        <w:rPr>
          <w:rFonts w:ascii="Times New Roman"/>
        </w:rPr>
      </w:pPr>
    </w:p>
    <w:p w14:paraId="7E2DF838">
      <w:pPr>
        <w:pStyle w:val="56"/>
        <w:framePr w:wrap="around" w:x="1161" w:y="5721"/>
        <w:rPr>
          <w:rFonts w:ascii="Times New Roman"/>
        </w:rPr>
      </w:pPr>
      <w:r>
        <w:rPr>
          <w:rFonts w:ascii="Times New Roman"/>
        </w:rPr>
        <w:t xml:space="preserve">水质 </w:t>
      </w:r>
      <w:bookmarkEnd w:id="3"/>
      <w:bookmarkStart w:id="4" w:name="YZBS"/>
      <w:r>
        <w:rPr>
          <w:rFonts w:hint="eastAsia" w:ascii="Times New Roman"/>
        </w:rPr>
        <w:t>16种磺胺类抗生素的测定 固相萃取-高效液相色谱-串联质谱法</w:t>
      </w:r>
    </w:p>
    <w:p w14:paraId="401B8922">
      <w:pPr>
        <w:pStyle w:val="56"/>
        <w:framePr w:wrap="around" w:x="1161" w:y="5721"/>
        <w:rPr>
          <w:rFonts w:ascii="Times New Roman"/>
          <w:sz w:val="36"/>
          <w:szCs w:val="36"/>
        </w:rPr>
      </w:pPr>
      <w:r>
        <w:rPr>
          <w:rFonts w:ascii="Times New Roman"/>
          <w:sz w:val="36"/>
          <w:szCs w:val="36"/>
        </w:rPr>
        <w:t>Water</w:t>
      </w:r>
      <w:bookmarkEnd w:id="4"/>
      <w:r>
        <w:rPr>
          <w:rFonts w:ascii="Times New Roman"/>
          <w:sz w:val="36"/>
          <w:szCs w:val="36"/>
        </w:rPr>
        <w:t xml:space="preserve"> quality-Determination of 16 sulfonamide antibiotics </w:t>
      </w:r>
    </w:p>
    <w:p w14:paraId="1B3B94FD">
      <w:pPr>
        <w:pStyle w:val="56"/>
        <w:framePr w:wrap="around" w:x="1161" w:y="5721"/>
        <w:rPr>
          <w:rFonts w:ascii="Times New Roman"/>
          <w:sz w:val="36"/>
          <w:szCs w:val="36"/>
        </w:rPr>
      </w:pPr>
      <w:r>
        <w:rPr>
          <w:rFonts w:ascii="Times New Roman"/>
          <w:sz w:val="36"/>
          <w:szCs w:val="36"/>
        </w:rPr>
        <w:t>-</w:t>
      </w:r>
      <w:r>
        <w:t xml:space="preserve"> </w:t>
      </w:r>
      <w:r>
        <w:rPr>
          <w:rFonts w:ascii="Times New Roman"/>
          <w:sz w:val="36"/>
          <w:szCs w:val="36"/>
        </w:rPr>
        <w:t>Solid phase extraction -</w:t>
      </w:r>
      <w:r>
        <w:rPr>
          <w:rFonts w:hint="eastAsia" w:ascii="Times New Roman"/>
          <w:sz w:val="36"/>
          <w:szCs w:val="36"/>
        </w:rPr>
        <w:t>H</w:t>
      </w:r>
      <w:r>
        <w:rPr>
          <w:rFonts w:ascii="Times New Roman"/>
          <w:sz w:val="36"/>
          <w:szCs w:val="36"/>
        </w:rPr>
        <w:t>igh performance liquid chromatography -</w:t>
      </w:r>
      <w:r>
        <w:rPr>
          <w:rFonts w:hint="eastAsia" w:ascii="Times New Roman"/>
          <w:sz w:val="36"/>
          <w:szCs w:val="36"/>
        </w:rPr>
        <w:t>T</w:t>
      </w:r>
      <w:r>
        <w:rPr>
          <w:rFonts w:ascii="Times New Roman"/>
          <w:sz w:val="36"/>
          <w:szCs w:val="36"/>
        </w:rPr>
        <w:t>andem mass spectrometry</w:t>
      </w:r>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2AE63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20776DF5">
            <w:pPr>
              <w:pStyle w:val="78"/>
              <w:framePr w:wrap="around" w:x="1161" w:y="5721"/>
              <w:rPr>
                <w:rFonts w:ascii="Times New Roman"/>
              </w:rPr>
            </w:pPr>
            <w:r>
              <w:rPr>
                <w:rFonts w:ascii="Times New Roman"/>
              </w:rP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905000" cy="254000"/>
                      <wp:effectExtent l="0" t="3175" r="3175" b="0"/>
                      <wp:wrapNone/>
                      <wp:docPr id="143289323" name="矩形 5"/>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5" o:spid="_x0000_s1026" o:spt="1" style="position:absolute;left:0pt;margin-left:173.3pt;margin-top:45.15pt;height:20pt;width:150pt;z-index:-251654144;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YmuktUAAAAK&#10;AQAADwAAAAAAAAABACAAAAAiAAAAZHJzL2Rvd25yZXYueG1sUEsBAhQAFAAAAAgAh07iQBl5ECkf&#10;AgAALgQAAA4AAAAAAAAAAQAgAAAAJAEAAGRycy9lMm9Eb2MueG1sUEsFBgAAAAAGAAYAWQEAALUF&#10;AAAAAA==&#10;">
                      <v:fill on="t" focussize="0,0"/>
                      <v:stroke on="f"/>
                      <v:imagedata o:title=""/>
                      <o:lock v:ext="edit" aspectratio="f"/>
                      <w10:anchorlock/>
                    </v:rect>
                  </w:pict>
                </mc:Fallback>
              </mc:AlternateContent>
            </w:r>
            <w:r>
              <w:rPr>
                <w:rFonts w:ascii="Times New Roman"/>
              </w:rP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270000" cy="304800"/>
                      <wp:effectExtent l="3175" t="0" r="3175" b="0"/>
                      <wp:wrapNone/>
                      <wp:docPr id="1690381416" name="矩形 4"/>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4" o:spid="_x0000_s1026" o:spt="1" style="position:absolute;left:0pt;margin-left:193.3pt;margin-top:20.15pt;height:24pt;width:100pt;z-index:-251655168;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D4Yvl1gAA&#10;AAkBAAAPAAAAAAAAAAEAIAAAACIAAABkcnMvZG93bnJldi54bWxQSwECFAAUAAAACACHTuJAGFGr&#10;DSACAAAvBAAADgAAAAAAAAABACAAAAAlAQAAZHJzL2Uyb0RvYy54bWxQSwUGAAAAAAYABgBZAQAA&#10;twUAAAAA&#10;">
                      <v:fill on="t" focussize="0,0"/>
                      <v:stroke on="f"/>
                      <v:imagedata o:title=""/>
                      <o:lock v:ext="edit" aspectratio="f"/>
                    </v:rect>
                  </w:pict>
                </mc:Fallback>
              </mc:AlternateContent>
            </w:r>
          </w:p>
        </w:tc>
      </w:tr>
      <w:tr w14:paraId="3D5DF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5DADC9F0">
            <w:pPr>
              <w:pStyle w:val="77"/>
              <w:framePr w:wrap="around" w:x="1161" w:y="5721"/>
              <w:rPr>
                <w:rFonts w:ascii="Times New Roman"/>
              </w:rPr>
            </w:pPr>
            <w:bookmarkStart w:id="5" w:name="WCRQ"/>
            <w:r>
              <w:rPr>
                <w:rFonts w:ascii="Times New Roman"/>
              </w:rPr>
              <w:fldChar w:fldCharType="begin">
                <w:ffData>
                  <w:name w:val="WCRQ"/>
                  <w:enabled/>
                  <w:calcOnExit w:val="0"/>
                  <w:textInput/>
                </w:ffData>
              </w:fldChar>
            </w:r>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5"/>
          </w:p>
        </w:tc>
      </w:tr>
    </w:tbl>
    <w:p w14:paraId="3977B590">
      <w:pPr>
        <w:pStyle w:val="103"/>
        <w:framePr w:wrap="around" w:hAnchor="page" w:x="1236"/>
        <w:jc w:val="both"/>
      </w:pPr>
      <w:r>
        <w:t>XXXX - XX - XX发布</w:t>
      </w:r>
    </w:p>
    <w:p w14:paraId="5D359940">
      <w:pPr>
        <w:pStyle w:val="127"/>
        <w:framePr w:wrap="around" w:hAnchor="page" w:x="7304" w:y="14074"/>
      </w:pPr>
      <w:r>
        <w:t>XXXX - XX - XX实施</w:t>
      </w:r>
    </w:p>
    <w:p w14:paraId="5C6BAB13">
      <w:pPr>
        <w:pStyle w:val="95"/>
        <w:framePr w:w="9131" w:h="481" w:hRule="exact" w:wrap="around" w:x="1798" w:y="15049"/>
        <w:rPr>
          <w:rFonts w:ascii="Times New Roman"/>
        </w:rPr>
      </w:pPr>
      <w:r>
        <w:rPr>
          <w:rStyle w:val="48"/>
          <w:rFonts w:hint="eastAsia" w:ascii="Times New Roman"/>
          <w:sz w:val="24"/>
          <w:szCs w:val="24"/>
          <w:lang w:val="en-US" w:eastAsia="zh-CN"/>
        </w:rPr>
        <w:t>新疆维吾尔自治区生态环境保护产业协会</w:t>
      </w:r>
      <w:r>
        <w:rPr>
          <w:rStyle w:val="48"/>
          <w:rFonts w:ascii="Times New Roman"/>
        </w:rPr>
        <w:t>发布</w:t>
      </w:r>
    </w:p>
    <w:tbl>
      <w:tblPr>
        <w:tblStyle w:val="32"/>
        <w:tblpPr w:leftFromText="180" w:rightFromText="180" w:vertAnchor="text" w:horzAnchor="page" w:tblpX="1134" w:tblpY="24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14:paraId="5818C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14:paraId="4EC3A44F">
            <w:pPr>
              <w:pStyle w:val="142"/>
              <w:framePr w:hSpace="0" w:vSpace="0" w:wrap="auto" w:vAnchor="margin" w:hAnchor="text" w:yAlign="inline"/>
              <w:rPr>
                <w:rFonts w:ascii="Times New Roman"/>
              </w:rPr>
            </w:pPr>
            <w:r>
              <w:rPr>
                <w:rFonts w:ascii="Times New Roman"/>
              </w:rPr>
              <mc:AlternateContent>
                <mc:Choice Requires="wps">
                  <w:drawing>
                    <wp:anchor distT="0" distB="0" distL="114300" distR="114300" simplePos="0" relativeHeight="251664384" behindDoc="1" locked="0" layoutInCell="1" allowOverlap="1">
                      <wp:simplePos x="0" y="0"/>
                      <wp:positionH relativeFrom="column">
                        <wp:posOffset>-66675</wp:posOffset>
                      </wp:positionH>
                      <wp:positionV relativeFrom="paragraph">
                        <wp:posOffset>0</wp:posOffset>
                      </wp:positionV>
                      <wp:extent cx="866775" cy="198120"/>
                      <wp:effectExtent l="0" t="0" r="4445" b="0"/>
                      <wp:wrapNone/>
                      <wp:docPr id="1082089285" name="矩形 7"/>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7" o:spid="_x0000_s1026" o:spt="1" style="position:absolute;left:0pt;margin-left:-5.25pt;margin-top:0pt;height:15.6pt;width:68.25pt;z-index:-25165209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iuL+zV&#10;AAAABwEAAA8AAAAAAAAAAQAgAAAAIgAAAGRycy9kb3ducmV2LnhtbFBLAQIUABQAAAAIAIdO4kDq&#10;pC90IwIAAC4EAAAOAAAAAAAAAAEAIAAAACQBAABkcnMvZTJvRG9jLnhtbFBLBQYAAAAABgAGAFkB&#10;AAC5BQAAAAA=&#10;">
                      <v:fill on="t" focussize="0,0"/>
                      <v:stroke on="f"/>
                      <v:imagedata o:title=""/>
                      <o:lock v:ext="edit" aspectratio="f"/>
                    </v:rect>
                  </w:pict>
                </mc:Fallback>
              </mc:AlternateContent>
            </w:r>
            <w:r>
              <w:rPr>
                <w:rFonts w:ascii="Times New Roman"/>
              </w:rPr>
              <w:fldChar w:fldCharType="begin">
                <w:ffData>
                  <w:name w:val="BAH"/>
                  <w:enabled/>
                  <w:calcOnExit w:val="0"/>
                  <w:textInput/>
                </w:ffData>
              </w:fldChar>
            </w:r>
            <w:bookmarkStart w:id="6" w:name="BAH"/>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6"/>
          </w:p>
        </w:tc>
      </w:tr>
    </w:tbl>
    <w:p w14:paraId="7BA28AF8">
      <w:pPr>
        <w:pStyle w:val="46"/>
        <w:jc w:val="left"/>
        <w:rPr>
          <w:rFonts w:ascii="Times New Roman"/>
        </w:rPr>
        <w:sectPr>
          <w:pgSz w:w="11906" w:h="16838"/>
          <w:pgMar w:top="567" w:right="850" w:bottom="1134" w:left="1418" w:header="0" w:footer="0" w:gutter="0"/>
          <w:pgNumType w:fmt="upperRoman" w:start="1"/>
          <w:cols w:space="720" w:num="1"/>
          <w:docGrid w:type="lines" w:linePitch="312" w:charSpace="0"/>
        </w:sectPr>
      </w:pPr>
      <w:r>
        <mc:AlternateContent>
          <mc:Choice Requires="wps">
            <w:drawing>
              <wp:anchor distT="0" distB="0" distL="114300" distR="114300" simplePos="0" relativeHeight="251665408" behindDoc="0" locked="1" layoutInCell="1" allowOverlap="1">
                <wp:simplePos x="0" y="0"/>
                <wp:positionH relativeFrom="column">
                  <wp:posOffset>-375285</wp:posOffset>
                </wp:positionH>
                <wp:positionV relativeFrom="page">
                  <wp:posOffset>9309100</wp:posOffset>
                </wp:positionV>
                <wp:extent cx="6401435" cy="1905"/>
                <wp:effectExtent l="0" t="0" r="0" b="0"/>
                <wp:wrapNone/>
                <wp:docPr id="1690615486" name="直接连接符 3"/>
                <wp:cNvGraphicFramePr/>
                <a:graphic xmlns:a="http://schemas.openxmlformats.org/drawingml/2006/main">
                  <a:graphicData uri="http://schemas.microsoft.com/office/word/2010/wordprocessingShape">
                    <wps:wsp>
                      <wps:cNvCnPr>
                        <a:cxnSpLocks noChangeShapeType="1"/>
                      </wps:cNvCnPr>
                      <wps:spPr bwMode="auto">
                        <a:xfrm flipV="1">
                          <a:off x="0" y="0"/>
                          <a:ext cx="6401435" cy="1905"/>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flip:y;margin-left:-29.55pt;margin-top:733pt;height:0.15pt;width:504.05pt;mso-position-vertical-relative:page;z-index:251665408;mso-width-relative:page;mso-height-relative:page;" filled="f" stroked="t" coordsize="21600,21600" o:gfxdata="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N8QIR2QAAAA0BAAAPAAAAAAAAAAEAIAAAACIAAABkcnMvZG93bnJldi54bWxQ&#10;SwECFAAUAAAACACHTuJAgDOhHPYBAADAAwAADgAAAAAAAAABACAAAAAoAQAAZHJzL2Uyb0RvYy54&#10;bWxQSwUGAAAAAAYABgBZAQAAkAUAAAAA&#10;">
                <v:fill on="f" focussize="0,0"/>
                <v:stroke color="#000000" joinstyle="round"/>
                <v:imagedata o:title=""/>
                <o:lock v:ext="edit" aspectratio="f"/>
                <w10:anchorlock/>
              </v:line>
            </w:pict>
          </mc:Fallback>
        </mc:AlternateContent>
      </w:r>
      <w:r>
        <w:rPr>
          <w:rFonts w:ascii="Times New Roman"/>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2339975</wp:posOffset>
                </wp:positionV>
                <wp:extent cx="6120130" cy="0"/>
                <wp:effectExtent l="13970" t="13970" r="9525" b="5080"/>
                <wp:wrapNone/>
                <wp:docPr id="1720687669"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2" o:spid="_x0000_s1026" o:spt="20" style="position:absolute;left:0pt;margin-left:-0.05pt;margin-top:184.25pt;height:0pt;width:481.9pt;z-index:251663360;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C&#10;QeJf1wAAAAkBAAAPAAAAAAAAAAEAIAAAACIAAABkcnMvZG93bnJldi54bWxQSwECFAAUAAAACACH&#10;TuJAa1mk0OwBAACzAwAADgAAAAAAAAABACAAAAAmAQAAZHJzL2Uyb0RvYy54bWxQSwUGAAAAAAYA&#10;BgBZAQAAhAUAAAAA&#10;">
                <v:fill on="f" focussize="0,0"/>
                <v:stroke color="#000000" joinstyle="round"/>
                <v:imagedata o:title=""/>
                <o:lock v:ext="edit" aspectratio="f"/>
              </v:line>
            </w:pict>
          </mc:Fallback>
        </mc:AlternateContent>
      </w:r>
    </w:p>
    <w:p w14:paraId="4589DA91">
      <w:pPr>
        <w:jc w:val="center"/>
        <w:rPr>
          <w:rFonts w:ascii="黑体" w:hAnsi="黑体" w:eastAsia="黑体"/>
          <w:sz w:val="32"/>
          <w:szCs w:val="32"/>
        </w:rPr>
      </w:pPr>
      <w:bookmarkStart w:id="7" w:name="_Toc87433432"/>
      <w:bookmarkStart w:id="8" w:name="_Toc113374072"/>
      <w:r>
        <w:rPr>
          <w:rFonts w:ascii="黑体" w:hAnsi="黑体" w:eastAsia="黑体"/>
          <w:sz w:val="32"/>
          <w:szCs w:val="32"/>
        </w:rPr>
        <w:t>目</w:t>
      </w:r>
      <w:bookmarkStart w:id="9" w:name="BKML"/>
      <w:r>
        <w:rPr>
          <w:rFonts w:ascii="黑体" w:hAnsi="黑体" w:eastAsia="黑体"/>
          <w:sz w:val="32"/>
          <w:szCs w:val="32"/>
        </w:rPr>
        <w:t>  次</w:t>
      </w:r>
      <w:bookmarkEnd w:id="7"/>
      <w:bookmarkEnd w:id="8"/>
      <w:bookmarkEnd w:id="9"/>
    </w:p>
    <w:p w14:paraId="5479817D">
      <w:pPr>
        <w:pStyle w:val="20"/>
        <w:tabs>
          <w:tab w:val="right" w:leader="dot" w:pos="9354"/>
          <w:tab w:val="clear" w:pos="9241"/>
        </w:tabs>
        <w:spacing w:before="78" w:after="78"/>
        <w:rPr>
          <w:rFonts w:hAnsi="宋体" w:cs="宋体"/>
        </w:rPr>
      </w:pPr>
      <w:r>
        <w:rPr>
          <w:rFonts w:ascii="Times New Roman"/>
        </w:rPr>
        <w:fldChar w:fldCharType="begin"/>
      </w:r>
      <w:r>
        <w:rPr>
          <w:rFonts w:ascii="Times New Roman"/>
        </w:rPr>
        <w:instrText xml:space="preserve"> TOC \o "1-2" \h \z \u </w:instrText>
      </w:r>
      <w:r>
        <w:rPr>
          <w:rFonts w:ascii="Times New Roman"/>
        </w:rPr>
        <w:fldChar w:fldCharType="separate"/>
      </w:r>
      <w:r>
        <w:fldChar w:fldCharType="begin"/>
      </w:r>
      <w:r>
        <w:instrText xml:space="preserve"> HYPERLINK \l "_Toc14607" </w:instrText>
      </w:r>
      <w:r>
        <w:fldChar w:fldCharType="separate"/>
      </w:r>
      <w:r>
        <w:rPr>
          <w:rFonts w:hint="eastAsia" w:hAnsi="宋体" w:cs="宋体"/>
        </w:rPr>
        <w:t>前  言</w:t>
      </w:r>
      <w:r>
        <w:rPr>
          <w:rFonts w:hint="eastAsia" w:hAnsi="宋体" w:cs="宋体"/>
        </w:rPr>
        <w:tab/>
      </w:r>
      <w:r>
        <w:rPr>
          <w:rFonts w:hint="eastAsia" w:hAnsi="宋体" w:cs="宋体"/>
        </w:rPr>
        <w:fldChar w:fldCharType="begin"/>
      </w:r>
      <w:r>
        <w:rPr>
          <w:rFonts w:hint="eastAsia" w:hAnsi="宋体" w:cs="宋体"/>
        </w:rPr>
        <w:instrText xml:space="preserve"> PAGEREF _Toc14607 \h </w:instrText>
      </w:r>
      <w:r>
        <w:rPr>
          <w:rFonts w:hint="eastAsia" w:hAnsi="宋体" w:cs="宋体"/>
        </w:rPr>
        <w:fldChar w:fldCharType="separate"/>
      </w:r>
      <w:r>
        <w:rPr>
          <w:rFonts w:hint="eastAsia" w:hAnsi="宋体" w:cs="宋体"/>
        </w:rPr>
        <w:t>II</w:t>
      </w:r>
      <w:r>
        <w:rPr>
          <w:rFonts w:hint="eastAsia" w:hAnsi="宋体" w:cs="宋体"/>
        </w:rPr>
        <w:fldChar w:fldCharType="end"/>
      </w:r>
      <w:r>
        <w:rPr>
          <w:rFonts w:hint="eastAsia" w:hAnsi="宋体" w:cs="宋体"/>
        </w:rPr>
        <w:fldChar w:fldCharType="end"/>
      </w:r>
    </w:p>
    <w:p w14:paraId="64694FEC">
      <w:pPr>
        <w:pStyle w:val="28"/>
        <w:tabs>
          <w:tab w:val="right" w:leader="dot" w:pos="9354"/>
          <w:tab w:val="clear" w:pos="9241"/>
        </w:tabs>
        <w:rPr>
          <w:rFonts w:hAnsi="宋体" w:cs="宋体"/>
        </w:rPr>
      </w:pPr>
      <w:r>
        <w:fldChar w:fldCharType="begin"/>
      </w:r>
      <w:r>
        <w:instrText xml:space="preserve"> HYPERLINK \l "_Toc30203" </w:instrText>
      </w:r>
      <w:r>
        <w:fldChar w:fldCharType="separate"/>
      </w:r>
      <w:r>
        <w:rPr>
          <w:rFonts w:hint="eastAsia" w:hAnsi="宋体" w:cs="宋体"/>
        </w:rPr>
        <w:t>1 适用范围</w:t>
      </w:r>
      <w:r>
        <w:rPr>
          <w:rFonts w:hint="eastAsia" w:hAnsi="宋体" w:cs="宋体"/>
        </w:rPr>
        <w:tab/>
      </w:r>
      <w:r>
        <w:rPr>
          <w:rFonts w:hint="eastAsia" w:hAnsi="宋体" w:cs="宋体"/>
        </w:rPr>
        <w:fldChar w:fldCharType="begin"/>
      </w:r>
      <w:r>
        <w:rPr>
          <w:rFonts w:hint="eastAsia" w:hAnsi="宋体" w:cs="宋体"/>
        </w:rPr>
        <w:instrText xml:space="preserve"> PAGEREF _Toc30203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14:paraId="54420E93">
      <w:pPr>
        <w:pStyle w:val="28"/>
        <w:tabs>
          <w:tab w:val="right" w:leader="dot" w:pos="9354"/>
          <w:tab w:val="clear" w:pos="9241"/>
        </w:tabs>
        <w:rPr>
          <w:rFonts w:hAnsi="宋体" w:cs="宋体"/>
        </w:rPr>
      </w:pPr>
      <w:r>
        <w:fldChar w:fldCharType="begin"/>
      </w:r>
      <w:r>
        <w:instrText xml:space="preserve"> HYPERLINK \l "_Toc6314" </w:instrText>
      </w:r>
      <w:r>
        <w:fldChar w:fldCharType="separate"/>
      </w:r>
      <w:r>
        <w:rPr>
          <w:rFonts w:hint="eastAsia" w:hAnsi="宋体" w:cs="宋体"/>
        </w:rPr>
        <w:t>2 规范性引用文件</w:t>
      </w:r>
      <w:r>
        <w:rPr>
          <w:rFonts w:hint="eastAsia" w:hAnsi="宋体" w:cs="宋体"/>
        </w:rPr>
        <w:tab/>
      </w:r>
      <w:r>
        <w:rPr>
          <w:rFonts w:hint="eastAsia" w:hAnsi="宋体" w:cs="宋体"/>
        </w:rPr>
        <w:fldChar w:fldCharType="begin"/>
      </w:r>
      <w:r>
        <w:rPr>
          <w:rFonts w:hint="eastAsia" w:hAnsi="宋体" w:cs="宋体"/>
        </w:rPr>
        <w:instrText xml:space="preserve"> PAGEREF _Toc6314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14:paraId="5584DB7A">
      <w:pPr>
        <w:pStyle w:val="28"/>
        <w:tabs>
          <w:tab w:val="right" w:leader="dot" w:pos="9354"/>
          <w:tab w:val="clear" w:pos="9241"/>
        </w:tabs>
        <w:rPr>
          <w:rFonts w:hAnsi="宋体" w:cs="宋体"/>
        </w:rPr>
      </w:pPr>
      <w:r>
        <w:fldChar w:fldCharType="begin"/>
      </w:r>
      <w:r>
        <w:instrText xml:space="preserve"> HYPERLINK \l "_Toc21045" </w:instrText>
      </w:r>
      <w:r>
        <w:fldChar w:fldCharType="separate"/>
      </w:r>
      <w:r>
        <w:rPr>
          <w:rFonts w:hint="eastAsia" w:hAnsi="宋体" w:cs="宋体"/>
        </w:rPr>
        <w:t>3 方法原理</w:t>
      </w:r>
      <w:r>
        <w:rPr>
          <w:rFonts w:hint="eastAsia" w:hAnsi="宋体" w:cs="宋体"/>
        </w:rPr>
        <w:tab/>
      </w:r>
      <w:r>
        <w:rPr>
          <w:rFonts w:hint="eastAsia" w:hAnsi="宋体" w:cs="宋体"/>
        </w:rPr>
        <w:fldChar w:fldCharType="begin"/>
      </w:r>
      <w:r>
        <w:rPr>
          <w:rFonts w:hint="eastAsia" w:hAnsi="宋体" w:cs="宋体"/>
        </w:rPr>
        <w:instrText xml:space="preserve"> PAGEREF _Toc21045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14:paraId="772E48F0">
      <w:pPr>
        <w:pStyle w:val="28"/>
        <w:tabs>
          <w:tab w:val="right" w:leader="dot" w:pos="9354"/>
          <w:tab w:val="clear" w:pos="9241"/>
        </w:tabs>
        <w:rPr>
          <w:rFonts w:hAnsi="宋体" w:cs="宋体"/>
        </w:rPr>
      </w:pPr>
      <w:r>
        <w:fldChar w:fldCharType="begin"/>
      </w:r>
      <w:r>
        <w:instrText xml:space="preserve"> HYPERLINK \l "_Toc30462" </w:instrText>
      </w:r>
      <w:r>
        <w:fldChar w:fldCharType="separate"/>
      </w:r>
      <w:r>
        <w:rPr>
          <w:rFonts w:hint="eastAsia" w:hAnsi="宋体" w:cs="宋体"/>
        </w:rPr>
        <w:t>4 干扰和消除</w:t>
      </w:r>
      <w:r>
        <w:rPr>
          <w:rFonts w:hint="eastAsia" w:hAnsi="宋体" w:cs="宋体"/>
        </w:rPr>
        <w:tab/>
      </w:r>
      <w:r>
        <w:rPr>
          <w:rFonts w:hint="eastAsia" w:hAnsi="宋体" w:cs="宋体"/>
        </w:rPr>
        <w:fldChar w:fldCharType="begin"/>
      </w:r>
      <w:r>
        <w:rPr>
          <w:rFonts w:hint="eastAsia" w:hAnsi="宋体" w:cs="宋体"/>
        </w:rPr>
        <w:instrText xml:space="preserve"> PAGEREF _Toc30462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14:paraId="3558856D">
      <w:pPr>
        <w:pStyle w:val="28"/>
        <w:tabs>
          <w:tab w:val="right" w:leader="dot" w:pos="9354"/>
          <w:tab w:val="clear" w:pos="9241"/>
        </w:tabs>
        <w:rPr>
          <w:rFonts w:hAnsi="宋体" w:cs="宋体"/>
        </w:rPr>
      </w:pPr>
      <w:r>
        <w:fldChar w:fldCharType="begin"/>
      </w:r>
      <w:r>
        <w:instrText xml:space="preserve"> HYPERLINK \l "_Toc12762" </w:instrText>
      </w:r>
      <w:r>
        <w:fldChar w:fldCharType="separate"/>
      </w:r>
      <w:r>
        <w:rPr>
          <w:rFonts w:hint="eastAsia" w:hAnsi="宋体" w:cs="宋体"/>
        </w:rPr>
        <w:t>5 试剂和材料</w:t>
      </w:r>
      <w:r>
        <w:rPr>
          <w:rFonts w:hint="eastAsia" w:hAnsi="宋体" w:cs="宋体"/>
        </w:rPr>
        <w:tab/>
      </w:r>
      <w:r>
        <w:rPr>
          <w:rFonts w:hint="eastAsia" w:hAnsi="宋体" w:cs="宋体"/>
        </w:rPr>
        <w:fldChar w:fldCharType="begin"/>
      </w:r>
      <w:r>
        <w:rPr>
          <w:rFonts w:hint="eastAsia" w:hAnsi="宋体" w:cs="宋体"/>
        </w:rPr>
        <w:instrText xml:space="preserve"> PAGEREF _Toc12762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14:paraId="6E237668">
      <w:pPr>
        <w:pStyle w:val="28"/>
        <w:tabs>
          <w:tab w:val="right" w:leader="dot" w:pos="9354"/>
          <w:tab w:val="clear" w:pos="9241"/>
        </w:tabs>
        <w:rPr>
          <w:rFonts w:hAnsi="宋体" w:cs="宋体"/>
        </w:rPr>
      </w:pPr>
      <w:r>
        <w:fldChar w:fldCharType="begin"/>
      </w:r>
      <w:r>
        <w:instrText xml:space="preserve"> HYPERLINK \l "_Toc27986" </w:instrText>
      </w:r>
      <w:r>
        <w:fldChar w:fldCharType="separate"/>
      </w:r>
      <w:r>
        <w:rPr>
          <w:rFonts w:hint="eastAsia" w:hAnsi="宋体" w:cs="宋体"/>
        </w:rPr>
        <w:t>6 仪器和设备</w:t>
      </w:r>
      <w:r>
        <w:rPr>
          <w:rFonts w:hint="eastAsia" w:hAnsi="宋体" w:cs="宋体"/>
        </w:rPr>
        <w:tab/>
      </w:r>
      <w:r>
        <w:rPr>
          <w:rFonts w:hint="eastAsia" w:hAnsi="宋体" w:cs="宋体"/>
        </w:rPr>
        <w:fldChar w:fldCharType="begin"/>
      </w:r>
      <w:r>
        <w:rPr>
          <w:rFonts w:hint="eastAsia" w:hAnsi="宋体" w:cs="宋体"/>
        </w:rPr>
        <w:instrText xml:space="preserve"> PAGEREF _Toc27986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hAnsi="宋体" w:cs="宋体"/>
        </w:rPr>
        <w:fldChar w:fldCharType="end"/>
      </w:r>
    </w:p>
    <w:p w14:paraId="2C0E4E86">
      <w:pPr>
        <w:pStyle w:val="28"/>
        <w:tabs>
          <w:tab w:val="right" w:leader="dot" w:pos="9354"/>
          <w:tab w:val="clear" w:pos="9241"/>
        </w:tabs>
        <w:rPr>
          <w:rFonts w:hAnsi="宋体" w:cs="宋体"/>
        </w:rPr>
      </w:pPr>
      <w:r>
        <w:fldChar w:fldCharType="begin"/>
      </w:r>
      <w:r>
        <w:instrText xml:space="preserve"> HYPERLINK \l "_Toc32688" </w:instrText>
      </w:r>
      <w:r>
        <w:fldChar w:fldCharType="separate"/>
      </w:r>
      <w:r>
        <w:rPr>
          <w:rFonts w:hint="eastAsia" w:hAnsi="宋体" w:cs="宋体"/>
        </w:rPr>
        <w:t>7 样品</w:t>
      </w:r>
      <w:r>
        <w:rPr>
          <w:rFonts w:hint="eastAsia" w:hAnsi="宋体" w:cs="宋体"/>
        </w:rPr>
        <w:tab/>
      </w:r>
      <w:r>
        <w:rPr>
          <w:rFonts w:hint="eastAsia" w:hAnsi="宋体" w:cs="宋体"/>
        </w:rPr>
        <w:fldChar w:fldCharType="begin"/>
      </w:r>
      <w:r>
        <w:rPr>
          <w:rFonts w:hint="eastAsia" w:hAnsi="宋体" w:cs="宋体"/>
        </w:rPr>
        <w:instrText xml:space="preserve"> PAGEREF _Toc32688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hAnsi="宋体" w:cs="宋体"/>
        </w:rPr>
        <w:fldChar w:fldCharType="end"/>
      </w:r>
    </w:p>
    <w:p w14:paraId="2426A9F1">
      <w:pPr>
        <w:pStyle w:val="28"/>
        <w:tabs>
          <w:tab w:val="right" w:leader="dot" w:pos="9354"/>
          <w:tab w:val="clear" w:pos="9241"/>
        </w:tabs>
        <w:rPr>
          <w:rFonts w:hAnsi="宋体" w:cs="宋体"/>
        </w:rPr>
      </w:pPr>
      <w:r>
        <w:fldChar w:fldCharType="begin"/>
      </w:r>
      <w:r>
        <w:instrText xml:space="preserve"> HYPERLINK \l "_Toc8048" </w:instrText>
      </w:r>
      <w:r>
        <w:fldChar w:fldCharType="separate"/>
      </w:r>
      <w:r>
        <w:rPr>
          <w:rFonts w:hint="eastAsia" w:hAnsi="宋体" w:cs="宋体"/>
        </w:rPr>
        <w:t>8 分析步骤</w:t>
      </w:r>
      <w:r>
        <w:rPr>
          <w:rFonts w:hint="eastAsia" w:hAnsi="宋体" w:cs="宋体"/>
        </w:rPr>
        <w:tab/>
      </w:r>
      <w:r>
        <w:rPr>
          <w:rFonts w:hint="eastAsia" w:hAnsi="宋体" w:cs="宋体"/>
        </w:rPr>
        <w:fldChar w:fldCharType="begin"/>
      </w:r>
      <w:r>
        <w:rPr>
          <w:rFonts w:hint="eastAsia" w:hAnsi="宋体" w:cs="宋体"/>
        </w:rPr>
        <w:instrText xml:space="preserve"> PAGEREF _Toc8048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hAnsi="宋体" w:cs="宋体"/>
        </w:rPr>
        <w:fldChar w:fldCharType="end"/>
      </w:r>
    </w:p>
    <w:p w14:paraId="7FD2AFAC">
      <w:pPr>
        <w:pStyle w:val="28"/>
        <w:tabs>
          <w:tab w:val="right" w:leader="dot" w:pos="9354"/>
          <w:tab w:val="clear" w:pos="9241"/>
        </w:tabs>
        <w:rPr>
          <w:rFonts w:hAnsi="宋体" w:cs="宋体"/>
        </w:rPr>
      </w:pPr>
      <w:r>
        <w:fldChar w:fldCharType="begin"/>
      </w:r>
      <w:r>
        <w:instrText xml:space="preserve"> HYPERLINK \l "_Toc3092" </w:instrText>
      </w:r>
      <w:r>
        <w:fldChar w:fldCharType="separate"/>
      </w:r>
      <w:r>
        <w:rPr>
          <w:rFonts w:hint="eastAsia" w:hAnsi="宋体" w:cs="宋体"/>
        </w:rPr>
        <w:t>9 结果计算与表示</w:t>
      </w:r>
      <w:r>
        <w:rPr>
          <w:rFonts w:hint="eastAsia" w:hAnsi="宋体" w:cs="宋体"/>
        </w:rPr>
        <w:tab/>
      </w:r>
      <w:r>
        <w:rPr>
          <w:rFonts w:hint="eastAsia" w:hAnsi="宋体" w:cs="宋体"/>
        </w:rPr>
        <w:fldChar w:fldCharType="begin"/>
      </w:r>
      <w:r>
        <w:rPr>
          <w:rFonts w:hint="eastAsia" w:hAnsi="宋体" w:cs="宋体"/>
        </w:rPr>
        <w:instrText xml:space="preserve"> PAGEREF _Toc3092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hAnsi="宋体" w:cs="宋体"/>
        </w:rPr>
        <w:fldChar w:fldCharType="end"/>
      </w:r>
    </w:p>
    <w:p w14:paraId="3A4327D8">
      <w:pPr>
        <w:pStyle w:val="28"/>
        <w:tabs>
          <w:tab w:val="right" w:leader="dot" w:pos="9354"/>
          <w:tab w:val="clear" w:pos="9241"/>
        </w:tabs>
        <w:rPr>
          <w:rFonts w:hAnsi="宋体" w:cs="宋体"/>
        </w:rPr>
      </w:pPr>
      <w:r>
        <w:fldChar w:fldCharType="begin"/>
      </w:r>
      <w:r>
        <w:instrText xml:space="preserve"> HYPERLINK \l "_Toc12588" </w:instrText>
      </w:r>
      <w:r>
        <w:fldChar w:fldCharType="separate"/>
      </w:r>
      <w:r>
        <w:rPr>
          <w:rFonts w:hint="eastAsia" w:hAnsi="宋体" w:cs="宋体"/>
        </w:rPr>
        <w:t>10 检出限和定量限</w:t>
      </w:r>
      <w:r>
        <w:rPr>
          <w:rFonts w:hint="eastAsia" w:hAnsi="宋体" w:cs="宋体"/>
        </w:rPr>
        <w:tab/>
      </w:r>
      <w:r>
        <w:rPr>
          <w:rFonts w:hint="eastAsia" w:hAnsi="宋体" w:cs="宋体"/>
        </w:rPr>
        <w:fldChar w:fldCharType="begin"/>
      </w:r>
      <w:r>
        <w:rPr>
          <w:rFonts w:hint="eastAsia" w:hAnsi="宋体" w:cs="宋体"/>
        </w:rPr>
        <w:instrText xml:space="preserve"> PAGEREF _Toc12588 \h </w:instrText>
      </w:r>
      <w:r>
        <w:rPr>
          <w:rFonts w:hint="eastAsia" w:hAnsi="宋体" w:cs="宋体"/>
        </w:rPr>
        <w:fldChar w:fldCharType="separate"/>
      </w:r>
      <w:r>
        <w:rPr>
          <w:rFonts w:hint="eastAsia" w:hAnsi="宋体" w:cs="宋体"/>
        </w:rPr>
        <w:t>5</w:t>
      </w:r>
      <w:r>
        <w:rPr>
          <w:rFonts w:hint="eastAsia" w:hAnsi="宋体" w:cs="宋体"/>
        </w:rPr>
        <w:fldChar w:fldCharType="end"/>
      </w:r>
      <w:r>
        <w:rPr>
          <w:rFonts w:hint="eastAsia" w:hAnsi="宋体" w:cs="宋体"/>
        </w:rPr>
        <w:fldChar w:fldCharType="end"/>
      </w:r>
    </w:p>
    <w:p w14:paraId="1BA37D28">
      <w:pPr>
        <w:pStyle w:val="28"/>
        <w:tabs>
          <w:tab w:val="right" w:leader="dot" w:pos="9354"/>
          <w:tab w:val="clear" w:pos="9241"/>
        </w:tabs>
        <w:rPr>
          <w:rFonts w:hAnsi="宋体" w:cs="宋体"/>
        </w:rPr>
      </w:pPr>
      <w:r>
        <w:fldChar w:fldCharType="begin"/>
      </w:r>
      <w:r>
        <w:instrText xml:space="preserve"> HYPERLINK \l "_Toc21704" </w:instrText>
      </w:r>
      <w:r>
        <w:fldChar w:fldCharType="separate"/>
      </w:r>
      <w:r>
        <w:rPr>
          <w:rFonts w:hint="eastAsia" w:hAnsi="宋体" w:cs="宋体"/>
        </w:rPr>
        <w:t>11 准确度和精密度</w:t>
      </w:r>
      <w:r>
        <w:rPr>
          <w:rFonts w:hint="eastAsia" w:hAnsi="宋体" w:cs="宋体"/>
        </w:rPr>
        <w:tab/>
      </w:r>
      <w:r>
        <w:rPr>
          <w:rFonts w:hint="eastAsia" w:hAnsi="宋体" w:cs="宋体"/>
        </w:rPr>
        <w:fldChar w:fldCharType="begin"/>
      </w:r>
      <w:r>
        <w:rPr>
          <w:rFonts w:hint="eastAsia" w:hAnsi="宋体" w:cs="宋体"/>
        </w:rPr>
        <w:instrText xml:space="preserve"> PAGEREF _Toc21704 \h </w:instrText>
      </w:r>
      <w:r>
        <w:rPr>
          <w:rFonts w:hint="eastAsia" w:hAnsi="宋体" w:cs="宋体"/>
        </w:rPr>
        <w:fldChar w:fldCharType="separate"/>
      </w:r>
      <w:r>
        <w:rPr>
          <w:rFonts w:hint="eastAsia" w:hAnsi="宋体" w:cs="宋体"/>
        </w:rPr>
        <w:t>5</w:t>
      </w:r>
      <w:r>
        <w:rPr>
          <w:rFonts w:hint="eastAsia" w:hAnsi="宋体" w:cs="宋体"/>
        </w:rPr>
        <w:fldChar w:fldCharType="end"/>
      </w:r>
      <w:r>
        <w:rPr>
          <w:rFonts w:hint="eastAsia" w:hAnsi="宋体" w:cs="宋体"/>
        </w:rPr>
        <w:fldChar w:fldCharType="end"/>
      </w:r>
    </w:p>
    <w:p w14:paraId="26C6A948">
      <w:pPr>
        <w:pStyle w:val="28"/>
        <w:tabs>
          <w:tab w:val="right" w:leader="dot" w:pos="9354"/>
          <w:tab w:val="clear" w:pos="9241"/>
        </w:tabs>
        <w:rPr>
          <w:rFonts w:hAnsi="宋体" w:cs="宋体"/>
        </w:rPr>
      </w:pPr>
      <w:r>
        <w:fldChar w:fldCharType="begin"/>
      </w:r>
      <w:r>
        <w:instrText xml:space="preserve"> HYPERLINK \l "_Toc30075" </w:instrText>
      </w:r>
      <w:r>
        <w:fldChar w:fldCharType="separate"/>
      </w:r>
      <w:r>
        <w:rPr>
          <w:rFonts w:hint="eastAsia" w:hAnsi="宋体" w:cs="宋体"/>
        </w:rPr>
        <w:t>12 质量保证和质量控制</w:t>
      </w:r>
      <w:r>
        <w:rPr>
          <w:rFonts w:hint="eastAsia" w:hAnsi="宋体" w:cs="宋体"/>
        </w:rPr>
        <w:tab/>
      </w:r>
      <w:r>
        <w:rPr>
          <w:rFonts w:hint="eastAsia" w:hAnsi="宋体" w:cs="宋体"/>
        </w:rPr>
        <w:fldChar w:fldCharType="begin"/>
      </w:r>
      <w:r>
        <w:rPr>
          <w:rFonts w:hint="eastAsia" w:hAnsi="宋体" w:cs="宋体"/>
        </w:rPr>
        <w:instrText xml:space="preserve"> PAGEREF _Toc30075 \h </w:instrText>
      </w:r>
      <w:r>
        <w:rPr>
          <w:rFonts w:hint="eastAsia" w:hAnsi="宋体" w:cs="宋体"/>
        </w:rPr>
        <w:fldChar w:fldCharType="separate"/>
      </w:r>
      <w:r>
        <w:rPr>
          <w:rFonts w:hint="eastAsia" w:hAnsi="宋体" w:cs="宋体"/>
        </w:rPr>
        <w:t>5</w:t>
      </w:r>
      <w:r>
        <w:rPr>
          <w:rFonts w:hint="eastAsia" w:hAnsi="宋体" w:cs="宋体"/>
        </w:rPr>
        <w:fldChar w:fldCharType="end"/>
      </w:r>
      <w:r>
        <w:rPr>
          <w:rFonts w:hint="eastAsia" w:hAnsi="宋体" w:cs="宋体"/>
        </w:rPr>
        <w:fldChar w:fldCharType="end"/>
      </w:r>
    </w:p>
    <w:p w14:paraId="5FF3AE48">
      <w:pPr>
        <w:pStyle w:val="28"/>
        <w:tabs>
          <w:tab w:val="right" w:leader="dot" w:pos="9354"/>
          <w:tab w:val="clear" w:pos="9241"/>
        </w:tabs>
        <w:rPr>
          <w:rFonts w:hAnsi="宋体" w:cs="宋体"/>
        </w:rPr>
      </w:pPr>
      <w:r>
        <w:fldChar w:fldCharType="begin"/>
      </w:r>
      <w:r>
        <w:instrText xml:space="preserve"> HYPERLINK \l "_Toc25663" </w:instrText>
      </w:r>
      <w:r>
        <w:fldChar w:fldCharType="separate"/>
      </w:r>
      <w:r>
        <w:rPr>
          <w:rFonts w:hint="eastAsia" w:hAnsi="宋体" w:cs="宋体"/>
        </w:rPr>
        <w:t>13 废物处置</w:t>
      </w:r>
      <w:r>
        <w:rPr>
          <w:rFonts w:hint="eastAsia" w:hAnsi="宋体" w:cs="宋体"/>
        </w:rPr>
        <w:tab/>
      </w:r>
      <w:r>
        <w:rPr>
          <w:rFonts w:hint="eastAsia" w:hAnsi="宋体" w:cs="宋体"/>
        </w:rPr>
        <w:fldChar w:fldCharType="begin"/>
      </w:r>
      <w:r>
        <w:rPr>
          <w:rFonts w:hint="eastAsia" w:hAnsi="宋体" w:cs="宋体"/>
        </w:rPr>
        <w:instrText xml:space="preserve"> PAGEREF _Toc25663 \h </w:instrText>
      </w:r>
      <w:r>
        <w:rPr>
          <w:rFonts w:hint="eastAsia" w:hAnsi="宋体" w:cs="宋体"/>
        </w:rPr>
        <w:fldChar w:fldCharType="separate"/>
      </w:r>
      <w:r>
        <w:rPr>
          <w:rFonts w:hint="eastAsia" w:hAnsi="宋体" w:cs="宋体"/>
        </w:rPr>
        <w:t>6</w:t>
      </w:r>
      <w:r>
        <w:rPr>
          <w:rFonts w:hint="eastAsia" w:hAnsi="宋体" w:cs="宋体"/>
        </w:rPr>
        <w:fldChar w:fldCharType="end"/>
      </w:r>
      <w:r>
        <w:rPr>
          <w:rFonts w:hint="eastAsia" w:hAnsi="宋体" w:cs="宋体"/>
        </w:rPr>
        <w:fldChar w:fldCharType="end"/>
      </w:r>
    </w:p>
    <w:p w14:paraId="30BCB5E7">
      <w:pPr>
        <w:pStyle w:val="20"/>
        <w:tabs>
          <w:tab w:val="right" w:leader="dot" w:pos="9354"/>
          <w:tab w:val="clear" w:pos="9241"/>
        </w:tabs>
        <w:spacing w:before="78" w:after="78"/>
        <w:rPr>
          <w:rFonts w:hAnsi="宋体" w:cs="宋体"/>
        </w:rPr>
      </w:pPr>
      <w:r>
        <w:fldChar w:fldCharType="begin"/>
      </w:r>
      <w:r>
        <w:instrText xml:space="preserve"> HYPERLINK \l "_Toc2827" </w:instrText>
      </w:r>
      <w:r>
        <w:fldChar w:fldCharType="separate"/>
      </w:r>
      <w:r>
        <w:rPr>
          <w:rFonts w:hint="eastAsia" w:hAnsi="宋体" w:cs="宋体"/>
        </w:rPr>
        <w:t>附 录 A</w:t>
      </w:r>
      <w:r>
        <w:rPr>
          <w:rFonts w:hint="eastAsia" w:hAnsi="宋体" w:cs="宋体"/>
        </w:rPr>
        <w:tab/>
      </w:r>
      <w:r>
        <w:rPr>
          <w:rFonts w:hint="eastAsia" w:hAnsi="宋体" w:cs="宋体"/>
        </w:rPr>
        <w:fldChar w:fldCharType="begin"/>
      </w:r>
      <w:r>
        <w:rPr>
          <w:rFonts w:hint="eastAsia" w:hAnsi="宋体" w:cs="宋体"/>
        </w:rPr>
        <w:instrText xml:space="preserve"> PAGEREF _Toc2827 \h </w:instrText>
      </w:r>
      <w:r>
        <w:rPr>
          <w:rFonts w:hint="eastAsia" w:hAnsi="宋体" w:cs="宋体"/>
        </w:rPr>
        <w:fldChar w:fldCharType="separate"/>
      </w:r>
      <w:r>
        <w:rPr>
          <w:rFonts w:hint="eastAsia" w:hAnsi="宋体" w:cs="宋体"/>
        </w:rPr>
        <w:t>7</w:t>
      </w:r>
      <w:r>
        <w:rPr>
          <w:rFonts w:hint="eastAsia" w:hAnsi="宋体" w:cs="宋体"/>
        </w:rPr>
        <w:fldChar w:fldCharType="end"/>
      </w:r>
      <w:r>
        <w:rPr>
          <w:rFonts w:hint="eastAsia" w:hAnsi="宋体" w:cs="宋体"/>
        </w:rPr>
        <w:fldChar w:fldCharType="end"/>
      </w:r>
    </w:p>
    <w:p w14:paraId="6AE44F6A">
      <w:pPr>
        <w:pStyle w:val="20"/>
        <w:tabs>
          <w:tab w:val="right" w:leader="dot" w:pos="9354"/>
          <w:tab w:val="clear" w:pos="9241"/>
        </w:tabs>
        <w:spacing w:before="78" w:after="78"/>
        <w:rPr>
          <w:rFonts w:hAnsi="宋体" w:cs="宋体"/>
        </w:rPr>
      </w:pPr>
      <w:r>
        <w:fldChar w:fldCharType="begin"/>
      </w:r>
      <w:r>
        <w:instrText xml:space="preserve"> HYPERLINK \l "_Toc19537" </w:instrText>
      </w:r>
      <w:r>
        <w:fldChar w:fldCharType="separate"/>
      </w:r>
      <w:r>
        <w:rPr>
          <w:rFonts w:hint="eastAsia" w:hAnsi="宋体" w:cs="宋体"/>
        </w:rPr>
        <w:t>附 录 B</w:t>
      </w:r>
      <w:r>
        <w:rPr>
          <w:rFonts w:hint="eastAsia" w:hAnsi="宋体" w:cs="宋体"/>
        </w:rPr>
        <w:tab/>
      </w:r>
      <w:r>
        <w:rPr>
          <w:rFonts w:hint="eastAsia" w:hAnsi="宋体" w:cs="宋体"/>
        </w:rPr>
        <w:fldChar w:fldCharType="begin"/>
      </w:r>
      <w:r>
        <w:rPr>
          <w:rFonts w:hint="eastAsia" w:hAnsi="宋体" w:cs="宋体"/>
        </w:rPr>
        <w:instrText xml:space="preserve"> PAGEREF _Toc19537 \h </w:instrText>
      </w:r>
      <w:r>
        <w:rPr>
          <w:rFonts w:hint="eastAsia" w:hAnsi="宋体" w:cs="宋体"/>
        </w:rPr>
        <w:fldChar w:fldCharType="separate"/>
      </w:r>
      <w:r>
        <w:rPr>
          <w:rFonts w:hint="eastAsia" w:hAnsi="宋体" w:cs="宋体"/>
        </w:rPr>
        <w:t>9</w:t>
      </w:r>
      <w:r>
        <w:rPr>
          <w:rFonts w:hint="eastAsia" w:hAnsi="宋体" w:cs="宋体"/>
        </w:rPr>
        <w:fldChar w:fldCharType="end"/>
      </w:r>
      <w:r>
        <w:rPr>
          <w:rFonts w:hint="eastAsia" w:hAnsi="宋体" w:cs="宋体"/>
        </w:rPr>
        <w:fldChar w:fldCharType="end"/>
      </w:r>
    </w:p>
    <w:p w14:paraId="6F33E6FC">
      <w:pPr>
        <w:pStyle w:val="20"/>
        <w:tabs>
          <w:tab w:val="right" w:leader="dot" w:pos="9354"/>
          <w:tab w:val="clear" w:pos="9241"/>
        </w:tabs>
        <w:spacing w:before="78" w:after="78"/>
      </w:pPr>
      <w:r>
        <w:fldChar w:fldCharType="begin"/>
      </w:r>
      <w:r>
        <w:instrText xml:space="preserve"> HYPERLINK \l "_Toc31407" </w:instrText>
      </w:r>
      <w:r>
        <w:fldChar w:fldCharType="separate"/>
      </w:r>
      <w:r>
        <w:rPr>
          <w:rFonts w:hint="eastAsia" w:hAnsi="宋体" w:cs="宋体"/>
        </w:rPr>
        <w:t>附 录 C</w:t>
      </w:r>
      <w:r>
        <w:rPr>
          <w:rFonts w:hint="eastAsia" w:hAnsi="宋体" w:cs="宋体"/>
        </w:rPr>
        <w:tab/>
      </w:r>
      <w:r>
        <w:rPr>
          <w:rFonts w:hint="eastAsia" w:hAnsi="宋体" w:cs="宋体"/>
        </w:rPr>
        <w:fldChar w:fldCharType="begin"/>
      </w:r>
      <w:r>
        <w:rPr>
          <w:rFonts w:hint="eastAsia" w:hAnsi="宋体" w:cs="宋体"/>
        </w:rPr>
        <w:instrText xml:space="preserve"> PAGEREF _Toc31407 \h </w:instrText>
      </w:r>
      <w:r>
        <w:rPr>
          <w:rFonts w:hint="eastAsia" w:hAnsi="宋体" w:cs="宋体"/>
        </w:rPr>
        <w:fldChar w:fldCharType="separate"/>
      </w:r>
      <w:r>
        <w:rPr>
          <w:rFonts w:hint="eastAsia" w:hAnsi="宋体" w:cs="宋体"/>
        </w:rPr>
        <w:t>10</w:t>
      </w:r>
      <w:r>
        <w:rPr>
          <w:rFonts w:hint="eastAsia" w:hAnsi="宋体" w:cs="宋体"/>
        </w:rPr>
        <w:fldChar w:fldCharType="end"/>
      </w:r>
      <w:r>
        <w:rPr>
          <w:rFonts w:hint="eastAsia" w:hAnsi="宋体" w:cs="宋体"/>
        </w:rPr>
        <w:fldChar w:fldCharType="end"/>
      </w:r>
    </w:p>
    <w:p w14:paraId="19FB5E4F">
      <w:pPr>
        <w:pStyle w:val="46"/>
        <w:spacing w:line="360" w:lineRule="auto"/>
        <w:rPr>
          <w:rFonts w:ascii="Times New Roman"/>
          <w:szCs w:val="21"/>
        </w:rPr>
      </w:pPr>
      <w:r>
        <w:rPr>
          <w:rFonts w:ascii="Times New Roman"/>
          <w:szCs w:val="21"/>
        </w:rPr>
        <w:fldChar w:fldCharType="end"/>
      </w:r>
    </w:p>
    <w:p w14:paraId="3E923606">
      <w:pPr>
        <w:pStyle w:val="46"/>
        <w:spacing w:line="360" w:lineRule="auto"/>
        <w:rPr>
          <w:rFonts w:ascii="Times New Roman"/>
          <w:szCs w:val="21"/>
        </w:rPr>
      </w:pPr>
    </w:p>
    <w:p w14:paraId="6B2548D3">
      <w:pPr>
        <w:pStyle w:val="46"/>
        <w:spacing w:line="360" w:lineRule="auto"/>
        <w:rPr>
          <w:rFonts w:ascii="Times New Roman"/>
          <w:szCs w:val="21"/>
        </w:rPr>
      </w:pPr>
    </w:p>
    <w:p w14:paraId="17194EAC">
      <w:pPr>
        <w:pStyle w:val="46"/>
        <w:spacing w:line="360" w:lineRule="auto"/>
        <w:rPr>
          <w:rFonts w:ascii="Times New Roman"/>
          <w:szCs w:val="21"/>
        </w:rPr>
      </w:pPr>
    </w:p>
    <w:p w14:paraId="62E3DAB6">
      <w:pPr>
        <w:pStyle w:val="46"/>
        <w:spacing w:line="360" w:lineRule="auto"/>
        <w:rPr>
          <w:rFonts w:ascii="Times New Roman"/>
        </w:rPr>
        <w:sectPr>
          <w:headerReference r:id="rId3" w:type="default"/>
          <w:footerReference r:id="rId4" w:type="default"/>
          <w:pgSz w:w="11906" w:h="16838"/>
          <w:pgMar w:top="567" w:right="1134" w:bottom="1134" w:left="1418" w:header="567" w:footer="737" w:gutter="0"/>
          <w:pgNumType w:fmt="upperRoman" w:start="1"/>
          <w:cols w:space="720" w:num="1"/>
          <w:formProt w:val="0"/>
          <w:docGrid w:type="lines" w:linePitch="312" w:charSpace="0"/>
        </w:sectPr>
      </w:pPr>
    </w:p>
    <w:p w14:paraId="5C7C86B4">
      <w:pPr>
        <w:pStyle w:val="135"/>
        <w:rPr>
          <w:rFonts w:ascii="Times New Roman"/>
        </w:rPr>
      </w:pPr>
      <w:bookmarkStart w:id="10" w:name="_Toc87433433"/>
      <w:bookmarkStart w:id="11" w:name="_Toc14607"/>
      <w:bookmarkStart w:id="12" w:name="_Toc16609143"/>
      <w:r>
        <w:rPr>
          <w:rFonts w:ascii="Times New Roman"/>
        </w:rPr>
        <w:t>前</w:t>
      </w:r>
      <w:bookmarkStart w:id="13" w:name="BKQY"/>
      <w:r>
        <w:rPr>
          <w:rFonts w:ascii="Times New Roman"/>
        </w:rPr>
        <w:t>  言</w:t>
      </w:r>
      <w:bookmarkEnd w:id="10"/>
      <w:bookmarkEnd w:id="11"/>
      <w:bookmarkEnd w:id="12"/>
      <w:bookmarkEnd w:id="13"/>
    </w:p>
    <w:p w14:paraId="2122FB22">
      <w:pPr>
        <w:widowControl/>
        <w:ind w:firstLine="420" w:firstLineChars="200"/>
      </w:pPr>
      <w:r>
        <w:rPr>
          <w:rFonts w:hint="eastAsia" w:ascii="宋体" w:hAnsi="宋体" w:cs="宋体"/>
          <w:color w:val="000000"/>
          <w:kern w:val="0"/>
          <w:szCs w:val="21"/>
          <w:lang w:bidi="ar"/>
        </w:rPr>
        <w:t>本文件按照</w:t>
      </w:r>
      <w:r>
        <w:rPr>
          <w:color w:val="000000"/>
          <w:kern w:val="0"/>
          <w:szCs w:val="21"/>
          <w:lang w:bidi="ar"/>
        </w:rPr>
        <w:t>GB/T 1.1</w:t>
      </w:r>
      <w:r>
        <w:rPr>
          <w:rFonts w:hint="eastAsia"/>
          <w:color w:val="000000"/>
          <w:kern w:val="0"/>
          <w:szCs w:val="21"/>
          <w:lang w:bidi="ar"/>
        </w:rPr>
        <w:t>-</w:t>
      </w:r>
      <w:r>
        <w:rPr>
          <w:color w:val="000000"/>
          <w:kern w:val="0"/>
          <w:szCs w:val="21"/>
          <w:lang w:bidi="ar"/>
        </w:rPr>
        <w:t>2020</w:t>
      </w:r>
      <w:r>
        <w:rPr>
          <w:rFonts w:hint="eastAsia" w:ascii="宋体" w:hAnsi="宋体" w:cs="宋体"/>
          <w:color w:val="000000"/>
          <w:kern w:val="0"/>
          <w:szCs w:val="21"/>
          <w:lang w:bidi="ar"/>
        </w:rPr>
        <w:t>《标准化工作导则 第</w:t>
      </w:r>
      <w:r>
        <w:rPr>
          <w:color w:val="000000"/>
          <w:kern w:val="0"/>
          <w:szCs w:val="21"/>
          <w:lang w:bidi="ar"/>
        </w:rPr>
        <w:t>1</w:t>
      </w:r>
      <w:r>
        <w:rPr>
          <w:rFonts w:hint="eastAsia" w:ascii="宋体" w:hAnsi="宋体" w:cs="宋体"/>
          <w:color w:val="000000"/>
          <w:kern w:val="0"/>
          <w:szCs w:val="21"/>
          <w:lang w:bidi="ar"/>
        </w:rPr>
        <w:t>部分：标准化文件的结构和起草规则》的规定起草。</w:t>
      </w:r>
    </w:p>
    <w:p w14:paraId="30B4815C">
      <w:pPr>
        <w:pStyle w:val="46"/>
        <w:rPr>
          <w:rFonts w:ascii="Times New Roman"/>
        </w:rPr>
      </w:pPr>
      <w:r>
        <w:rPr>
          <w:rFonts w:ascii="Times New Roman"/>
        </w:rPr>
        <w:t>本文件的附录A</w:t>
      </w:r>
      <w:r>
        <w:rPr>
          <w:rFonts w:hint="eastAsia" w:ascii="Times New Roman"/>
        </w:rPr>
        <w:t>和附录B</w:t>
      </w:r>
      <w:r>
        <w:rPr>
          <w:rFonts w:ascii="Times New Roman"/>
        </w:rPr>
        <w:t>为资料性附录，附录</w:t>
      </w:r>
      <w:r>
        <w:rPr>
          <w:rFonts w:hint="eastAsia" w:ascii="Times New Roman"/>
        </w:rPr>
        <w:t>C</w:t>
      </w:r>
      <w:r>
        <w:rPr>
          <w:rFonts w:ascii="Times New Roman"/>
        </w:rPr>
        <w:t>为规范性附录。</w:t>
      </w:r>
    </w:p>
    <w:p w14:paraId="25110471">
      <w:pPr>
        <w:widowControl/>
        <w:ind w:firstLine="420" w:firstLineChars="200"/>
      </w:pPr>
      <w:r>
        <w:rPr>
          <w:rFonts w:hint="eastAsia" w:cs="宋体"/>
          <w:color w:val="000000"/>
          <w:kern w:val="0"/>
          <w:szCs w:val="22"/>
        </w:rPr>
        <w:t>本文件由</w:t>
      </w:r>
      <w:r>
        <w:rPr>
          <w:rFonts w:hint="eastAsia"/>
        </w:rPr>
        <w:t>新疆维吾尔自治区生态环境保护产业协会</w:t>
      </w:r>
      <w:r>
        <w:rPr>
          <w:rFonts w:hint="eastAsia" w:cs="宋体"/>
          <w:color w:val="000000"/>
          <w:kern w:val="0"/>
          <w:szCs w:val="22"/>
        </w:rPr>
        <w:t>提出并归口。</w:t>
      </w:r>
    </w:p>
    <w:p w14:paraId="291264C2">
      <w:pPr>
        <w:pStyle w:val="46"/>
        <w:rPr>
          <w:rFonts w:ascii="Times New Roman"/>
        </w:rPr>
      </w:pPr>
      <w:r>
        <w:rPr>
          <w:rFonts w:ascii="Times New Roman"/>
        </w:rPr>
        <w:t>本文件</w:t>
      </w:r>
      <w:r>
        <w:rPr>
          <w:rFonts w:hint="eastAsia" w:ascii="Times New Roman"/>
        </w:rPr>
        <w:t>主编</w:t>
      </w:r>
      <w:r>
        <w:rPr>
          <w:rFonts w:ascii="Times New Roman"/>
        </w:rPr>
        <w:t>单位：生态环境部南京环境科学研究所。</w:t>
      </w:r>
    </w:p>
    <w:p w14:paraId="4A96C3A5">
      <w:pPr>
        <w:pStyle w:val="46"/>
        <w:rPr>
          <w:rFonts w:ascii="Times New Roman"/>
        </w:rPr>
      </w:pPr>
      <w:r>
        <w:rPr>
          <w:rFonts w:ascii="Times New Roman"/>
        </w:rPr>
        <w:t>本文件</w:t>
      </w:r>
      <w:r>
        <w:rPr>
          <w:rFonts w:hint="eastAsia" w:ascii="Times New Roman"/>
        </w:rPr>
        <w:t>参编</w:t>
      </w:r>
      <w:r>
        <w:rPr>
          <w:rFonts w:ascii="Times New Roman"/>
        </w:rPr>
        <w:t>单位：</w:t>
      </w:r>
      <w:r>
        <w:rPr>
          <w:rFonts w:hint="eastAsia" w:ascii="Times New Roman"/>
        </w:rPr>
        <w:t>新疆天熙环保科技有限公司</w:t>
      </w:r>
      <w:r>
        <w:rPr>
          <w:rFonts w:ascii="Times New Roman"/>
        </w:rPr>
        <w:t>。</w:t>
      </w:r>
    </w:p>
    <w:p w14:paraId="7F6EAC2F">
      <w:pPr>
        <w:pStyle w:val="46"/>
        <w:rPr>
          <w:rFonts w:ascii="Times New Roman"/>
        </w:rPr>
      </w:pPr>
      <w:r>
        <w:rPr>
          <w:rFonts w:ascii="Times New Roman"/>
        </w:rPr>
        <w:t>本文件</w:t>
      </w:r>
      <w:r>
        <w:rPr>
          <w:rFonts w:hint="eastAsia" w:ascii="Times New Roman"/>
        </w:rPr>
        <w:t>主要起草人：张圣虎、漆丹、康国栋、王宁、王灵、雷荣荣</w:t>
      </w:r>
      <w:r>
        <w:rPr>
          <w:rFonts w:ascii="Times New Roman"/>
        </w:rPr>
        <w:t>。</w:t>
      </w:r>
    </w:p>
    <w:p w14:paraId="5CCA1C60">
      <w:pPr>
        <w:pStyle w:val="46"/>
        <w:rPr>
          <w:rFonts w:ascii="Times New Roman"/>
        </w:rPr>
        <w:sectPr>
          <w:pgSz w:w="11906" w:h="16838"/>
          <w:pgMar w:top="567" w:right="1134" w:bottom="1134" w:left="1418" w:header="567" w:footer="1134" w:gutter="0"/>
          <w:pgNumType w:fmt="upperRoman"/>
          <w:cols w:space="720" w:num="1"/>
          <w:formProt w:val="0"/>
          <w:docGrid w:type="lines" w:linePitch="312" w:charSpace="0"/>
        </w:sectPr>
      </w:pPr>
    </w:p>
    <w:p w14:paraId="51B33F23">
      <w:pPr>
        <w:spacing w:line="960" w:lineRule="auto"/>
        <w:jc w:val="center"/>
        <w:rPr>
          <w:rFonts w:eastAsia="黑体"/>
          <w:sz w:val="32"/>
          <w:szCs w:val="32"/>
        </w:rPr>
      </w:pPr>
      <w:bookmarkStart w:id="14" w:name="_Toc87433434"/>
      <w:r>
        <w:rPr>
          <w:rFonts w:hint="eastAsia" w:eastAsia="黑体"/>
          <w:sz w:val="32"/>
          <w:szCs w:val="32"/>
        </w:rPr>
        <w:t>水质16种磺胺类抗生素的测定</w:t>
      </w:r>
    </w:p>
    <w:p w14:paraId="651ADA2A">
      <w:pPr>
        <w:spacing w:line="960" w:lineRule="auto"/>
        <w:jc w:val="center"/>
        <w:rPr>
          <w:rFonts w:eastAsia="黑体"/>
          <w:sz w:val="32"/>
          <w:szCs w:val="32"/>
        </w:rPr>
      </w:pPr>
      <w:r>
        <w:rPr>
          <w:rFonts w:hint="eastAsia" w:eastAsia="黑体"/>
          <w:sz w:val="32"/>
          <w:szCs w:val="32"/>
        </w:rPr>
        <w:t xml:space="preserve"> 固相萃取-高效液相色谱-串联质谱法</w:t>
      </w:r>
      <w:bookmarkEnd w:id="14"/>
    </w:p>
    <w:p w14:paraId="372BD80D">
      <w:pPr>
        <w:pStyle w:val="46"/>
        <w:spacing w:line="276" w:lineRule="auto"/>
        <w:ind w:firstLine="440"/>
        <w:rPr>
          <w:rFonts w:ascii="Times New Roman"/>
        </w:rPr>
      </w:pPr>
      <w:r>
        <w:rPr>
          <w:rFonts w:ascii="Times New Roman" w:eastAsia="黑体"/>
          <w:sz w:val="22"/>
          <w:szCs w:val="21"/>
        </w:rPr>
        <w:t>警告：实验中使用的部分溶剂及标准品具有一定的毒性，试剂配制和样品前处理应在通风橱中进行，操作时应按规定要求佩戴防护器具，避免接触皮肤和衣物。</w:t>
      </w:r>
    </w:p>
    <w:p w14:paraId="35243E4A">
      <w:pPr>
        <w:pStyle w:val="81"/>
        <w:rPr>
          <w:rFonts w:ascii="Times New Roman"/>
        </w:rPr>
      </w:pPr>
      <w:bookmarkStart w:id="15" w:name="_Toc30203"/>
      <w:bookmarkStart w:id="16" w:name="_Toc16609145"/>
      <w:bookmarkStart w:id="17" w:name="_Toc87433435"/>
      <w:r>
        <w:rPr>
          <w:rFonts w:ascii="Times New Roman"/>
        </w:rPr>
        <w:t>适用范围</w:t>
      </w:r>
      <w:bookmarkEnd w:id="15"/>
      <w:bookmarkEnd w:id="16"/>
      <w:bookmarkEnd w:id="17"/>
    </w:p>
    <w:p w14:paraId="78D09A56">
      <w:pPr>
        <w:pStyle w:val="46"/>
        <w:spacing w:line="276" w:lineRule="auto"/>
        <w:rPr>
          <w:rFonts w:ascii="Times New Roman"/>
        </w:rPr>
      </w:pPr>
      <w:r>
        <w:rPr>
          <w:rFonts w:ascii="Times New Roman"/>
        </w:rPr>
        <w:t>本文件规定了测定水中16种</w:t>
      </w:r>
      <w:r>
        <w:rPr>
          <w:rFonts w:hint="eastAsia" w:ascii="Times New Roman"/>
        </w:rPr>
        <w:t>磺胺类</w:t>
      </w:r>
      <w:r>
        <w:rPr>
          <w:rFonts w:ascii="Times New Roman"/>
        </w:rPr>
        <w:t>抗生素的固相萃取-高效液相色谱-串联质谱法。</w:t>
      </w:r>
    </w:p>
    <w:p w14:paraId="29D122F8">
      <w:pPr>
        <w:pStyle w:val="46"/>
        <w:spacing w:line="276" w:lineRule="auto"/>
        <w:rPr>
          <w:rFonts w:ascii="Times New Roman"/>
        </w:rPr>
      </w:pPr>
      <w:r>
        <w:rPr>
          <w:rFonts w:ascii="Times New Roman"/>
        </w:rPr>
        <w:t>本文件适用于地表水</w:t>
      </w:r>
      <w:r>
        <w:rPr>
          <w:rFonts w:hint="eastAsia" w:ascii="Times New Roman"/>
        </w:rPr>
        <w:t>和城市污水处理厂废水</w:t>
      </w:r>
      <w:r>
        <w:rPr>
          <w:rFonts w:ascii="Times New Roman"/>
        </w:rPr>
        <w:t>中</w:t>
      </w:r>
      <w:r>
        <w:rPr>
          <w:rFonts w:hint="eastAsia" w:ascii="Times New Roman"/>
          <w:szCs w:val="21"/>
        </w:rPr>
        <w:t>磺胺醋酰</w:t>
      </w:r>
      <w:r>
        <w:rPr>
          <w:rFonts w:ascii="Times New Roman"/>
          <w:szCs w:val="21"/>
        </w:rPr>
        <w:t>、磺胺嘧啶、磺胺噻唑、磺胺吡啶、</w:t>
      </w:r>
      <w:r>
        <w:rPr>
          <w:rFonts w:hint="eastAsia" w:ascii="Times New Roman"/>
          <w:szCs w:val="21"/>
        </w:rPr>
        <w:t>磺胺甲嘧啶、磺胺甲二唑、甲氧苄啶、磺胺二甲嘧啶、磺胺甲氧哒嗪、</w:t>
      </w:r>
      <w:r>
        <w:rPr>
          <w:rFonts w:ascii="Times New Roman"/>
          <w:szCs w:val="21"/>
        </w:rPr>
        <w:t>磺胺甲噁唑、磺胺间甲氧嘧啶、</w:t>
      </w:r>
      <w:r>
        <w:rPr>
          <w:rFonts w:hint="eastAsia" w:ascii="Times New Roman"/>
          <w:szCs w:val="21"/>
        </w:rPr>
        <w:t>磺胺对甲氧嘧啶、磺胺邻二甲嘧啶、磺胺异噁唑、磺胺苯酰、</w:t>
      </w:r>
      <w:r>
        <w:rPr>
          <w:rFonts w:ascii="Times New Roman"/>
          <w:szCs w:val="21"/>
        </w:rPr>
        <w:t>磺胺间二甲氧嘧啶等</w:t>
      </w:r>
      <w:r>
        <w:rPr>
          <w:rFonts w:ascii="Times New Roman"/>
        </w:rPr>
        <w:t>16种</w:t>
      </w:r>
      <w:r>
        <w:rPr>
          <w:rFonts w:hint="eastAsia" w:ascii="Times New Roman"/>
        </w:rPr>
        <w:t>磺胺类</w:t>
      </w:r>
      <w:r>
        <w:rPr>
          <w:rFonts w:ascii="Times New Roman"/>
        </w:rPr>
        <w:t>抗生素类化合物的测定。</w:t>
      </w:r>
    </w:p>
    <w:p w14:paraId="32CD236D">
      <w:pPr>
        <w:pStyle w:val="81"/>
        <w:rPr>
          <w:rFonts w:ascii="Times New Roman"/>
        </w:rPr>
      </w:pPr>
      <w:bookmarkStart w:id="18" w:name="_Toc6314"/>
      <w:bookmarkStart w:id="19" w:name="_Toc16609146"/>
      <w:bookmarkStart w:id="20" w:name="_Toc87433436"/>
      <w:r>
        <w:rPr>
          <w:rFonts w:ascii="Times New Roman"/>
        </w:rPr>
        <w:t>规范性引用文件</w:t>
      </w:r>
      <w:bookmarkEnd w:id="18"/>
      <w:bookmarkEnd w:id="19"/>
      <w:bookmarkEnd w:id="20"/>
    </w:p>
    <w:p w14:paraId="05860220">
      <w:pPr>
        <w:pStyle w:val="46"/>
        <w:spacing w:line="276" w:lineRule="auto"/>
        <w:rPr>
          <w:rFonts w:ascii="Times New Roman"/>
        </w:rPr>
      </w:pPr>
      <w:r>
        <w:rPr>
          <w:rFonts w:ascii="Times New Roman"/>
        </w:rPr>
        <w:t>本文件引用了下列文件或其中的条款。凡是注明日期的引用文件，仅注日期的版本适用于本文件。凡是未注日期的引用文件，其最新版本（包括所有的修改单）适用于本文件。</w:t>
      </w:r>
    </w:p>
    <w:p w14:paraId="69345EC2">
      <w:pPr>
        <w:pStyle w:val="46"/>
        <w:spacing w:line="276" w:lineRule="auto"/>
        <w:rPr>
          <w:rFonts w:ascii="Times New Roman"/>
        </w:rPr>
      </w:pPr>
      <w:r>
        <w:rPr>
          <w:rFonts w:ascii="Times New Roman"/>
        </w:rPr>
        <w:t xml:space="preserve">GB/T 6682 </w:t>
      </w:r>
      <w:r>
        <w:rPr>
          <w:rFonts w:hint="eastAsia" w:ascii="Times New Roman"/>
        </w:rPr>
        <w:t>分析实验室用水规格和试验方法</w:t>
      </w:r>
    </w:p>
    <w:p w14:paraId="0AF71739">
      <w:pPr>
        <w:pStyle w:val="46"/>
        <w:spacing w:line="276" w:lineRule="auto"/>
        <w:rPr>
          <w:rFonts w:ascii="Times New Roman"/>
        </w:rPr>
      </w:pPr>
      <w:r>
        <w:rPr>
          <w:rFonts w:ascii="Times New Roman"/>
        </w:rPr>
        <w:t xml:space="preserve">HJ 91.2-2022 </w:t>
      </w:r>
      <w:r>
        <w:rPr>
          <w:rFonts w:hint="eastAsia" w:ascii="Times New Roman"/>
        </w:rPr>
        <w:t>地表水环境质量监测技术规范</w:t>
      </w:r>
    </w:p>
    <w:p w14:paraId="0ED50A04">
      <w:pPr>
        <w:pStyle w:val="46"/>
        <w:spacing w:line="276" w:lineRule="auto"/>
        <w:rPr>
          <w:rFonts w:ascii="Times New Roman"/>
        </w:rPr>
      </w:pPr>
      <w:r>
        <w:rPr>
          <w:rFonts w:ascii="Times New Roman"/>
        </w:rPr>
        <w:t>HJ 91.1-2019 污水监测技术规范</w:t>
      </w:r>
    </w:p>
    <w:p w14:paraId="5183EFBA">
      <w:pPr>
        <w:pStyle w:val="81"/>
        <w:rPr>
          <w:rFonts w:ascii="Times New Roman"/>
        </w:rPr>
      </w:pPr>
      <w:bookmarkStart w:id="21" w:name="_Toc87433437"/>
      <w:bookmarkStart w:id="22" w:name="_Toc21045"/>
      <w:r>
        <w:rPr>
          <w:rFonts w:ascii="Times New Roman"/>
        </w:rPr>
        <w:t>方法原理</w:t>
      </w:r>
      <w:bookmarkEnd w:id="21"/>
      <w:bookmarkEnd w:id="22"/>
    </w:p>
    <w:p w14:paraId="6723D576">
      <w:pPr>
        <w:pStyle w:val="46"/>
        <w:spacing w:line="276" w:lineRule="auto"/>
        <w:rPr>
          <w:rFonts w:ascii="Times New Roman"/>
        </w:rPr>
      </w:pPr>
      <w:r>
        <w:rPr>
          <w:rFonts w:ascii="Times New Roman"/>
        </w:rPr>
        <w:t>样品过滤后经固相萃取柱富集和净化后进样，用固相萃取-高效液相色谱-串联质谱分离检测</w:t>
      </w:r>
      <w:r>
        <w:rPr>
          <w:rFonts w:hint="eastAsia" w:ascii="Times New Roman"/>
        </w:rPr>
        <w:t>磺胺类</w:t>
      </w:r>
      <w:r>
        <w:rPr>
          <w:rFonts w:ascii="Times New Roman"/>
        </w:rPr>
        <w:t>抗生素。根据保留时间和特征离子定性，内标法定量。</w:t>
      </w:r>
    </w:p>
    <w:p w14:paraId="0315A093">
      <w:pPr>
        <w:pStyle w:val="81"/>
        <w:rPr>
          <w:rFonts w:ascii="Times New Roman"/>
        </w:rPr>
      </w:pPr>
      <w:bookmarkStart w:id="23" w:name="_Toc30462"/>
      <w:r>
        <w:rPr>
          <w:rFonts w:ascii="Times New Roman"/>
        </w:rPr>
        <w:t>干扰和消除</w:t>
      </w:r>
      <w:bookmarkEnd w:id="23"/>
    </w:p>
    <w:p w14:paraId="098C85C4">
      <w:pPr>
        <w:pStyle w:val="63"/>
        <w:rPr>
          <w:rFonts w:ascii="Times New Roman"/>
        </w:rPr>
      </w:pPr>
      <w:r>
        <w:rPr>
          <w:rFonts w:ascii="Times New Roman" w:eastAsia="宋体"/>
        </w:rPr>
        <w:t>当样品中存在基质干扰时，可通过优化色谱条件、稀释样品、减少进样体积以及对样品进行预处理等方式降低或消除。采用固相萃取法时，还可以通过减少取样体积或增加试样的稀释倍数降低基质干扰。</w:t>
      </w:r>
    </w:p>
    <w:p w14:paraId="408C0516">
      <w:pPr>
        <w:pStyle w:val="63"/>
        <w:rPr>
          <w:rFonts w:ascii="Times New Roman" w:eastAsia="宋体"/>
        </w:rPr>
      </w:pPr>
      <w:r>
        <w:rPr>
          <w:rFonts w:ascii="Times New Roman" w:eastAsia="宋体"/>
        </w:rPr>
        <w:t>当样品中存在同分异构体干扰测定时，可通过改变色谱条件提高分离度或选择不同的二级质谱子离子消除干扰。</w:t>
      </w:r>
    </w:p>
    <w:p w14:paraId="5C2ED775">
      <w:pPr>
        <w:pStyle w:val="81"/>
        <w:rPr>
          <w:rFonts w:ascii="Times New Roman"/>
        </w:rPr>
      </w:pPr>
      <w:bookmarkStart w:id="24" w:name="_Toc12762"/>
      <w:bookmarkStart w:id="25" w:name="_Toc87433438"/>
      <w:r>
        <w:rPr>
          <w:rFonts w:ascii="Times New Roman"/>
        </w:rPr>
        <w:t>试剂和材料</w:t>
      </w:r>
      <w:bookmarkEnd w:id="24"/>
      <w:bookmarkEnd w:id="25"/>
    </w:p>
    <w:p w14:paraId="5B9010E7">
      <w:pPr>
        <w:pStyle w:val="46"/>
        <w:rPr>
          <w:rFonts w:ascii="Times New Roman"/>
          <w:szCs w:val="21"/>
        </w:rPr>
      </w:pPr>
      <w:r>
        <w:rPr>
          <w:rFonts w:ascii="Times New Roman"/>
          <w:szCs w:val="21"/>
        </w:rPr>
        <w:t>除非另有说明，分析时均使用符合国家标准的分析纯试剂，实验用水为新制备的不含目标化合物的纯水。</w:t>
      </w:r>
    </w:p>
    <w:p w14:paraId="5E249C6A">
      <w:pPr>
        <w:pStyle w:val="63"/>
        <w:rPr>
          <w:rFonts w:ascii="Times New Roman" w:eastAsia="宋体"/>
        </w:rPr>
      </w:pPr>
      <w:bookmarkStart w:id="26" w:name="_Hlk113613290"/>
      <w:r>
        <w:rPr>
          <w:rFonts w:ascii="Times New Roman" w:eastAsia="宋体"/>
        </w:rPr>
        <w:t>甲醇</w:t>
      </w:r>
      <w:bookmarkStart w:id="27" w:name="OLE_LINK6"/>
      <w:r>
        <w:rPr>
          <w:rFonts w:ascii="Times New Roman" w:eastAsia="宋体"/>
        </w:rPr>
        <w:t>（CH</w:t>
      </w:r>
      <w:r>
        <w:rPr>
          <w:rFonts w:ascii="Times New Roman" w:eastAsia="宋体"/>
          <w:vertAlign w:val="subscript"/>
        </w:rPr>
        <w:t>3</w:t>
      </w:r>
      <w:r>
        <w:rPr>
          <w:rFonts w:ascii="Times New Roman" w:eastAsia="宋体"/>
        </w:rPr>
        <w:t>OH）</w:t>
      </w:r>
      <w:bookmarkEnd w:id="27"/>
      <w:r>
        <w:rPr>
          <w:rFonts w:ascii="Times New Roman" w:eastAsia="宋体"/>
        </w:rPr>
        <w:t>：色谱纯。</w:t>
      </w:r>
    </w:p>
    <w:p w14:paraId="775DCFEA">
      <w:pPr>
        <w:pStyle w:val="63"/>
        <w:rPr>
          <w:rFonts w:ascii="Times New Roman" w:eastAsia="宋体"/>
        </w:rPr>
      </w:pPr>
      <w:r>
        <w:rPr>
          <w:rFonts w:ascii="Times New Roman" w:eastAsia="宋体"/>
        </w:rPr>
        <w:t>乙腈（CH</w:t>
      </w:r>
      <w:r>
        <w:rPr>
          <w:rFonts w:ascii="Times New Roman" w:eastAsia="宋体"/>
          <w:vertAlign w:val="subscript"/>
        </w:rPr>
        <w:t>3</w:t>
      </w:r>
      <w:r>
        <w:rPr>
          <w:rFonts w:ascii="Times New Roman" w:eastAsia="宋体"/>
        </w:rPr>
        <w:t>CN）：色谱纯。</w:t>
      </w:r>
    </w:p>
    <w:p w14:paraId="3B2BD130">
      <w:pPr>
        <w:pStyle w:val="63"/>
        <w:rPr>
          <w:rFonts w:ascii="Times New Roman" w:eastAsia="宋体"/>
        </w:rPr>
      </w:pPr>
      <w:r>
        <w:rPr>
          <w:rFonts w:ascii="Times New Roman" w:eastAsia="宋体"/>
        </w:rPr>
        <w:t>氨水（</w:t>
      </w:r>
      <w:bookmarkStart w:id="28" w:name="OLE_LINK9"/>
      <w:r>
        <w:rPr>
          <w:rFonts w:ascii="Times New Roman" w:eastAsia="宋体"/>
        </w:rPr>
        <w:t>NH</w:t>
      </w:r>
      <w:r>
        <w:rPr>
          <w:rFonts w:ascii="Times New Roman" w:eastAsia="宋体"/>
          <w:vertAlign w:val="subscript"/>
        </w:rPr>
        <w:t>3</w:t>
      </w:r>
      <w:r>
        <w:rPr>
          <w:rFonts w:ascii="Times New Roman" w:eastAsia="宋体"/>
        </w:rPr>
        <w:t>·H</w:t>
      </w:r>
      <w:r>
        <w:rPr>
          <w:rFonts w:ascii="Times New Roman" w:eastAsia="宋体"/>
          <w:vertAlign w:val="subscript"/>
        </w:rPr>
        <w:t>2</w:t>
      </w:r>
      <w:r>
        <w:rPr>
          <w:rFonts w:ascii="Times New Roman" w:eastAsia="宋体"/>
        </w:rPr>
        <w:t>0</w:t>
      </w:r>
      <w:bookmarkEnd w:id="28"/>
      <w:r>
        <w:rPr>
          <w:rFonts w:ascii="Times New Roman" w:eastAsia="宋体"/>
        </w:rPr>
        <w:t>）：色谱纯。</w:t>
      </w:r>
    </w:p>
    <w:p w14:paraId="2F3C2C5F">
      <w:pPr>
        <w:pStyle w:val="63"/>
        <w:rPr>
          <w:rFonts w:ascii="Times New Roman" w:eastAsia="宋体"/>
        </w:rPr>
      </w:pPr>
      <w:r>
        <w:rPr>
          <w:rFonts w:ascii="Times New Roman" w:eastAsia="宋体"/>
        </w:rPr>
        <w:t>甲酸（CH</w:t>
      </w:r>
      <w:r>
        <w:rPr>
          <w:rFonts w:ascii="Times New Roman" w:eastAsia="宋体"/>
          <w:vertAlign w:val="subscript"/>
        </w:rPr>
        <w:t>3</w:t>
      </w:r>
      <w:r>
        <w:rPr>
          <w:rFonts w:ascii="Times New Roman" w:eastAsia="宋体"/>
        </w:rPr>
        <w:t>COOH）：色谱纯。</w:t>
      </w:r>
    </w:p>
    <w:p w14:paraId="1E693E06">
      <w:pPr>
        <w:pStyle w:val="63"/>
        <w:rPr>
          <w:rFonts w:ascii="Times New Roman" w:eastAsia="宋体"/>
        </w:rPr>
      </w:pPr>
      <w:bookmarkStart w:id="29" w:name="OLE_LINK2"/>
      <w:r>
        <w:rPr>
          <w:rFonts w:ascii="Times New Roman" w:eastAsia="宋体"/>
        </w:rPr>
        <w:t>磷酸</w:t>
      </w:r>
      <w:bookmarkEnd w:id="29"/>
      <w:r>
        <w:rPr>
          <w:rFonts w:ascii="Times New Roman" w:eastAsia="宋体"/>
        </w:rPr>
        <w:t>（</w:t>
      </w:r>
      <w:bookmarkStart w:id="30" w:name="OLE_LINK3"/>
      <w:r>
        <w:rPr>
          <w:rFonts w:ascii="Times New Roman" w:eastAsia="宋体"/>
        </w:rPr>
        <w:t>H</w:t>
      </w:r>
      <w:r>
        <w:rPr>
          <w:rFonts w:ascii="Times New Roman" w:eastAsia="宋体"/>
          <w:vertAlign w:val="subscript"/>
        </w:rPr>
        <w:t>3</w:t>
      </w:r>
      <w:r>
        <w:rPr>
          <w:rFonts w:ascii="Times New Roman" w:eastAsia="宋体"/>
        </w:rPr>
        <w:t>PO</w:t>
      </w:r>
      <w:r>
        <w:rPr>
          <w:rFonts w:ascii="Times New Roman" w:eastAsia="宋体"/>
          <w:vertAlign w:val="subscript"/>
        </w:rPr>
        <w:t>4</w:t>
      </w:r>
      <w:bookmarkEnd w:id="30"/>
      <w:r>
        <w:rPr>
          <w:rFonts w:ascii="Times New Roman" w:eastAsia="宋体"/>
        </w:rPr>
        <w:t>）：分析纯。</w:t>
      </w:r>
    </w:p>
    <w:p w14:paraId="714D0794">
      <w:pPr>
        <w:pStyle w:val="63"/>
        <w:rPr>
          <w:rFonts w:ascii="Times New Roman" w:eastAsia="宋体"/>
        </w:rPr>
      </w:pPr>
      <w:r>
        <w:rPr>
          <w:rFonts w:ascii="Times New Roman" w:eastAsia="宋体"/>
        </w:rPr>
        <w:t>EDTA·Na</w:t>
      </w:r>
      <w:r>
        <w:rPr>
          <w:rFonts w:ascii="Times New Roman" w:eastAsia="宋体"/>
          <w:vertAlign w:val="subscript"/>
        </w:rPr>
        <w:t>2</w:t>
      </w:r>
      <w:r>
        <w:rPr>
          <w:rFonts w:ascii="Times New Roman" w:eastAsia="宋体"/>
        </w:rPr>
        <w:t>：分析纯。</w:t>
      </w:r>
    </w:p>
    <w:p w14:paraId="2012225D">
      <w:pPr>
        <w:pStyle w:val="63"/>
        <w:rPr>
          <w:rFonts w:ascii="Times New Roman" w:eastAsia="宋体"/>
        </w:rPr>
      </w:pPr>
      <w:r>
        <w:rPr>
          <w:rFonts w:ascii="Times New Roman" w:eastAsia="宋体"/>
        </w:rPr>
        <w:t>磷酸二氢钠（NaH</w:t>
      </w:r>
      <w:r>
        <w:rPr>
          <w:rFonts w:ascii="Times New Roman" w:eastAsia="宋体"/>
          <w:vertAlign w:val="subscript"/>
        </w:rPr>
        <w:t>2</w:t>
      </w:r>
      <w:r>
        <w:rPr>
          <w:rFonts w:ascii="Times New Roman" w:eastAsia="宋体"/>
        </w:rPr>
        <w:t>PO</w:t>
      </w:r>
      <w:r>
        <w:rPr>
          <w:rFonts w:ascii="Times New Roman" w:eastAsia="宋体"/>
          <w:vertAlign w:val="subscript"/>
        </w:rPr>
        <w:t>4</w:t>
      </w:r>
      <w:r>
        <w:rPr>
          <w:rFonts w:ascii="Times New Roman" w:eastAsia="宋体"/>
        </w:rPr>
        <w:t>）：分析纯。</w:t>
      </w:r>
    </w:p>
    <w:p w14:paraId="43E3E5C6">
      <w:pPr>
        <w:pStyle w:val="63"/>
        <w:rPr>
          <w:rFonts w:ascii="Times New Roman" w:eastAsia="宋体"/>
        </w:rPr>
      </w:pPr>
      <w:r>
        <w:rPr>
          <w:rFonts w:hint="eastAsia" w:ascii="Times New Roman" w:eastAsia="宋体"/>
        </w:rPr>
        <w:t>磺胺类</w:t>
      </w:r>
      <w:r>
        <w:rPr>
          <w:rFonts w:ascii="Times New Roman" w:eastAsia="宋体"/>
        </w:rPr>
        <w:t>抗生素标准品：纯度不低于99.0%。</w:t>
      </w:r>
    </w:p>
    <w:p w14:paraId="4AC1D84C">
      <w:pPr>
        <w:pStyle w:val="63"/>
        <w:rPr>
          <w:rFonts w:ascii="Times New Roman"/>
        </w:rPr>
      </w:pPr>
      <w:r>
        <w:rPr>
          <w:rFonts w:ascii="Times New Roman" w:eastAsia="宋体"/>
        </w:rPr>
        <w:t>磺胺甲噁唑-d</w:t>
      </w:r>
      <w:r>
        <w:rPr>
          <w:rFonts w:ascii="Times New Roman" w:eastAsia="宋体"/>
          <w:vertAlign w:val="subscript"/>
        </w:rPr>
        <w:t>4</w:t>
      </w:r>
      <w:r>
        <w:rPr>
          <w:rFonts w:ascii="Times New Roman" w:eastAsia="宋体"/>
        </w:rPr>
        <w:t>标准品：纯度不低于 99.0%。</w:t>
      </w:r>
    </w:p>
    <w:p w14:paraId="7E8E0829">
      <w:pPr>
        <w:pStyle w:val="63"/>
        <w:rPr>
          <w:rFonts w:ascii="Times New Roman" w:eastAsia="宋体"/>
        </w:rPr>
      </w:pPr>
      <w:bookmarkStart w:id="31" w:name="OLE_LINK4"/>
      <w:r>
        <w:rPr>
          <w:rFonts w:ascii="Times New Roman" w:eastAsia="宋体"/>
        </w:rPr>
        <w:t>磷酸溶液</w:t>
      </w:r>
      <w:bookmarkEnd w:id="31"/>
      <w:r>
        <w:rPr>
          <w:rFonts w:ascii="Times New Roman" w:eastAsia="宋体"/>
        </w:rPr>
        <w:t>：1+9</w:t>
      </w:r>
      <w:r>
        <w:rPr>
          <w:rFonts w:ascii="Times New Roman" w:eastAsia="宋体"/>
          <w:color w:val="000000"/>
          <w:kern w:val="2"/>
        </w:rPr>
        <w:t>。</w:t>
      </w:r>
    </w:p>
    <w:p w14:paraId="7085FE53">
      <w:pPr>
        <w:ind w:firstLine="567" w:firstLineChars="270"/>
        <w:rPr>
          <w:szCs w:val="21"/>
        </w:rPr>
      </w:pPr>
      <w:r>
        <w:rPr>
          <w:szCs w:val="21"/>
        </w:rPr>
        <w:t>用磷酸（5.5）和水按 1:1 的体积比混合。</w:t>
      </w:r>
    </w:p>
    <w:p w14:paraId="10D5CBAE">
      <w:pPr>
        <w:pStyle w:val="63"/>
        <w:rPr>
          <w:rFonts w:ascii="Times New Roman" w:eastAsia="宋体"/>
        </w:rPr>
      </w:pPr>
      <w:bookmarkStart w:id="32" w:name="OLE_LINK7"/>
      <w:r>
        <w:rPr>
          <w:rFonts w:ascii="Times New Roman" w:eastAsia="宋体"/>
        </w:rPr>
        <w:t>EDTA·Na</w:t>
      </w:r>
      <w:r>
        <w:rPr>
          <w:rFonts w:ascii="Times New Roman" w:eastAsia="宋体"/>
          <w:vertAlign w:val="subscript"/>
        </w:rPr>
        <w:t>2</w:t>
      </w:r>
      <w:bookmarkEnd w:id="32"/>
      <w:r>
        <w:rPr>
          <w:rFonts w:ascii="Times New Roman" w:eastAsia="宋体"/>
        </w:rPr>
        <w:t>溶液：</w:t>
      </w:r>
      <w:r>
        <w:rPr>
          <w:rFonts w:ascii="Times New Roman" w:eastAsia="宋体"/>
          <w:i/>
          <w:iCs/>
          <w:color w:val="000000"/>
          <w:kern w:val="2"/>
        </w:rPr>
        <w:t>ρ</w:t>
      </w:r>
      <w:r>
        <w:rPr>
          <w:rFonts w:ascii="Times New Roman" w:eastAsia="宋体"/>
          <w:color w:val="000000"/>
          <w:kern w:val="2"/>
        </w:rPr>
        <w:t xml:space="preserve"> = 100 mg/L。</w:t>
      </w:r>
    </w:p>
    <w:p w14:paraId="21656123">
      <w:pPr>
        <w:ind w:firstLine="567" w:firstLineChars="270"/>
        <w:rPr>
          <w:szCs w:val="21"/>
        </w:rPr>
      </w:pPr>
      <w:r>
        <w:rPr>
          <w:szCs w:val="21"/>
        </w:rPr>
        <w:t>称取 0.05 g EDTA·Na</w:t>
      </w:r>
      <w:r>
        <w:rPr>
          <w:szCs w:val="21"/>
          <w:vertAlign w:val="subscript"/>
        </w:rPr>
        <w:t>2</w:t>
      </w:r>
      <w:r>
        <w:rPr>
          <w:szCs w:val="21"/>
        </w:rPr>
        <w:t>（5.6）溶于少量水中，定容至 500 mL，混匀。</w:t>
      </w:r>
    </w:p>
    <w:p w14:paraId="3E22659F">
      <w:pPr>
        <w:pStyle w:val="63"/>
        <w:rPr>
          <w:rFonts w:ascii="Times New Roman" w:eastAsia="宋体"/>
        </w:rPr>
      </w:pPr>
      <w:r>
        <w:rPr>
          <w:rFonts w:ascii="Times New Roman" w:eastAsia="宋体"/>
        </w:rPr>
        <w:t>磷酸二氢钠溶液：</w:t>
      </w:r>
      <w:bookmarkStart w:id="33" w:name="OLE_LINK14"/>
      <w:r>
        <w:rPr>
          <w:rFonts w:ascii="Times New Roman" w:eastAsia="宋体"/>
          <w:i/>
          <w:iCs/>
          <w:color w:val="000000"/>
          <w:kern w:val="2"/>
        </w:rPr>
        <w:t>ρ</w:t>
      </w:r>
      <w:r>
        <w:rPr>
          <w:rFonts w:ascii="Times New Roman" w:eastAsia="宋体"/>
          <w:color w:val="000000"/>
          <w:kern w:val="2"/>
        </w:rPr>
        <w:t xml:space="preserve"> =</w:t>
      </w:r>
      <w:bookmarkEnd w:id="33"/>
      <w:r>
        <w:rPr>
          <w:rFonts w:ascii="Times New Roman" w:eastAsia="宋体"/>
          <w:color w:val="000000"/>
          <w:kern w:val="2"/>
        </w:rPr>
        <w:t xml:space="preserve"> 100 g/L。</w:t>
      </w:r>
    </w:p>
    <w:p w14:paraId="491F19A1">
      <w:pPr>
        <w:ind w:firstLine="567" w:firstLineChars="270"/>
        <w:rPr>
          <w:szCs w:val="21"/>
        </w:rPr>
      </w:pPr>
      <w:r>
        <w:rPr>
          <w:szCs w:val="21"/>
        </w:rPr>
        <w:t>称取 50 g NaH</w:t>
      </w:r>
      <w:r>
        <w:rPr>
          <w:szCs w:val="21"/>
          <w:vertAlign w:val="subscript"/>
        </w:rPr>
        <w:t>2</w:t>
      </w:r>
      <w:r>
        <w:rPr>
          <w:szCs w:val="21"/>
        </w:rPr>
        <w:t>PO</w:t>
      </w:r>
      <w:r>
        <w:rPr>
          <w:szCs w:val="21"/>
          <w:vertAlign w:val="subscript"/>
        </w:rPr>
        <w:t>4</w:t>
      </w:r>
      <w:r>
        <w:rPr>
          <w:szCs w:val="21"/>
        </w:rPr>
        <w:t>（5.7）溶于少量水中，定容至 500 mL，混匀。</w:t>
      </w:r>
    </w:p>
    <w:p w14:paraId="37174C51">
      <w:pPr>
        <w:pStyle w:val="63"/>
        <w:rPr>
          <w:rFonts w:ascii="Times New Roman" w:eastAsia="宋体"/>
          <w:color w:val="000000"/>
          <w:kern w:val="2"/>
        </w:rPr>
      </w:pPr>
      <w:r>
        <w:rPr>
          <w:rFonts w:ascii="Times New Roman" w:eastAsia="宋体"/>
        </w:rPr>
        <w:t>氨水-甲醇混合溶液：</w:t>
      </w:r>
      <w:r>
        <w:rPr>
          <w:rFonts w:ascii="Times New Roman" w:eastAsia="宋体"/>
          <w:i/>
          <w:iCs/>
          <w:color w:val="000000"/>
          <w:kern w:val="2"/>
        </w:rPr>
        <w:t>φ</w:t>
      </w:r>
      <w:r>
        <w:rPr>
          <w:rFonts w:ascii="Times New Roman" w:eastAsia="宋体"/>
          <w:color w:val="000000"/>
          <w:kern w:val="2"/>
        </w:rPr>
        <w:t>(</w:t>
      </w:r>
      <w:r>
        <w:rPr>
          <w:rFonts w:ascii="Times New Roman" w:eastAsia="宋体"/>
        </w:rPr>
        <w:t>NH</w:t>
      </w:r>
      <w:r>
        <w:rPr>
          <w:rFonts w:ascii="Times New Roman" w:eastAsia="宋体"/>
          <w:vertAlign w:val="subscript"/>
        </w:rPr>
        <w:t>3</w:t>
      </w:r>
      <w:r>
        <w:rPr>
          <w:rFonts w:ascii="Times New Roman" w:eastAsia="宋体"/>
        </w:rPr>
        <w:t>·H</w:t>
      </w:r>
      <w:r>
        <w:rPr>
          <w:rFonts w:ascii="Times New Roman" w:eastAsia="宋体"/>
          <w:vertAlign w:val="subscript"/>
        </w:rPr>
        <w:t>2</w:t>
      </w:r>
      <w:r>
        <w:rPr>
          <w:rFonts w:ascii="Times New Roman" w:eastAsia="宋体"/>
        </w:rPr>
        <w:t>0)</w:t>
      </w:r>
      <w:r>
        <w:rPr>
          <w:rFonts w:ascii="Times New Roman" w:eastAsia="宋体"/>
          <w:color w:val="000000"/>
          <w:kern w:val="2"/>
        </w:rPr>
        <w:t xml:space="preserve"> = 2%。</w:t>
      </w:r>
    </w:p>
    <w:p w14:paraId="4FEA61C6">
      <w:pPr>
        <w:pStyle w:val="46"/>
        <w:ind w:firstLine="630" w:firstLineChars="300"/>
        <w:rPr>
          <w:rFonts w:ascii="Times New Roman"/>
          <w:kern w:val="2"/>
          <w:szCs w:val="21"/>
        </w:rPr>
      </w:pPr>
      <w:r>
        <w:rPr>
          <w:rFonts w:ascii="Times New Roman"/>
          <w:kern w:val="2"/>
          <w:szCs w:val="21"/>
        </w:rPr>
        <w:t>用氨水（5.3）和</w:t>
      </w:r>
      <w:r>
        <w:rPr>
          <w:rFonts w:ascii="Times New Roman"/>
          <w:szCs w:val="21"/>
        </w:rPr>
        <w:t>甲醇</w:t>
      </w:r>
      <w:r>
        <w:rPr>
          <w:rFonts w:ascii="Times New Roman"/>
          <w:kern w:val="2"/>
          <w:szCs w:val="21"/>
        </w:rPr>
        <w:t>（5.1）按 2:98 的体积比混合。</w:t>
      </w:r>
    </w:p>
    <w:p w14:paraId="3F7646A1">
      <w:pPr>
        <w:pStyle w:val="63"/>
        <w:rPr>
          <w:rFonts w:ascii="Times New Roman" w:eastAsia="宋体"/>
          <w:color w:val="000000"/>
          <w:kern w:val="2"/>
        </w:rPr>
      </w:pPr>
      <w:r>
        <w:rPr>
          <w:rFonts w:ascii="Times New Roman" w:eastAsia="宋体"/>
          <w:color w:val="000000"/>
          <w:kern w:val="2"/>
        </w:rPr>
        <w:t>氨水溶液</w:t>
      </w:r>
      <w:r>
        <w:rPr>
          <w:rFonts w:ascii="Times New Roman" w:eastAsia="宋体"/>
        </w:rPr>
        <w:t>：</w:t>
      </w:r>
      <w:r>
        <w:rPr>
          <w:rFonts w:ascii="Times New Roman" w:eastAsia="宋体"/>
          <w:i/>
          <w:iCs/>
          <w:color w:val="000000"/>
          <w:kern w:val="2"/>
        </w:rPr>
        <w:t>φ</w:t>
      </w:r>
      <w:r>
        <w:rPr>
          <w:rFonts w:ascii="Times New Roman" w:eastAsia="宋体"/>
          <w:color w:val="000000"/>
          <w:kern w:val="2"/>
        </w:rPr>
        <w:t>(</w:t>
      </w:r>
      <w:r>
        <w:rPr>
          <w:rFonts w:ascii="Times New Roman" w:eastAsia="宋体"/>
        </w:rPr>
        <w:t>NH</w:t>
      </w:r>
      <w:r>
        <w:rPr>
          <w:rFonts w:ascii="Times New Roman" w:eastAsia="宋体"/>
          <w:vertAlign w:val="subscript"/>
        </w:rPr>
        <w:t>3</w:t>
      </w:r>
      <w:r>
        <w:rPr>
          <w:rFonts w:ascii="Times New Roman" w:eastAsia="宋体"/>
        </w:rPr>
        <w:t>·H</w:t>
      </w:r>
      <w:r>
        <w:rPr>
          <w:rFonts w:ascii="Times New Roman" w:eastAsia="宋体"/>
          <w:vertAlign w:val="subscript"/>
        </w:rPr>
        <w:t>2</w:t>
      </w:r>
      <w:r>
        <w:rPr>
          <w:rFonts w:ascii="Times New Roman" w:eastAsia="宋体"/>
        </w:rPr>
        <w:t>0)</w:t>
      </w:r>
      <w:r>
        <w:rPr>
          <w:rFonts w:ascii="Times New Roman" w:eastAsia="宋体"/>
          <w:color w:val="000000"/>
          <w:kern w:val="2"/>
        </w:rPr>
        <w:t xml:space="preserve"> = 0.2%。</w:t>
      </w:r>
    </w:p>
    <w:p w14:paraId="03880AE0">
      <w:pPr>
        <w:pStyle w:val="46"/>
        <w:ind w:firstLine="630" w:firstLineChars="300"/>
        <w:rPr>
          <w:rFonts w:ascii="Times New Roman"/>
          <w:kern w:val="2"/>
          <w:szCs w:val="21"/>
        </w:rPr>
      </w:pPr>
      <w:r>
        <w:rPr>
          <w:rFonts w:ascii="Times New Roman"/>
          <w:kern w:val="2"/>
          <w:szCs w:val="21"/>
        </w:rPr>
        <w:t>用氨水（5.3）和</w:t>
      </w:r>
      <w:r>
        <w:rPr>
          <w:rFonts w:ascii="Times New Roman"/>
          <w:szCs w:val="21"/>
        </w:rPr>
        <w:t>水</w:t>
      </w:r>
      <w:r>
        <w:rPr>
          <w:rFonts w:ascii="Times New Roman"/>
          <w:kern w:val="2"/>
          <w:szCs w:val="21"/>
        </w:rPr>
        <w:t>按 0.2 : 99.8 的体积比混合。</w:t>
      </w:r>
    </w:p>
    <w:p w14:paraId="4B3E4FD7">
      <w:pPr>
        <w:pStyle w:val="63"/>
        <w:rPr>
          <w:rFonts w:ascii="Times New Roman" w:eastAsia="宋体"/>
          <w:color w:val="000000"/>
          <w:kern w:val="2"/>
        </w:rPr>
      </w:pPr>
      <w:r>
        <w:rPr>
          <w:rFonts w:ascii="Times New Roman" w:eastAsia="宋体"/>
          <w:color w:val="000000"/>
          <w:kern w:val="2"/>
        </w:rPr>
        <w:t>甲酸水溶液</w:t>
      </w:r>
      <w:r>
        <w:rPr>
          <w:rFonts w:ascii="Times New Roman" w:eastAsia="宋体"/>
        </w:rPr>
        <w:t>：</w:t>
      </w:r>
      <w:r>
        <w:rPr>
          <w:rFonts w:ascii="Times New Roman" w:eastAsia="宋体"/>
          <w:i/>
          <w:iCs/>
          <w:color w:val="000000"/>
          <w:kern w:val="2"/>
        </w:rPr>
        <w:t>φ</w:t>
      </w:r>
      <w:r>
        <w:rPr>
          <w:rFonts w:ascii="Times New Roman" w:eastAsia="宋体"/>
          <w:color w:val="000000"/>
          <w:kern w:val="2"/>
        </w:rPr>
        <w:t>(</w:t>
      </w:r>
      <w:r>
        <w:rPr>
          <w:rFonts w:ascii="Times New Roman" w:eastAsia="宋体"/>
        </w:rPr>
        <w:t>CH</w:t>
      </w:r>
      <w:r>
        <w:rPr>
          <w:rFonts w:ascii="Times New Roman" w:eastAsia="宋体"/>
          <w:vertAlign w:val="subscript"/>
        </w:rPr>
        <w:t>3</w:t>
      </w:r>
      <w:r>
        <w:rPr>
          <w:rFonts w:ascii="Times New Roman" w:eastAsia="宋体"/>
        </w:rPr>
        <w:t>COOH)</w:t>
      </w:r>
      <w:r>
        <w:rPr>
          <w:rFonts w:ascii="Times New Roman" w:eastAsia="宋体"/>
          <w:color w:val="000000"/>
          <w:kern w:val="2"/>
        </w:rPr>
        <w:t xml:space="preserve"> = 0.2%。</w:t>
      </w:r>
    </w:p>
    <w:p w14:paraId="7A313CC1">
      <w:pPr>
        <w:ind w:firstLine="567" w:firstLineChars="270"/>
        <w:rPr>
          <w:kern w:val="0"/>
        </w:rPr>
      </w:pPr>
      <w:r>
        <w:t>用甲酸（5.4）和水按 0.2 : 99.8 的体积比混合。</w:t>
      </w:r>
    </w:p>
    <w:p w14:paraId="152D5F11">
      <w:pPr>
        <w:pStyle w:val="63"/>
        <w:rPr>
          <w:rFonts w:ascii="Times New Roman" w:eastAsia="宋体"/>
        </w:rPr>
      </w:pPr>
      <w:r>
        <w:rPr>
          <w:rFonts w:ascii="Times New Roman" w:eastAsia="宋体"/>
        </w:rPr>
        <w:t>抗生素标准</w:t>
      </w:r>
      <w:r>
        <w:rPr>
          <w:rFonts w:hint="eastAsia" w:ascii="Times New Roman" w:eastAsia="宋体"/>
        </w:rPr>
        <w:t>贮</w:t>
      </w:r>
      <w:r>
        <w:rPr>
          <w:rFonts w:ascii="Times New Roman" w:eastAsia="宋体"/>
        </w:rPr>
        <w:t>备液：</w:t>
      </w:r>
      <w:r>
        <w:rPr>
          <w:rFonts w:ascii="Times New Roman" w:eastAsia="宋体"/>
          <w:i/>
          <w:iCs/>
          <w:color w:val="000000"/>
          <w:kern w:val="2"/>
        </w:rPr>
        <w:t>ρ</w:t>
      </w:r>
      <w:r>
        <w:rPr>
          <w:rFonts w:ascii="Times New Roman" w:eastAsia="宋体"/>
          <w:color w:val="000000"/>
          <w:kern w:val="2"/>
        </w:rPr>
        <w:t xml:space="preserve"> =</w:t>
      </w:r>
      <w:r>
        <w:rPr>
          <w:rFonts w:hint="eastAsia" w:ascii="Times New Roman" w:eastAsia="宋体"/>
        </w:rPr>
        <w:t>100</w:t>
      </w:r>
      <w:r>
        <w:rPr>
          <w:rFonts w:ascii="Times New Roman" w:eastAsia="宋体"/>
        </w:rPr>
        <w:t>0 mg/L。</w:t>
      </w:r>
    </w:p>
    <w:p w14:paraId="2D839CB8">
      <w:pPr>
        <w:pStyle w:val="46"/>
        <w:ind w:firstLine="567" w:firstLineChars="270"/>
        <w:rPr>
          <w:rFonts w:ascii="Times New Roman"/>
          <w:kern w:val="2"/>
          <w:szCs w:val="21"/>
        </w:rPr>
      </w:pPr>
      <w:r>
        <w:rPr>
          <w:rFonts w:hint="eastAsia" w:ascii="Times New Roman"/>
          <w:kern w:val="2"/>
          <w:szCs w:val="21"/>
        </w:rPr>
        <w:t>磺胺类</w:t>
      </w:r>
      <w:r>
        <w:rPr>
          <w:rFonts w:ascii="Times New Roman"/>
          <w:kern w:val="2"/>
          <w:szCs w:val="21"/>
        </w:rPr>
        <w:t>抗生素标准品（5.8）用甲醇（5.1）配制成浓度为1000 mg/L的</w:t>
      </w:r>
      <w:r>
        <w:rPr>
          <w:rFonts w:hint="eastAsia" w:ascii="Times New Roman"/>
          <w:kern w:val="2"/>
          <w:szCs w:val="21"/>
        </w:rPr>
        <w:t>磺胺类</w:t>
      </w:r>
      <w:r>
        <w:rPr>
          <w:rFonts w:ascii="Times New Roman"/>
          <w:kern w:val="2"/>
          <w:szCs w:val="21"/>
        </w:rPr>
        <w:t>抗生素标准</w:t>
      </w:r>
      <w:r>
        <w:rPr>
          <w:rFonts w:hint="eastAsia" w:ascii="Times New Roman"/>
        </w:rPr>
        <w:t>贮</w:t>
      </w:r>
      <w:r>
        <w:rPr>
          <w:rFonts w:ascii="Times New Roman"/>
          <w:kern w:val="2"/>
          <w:szCs w:val="21"/>
        </w:rPr>
        <w:t>备液，保存于棕色样品瓶中，密封，-1</w:t>
      </w:r>
      <w:r>
        <w:rPr>
          <w:rFonts w:hint="eastAsia" w:ascii="Times New Roman"/>
          <w:kern w:val="2"/>
          <w:szCs w:val="21"/>
        </w:rPr>
        <w:t>0</w:t>
      </w:r>
      <w:r>
        <w:rPr>
          <w:rFonts w:ascii="Times New Roman"/>
          <w:kern w:val="2"/>
          <w:szCs w:val="21"/>
        </w:rPr>
        <w:t>℃以下冷冻避光保存。</w:t>
      </w:r>
      <w:r>
        <w:rPr>
          <w:rFonts w:hint="eastAsia" w:ascii="Times New Roman"/>
          <w:kern w:val="2"/>
          <w:szCs w:val="21"/>
        </w:rPr>
        <w:t>或参照制造商的产品说明保存，使用时应恢复至室温并摇匀</w:t>
      </w:r>
      <w:r>
        <w:rPr>
          <w:rFonts w:ascii="Times New Roman"/>
          <w:kern w:val="2"/>
          <w:szCs w:val="21"/>
        </w:rPr>
        <w:t>。</w:t>
      </w:r>
    </w:p>
    <w:p w14:paraId="21790EDB">
      <w:pPr>
        <w:pStyle w:val="63"/>
        <w:rPr>
          <w:rFonts w:ascii="Times New Roman" w:eastAsia="宋体"/>
        </w:rPr>
      </w:pPr>
      <w:r>
        <w:rPr>
          <w:rFonts w:hint="eastAsia" w:ascii="Times New Roman" w:eastAsia="宋体"/>
        </w:rPr>
        <w:t>抗生素标准使用液：</w:t>
      </w:r>
      <w:r>
        <w:rPr>
          <w:rFonts w:ascii="Times New Roman" w:eastAsia="宋体"/>
          <w:i/>
          <w:iCs/>
          <w:color w:val="000000"/>
          <w:kern w:val="2"/>
        </w:rPr>
        <w:t>ρ</w:t>
      </w:r>
      <w:r>
        <w:rPr>
          <w:rFonts w:ascii="Times New Roman" w:eastAsia="宋体"/>
          <w:color w:val="000000"/>
          <w:kern w:val="2"/>
        </w:rPr>
        <w:t xml:space="preserve"> =</w:t>
      </w:r>
      <w:r>
        <w:rPr>
          <w:rFonts w:ascii="Times New Roman" w:eastAsia="宋体"/>
        </w:rPr>
        <w:t>20 mg/L</w:t>
      </w:r>
    </w:p>
    <w:p w14:paraId="0A98F28E">
      <w:pPr>
        <w:pStyle w:val="46"/>
      </w:pPr>
      <w:r>
        <w:rPr>
          <w:rFonts w:hint="eastAsia" w:ascii="Times New Roman"/>
          <w:kern w:val="2"/>
          <w:szCs w:val="21"/>
        </w:rPr>
        <w:t>将抗生素标准贮备液（</w:t>
      </w:r>
      <w:r>
        <w:rPr>
          <w:rFonts w:ascii="Times New Roman"/>
          <w:kern w:val="2"/>
          <w:szCs w:val="21"/>
        </w:rPr>
        <w:t>5.1</w:t>
      </w:r>
      <w:r>
        <w:rPr>
          <w:rFonts w:hint="eastAsia" w:ascii="Times New Roman"/>
          <w:kern w:val="2"/>
          <w:szCs w:val="21"/>
        </w:rPr>
        <w:t>6）按需要用甲醇稀释。标准使用液于</w:t>
      </w:r>
      <w:r>
        <w:rPr>
          <w:rFonts w:ascii="Times New Roman"/>
          <w:kern w:val="2"/>
          <w:szCs w:val="21"/>
        </w:rPr>
        <w:t>4℃</w:t>
      </w:r>
      <w:r>
        <w:rPr>
          <w:rFonts w:hint="eastAsia" w:ascii="Times New Roman"/>
          <w:kern w:val="2"/>
          <w:szCs w:val="21"/>
        </w:rPr>
        <w:t>避光保存。使用时应恢复至室温，并摇匀。存放期限</w:t>
      </w:r>
      <w:r>
        <w:rPr>
          <w:rFonts w:ascii="Times New Roman"/>
          <w:kern w:val="2"/>
          <w:szCs w:val="21"/>
        </w:rPr>
        <w:t>30</w:t>
      </w:r>
      <w:r>
        <w:rPr>
          <w:rFonts w:hint="eastAsia" w:ascii="Times New Roman"/>
          <w:kern w:val="2"/>
          <w:szCs w:val="21"/>
        </w:rPr>
        <w:t>天。</w:t>
      </w:r>
    </w:p>
    <w:p w14:paraId="41F64AD1">
      <w:pPr>
        <w:pStyle w:val="63"/>
        <w:rPr>
          <w:rFonts w:ascii="Times New Roman" w:eastAsia="宋体"/>
          <w:color w:val="000000"/>
          <w:kern w:val="2"/>
        </w:rPr>
      </w:pPr>
      <w:r>
        <w:rPr>
          <w:rFonts w:ascii="Times New Roman" w:eastAsia="宋体"/>
          <w:color w:val="000000"/>
          <w:kern w:val="2"/>
        </w:rPr>
        <w:t>内标贮备液： ρ = 100 mg/L。</w:t>
      </w:r>
    </w:p>
    <w:p w14:paraId="27727378">
      <w:pPr>
        <w:pStyle w:val="46"/>
        <w:ind w:firstLine="567" w:firstLineChars="270"/>
        <w:rPr>
          <w:rFonts w:ascii="Times New Roman"/>
          <w:kern w:val="2"/>
          <w:szCs w:val="21"/>
        </w:rPr>
      </w:pPr>
      <w:r>
        <w:rPr>
          <w:rFonts w:ascii="Times New Roman"/>
          <w:szCs w:val="21"/>
        </w:rPr>
        <w:tab/>
      </w:r>
      <w:r>
        <w:rPr>
          <w:rFonts w:ascii="Times New Roman"/>
          <w:kern w:val="2"/>
          <w:szCs w:val="21"/>
        </w:rPr>
        <w:t>称取 10.0 mg磺胺甲噁唑-d</w:t>
      </w:r>
      <w:r>
        <w:rPr>
          <w:rFonts w:ascii="Times New Roman"/>
          <w:kern w:val="2"/>
          <w:szCs w:val="21"/>
          <w:vertAlign w:val="subscript"/>
        </w:rPr>
        <w:t>4</w:t>
      </w:r>
      <w:r>
        <w:rPr>
          <w:rFonts w:ascii="Times New Roman"/>
          <w:kern w:val="2"/>
          <w:szCs w:val="21"/>
        </w:rPr>
        <w:t>标准品（5.9），用甲醇（5.1）溶解，转移至 100 ml 容量瓶中，用甲醇（5.1）定容至标线，混匀。分装于棕色样品瓶中，密封，−1</w:t>
      </w:r>
      <w:r>
        <w:rPr>
          <w:rFonts w:hint="eastAsia" w:ascii="Times New Roman"/>
          <w:kern w:val="2"/>
          <w:szCs w:val="21"/>
        </w:rPr>
        <w:t>0</w:t>
      </w:r>
      <w:r>
        <w:rPr>
          <w:rFonts w:ascii="Times New Roman"/>
          <w:kern w:val="2"/>
          <w:szCs w:val="21"/>
        </w:rPr>
        <w:t>℃以下冷冻避光保存</w:t>
      </w:r>
      <w:r>
        <w:rPr>
          <w:rFonts w:hint="eastAsia" w:ascii="Times New Roman"/>
          <w:kern w:val="2"/>
          <w:szCs w:val="21"/>
        </w:rPr>
        <w:t>或参照制造商的产品说明保存</w:t>
      </w:r>
      <w:r>
        <w:rPr>
          <w:rFonts w:ascii="Times New Roman"/>
          <w:kern w:val="2"/>
          <w:szCs w:val="21"/>
        </w:rPr>
        <w:t>。也可直接购买有证标准溶液，按标准溶液证书要求保存。</w:t>
      </w:r>
      <w:r>
        <w:rPr>
          <w:rFonts w:hint="eastAsia" w:ascii="Times New Roman"/>
          <w:kern w:val="2"/>
          <w:szCs w:val="21"/>
        </w:rPr>
        <w:t>使用时应恢复至室温，并摇匀。</w:t>
      </w:r>
    </w:p>
    <w:p w14:paraId="43C3F909">
      <w:pPr>
        <w:pStyle w:val="63"/>
        <w:rPr>
          <w:rFonts w:ascii="Times New Roman" w:eastAsia="宋体"/>
          <w:color w:val="000000"/>
          <w:kern w:val="2"/>
        </w:rPr>
      </w:pPr>
      <w:r>
        <w:rPr>
          <w:rFonts w:ascii="Times New Roman" w:eastAsia="宋体"/>
          <w:color w:val="000000"/>
          <w:kern w:val="2"/>
        </w:rPr>
        <w:t>内标使用液： ρ = 0.50 mg/L。</w:t>
      </w:r>
    </w:p>
    <w:p w14:paraId="00703EB6">
      <w:pPr>
        <w:pStyle w:val="46"/>
        <w:ind w:firstLine="630" w:firstLineChars="300"/>
        <w:rPr>
          <w:rFonts w:ascii="Times New Roman"/>
          <w:kern w:val="2"/>
          <w:szCs w:val="21"/>
        </w:rPr>
      </w:pPr>
      <w:r>
        <w:rPr>
          <w:rFonts w:ascii="Times New Roman"/>
          <w:kern w:val="2"/>
          <w:szCs w:val="21"/>
        </w:rPr>
        <w:t>移取适量内标贮备液（5.1</w:t>
      </w:r>
      <w:r>
        <w:rPr>
          <w:rFonts w:hint="eastAsia" w:ascii="Times New Roman"/>
          <w:kern w:val="2"/>
          <w:szCs w:val="21"/>
        </w:rPr>
        <w:t>8</w:t>
      </w:r>
      <w:r>
        <w:rPr>
          <w:rFonts w:ascii="Times New Roman"/>
          <w:kern w:val="2"/>
          <w:szCs w:val="21"/>
        </w:rPr>
        <w:t>），用甲醇溶液（</w:t>
      </w:r>
      <w:r>
        <w:rPr>
          <w:rFonts w:ascii="Times New Roman"/>
          <w:szCs w:val="21"/>
        </w:rPr>
        <w:t>5.1</w:t>
      </w:r>
      <w:r>
        <w:rPr>
          <w:rFonts w:ascii="Times New Roman"/>
          <w:kern w:val="2"/>
          <w:szCs w:val="21"/>
        </w:rPr>
        <w:t>）稀释， 4℃以下冷藏避光保存</w:t>
      </w:r>
      <w:r>
        <w:rPr>
          <w:rFonts w:hint="eastAsia" w:ascii="Times New Roman"/>
          <w:kern w:val="2"/>
          <w:szCs w:val="21"/>
        </w:rPr>
        <w:t>或参照制造商的产品说明保存</w:t>
      </w:r>
      <w:r>
        <w:rPr>
          <w:rFonts w:ascii="Times New Roman"/>
          <w:kern w:val="2"/>
          <w:szCs w:val="21"/>
        </w:rPr>
        <w:t>。也可直接购买有证标准溶液，按标准溶液证书要求保存。</w:t>
      </w:r>
      <w:r>
        <w:rPr>
          <w:rFonts w:hint="eastAsia" w:ascii="Times New Roman"/>
          <w:kern w:val="2"/>
          <w:szCs w:val="21"/>
        </w:rPr>
        <w:t>使用时应恢复至室温，并摇匀</w:t>
      </w:r>
      <w:r>
        <w:rPr>
          <w:rFonts w:ascii="Times New Roman"/>
          <w:kern w:val="2"/>
          <w:szCs w:val="21"/>
        </w:rPr>
        <w:t>。</w:t>
      </w:r>
    </w:p>
    <w:p w14:paraId="1DCA490F">
      <w:pPr>
        <w:pStyle w:val="63"/>
        <w:rPr>
          <w:rFonts w:ascii="Times New Roman" w:eastAsia="宋体"/>
        </w:rPr>
      </w:pPr>
      <w:r>
        <w:rPr>
          <w:rFonts w:ascii="Times New Roman" w:eastAsia="宋体"/>
        </w:rPr>
        <w:t>固相萃取柱：填料为二乙烯苯和 N-乙烯基吡咯烷酮共聚物，或同等柱效的萃取柱，规格为 500 mg/6 mL。</w:t>
      </w:r>
    </w:p>
    <w:p w14:paraId="6E76372B">
      <w:pPr>
        <w:pStyle w:val="63"/>
        <w:rPr>
          <w:rFonts w:ascii="Times New Roman" w:eastAsia="宋体"/>
        </w:rPr>
      </w:pPr>
      <w:r>
        <w:rPr>
          <w:rFonts w:ascii="Times New Roman" w:eastAsia="宋体"/>
        </w:rPr>
        <w:t>滤膜：0.45 μm玻璃纤维滤膜。</w:t>
      </w:r>
    </w:p>
    <w:p w14:paraId="68464677">
      <w:pPr>
        <w:pStyle w:val="63"/>
        <w:rPr>
          <w:rFonts w:ascii="Times New Roman" w:eastAsia="宋体"/>
        </w:rPr>
      </w:pPr>
      <w:r>
        <w:rPr>
          <w:rFonts w:ascii="Times New Roman" w:eastAsia="宋体"/>
        </w:rPr>
        <w:t>针头滤膜：0.22 μm针头滤膜。</w:t>
      </w:r>
    </w:p>
    <w:bookmarkEnd w:id="26"/>
    <w:p w14:paraId="74CC633F">
      <w:pPr>
        <w:pStyle w:val="81"/>
        <w:rPr>
          <w:rFonts w:ascii="Times New Roman"/>
          <w:szCs w:val="21"/>
        </w:rPr>
      </w:pPr>
      <w:bookmarkStart w:id="34" w:name="_Toc87433439"/>
      <w:bookmarkStart w:id="35" w:name="_Toc27986"/>
      <w:bookmarkStart w:id="36" w:name="_Hlk113613322"/>
      <w:r>
        <w:rPr>
          <w:rFonts w:ascii="Times New Roman"/>
          <w:szCs w:val="21"/>
        </w:rPr>
        <w:t>仪器和设备</w:t>
      </w:r>
      <w:bookmarkEnd w:id="34"/>
      <w:bookmarkEnd w:id="35"/>
    </w:p>
    <w:p w14:paraId="66067060">
      <w:pPr>
        <w:pStyle w:val="63"/>
        <w:rPr>
          <w:rFonts w:ascii="Times New Roman" w:eastAsia="宋体"/>
        </w:rPr>
      </w:pPr>
      <w:r>
        <w:rPr>
          <w:rFonts w:ascii="Times New Roman" w:eastAsia="宋体"/>
        </w:rPr>
        <w:t>高效液相色谱/串联质谱仪：配有电喷雾离子化源（ESI）。</w:t>
      </w:r>
    </w:p>
    <w:p w14:paraId="1F19943E">
      <w:pPr>
        <w:pStyle w:val="63"/>
        <w:rPr>
          <w:rFonts w:ascii="Times New Roman" w:eastAsia="宋体"/>
        </w:rPr>
      </w:pPr>
      <w:r>
        <w:rPr>
          <w:rFonts w:ascii="Times New Roman" w:eastAsia="宋体"/>
        </w:rPr>
        <w:t>色谱柱：填料粒径为3.5μm，柱长150 mm，内径 2.1 mm 的C18色谱柱，或其他性能相近的色谱柱。</w:t>
      </w:r>
    </w:p>
    <w:p w14:paraId="3B7CF8ED">
      <w:pPr>
        <w:pStyle w:val="63"/>
        <w:rPr>
          <w:rFonts w:ascii="Times New Roman" w:eastAsia="宋体"/>
        </w:rPr>
      </w:pPr>
      <w:r>
        <w:rPr>
          <w:rFonts w:ascii="Times New Roman" w:eastAsia="宋体"/>
        </w:rPr>
        <w:t>浓缩装置：氮吹浓缩仪、旋转蒸发仪或其他同等性能的设备。</w:t>
      </w:r>
    </w:p>
    <w:p w14:paraId="66C47D29">
      <w:pPr>
        <w:pStyle w:val="63"/>
        <w:rPr>
          <w:rFonts w:ascii="Times New Roman" w:eastAsia="宋体"/>
        </w:rPr>
      </w:pPr>
      <w:r>
        <w:rPr>
          <w:rFonts w:ascii="Times New Roman" w:eastAsia="宋体"/>
        </w:rPr>
        <w:t>棕色采样瓶： 500 mL 带聚四氟乙烯衬垫的螺旋盖玻璃瓶或具塞磨口瓶</w:t>
      </w:r>
    </w:p>
    <w:p w14:paraId="2A8709DA">
      <w:pPr>
        <w:pStyle w:val="63"/>
        <w:rPr>
          <w:rFonts w:ascii="Times New Roman" w:eastAsia="宋体"/>
        </w:rPr>
      </w:pPr>
      <w:r>
        <w:rPr>
          <w:rFonts w:ascii="Times New Roman" w:eastAsia="宋体"/>
        </w:rPr>
        <w:t>棕色样品瓶： 2.0 mL 带聚四氟乙烯衬垫的螺旋盖玻璃瓶。</w:t>
      </w:r>
    </w:p>
    <w:p w14:paraId="704ECD36">
      <w:pPr>
        <w:pStyle w:val="63"/>
        <w:rPr>
          <w:rFonts w:ascii="Times New Roman" w:eastAsia="宋体"/>
        </w:rPr>
      </w:pPr>
      <w:r>
        <w:rPr>
          <w:rFonts w:ascii="Times New Roman" w:eastAsia="宋体"/>
        </w:rPr>
        <w:t>微量注射器： 10 μl、 50 μl、 100 μl、 250 μl、 1.0 ml。</w:t>
      </w:r>
    </w:p>
    <w:p w14:paraId="2A5A0A5A">
      <w:pPr>
        <w:pStyle w:val="63"/>
        <w:rPr>
          <w:rFonts w:ascii="Times New Roman" w:eastAsia="宋体"/>
        </w:rPr>
      </w:pPr>
      <w:r>
        <w:rPr>
          <w:rFonts w:ascii="Times New Roman" w:eastAsia="宋体"/>
        </w:rPr>
        <w:t>一般实验室常用仪器和设备。</w:t>
      </w:r>
    </w:p>
    <w:bookmarkEnd w:id="36"/>
    <w:p w14:paraId="78160DFD">
      <w:pPr>
        <w:pStyle w:val="81"/>
        <w:rPr>
          <w:rFonts w:ascii="Times New Roman"/>
        </w:rPr>
      </w:pPr>
      <w:bookmarkStart w:id="37" w:name="_Toc87433440"/>
      <w:bookmarkStart w:id="38" w:name="_Toc32688"/>
      <w:r>
        <w:rPr>
          <w:rFonts w:ascii="Times New Roman"/>
        </w:rPr>
        <w:t>样品</w:t>
      </w:r>
      <w:bookmarkEnd w:id="37"/>
      <w:bookmarkEnd w:id="38"/>
    </w:p>
    <w:p w14:paraId="06B35DB9">
      <w:pPr>
        <w:pStyle w:val="145"/>
        <w:rPr>
          <w:rFonts w:ascii="Times New Roman"/>
        </w:rPr>
      </w:pPr>
      <w:r>
        <w:rPr>
          <w:rFonts w:ascii="Times New Roman"/>
        </w:rPr>
        <w:t>样品采集和保存</w:t>
      </w:r>
    </w:p>
    <w:p w14:paraId="01D87E2B">
      <w:pPr>
        <w:ind w:firstLine="420" w:firstLineChars="200"/>
      </w:pPr>
      <w:r>
        <w:t>按照 HJ/T 91</w:t>
      </w:r>
      <w:r>
        <w:rPr>
          <w:rFonts w:hint="eastAsia"/>
        </w:rPr>
        <w:t>和</w:t>
      </w:r>
      <w:r>
        <w:t>HJ 91.1 的相关要求进行样品的采集。</w:t>
      </w:r>
    </w:p>
    <w:p w14:paraId="363CB33D">
      <w:pPr>
        <w:ind w:firstLine="420"/>
      </w:pPr>
      <w:r>
        <w:t>用棕色采样瓶（6.4）采集样品，样品满瓶采集。样品采集后应于4 ℃冷藏、避光运输，及时分析。若不能及时分析，应置于4 ℃冷藏避光保存，保存期为3 d。</w:t>
      </w:r>
    </w:p>
    <w:p w14:paraId="4D5A8652">
      <w:pPr>
        <w:pStyle w:val="145"/>
        <w:rPr>
          <w:rFonts w:ascii="Times New Roman"/>
        </w:rPr>
      </w:pPr>
      <w:r>
        <w:rPr>
          <w:rFonts w:ascii="Times New Roman"/>
        </w:rPr>
        <w:t>试样的制备</w:t>
      </w:r>
    </w:p>
    <w:p w14:paraId="451C6C42">
      <w:pPr>
        <w:ind w:firstLine="420"/>
      </w:pPr>
      <w:r>
        <w:t>取</w:t>
      </w:r>
      <w:r>
        <w:rPr>
          <w:rFonts w:hint="eastAsia"/>
        </w:rPr>
        <w:t>0.5-</w:t>
      </w:r>
      <w:r>
        <w:t>1.0 L待测水样，经滤膜过滤（5.20）后，加入 10.0 μl 内标使用液（5.18），添加5 mL EDTA·Na</w:t>
      </w:r>
      <w:r>
        <w:rPr>
          <w:vertAlign w:val="subscript"/>
        </w:rPr>
        <w:t>2</w:t>
      </w:r>
      <w:r>
        <w:t>溶液（5.11），再用磷酸溶液（5.10）调节待测水样pH值至3.0左右，最后以4 mL/min的流速通过固相萃取小柱（5.19）进行固相萃取。在固相萃取之前，依次用6 mL甲醇、3 mL超纯水、6 mL磷酸二氢钠溶液（5.12）活化固相小柱；固相萃取完成后，用6 mL超纯水淋洗，之后弃去淋洗液，将小柱置于负压下真空抽30.0 min以上，使其干燥。依次使用6 mL甲醇、6 mL氨水甲醇-混合溶液（5.13）洗脱小柱，洗脱速度为1 mL/min。洗脱液经浓缩装置（6.3）浓缩至近干，用甲醇溶剂定容至1 mL，过针头滤膜（5.21）后取1.0 ml滤液于棕色样品瓶（6.5）中，混匀待测。</w:t>
      </w:r>
    </w:p>
    <w:p w14:paraId="40C0A0BC">
      <w:pPr>
        <w:pStyle w:val="145"/>
        <w:rPr>
          <w:rFonts w:ascii="Times New Roman"/>
        </w:rPr>
      </w:pPr>
      <w:r>
        <w:rPr>
          <w:rFonts w:ascii="Times New Roman"/>
        </w:rPr>
        <w:t>空白试样的制备</w:t>
      </w:r>
    </w:p>
    <w:p w14:paraId="47156367">
      <w:pPr>
        <w:pStyle w:val="145"/>
        <w:numPr>
          <w:ilvl w:val="0"/>
          <w:numId w:val="0"/>
        </w:numPr>
        <w:ind w:firstLine="420" w:firstLineChars="200"/>
        <w:rPr>
          <w:rFonts w:ascii="Times New Roman"/>
        </w:rPr>
      </w:pPr>
      <w:r>
        <w:rPr>
          <w:rFonts w:ascii="Times New Roman"/>
        </w:rPr>
        <w:t>用实验用水代替样品，按照与试样的制备（7.2）相同的步骤进行空白试样的制备。</w:t>
      </w:r>
    </w:p>
    <w:p w14:paraId="7A7E7823">
      <w:pPr>
        <w:pStyle w:val="81"/>
        <w:rPr>
          <w:rFonts w:ascii="Times New Roman"/>
        </w:rPr>
      </w:pPr>
      <w:bookmarkStart w:id="39" w:name="_Toc87433441"/>
      <w:bookmarkStart w:id="40" w:name="_Toc8048"/>
      <w:bookmarkStart w:id="41" w:name="_Toc8091"/>
      <w:r>
        <w:rPr>
          <w:rFonts w:ascii="Times New Roman"/>
        </w:rPr>
        <w:t>分析步骤</w:t>
      </w:r>
      <w:bookmarkEnd w:id="39"/>
      <w:bookmarkEnd w:id="40"/>
    </w:p>
    <w:p w14:paraId="39E19AB3">
      <w:pPr>
        <w:pStyle w:val="145"/>
        <w:jc w:val="both"/>
        <w:rPr>
          <w:rFonts w:ascii="Times New Roman"/>
        </w:rPr>
      </w:pPr>
      <w:r>
        <w:rPr>
          <w:rFonts w:ascii="Times New Roman"/>
        </w:rPr>
        <w:t>仪器参考条件</w:t>
      </w:r>
      <w:bookmarkEnd w:id="41"/>
    </w:p>
    <w:p w14:paraId="7334B5E2">
      <w:pPr>
        <w:pStyle w:val="125"/>
        <w:spacing w:before="50" w:after="50"/>
        <w:rPr>
          <w:rFonts w:ascii="Times New Roman"/>
        </w:rPr>
      </w:pPr>
      <w:r>
        <w:rPr>
          <w:rFonts w:ascii="Times New Roman"/>
        </w:rPr>
        <w:t>高效液相色谱参考条件</w:t>
      </w:r>
    </w:p>
    <w:p w14:paraId="1BF4FA67">
      <w:pPr>
        <w:ind w:firstLine="420"/>
      </w:pPr>
      <w:r>
        <w:t>采用正离子模式（ESI+），流动相为A：甲酸水溶液（5.15），B：乙腈（5.2），洗脱程序梯度见表1。流速：0.3 mL/min，柱温：40℃，进样体积：5 μL。</w:t>
      </w:r>
    </w:p>
    <w:p w14:paraId="3A66263E">
      <w:pPr>
        <w:jc w:val="center"/>
      </w:pPr>
      <w:r>
        <w:rPr>
          <w:rFonts w:eastAsia="黑体"/>
          <w:color w:val="000000"/>
          <w:sz w:val="22"/>
          <w:szCs w:val="22"/>
        </w:rPr>
        <w:t xml:space="preserve">表 </w:t>
      </w:r>
      <w:r>
        <w:rPr>
          <w:color w:val="000000"/>
          <w:sz w:val="22"/>
          <w:szCs w:val="22"/>
        </w:rPr>
        <w:t xml:space="preserve">1 </w:t>
      </w:r>
      <w:r>
        <w:rPr>
          <w:rFonts w:eastAsia="黑体"/>
          <w:color w:val="000000"/>
          <w:sz w:val="22"/>
          <w:szCs w:val="22"/>
        </w:rPr>
        <w:t>流动相梯度洗脱程序</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3"/>
        <w:gridCol w:w="2972"/>
        <w:gridCol w:w="2975"/>
      </w:tblGrid>
      <w:tr w14:paraId="5CFA8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93" w:type="pct"/>
            <w:vMerge w:val="restart"/>
            <w:vAlign w:val="center"/>
          </w:tcPr>
          <w:p w14:paraId="090CAD36">
            <w:pPr>
              <w:widowControl/>
              <w:jc w:val="center"/>
              <w:rPr>
                <w:szCs w:val="21"/>
              </w:rPr>
            </w:pPr>
            <w:r>
              <w:rPr>
                <w:szCs w:val="21"/>
              </w:rPr>
              <w:t>时间/min</w:t>
            </w:r>
          </w:p>
        </w:tc>
        <w:tc>
          <w:tcPr>
            <w:tcW w:w="3107" w:type="pct"/>
            <w:gridSpan w:val="2"/>
            <w:vAlign w:val="center"/>
          </w:tcPr>
          <w:p w14:paraId="20E11265">
            <w:pPr>
              <w:widowControl/>
              <w:jc w:val="center"/>
              <w:rPr>
                <w:szCs w:val="21"/>
              </w:rPr>
            </w:pPr>
            <w:r>
              <w:rPr>
                <w:szCs w:val="21"/>
              </w:rPr>
              <w:t>流动相</w:t>
            </w:r>
          </w:p>
        </w:tc>
      </w:tr>
      <w:tr w14:paraId="75463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93" w:type="pct"/>
            <w:vMerge w:val="continue"/>
            <w:vAlign w:val="center"/>
          </w:tcPr>
          <w:p w14:paraId="687E4240">
            <w:pPr>
              <w:widowControl/>
              <w:jc w:val="center"/>
              <w:rPr>
                <w:szCs w:val="21"/>
              </w:rPr>
            </w:pPr>
          </w:p>
        </w:tc>
        <w:tc>
          <w:tcPr>
            <w:tcW w:w="1553" w:type="pct"/>
            <w:vAlign w:val="center"/>
          </w:tcPr>
          <w:p w14:paraId="20A3AE4E">
            <w:pPr>
              <w:widowControl/>
              <w:jc w:val="center"/>
              <w:rPr>
                <w:szCs w:val="21"/>
              </w:rPr>
            </w:pPr>
            <w:r>
              <w:rPr>
                <w:szCs w:val="21"/>
              </w:rPr>
              <w:t>A/ %</w:t>
            </w:r>
          </w:p>
        </w:tc>
        <w:tc>
          <w:tcPr>
            <w:tcW w:w="1553" w:type="pct"/>
            <w:vAlign w:val="center"/>
          </w:tcPr>
          <w:p w14:paraId="460BBE50">
            <w:pPr>
              <w:widowControl/>
              <w:jc w:val="center"/>
              <w:rPr>
                <w:szCs w:val="21"/>
              </w:rPr>
            </w:pPr>
            <w:r>
              <w:rPr>
                <w:szCs w:val="21"/>
              </w:rPr>
              <w:t>B/ %</w:t>
            </w:r>
          </w:p>
        </w:tc>
      </w:tr>
      <w:tr w14:paraId="1DE8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893" w:type="pct"/>
            <w:vAlign w:val="center"/>
          </w:tcPr>
          <w:p w14:paraId="57251A6C">
            <w:pPr>
              <w:widowControl/>
              <w:autoSpaceDE w:val="0"/>
              <w:jc w:val="center"/>
              <w:textAlignment w:val="center"/>
              <w:rPr>
                <w:szCs w:val="21"/>
              </w:rPr>
            </w:pPr>
            <w:r>
              <w:rPr>
                <w:color w:val="000000"/>
                <w:kern w:val="0"/>
                <w:szCs w:val="21"/>
              </w:rPr>
              <w:t>0</w:t>
            </w:r>
          </w:p>
        </w:tc>
        <w:tc>
          <w:tcPr>
            <w:tcW w:w="1553" w:type="pct"/>
            <w:vAlign w:val="center"/>
          </w:tcPr>
          <w:p w14:paraId="030E3616">
            <w:pPr>
              <w:widowControl/>
              <w:autoSpaceDE w:val="0"/>
              <w:jc w:val="center"/>
              <w:textAlignment w:val="center"/>
              <w:rPr>
                <w:szCs w:val="21"/>
              </w:rPr>
            </w:pPr>
            <w:r>
              <w:rPr>
                <w:color w:val="000000"/>
                <w:kern w:val="0"/>
                <w:szCs w:val="21"/>
              </w:rPr>
              <w:t>99</w:t>
            </w:r>
          </w:p>
        </w:tc>
        <w:tc>
          <w:tcPr>
            <w:tcW w:w="1553" w:type="pct"/>
            <w:vAlign w:val="center"/>
          </w:tcPr>
          <w:p w14:paraId="0E86CC69">
            <w:pPr>
              <w:widowControl/>
              <w:autoSpaceDE w:val="0"/>
              <w:jc w:val="center"/>
              <w:textAlignment w:val="center"/>
              <w:rPr>
                <w:szCs w:val="21"/>
              </w:rPr>
            </w:pPr>
            <w:r>
              <w:rPr>
                <w:color w:val="000000"/>
                <w:kern w:val="0"/>
                <w:szCs w:val="21"/>
              </w:rPr>
              <w:t>1</w:t>
            </w:r>
          </w:p>
        </w:tc>
      </w:tr>
      <w:tr w14:paraId="5BC8C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893" w:type="pct"/>
            <w:vAlign w:val="center"/>
          </w:tcPr>
          <w:p w14:paraId="2EFE05EE">
            <w:pPr>
              <w:widowControl/>
              <w:autoSpaceDE w:val="0"/>
              <w:jc w:val="center"/>
              <w:textAlignment w:val="center"/>
              <w:rPr>
                <w:szCs w:val="21"/>
              </w:rPr>
            </w:pPr>
            <w:r>
              <w:rPr>
                <w:color w:val="000000"/>
                <w:kern w:val="0"/>
                <w:szCs w:val="21"/>
              </w:rPr>
              <w:t>5</w:t>
            </w:r>
          </w:p>
        </w:tc>
        <w:tc>
          <w:tcPr>
            <w:tcW w:w="1553" w:type="pct"/>
            <w:vAlign w:val="center"/>
          </w:tcPr>
          <w:p w14:paraId="5FA13C94">
            <w:pPr>
              <w:widowControl/>
              <w:autoSpaceDE w:val="0"/>
              <w:jc w:val="center"/>
              <w:textAlignment w:val="center"/>
              <w:rPr>
                <w:szCs w:val="21"/>
              </w:rPr>
            </w:pPr>
            <w:r>
              <w:rPr>
                <w:color w:val="000000"/>
                <w:kern w:val="0"/>
                <w:szCs w:val="21"/>
              </w:rPr>
              <w:t>90</w:t>
            </w:r>
          </w:p>
        </w:tc>
        <w:tc>
          <w:tcPr>
            <w:tcW w:w="1553" w:type="pct"/>
            <w:vAlign w:val="center"/>
          </w:tcPr>
          <w:p w14:paraId="045969CD">
            <w:pPr>
              <w:widowControl/>
              <w:autoSpaceDE w:val="0"/>
              <w:jc w:val="center"/>
              <w:textAlignment w:val="center"/>
              <w:rPr>
                <w:szCs w:val="21"/>
              </w:rPr>
            </w:pPr>
            <w:r>
              <w:rPr>
                <w:color w:val="000000"/>
                <w:kern w:val="0"/>
                <w:szCs w:val="21"/>
              </w:rPr>
              <w:t>10</w:t>
            </w:r>
          </w:p>
        </w:tc>
      </w:tr>
      <w:tr w14:paraId="3080B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893" w:type="pct"/>
            <w:vAlign w:val="center"/>
          </w:tcPr>
          <w:p w14:paraId="19BA6185">
            <w:pPr>
              <w:widowControl/>
              <w:autoSpaceDE w:val="0"/>
              <w:jc w:val="center"/>
              <w:textAlignment w:val="center"/>
              <w:rPr>
                <w:szCs w:val="21"/>
              </w:rPr>
            </w:pPr>
            <w:r>
              <w:rPr>
                <w:color w:val="000000"/>
                <w:kern w:val="0"/>
                <w:szCs w:val="21"/>
              </w:rPr>
              <w:t>22</w:t>
            </w:r>
          </w:p>
        </w:tc>
        <w:tc>
          <w:tcPr>
            <w:tcW w:w="1553" w:type="pct"/>
            <w:vAlign w:val="center"/>
          </w:tcPr>
          <w:p w14:paraId="02CEF967">
            <w:pPr>
              <w:widowControl/>
              <w:autoSpaceDE w:val="0"/>
              <w:jc w:val="center"/>
              <w:textAlignment w:val="center"/>
              <w:rPr>
                <w:szCs w:val="21"/>
              </w:rPr>
            </w:pPr>
            <w:r>
              <w:rPr>
                <w:color w:val="000000"/>
                <w:kern w:val="0"/>
                <w:szCs w:val="21"/>
              </w:rPr>
              <w:t>50</w:t>
            </w:r>
          </w:p>
        </w:tc>
        <w:tc>
          <w:tcPr>
            <w:tcW w:w="1553" w:type="pct"/>
            <w:vAlign w:val="center"/>
          </w:tcPr>
          <w:p w14:paraId="76345749">
            <w:pPr>
              <w:widowControl/>
              <w:autoSpaceDE w:val="0"/>
              <w:jc w:val="center"/>
              <w:textAlignment w:val="center"/>
              <w:rPr>
                <w:szCs w:val="21"/>
              </w:rPr>
            </w:pPr>
            <w:r>
              <w:rPr>
                <w:color w:val="000000"/>
                <w:kern w:val="0"/>
                <w:szCs w:val="21"/>
              </w:rPr>
              <w:t>50</w:t>
            </w:r>
          </w:p>
        </w:tc>
      </w:tr>
      <w:tr w14:paraId="117D6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893" w:type="pct"/>
            <w:vAlign w:val="center"/>
          </w:tcPr>
          <w:p w14:paraId="1980582F">
            <w:pPr>
              <w:widowControl/>
              <w:autoSpaceDE w:val="0"/>
              <w:jc w:val="center"/>
              <w:textAlignment w:val="center"/>
              <w:rPr>
                <w:szCs w:val="21"/>
              </w:rPr>
            </w:pPr>
            <w:r>
              <w:rPr>
                <w:color w:val="000000"/>
                <w:kern w:val="0"/>
                <w:szCs w:val="21"/>
              </w:rPr>
              <w:t>23</w:t>
            </w:r>
          </w:p>
        </w:tc>
        <w:tc>
          <w:tcPr>
            <w:tcW w:w="1553" w:type="pct"/>
            <w:vAlign w:val="center"/>
          </w:tcPr>
          <w:p w14:paraId="39BE1DF8">
            <w:pPr>
              <w:widowControl/>
              <w:autoSpaceDE w:val="0"/>
              <w:jc w:val="center"/>
              <w:textAlignment w:val="center"/>
              <w:rPr>
                <w:szCs w:val="21"/>
              </w:rPr>
            </w:pPr>
            <w:r>
              <w:rPr>
                <w:color w:val="000000"/>
                <w:kern w:val="0"/>
                <w:szCs w:val="21"/>
              </w:rPr>
              <w:t>40</w:t>
            </w:r>
          </w:p>
        </w:tc>
        <w:tc>
          <w:tcPr>
            <w:tcW w:w="1553" w:type="pct"/>
            <w:vAlign w:val="center"/>
          </w:tcPr>
          <w:p w14:paraId="37BEE5B4">
            <w:pPr>
              <w:keepNext/>
              <w:widowControl/>
              <w:autoSpaceDE w:val="0"/>
              <w:jc w:val="center"/>
              <w:textAlignment w:val="center"/>
              <w:rPr>
                <w:szCs w:val="21"/>
              </w:rPr>
            </w:pPr>
            <w:r>
              <w:rPr>
                <w:color w:val="000000"/>
                <w:kern w:val="0"/>
                <w:szCs w:val="21"/>
              </w:rPr>
              <w:t>60</w:t>
            </w:r>
          </w:p>
        </w:tc>
      </w:tr>
      <w:tr w14:paraId="1B0A4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893" w:type="pct"/>
            <w:vAlign w:val="center"/>
          </w:tcPr>
          <w:p w14:paraId="6290FDFD">
            <w:pPr>
              <w:widowControl/>
              <w:autoSpaceDE w:val="0"/>
              <w:jc w:val="center"/>
              <w:textAlignment w:val="center"/>
              <w:rPr>
                <w:color w:val="000000"/>
                <w:kern w:val="0"/>
                <w:szCs w:val="21"/>
              </w:rPr>
            </w:pPr>
            <w:r>
              <w:rPr>
                <w:color w:val="000000"/>
                <w:kern w:val="0"/>
                <w:szCs w:val="21"/>
              </w:rPr>
              <w:t>24.5</w:t>
            </w:r>
          </w:p>
        </w:tc>
        <w:tc>
          <w:tcPr>
            <w:tcW w:w="1553" w:type="pct"/>
            <w:vAlign w:val="center"/>
          </w:tcPr>
          <w:p w14:paraId="52C33417">
            <w:pPr>
              <w:widowControl/>
              <w:autoSpaceDE w:val="0"/>
              <w:jc w:val="center"/>
              <w:textAlignment w:val="center"/>
              <w:rPr>
                <w:color w:val="000000"/>
                <w:kern w:val="0"/>
                <w:szCs w:val="21"/>
              </w:rPr>
            </w:pPr>
            <w:r>
              <w:rPr>
                <w:color w:val="000000"/>
                <w:kern w:val="0"/>
                <w:szCs w:val="21"/>
              </w:rPr>
              <w:t>99</w:t>
            </w:r>
          </w:p>
        </w:tc>
        <w:tc>
          <w:tcPr>
            <w:tcW w:w="1553" w:type="pct"/>
            <w:vAlign w:val="center"/>
          </w:tcPr>
          <w:p w14:paraId="062C506A">
            <w:pPr>
              <w:keepNext/>
              <w:widowControl/>
              <w:autoSpaceDE w:val="0"/>
              <w:jc w:val="center"/>
              <w:textAlignment w:val="center"/>
              <w:rPr>
                <w:color w:val="000000"/>
                <w:kern w:val="0"/>
                <w:szCs w:val="21"/>
              </w:rPr>
            </w:pPr>
            <w:r>
              <w:rPr>
                <w:color w:val="000000"/>
                <w:kern w:val="0"/>
                <w:szCs w:val="21"/>
              </w:rPr>
              <w:t>1</w:t>
            </w:r>
          </w:p>
        </w:tc>
      </w:tr>
      <w:tr w14:paraId="56544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893" w:type="pct"/>
            <w:vAlign w:val="center"/>
          </w:tcPr>
          <w:p w14:paraId="4A7ACC85">
            <w:pPr>
              <w:widowControl/>
              <w:autoSpaceDE w:val="0"/>
              <w:jc w:val="center"/>
              <w:textAlignment w:val="center"/>
              <w:rPr>
                <w:color w:val="000000"/>
                <w:kern w:val="0"/>
                <w:szCs w:val="21"/>
              </w:rPr>
            </w:pPr>
            <w:r>
              <w:rPr>
                <w:color w:val="000000"/>
                <w:kern w:val="0"/>
                <w:szCs w:val="21"/>
              </w:rPr>
              <w:t>26</w:t>
            </w:r>
          </w:p>
        </w:tc>
        <w:tc>
          <w:tcPr>
            <w:tcW w:w="1553" w:type="pct"/>
            <w:vAlign w:val="center"/>
          </w:tcPr>
          <w:p w14:paraId="77D935D0">
            <w:pPr>
              <w:widowControl/>
              <w:autoSpaceDE w:val="0"/>
              <w:jc w:val="center"/>
              <w:textAlignment w:val="center"/>
              <w:rPr>
                <w:color w:val="000000"/>
                <w:kern w:val="0"/>
                <w:szCs w:val="21"/>
              </w:rPr>
            </w:pPr>
            <w:r>
              <w:rPr>
                <w:color w:val="000000"/>
                <w:kern w:val="0"/>
                <w:szCs w:val="21"/>
              </w:rPr>
              <w:t>99</w:t>
            </w:r>
          </w:p>
        </w:tc>
        <w:tc>
          <w:tcPr>
            <w:tcW w:w="1553" w:type="pct"/>
            <w:vAlign w:val="center"/>
          </w:tcPr>
          <w:p w14:paraId="26C75090">
            <w:pPr>
              <w:keepNext/>
              <w:widowControl/>
              <w:autoSpaceDE w:val="0"/>
              <w:jc w:val="center"/>
              <w:textAlignment w:val="center"/>
              <w:rPr>
                <w:color w:val="000000"/>
                <w:kern w:val="0"/>
                <w:szCs w:val="21"/>
              </w:rPr>
            </w:pPr>
            <w:r>
              <w:rPr>
                <w:color w:val="000000"/>
                <w:kern w:val="0"/>
                <w:szCs w:val="21"/>
              </w:rPr>
              <w:t>1</w:t>
            </w:r>
          </w:p>
        </w:tc>
      </w:tr>
    </w:tbl>
    <w:p w14:paraId="2B4172FD">
      <w:pPr>
        <w:ind w:firstLine="420"/>
      </w:pPr>
    </w:p>
    <w:p w14:paraId="6BC9C30F">
      <w:pPr>
        <w:pStyle w:val="125"/>
        <w:spacing w:before="50" w:after="50"/>
        <w:rPr>
          <w:rFonts w:ascii="Times New Roman"/>
        </w:rPr>
      </w:pPr>
      <w:r>
        <w:rPr>
          <w:rFonts w:ascii="Times New Roman"/>
        </w:rPr>
        <w:t>质谱参考条件</w:t>
      </w:r>
    </w:p>
    <w:p w14:paraId="080B613D">
      <w:pPr>
        <w:widowControl/>
        <w:ind w:firstLine="420" w:firstLineChars="200"/>
        <w:rPr>
          <w:rFonts w:eastAsia="黑体"/>
          <w:color w:val="000000"/>
          <w:sz w:val="22"/>
          <w:szCs w:val="22"/>
        </w:rPr>
      </w:pPr>
      <w:r>
        <w:rPr>
          <w:rFonts w:hint="eastAsia"/>
        </w:rPr>
        <w:t>离子源</w:t>
      </w:r>
      <w:r>
        <w:t>采用</w:t>
      </w:r>
      <w:r>
        <w:rPr>
          <w:rFonts w:hint="eastAsia"/>
        </w:rPr>
        <w:t>电喷雾</w:t>
      </w:r>
      <w:r>
        <w:t>离子源</w:t>
      </w:r>
      <w:r>
        <w:rPr>
          <w:rFonts w:hint="eastAsia"/>
        </w:rPr>
        <w:t>（</w:t>
      </w:r>
      <w:r>
        <w:t>ESI</w:t>
      </w:r>
      <w:r>
        <w:rPr>
          <w:rFonts w:hint="eastAsia"/>
        </w:rPr>
        <w:t>）</w:t>
      </w:r>
      <w:r>
        <w:t>，</w:t>
      </w:r>
      <w:r>
        <w:rPr>
          <w:rFonts w:hint="eastAsia"/>
        </w:rPr>
        <w:t>扫描方式为</w:t>
      </w:r>
      <w:r>
        <w:t>正</w:t>
      </w:r>
      <w:r>
        <w:rPr>
          <w:rFonts w:hint="eastAsia"/>
        </w:rPr>
        <w:t>离子</w:t>
      </w:r>
      <w:r>
        <w:t>模式，</w:t>
      </w:r>
      <w:r>
        <w:rPr>
          <w:rFonts w:hint="eastAsia"/>
        </w:rPr>
        <w:t>监测方式为</w:t>
      </w:r>
      <w:r>
        <w:t>多反应监测（MRM）。</w:t>
      </w:r>
      <w:r>
        <w:rPr>
          <w:rFonts w:hint="eastAsia" w:ascii="宋体" w:hAnsi="宋体" w:cs="宋体"/>
          <w:color w:val="000000"/>
          <w:kern w:val="0"/>
          <w:szCs w:val="21"/>
          <w:lang w:bidi="ar"/>
        </w:rPr>
        <w:t xml:space="preserve">由于测试结果受到所用仪器影响，不能给出质谱仪普遍参数。附录 </w:t>
      </w:r>
      <w:r>
        <w:rPr>
          <w:color w:val="000000"/>
          <w:kern w:val="0"/>
          <w:szCs w:val="21"/>
          <w:lang w:bidi="ar"/>
        </w:rPr>
        <w:t xml:space="preserve">A </w:t>
      </w:r>
      <w:r>
        <w:rPr>
          <w:rFonts w:hint="eastAsia" w:ascii="宋体" w:hAnsi="宋体" w:cs="宋体"/>
          <w:color w:val="000000"/>
          <w:kern w:val="0"/>
          <w:szCs w:val="21"/>
          <w:lang w:bidi="ar"/>
        </w:rPr>
        <w:t>提供参考质谱参数。</w:t>
      </w:r>
    </w:p>
    <w:p w14:paraId="5CD57BF6">
      <w:pPr>
        <w:pStyle w:val="125"/>
        <w:spacing w:before="50" w:after="50"/>
        <w:rPr>
          <w:rFonts w:ascii="Times New Roman"/>
        </w:rPr>
      </w:pPr>
      <w:bookmarkStart w:id="42" w:name="OLE_LINK13"/>
      <w:r>
        <w:rPr>
          <w:rFonts w:ascii="Times New Roman"/>
        </w:rPr>
        <w:t>仪器调谐</w:t>
      </w:r>
    </w:p>
    <w:bookmarkEnd w:id="42"/>
    <w:p w14:paraId="4E0CFFA4">
      <w:pPr>
        <w:ind w:firstLine="420"/>
        <w:jc w:val="left"/>
      </w:pPr>
      <w:r>
        <w:t>不同厂家的仪器调谐参数存在一定差异，应按照仪器使用说明书在规定时间和频次内对质谱仪进行仪器质量数和分辨率的校正，以确保仪器处于最佳测试状态。</w:t>
      </w:r>
    </w:p>
    <w:p w14:paraId="6FA10174">
      <w:pPr>
        <w:jc w:val="center"/>
      </w:pPr>
    </w:p>
    <w:p w14:paraId="5D08C92B">
      <w:pPr>
        <w:pStyle w:val="145"/>
        <w:rPr>
          <w:rFonts w:ascii="Times New Roman"/>
        </w:rPr>
      </w:pPr>
      <w:bookmarkStart w:id="43" w:name="OLE_LINK45"/>
      <w:r>
        <w:rPr>
          <w:rFonts w:ascii="Times New Roman"/>
        </w:rPr>
        <w:t>校准</w:t>
      </w:r>
    </w:p>
    <w:bookmarkEnd w:id="43"/>
    <w:p w14:paraId="67AF8F97">
      <w:pPr>
        <w:pStyle w:val="125"/>
        <w:spacing w:before="50" w:after="50"/>
        <w:rPr>
          <w:rFonts w:ascii="Times New Roman"/>
        </w:rPr>
      </w:pPr>
      <w:r>
        <w:rPr>
          <w:rFonts w:ascii="Times New Roman"/>
        </w:rPr>
        <w:t>标准曲线的建立</w:t>
      </w:r>
    </w:p>
    <w:p w14:paraId="5D9912A8">
      <w:pPr>
        <w:ind w:firstLine="420"/>
      </w:pPr>
      <w:r>
        <w:t>移取适量的</w:t>
      </w:r>
      <w:r>
        <w:rPr>
          <w:rFonts w:hint="eastAsia"/>
        </w:rPr>
        <w:t>磺胺类</w:t>
      </w:r>
      <w:r>
        <w:rPr>
          <w:szCs w:val="20"/>
        </w:rPr>
        <w:t>抗生素标准</w:t>
      </w:r>
      <w:r>
        <w:rPr>
          <w:rFonts w:hint="eastAsia"/>
          <w:szCs w:val="20"/>
        </w:rPr>
        <w:t>使用</w:t>
      </w:r>
      <w:r>
        <w:rPr>
          <w:szCs w:val="20"/>
        </w:rPr>
        <w:t>液</w:t>
      </w:r>
      <w:r>
        <w:t>（5.1</w:t>
      </w:r>
      <w:r>
        <w:rPr>
          <w:rFonts w:hint="eastAsia"/>
        </w:rPr>
        <w:t>7</w:t>
      </w:r>
      <w:r>
        <w:t>），逐级稀释，配制至少</w:t>
      </w:r>
      <w:r>
        <w:rPr>
          <w:rFonts w:hint="eastAsia"/>
        </w:rPr>
        <w:t>5</w:t>
      </w:r>
      <w:r>
        <w:t>个浓度点的标准系列，各组分质量浓度分别为</w:t>
      </w:r>
      <w:r>
        <w:rPr>
          <w:rFonts w:hint="eastAsia"/>
        </w:rPr>
        <w:t>1</w:t>
      </w:r>
      <w:r>
        <w:t>、2、5、10、</w:t>
      </w:r>
      <w:r>
        <w:rPr>
          <w:rFonts w:hint="eastAsia"/>
        </w:rPr>
        <w:t>20、</w:t>
      </w:r>
      <w:r>
        <w:t>50、100</w:t>
      </w:r>
      <w:r>
        <w:rPr>
          <w:rFonts w:hint="eastAsia"/>
        </w:rPr>
        <w:t>、200</w:t>
      </w:r>
      <w:r>
        <w:t xml:space="preserve"> μg/L（此为参考浓度）。移取1.0 ml 配制好的标准系列溶液于棕色样品瓶（6.5）中，加入10.0 μl内标使用液（5.18），混匀待测。</w:t>
      </w:r>
    </w:p>
    <w:p w14:paraId="17E03F3C">
      <w:pPr>
        <w:ind w:firstLine="420"/>
      </w:pPr>
      <w:r>
        <w:t>按照仪器参考条件（8.1），由低浓度到高浓度依次对标准系列溶液进行测定。以标准系列溶液中目标组分的质量浓度（μg/L）为横坐标，以其对应的峰面积（或峰高）与内标物峰面积（或峰高）的比值和内标物浓度的乘积为纵坐标，建立标准曲线。</w:t>
      </w:r>
    </w:p>
    <w:p w14:paraId="4AA6947B">
      <w:pPr>
        <w:ind w:firstLine="420"/>
      </w:pPr>
      <w:r>
        <w:t>注：为保证定量统一，标准曲线稀释时所使用的溶剂应与制备的试样一致。</w:t>
      </w:r>
    </w:p>
    <w:p w14:paraId="23958D04">
      <w:pPr>
        <w:pStyle w:val="125"/>
        <w:spacing w:before="50" w:after="50"/>
        <w:rPr>
          <w:rFonts w:ascii="Times New Roman"/>
        </w:rPr>
      </w:pPr>
      <w:r>
        <w:rPr>
          <w:rFonts w:ascii="Times New Roman"/>
        </w:rPr>
        <w:t>标准参考谱图</w:t>
      </w:r>
    </w:p>
    <w:p w14:paraId="24D6FEC1">
      <w:pPr>
        <w:ind w:firstLine="420"/>
        <w:rPr>
          <w:color w:val="000000"/>
          <w:sz w:val="22"/>
          <w:szCs w:val="22"/>
        </w:rPr>
      </w:pPr>
      <w:r>
        <w:rPr>
          <w:color w:val="000000"/>
          <w:sz w:val="22"/>
          <w:szCs w:val="22"/>
        </w:rPr>
        <w:t>在本文件的仪器参考条件（8.1）下，目标化合物（</w:t>
      </w:r>
      <w:r>
        <w:rPr>
          <w:rFonts w:hint="eastAsia"/>
          <w:color w:val="000000"/>
          <w:sz w:val="22"/>
          <w:szCs w:val="22"/>
        </w:rPr>
        <w:t>2</w:t>
      </w:r>
      <w:r>
        <w:rPr>
          <w:color w:val="000000"/>
          <w:sz w:val="22"/>
          <w:szCs w:val="22"/>
        </w:rPr>
        <w:t>00 μg/L）的总离子流图见</w:t>
      </w:r>
      <w:r>
        <w:rPr>
          <w:rFonts w:hint="eastAsia"/>
          <w:color w:val="000000"/>
          <w:sz w:val="22"/>
          <w:szCs w:val="22"/>
        </w:rPr>
        <w:t>附</w:t>
      </w:r>
      <w:r>
        <w:rPr>
          <w:color w:val="000000"/>
          <w:sz w:val="22"/>
          <w:szCs w:val="22"/>
        </w:rPr>
        <w:t>图</w:t>
      </w:r>
      <w:r>
        <w:rPr>
          <w:rFonts w:hint="eastAsia"/>
          <w:color w:val="000000"/>
          <w:sz w:val="22"/>
          <w:szCs w:val="22"/>
        </w:rPr>
        <w:t>B</w:t>
      </w:r>
      <w:r>
        <w:rPr>
          <w:color w:val="000000"/>
          <w:sz w:val="22"/>
          <w:szCs w:val="22"/>
        </w:rPr>
        <w:t>。</w:t>
      </w:r>
    </w:p>
    <w:p w14:paraId="08EF2BA3">
      <w:pPr>
        <w:pStyle w:val="145"/>
        <w:rPr>
          <w:rFonts w:ascii="Times New Roman"/>
        </w:rPr>
      </w:pPr>
      <w:r>
        <w:rPr>
          <w:rFonts w:ascii="Times New Roman"/>
        </w:rPr>
        <w:t>试样测定</w:t>
      </w:r>
    </w:p>
    <w:p w14:paraId="01FCE4B4">
      <w:pPr>
        <w:ind w:firstLine="420"/>
        <w:jc w:val="left"/>
        <w:rPr>
          <w:color w:val="000000"/>
          <w:sz w:val="22"/>
          <w:szCs w:val="22"/>
        </w:rPr>
      </w:pPr>
      <w:r>
        <w:rPr>
          <w:color w:val="000000"/>
          <w:sz w:val="22"/>
          <w:szCs w:val="22"/>
        </w:rPr>
        <w:t>按照与标准曲线的建立（8.2.1）相同的仪器条件进行试样（7.2）的测定。</w:t>
      </w:r>
    </w:p>
    <w:p w14:paraId="3C4B80C4">
      <w:pPr>
        <w:pStyle w:val="145"/>
        <w:rPr>
          <w:rFonts w:ascii="Times New Roman"/>
        </w:rPr>
      </w:pPr>
      <w:bookmarkStart w:id="44" w:name="OLE_LINK46"/>
      <w:r>
        <w:rPr>
          <w:rFonts w:ascii="Times New Roman"/>
        </w:rPr>
        <w:t>空白试验</w:t>
      </w:r>
    </w:p>
    <w:bookmarkEnd w:id="44"/>
    <w:p w14:paraId="45A70F34">
      <w:pPr>
        <w:ind w:firstLine="420"/>
        <w:jc w:val="left"/>
      </w:pPr>
      <w:r>
        <w:rPr>
          <w:color w:val="000000"/>
          <w:sz w:val="22"/>
          <w:szCs w:val="22"/>
        </w:rPr>
        <w:t>按照与试样测定（8.3）相同的仪器条件进行空白试样（7.3）的测定。</w:t>
      </w:r>
    </w:p>
    <w:p w14:paraId="38840504">
      <w:pPr>
        <w:pStyle w:val="81"/>
        <w:rPr>
          <w:rFonts w:ascii="Times New Roman"/>
        </w:rPr>
      </w:pPr>
      <w:bookmarkStart w:id="45" w:name="_Toc87433442"/>
      <w:bookmarkStart w:id="46" w:name="_Toc3092"/>
      <w:r>
        <w:rPr>
          <w:rFonts w:ascii="Times New Roman"/>
        </w:rPr>
        <w:t>结果计算与表示</w:t>
      </w:r>
      <w:bookmarkEnd w:id="45"/>
      <w:bookmarkEnd w:id="46"/>
    </w:p>
    <w:p w14:paraId="10A922FE">
      <w:pPr>
        <w:pStyle w:val="145"/>
        <w:rPr>
          <w:rFonts w:ascii="Times New Roman"/>
        </w:rPr>
      </w:pPr>
      <w:bookmarkStart w:id="47" w:name="OLE_LINK48"/>
      <w:r>
        <w:rPr>
          <w:rFonts w:ascii="Times New Roman"/>
        </w:rPr>
        <w:t>定性分析</w:t>
      </w:r>
    </w:p>
    <w:bookmarkEnd w:id="47"/>
    <w:p w14:paraId="31434C15">
      <w:pPr>
        <w:ind w:firstLine="420"/>
        <w:rPr>
          <w:color w:val="000000"/>
          <w:kern w:val="0"/>
          <w:sz w:val="22"/>
          <w:szCs w:val="22"/>
        </w:rPr>
      </w:pPr>
      <w:r>
        <w:rPr>
          <w:color w:val="000000"/>
          <w:sz w:val="22"/>
          <w:szCs w:val="22"/>
        </w:rPr>
        <w:t>每个目标化合物选择1个母离子和2个子离子进行定性分析。在相同的实验条件下，试样中目标化合物的保留时间与标准样品中该目标化合物的保留时间比较，相对偏差的绝对值应小于2.5%；样品谱图中各目标化合物定性离子的相对离子丰度（</w:t>
      </w:r>
      <w:r>
        <w:rPr>
          <w:i/>
          <w:iCs/>
          <w:color w:val="000000"/>
          <w:sz w:val="22"/>
          <w:szCs w:val="22"/>
        </w:rPr>
        <w:t>K</w:t>
      </w:r>
      <w:r>
        <w:rPr>
          <w:color w:val="000000"/>
          <w:sz w:val="14"/>
          <w:szCs w:val="14"/>
        </w:rPr>
        <w:t>sam</w:t>
      </w:r>
      <w:r>
        <w:rPr>
          <w:color w:val="000000"/>
          <w:sz w:val="22"/>
          <w:szCs w:val="22"/>
        </w:rPr>
        <w:t>）与浓度接近的标准溶液谱图中对应的定性离子的</w:t>
      </w:r>
      <w:bookmarkStart w:id="48" w:name="OLE_LINK47"/>
      <w:r>
        <w:rPr>
          <w:color w:val="000000"/>
          <w:sz w:val="22"/>
          <w:szCs w:val="22"/>
        </w:rPr>
        <w:t>相对</w:t>
      </w:r>
      <w:bookmarkEnd w:id="48"/>
      <w:r>
        <w:rPr>
          <w:color w:val="000000"/>
          <w:sz w:val="22"/>
          <w:szCs w:val="22"/>
        </w:rPr>
        <w:t>离子丰度（</w:t>
      </w:r>
      <w:r>
        <w:rPr>
          <w:i/>
          <w:iCs/>
          <w:color w:val="000000"/>
          <w:sz w:val="22"/>
          <w:szCs w:val="22"/>
        </w:rPr>
        <w:t>K</w:t>
      </w:r>
      <w:r>
        <w:rPr>
          <w:color w:val="000000"/>
          <w:sz w:val="14"/>
          <w:szCs w:val="14"/>
        </w:rPr>
        <w:t>std</w:t>
      </w:r>
      <w:r>
        <w:rPr>
          <w:color w:val="000000"/>
          <w:sz w:val="22"/>
          <w:szCs w:val="22"/>
        </w:rPr>
        <w:t>）进行比较，偏差不超过表3规定的范围，则可判定为样品中存在对应的目标化合物。</w:t>
      </w:r>
      <w:r>
        <w:rPr>
          <w:color w:val="000000"/>
          <w:kern w:val="0"/>
          <w:sz w:val="22"/>
          <w:szCs w:val="22"/>
        </w:rPr>
        <w:t>定性离子的相对离子丰度分别按照式（1）、式（2）计算：</w:t>
      </w:r>
    </w:p>
    <w:p w14:paraId="374DEE51">
      <w:pPr>
        <w:ind w:firstLine="480"/>
        <w:jc w:val="center"/>
      </w:pPr>
      <w:r>
        <w:t xml:space="preserve">                                   </w:t>
      </w:r>
      <m:oMath>
        <m:sSub>
          <m:sSubPr>
            <m:ctrlPr>
              <w:rPr>
                <w:rFonts w:ascii="Cambria Math" w:hAnsi="Cambria Math"/>
                <w:i/>
                <w:sz w:val="24"/>
              </w:rPr>
            </m:ctrlPr>
          </m:sSubPr>
          <m:e>
            <m:r>
              <m:rPr/>
              <w:rPr>
                <w:rFonts w:ascii="Cambria Math" w:hAnsi="Cambria Math"/>
              </w:rPr>
              <m:t>K</m:t>
            </m:r>
            <m:ctrlPr>
              <w:rPr>
                <w:rFonts w:ascii="Cambria Math" w:hAnsi="Cambria Math"/>
                <w:i/>
                <w:sz w:val="24"/>
              </w:rPr>
            </m:ctrlPr>
          </m:e>
          <m:sub>
            <m:r>
              <m:rPr/>
              <w:rPr>
                <w:rFonts w:ascii="Cambria Math" w:hAnsi="Cambria Math"/>
              </w:rPr>
              <m:t>sam</m:t>
            </m:r>
            <m:ctrlPr>
              <w:rPr>
                <w:rFonts w:ascii="Cambria Math" w:hAnsi="Cambria Math"/>
                <w:i/>
                <w:sz w:val="24"/>
              </w:rPr>
            </m:ctrlPr>
          </m:sub>
        </m:sSub>
        <m:r>
          <m:rPr/>
          <w:rPr>
            <w:rFonts w:ascii="Cambria Math" w:hAnsi="Cambria Math"/>
          </w:rPr>
          <m:t>=</m:t>
        </m:r>
        <m:f>
          <m:fPr>
            <m:ctrlPr>
              <w:rPr>
                <w:rFonts w:ascii="Cambria Math" w:hAnsi="Cambria Math"/>
                <w:i/>
                <w:sz w:val="24"/>
              </w:rPr>
            </m:ctrlPr>
          </m:fPr>
          <m:num>
            <m:sSub>
              <m:sSubPr>
                <m:ctrlPr>
                  <w:rPr>
                    <w:rFonts w:ascii="Cambria Math" w:hAnsi="Cambria Math"/>
                    <w:i/>
                    <w:sz w:val="24"/>
                  </w:rPr>
                </m:ctrlPr>
              </m:sSubPr>
              <m:e>
                <m:r>
                  <m:rPr/>
                  <w:rPr>
                    <w:rFonts w:ascii="Cambria Math" w:hAnsi="Cambria Math"/>
                  </w:rPr>
                  <m:t>A</m:t>
                </m:r>
                <m:ctrlPr>
                  <w:rPr>
                    <w:rFonts w:ascii="Cambria Math" w:hAnsi="Cambria Math"/>
                    <w:i/>
                    <w:sz w:val="24"/>
                  </w:rPr>
                </m:ctrlPr>
              </m:e>
              <m:sub>
                <m:r>
                  <m:rPr/>
                  <w:rPr>
                    <w:rFonts w:ascii="Cambria Math" w:hAnsi="Cambria Math"/>
                  </w:rPr>
                  <m:t>2</m:t>
                </m:r>
                <m:ctrlPr>
                  <w:rPr>
                    <w:rFonts w:ascii="Cambria Math" w:hAnsi="Cambria Math"/>
                    <w:i/>
                    <w:sz w:val="24"/>
                  </w:rPr>
                </m:ctrlPr>
              </m:sub>
            </m:sSub>
            <m:ctrlPr>
              <w:rPr>
                <w:rFonts w:ascii="Cambria Math" w:hAnsi="Cambria Math"/>
                <w:i/>
                <w:sz w:val="24"/>
              </w:rPr>
            </m:ctrlPr>
          </m:num>
          <m:den>
            <m:sSub>
              <m:sSubPr>
                <m:ctrlPr>
                  <w:rPr>
                    <w:rFonts w:ascii="Cambria Math" w:hAnsi="Cambria Math"/>
                    <w:i/>
                    <w:sz w:val="24"/>
                  </w:rPr>
                </m:ctrlPr>
              </m:sSubPr>
              <m:e>
                <m:r>
                  <m:rPr/>
                  <w:rPr>
                    <w:rFonts w:ascii="Cambria Math" w:hAnsi="Cambria Math"/>
                  </w:rPr>
                  <m:t>A</m:t>
                </m:r>
                <m:ctrlPr>
                  <w:rPr>
                    <w:rFonts w:ascii="Cambria Math" w:hAnsi="Cambria Math"/>
                    <w:i/>
                    <w:sz w:val="24"/>
                  </w:rPr>
                </m:ctrlPr>
              </m:e>
              <m:sub>
                <m:r>
                  <m:rPr/>
                  <w:rPr>
                    <w:rFonts w:ascii="Cambria Math" w:hAnsi="Cambria Math"/>
                  </w:rPr>
                  <m:t>1</m:t>
                </m:r>
                <m:ctrlPr>
                  <w:rPr>
                    <w:rFonts w:ascii="Cambria Math" w:hAnsi="Cambria Math"/>
                    <w:i/>
                    <w:sz w:val="24"/>
                  </w:rPr>
                </m:ctrlPr>
              </m:sub>
            </m:sSub>
            <m:ctrlPr>
              <w:rPr>
                <w:rFonts w:ascii="Cambria Math" w:hAnsi="Cambria Math"/>
                <w:i/>
                <w:sz w:val="24"/>
              </w:rPr>
            </m:ctrlPr>
          </m:den>
        </m:f>
      </m:oMath>
      <w:r>
        <w:t xml:space="preserve">                                    （1）</w:t>
      </w:r>
    </w:p>
    <w:p w14:paraId="14E4F2C2">
      <w:pPr>
        <w:ind w:left="708" w:hanging="708" w:hangingChars="322"/>
        <w:rPr>
          <w:color w:val="000000"/>
          <w:kern w:val="0"/>
          <w:sz w:val="22"/>
          <w:szCs w:val="22"/>
        </w:rPr>
      </w:pPr>
      <w:r>
        <w:rPr>
          <w:color w:val="000000"/>
          <w:kern w:val="0"/>
          <w:sz w:val="22"/>
          <w:szCs w:val="22"/>
        </w:rPr>
        <w:t>式中：</w:t>
      </w:r>
      <w:r>
        <w:rPr>
          <w:i/>
          <w:iCs/>
          <w:color w:val="000000"/>
          <w:kern w:val="0"/>
          <w:sz w:val="22"/>
          <w:szCs w:val="22"/>
        </w:rPr>
        <w:t>K</w:t>
      </w:r>
      <w:r>
        <w:rPr>
          <w:color w:val="000000"/>
          <w:kern w:val="0"/>
          <w:sz w:val="14"/>
          <w:szCs w:val="14"/>
        </w:rPr>
        <w:t>sam</w:t>
      </w:r>
      <w:r>
        <w:rPr>
          <w:color w:val="000000"/>
          <w:kern w:val="0"/>
          <w:sz w:val="22"/>
          <w:szCs w:val="22"/>
        </w:rPr>
        <w:t>——样品中某组分定性离子的相对离子丰度，%；</w:t>
      </w:r>
    </w:p>
    <w:p w14:paraId="36081682">
      <w:pPr>
        <w:ind w:left="708" w:hanging="708" w:hangingChars="322"/>
        <w:rPr>
          <w:color w:val="000000"/>
          <w:kern w:val="0"/>
          <w:sz w:val="22"/>
          <w:szCs w:val="22"/>
        </w:rPr>
      </w:pPr>
      <w:r>
        <w:rPr>
          <w:i/>
          <w:iCs/>
          <w:color w:val="000000"/>
          <w:kern w:val="0"/>
          <w:sz w:val="22"/>
          <w:szCs w:val="22"/>
        </w:rPr>
        <w:t>A</w:t>
      </w:r>
      <w:r>
        <w:rPr>
          <w:color w:val="000000"/>
          <w:kern w:val="0"/>
          <w:sz w:val="14"/>
          <w:szCs w:val="14"/>
        </w:rPr>
        <w:t>2</w:t>
      </w:r>
      <w:r>
        <w:rPr>
          <w:color w:val="000000"/>
          <w:kern w:val="0"/>
          <w:sz w:val="22"/>
          <w:szCs w:val="22"/>
        </w:rPr>
        <w:t>——样品中某组分定性离子对的峰面积（或峰高）；</w:t>
      </w:r>
    </w:p>
    <w:p w14:paraId="07CCFCAD">
      <w:pPr>
        <w:ind w:left="708" w:hanging="708" w:hangingChars="322"/>
        <w:rPr>
          <w:color w:val="000000"/>
          <w:kern w:val="0"/>
          <w:sz w:val="22"/>
          <w:szCs w:val="22"/>
        </w:rPr>
      </w:pPr>
      <w:r>
        <w:rPr>
          <w:i/>
          <w:iCs/>
          <w:color w:val="000000"/>
          <w:kern w:val="0"/>
          <w:sz w:val="22"/>
          <w:szCs w:val="22"/>
        </w:rPr>
        <w:t>A</w:t>
      </w:r>
      <w:r>
        <w:rPr>
          <w:color w:val="000000"/>
          <w:kern w:val="0"/>
          <w:sz w:val="14"/>
          <w:szCs w:val="14"/>
        </w:rPr>
        <w:t>1</w:t>
      </w:r>
      <w:r>
        <w:rPr>
          <w:color w:val="000000"/>
          <w:kern w:val="0"/>
          <w:sz w:val="22"/>
          <w:szCs w:val="22"/>
        </w:rPr>
        <w:t>——样品中某组分定量离子对的峰面积（或峰高）。</w:t>
      </w:r>
    </w:p>
    <w:p w14:paraId="0A015A37">
      <w:pPr>
        <w:jc w:val="center"/>
      </w:pPr>
      <w:r>
        <w:t xml:space="preserve">                                   </w:t>
      </w:r>
      <m:oMath>
        <m:sSub>
          <w:bookmarkStart w:id="49" w:name="_Hlk87432051"/>
          <w:bookmarkStart w:id="50" w:name="_Hlk87431903"/>
          <m:sSubPr>
            <m:ctrlPr>
              <w:rPr>
                <w:rFonts w:ascii="Cambria Math" w:hAnsi="Cambria Math"/>
                <w:i/>
                <w:sz w:val="24"/>
              </w:rPr>
            </m:ctrlPr>
          </m:sSubPr>
          <m:e>
            <m:r>
              <m:rPr/>
              <w:rPr>
                <w:rFonts w:ascii="Cambria Math" w:hAnsi="Cambria Math"/>
              </w:rPr>
              <m:t>K</m:t>
            </m:r>
            <m:ctrlPr>
              <w:rPr>
                <w:rFonts w:ascii="Cambria Math" w:hAnsi="Cambria Math"/>
                <w:i/>
                <w:sz w:val="24"/>
              </w:rPr>
            </m:ctrlPr>
          </m:e>
          <m:sub>
            <m:r>
              <m:rPr/>
              <w:rPr>
                <w:rFonts w:hint="eastAsia" w:ascii="Cambria Math" w:hAnsi="Cambria Math"/>
              </w:rPr>
              <m:t>std</m:t>
            </m:r>
            <m:ctrlPr>
              <w:rPr>
                <w:rFonts w:ascii="Cambria Math" w:hAnsi="Cambria Math"/>
                <w:i/>
                <w:sz w:val="24"/>
              </w:rPr>
            </m:ctrlPr>
          </m:sub>
        </m:sSub>
        <m:r>
          <m:rPr/>
          <w:rPr>
            <w:rFonts w:ascii="Cambria Math" w:hAnsi="Cambria Math"/>
          </w:rPr>
          <m:t>=</m:t>
        </m:r>
        <m:f>
          <m:fPr>
            <m:ctrlPr>
              <w:rPr>
                <w:rFonts w:ascii="Cambria Math" w:hAnsi="Cambria Math"/>
                <w:i/>
                <w:sz w:val="24"/>
              </w:rPr>
            </m:ctrlPr>
          </m:fPr>
          <m:num>
            <m:sSub>
              <m:sSubPr>
                <m:ctrlPr>
                  <w:rPr>
                    <w:rFonts w:ascii="Cambria Math" w:hAnsi="Cambria Math"/>
                    <w:i/>
                    <w:sz w:val="24"/>
                  </w:rPr>
                </m:ctrlPr>
              </m:sSubPr>
              <m:e>
                <m:r>
                  <m:rPr/>
                  <w:rPr>
                    <w:rFonts w:ascii="Cambria Math" w:hAnsi="Cambria Math"/>
                  </w:rPr>
                  <m:t>A</m:t>
                </m:r>
                <m:ctrlPr>
                  <w:rPr>
                    <w:rFonts w:ascii="Cambria Math" w:hAnsi="Cambria Math"/>
                    <w:i/>
                    <w:sz w:val="24"/>
                  </w:rPr>
                </m:ctrlPr>
              </m:e>
              <m:sub>
                <m:r>
                  <m:rPr/>
                  <w:rPr>
                    <w:rFonts w:ascii="Cambria Math" w:hAnsi="Cambria Math"/>
                  </w:rPr>
                  <m:t>std2</m:t>
                </m:r>
                <m:ctrlPr>
                  <w:rPr>
                    <w:rFonts w:ascii="Cambria Math" w:hAnsi="Cambria Math"/>
                    <w:i/>
                    <w:sz w:val="24"/>
                  </w:rPr>
                </m:ctrlPr>
              </m:sub>
            </m:sSub>
            <m:ctrlPr>
              <w:rPr>
                <w:rFonts w:ascii="Cambria Math" w:hAnsi="Cambria Math"/>
                <w:i/>
                <w:sz w:val="24"/>
              </w:rPr>
            </m:ctrlPr>
          </m:num>
          <m:den>
            <m:sSub>
              <m:sSubPr>
                <m:ctrlPr>
                  <w:rPr>
                    <w:rFonts w:ascii="Cambria Math" w:hAnsi="Cambria Math"/>
                    <w:i/>
                    <w:sz w:val="24"/>
                  </w:rPr>
                </m:ctrlPr>
              </m:sSubPr>
              <m:e>
                <m:r>
                  <m:rPr/>
                  <w:rPr>
                    <w:rFonts w:ascii="Cambria Math" w:hAnsi="Cambria Math"/>
                  </w:rPr>
                  <m:t>A</m:t>
                </m:r>
                <m:ctrlPr>
                  <w:rPr>
                    <w:rFonts w:ascii="Cambria Math" w:hAnsi="Cambria Math"/>
                    <w:i/>
                    <w:sz w:val="24"/>
                  </w:rPr>
                </m:ctrlPr>
              </m:e>
              <m:sub>
                <m:r>
                  <m:rPr/>
                  <w:rPr>
                    <w:rFonts w:ascii="Cambria Math" w:hAnsi="Cambria Math"/>
                  </w:rPr>
                  <m:t>std1</m:t>
                </m:r>
                <m:ctrlPr>
                  <w:rPr>
                    <w:rFonts w:ascii="Cambria Math" w:hAnsi="Cambria Math"/>
                    <w:i/>
                    <w:sz w:val="24"/>
                  </w:rPr>
                </m:ctrlPr>
              </m:sub>
            </m:sSub>
            <m:ctrlPr>
              <w:rPr>
                <w:rFonts w:ascii="Cambria Math" w:hAnsi="Cambria Math"/>
                <w:i/>
                <w:sz w:val="24"/>
              </w:rPr>
            </m:ctrlPr>
          </m:den>
        </m:f>
      </m:oMath>
      <w:r>
        <w:t xml:space="preserve">                                   （2）</w:t>
      </w:r>
    </w:p>
    <w:bookmarkEnd w:id="49"/>
    <w:bookmarkEnd w:id="50"/>
    <w:p w14:paraId="2BDFDD6C">
      <w:pPr>
        <w:ind w:left="851" w:leftChars="1" w:hanging="849" w:hangingChars="386"/>
        <w:rPr>
          <w:color w:val="000000"/>
          <w:kern w:val="0"/>
          <w:sz w:val="22"/>
          <w:szCs w:val="22"/>
        </w:rPr>
      </w:pPr>
      <w:r>
        <w:rPr>
          <w:color w:val="000000"/>
          <w:kern w:val="0"/>
          <w:sz w:val="22"/>
          <w:szCs w:val="22"/>
        </w:rPr>
        <w:t>式中：</w:t>
      </w:r>
      <w:r>
        <w:rPr>
          <w:i/>
          <w:iCs/>
          <w:color w:val="000000"/>
          <w:kern w:val="0"/>
          <w:sz w:val="22"/>
          <w:szCs w:val="22"/>
        </w:rPr>
        <w:t>K</w:t>
      </w:r>
      <w:r>
        <w:rPr>
          <w:color w:val="000000"/>
          <w:kern w:val="0"/>
          <w:sz w:val="14"/>
          <w:szCs w:val="14"/>
        </w:rPr>
        <w:t>std</w:t>
      </w:r>
      <w:r>
        <w:rPr>
          <w:color w:val="000000"/>
          <w:kern w:val="0"/>
          <w:sz w:val="22"/>
          <w:szCs w:val="22"/>
        </w:rPr>
        <w:t>——标准样品中某组分定性离子的相对离子丰度，%；</w:t>
      </w:r>
    </w:p>
    <w:p w14:paraId="0999AA92">
      <w:pPr>
        <w:ind w:left="632" w:leftChars="301"/>
        <w:rPr>
          <w:color w:val="000000"/>
          <w:kern w:val="0"/>
          <w:sz w:val="22"/>
          <w:szCs w:val="22"/>
        </w:rPr>
      </w:pPr>
      <w:r>
        <w:rPr>
          <w:i/>
          <w:iCs/>
          <w:color w:val="000000"/>
          <w:kern w:val="0"/>
          <w:sz w:val="22"/>
          <w:szCs w:val="22"/>
        </w:rPr>
        <w:t>A</w:t>
      </w:r>
      <w:r>
        <w:rPr>
          <w:color w:val="000000"/>
          <w:kern w:val="0"/>
          <w:sz w:val="14"/>
          <w:szCs w:val="14"/>
        </w:rPr>
        <w:t>std2</w:t>
      </w:r>
      <w:r>
        <w:rPr>
          <w:color w:val="000000"/>
          <w:kern w:val="0"/>
          <w:sz w:val="22"/>
          <w:szCs w:val="22"/>
        </w:rPr>
        <w:t>——标准样品中某组分定性离子对的峰面积（或峰高）；</w:t>
      </w:r>
    </w:p>
    <w:p w14:paraId="2ACBECF2">
      <w:pPr>
        <w:ind w:left="632" w:leftChars="301"/>
        <w:rPr>
          <w:color w:val="000000"/>
          <w:kern w:val="0"/>
          <w:sz w:val="22"/>
          <w:szCs w:val="22"/>
        </w:rPr>
      </w:pPr>
      <w:r>
        <w:rPr>
          <w:i/>
          <w:iCs/>
          <w:color w:val="000000"/>
          <w:kern w:val="0"/>
          <w:sz w:val="22"/>
          <w:szCs w:val="22"/>
        </w:rPr>
        <w:t>A</w:t>
      </w:r>
      <w:r>
        <w:rPr>
          <w:color w:val="000000"/>
          <w:kern w:val="0"/>
          <w:sz w:val="14"/>
          <w:szCs w:val="14"/>
        </w:rPr>
        <w:t>std1</w:t>
      </w:r>
      <w:r>
        <w:rPr>
          <w:color w:val="000000"/>
          <w:kern w:val="0"/>
          <w:sz w:val="22"/>
          <w:szCs w:val="22"/>
        </w:rPr>
        <w:t>——标准样品中某组分定量离子对的峰面积（或峰高）。</w:t>
      </w:r>
    </w:p>
    <w:p w14:paraId="01D35FEE">
      <w:pPr>
        <w:jc w:val="center"/>
        <w:rPr>
          <w:rFonts w:eastAsia="黑体"/>
          <w:color w:val="000000"/>
          <w:kern w:val="0"/>
          <w:sz w:val="22"/>
          <w:szCs w:val="22"/>
        </w:rPr>
      </w:pPr>
    </w:p>
    <w:p w14:paraId="06933388">
      <w:pPr>
        <w:jc w:val="center"/>
        <w:rPr>
          <w:color w:val="000000"/>
          <w:sz w:val="22"/>
          <w:szCs w:val="22"/>
        </w:rPr>
      </w:pPr>
      <w:r>
        <w:rPr>
          <w:rFonts w:eastAsia="黑体"/>
          <w:color w:val="000000"/>
          <w:kern w:val="0"/>
          <w:sz w:val="22"/>
          <w:szCs w:val="22"/>
        </w:rPr>
        <w:t xml:space="preserve">                     表 </w:t>
      </w:r>
      <w:r>
        <w:rPr>
          <w:color w:val="000000"/>
          <w:kern w:val="0"/>
          <w:sz w:val="22"/>
          <w:szCs w:val="22"/>
        </w:rPr>
        <w:t xml:space="preserve">3 </w:t>
      </w:r>
      <w:r>
        <w:rPr>
          <w:rFonts w:eastAsia="黑体"/>
          <w:color w:val="000000"/>
          <w:kern w:val="0"/>
          <w:sz w:val="22"/>
          <w:szCs w:val="22"/>
        </w:rPr>
        <w:t xml:space="preserve">定性确认时相对离子丰度的最大允许偏差               </w:t>
      </w:r>
      <w:r>
        <w:rPr>
          <w:color w:val="000000"/>
          <w:kern w:val="0"/>
          <w:sz w:val="18"/>
          <w:szCs w:val="18"/>
        </w:rPr>
        <w:t>单位： %</w:t>
      </w:r>
    </w:p>
    <w:tbl>
      <w:tblPr>
        <w:tblStyle w:val="32"/>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715"/>
        <w:gridCol w:w="999"/>
        <w:gridCol w:w="1428"/>
        <w:gridCol w:w="1428"/>
        <w:gridCol w:w="1000"/>
      </w:tblGrid>
      <w:tr w14:paraId="58691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463" w:type="pct"/>
            <w:tcBorders>
              <w:top w:val="single" w:color="auto" w:sz="4" w:space="0"/>
              <w:left w:val="single" w:color="auto" w:sz="4" w:space="0"/>
              <w:bottom w:val="single" w:color="auto" w:sz="4" w:space="0"/>
              <w:right w:val="single" w:color="auto" w:sz="4" w:space="0"/>
            </w:tcBorders>
            <w:vAlign w:val="center"/>
          </w:tcPr>
          <w:p w14:paraId="3A70608C">
            <w:pPr>
              <w:widowControl/>
              <w:jc w:val="center"/>
              <w:rPr>
                <w:color w:val="000000"/>
                <w:kern w:val="0"/>
                <w:szCs w:val="21"/>
              </w:rPr>
            </w:pPr>
            <w:r>
              <w:rPr>
                <w:color w:val="000000"/>
                <w:kern w:val="0"/>
                <w:szCs w:val="21"/>
              </w:rPr>
              <w:t>标准样品中某组分定性离子的相对离子丰度</w:t>
            </w:r>
          </w:p>
          <w:p w14:paraId="750647A5">
            <w:pPr>
              <w:widowControl/>
              <w:jc w:val="center"/>
              <w:rPr>
                <w:kern w:val="0"/>
                <w:szCs w:val="21"/>
              </w:rPr>
            </w:pPr>
            <w:r>
              <w:rPr>
                <w:color w:val="000000"/>
                <w:kern w:val="0"/>
                <w:szCs w:val="21"/>
              </w:rPr>
              <w:t>（</w:t>
            </w:r>
            <w:r>
              <w:rPr>
                <w:i/>
                <w:iCs/>
                <w:color w:val="000000"/>
                <w:kern w:val="0"/>
                <w:szCs w:val="21"/>
              </w:rPr>
              <w:t>K</w:t>
            </w:r>
            <w:r>
              <w:rPr>
                <w:color w:val="000000"/>
                <w:kern w:val="0"/>
                <w:szCs w:val="21"/>
                <w:vertAlign w:val="subscript"/>
              </w:rPr>
              <w:t>std</w:t>
            </w:r>
            <w:r>
              <w:rPr>
                <w:color w:val="000000"/>
                <w:kern w:val="0"/>
                <w:szCs w:val="21"/>
              </w:rPr>
              <w:t>）</w:t>
            </w:r>
          </w:p>
        </w:tc>
        <w:tc>
          <w:tcPr>
            <w:tcW w:w="522" w:type="pct"/>
            <w:tcBorders>
              <w:top w:val="single" w:color="auto" w:sz="4" w:space="0"/>
              <w:left w:val="single" w:color="auto" w:sz="4" w:space="0"/>
              <w:bottom w:val="single" w:color="auto" w:sz="4" w:space="0"/>
              <w:right w:val="single" w:color="auto" w:sz="4" w:space="0"/>
            </w:tcBorders>
            <w:vAlign w:val="center"/>
          </w:tcPr>
          <w:p w14:paraId="513D978B">
            <w:pPr>
              <w:widowControl/>
              <w:jc w:val="center"/>
              <w:rPr>
                <w:kern w:val="0"/>
                <w:szCs w:val="21"/>
              </w:rPr>
            </w:pPr>
            <w:r>
              <w:rPr>
                <w:i/>
                <w:iCs/>
                <w:color w:val="000000"/>
                <w:kern w:val="0"/>
                <w:szCs w:val="21"/>
              </w:rPr>
              <w:t>K</w:t>
            </w:r>
            <w:r>
              <w:rPr>
                <w:color w:val="000000"/>
                <w:kern w:val="0"/>
                <w:szCs w:val="21"/>
                <w:vertAlign w:val="subscript"/>
              </w:rPr>
              <w:t>std</w:t>
            </w:r>
            <w:r>
              <w:rPr>
                <w:color w:val="000000"/>
                <w:kern w:val="0"/>
                <w:szCs w:val="21"/>
              </w:rPr>
              <w:t>＞50</w:t>
            </w:r>
          </w:p>
        </w:tc>
        <w:tc>
          <w:tcPr>
            <w:tcW w:w="746" w:type="pct"/>
            <w:tcBorders>
              <w:top w:val="single" w:color="auto" w:sz="4" w:space="0"/>
              <w:left w:val="single" w:color="auto" w:sz="4" w:space="0"/>
              <w:bottom w:val="single" w:color="auto" w:sz="4" w:space="0"/>
              <w:right w:val="single" w:color="auto" w:sz="4" w:space="0"/>
            </w:tcBorders>
            <w:vAlign w:val="center"/>
          </w:tcPr>
          <w:p w14:paraId="144517F4">
            <w:pPr>
              <w:widowControl/>
              <w:jc w:val="center"/>
              <w:rPr>
                <w:kern w:val="0"/>
                <w:szCs w:val="21"/>
              </w:rPr>
            </w:pPr>
            <w:r>
              <w:rPr>
                <w:color w:val="000000"/>
                <w:kern w:val="0"/>
                <w:szCs w:val="21"/>
              </w:rPr>
              <w:t>20＜</w:t>
            </w:r>
            <w:r>
              <w:rPr>
                <w:i/>
                <w:iCs/>
                <w:color w:val="000000"/>
                <w:kern w:val="0"/>
                <w:szCs w:val="21"/>
              </w:rPr>
              <w:t>K</w:t>
            </w:r>
            <w:r>
              <w:rPr>
                <w:color w:val="000000"/>
                <w:kern w:val="0"/>
                <w:szCs w:val="21"/>
                <w:vertAlign w:val="subscript"/>
              </w:rPr>
              <w:t>std</w:t>
            </w:r>
            <w:r>
              <w:rPr>
                <w:color w:val="000000"/>
                <w:kern w:val="0"/>
                <w:szCs w:val="21"/>
              </w:rPr>
              <w:t>≤50</w:t>
            </w:r>
          </w:p>
        </w:tc>
        <w:tc>
          <w:tcPr>
            <w:tcW w:w="746" w:type="pct"/>
            <w:tcBorders>
              <w:top w:val="single" w:color="auto" w:sz="4" w:space="0"/>
              <w:left w:val="single" w:color="auto" w:sz="4" w:space="0"/>
              <w:bottom w:val="single" w:color="auto" w:sz="4" w:space="0"/>
              <w:right w:val="single" w:color="auto" w:sz="4" w:space="0"/>
            </w:tcBorders>
            <w:vAlign w:val="center"/>
          </w:tcPr>
          <w:p w14:paraId="3ED163DD">
            <w:pPr>
              <w:widowControl/>
              <w:jc w:val="center"/>
              <w:rPr>
                <w:kern w:val="0"/>
                <w:szCs w:val="21"/>
              </w:rPr>
            </w:pPr>
            <w:r>
              <w:rPr>
                <w:color w:val="000000"/>
                <w:kern w:val="0"/>
                <w:szCs w:val="21"/>
              </w:rPr>
              <w:t>10＜</w:t>
            </w:r>
            <w:r>
              <w:rPr>
                <w:i/>
                <w:iCs/>
                <w:color w:val="000000"/>
                <w:kern w:val="0"/>
                <w:szCs w:val="21"/>
              </w:rPr>
              <w:t>K</w:t>
            </w:r>
            <w:r>
              <w:rPr>
                <w:color w:val="000000"/>
                <w:kern w:val="0"/>
                <w:szCs w:val="21"/>
                <w:vertAlign w:val="subscript"/>
              </w:rPr>
              <w:t>std</w:t>
            </w:r>
            <w:r>
              <w:rPr>
                <w:color w:val="000000"/>
                <w:kern w:val="0"/>
                <w:szCs w:val="21"/>
              </w:rPr>
              <w:t>≤20</w:t>
            </w:r>
          </w:p>
        </w:tc>
        <w:tc>
          <w:tcPr>
            <w:tcW w:w="522" w:type="pct"/>
            <w:tcBorders>
              <w:top w:val="single" w:color="auto" w:sz="4" w:space="0"/>
              <w:left w:val="single" w:color="auto" w:sz="4" w:space="0"/>
              <w:bottom w:val="single" w:color="auto" w:sz="4" w:space="0"/>
              <w:right w:val="single" w:color="auto" w:sz="4" w:space="0"/>
            </w:tcBorders>
            <w:vAlign w:val="center"/>
          </w:tcPr>
          <w:p w14:paraId="5E282DAF">
            <w:pPr>
              <w:widowControl/>
              <w:jc w:val="center"/>
              <w:rPr>
                <w:kern w:val="0"/>
                <w:szCs w:val="21"/>
              </w:rPr>
            </w:pPr>
            <w:r>
              <w:rPr>
                <w:i/>
                <w:iCs/>
                <w:color w:val="000000"/>
                <w:kern w:val="0"/>
                <w:szCs w:val="21"/>
              </w:rPr>
              <w:t>K</w:t>
            </w:r>
            <w:r>
              <w:rPr>
                <w:color w:val="000000"/>
                <w:kern w:val="0"/>
                <w:szCs w:val="21"/>
                <w:vertAlign w:val="subscript"/>
              </w:rPr>
              <w:t>std</w:t>
            </w:r>
            <w:r>
              <w:rPr>
                <w:color w:val="000000"/>
                <w:kern w:val="0"/>
                <w:szCs w:val="21"/>
              </w:rPr>
              <w:t>≤10</w:t>
            </w:r>
          </w:p>
        </w:tc>
      </w:tr>
      <w:tr w14:paraId="3065A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463" w:type="pct"/>
            <w:tcBorders>
              <w:top w:val="single" w:color="auto" w:sz="4" w:space="0"/>
              <w:left w:val="single" w:color="auto" w:sz="4" w:space="0"/>
              <w:bottom w:val="single" w:color="auto" w:sz="4" w:space="0"/>
              <w:right w:val="single" w:color="auto" w:sz="4" w:space="0"/>
            </w:tcBorders>
            <w:vAlign w:val="center"/>
          </w:tcPr>
          <w:p w14:paraId="5C292FB5">
            <w:pPr>
              <w:widowControl/>
              <w:jc w:val="center"/>
              <w:rPr>
                <w:color w:val="000000"/>
                <w:kern w:val="0"/>
                <w:szCs w:val="21"/>
              </w:rPr>
            </w:pPr>
            <w:r>
              <w:rPr>
                <w:color w:val="000000"/>
                <w:kern w:val="0"/>
                <w:szCs w:val="21"/>
              </w:rPr>
              <w:t>样品中某组分定性离子的相对离子丰度（</w:t>
            </w:r>
            <w:r>
              <w:rPr>
                <w:i/>
                <w:iCs/>
                <w:color w:val="000000"/>
                <w:kern w:val="0"/>
                <w:szCs w:val="21"/>
              </w:rPr>
              <w:t>K</w:t>
            </w:r>
            <w:r>
              <w:rPr>
                <w:color w:val="000000"/>
                <w:kern w:val="0"/>
                <w:szCs w:val="21"/>
              </w:rPr>
              <w:t>s</w:t>
            </w:r>
            <w:r>
              <w:rPr>
                <w:color w:val="000000"/>
                <w:kern w:val="0"/>
                <w:szCs w:val="21"/>
                <w:vertAlign w:val="subscript"/>
              </w:rPr>
              <w:t>am</w:t>
            </w:r>
            <w:r>
              <w:rPr>
                <w:color w:val="000000"/>
                <w:kern w:val="0"/>
                <w:szCs w:val="21"/>
              </w:rPr>
              <w:t>）</w:t>
            </w:r>
          </w:p>
          <w:p w14:paraId="06DBBBE5">
            <w:pPr>
              <w:widowControl/>
              <w:jc w:val="center"/>
              <w:rPr>
                <w:kern w:val="0"/>
                <w:szCs w:val="21"/>
              </w:rPr>
            </w:pPr>
            <w:r>
              <w:rPr>
                <w:color w:val="000000"/>
                <w:kern w:val="0"/>
                <w:szCs w:val="21"/>
              </w:rPr>
              <w:t>允许的最大偏差</w:t>
            </w:r>
          </w:p>
        </w:tc>
        <w:tc>
          <w:tcPr>
            <w:tcW w:w="522" w:type="pct"/>
            <w:tcBorders>
              <w:top w:val="single" w:color="auto" w:sz="4" w:space="0"/>
              <w:left w:val="single" w:color="auto" w:sz="4" w:space="0"/>
              <w:bottom w:val="single" w:color="auto" w:sz="4" w:space="0"/>
              <w:right w:val="single" w:color="auto" w:sz="4" w:space="0"/>
            </w:tcBorders>
            <w:vAlign w:val="center"/>
          </w:tcPr>
          <w:p w14:paraId="574C568D">
            <w:pPr>
              <w:widowControl/>
              <w:jc w:val="center"/>
              <w:rPr>
                <w:kern w:val="0"/>
                <w:szCs w:val="21"/>
              </w:rPr>
            </w:pPr>
            <w:r>
              <w:rPr>
                <w:color w:val="000000"/>
                <w:kern w:val="0"/>
                <w:szCs w:val="21"/>
              </w:rPr>
              <w:t>±20</w:t>
            </w:r>
          </w:p>
        </w:tc>
        <w:tc>
          <w:tcPr>
            <w:tcW w:w="746" w:type="pct"/>
            <w:tcBorders>
              <w:top w:val="single" w:color="auto" w:sz="4" w:space="0"/>
              <w:left w:val="single" w:color="auto" w:sz="4" w:space="0"/>
              <w:bottom w:val="single" w:color="auto" w:sz="4" w:space="0"/>
              <w:right w:val="single" w:color="auto" w:sz="4" w:space="0"/>
            </w:tcBorders>
            <w:vAlign w:val="center"/>
          </w:tcPr>
          <w:p w14:paraId="246449CB">
            <w:pPr>
              <w:widowControl/>
              <w:jc w:val="center"/>
              <w:rPr>
                <w:kern w:val="0"/>
                <w:szCs w:val="21"/>
              </w:rPr>
            </w:pPr>
            <w:r>
              <w:rPr>
                <w:color w:val="000000"/>
                <w:kern w:val="0"/>
                <w:szCs w:val="21"/>
              </w:rPr>
              <w:t>±25</w:t>
            </w:r>
          </w:p>
        </w:tc>
        <w:tc>
          <w:tcPr>
            <w:tcW w:w="746" w:type="pct"/>
            <w:tcBorders>
              <w:top w:val="single" w:color="auto" w:sz="4" w:space="0"/>
              <w:left w:val="single" w:color="auto" w:sz="4" w:space="0"/>
              <w:bottom w:val="single" w:color="auto" w:sz="4" w:space="0"/>
              <w:right w:val="single" w:color="auto" w:sz="4" w:space="0"/>
            </w:tcBorders>
            <w:vAlign w:val="center"/>
          </w:tcPr>
          <w:p w14:paraId="29777CE4">
            <w:pPr>
              <w:widowControl/>
              <w:jc w:val="center"/>
              <w:rPr>
                <w:kern w:val="0"/>
                <w:szCs w:val="21"/>
              </w:rPr>
            </w:pPr>
            <w:r>
              <w:rPr>
                <w:color w:val="000000"/>
                <w:kern w:val="0"/>
                <w:szCs w:val="21"/>
              </w:rPr>
              <w:t>±30</w:t>
            </w:r>
          </w:p>
        </w:tc>
        <w:tc>
          <w:tcPr>
            <w:tcW w:w="522" w:type="pct"/>
            <w:tcBorders>
              <w:top w:val="single" w:color="auto" w:sz="4" w:space="0"/>
              <w:left w:val="single" w:color="auto" w:sz="4" w:space="0"/>
              <w:bottom w:val="single" w:color="auto" w:sz="4" w:space="0"/>
              <w:right w:val="single" w:color="auto" w:sz="4" w:space="0"/>
            </w:tcBorders>
            <w:vAlign w:val="center"/>
          </w:tcPr>
          <w:p w14:paraId="5AC538E4">
            <w:pPr>
              <w:widowControl/>
              <w:jc w:val="center"/>
              <w:rPr>
                <w:kern w:val="0"/>
                <w:szCs w:val="21"/>
              </w:rPr>
            </w:pPr>
            <w:r>
              <w:rPr>
                <w:color w:val="000000"/>
                <w:kern w:val="0"/>
                <w:szCs w:val="21"/>
              </w:rPr>
              <w:t>±50</w:t>
            </w:r>
          </w:p>
        </w:tc>
      </w:tr>
    </w:tbl>
    <w:p w14:paraId="007DA3E7">
      <w:pPr>
        <w:ind w:firstLine="420"/>
      </w:pPr>
    </w:p>
    <w:p w14:paraId="2D0D9C77">
      <w:pPr>
        <w:pStyle w:val="145"/>
        <w:rPr>
          <w:rFonts w:ascii="Times New Roman"/>
        </w:rPr>
      </w:pPr>
      <w:bookmarkStart w:id="51" w:name="OLE_LINK49"/>
      <w:r>
        <w:rPr>
          <w:rFonts w:ascii="Times New Roman"/>
        </w:rPr>
        <w:t>结果计算</w:t>
      </w:r>
    </w:p>
    <w:bookmarkEnd w:id="51"/>
    <w:p w14:paraId="360BC540"/>
    <w:p w14:paraId="59C653F3">
      <w:pPr>
        <w:jc w:val="center"/>
      </w:pPr>
      <w:r>
        <w:t>样品中目标化合物的质量浓度，按照式（4）计算：</w:t>
      </w:r>
    </w:p>
    <w:p w14:paraId="2FA1B3EC">
      <w:pPr>
        <w:jc w:val="right"/>
      </w:pPr>
      <m:oMath>
        <m:r>
          <m:rPr>
            <m:sty m:val="p"/>
          </m:rPr>
          <w:rPr>
            <w:rFonts w:ascii="Cambria Math" w:hAnsi="Cambria Math"/>
          </w:rPr>
          <m:t xml:space="preserve">ρ </m:t>
        </m:r>
        <m:r>
          <m:rPr/>
          <w:rPr>
            <w:rFonts w:ascii="Cambria Math" w:hAnsi="Cambria Math"/>
            <w:sz w:val="12"/>
            <w:szCs w:val="12"/>
          </w:rPr>
          <m:t xml:space="preserve">i </m:t>
        </m:r>
        <m:r>
          <m:rPr>
            <m:sty m:val="p"/>
          </m:rPr>
          <w:rPr>
            <w:rFonts w:ascii="Cambria Math" w:hAnsi="Cambria Math"/>
          </w:rPr>
          <m:t>=</m:t>
        </m:r>
        <m:f>
          <m:fPr>
            <m:ctrlPr>
              <w:rPr>
                <w:rFonts w:ascii="Cambria Math" w:hAnsi="Cambria Math"/>
              </w:rPr>
            </m:ctrlPr>
          </m:fPr>
          <m:num>
            <m:r>
              <m:rPr>
                <m:sty m:val="p"/>
              </m:rPr>
              <w:rPr>
                <w:rFonts w:ascii="Cambria Math" w:hAnsi="Cambria Math"/>
              </w:rPr>
              <m:t>ρ</m:t>
            </m:r>
            <m:r>
              <m:rPr>
                <m:sty m:val="p"/>
              </m:rPr>
              <w:rPr>
                <w:rFonts w:ascii="Cambria Math" w:hAnsi="Cambria Math"/>
                <w:sz w:val="12"/>
                <w:szCs w:val="12"/>
              </w:rPr>
              <m:t>1</m:t>
            </m:r>
            <m:r>
              <m:rPr>
                <m:sty m:val="p"/>
              </m:rPr>
              <w:rPr>
                <w:rFonts w:ascii="Cambria Math" w:hAnsi="Cambria Math"/>
              </w:rPr>
              <m:t xml:space="preserve"> ×</m:t>
            </m:r>
            <m:sSub>
              <m:sSubPr>
                <m:ctrlPr>
                  <w:rPr>
                    <w:rFonts w:ascii="Cambria Math" w:hAnsi="Cambria Math"/>
                    <w:i/>
                    <w:iCs/>
                  </w:rPr>
                </m:ctrlPr>
              </m:sSubPr>
              <m:e>
                <m:r>
                  <m:rPr/>
                  <w:rPr>
                    <w:rFonts w:hint="eastAsia" w:ascii="Cambria Math" w:hAnsi="Cambria Math"/>
                  </w:rPr>
                  <m:t>V</m:t>
                </m:r>
                <m:ctrlPr>
                  <w:rPr>
                    <w:rFonts w:ascii="Cambria Math" w:hAnsi="Cambria Math"/>
                    <w:i/>
                    <w:iCs/>
                  </w:rPr>
                </m:ctrlPr>
              </m:e>
              <m:sub>
                <m:r>
                  <m:rPr/>
                  <w:rPr>
                    <w:rFonts w:ascii="Cambria Math" w:hAnsi="Cambria Math"/>
                  </w:rPr>
                  <m:t>1</m:t>
                </m:r>
                <m:ctrlPr>
                  <w:rPr>
                    <w:rFonts w:ascii="Cambria Math" w:hAnsi="Cambria Math"/>
                    <w:i/>
                    <w:iCs/>
                  </w:rPr>
                </m:ctrlPr>
              </m:sub>
            </m:sSub>
            <m:ctrlPr>
              <w:rPr>
                <w:rFonts w:ascii="Cambria Math" w:hAnsi="Cambria Math"/>
              </w:rPr>
            </m:ctrlPr>
          </m:num>
          <m:den>
            <m:r>
              <m:rPr/>
              <w:rPr>
                <w:rFonts w:hint="eastAsia" w:ascii="Cambria Math" w:hAnsi="Cambria Math"/>
              </w:rPr>
              <m:t>V</m:t>
            </m:r>
            <m:ctrlPr>
              <w:rPr>
                <w:rFonts w:ascii="Cambria Math" w:hAnsi="Cambria Math"/>
              </w:rPr>
            </m:ctrlPr>
          </m:den>
        </m:f>
        <m:r>
          <m:rPr>
            <m:sty m:val="p"/>
          </m:rPr>
          <w:rPr>
            <w:rFonts w:ascii="Cambria Math" w:hAnsi="Cambria Math"/>
          </w:rPr>
          <m:t xml:space="preserve"> ×</m:t>
        </m:r>
        <m:r>
          <m:rPr>
            <m:sty m:val="p"/>
          </m:rPr>
          <w:rPr>
            <w:rFonts w:hint="eastAsia" w:ascii="Cambria Math" w:hAnsi="Cambria Math"/>
          </w:rPr>
          <m:t>D</m:t>
        </m:r>
      </m:oMath>
      <w:r>
        <w:t xml:space="preserve">                                  （4）</w:t>
      </w:r>
    </w:p>
    <w:p w14:paraId="41140EE0"/>
    <w:p w14:paraId="2990210C">
      <w:r>
        <w:t xml:space="preserve">式中： </w:t>
      </w:r>
      <w:r>
        <w:rPr>
          <w:i/>
          <w:iCs/>
        </w:rPr>
        <w:t>ρ</w:t>
      </w:r>
      <w:r>
        <w:rPr>
          <w:i/>
          <w:iCs/>
          <w:sz w:val="14"/>
          <w:szCs w:val="14"/>
        </w:rPr>
        <w:t>i</w:t>
      </w:r>
      <w:r>
        <w:t xml:space="preserve"> ——样品中目标化合物的质量浓度，μg/L；</w:t>
      </w:r>
    </w:p>
    <w:p w14:paraId="69CA7E66">
      <w:r>
        <w:t xml:space="preserve">       </w:t>
      </w:r>
      <w:r>
        <w:rPr>
          <w:i/>
          <w:iCs/>
        </w:rPr>
        <w:t>ρ</w:t>
      </w:r>
      <w:r>
        <w:rPr>
          <w:sz w:val="14"/>
          <w:szCs w:val="14"/>
        </w:rPr>
        <w:t>1</w:t>
      </w:r>
      <w:r>
        <w:t xml:space="preserve"> ——由标准曲线得到的试样中目标化合物的质量浓度，μg/L；</w:t>
      </w:r>
    </w:p>
    <w:p w14:paraId="3BFFAF88">
      <w:r>
        <w:rPr>
          <w:rFonts w:hint="eastAsia"/>
        </w:rPr>
        <w:t xml:space="preserve"> </w:t>
      </w:r>
      <w:r>
        <w:t xml:space="preserve">      </w:t>
      </w:r>
      <w:r>
        <w:rPr>
          <w:rFonts w:hint="eastAsia"/>
        </w:rPr>
        <w:t>V</w:t>
      </w:r>
      <w:r>
        <w:rPr>
          <w:rFonts w:hint="eastAsia"/>
          <w:vertAlign w:val="subscript"/>
        </w:rPr>
        <w:t>1</w:t>
      </w:r>
      <w:r>
        <w:rPr>
          <w:vertAlign w:val="subscript"/>
        </w:rPr>
        <w:t xml:space="preserve"> </w:t>
      </w:r>
      <w:r>
        <w:t>——</w:t>
      </w:r>
      <w:r>
        <w:rPr>
          <w:rFonts w:hint="eastAsia"/>
        </w:rPr>
        <w:t>试样体积，ml；</w:t>
      </w:r>
    </w:p>
    <w:p w14:paraId="704B81DD">
      <w:r>
        <w:rPr>
          <w:rFonts w:hint="eastAsia"/>
        </w:rPr>
        <w:t xml:space="preserve"> </w:t>
      </w:r>
      <w:r>
        <w:t xml:space="preserve">      </w:t>
      </w:r>
      <w:r>
        <w:rPr>
          <w:rFonts w:hint="eastAsia"/>
        </w:rPr>
        <w:t>V</w:t>
      </w:r>
      <w:r>
        <w:t xml:space="preserve"> ——</w:t>
      </w:r>
      <w:r>
        <w:rPr>
          <w:rFonts w:hint="eastAsia"/>
        </w:rPr>
        <w:t>取样体积，ml；</w:t>
      </w:r>
    </w:p>
    <w:p w14:paraId="3466D82E">
      <w:r>
        <w:t xml:space="preserve">       D ——样品的稀释倍数。</w:t>
      </w:r>
    </w:p>
    <w:p w14:paraId="36958079"/>
    <w:p w14:paraId="17EDA9C9">
      <w:pPr>
        <w:pStyle w:val="145"/>
        <w:rPr>
          <w:rFonts w:ascii="Times New Roman"/>
        </w:rPr>
      </w:pPr>
      <w:r>
        <w:rPr>
          <w:rFonts w:ascii="Times New Roman"/>
        </w:rPr>
        <w:t>结果表示</w:t>
      </w:r>
    </w:p>
    <w:p w14:paraId="15968BFA">
      <w:pPr>
        <w:ind w:firstLine="420"/>
      </w:pPr>
      <w:r>
        <w:t>测定结果小数点后位数的保留与方法检出限一致，最多保留3位有效数字。</w:t>
      </w:r>
    </w:p>
    <w:p w14:paraId="134BFB1F">
      <w:pPr>
        <w:pStyle w:val="81"/>
      </w:pPr>
      <w:bookmarkStart w:id="52" w:name="_Toc12588"/>
      <w:r>
        <w:rPr>
          <w:rFonts w:hint="eastAsia"/>
        </w:rPr>
        <w:t>检出限和定量限</w:t>
      </w:r>
      <w:bookmarkEnd w:id="52"/>
    </w:p>
    <w:p w14:paraId="00DA3902">
      <w:pPr>
        <w:ind w:firstLine="420"/>
      </w:pPr>
      <w:r>
        <w:rPr>
          <w:rFonts w:hint="eastAsia"/>
        </w:rPr>
        <w:t>方法检出限和定量限见附录 C。</w:t>
      </w:r>
    </w:p>
    <w:p w14:paraId="4A3FF128">
      <w:pPr>
        <w:pStyle w:val="81"/>
        <w:rPr>
          <w:rFonts w:ascii="Times New Roman"/>
        </w:rPr>
      </w:pPr>
      <w:bookmarkStart w:id="53" w:name="_Toc87433443"/>
      <w:bookmarkStart w:id="54" w:name="_Toc21704"/>
      <w:r>
        <w:rPr>
          <w:rFonts w:ascii="Times New Roman"/>
        </w:rPr>
        <w:t>准确度</w:t>
      </w:r>
      <w:bookmarkEnd w:id="53"/>
      <w:r>
        <w:rPr>
          <w:rFonts w:hint="eastAsia" w:ascii="Times New Roman"/>
        </w:rPr>
        <w:t>和精密度</w:t>
      </w:r>
      <w:bookmarkEnd w:id="54"/>
    </w:p>
    <w:p w14:paraId="7AA9F1D3">
      <w:pPr>
        <w:ind w:firstLine="420"/>
      </w:pPr>
      <w:r>
        <w:rPr>
          <w:rFonts w:hint="eastAsia"/>
        </w:rPr>
        <w:t>在添加浓度10</w:t>
      </w:r>
      <w:r>
        <w:t>~100 ng/L</w:t>
      </w:r>
      <w:r>
        <w:rPr>
          <w:rFonts w:hint="eastAsia"/>
        </w:rPr>
        <w:t>范围内，</w:t>
      </w:r>
      <w:r>
        <w:rPr>
          <w:rFonts w:hint="eastAsia"/>
          <w:highlight w:val="none"/>
        </w:rPr>
        <w:t>回收率为</w:t>
      </w:r>
      <w:r>
        <w:rPr>
          <w:rFonts w:hint="eastAsia"/>
          <w:highlight w:val="none"/>
          <w:lang w:val="en-US" w:eastAsia="zh-CN"/>
        </w:rPr>
        <w:t>6</w:t>
      </w:r>
      <w:r>
        <w:rPr>
          <w:rFonts w:hint="eastAsia"/>
          <w:highlight w:val="none"/>
        </w:rPr>
        <w:t>1.1</w:t>
      </w:r>
      <w:r>
        <w:rPr>
          <w:highlight w:val="none"/>
        </w:rPr>
        <w:t>%~</w:t>
      </w:r>
      <w:r>
        <w:rPr>
          <w:rFonts w:hint="eastAsia"/>
          <w:highlight w:val="none"/>
        </w:rPr>
        <w:t>123.8</w:t>
      </w:r>
      <w:r>
        <w:rPr>
          <w:highlight w:val="none"/>
        </w:rPr>
        <w:t>%</w:t>
      </w:r>
      <w:r>
        <w:rPr>
          <w:rFonts w:hint="eastAsia"/>
          <w:highlight w:val="none"/>
        </w:rPr>
        <w:t>，相对标准偏差为1.1</w:t>
      </w:r>
      <w:r>
        <w:rPr>
          <w:highlight w:val="none"/>
        </w:rPr>
        <w:t>%~</w:t>
      </w:r>
      <w:r>
        <w:rPr>
          <w:rFonts w:hint="eastAsia"/>
          <w:highlight w:val="none"/>
          <w:lang w:val="en-US" w:eastAsia="zh-CN"/>
        </w:rPr>
        <w:t>12.5</w:t>
      </w:r>
      <w:r>
        <w:rPr>
          <w:highlight w:val="none"/>
        </w:rPr>
        <w:t>%</w:t>
      </w:r>
      <w:r>
        <w:rPr>
          <w:rFonts w:hint="eastAsia"/>
        </w:rPr>
        <w:t xml:space="preserve">。 </w:t>
      </w:r>
    </w:p>
    <w:p w14:paraId="2231D261">
      <w:pPr>
        <w:pStyle w:val="81"/>
        <w:rPr>
          <w:rFonts w:ascii="Times New Roman"/>
        </w:rPr>
      </w:pPr>
      <w:bookmarkStart w:id="55" w:name="_Toc87433444"/>
      <w:bookmarkStart w:id="56" w:name="_Toc30075"/>
      <w:bookmarkStart w:id="57" w:name="OLE_LINK54"/>
      <w:r>
        <w:rPr>
          <w:rFonts w:ascii="Times New Roman"/>
        </w:rPr>
        <w:t>质量保证和质量控制</w:t>
      </w:r>
      <w:bookmarkEnd w:id="55"/>
      <w:bookmarkEnd w:id="56"/>
    </w:p>
    <w:bookmarkEnd w:id="57"/>
    <w:p w14:paraId="33CE66F0">
      <w:pPr>
        <w:pStyle w:val="145"/>
        <w:rPr>
          <w:rFonts w:ascii="Times New Roman"/>
        </w:rPr>
      </w:pPr>
      <w:r>
        <w:rPr>
          <w:rFonts w:ascii="Times New Roman"/>
        </w:rPr>
        <w:t>空白试验</w:t>
      </w:r>
    </w:p>
    <w:p w14:paraId="068B1B74">
      <w:pPr>
        <w:ind w:firstLine="420"/>
      </w:pPr>
      <w:r>
        <w:t>每20个样品或每批次（少于20个样品）应至少做一个空白试验，测定结果应低于方法检出限。</w:t>
      </w:r>
    </w:p>
    <w:p w14:paraId="3104FE72">
      <w:pPr>
        <w:ind w:firstLine="420"/>
      </w:pPr>
    </w:p>
    <w:p w14:paraId="1A1BF079">
      <w:pPr>
        <w:pStyle w:val="145"/>
        <w:rPr>
          <w:rFonts w:ascii="Times New Roman"/>
        </w:rPr>
      </w:pPr>
      <w:bookmarkStart w:id="58" w:name="OLE_LINK52"/>
      <w:r>
        <w:rPr>
          <w:rFonts w:ascii="Times New Roman"/>
        </w:rPr>
        <w:t>校准</w:t>
      </w:r>
    </w:p>
    <w:bookmarkEnd w:id="58"/>
    <w:p w14:paraId="709FF987">
      <w:pPr>
        <w:ind w:firstLine="420"/>
      </w:pPr>
      <w:r>
        <w:t>分析样品之前，应建立能够覆盖样品浓度范围的至少5个浓度点的标准曲线，曲线的相关系数应≥0.995。每20个样品或每批次（少于20个样品）应测定一个标准曲线中间浓度点，其测定结果与标准曲线该点浓度的相对误差应在±20%以内，否则，应建立新的标准曲线。</w:t>
      </w:r>
    </w:p>
    <w:p w14:paraId="480BC590"/>
    <w:p w14:paraId="006E8B56">
      <w:pPr>
        <w:pStyle w:val="145"/>
        <w:rPr>
          <w:rFonts w:ascii="Times New Roman"/>
        </w:rPr>
      </w:pPr>
      <w:bookmarkStart w:id="59" w:name="OLE_LINK53"/>
      <w:r>
        <w:rPr>
          <w:rFonts w:ascii="Times New Roman"/>
        </w:rPr>
        <w:t>平行样</w:t>
      </w:r>
    </w:p>
    <w:bookmarkEnd w:id="59"/>
    <w:p w14:paraId="10201385">
      <w:pPr>
        <w:ind w:firstLine="420"/>
        <w:rPr>
          <w:color w:val="000000"/>
          <w:sz w:val="22"/>
          <w:szCs w:val="22"/>
        </w:rPr>
      </w:pPr>
      <w:r>
        <w:rPr>
          <w:color w:val="000000"/>
          <w:sz w:val="22"/>
          <w:szCs w:val="22"/>
        </w:rPr>
        <w:t>每20个样品或每批次（少于20个样品）应分析一个平行样，实验室内平行样的相对偏差应≤20%。</w:t>
      </w:r>
    </w:p>
    <w:p w14:paraId="31CA0AC4">
      <w:pPr>
        <w:ind w:firstLine="420"/>
        <w:rPr>
          <w:color w:val="000000"/>
          <w:sz w:val="22"/>
          <w:szCs w:val="22"/>
        </w:rPr>
      </w:pPr>
    </w:p>
    <w:p w14:paraId="068B0803">
      <w:pPr>
        <w:pStyle w:val="145"/>
        <w:rPr>
          <w:rFonts w:ascii="Times New Roman"/>
        </w:rPr>
      </w:pPr>
      <w:r>
        <w:rPr>
          <w:rFonts w:ascii="Times New Roman"/>
        </w:rPr>
        <w:t>基体加标</w:t>
      </w:r>
    </w:p>
    <w:p w14:paraId="2EEC50B6">
      <w:pPr>
        <w:ind w:firstLine="420"/>
        <w:rPr>
          <w:color w:val="000000"/>
          <w:sz w:val="22"/>
          <w:szCs w:val="22"/>
        </w:rPr>
      </w:pPr>
      <w:r>
        <w:rPr>
          <w:color w:val="000000"/>
          <w:sz w:val="22"/>
          <w:szCs w:val="22"/>
        </w:rPr>
        <w:t>每20个样品或每批次（少于20个样品）应进行一个基体加标样的分析，基体加标回收率应在60%～130%之间。</w:t>
      </w:r>
    </w:p>
    <w:p w14:paraId="6C44561F">
      <w:pPr>
        <w:pStyle w:val="81"/>
        <w:rPr>
          <w:rFonts w:ascii="Times New Roman"/>
        </w:rPr>
      </w:pPr>
      <w:bookmarkStart w:id="60" w:name="_Toc25663"/>
      <w:bookmarkStart w:id="61" w:name="_Toc87433445"/>
      <w:r>
        <w:rPr>
          <w:rFonts w:ascii="Times New Roman"/>
        </w:rPr>
        <w:t>废物处置</w:t>
      </w:r>
      <w:bookmarkEnd w:id="60"/>
      <w:bookmarkEnd w:id="61"/>
    </w:p>
    <w:p w14:paraId="35B1C660">
      <w:pPr>
        <w:pStyle w:val="46"/>
        <w:ind w:firstLine="440"/>
        <w:rPr>
          <w:rFonts w:ascii="Times New Roman"/>
          <w:kern w:val="2"/>
          <w:sz w:val="22"/>
        </w:rPr>
        <w:sectPr>
          <w:footerReference r:id="rId5" w:type="default"/>
          <w:pgSz w:w="11906" w:h="16838"/>
          <w:pgMar w:top="567" w:right="1134" w:bottom="1134" w:left="1418" w:header="567" w:footer="1134" w:gutter="0"/>
          <w:pgNumType w:start="1"/>
          <w:cols w:space="720" w:num="1"/>
          <w:formProt w:val="0"/>
          <w:docGrid w:type="lines" w:linePitch="312" w:charSpace="0"/>
        </w:sectPr>
      </w:pPr>
      <w:r>
        <w:rPr>
          <w:rFonts w:ascii="Times New Roman"/>
          <w:kern w:val="2"/>
          <w:sz w:val="22"/>
        </w:rPr>
        <w:t>实验中产生的废物应集中收集，并做好相应标识，依法委托有资质的单位进行处理。</w:t>
      </w:r>
    </w:p>
    <w:p w14:paraId="38AAC391">
      <w:pPr>
        <w:pStyle w:val="46"/>
        <w:ind w:firstLine="0" w:firstLineChars="0"/>
        <w:jc w:val="center"/>
        <w:outlineLvl w:val="0"/>
        <w:rPr>
          <w:rFonts w:ascii="Times New Roman" w:eastAsia="黑体"/>
        </w:rPr>
      </w:pPr>
      <w:bookmarkStart w:id="62" w:name="_Toc2827"/>
      <w:r>
        <w:rPr>
          <w:rFonts w:ascii="Times New Roman" w:eastAsia="黑体"/>
        </w:rPr>
        <w:t>附 录 A</w:t>
      </w:r>
      <w:bookmarkEnd w:id="62"/>
    </w:p>
    <w:p w14:paraId="758E938C">
      <w:pPr>
        <w:pStyle w:val="46"/>
        <w:ind w:firstLine="0" w:firstLineChars="0"/>
        <w:jc w:val="center"/>
        <w:rPr>
          <w:rFonts w:ascii="Times New Roman" w:eastAsia="黑体"/>
          <w:kern w:val="2"/>
          <w:sz w:val="22"/>
        </w:rPr>
      </w:pPr>
      <w:r>
        <w:rPr>
          <w:rFonts w:ascii="Times New Roman" w:eastAsia="黑体"/>
          <w:kern w:val="2"/>
          <w:sz w:val="22"/>
        </w:rPr>
        <w:t>（</w:t>
      </w:r>
      <w:r>
        <w:rPr>
          <w:rFonts w:hint="eastAsia" w:ascii="Times New Roman" w:eastAsia="黑体"/>
          <w:kern w:val="2"/>
          <w:sz w:val="22"/>
        </w:rPr>
        <w:t>资料性</w:t>
      </w:r>
      <w:r>
        <w:rPr>
          <w:rFonts w:ascii="Times New Roman" w:eastAsia="黑体"/>
          <w:kern w:val="2"/>
          <w:sz w:val="22"/>
        </w:rPr>
        <w:t>）</w:t>
      </w:r>
    </w:p>
    <w:p w14:paraId="5FFDBBEB">
      <w:pPr>
        <w:pStyle w:val="46"/>
        <w:ind w:firstLine="0" w:firstLineChars="0"/>
        <w:jc w:val="center"/>
        <w:rPr>
          <w:rFonts w:ascii="Times New Roman" w:eastAsia="黑体"/>
          <w:kern w:val="2"/>
          <w:sz w:val="22"/>
        </w:rPr>
      </w:pPr>
      <w:r>
        <w:rPr>
          <w:rFonts w:hint="eastAsia" w:ascii="Times New Roman" w:eastAsia="黑体"/>
          <w:kern w:val="2"/>
          <w:sz w:val="22"/>
        </w:rPr>
        <w:t>参考质谱条件</w:t>
      </w:r>
    </w:p>
    <w:p w14:paraId="67402BE9">
      <w:pPr>
        <w:pStyle w:val="46"/>
        <w:ind w:firstLine="0" w:firstLineChars="0"/>
        <w:jc w:val="center"/>
        <w:rPr>
          <w:rFonts w:ascii="Times New Roman" w:eastAsia="黑体"/>
          <w:kern w:val="2"/>
          <w:sz w:val="22"/>
        </w:rPr>
      </w:pPr>
    </w:p>
    <w:p w14:paraId="46AC41EC">
      <w:pPr>
        <w:pStyle w:val="46"/>
        <w:ind w:firstLine="0" w:firstLineChars="0"/>
        <w:rPr>
          <w:rFonts w:ascii="Times New Roman" w:eastAsia="黑体"/>
          <w:kern w:val="2"/>
          <w:sz w:val="22"/>
        </w:rPr>
      </w:pPr>
      <w:r>
        <w:rPr>
          <w:rFonts w:hint="eastAsia" w:ascii="Times New Roman" w:eastAsia="黑体"/>
          <w:kern w:val="2"/>
          <w:sz w:val="22"/>
        </w:rPr>
        <w:t>A.1 目标化学物的质谱条件</w:t>
      </w:r>
    </w:p>
    <w:p w14:paraId="30F7F93E">
      <w:pPr>
        <w:pStyle w:val="46"/>
        <w:numPr>
          <w:ilvl w:val="0"/>
          <w:numId w:val="19"/>
        </w:numPr>
        <w:ind w:firstLine="0" w:firstLineChars="0"/>
        <w:jc w:val="left"/>
        <w:rPr>
          <w:rFonts w:ascii="Times New Roman" w:cs="Times New Roman"/>
          <w:szCs w:val="21"/>
        </w:rPr>
      </w:pPr>
      <w:r>
        <w:rPr>
          <w:rFonts w:hint="eastAsia" w:ascii="Times New Roman" w:cs="Times New Roman"/>
          <w:szCs w:val="21"/>
        </w:rPr>
        <w:t>毛细管高压</w:t>
      </w:r>
      <w:r>
        <w:rPr>
          <w:rFonts w:ascii="Times New Roman" w:cs="Times New Roman"/>
          <w:szCs w:val="21"/>
        </w:rPr>
        <w:t>：</w:t>
      </w:r>
      <w:r>
        <w:rPr>
          <w:rFonts w:hint="eastAsia" w:ascii="Times New Roman" w:cs="Times New Roman"/>
          <w:szCs w:val="21"/>
        </w:rPr>
        <w:t>4.8 kv;</w:t>
      </w:r>
    </w:p>
    <w:p w14:paraId="53CC2A70">
      <w:pPr>
        <w:pStyle w:val="46"/>
        <w:numPr>
          <w:ilvl w:val="0"/>
          <w:numId w:val="19"/>
        </w:numPr>
        <w:ind w:firstLine="0" w:firstLineChars="0"/>
        <w:jc w:val="left"/>
        <w:rPr>
          <w:rFonts w:ascii="Times New Roman" w:cs="Times New Roman"/>
          <w:kern w:val="2"/>
          <w:szCs w:val="21"/>
        </w:rPr>
      </w:pPr>
      <w:r>
        <w:rPr>
          <w:rFonts w:hint="eastAsia" w:ascii="Times New Roman" w:cs="Times New Roman"/>
          <w:szCs w:val="21"/>
        </w:rPr>
        <w:t>去溶剂气温度</w:t>
      </w:r>
      <w:r>
        <w:rPr>
          <w:rFonts w:ascii="Times New Roman" w:cs="Times New Roman"/>
          <w:szCs w:val="21"/>
        </w:rPr>
        <w:t>：</w:t>
      </w:r>
      <w:r>
        <w:rPr>
          <w:rFonts w:hint="eastAsia" w:ascii="Times New Roman" w:cs="Times New Roman"/>
          <w:szCs w:val="21"/>
        </w:rPr>
        <w:t xml:space="preserve">450 </w:t>
      </w:r>
      <w:r>
        <w:rPr>
          <w:rFonts w:hint="cs" w:ascii="Times New Roman" w:cs="Times New Roman"/>
          <w:szCs w:val="21"/>
        </w:rPr>
        <w:t>º</w:t>
      </w:r>
      <w:r>
        <w:rPr>
          <w:rFonts w:hint="eastAsia" w:ascii="Times New Roman" w:cs="Times New Roman"/>
          <w:szCs w:val="21"/>
        </w:rPr>
        <w:t>C;</w:t>
      </w:r>
    </w:p>
    <w:p w14:paraId="7C38419E">
      <w:pPr>
        <w:pStyle w:val="46"/>
        <w:numPr>
          <w:ilvl w:val="0"/>
          <w:numId w:val="19"/>
        </w:numPr>
        <w:ind w:firstLine="0" w:firstLineChars="0"/>
        <w:jc w:val="left"/>
        <w:rPr>
          <w:rFonts w:ascii="Times New Roman" w:cs="Times New Roman"/>
          <w:kern w:val="2"/>
          <w:szCs w:val="21"/>
        </w:rPr>
      </w:pPr>
      <w:r>
        <w:rPr>
          <w:rFonts w:hint="eastAsia" w:ascii="Times New Roman" w:cs="Times New Roman"/>
          <w:szCs w:val="21"/>
        </w:rPr>
        <w:t>雾化气流速</w:t>
      </w:r>
      <w:r>
        <w:rPr>
          <w:rFonts w:ascii="Times New Roman" w:cs="Times New Roman"/>
          <w:szCs w:val="21"/>
        </w:rPr>
        <w:t>：</w:t>
      </w:r>
      <w:r>
        <w:rPr>
          <w:rFonts w:hint="eastAsia" w:ascii="Times New Roman" w:cs="Times New Roman"/>
          <w:szCs w:val="21"/>
        </w:rPr>
        <w:t>1.5 L/Min;</w:t>
      </w:r>
    </w:p>
    <w:p w14:paraId="24E88ED0">
      <w:pPr>
        <w:pStyle w:val="46"/>
        <w:numPr>
          <w:ilvl w:val="0"/>
          <w:numId w:val="19"/>
        </w:numPr>
        <w:ind w:firstLine="0" w:firstLineChars="0"/>
        <w:jc w:val="left"/>
        <w:rPr>
          <w:rFonts w:ascii="Times New Roman" w:cs="Times New Roman"/>
          <w:kern w:val="2"/>
          <w:szCs w:val="21"/>
        </w:rPr>
      </w:pPr>
      <w:r>
        <w:rPr>
          <w:rFonts w:hint="eastAsia" w:ascii="Times New Roman" w:cs="Times New Roman"/>
          <w:szCs w:val="21"/>
        </w:rPr>
        <w:t>去溶剂气流速</w:t>
      </w:r>
      <w:r>
        <w:rPr>
          <w:rFonts w:ascii="Times New Roman" w:cs="Times New Roman"/>
          <w:szCs w:val="21"/>
        </w:rPr>
        <w:t>：</w:t>
      </w:r>
      <w:r>
        <w:rPr>
          <w:rFonts w:hint="eastAsia" w:ascii="Times New Roman" w:cs="Times New Roman"/>
          <w:szCs w:val="21"/>
        </w:rPr>
        <w:t>8 L/Min;</w:t>
      </w:r>
    </w:p>
    <w:p w14:paraId="40890155">
      <w:pPr>
        <w:pStyle w:val="46"/>
        <w:numPr>
          <w:ilvl w:val="0"/>
          <w:numId w:val="19"/>
        </w:numPr>
        <w:ind w:firstLine="0" w:firstLineChars="0"/>
        <w:jc w:val="left"/>
        <w:rPr>
          <w:rFonts w:ascii="Times New Roman" w:cs="Times New Roman"/>
          <w:kern w:val="2"/>
          <w:szCs w:val="21"/>
        </w:rPr>
      </w:pPr>
      <w:r>
        <w:rPr>
          <w:rFonts w:hint="eastAsia" w:ascii="Times New Roman" w:cs="Times New Roman"/>
          <w:szCs w:val="21"/>
        </w:rPr>
        <w:t>反吹气流速</w:t>
      </w:r>
      <w:r>
        <w:rPr>
          <w:rFonts w:ascii="Times New Roman" w:cs="Times New Roman"/>
          <w:szCs w:val="21"/>
        </w:rPr>
        <w:t>：</w:t>
      </w:r>
      <w:r>
        <w:rPr>
          <w:rFonts w:hint="eastAsia" w:ascii="Times New Roman" w:cs="Times New Roman"/>
          <w:szCs w:val="21"/>
        </w:rPr>
        <w:t>1 L/Min</w:t>
      </w:r>
      <w:r>
        <w:rPr>
          <w:rFonts w:ascii="Times New Roman" w:cs="Times New Roman"/>
          <w:szCs w:val="21"/>
        </w:rPr>
        <w:t>。</w:t>
      </w:r>
    </w:p>
    <w:p w14:paraId="32DF3629">
      <w:pPr>
        <w:pStyle w:val="46"/>
        <w:numPr>
          <w:ilvl w:val="0"/>
          <w:numId w:val="19"/>
        </w:numPr>
        <w:ind w:firstLine="0" w:firstLineChars="0"/>
        <w:jc w:val="left"/>
        <w:rPr>
          <w:rFonts w:ascii="Times New Roman" w:cs="Times New Roman"/>
          <w:kern w:val="2"/>
          <w:szCs w:val="21"/>
        </w:rPr>
      </w:pPr>
      <w:r>
        <w:rPr>
          <w:rFonts w:hint="eastAsia" w:ascii="Times New Roman" w:cs="Times New Roman"/>
          <w:szCs w:val="21"/>
        </w:rPr>
        <w:t>目标化学物的多反应监测条件</w:t>
      </w:r>
      <w:r>
        <w:rPr>
          <w:rFonts w:ascii="Times New Roman" w:cs="Times New Roman"/>
          <w:szCs w:val="21"/>
        </w:rPr>
        <w:t>见表</w:t>
      </w:r>
      <w:r>
        <w:rPr>
          <w:rFonts w:hint="eastAsia" w:ascii="Times New Roman" w:cs="Times New Roman"/>
          <w:szCs w:val="21"/>
        </w:rPr>
        <w:t>A.1</w:t>
      </w:r>
      <w:r>
        <w:rPr>
          <w:rFonts w:ascii="Times New Roman" w:cs="Times New Roman"/>
          <w:szCs w:val="21"/>
        </w:rPr>
        <w:t>。</w:t>
      </w:r>
    </w:p>
    <w:p w14:paraId="05389D33">
      <w:pPr>
        <w:pStyle w:val="46"/>
        <w:ind w:firstLine="0" w:firstLineChars="0"/>
        <w:jc w:val="center"/>
        <w:rPr>
          <w:rFonts w:ascii="Times New Roman" w:eastAsia="黑体"/>
          <w:kern w:val="2"/>
          <w:sz w:val="22"/>
        </w:rPr>
      </w:pPr>
    </w:p>
    <w:p w14:paraId="5EE771EB">
      <w:pPr>
        <w:jc w:val="center"/>
        <w:rPr>
          <w:rFonts w:eastAsia="黑体"/>
          <w:color w:val="000000"/>
          <w:sz w:val="22"/>
          <w:szCs w:val="22"/>
        </w:rPr>
      </w:pPr>
      <w:r>
        <w:rPr>
          <w:rFonts w:eastAsia="黑体"/>
          <w:color w:val="000000"/>
          <w:sz w:val="22"/>
          <w:szCs w:val="22"/>
        </w:rPr>
        <w:t>表</w:t>
      </w:r>
      <w:r>
        <w:rPr>
          <w:rFonts w:hint="eastAsia" w:eastAsia="黑体"/>
          <w:color w:val="000000"/>
          <w:sz w:val="22"/>
          <w:szCs w:val="22"/>
        </w:rPr>
        <w:t xml:space="preserve"> A.1</w:t>
      </w:r>
      <w:r>
        <w:rPr>
          <w:rFonts w:eastAsia="黑体"/>
          <w:color w:val="000000"/>
          <w:sz w:val="22"/>
          <w:szCs w:val="22"/>
        </w:rPr>
        <w:t xml:space="preserve"> 目标化合物的多反应监测条件</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029"/>
        <w:gridCol w:w="1372"/>
        <w:gridCol w:w="1348"/>
        <w:gridCol w:w="1218"/>
        <w:gridCol w:w="1173"/>
        <w:gridCol w:w="1135"/>
        <w:gridCol w:w="1109"/>
      </w:tblGrid>
      <w:tr w14:paraId="061E9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4" w:hRule="atLeast"/>
          <w:tblHeader/>
          <w:jc w:val="center"/>
        </w:trPr>
        <w:tc>
          <w:tcPr>
            <w:tcW w:w="1081" w:type="pct"/>
            <w:vAlign w:val="center"/>
          </w:tcPr>
          <w:p w14:paraId="7C5ED3DF">
            <w:pPr>
              <w:widowControl/>
              <w:autoSpaceDE w:val="0"/>
              <w:adjustRightInd w:val="0"/>
              <w:snapToGrid w:val="0"/>
              <w:jc w:val="center"/>
              <w:textAlignment w:val="center"/>
              <w:rPr>
                <w:szCs w:val="21"/>
              </w:rPr>
            </w:pPr>
            <w:r>
              <w:rPr>
                <w:kern w:val="0"/>
                <w:szCs w:val="21"/>
              </w:rPr>
              <w:t>抗生素</w:t>
            </w:r>
          </w:p>
        </w:tc>
        <w:tc>
          <w:tcPr>
            <w:tcW w:w="731" w:type="pct"/>
            <w:vAlign w:val="center"/>
          </w:tcPr>
          <w:p w14:paraId="49E2FC7F">
            <w:pPr>
              <w:widowControl/>
              <w:autoSpaceDE w:val="0"/>
              <w:adjustRightInd w:val="0"/>
              <w:snapToGrid w:val="0"/>
              <w:jc w:val="center"/>
              <w:textAlignment w:val="center"/>
              <w:rPr>
                <w:szCs w:val="21"/>
              </w:rPr>
            </w:pPr>
            <w:r>
              <w:rPr>
                <w:szCs w:val="21"/>
              </w:rPr>
              <w:t>母离子</w:t>
            </w:r>
            <w:r>
              <w:rPr>
                <w:i/>
                <w:iCs/>
                <w:szCs w:val="21"/>
              </w:rPr>
              <w:t>（m/z）</w:t>
            </w:r>
          </w:p>
        </w:tc>
        <w:tc>
          <w:tcPr>
            <w:tcW w:w="718" w:type="pct"/>
            <w:vAlign w:val="center"/>
          </w:tcPr>
          <w:p w14:paraId="1F779D84">
            <w:pPr>
              <w:widowControl/>
              <w:autoSpaceDE w:val="0"/>
              <w:adjustRightInd w:val="0"/>
              <w:snapToGrid w:val="0"/>
              <w:jc w:val="center"/>
              <w:textAlignment w:val="center"/>
              <w:rPr>
                <w:szCs w:val="21"/>
              </w:rPr>
            </w:pPr>
            <w:r>
              <w:rPr>
                <w:kern w:val="0"/>
                <w:szCs w:val="21"/>
              </w:rPr>
              <w:t>子离子</w:t>
            </w:r>
            <w:r>
              <w:rPr>
                <w:i/>
                <w:iCs/>
                <w:szCs w:val="21"/>
              </w:rPr>
              <w:t>（m/z）</w:t>
            </w:r>
          </w:p>
        </w:tc>
        <w:tc>
          <w:tcPr>
            <w:tcW w:w="649" w:type="pct"/>
            <w:vAlign w:val="center"/>
          </w:tcPr>
          <w:p w14:paraId="768BEE6B">
            <w:pPr>
              <w:widowControl/>
              <w:autoSpaceDE w:val="0"/>
              <w:adjustRightInd w:val="0"/>
              <w:snapToGrid w:val="0"/>
              <w:jc w:val="center"/>
              <w:textAlignment w:val="center"/>
              <w:rPr>
                <w:szCs w:val="21"/>
              </w:rPr>
            </w:pPr>
            <w:r>
              <w:rPr>
                <w:kern w:val="0"/>
                <w:szCs w:val="21"/>
              </w:rPr>
              <w:t>碰撞能量/V</w:t>
            </w:r>
          </w:p>
        </w:tc>
        <w:tc>
          <w:tcPr>
            <w:tcW w:w="625" w:type="pct"/>
            <w:vAlign w:val="center"/>
          </w:tcPr>
          <w:p w14:paraId="65E61442">
            <w:pPr>
              <w:widowControl/>
              <w:autoSpaceDE w:val="0"/>
              <w:adjustRightInd w:val="0"/>
              <w:snapToGrid w:val="0"/>
              <w:jc w:val="center"/>
              <w:textAlignment w:val="center"/>
              <w:rPr>
                <w:szCs w:val="21"/>
              </w:rPr>
            </w:pPr>
            <w:r>
              <w:rPr>
                <w:kern w:val="0"/>
                <w:szCs w:val="21"/>
              </w:rPr>
              <w:t>去簇电压/V</w:t>
            </w:r>
          </w:p>
        </w:tc>
        <w:tc>
          <w:tcPr>
            <w:tcW w:w="605" w:type="pct"/>
            <w:vAlign w:val="center"/>
          </w:tcPr>
          <w:p w14:paraId="32407CDE">
            <w:pPr>
              <w:widowControl/>
              <w:autoSpaceDE w:val="0"/>
              <w:adjustRightInd w:val="0"/>
              <w:snapToGrid w:val="0"/>
              <w:jc w:val="center"/>
              <w:textAlignment w:val="center"/>
              <w:rPr>
                <w:szCs w:val="21"/>
              </w:rPr>
            </w:pPr>
            <w:r>
              <w:rPr>
                <w:kern w:val="0"/>
                <w:szCs w:val="21"/>
              </w:rPr>
              <w:t>入口电压/V</w:t>
            </w:r>
          </w:p>
        </w:tc>
        <w:tc>
          <w:tcPr>
            <w:tcW w:w="591" w:type="pct"/>
            <w:vAlign w:val="center"/>
          </w:tcPr>
          <w:p w14:paraId="2258C648">
            <w:pPr>
              <w:widowControl/>
              <w:autoSpaceDE w:val="0"/>
              <w:adjustRightInd w:val="0"/>
              <w:snapToGrid w:val="0"/>
              <w:jc w:val="center"/>
              <w:textAlignment w:val="center"/>
              <w:rPr>
                <w:szCs w:val="21"/>
              </w:rPr>
            </w:pPr>
            <w:r>
              <w:rPr>
                <w:kern w:val="0"/>
                <w:szCs w:val="21"/>
              </w:rPr>
              <w:t>出口电压/V</w:t>
            </w:r>
          </w:p>
        </w:tc>
      </w:tr>
      <w:tr w14:paraId="74C8F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081" w:type="pct"/>
            <w:vMerge w:val="restart"/>
            <w:vAlign w:val="center"/>
          </w:tcPr>
          <w:p w14:paraId="74AAD131">
            <w:pPr>
              <w:widowControl/>
              <w:adjustRightInd w:val="0"/>
              <w:snapToGrid w:val="0"/>
              <w:jc w:val="center"/>
              <w:rPr>
                <w:color w:val="000000"/>
                <w:kern w:val="0"/>
                <w:szCs w:val="21"/>
              </w:rPr>
            </w:pPr>
            <w:r>
              <w:rPr>
                <w:rFonts w:hint="eastAsia"/>
                <w:szCs w:val="21"/>
              </w:rPr>
              <w:t>磺胺醋酰</w:t>
            </w:r>
          </w:p>
        </w:tc>
        <w:tc>
          <w:tcPr>
            <w:tcW w:w="731" w:type="pct"/>
            <w:vMerge w:val="restart"/>
            <w:vAlign w:val="center"/>
          </w:tcPr>
          <w:p w14:paraId="48F31DAD">
            <w:pPr>
              <w:widowControl/>
              <w:autoSpaceDE w:val="0"/>
              <w:adjustRightInd w:val="0"/>
              <w:snapToGrid w:val="0"/>
              <w:jc w:val="center"/>
              <w:textAlignment w:val="center"/>
              <w:rPr>
                <w:color w:val="000000"/>
                <w:szCs w:val="21"/>
              </w:rPr>
            </w:pPr>
            <w:r>
              <w:rPr>
                <w:color w:val="000000"/>
                <w:szCs w:val="21"/>
              </w:rPr>
              <w:t>215.1</w:t>
            </w:r>
          </w:p>
        </w:tc>
        <w:tc>
          <w:tcPr>
            <w:tcW w:w="718" w:type="pct"/>
            <w:vAlign w:val="center"/>
          </w:tcPr>
          <w:p w14:paraId="52D272EF">
            <w:pPr>
              <w:widowControl/>
              <w:adjustRightInd w:val="0"/>
              <w:snapToGrid w:val="0"/>
              <w:jc w:val="center"/>
              <w:rPr>
                <w:color w:val="000000"/>
                <w:kern w:val="0"/>
                <w:szCs w:val="21"/>
              </w:rPr>
            </w:pPr>
            <w:r>
              <w:rPr>
                <w:color w:val="000000"/>
                <w:szCs w:val="21"/>
              </w:rPr>
              <w:t>156.0*</w:t>
            </w:r>
          </w:p>
        </w:tc>
        <w:tc>
          <w:tcPr>
            <w:tcW w:w="649" w:type="pct"/>
            <w:vAlign w:val="center"/>
          </w:tcPr>
          <w:p w14:paraId="633F661D">
            <w:pPr>
              <w:adjustRightInd w:val="0"/>
              <w:snapToGrid w:val="0"/>
              <w:jc w:val="center"/>
              <w:rPr>
                <w:color w:val="000000"/>
                <w:szCs w:val="21"/>
              </w:rPr>
            </w:pPr>
            <w:r>
              <w:rPr>
                <w:color w:val="000000"/>
                <w:szCs w:val="21"/>
              </w:rPr>
              <w:t>1</w:t>
            </w:r>
            <w:r>
              <w:rPr>
                <w:rFonts w:hint="eastAsia"/>
                <w:color w:val="000000"/>
                <w:szCs w:val="21"/>
              </w:rPr>
              <w:t>1</w:t>
            </w:r>
          </w:p>
        </w:tc>
        <w:tc>
          <w:tcPr>
            <w:tcW w:w="625" w:type="pct"/>
            <w:vAlign w:val="center"/>
          </w:tcPr>
          <w:p w14:paraId="06C48076">
            <w:pPr>
              <w:adjustRightInd w:val="0"/>
              <w:snapToGrid w:val="0"/>
              <w:jc w:val="center"/>
              <w:rPr>
                <w:color w:val="000000"/>
                <w:szCs w:val="21"/>
              </w:rPr>
            </w:pPr>
            <w:r>
              <w:rPr>
                <w:color w:val="000000"/>
                <w:szCs w:val="21"/>
              </w:rPr>
              <w:t>5</w:t>
            </w:r>
            <w:r>
              <w:rPr>
                <w:rFonts w:hint="eastAsia"/>
                <w:color w:val="000000"/>
                <w:szCs w:val="21"/>
              </w:rPr>
              <w:t>0</w:t>
            </w:r>
          </w:p>
        </w:tc>
        <w:tc>
          <w:tcPr>
            <w:tcW w:w="605" w:type="pct"/>
            <w:vAlign w:val="center"/>
          </w:tcPr>
          <w:p w14:paraId="6B71684B">
            <w:pPr>
              <w:adjustRightInd w:val="0"/>
              <w:snapToGrid w:val="0"/>
              <w:jc w:val="center"/>
              <w:rPr>
                <w:color w:val="000000"/>
                <w:szCs w:val="21"/>
              </w:rPr>
            </w:pPr>
            <w:r>
              <w:rPr>
                <w:rFonts w:hint="eastAsia"/>
                <w:color w:val="000000"/>
                <w:szCs w:val="21"/>
              </w:rPr>
              <w:t>50</w:t>
            </w:r>
          </w:p>
        </w:tc>
        <w:tc>
          <w:tcPr>
            <w:tcW w:w="591" w:type="pct"/>
            <w:vAlign w:val="center"/>
          </w:tcPr>
          <w:p w14:paraId="5F270B90">
            <w:pPr>
              <w:adjustRightInd w:val="0"/>
              <w:snapToGrid w:val="0"/>
              <w:jc w:val="center"/>
              <w:rPr>
                <w:color w:val="000000"/>
                <w:szCs w:val="21"/>
              </w:rPr>
            </w:pPr>
            <w:r>
              <w:rPr>
                <w:rFonts w:hint="eastAsia"/>
                <w:color w:val="000000"/>
                <w:szCs w:val="21"/>
              </w:rPr>
              <w:t>5</w:t>
            </w:r>
            <w:r>
              <w:rPr>
                <w:color w:val="000000"/>
                <w:szCs w:val="21"/>
              </w:rPr>
              <w:t>0</w:t>
            </w:r>
          </w:p>
        </w:tc>
      </w:tr>
      <w:tr w14:paraId="7D197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1081" w:type="pct"/>
            <w:vMerge w:val="continue"/>
            <w:vAlign w:val="center"/>
          </w:tcPr>
          <w:p w14:paraId="499BABFA">
            <w:pPr>
              <w:widowControl/>
              <w:adjustRightInd w:val="0"/>
              <w:snapToGrid w:val="0"/>
              <w:jc w:val="center"/>
              <w:rPr>
                <w:color w:val="000000"/>
                <w:szCs w:val="21"/>
              </w:rPr>
            </w:pPr>
          </w:p>
        </w:tc>
        <w:tc>
          <w:tcPr>
            <w:tcW w:w="731" w:type="pct"/>
            <w:vMerge w:val="continue"/>
            <w:vAlign w:val="center"/>
          </w:tcPr>
          <w:p w14:paraId="54C0FFB0">
            <w:pPr>
              <w:widowControl/>
              <w:adjustRightInd w:val="0"/>
              <w:snapToGrid w:val="0"/>
              <w:jc w:val="center"/>
              <w:rPr>
                <w:color w:val="000000"/>
                <w:szCs w:val="21"/>
              </w:rPr>
            </w:pPr>
          </w:p>
        </w:tc>
        <w:tc>
          <w:tcPr>
            <w:tcW w:w="718" w:type="pct"/>
            <w:vAlign w:val="center"/>
          </w:tcPr>
          <w:p w14:paraId="3C66D791">
            <w:pPr>
              <w:adjustRightInd w:val="0"/>
              <w:snapToGrid w:val="0"/>
              <w:jc w:val="center"/>
              <w:rPr>
                <w:color w:val="000000"/>
                <w:szCs w:val="21"/>
              </w:rPr>
            </w:pPr>
            <w:r>
              <w:rPr>
                <w:color w:val="000000"/>
                <w:szCs w:val="21"/>
              </w:rPr>
              <w:t>107.9</w:t>
            </w:r>
          </w:p>
        </w:tc>
        <w:tc>
          <w:tcPr>
            <w:tcW w:w="649" w:type="pct"/>
            <w:vAlign w:val="center"/>
          </w:tcPr>
          <w:p w14:paraId="1EF82D4B">
            <w:pPr>
              <w:adjustRightInd w:val="0"/>
              <w:snapToGrid w:val="0"/>
              <w:jc w:val="center"/>
              <w:rPr>
                <w:color w:val="000000"/>
                <w:szCs w:val="21"/>
              </w:rPr>
            </w:pPr>
            <w:r>
              <w:rPr>
                <w:color w:val="000000"/>
                <w:szCs w:val="21"/>
              </w:rPr>
              <w:t>2</w:t>
            </w:r>
            <w:r>
              <w:rPr>
                <w:rFonts w:hint="eastAsia"/>
                <w:color w:val="000000"/>
                <w:szCs w:val="21"/>
              </w:rPr>
              <w:t>3</w:t>
            </w:r>
          </w:p>
        </w:tc>
        <w:tc>
          <w:tcPr>
            <w:tcW w:w="625" w:type="pct"/>
          </w:tcPr>
          <w:p w14:paraId="11BA99D7">
            <w:pPr>
              <w:adjustRightInd w:val="0"/>
              <w:snapToGrid w:val="0"/>
              <w:jc w:val="center"/>
              <w:rPr>
                <w:color w:val="000000"/>
                <w:szCs w:val="21"/>
              </w:rPr>
            </w:pPr>
            <w:r>
              <w:t>50</w:t>
            </w:r>
          </w:p>
        </w:tc>
        <w:tc>
          <w:tcPr>
            <w:tcW w:w="605" w:type="pct"/>
          </w:tcPr>
          <w:p w14:paraId="74791F52">
            <w:pPr>
              <w:adjustRightInd w:val="0"/>
              <w:snapToGrid w:val="0"/>
              <w:jc w:val="center"/>
              <w:rPr>
                <w:color w:val="000000"/>
                <w:szCs w:val="21"/>
              </w:rPr>
            </w:pPr>
            <w:r>
              <w:t>50</w:t>
            </w:r>
          </w:p>
        </w:tc>
        <w:tc>
          <w:tcPr>
            <w:tcW w:w="591" w:type="pct"/>
          </w:tcPr>
          <w:p w14:paraId="06D82F46">
            <w:pPr>
              <w:adjustRightInd w:val="0"/>
              <w:snapToGrid w:val="0"/>
              <w:jc w:val="center"/>
              <w:rPr>
                <w:color w:val="000000"/>
                <w:szCs w:val="21"/>
              </w:rPr>
            </w:pPr>
            <w:r>
              <w:t>50</w:t>
            </w:r>
          </w:p>
        </w:tc>
      </w:tr>
      <w:tr w14:paraId="2B3FB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1081" w:type="pct"/>
            <w:vMerge w:val="restart"/>
            <w:vAlign w:val="center"/>
          </w:tcPr>
          <w:p w14:paraId="0BFDCFE0">
            <w:pPr>
              <w:widowControl/>
              <w:adjustRightInd w:val="0"/>
              <w:snapToGrid w:val="0"/>
              <w:jc w:val="center"/>
              <w:rPr>
                <w:color w:val="000000"/>
                <w:kern w:val="0"/>
                <w:szCs w:val="21"/>
              </w:rPr>
            </w:pPr>
            <w:r>
              <w:rPr>
                <w:color w:val="000000"/>
                <w:szCs w:val="21"/>
              </w:rPr>
              <w:t>磺胺</w:t>
            </w:r>
            <w:r>
              <w:rPr>
                <w:rFonts w:hint="eastAsia"/>
                <w:color w:val="000000"/>
                <w:szCs w:val="21"/>
              </w:rPr>
              <w:t>嘧啶</w:t>
            </w:r>
          </w:p>
        </w:tc>
        <w:tc>
          <w:tcPr>
            <w:tcW w:w="731" w:type="pct"/>
            <w:vMerge w:val="restart"/>
            <w:vAlign w:val="center"/>
          </w:tcPr>
          <w:p w14:paraId="7378816D">
            <w:pPr>
              <w:widowControl/>
              <w:autoSpaceDE w:val="0"/>
              <w:adjustRightInd w:val="0"/>
              <w:snapToGrid w:val="0"/>
              <w:jc w:val="center"/>
              <w:textAlignment w:val="center"/>
              <w:rPr>
                <w:color w:val="000000"/>
                <w:szCs w:val="21"/>
              </w:rPr>
            </w:pPr>
            <w:r>
              <w:rPr>
                <w:color w:val="000000"/>
                <w:szCs w:val="21"/>
              </w:rPr>
              <w:t>25</w:t>
            </w:r>
            <w:r>
              <w:rPr>
                <w:rFonts w:hint="eastAsia"/>
                <w:color w:val="000000"/>
                <w:szCs w:val="21"/>
              </w:rPr>
              <w:t>1.0</w:t>
            </w:r>
          </w:p>
        </w:tc>
        <w:tc>
          <w:tcPr>
            <w:tcW w:w="718" w:type="pct"/>
            <w:vAlign w:val="center"/>
          </w:tcPr>
          <w:p w14:paraId="0D40BCBC">
            <w:pPr>
              <w:adjustRightInd w:val="0"/>
              <w:snapToGrid w:val="0"/>
              <w:jc w:val="center"/>
              <w:rPr>
                <w:color w:val="000000"/>
                <w:szCs w:val="21"/>
              </w:rPr>
            </w:pPr>
            <w:r>
              <w:rPr>
                <w:rFonts w:hint="eastAsia"/>
                <w:color w:val="000000"/>
                <w:szCs w:val="21"/>
              </w:rPr>
              <w:t>156.0</w:t>
            </w:r>
            <w:r>
              <w:rPr>
                <w:color w:val="000000"/>
                <w:szCs w:val="21"/>
              </w:rPr>
              <w:t>*</w:t>
            </w:r>
          </w:p>
        </w:tc>
        <w:tc>
          <w:tcPr>
            <w:tcW w:w="649" w:type="pct"/>
            <w:vAlign w:val="center"/>
          </w:tcPr>
          <w:p w14:paraId="36B433DC">
            <w:pPr>
              <w:adjustRightInd w:val="0"/>
              <w:snapToGrid w:val="0"/>
              <w:jc w:val="center"/>
              <w:rPr>
                <w:color w:val="000000"/>
                <w:szCs w:val="21"/>
              </w:rPr>
            </w:pPr>
            <w:r>
              <w:rPr>
                <w:rFonts w:hint="eastAsia"/>
                <w:color w:val="000000"/>
                <w:szCs w:val="21"/>
              </w:rPr>
              <w:t>16</w:t>
            </w:r>
          </w:p>
        </w:tc>
        <w:tc>
          <w:tcPr>
            <w:tcW w:w="625" w:type="pct"/>
          </w:tcPr>
          <w:p w14:paraId="319BDF53">
            <w:pPr>
              <w:adjustRightInd w:val="0"/>
              <w:snapToGrid w:val="0"/>
              <w:jc w:val="center"/>
              <w:rPr>
                <w:color w:val="000000"/>
                <w:szCs w:val="21"/>
              </w:rPr>
            </w:pPr>
            <w:r>
              <w:t>50</w:t>
            </w:r>
          </w:p>
        </w:tc>
        <w:tc>
          <w:tcPr>
            <w:tcW w:w="605" w:type="pct"/>
          </w:tcPr>
          <w:p w14:paraId="6540567D">
            <w:pPr>
              <w:adjustRightInd w:val="0"/>
              <w:snapToGrid w:val="0"/>
              <w:jc w:val="center"/>
              <w:rPr>
                <w:color w:val="000000"/>
                <w:szCs w:val="21"/>
              </w:rPr>
            </w:pPr>
            <w:r>
              <w:t>50</w:t>
            </w:r>
          </w:p>
        </w:tc>
        <w:tc>
          <w:tcPr>
            <w:tcW w:w="591" w:type="pct"/>
          </w:tcPr>
          <w:p w14:paraId="64B870FF">
            <w:pPr>
              <w:adjustRightInd w:val="0"/>
              <w:snapToGrid w:val="0"/>
              <w:jc w:val="center"/>
              <w:rPr>
                <w:color w:val="000000"/>
                <w:szCs w:val="21"/>
              </w:rPr>
            </w:pPr>
            <w:r>
              <w:t>50</w:t>
            </w:r>
          </w:p>
        </w:tc>
      </w:tr>
      <w:tr w14:paraId="33FB7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1081" w:type="pct"/>
            <w:vMerge w:val="continue"/>
            <w:vAlign w:val="center"/>
          </w:tcPr>
          <w:p w14:paraId="48B9D1DB">
            <w:pPr>
              <w:widowControl/>
              <w:adjustRightInd w:val="0"/>
              <w:snapToGrid w:val="0"/>
              <w:jc w:val="center"/>
              <w:rPr>
                <w:color w:val="000000"/>
                <w:szCs w:val="21"/>
              </w:rPr>
            </w:pPr>
          </w:p>
        </w:tc>
        <w:tc>
          <w:tcPr>
            <w:tcW w:w="731" w:type="pct"/>
            <w:vMerge w:val="continue"/>
            <w:vAlign w:val="center"/>
          </w:tcPr>
          <w:p w14:paraId="06028787">
            <w:pPr>
              <w:widowControl/>
              <w:adjustRightInd w:val="0"/>
              <w:snapToGrid w:val="0"/>
              <w:jc w:val="center"/>
              <w:rPr>
                <w:color w:val="000000"/>
                <w:szCs w:val="21"/>
              </w:rPr>
            </w:pPr>
          </w:p>
        </w:tc>
        <w:tc>
          <w:tcPr>
            <w:tcW w:w="718" w:type="pct"/>
            <w:vAlign w:val="center"/>
          </w:tcPr>
          <w:p w14:paraId="28DE10FB">
            <w:pPr>
              <w:adjustRightInd w:val="0"/>
              <w:snapToGrid w:val="0"/>
              <w:jc w:val="center"/>
              <w:rPr>
                <w:color w:val="000000"/>
                <w:szCs w:val="21"/>
              </w:rPr>
            </w:pPr>
            <w:r>
              <w:rPr>
                <w:color w:val="000000"/>
                <w:szCs w:val="21"/>
              </w:rPr>
              <w:t>1</w:t>
            </w:r>
            <w:r>
              <w:rPr>
                <w:rFonts w:hint="eastAsia"/>
                <w:color w:val="000000"/>
                <w:szCs w:val="21"/>
              </w:rPr>
              <w:t>08.0</w:t>
            </w:r>
          </w:p>
        </w:tc>
        <w:tc>
          <w:tcPr>
            <w:tcW w:w="649" w:type="pct"/>
            <w:vAlign w:val="center"/>
          </w:tcPr>
          <w:p w14:paraId="41D2AC1F">
            <w:pPr>
              <w:adjustRightInd w:val="0"/>
              <w:snapToGrid w:val="0"/>
              <w:jc w:val="center"/>
              <w:rPr>
                <w:color w:val="000000"/>
                <w:szCs w:val="21"/>
              </w:rPr>
            </w:pPr>
            <w:r>
              <w:rPr>
                <w:color w:val="000000"/>
                <w:szCs w:val="21"/>
              </w:rPr>
              <w:t>2</w:t>
            </w:r>
            <w:r>
              <w:rPr>
                <w:rFonts w:hint="eastAsia"/>
                <w:color w:val="000000"/>
                <w:szCs w:val="21"/>
              </w:rPr>
              <w:t>7</w:t>
            </w:r>
          </w:p>
        </w:tc>
        <w:tc>
          <w:tcPr>
            <w:tcW w:w="625" w:type="pct"/>
          </w:tcPr>
          <w:p w14:paraId="78826D1F">
            <w:pPr>
              <w:adjustRightInd w:val="0"/>
              <w:snapToGrid w:val="0"/>
              <w:jc w:val="center"/>
              <w:rPr>
                <w:color w:val="000000"/>
                <w:szCs w:val="21"/>
              </w:rPr>
            </w:pPr>
            <w:r>
              <w:t>50</w:t>
            </w:r>
          </w:p>
        </w:tc>
        <w:tc>
          <w:tcPr>
            <w:tcW w:w="605" w:type="pct"/>
          </w:tcPr>
          <w:p w14:paraId="5D122E99">
            <w:pPr>
              <w:adjustRightInd w:val="0"/>
              <w:snapToGrid w:val="0"/>
              <w:jc w:val="center"/>
              <w:rPr>
                <w:color w:val="000000"/>
                <w:szCs w:val="21"/>
              </w:rPr>
            </w:pPr>
            <w:r>
              <w:t>50</w:t>
            </w:r>
          </w:p>
        </w:tc>
        <w:tc>
          <w:tcPr>
            <w:tcW w:w="591" w:type="pct"/>
          </w:tcPr>
          <w:p w14:paraId="2683B94F">
            <w:pPr>
              <w:adjustRightInd w:val="0"/>
              <w:snapToGrid w:val="0"/>
              <w:jc w:val="center"/>
              <w:rPr>
                <w:color w:val="000000"/>
                <w:szCs w:val="21"/>
              </w:rPr>
            </w:pPr>
            <w:r>
              <w:t>50</w:t>
            </w:r>
          </w:p>
        </w:tc>
      </w:tr>
      <w:tr w14:paraId="5FB1A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1081" w:type="pct"/>
            <w:vMerge w:val="restart"/>
            <w:vAlign w:val="center"/>
          </w:tcPr>
          <w:p w14:paraId="41CADF09">
            <w:pPr>
              <w:widowControl/>
              <w:autoSpaceDE w:val="0"/>
              <w:adjustRightInd w:val="0"/>
              <w:snapToGrid w:val="0"/>
              <w:jc w:val="center"/>
              <w:textAlignment w:val="center"/>
              <w:rPr>
                <w:color w:val="000000"/>
                <w:szCs w:val="21"/>
              </w:rPr>
            </w:pPr>
            <w:r>
              <w:rPr>
                <w:color w:val="000000"/>
                <w:szCs w:val="21"/>
              </w:rPr>
              <w:t>磺胺</w:t>
            </w:r>
            <w:r>
              <w:rPr>
                <w:rFonts w:hint="eastAsia"/>
                <w:color w:val="000000"/>
                <w:szCs w:val="21"/>
              </w:rPr>
              <w:t>噻唑</w:t>
            </w:r>
          </w:p>
        </w:tc>
        <w:tc>
          <w:tcPr>
            <w:tcW w:w="731" w:type="pct"/>
            <w:vMerge w:val="restart"/>
            <w:vAlign w:val="center"/>
          </w:tcPr>
          <w:p w14:paraId="1893B20D">
            <w:pPr>
              <w:widowControl/>
              <w:autoSpaceDE w:val="0"/>
              <w:adjustRightInd w:val="0"/>
              <w:snapToGrid w:val="0"/>
              <w:jc w:val="center"/>
              <w:textAlignment w:val="center"/>
              <w:rPr>
                <w:color w:val="000000"/>
                <w:szCs w:val="21"/>
              </w:rPr>
            </w:pPr>
            <w:r>
              <w:rPr>
                <w:color w:val="000000"/>
                <w:szCs w:val="21"/>
              </w:rPr>
              <w:t>25</w:t>
            </w:r>
            <w:r>
              <w:rPr>
                <w:rFonts w:hint="eastAsia"/>
                <w:color w:val="000000"/>
                <w:szCs w:val="21"/>
              </w:rPr>
              <w:t>5.8</w:t>
            </w:r>
          </w:p>
        </w:tc>
        <w:tc>
          <w:tcPr>
            <w:tcW w:w="718" w:type="pct"/>
            <w:vAlign w:val="center"/>
          </w:tcPr>
          <w:p w14:paraId="2FA2DA50">
            <w:pPr>
              <w:adjustRightInd w:val="0"/>
              <w:snapToGrid w:val="0"/>
              <w:jc w:val="center"/>
              <w:rPr>
                <w:color w:val="000000"/>
                <w:szCs w:val="21"/>
              </w:rPr>
            </w:pPr>
            <w:r>
              <w:rPr>
                <w:color w:val="000000"/>
                <w:szCs w:val="21"/>
              </w:rPr>
              <w:t>156.0*</w:t>
            </w:r>
          </w:p>
        </w:tc>
        <w:tc>
          <w:tcPr>
            <w:tcW w:w="649" w:type="pct"/>
            <w:vAlign w:val="center"/>
          </w:tcPr>
          <w:p w14:paraId="07932027">
            <w:pPr>
              <w:adjustRightInd w:val="0"/>
              <w:snapToGrid w:val="0"/>
              <w:jc w:val="center"/>
              <w:rPr>
                <w:color w:val="000000"/>
                <w:szCs w:val="21"/>
              </w:rPr>
            </w:pPr>
            <w:r>
              <w:rPr>
                <w:rFonts w:hint="eastAsia"/>
                <w:color w:val="000000"/>
                <w:szCs w:val="21"/>
              </w:rPr>
              <w:t>24</w:t>
            </w:r>
          </w:p>
        </w:tc>
        <w:tc>
          <w:tcPr>
            <w:tcW w:w="625" w:type="pct"/>
          </w:tcPr>
          <w:p w14:paraId="089BA167">
            <w:pPr>
              <w:adjustRightInd w:val="0"/>
              <w:snapToGrid w:val="0"/>
              <w:jc w:val="center"/>
              <w:rPr>
                <w:color w:val="000000"/>
                <w:szCs w:val="21"/>
              </w:rPr>
            </w:pPr>
            <w:r>
              <w:t>50</w:t>
            </w:r>
          </w:p>
        </w:tc>
        <w:tc>
          <w:tcPr>
            <w:tcW w:w="605" w:type="pct"/>
          </w:tcPr>
          <w:p w14:paraId="7291BAD5">
            <w:pPr>
              <w:adjustRightInd w:val="0"/>
              <w:snapToGrid w:val="0"/>
              <w:jc w:val="center"/>
              <w:rPr>
                <w:color w:val="000000"/>
                <w:szCs w:val="21"/>
              </w:rPr>
            </w:pPr>
            <w:r>
              <w:t>50</w:t>
            </w:r>
          </w:p>
        </w:tc>
        <w:tc>
          <w:tcPr>
            <w:tcW w:w="591" w:type="pct"/>
          </w:tcPr>
          <w:p w14:paraId="7EBBDB5D">
            <w:pPr>
              <w:adjustRightInd w:val="0"/>
              <w:snapToGrid w:val="0"/>
              <w:jc w:val="center"/>
              <w:rPr>
                <w:color w:val="000000"/>
                <w:szCs w:val="21"/>
              </w:rPr>
            </w:pPr>
            <w:r>
              <w:t>50</w:t>
            </w:r>
          </w:p>
        </w:tc>
      </w:tr>
      <w:tr w14:paraId="01368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1081" w:type="pct"/>
            <w:vMerge w:val="continue"/>
            <w:vAlign w:val="center"/>
          </w:tcPr>
          <w:p w14:paraId="7626168E">
            <w:pPr>
              <w:widowControl/>
              <w:adjustRightInd w:val="0"/>
              <w:snapToGrid w:val="0"/>
              <w:jc w:val="center"/>
              <w:rPr>
                <w:color w:val="000000"/>
                <w:szCs w:val="21"/>
              </w:rPr>
            </w:pPr>
          </w:p>
        </w:tc>
        <w:tc>
          <w:tcPr>
            <w:tcW w:w="731" w:type="pct"/>
            <w:vMerge w:val="continue"/>
            <w:vAlign w:val="center"/>
          </w:tcPr>
          <w:p w14:paraId="5E1D6314">
            <w:pPr>
              <w:widowControl/>
              <w:adjustRightInd w:val="0"/>
              <w:snapToGrid w:val="0"/>
              <w:jc w:val="center"/>
              <w:rPr>
                <w:color w:val="000000"/>
                <w:szCs w:val="21"/>
              </w:rPr>
            </w:pPr>
          </w:p>
        </w:tc>
        <w:tc>
          <w:tcPr>
            <w:tcW w:w="718" w:type="pct"/>
            <w:vAlign w:val="center"/>
          </w:tcPr>
          <w:p w14:paraId="15130733">
            <w:pPr>
              <w:adjustRightInd w:val="0"/>
              <w:snapToGrid w:val="0"/>
              <w:jc w:val="center"/>
              <w:rPr>
                <w:color w:val="000000"/>
                <w:szCs w:val="21"/>
              </w:rPr>
            </w:pPr>
            <w:r>
              <w:rPr>
                <w:color w:val="000000"/>
                <w:szCs w:val="21"/>
              </w:rPr>
              <w:t>108</w:t>
            </w:r>
            <w:r>
              <w:rPr>
                <w:rFonts w:hint="eastAsia"/>
                <w:color w:val="000000"/>
                <w:szCs w:val="21"/>
              </w:rPr>
              <w:t>.0</w:t>
            </w:r>
          </w:p>
        </w:tc>
        <w:tc>
          <w:tcPr>
            <w:tcW w:w="649" w:type="pct"/>
            <w:vAlign w:val="center"/>
          </w:tcPr>
          <w:p w14:paraId="0FA116B4">
            <w:pPr>
              <w:adjustRightInd w:val="0"/>
              <w:snapToGrid w:val="0"/>
              <w:jc w:val="center"/>
              <w:rPr>
                <w:color w:val="000000"/>
                <w:szCs w:val="21"/>
              </w:rPr>
            </w:pPr>
            <w:r>
              <w:rPr>
                <w:rFonts w:hint="eastAsia"/>
                <w:color w:val="000000"/>
                <w:szCs w:val="21"/>
              </w:rPr>
              <w:t>35</w:t>
            </w:r>
          </w:p>
        </w:tc>
        <w:tc>
          <w:tcPr>
            <w:tcW w:w="625" w:type="pct"/>
          </w:tcPr>
          <w:p w14:paraId="1EC99FDD">
            <w:pPr>
              <w:adjustRightInd w:val="0"/>
              <w:snapToGrid w:val="0"/>
              <w:jc w:val="center"/>
              <w:rPr>
                <w:color w:val="000000"/>
                <w:szCs w:val="21"/>
              </w:rPr>
            </w:pPr>
            <w:r>
              <w:t>50</w:t>
            </w:r>
          </w:p>
        </w:tc>
        <w:tc>
          <w:tcPr>
            <w:tcW w:w="605" w:type="pct"/>
          </w:tcPr>
          <w:p w14:paraId="763AE6A3">
            <w:pPr>
              <w:adjustRightInd w:val="0"/>
              <w:snapToGrid w:val="0"/>
              <w:jc w:val="center"/>
              <w:rPr>
                <w:color w:val="000000"/>
                <w:szCs w:val="21"/>
              </w:rPr>
            </w:pPr>
            <w:r>
              <w:t>50</w:t>
            </w:r>
          </w:p>
        </w:tc>
        <w:tc>
          <w:tcPr>
            <w:tcW w:w="591" w:type="pct"/>
          </w:tcPr>
          <w:p w14:paraId="423608FF">
            <w:pPr>
              <w:adjustRightInd w:val="0"/>
              <w:snapToGrid w:val="0"/>
              <w:jc w:val="center"/>
              <w:rPr>
                <w:color w:val="000000"/>
                <w:szCs w:val="21"/>
              </w:rPr>
            </w:pPr>
            <w:r>
              <w:t>50</w:t>
            </w:r>
          </w:p>
        </w:tc>
      </w:tr>
      <w:tr w14:paraId="293E3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1081" w:type="pct"/>
            <w:vMerge w:val="restart"/>
            <w:vAlign w:val="center"/>
          </w:tcPr>
          <w:p w14:paraId="2AE8636E">
            <w:pPr>
              <w:widowControl/>
              <w:autoSpaceDE w:val="0"/>
              <w:adjustRightInd w:val="0"/>
              <w:snapToGrid w:val="0"/>
              <w:jc w:val="center"/>
              <w:textAlignment w:val="center"/>
              <w:rPr>
                <w:color w:val="000000"/>
                <w:szCs w:val="21"/>
              </w:rPr>
            </w:pPr>
            <w:r>
              <w:rPr>
                <w:szCs w:val="21"/>
              </w:rPr>
              <w:t>磺胺</w:t>
            </w:r>
            <w:r>
              <w:rPr>
                <w:rFonts w:hint="eastAsia"/>
                <w:szCs w:val="21"/>
              </w:rPr>
              <w:t>吡啶</w:t>
            </w:r>
          </w:p>
        </w:tc>
        <w:tc>
          <w:tcPr>
            <w:tcW w:w="731" w:type="pct"/>
            <w:vMerge w:val="restart"/>
            <w:vAlign w:val="center"/>
          </w:tcPr>
          <w:p w14:paraId="7FC9C118">
            <w:pPr>
              <w:widowControl/>
              <w:autoSpaceDE w:val="0"/>
              <w:adjustRightInd w:val="0"/>
              <w:snapToGrid w:val="0"/>
              <w:jc w:val="center"/>
              <w:textAlignment w:val="center"/>
              <w:rPr>
                <w:color w:val="000000"/>
                <w:szCs w:val="21"/>
              </w:rPr>
            </w:pPr>
            <w:r>
              <w:rPr>
                <w:color w:val="000000"/>
                <w:szCs w:val="21"/>
              </w:rPr>
              <w:t>25</w:t>
            </w:r>
            <w:r>
              <w:rPr>
                <w:rFonts w:hint="eastAsia"/>
                <w:color w:val="000000"/>
                <w:szCs w:val="21"/>
              </w:rPr>
              <w:t>0.2</w:t>
            </w:r>
          </w:p>
        </w:tc>
        <w:tc>
          <w:tcPr>
            <w:tcW w:w="718" w:type="pct"/>
            <w:vAlign w:val="center"/>
          </w:tcPr>
          <w:p w14:paraId="35801B11">
            <w:pPr>
              <w:adjustRightInd w:val="0"/>
              <w:snapToGrid w:val="0"/>
              <w:jc w:val="center"/>
              <w:rPr>
                <w:color w:val="000000"/>
                <w:szCs w:val="21"/>
              </w:rPr>
            </w:pPr>
            <w:r>
              <w:rPr>
                <w:color w:val="000000"/>
                <w:szCs w:val="21"/>
              </w:rPr>
              <w:t>1</w:t>
            </w:r>
            <w:r>
              <w:rPr>
                <w:rFonts w:hint="eastAsia"/>
                <w:color w:val="000000"/>
                <w:szCs w:val="21"/>
              </w:rPr>
              <w:t>56.1</w:t>
            </w:r>
            <w:r>
              <w:rPr>
                <w:color w:val="000000"/>
                <w:szCs w:val="21"/>
              </w:rPr>
              <w:t>*</w:t>
            </w:r>
          </w:p>
        </w:tc>
        <w:tc>
          <w:tcPr>
            <w:tcW w:w="649" w:type="pct"/>
            <w:vAlign w:val="center"/>
          </w:tcPr>
          <w:p w14:paraId="2B4A1432">
            <w:pPr>
              <w:adjustRightInd w:val="0"/>
              <w:snapToGrid w:val="0"/>
              <w:jc w:val="center"/>
              <w:rPr>
                <w:color w:val="000000"/>
                <w:szCs w:val="21"/>
              </w:rPr>
            </w:pPr>
            <w:r>
              <w:rPr>
                <w:color w:val="000000"/>
                <w:szCs w:val="21"/>
              </w:rPr>
              <w:t>2</w:t>
            </w:r>
            <w:r>
              <w:rPr>
                <w:rFonts w:hint="eastAsia"/>
                <w:color w:val="000000"/>
                <w:szCs w:val="21"/>
              </w:rPr>
              <w:t>4</w:t>
            </w:r>
          </w:p>
        </w:tc>
        <w:tc>
          <w:tcPr>
            <w:tcW w:w="625" w:type="pct"/>
          </w:tcPr>
          <w:p w14:paraId="524844FD">
            <w:pPr>
              <w:adjustRightInd w:val="0"/>
              <w:snapToGrid w:val="0"/>
              <w:jc w:val="center"/>
              <w:rPr>
                <w:color w:val="000000"/>
                <w:szCs w:val="21"/>
              </w:rPr>
            </w:pPr>
            <w:r>
              <w:t>50</w:t>
            </w:r>
          </w:p>
        </w:tc>
        <w:tc>
          <w:tcPr>
            <w:tcW w:w="605" w:type="pct"/>
          </w:tcPr>
          <w:p w14:paraId="60A9DFD0">
            <w:pPr>
              <w:adjustRightInd w:val="0"/>
              <w:snapToGrid w:val="0"/>
              <w:jc w:val="center"/>
              <w:rPr>
                <w:color w:val="000000"/>
                <w:szCs w:val="21"/>
              </w:rPr>
            </w:pPr>
            <w:r>
              <w:t>50</w:t>
            </w:r>
          </w:p>
        </w:tc>
        <w:tc>
          <w:tcPr>
            <w:tcW w:w="591" w:type="pct"/>
          </w:tcPr>
          <w:p w14:paraId="774F1A90">
            <w:pPr>
              <w:adjustRightInd w:val="0"/>
              <w:snapToGrid w:val="0"/>
              <w:jc w:val="center"/>
              <w:rPr>
                <w:color w:val="000000"/>
                <w:szCs w:val="21"/>
              </w:rPr>
            </w:pPr>
            <w:r>
              <w:t>50</w:t>
            </w:r>
          </w:p>
        </w:tc>
      </w:tr>
      <w:tr w14:paraId="694C9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1081" w:type="pct"/>
            <w:vMerge w:val="continue"/>
            <w:vAlign w:val="center"/>
          </w:tcPr>
          <w:p w14:paraId="08D573D1">
            <w:pPr>
              <w:widowControl/>
              <w:adjustRightInd w:val="0"/>
              <w:snapToGrid w:val="0"/>
              <w:jc w:val="center"/>
              <w:rPr>
                <w:color w:val="000000"/>
                <w:szCs w:val="21"/>
              </w:rPr>
            </w:pPr>
          </w:p>
        </w:tc>
        <w:tc>
          <w:tcPr>
            <w:tcW w:w="731" w:type="pct"/>
            <w:vMerge w:val="continue"/>
            <w:vAlign w:val="center"/>
          </w:tcPr>
          <w:p w14:paraId="38652CF1">
            <w:pPr>
              <w:widowControl/>
              <w:adjustRightInd w:val="0"/>
              <w:snapToGrid w:val="0"/>
              <w:jc w:val="center"/>
              <w:rPr>
                <w:color w:val="000000"/>
                <w:szCs w:val="21"/>
              </w:rPr>
            </w:pPr>
          </w:p>
        </w:tc>
        <w:tc>
          <w:tcPr>
            <w:tcW w:w="718" w:type="pct"/>
            <w:vAlign w:val="center"/>
          </w:tcPr>
          <w:p w14:paraId="3CFF1E21">
            <w:pPr>
              <w:adjustRightInd w:val="0"/>
              <w:snapToGrid w:val="0"/>
              <w:jc w:val="center"/>
              <w:rPr>
                <w:color w:val="000000"/>
                <w:szCs w:val="21"/>
              </w:rPr>
            </w:pPr>
            <w:r>
              <w:rPr>
                <w:color w:val="000000"/>
                <w:szCs w:val="21"/>
              </w:rPr>
              <w:t>1</w:t>
            </w:r>
            <w:r>
              <w:rPr>
                <w:rFonts w:hint="eastAsia"/>
                <w:color w:val="000000"/>
                <w:szCs w:val="21"/>
              </w:rPr>
              <w:t>84.1</w:t>
            </w:r>
          </w:p>
        </w:tc>
        <w:tc>
          <w:tcPr>
            <w:tcW w:w="649" w:type="pct"/>
            <w:vAlign w:val="center"/>
          </w:tcPr>
          <w:p w14:paraId="53094593">
            <w:pPr>
              <w:adjustRightInd w:val="0"/>
              <w:snapToGrid w:val="0"/>
              <w:jc w:val="center"/>
              <w:rPr>
                <w:color w:val="000000"/>
                <w:szCs w:val="21"/>
              </w:rPr>
            </w:pPr>
            <w:r>
              <w:rPr>
                <w:rFonts w:hint="eastAsia"/>
                <w:color w:val="000000"/>
                <w:szCs w:val="21"/>
              </w:rPr>
              <w:t>24</w:t>
            </w:r>
          </w:p>
        </w:tc>
        <w:tc>
          <w:tcPr>
            <w:tcW w:w="625" w:type="pct"/>
          </w:tcPr>
          <w:p w14:paraId="34154E05">
            <w:pPr>
              <w:adjustRightInd w:val="0"/>
              <w:snapToGrid w:val="0"/>
              <w:jc w:val="center"/>
              <w:rPr>
                <w:color w:val="000000"/>
                <w:szCs w:val="21"/>
              </w:rPr>
            </w:pPr>
            <w:r>
              <w:t>50</w:t>
            </w:r>
          </w:p>
        </w:tc>
        <w:tc>
          <w:tcPr>
            <w:tcW w:w="605" w:type="pct"/>
          </w:tcPr>
          <w:p w14:paraId="3BB7DF94">
            <w:pPr>
              <w:adjustRightInd w:val="0"/>
              <w:snapToGrid w:val="0"/>
              <w:jc w:val="center"/>
              <w:rPr>
                <w:color w:val="000000"/>
                <w:szCs w:val="21"/>
              </w:rPr>
            </w:pPr>
            <w:r>
              <w:t>50</w:t>
            </w:r>
          </w:p>
        </w:tc>
        <w:tc>
          <w:tcPr>
            <w:tcW w:w="591" w:type="pct"/>
          </w:tcPr>
          <w:p w14:paraId="0DA8286F">
            <w:pPr>
              <w:adjustRightInd w:val="0"/>
              <w:snapToGrid w:val="0"/>
              <w:jc w:val="center"/>
              <w:rPr>
                <w:color w:val="000000"/>
                <w:szCs w:val="21"/>
              </w:rPr>
            </w:pPr>
            <w:r>
              <w:t>50</w:t>
            </w:r>
          </w:p>
        </w:tc>
      </w:tr>
      <w:tr w14:paraId="1066C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1081" w:type="pct"/>
            <w:vMerge w:val="restart"/>
            <w:vAlign w:val="center"/>
          </w:tcPr>
          <w:p w14:paraId="24DD2852">
            <w:pPr>
              <w:autoSpaceDE w:val="0"/>
              <w:adjustRightInd w:val="0"/>
              <w:snapToGrid w:val="0"/>
              <w:jc w:val="center"/>
              <w:textAlignment w:val="center"/>
              <w:rPr>
                <w:color w:val="000000"/>
                <w:kern w:val="0"/>
                <w:szCs w:val="21"/>
              </w:rPr>
            </w:pPr>
            <w:r>
              <w:rPr>
                <w:szCs w:val="21"/>
              </w:rPr>
              <w:t>磺胺甲嘧啶</w:t>
            </w:r>
          </w:p>
        </w:tc>
        <w:tc>
          <w:tcPr>
            <w:tcW w:w="731" w:type="pct"/>
            <w:vMerge w:val="restart"/>
            <w:vAlign w:val="center"/>
          </w:tcPr>
          <w:p w14:paraId="12652C5C">
            <w:pPr>
              <w:autoSpaceDE w:val="0"/>
              <w:adjustRightInd w:val="0"/>
              <w:snapToGrid w:val="0"/>
              <w:jc w:val="center"/>
              <w:textAlignment w:val="center"/>
              <w:rPr>
                <w:color w:val="000000"/>
                <w:kern w:val="0"/>
                <w:szCs w:val="21"/>
              </w:rPr>
            </w:pPr>
            <w:r>
              <w:rPr>
                <w:color w:val="000000"/>
                <w:szCs w:val="21"/>
              </w:rPr>
              <w:t>265</w:t>
            </w:r>
            <w:r>
              <w:rPr>
                <w:rFonts w:hint="eastAsia"/>
                <w:color w:val="000000"/>
                <w:szCs w:val="21"/>
              </w:rPr>
              <w:t>.0</w:t>
            </w:r>
          </w:p>
        </w:tc>
        <w:tc>
          <w:tcPr>
            <w:tcW w:w="718" w:type="pct"/>
            <w:vAlign w:val="center"/>
          </w:tcPr>
          <w:p w14:paraId="43E4430D">
            <w:pPr>
              <w:adjustRightInd w:val="0"/>
              <w:snapToGrid w:val="0"/>
              <w:jc w:val="center"/>
              <w:rPr>
                <w:color w:val="000000"/>
                <w:szCs w:val="21"/>
              </w:rPr>
            </w:pPr>
            <w:r>
              <w:rPr>
                <w:color w:val="000000"/>
                <w:szCs w:val="21"/>
              </w:rPr>
              <w:t>107.9*</w:t>
            </w:r>
          </w:p>
        </w:tc>
        <w:tc>
          <w:tcPr>
            <w:tcW w:w="649" w:type="pct"/>
            <w:vAlign w:val="center"/>
          </w:tcPr>
          <w:p w14:paraId="440104CB">
            <w:pPr>
              <w:adjustRightInd w:val="0"/>
              <w:snapToGrid w:val="0"/>
              <w:jc w:val="center"/>
              <w:rPr>
                <w:color w:val="000000"/>
                <w:szCs w:val="21"/>
              </w:rPr>
            </w:pPr>
            <w:r>
              <w:rPr>
                <w:rFonts w:hint="eastAsia"/>
                <w:color w:val="000000"/>
                <w:szCs w:val="21"/>
              </w:rPr>
              <w:t>18</w:t>
            </w:r>
          </w:p>
        </w:tc>
        <w:tc>
          <w:tcPr>
            <w:tcW w:w="625" w:type="pct"/>
          </w:tcPr>
          <w:p w14:paraId="6DD02242">
            <w:pPr>
              <w:adjustRightInd w:val="0"/>
              <w:snapToGrid w:val="0"/>
              <w:jc w:val="center"/>
              <w:rPr>
                <w:color w:val="000000"/>
                <w:szCs w:val="21"/>
              </w:rPr>
            </w:pPr>
            <w:r>
              <w:t>50</w:t>
            </w:r>
          </w:p>
        </w:tc>
        <w:tc>
          <w:tcPr>
            <w:tcW w:w="605" w:type="pct"/>
          </w:tcPr>
          <w:p w14:paraId="362DA49B">
            <w:pPr>
              <w:adjustRightInd w:val="0"/>
              <w:snapToGrid w:val="0"/>
              <w:jc w:val="center"/>
              <w:rPr>
                <w:color w:val="000000"/>
                <w:szCs w:val="21"/>
              </w:rPr>
            </w:pPr>
            <w:r>
              <w:t>50</w:t>
            </w:r>
          </w:p>
        </w:tc>
        <w:tc>
          <w:tcPr>
            <w:tcW w:w="591" w:type="pct"/>
          </w:tcPr>
          <w:p w14:paraId="3EB8D581">
            <w:pPr>
              <w:adjustRightInd w:val="0"/>
              <w:snapToGrid w:val="0"/>
              <w:jc w:val="center"/>
              <w:rPr>
                <w:color w:val="000000"/>
                <w:szCs w:val="21"/>
              </w:rPr>
            </w:pPr>
            <w:r>
              <w:t>50</w:t>
            </w:r>
          </w:p>
        </w:tc>
      </w:tr>
      <w:tr w14:paraId="015A2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1081" w:type="pct"/>
            <w:vMerge w:val="continue"/>
            <w:vAlign w:val="center"/>
          </w:tcPr>
          <w:p w14:paraId="0962B2B7">
            <w:pPr>
              <w:widowControl/>
              <w:autoSpaceDE w:val="0"/>
              <w:adjustRightInd w:val="0"/>
              <w:snapToGrid w:val="0"/>
              <w:jc w:val="center"/>
              <w:textAlignment w:val="center"/>
              <w:rPr>
                <w:color w:val="000000"/>
                <w:szCs w:val="21"/>
              </w:rPr>
            </w:pPr>
          </w:p>
        </w:tc>
        <w:tc>
          <w:tcPr>
            <w:tcW w:w="731" w:type="pct"/>
            <w:vMerge w:val="continue"/>
            <w:vAlign w:val="center"/>
          </w:tcPr>
          <w:p w14:paraId="57ED0C89">
            <w:pPr>
              <w:widowControl/>
              <w:autoSpaceDE w:val="0"/>
              <w:adjustRightInd w:val="0"/>
              <w:snapToGrid w:val="0"/>
              <w:jc w:val="center"/>
              <w:textAlignment w:val="center"/>
              <w:rPr>
                <w:color w:val="000000"/>
                <w:szCs w:val="21"/>
              </w:rPr>
            </w:pPr>
          </w:p>
        </w:tc>
        <w:tc>
          <w:tcPr>
            <w:tcW w:w="718" w:type="pct"/>
            <w:vAlign w:val="center"/>
          </w:tcPr>
          <w:p w14:paraId="25A89DC5">
            <w:pPr>
              <w:adjustRightInd w:val="0"/>
              <w:snapToGrid w:val="0"/>
              <w:jc w:val="center"/>
              <w:rPr>
                <w:color w:val="000000"/>
                <w:szCs w:val="21"/>
              </w:rPr>
            </w:pPr>
            <w:r>
              <w:rPr>
                <w:color w:val="000000"/>
                <w:szCs w:val="21"/>
              </w:rPr>
              <w:t>156</w:t>
            </w:r>
            <w:r>
              <w:rPr>
                <w:rFonts w:hint="eastAsia"/>
                <w:color w:val="000000"/>
                <w:szCs w:val="21"/>
              </w:rPr>
              <w:t>.0</w:t>
            </w:r>
          </w:p>
        </w:tc>
        <w:tc>
          <w:tcPr>
            <w:tcW w:w="649" w:type="pct"/>
            <w:vAlign w:val="center"/>
          </w:tcPr>
          <w:p w14:paraId="45C6D0DF">
            <w:pPr>
              <w:adjustRightInd w:val="0"/>
              <w:snapToGrid w:val="0"/>
              <w:jc w:val="center"/>
              <w:rPr>
                <w:color w:val="000000"/>
                <w:szCs w:val="21"/>
              </w:rPr>
            </w:pPr>
            <w:r>
              <w:rPr>
                <w:rFonts w:hint="eastAsia"/>
                <w:color w:val="000000"/>
                <w:szCs w:val="21"/>
              </w:rPr>
              <w:t>15</w:t>
            </w:r>
          </w:p>
        </w:tc>
        <w:tc>
          <w:tcPr>
            <w:tcW w:w="625" w:type="pct"/>
          </w:tcPr>
          <w:p w14:paraId="3710C1CE">
            <w:pPr>
              <w:adjustRightInd w:val="0"/>
              <w:snapToGrid w:val="0"/>
              <w:jc w:val="center"/>
              <w:rPr>
                <w:color w:val="000000"/>
                <w:szCs w:val="21"/>
              </w:rPr>
            </w:pPr>
            <w:r>
              <w:t>50</w:t>
            </w:r>
          </w:p>
        </w:tc>
        <w:tc>
          <w:tcPr>
            <w:tcW w:w="605" w:type="pct"/>
          </w:tcPr>
          <w:p w14:paraId="2BB30EC0">
            <w:pPr>
              <w:adjustRightInd w:val="0"/>
              <w:snapToGrid w:val="0"/>
              <w:jc w:val="center"/>
              <w:rPr>
                <w:color w:val="000000"/>
                <w:szCs w:val="21"/>
              </w:rPr>
            </w:pPr>
            <w:r>
              <w:t>50</w:t>
            </w:r>
          </w:p>
        </w:tc>
        <w:tc>
          <w:tcPr>
            <w:tcW w:w="591" w:type="pct"/>
          </w:tcPr>
          <w:p w14:paraId="69D2F9A9">
            <w:pPr>
              <w:adjustRightInd w:val="0"/>
              <w:snapToGrid w:val="0"/>
              <w:jc w:val="center"/>
              <w:rPr>
                <w:color w:val="000000"/>
                <w:szCs w:val="21"/>
              </w:rPr>
            </w:pPr>
            <w:r>
              <w:t>50</w:t>
            </w:r>
          </w:p>
        </w:tc>
      </w:tr>
      <w:tr w14:paraId="27050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1081" w:type="pct"/>
            <w:vMerge w:val="restart"/>
            <w:vAlign w:val="center"/>
          </w:tcPr>
          <w:p w14:paraId="43183AD2">
            <w:pPr>
              <w:widowControl/>
              <w:autoSpaceDE w:val="0"/>
              <w:adjustRightInd w:val="0"/>
              <w:snapToGrid w:val="0"/>
              <w:jc w:val="center"/>
              <w:textAlignment w:val="center"/>
              <w:rPr>
                <w:color w:val="000000"/>
                <w:szCs w:val="21"/>
              </w:rPr>
            </w:pPr>
            <w:r>
              <w:rPr>
                <w:szCs w:val="21"/>
              </w:rPr>
              <w:t>磺胺甲二唑</w:t>
            </w:r>
          </w:p>
        </w:tc>
        <w:tc>
          <w:tcPr>
            <w:tcW w:w="731" w:type="pct"/>
            <w:vMerge w:val="restart"/>
            <w:vAlign w:val="center"/>
          </w:tcPr>
          <w:p w14:paraId="717CA3DA">
            <w:pPr>
              <w:widowControl/>
              <w:autoSpaceDE w:val="0"/>
              <w:adjustRightInd w:val="0"/>
              <w:snapToGrid w:val="0"/>
              <w:jc w:val="center"/>
              <w:textAlignment w:val="center"/>
              <w:rPr>
                <w:color w:val="000000"/>
                <w:szCs w:val="21"/>
              </w:rPr>
            </w:pPr>
            <w:r>
              <w:rPr>
                <w:color w:val="000000"/>
                <w:szCs w:val="21"/>
              </w:rPr>
              <w:t>271.1</w:t>
            </w:r>
          </w:p>
        </w:tc>
        <w:tc>
          <w:tcPr>
            <w:tcW w:w="718" w:type="pct"/>
            <w:vAlign w:val="center"/>
          </w:tcPr>
          <w:p w14:paraId="0E231C32">
            <w:pPr>
              <w:adjustRightInd w:val="0"/>
              <w:snapToGrid w:val="0"/>
              <w:jc w:val="center"/>
              <w:rPr>
                <w:color w:val="000000"/>
                <w:szCs w:val="21"/>
              </w:rPr>
            </w:pPr>
            <w:r>
              <w:rPr>
                <w:color w:val="000000"/>
                <w:szCs w:val="21"/>
              </w:rPr>
              <w:t>156.2*</w:t>
            </w:r>
          </w:p>
        </w:tc>
        <w:tc>
          <w:tcPr>
            <w:tcW w:w="649" w:type="pct"/>
            <w:vAlign w:val="center"/>
          </w:tcPr>
          <w:p w14:paraId="6497FA26">
            <w:pPr>
              <w:adjustRightInd w:val="0"/>
              <w:snapToGrid w:val="0"/>
              <w:jc w:val="center"/>
              <w:rPr>
                <w:color w:val="000000"/>
                <w:szCs w:val="21"/>
              </w:rPr>
            </w:pPr>
            <w:r>
              <w:rPr>
                <w:color w:val="000000"/>
                <w:szCs w:val="21"/>
              </w:rPr>
              <w:t>2</w:t>
            </w:r>
            <w:r>
              <w:rPr>
                <w:rFonts w:hint="eastAsia"/>
                <w:color w:val="000000"/>
                <w:szCs w:val="21"/>
              </w:rPr>
              <w:t>2</w:t>
            </w:r>
          </w:p>
        </w:tc>
        <w:tc>
          <w:tcPr>
            <w:tcW w:w="625" w:type="pct"/>
          </w:tcPr>
          <w:p w14:paraId="1D11F850">
            <w:pPr>
              <w:adjustRightInd w:val="0"/>
              <w:snapToGrid w:val="0"/>
              <w:jc w:val="center"/>
              <w:rPr>
                <w:color w:val="000000"/>
                <w:szCs w:val="21"/>
              </w:rPr>
            </w:pPr>
            <w:r>
              <w:t>50</w:t>
            </w:r>
          </w:p>
        </w:tc>
        <w:tc>
          <w:tcPr>
            <w:tcW w:w="605" w:type="pct"/>
          </w:tcPr>
          <w:p w14:paraId="24A18260">
            <w:pPr>
              <w:adjustRightInd w:val="0"/>
              <w:snapToGrid w:val="0"/>
              <w:jc w:val="center"/>
              <w:rPr>
                <w:color w:val="000000"/>
                <w:szCs w:val="21"/>
              </w:rPr>
            </w:pPr>
            <w:r>
              <w:t>50</w:t>
            </w:r>
          </w:p>
        </w:tc>
        <w:tc>
          <w:tcPr>
            <w:tcW w:w="591" w:type="pct"/>
          </w:tcPr>
          <w:p w14:paraId="37A5CF32">
            <w:pPr>
              <w:adjustRightInd w:val="0"/>
              <w:snapToGrid w:val="0"/>
              <w:jc w:val="center"/>
              <w:rPr>
                <w:color w:val="000000"/>
                <w:szCs w:val="21"/>
              </w:rPr>
            </w:pPr>
            <w:r>
              <w:t>50</w:t>
            </w:r>
          </w:p>
        </w:tc>
      </w:tr>
      <w:tr w14:paraId="4BA9A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1081" w:type="pct"/>
            <w:vMerge w:val="continue"/>
            <w:vAlign w:val="center"/>
          </w:tcPr>
          <w:p w14:paraId="7F186840">
            <w:pPr>
              <w:widowControl/>
              <w:adjustRightInd w:val="0"/>
              <w:snapToGrid w:val="0"/>
              <w:jc w:val="center"/>
              <w:rPr>
                <w:color w:val="000000"/>
                <w:szCs w:val="21"/>
              </w:rPr>
            </w:pPr>
          </w:p>
        </w:tc>
        <w:tc>
          <w:tcPr>
            <w:tcW w:w="731" w:type="pct"/>
            <w:vMerge w:val="continue"/>
            <w:vAlign w:val="center"/>
          </w:tcPr>
          <w:p w14:paraId="1827FA05">
            <w:pPr>
              <w:widowControl/>
              <w:adjustRightInd w:val="0"/>
              <w:snapToGrid w:val="0"/>
              <w:jc w:val="center"/>
              <w:rPr>
                <w:color w:val="000000"/>
                <w:szCs w:val="21"/>
              </w:rPr>
            </w:pPr>
          </w:p>
        </w:tc>
        <w:tc>
          <w:tcPr>
            <w:tcW w:w="718" w:type="pct"/>
            <w:vAlign w:val="center"/>
          </w:tcPr>
          <w:p w14:paraId="4FAAF1AF">
            <w:pPr>
              <w:adjustRightInd w:val="0"/>
              <w:snapToGrid w:val="0"/>
              <w:jc w:val="center"/>
              <w:rPr>
                <w:color w:val="000000"/>
                <w:szCs w:val="21"/>
              </w:rPr>
            </w:pPr>
            <w:r>
              <w:rPr>
                <w:color w:val="000000"/>
                <w:szCs w:val="21"/>
              </w:rPr>
              <w:t>108.2</w:t>
            </w:r>
          </w:p>
        </w:tc>
        <w:tc>
          <w:tcPr>
            <w:tcW w:w="649" w:type="pct"/>
            <w:vAlign w:val="center"/>
          </w:tcPr>
          <w:p w14:paraId="7C0B892D">
            <w:pPr>
              <w:adjustRightInd w:val="0"/>
              <w:snapToGrid w:val="0"/>
              <w:jc w:val="center"/>
              <w:rPr>
                <w:color w:val="000000"/>
                <w:szCs w:val="21"/>
              </w:rPr>
            </w:pPr>
            <w:r>
              <w:rPr>
                <w:color w:val="000000"/>
                <w:szCs w:val="21"/>
              </w:rPr>
              <w:t>3</w:t>
            </w:r>
            <w:r>
              <w:rPr>
                <w:rFonts w:hint="eastAsia"/>
                <w:color w:val="000000"/>
                <w:szCs w:val="21"/>
              </w:rPr>
              <w:t>5</w:t>
            </w:r>
          </w:p>
        </w:tc>
        <w:tc>
          <w:tcPr>
            <w:tcW w:w="625" w:type="pct"/>
          </w:tcPr>
          <w:p w14:paraId="42EDF059">
            <w:pPr>
              <w:adjustRightInd w:val="0"/>
              <w:snapToGrid w:val="0"/>
              <w:jc w:val="center"/>
              <w:rPr>
                <w:color w:val="000000"/>
                <w:szCs w:val="21"/>
              </w:rPr>
            </w:pPr>
            <w:r>
              <w:t>50</w:t>
            </w:r>
          </w:p>
        </w:tc>
        <w:tc>
          <w:tcPr>
            <w:tcW w:w="605" w:type="pct"/>
          </w:tcPr>
          <w:p w14:paraId="3CFF7A52">
            <w:pPr>
              <w:adjustRightInd w:val="0"/>
              <w:snapToGrid w:val="0"/>
              <w:jc w:val="center"/>
              <w:rPr>
                <w:color w:val="000000"/>
                <w:szCs w:val="21"/>
              </w:rPr>
            </w:pPr>
            <w:r>
              <w:t>50</w:t>
            </w:r>
          </w:p>
        </w:tc>
        <w:tc>
          <w:tcPr>
            <w:tcW w:w="591" w:type="pct"/>
          </w:tcPr>
          <w:p w14:paraId="1A75A3E6">
            <w:pPr>
              <w:adjustRightInd w:val="0"/>
              <w:snapToGrid w:val="0"/>
              <w:jc w:val="center"/>
              <w:rPr>
                <w:color w:val="000000"/>
                <w:szCs w:val="21"/>
              </w:rPr>
            </w:pPr>
            <w:r>
              <w:t>50</w:t>
            </w:r>
          </w:p>
        </w:tc>
      </w:tr>
      <w:tr w14:paraId="4E4B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1081" w:type="pct"/>
            <w:vMerge w:val="restart"/>
            <w:vAlign w:val="center"/>
          </w:tcPr>
          <w:p w14:paraId="0F208FCE">
            <w:pPr>
              <w:widowControl/>
              <w:autoSpaceDE w:val="0"/>
              <w:adjustRightInd w:val="0"/>
              <w:snapToGrid w:val="0"/>
              <w:jc w:val="center"/>
              <w:textAlignment w:val="center"/>
              <w:rPr>
                <w:color w:val="000000"/>
                <w:szCs w:val="21"/>
              </w:rPr>
            </w:pPr>
            <w:r>
              <w:rPr>
                <w:rFonts w:hint="eastAsia"/>
                <w:color w:val="000000"/>
                <w:szCs w:val="21"/>
              </w:rPr>
              <w:t>甲氧苄啶</w:t>
            </w:r>
          </w:p>
        </w:tc>
        <w:tc>
          <w:tcPr>
            <w:tcW w:w="731" w:type="pct"/>
            <w:vMerge w:val="restart"/>
            <w:vAlign w:val="center"/>
          </w:tcPr>
          <w:p w14:paraId="010366A9">
            <w:pPr>
              <w:widowControl/>
              <w:autoSpaceDE w:val="0"/>
              <w:adjustRightInd w:val="0"/>
              <w:snapToGrid w:val="0"/>
              <w:jc w:val="center"/>
              <w:textAlignment w:val="center"/>
              <w:rPr>
                <w:color w:val="000000"/>
                <w:szCs w:val="21"/>
              </w:rPr>
            </w:pPr>
            <w:r>
              <w:rPr>
                <w:color w:val="000000"/>
                <w:szCs w:val="21"/>
              </w:rPr>
              <w:t>2</w:t>
            </w:r>
            <w:r>
              <w:rPr>
                <w:rFonts w:hint="eastAsia"/>
                <w:color w:val="000000"/>
                <w:szCs w:val="21"/>
              </w:rPr>
              <w:t>91.0</w:t>
            </w:r>
          </w:p>
        </w:tc>
        <w:tc>
          <w:tcPr>
            <w:tcW w:w="718" w:type="pct"/>
            <w:vAlign w:val="center"/>
          </w:tcPr>
          <w:p w14:paraId="53D3A4B1">
            <w:pPr>
              <w:adjustRightInd w:val="0"/>
              <w:snapToGrid w:val="0"/>
              <w:jc w:val="center"/>
              <w:rPr>
                <w:color w:val="000000"/>
                <w:szCs w:val="21"/>
              </w:rPr>
            </w:pPr>
            <w:r>
              <w:rPr>
                <w:rFonts w:hint="eastAsia"/>
                <w:color w:val="000000"/>
                <w:szCs w:val="21"/>
              </w:rPr>
              <w:t>230.0</w:t>
            </w:r>
            <w:r>
              <w:rPr>
                <w:color w:val="000000"/>
                <w:szCs w:val="21"/>
              </w:rPr>
              <w:t>*</w:t>
            </w:r>
          </w:p>
        </w:tc>
        <w:tc>
          <w:tcPr>
            <w:tcW w:w="649" w:type="pct"/>
            <w:vAlign w:val="center"/>
          </w:tcPr>
          <w:p w14:paraId="2D209A26">
            <w:pPr>
              <w:adjustRightInd w:val="0"/>
              <w:snapToGrid w:val="0"/>
              <w:jc w:val="center"/>
              <w:rPr>
                <w:color w:val="000000"/>
                <w:szCs w:val="21"/>
              </w:rPr>
            </w:pPr>
            <w:r>
              <w:rPr>
                <w:rFonts w:hint="eastAsia"/>
                <w:color w:val="000000"/>
                <w:szCs w:val="21"/>
              </w:rPr>
              <w:t>28</w:t>
            </w:r>
          </w:p>
        </w:tc>
        <w:tc>
          <w:tcPr>
            <w:tcW w:w="625" w:type="pct"/>
          </w:tcPr>
          <w:p w14:paraId="70623244">
            <w:pPr>
              <w:adjustRightInd w:val="0"/>
              <w:snapToGrid w:val="0"/>
              <w:jc w:val="center"/>
              <w:rPr>
                <w:color w:val="000000"/>
                <w:szCs w:val="21"/>
              </w:rPr>
            </w:pPr>
            <w:r>
              <w:t>50</w:t>
            </w:r>
          </w:p>
        </w:tc>
        <w:tc>
          <w:tcPr>
            <w:tcW w:w="605" w:type="pct"/>
          </w:tcPr>
          <w:p w14:paraId="171E560C">
            <w:pPr>
              <w:adjustRightInd w:val="0"/>
              <w:snapToGrid w:val="0"/>
              <w:jc w:val="center"/>
              <w:rPr>
                <w:color w:val="000000"/>
                <w:szCs w:val="21"/>
              </w:rPr>
            </w:pPr>
            <w:r>
              <w:t>50</w:t>
            </w:r>
          </w:p>
        </w:tc>
        <w:tc>
          <w:tcPr>
            <w:tcW w:w="591" w:type="pct"/>
          </w:tcPr>
          <w:p w14:paraId="5F06594E">
            <w:pPr>
              <w:adjustRightInd w:val="0"/>
              <w:snapToGrid w:val="0"/>
              <w:jc w:val="center"/>
              <w:rPr>
                <w:color w:val="000000"/>
                <w:szCs w:val="21"/>
              </w:rPr>
            </w:pPr>
            <w:r>
              <w:t>50</w:t>
            </w:r>
          </w:p>
        </w:tc>
      </w:tr>
      <w:tr w14:paraId="26208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1081" w:type="pct"/>
            <w:vMerge w:val="continue"/>
            <w:vAlign w:val="center"/>
          </w:tcPr>
          <w:p w14:paraId="1C80E1C1">
            <w:pPr>
              <w:widowControl/>
              <w:adjustRightInd w:val="0"/>
              <w:snapToGrid w:val="0"/>
              <w:jc w:val="center"/>
              <w:rPr>
                <w:color w:val="000000"/>
                <w:szCs w:val="21"/>
              </w:rPr>
            </w:pPr>
          </w:p>
        </w:tc>
        <w:tc>
          <w:tcPr>
            <w:tcW w:w="731" w:type="pct"/>
            <w:vMerge w:val="continue"/>
            <w:vAlign w:val="center"/>
          </w:tcPr>
          <w:p w14:paraId="3178C213">
            <w:pPr>
              <w:widowControl/>
              <w:adjustRightInd w:val="0"/>
              <w:snapToGrid w:val="0"/>
              <w:jc w:val="center"/>
              <w:rPr>
                <w:color w:val="000000"/>
                <w:szCs w:val="21"/>
              </w:rPr>
            </w:pPr>
          </w:p>
        </w:tc>
        <w:tc>
          <w:tcPr>
            <w:tcW w:w="718" w:type="pct"/>
            <w:vAlign w:val="center"/>
          </w:tcPr>
          <w:p w14:paraId="1D72EF0A">
            <w:pPr>
              <w:adjustRightInd w:val="0"/>
              <w:snapToGrid w:val="0"/>
              <w:jc w:val="center"/>
              <w:rPr>
                <w:color w:val="000000"/>
                <w:szCs w:val="21"/>
              </w:rPr>
            </w:pPr>
            <w:r>
              <w:rPr>
                <w:rFonts w:hint="eastAsia"/>
                <w:color w:val="000000"/>
                <w:szCs w:val="21"/>
              </w:rPr>
              <w:t>261.0</w:t>
            </w:r>
          </w:p>
        </w:tc>
        <w:tc>
          <w:tcPr>
            <w:tcW w:w="649" w:type="pct"/>
            <w:vAlign w:val="center"/>
          </w:tcPr>
          <w:p w14:paraId="6592047D">
            <w:pPr>
              <w:adjustRightInd w:val="0"/>
              <w:snapToGrid w:val="0"/>
              <w:jc w:val="center"/>
              <w:rPr>
                <w:color w:val="000000"/>
                <w:szCs w:val="21"/>
              </w:rPr>
            </w:pPr>
            <w:r>
              <w:rPr>
                <w:rFonts w:hint="eastAsia"/>
                <w:color w:val="000000"/>
                <w:szCs w:val="21"/>
              </w:rPr>
              <w:t>26</w:t>
            </w:r>
          </w:p>
        </w:tc>
        <w:tc>
          <w:tcPr>
            <w:tcW w:w="625" w:type="pct"/>
          </w:tcPr>
          <w:p w14:paraId="4E18295A">
            <w:pPr>
              <w:adjustRightInd w:val="0"/>
              <w:snapToGrid w:val="0"/>
              <w:jc w:val="center"/>
              <w:rPr>
                <w:color w:val="000000"/>
                <w:szCs w:val="21"/>
              </w:rPr>
            </w:pPr>
            <w:r>
              <w:t>50</w:t>
            </w:r>
          </w:p>
        </w:tc>
        <w:tc>
          <w:tcPr>
            <w:tcW w:w="605" w:type="pct"/>
          </w:tcPr>
          <w:p w14:paraId="1506867E">
            <w:pPr>
              <w:adjustRightInd w:val="0"/>
              <w:snapToGrid w:val="0"/>
              <w:jc w:val="center"/>
              <w:rPr>
                <w:color w:val="000000"/>
                <w:szCs w:val="21"/>
              </w:rPr>
            </w:pPr>
            <w:r>
              <w:t>50</w:t>
            </w:r>
          </w:p>
        </w:tc>
        <w:tc>
          <w:tcPr>
            <w:tcW w:w="591" w:type="pct"/>
          </w:tcPr>
          <w:p w14:paraId="5ADD3E61">
            <w:pPr>
              <w:adjustRightInd w:val="0"/>
              <w:snapToGrid w:val="0"/>
              <w:jc w:val="center"/>
              <w:rPr>
                <w:color w:val="000000"/>
                <w:szCs w:val="21"/>
              </w:rPr>
            </w:pPr>
            <w:r>
              <w:t>50</w:t>
            </w:r>
          </w:p>
        </w:tc>
      </w:tr>
      <w:tr w14:paraId="7FF52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1081" w:type="pct"/>
            <w:vMerge w:val="restart"/>
            <w:vAlign w:val="center"/>
          </w:tcPr>
          <w:p w14:paraId="02B11AB9">
            <w:pPr>
              <w:widowControl/>
              <w:autoSpaceDE w:val="0"/>
              <w:adjustRightInd w:val="0"/>
              <w:snapToGrid w:val="0"/>
              <w:jc w:val="center"/>
              <w:textAlignment w:val="center"/>
              <w:rPr>
                <w:color w:val="000000"/>
                <w:szCs w:val="21"/>
              </w:rPr>
            </w:pPr>
            <w:r>
              <w:rPr>
                <w:szCs w:val="21"/>
              </w:rPr>
              <w:t>磺胺二甲嘧啶</w:t>
            </w:r>
          </w:p>
        </w:tc>
        <w:tc>
          <w:tcPr>
            <w:tcW w:w="731" w:type="pct"/>
            <w:vMerge w:val="restart"/>
            <w:vAlign w:val="center"/>
          </w:tcPr>
          <w:p w14:paraId="252DD79B">
            <w:pPr>
              <w:widowControl/>
              <w:autoSpaceDE w:val="0"/>
              <w:adjustRightInd w:val="0"/>
              <w:snapToGrid w:val="0"/>
              <w:jc w:val="center"/>
              <w:textAlignment w:val="center"/>
              <w:rPr>
                <w:color w:val="000000"/>
                <w:szCs w:val="21"/>
              </w:rPr>
            </w:pPr>
            <w:r>
              <w:rPr>
                <w:color w:val="000000"/>
                <w:szCs w:val="21"/>
              </w:rPr>
              <w:t>278.9</w:t>
            </w:r>
          </w:p>
        </w:tc>
        <w:tc>
          <w:tcPr>
            <w:tcW w:w="718" w:type="pct"/>
            <w:vAlign w:val="center"/>
          </w:tcPr>
          <w:p w14:paraId="35AD95E1">
            <w:pPr>
              <w:adjustRightInd w:val="0"/>
              <w:snapToGrid w:val="0"/>
              <w:jc w:val="center"/>
              <w:rPr>
                <w:color w:val="000000"/>
                <w:szCs w:val="21"/>
              </w:rPr>
            </w:pPr>
            <w:r>
              <w:rPr>
                <w:color w:val="000000"/>
                <w:szCs w:val="21"/>
              </w:rPr>
              <w:t>186.1*</w:t>
            </w:r>
          </w:p>
        </w:tc>
        <w:tc>
          <w:tcPr>
            <w:tcW w:w="649" w:type="pct"/>
            <w:vAlign w:val="center"/>
          </w:tcPr>
          <w:p w14:paraId="5784AF17">
            <w:pPr>
              <w:adjustRightInd w:val="0"/>
              <w:snapToGrid w:val="0"/>
              <w:jc w:val="center"/>
              <w:rPr>
                <w:color w:val="000000"/>
                <w:szCs w:val="21"/>
              </w:rPr>
            </w:pPr>
            <w:r>
              <w:rPr>
                <w:rFonts w:hint="eastAsia"/>
                <w:color w:val="000000"/>
                <w:szCs w:val="21"/>
              </w:rPr>
              <w:t>19</w:t>
            </w:r>
          </w:p>
        </w:tc>
        <w:tc>
          <w:tcPr>
            <w:tcW w:w="625" w:type="pct"/>
          </w:tcPr>
          <w:p w14:paraId="3A57C706">
            <w:pPr>
              <w:adjustRightInd w:val="0"/>
              <w:snapToGrid w:val="0"/>
              <w:jc w:val="center"/>
              <w:rPr>
                <w:color w:val="000000"/>
                <w:szCs w:val="21"/>
              </w:rPr>
            </w:pPr>
            <w:r>
              <w:t>50</w:t>
            </w:r>
          </w:p>
        </w:tc>
        <w:tc>
          <w:tcPr>
            <w:tcW w:w="605" w:type="pct"/>
          </w:tcPr>
          <w:p w14:paraId="5C615F77">
            <w:pPr>
              <w:adjustRightInd w:val="0"/>
              <w:snapToGrid w:val="0"/>
              <w:jc w:val="center"/>
              <w:rPr>
                <w:color w:val="000000"/>
                <w:szCs w:val="21"/>
              </w:rPr>
            </w:pPr>
            <w:r>
              <w:t>50</w:t>
            </w:r>
          </w:p>
        </w:tc>
        <w:tc>
          <w:tcPr>
            <w:tcW w:w="591" w:type="pct"/>
          </w:tcPr>
          <w:p w14:paraId="7E2BBD39">
            <w:pPr>
              <w:adjustRightInd w:val="0"/>
              <w:snapToGrid w:val="0"/>
              <w:jc w:val="center"/>
              <w:rPr>
                <w:color w:val="000000"/>
                <w:szCs w:val="21"/>
              </w:rPr>
            </w:pPr>
            <w:r>
              <w:t>50</w:t>
            </w:r>
          </w:p>
        </w:tc>
      </w:tr>
      <w:tr w14:paraId="76601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1081" w:type="pct"/>
            <w:vMerge w:val="continue"/>
            <w:vAlign w:val="center"/>
          </w:tcPr>
          <w:p w14:paraId="7C46131F">
            <w:pPr>
              <w:widowControl/>
              <w:adjustRightInd w:val="0"/>
              <w:snapToGrid w:val="0"/>
              <w:jc w:val="center"/>
              <w:rPr>
                <w:color w:val="000000"/>
                <w:szCs w:val="21"/>
              </w:rPr>
            </w:pPr>
          </w:p>
        </w:tc>
        <w:tc>
          <w:tcPr>
            <w:tcW w:w="731" w:type="pct"/>
            <w:vMerge w:val="continue"/>
            <w:vAlign w:val="center"/>
          </w:tcPr>
          <w:p w14:paraId="340AAB35">
            <w:pPr>
              <w:widowControl/>
              <w:adjustRightInd w:val="0"/>
              <w:snapToGrid w:val="0"/>
              <w:jc w:val="center"/>
              <w:rPr>
                <w:color w:val="000000"/>
                <w:szCs w:val="21"/>
              </w:rPr>
            </w:pPr>
          </w:p>
        </w:tc>
        <w:tc>
          <w:tcPr>
            <w:tcW w:w="718" w:type="pct"/>
            <w:vAlign w:val="center"/>
          </w:tcPr>
          <w:p w14:paraId="0DD2C8A7">
            <w:pPr>
              <w:adjustRightInd w:val="0"/>
              <w:snapToGrid w:val="0"/>
              <w:jc w:val="center"/>
              <w:rPr>
                <w:color w:val="000000"/>
                <w:szCs w:val="21"/>
              </w:rPr>
            </w:pPr>
            <w:r>
              <w:rPr>
                <w:color w:val="000000"/>
                <w:szCs w:val="21"/>
              </w:rPr>
              <w:t>155.9</w:t>
            </w:r>
          </w:p>
        </w:tc>
        <w:tc>
          <w:tcPr>
            <w:tcW w:w="649" w:type="pct"/>
            <w:vAlign w:val="center"/>
          </w:tcPr>
          <w:p w14:paraId="5E079B3C">
            <w:pPr>
              <w:adjustRightInd w:val="0"/>
              <w:snapToGrid w:val="0"/>
              <w:jc w:val="center"/>
              <w:rPr>
                <w:color w:val="000000"/>
                <w:szCs w:val="21"/>
              </w:rPr>
            </w:pPr>
            <w:r>
              <w:rPr>
                <w:rFonts w:hint="eastAsia"/>
                <w:color w:val="000000"/>
                <w:szCs w:val="21"/>
              </w:rPr>
              <w:t>18</w:t>
            </w:r>
          </w:p>
        </w:tc>
        <w:tc>
          <w:tcPr>
            <w:tcW w:w="625" w:type="pct"/>
          </w:tcPr>
          <w:p w14:paraId="3DC9D638">
            <w:pPr>
              <w:adjustRightInd w:val="0"/>
              <w:snapToGrid w:val="0"/>
              <w:jc w:val="center"/>
              <w:rPr>
                <w:color w:val="000000"/>
                <w:szCs w:val="21"/>
              </w:rPr>
            </w:pPr>
            <w:r>
              <w:t>50</w:t>
            </w:r>
          </w:p>
        </w:tc>
        <w:tc>
          <w:tcPr>
            <w:tcW w:w="605" w:type="pct"/>
          </w:tcPr>
          <w:p w14:paraId="6637B4AA">
            <w:pPr>
              <w:adjustRightInd w:val="0"/>
              <w:snapToGrid w:val="0"/>
              <w:jc w:val="center"/>
              <w:rPr>
                <w:color w:val="000000"/>
                <w:szCs w:val="21"/>
              </w:rPr>
            </w:pPr>
            <w:r>
              <w:t>50</w:t>
            </w:r>
          </w:p>
        </w:tc>
        <w:tc>
          <w:tcPr>
            <w:tcW w:w="591" w:type="pct"/>
          </w:tcPr>
          <w:p w14:paraId="670B3DF8">
            <w:pPr>
              <w:adjustRightInd w:val="0"/>
              <w:snapToGrid w:val="0"/>
              <w:jc w:val="center"/>
              <w:rPr>
                <w:color w:val="000000"/>
                <w:szCs w:val="21"/>
              </w:rPr>
            </w:pPr>
            <w:r>
              <w:t>50</w:t>
            </w:r>
          </w:p>
        </w:tc>
      </w:tr>
      <w:tr w14:paraId="30CAB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1081" w:type="pct"/>
            <w:vMerge w:val="restart"/>
            <w:vAlign w:val="center"/>
          </w:tcPr>
          <w:p w14:paraId="74860AC2">
            <w:pPr>
              <w:widowControl/>
              <w:autoSpaceDE w:val="0"/>
              <w:adjustRightInd w:val="0"/>
              <w:snapToGrid w:val="0"/>
              <w:jc w:val="center"/>
              <w:textAlignment w:val="center"/>
              <w:rPr>
                <w:color w:val="000000"/>
                <w:szCs w:val="21"/>
              </w:rPr>
            </w:pPr>
            <w:r>
              <w:rPr>
                <w:szCs w:val="21"/>
              </w:rPr>
              <w:t>磺胺</w:t>
            </w:r>
            <w:r>
              <w:rPr>
                <w:rFonts w:hint="eastAsia"/>
                <w:szCs w:val="21"/>
              </w:rPr>
              <w:t>甲氧哒嗪</w:t>
            </w:r>
          </w:p>
        </w:tc>
        <w:tc>
          <w:tcPr>
            <w:tcW w:w="731" w:type="pct"/>
            <w:vMerge w:val="restart"/>
            <w:vAlign w:val="center"/>
          </w:tcPr>
          <w:p w14:paraId="45750DE5">
            <w:pPr>
              <w:widowControl/>
              <w:autoSpaceDE w:val="0"/>
              <w:adjustRightInd w:val="0"/>
              <w:snapToGrid w:val="0"/>
              <w:jc w:val="center"/>
              <w:textAlignment w:val="center"/>
              <w:rPr>
                <w:color w:val="000000"/>
                <w:szCs w:val="21"/>
              </w:rPr>
            </w:pPr>
            <w:r>
              <w:rPr>
                <w:color w:val="000000"/>
                <w:szCs w:val="21"/>
              </w:rPr>
              <w:t>280.9</w:t>
            </w:r>
          </w:p>
        </w:tc>
        <w:tc>
          <w:tcPr>
            <w:tcW w:w="718" w:type="pct"/>
            <w:vAlign w:val="center"/>
          </w:tcPr>
          <w:p w14:paraId="21433A73">
            <w:pPr>
              <w:adjustRightInd w:val="0"/>
              <w:snapToGrid w:val="0"/>
              <w:jc w:val="center"/>
              <w:rPr>
                <w:color w:val="000000"/>
                <w:szCs w:val="21"/>
              </w:rPr>
            </w:pPr>
            <w:r>
              <w:rPr>
                <w:color w:val="000000"/>
                <w:szCs w:val="21"/>
              </w:rPr>
              <w:t>15</w:t>
            </w:r>
            <w:r>
              <w:rPr>
                <w:rFonts w:hint="eastAsia"/>
                <w:color w:val="000000"/>
                <w:szCs w:val="21"/>
              </w:rPr>
              <w:t>5.9</w:t>
            </w:r>
            <w:r>
              <w:rPr>
                <w:color w:val="000000"/>
                <w:szCs w:val="21"/>
              </w:rPr>
              <w:t>*</w:t>
            </w:r>
          </w:p>
        </w:tc>
        <w:tc>
          <w:tcPr>
            <w:tcW w:w="649" w:type="pct"/>
            <w:vAlign w:val="center"/>
          </w:tcPr>
          <w:p w14:paraId="272E3007">
            <w:pPr>
              <w:adjustRightInd w:val="0"/>
              <w:snapToGrid w:val="0"/>
              <w:jc w:val="center"/>
              <w:rPr>
                <w:color w:val="000000"/>
                <w:szCs w:val="21"/>
              </w:rPr>
            </w:pPr>
            <w:r>
              <w:rPr>
                <w:rFonts w:hint="eastAsia"/>
                <w:color w:val="000000"/>
                <w:szCs w:val="21"/>
              </w:rPr>
              <w:t>17</w:t>
            </w:r>
          </w:p>
        </w:tc>
        <w:tc>
          <w:tcPr>
            <w:tcW w:w="625" w:type="pct"/>
          </w:tcPr>
          <w:p w14:paraId="67E5041A">
            <w:pPr>
              <w:adjustRightInd w:val="0"/>
              <w:snapToGrid w:val="0"/>
              <w:jc w:val="center"/>
              <w:rPr>
                <w:color w:val="000000"/>
                <w:szCs w:val="21"/>
              </w:rPr>
            </w:pPr>
            <w:r>
              <w:t>50</w:t>
            </w:r>
          </w:p>
        </w:tc>
        <w:tc>
          <w:tcPr>
            <w:tcW w:w="605" w:type="pct"/>
          </w:tcPr>
          <w:p w14:paraId="7E8BD2C9">
            <w:pPr>
              <w:adjustRightInd w:val="0"/>
              <w:snapToGrid w:val="0"/>
              <w:jc w:val="center"/>
              <w:rPr>
                <w:color w:val="000000"/>
                <w:szCs w:val="21"/>
              </w:rPr>
            </w:pPr>
            <w:r>
              <w:t>50</w:t>
            </w:r>
          </w:p>
        </w:tc>
        <w:tc>
          <w:tcPr>
            <w:tcW w:w="591" w:type="pct"/>
          </w:tcPr>
          <w:p w14:paraId="76536F4B">
            <w:pPr>
              <w:adjustRightInd w:val="0"/>
              <w:snapToGrid w:val="0"/>
              <w:jc w:val="center"/>
              <w:rPr>
                <w:color w:val="000000"/>
                <w:szCs w:val="21"/>
              </w:rPr>
            </w:pPr>
            <w:r>
              <w:t>50</w:t>
            </w:r>
          </w:p>
        </w:tc>
      </w:tr>
      <w:tr w14:paraId="6BD17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1081" w:type="pct"/>
            <w:vMerge w:val="continue"/>
            <w:vAlign w:val="center"/>
          </w:tcPr>
          <w:p w14:paraId="365200A0">
            <w:pPr>
              <w:widowControl/>
              <w:adjustRightInd w:val="0"/>
              <w:snapToGrid w:val="0"/>
              <w:jc w:val="center"/>
              <w:rPr>
                <w:color w:val="000000"/>
                <w:szCs w:val="21"/>
              </w:rPr>
            </w:pPr>
          </w:p>
        </w:tc>
        <w:tc>
          <w:tcPr>
            <w:tcW w:w="731" w:type="pct"/>
            <w:vMerge w:val="continue"/>
            <w:vAlign w:val="center"/>
          </w:tcPr>
          <w:p w14:paraId="7781FB94">
            <w:pPr>
              <w:widowControl/>
              <w:adjustRightInd w:val="0"/>
              <w:snapToGrid w:val="0"/>
              <w:jc w:val="center"/>
              <w:rPr>
                <w:color w:val="000000"/>
                <w:szCs w:val="21"/>
              </w:rPr>
            </w:pPr>
          </w:p>
        </w:tc>
        <w:tc>
          <w:tcPr>
            <w:tcW w:w="718" w:type="pct"/>
            <w:vAlign w:val="center"/>
          </w:tcPr>
          <w:p w14:paraId="26C7EE01">
            <w:pPr>
              <w:adjustRightInd w:val="0"/>
              <w:snapToGrid w:val="0"/>
              <w:jc w:val="center"/>
              <w:rPr>
                <w:color w:val="000000"/>
                <w:szCs w:val="21"/>
              </w:rPr>
            </w:pPr>
            <w:r>
              <w:rPr>
                <w:rFonts w:hint="eastAsia"/>
                <w:color w:val="000000"/>
                <w:szCs w:val="21"/>
              </w:rPr>
              <w:t>92.0</w:t>
            </w:r>
          </w:p>
        </w:tc>
        <w:tc>
          <w:tcPr>
            <w:tcW w:w="649" w:type="pct"/>
            <w:vAlign w:val="center"/>
          </w:tcPr>
          <w:p w14:paraId="6966852D">
            <w:pPr>
              <w:adjustRightInd w:val="0"/>
              <w:snapToGrid w:val="0"/>
              <w:jc w:val="center"/>
              <w:rPr>
                <w:color w:val="000000"/>
                <w:szCs w:val="21"/>
              </w:rPr>
            </w:pPr>
            <w:r>
              <w:rPr>
                <w:color w:val="000000"/>
                <w:szCs w:val="21"/>
              </w:rPr>
              <w:t>3</w:t>
            </w:r>
            <w:r>
              <w:rPr>
                <w:rFonts w:hint="eastAsia"/>
                <w:color w:val="000000"/>
                <w:szCs w:val="21"/>
              </w:rPr>
              <w:t>1</w:t>
            </w:r>
          </w:p>
        </w:tc>
        <w:tc>
          <w:tcPr>
            <w:tcW w:w="625" w:type="pct"/>
          </w:tcPr>
          <w:p w14:paraId="22C09075">
            <w:pPr>
              <w:adjustRightInd w:val="0"/>
              <w:snapToGrid w:val="0"/>
              <w:jc w:val="center"/>
              <w:rPr>
                <w:color w:val="000000"/>
                <w:szCs w:val="21"/>
              </w:rPr>
            </w:pPr>
            <w:r>
              <w:t>50</w:t>
            </w:r>
          </w:p>
        </w:tc>
        <w:tc>
          <w:tcPr>
            <w:tcW w:w="605" w:type="pct"/>
          </w:tcPr>
          <w:p w14:paraId="39BA3AFE">
            <w:pPr>
              <w:adjustRightInd w:val="0"/>
              <w:snapToGrid w:val="0"/>
              <w:jc w:val="center"/>
              <w:rPr>
                <w:color w:val="000000"/>
                <w:szCs w:val="21"/>
              </w:rPr>
            </w:pPr>
            <w:r>
              <w:t>50</w:t>
            </w:r>
          </w:p>
        </w:tc>
        <w:tc>
          <w:tcPr>
            <w:tcW w:w="591" w:type="pct"/>
          </w:tcPr>
          <w:p w14:paraId="55663C62">
            <w:pPr>
              <w:adjustRightInd w:val="0"/>
              <w:snapToGrid w:val="0"/>
              <w:jc w:val="center"/>
              <w:rPr>
                <w:color w:val="000000"/>
                <w:szCs w:val="21"/>
              </w:rPr>
            </w:pPr>
            <w:r>
              <w:t>50</w:t>
            </w:r>
          </w:p>
        </w:tc>
      </w:tr>
      <w:tr w14:paraId="7FEFC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8" w:hRule="atLeast"/>
          <w:jc w:val="center"/>
        </w:trPr>
        <w:tc>
          <w:tcPr>
            <w:tcW w:w="1081" w:type="pct"/>
            <w:vMerge w:val="restart"/>
            <w:vAlign w:val="center"/>
          </w:tcPr>
          <w:p w14:paraId="196235F5">
            <w:pPr>
              <w:widowControl/>
              <w:autoSpaceDE w:val="0"/>
              <w:adjustRightInd w:val="0"/>
              <w:snapToGrid w:val="0"/>
              <w:jc w:val="center"/>
              <w:textAlignment w:val="center"/>
              <w:rPr>
                <w:color w:val="000000"/>
                <w:szCs w:val="21"/>
              </w:rPr>
            </w:pPr>
            <w:r>
              <w:rPr>
                <w:szCs w:val="21"/>
              </w:rPr>
              <w:t>磺胺</w:t>
            </w:r>
            <w:r>
              <w:rPr>
                <w:rFonts w:hint="eastAsia"/>
                <w:szCs w:val="21"/>
              </w:rPr>
              <w:t>甲噁唑</w:t>
            </w:r>
          </w:p>
        </w:tc>
        <w:tc>
          <w:tcPr>
            <w:tcW w:w="731" w:type="pct"/>
            <w:vMerge w:val="restart"/>
            <w:vAlign w:val="center"/>
          </w:tcPr>
          <w:p w14:paraId="0394B95B">
            <w:pPr>
              <w:widowControl/>
              <w:autoSpaceDE w:val="0"/>
              <w:adjustRightInd w:val="0"/>
              <w:snapToGrid w:val="0"/>
              <w:jc w:val="center"/>
              <w:textAlignment w:val="center"/>
              <w:rPr>
                <w:color w:val="000000"/>
                <w:szCs w:val="21"/>
              </w:rPr>
            </w:pPr>
            <w:r>
              <w:rPr>
                <w:color w:val="000000"/>
                <w:szCs w:val="21"/>
              </w:rPr>
              <w:t>2</w:t>
            </w:r>
            <w:r>
              <w:rPr>
                <w:rFonts w:hint="eastAsia"/>
                <w:color w:val="000000"/>
                <w:szCs w:val="21"/>
              </w:rPr>
              <w:t>53.8</w:t>
            </w:r>
          </w:p>
        </w:tc>
        <w:tc>
          <w:tcPr>
            <w:tcW w:w="718" w:type="pct"/>
            <w:vAlign w:val="center"/>
          </w:tcPr>
          <w:p w14:paraId="3F9FAD6F">
            <w:pPr>
              <w:adjustRightInd w:val="0"/>
              <w:snapToGrid w:val="0"/>
              <w:jc w:val="center"/>
              <w:rPr>
                <w:color w:val="000000"/>
                <w:szCs w:val="21"/>
              </w:rPr>
            </w:pPr>
            <w:r>
              <w:rPr>
                <w:color w:val="000000"/>
                <w:szCs w:val="21"/>
              </w:rPr>
              <w:t>15</w:t>
            </w:r>
            <w:r>
              <w:rPr>
                <w:rFonts w:hint="eastAsia"/>
                <w:color w:val="000000"/>
                <w:szCs w:val="21"/>
              </w:rPr>
              <w:t>5.9</w:t>
            </w:r>
            <w:r>
              <w:rPr>
                <w:color w:val="000000"/>
                <w:szCs w:val="21"/>
              </w:rPr>
              <w:t>*</w:t>
            </w:r>
          </w:p>
        </w:tc>
        <w:tc>
          <w:tcPr>
            <w:tcW w:w="649" w:type="pct"/>
            <w:vAlign w:val="center"/>
          </w:tcPr>
          <w:p w14:paraId="2FFA175E">
            <w:pPr>
              <w:adjustRightInd w:val="0"/>
              <w:snapToGrid w:val="0"/>
              <w:jc w:val="center"/>
              <w:rPr>
                <w:color w:val="000000"/>
                <w:szCs w:val="21"/>
              </w:rPr>
            </w:pPr>
            <w:r>
              <w:rPr>
                <w:rFonts w:hint="eastAsia"/>
                <w:color w:val="000000"/>
                <w:szCs w:val="21"/>
              </w:rPr>
              <w:t>23</w:t>
            </w:r>
          </w:p>
        </w:tc>
        <w:tc>
          <w:tcPr>
            <w:tcW w:w="625" w:type="pct"/>
          </w:tcPr>
          <w:p w14:paraId="10620030">
            <w:pPr>
              <w:adjustRightInd w:val="0"/>
              <w:snapToGrid w:val="0"/>
              <w:jc w:val="center"/>
              <w:rPr>
                <w:color w:val="000000"/>
                <w:szCs w:val="21"/>
              </w:rPr>
            </w:pPr>
            <w:r>
              <w:t>50</w:t>
            </w:r>
          </w:p>
        </w:tc>
        <w:tc>
          <w:tcPr>
            <w:tcW w:w="605" w:type="pct"/>
          </w:tcPr>
          <w:p w14:paraId="25F4500A">
            <w:pPr>
              <w:adjustRightInd w:val="0"/>
              <w:snapToGrid w:val="0"/>
              <w:jc w:val="center"/>
              <w:rPr>
                <w:color w:val="000000"/>
                <w:szCs w:val="21"/>
              </w:rPr>
            </w:pPr>
            <w:r>
              <w:t>50</w:t>
            </w:r>
          </w:p>
        </w:tc>
        <w:tc>
          <w:tcPr>
            <w:tcW w:w="591" w:type="pct"/>
          </w:tcPr>
          <w:p w14:paraId="197E6001">
            <w:pPr>
              <w:adjustRightInd w:val="0"/>
              <w:snapToGrid w:val="0"/>
              <w:jc w:val="center"/>
              <w:rPr>
                <w:color w:val="000000"/>
                <w:szCs w:val="21"/>
              </w:rPr>
            </w:pPr>
            <w:r>
              <w:t>50</w:t>
            </w:r>
          </w:p>
        </w:tc>
      </w:tr>
      <w:tr w14:paraId="7C17A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1081" w:type="pct"/>
            <w:vMerge w:val="continue"/>
            <w:vAlign w:val="center"/>
          </w:tcPr>
          <w:p w14:paraId="5027C6A7">
            <w:pPr>
              <w:widowControl/>
              <w:adjustRightInd w:val="0"/>
              <w:snapToGrid w:val="0"/>
              <w:jc w:val="center"/>
              <w:rPr>
                <w:color w:val="000000"/>
                <w:szCs w:val="21"/>
              </w:rPr>
            </w:pPr>
          </w:p>
        </w:tc>
        <w:tc>
          <w:tcPr>
            <w:tcW w:w="731" w:type="pct"/>
            <w:vMerge w:val="continue"/>
            <w:vAlign w:val="center"/>
          </w:tcPr>
          <w:p w14:paraId="7A8E57B3">
            <w:pPr>
              <w:widowControl/>
              <w:adjustRightInd w:val="0"/>
              <w:snapToGrid w:val="0"/>
              <w:jc w:val="center"/>
              <w:rPr>
                <w:color w:val="000000"/>
                <w:szCs w:val="21"/>
              </w:rPr>
            </w:pPr>
          </w:p>
        </w:tc>
        <w:tc>
          <w:tcPr>
            <w:tcW w:w="718" w:type="pct"/>
            <w:vAlign w:val="center"/>
          </w:tcPr>
          <w:p w14:paraId="75DCFB62">
            <w:pPr>
              <w:adjustRightInd w:val="0"/>
              <w:snapToGrid w:val="0"/>
              <w:jc w:val="center"/>
              <w:rPr>
                <w:color w:val="000000"/>
                <w:szCs w:val="21"/>
              </w:rPr>
            </w:pPr>
            <w:r>
              <w:rPr>
                <w:color w:val="000000"/>
                <w:szCs w:val="21"/>
              </w:rPr>
              <w:t>10</w:t>
            </w:r>
            <w:r>
              <w:rPr>
                <w:rFonts w:hint="eastAsia"/>
                <w:color w:val="000000"/>
                <w:szCs w:val="21"/>
              </w:rPr>
              <w:t>8.1</w:t>
            </w:r>
          </w:p>
        </w:tc>
        <w:tc>
          <w:tcPr>
            <w:tcW w:w="649" w:type="pct"/>
            <w:vAlign w:val="center"/>
          </w:tcPr>
          <w:p w14:paraId="61D524CE">
            <w:pPr>
              <w:adjustRightInd w:val="0"/>
              <w:snapToGrid w:val="0"/>
              <w:jc w:val="center"/>
              <w:rPr>
                <w:color w:val="000000"/>
                <w:szCs w:val="21"/>
              </w:rPr>
            </w:pPr>
            <w:r>
              <w:rPr>
                <w:rFonts w:hint="eastAsia"/>
                <w:color w:val="000000"/>
                <w:szCs w:val="21"/>
              </w:rPr>
              <w:t>35</w:t>
            </w:r>
          </w:p>
        </w:tc>
        <w:tc>
          <w:tcPr>
            <w:tcW w:w="625" w:type="pct"/>
          </w:tcPr>
          <w:p w14:paraId="10319435">
            <w:pPr>
              <w:adjustRightInd w:val="0"/>
              <w:snapToGrid w:val="0"/>
              <w:jc w:val="center"/>
              <w:rPr>
                <w:color w:val="000000"/>
                <w:szCs w:val="21"/>
              </w:rPr>
            </w:pPr>
            <w:r>
              <w:t>50</w:t>
            </w:r>
          </w:p>
        </w:tc>
        <w:tc>
          <w:tcPr>
            <w:tcW w:w="605" w:type="pct"/>
          </w:tcPr>
          <w:p w14:paraId="02853013">
            <w:pPr>
              <w:adjustRightInd w:val="0"/>
              <w:snapToGrid w:val="0"/>
              <w:jc w:val="center"/>
              <w:rPr>
                <w:color w:val="000000"/>
                <w:szCs w:val="21"/>
              </w:rPr>
            </w:pPr>
            <w:r>
              <w:t>50</w:t>
            </w:r>
          </w:p>
        </w:tc>
        <w:tc>
          <w:tcPr>
            <w:tcW w:w="591" w:type="pct"/>
          </w:tcPr>
          <w:p w14:paraId="4A642D44">
            <w:pPr>
              <w:adjustRightInd w:val="0"/>
              <w:snapToGrid w:val="0"/>
              <w:jc w:val="center"/>
              <w:rPr>
                <w:color w:val="000000"/>
                <w:szCs w:val="21"/>
              </w:rPr>
            </w:pPr>
            <w:r>
              <w:t>50</w:t>
            </w:r>
          </w:p>
        </w:tc>
      </w:tr>
      <w:tr w14:paraId="50CF6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1081" w:type="pct"/>
            <w:vMerge w:val="restart"/>
            <w:vAlign w:val="center"/>
          </w:tcPr>
          <w:p w14:paraId="314BF6BE">
            <w:pPr>
              <w:widowControl/>
              <w:autoSpaceDE w:val="0"/>
              <w:adjustRightInd w:val="0"/>
              <w:snapToGrid w:val="0"/>
              <w:jc w:val="center"/>
              <w:textAlignment w:val="center"/>
              <w:rPr>
                <w:color w:val="000000"/>
                <w:szCs w:val="21"/>
              </w:rPr>
            </w:pPr>
            <w:r>
              <w:rPr>
                <w:szCs w:val="21"/>
              </w:rPr>
              <w:t>磺胺</w:t>
            </w:r>
            <w:r>
              <w:rPr>
                <w:rFonts w:hint="eastAsia"/>
                <w:szCs w:val="21"/>
              </w:rPr>
              <w:t>间甲氧嘧啶</w:t>
            </w:r>
          </w:p>
        </w:tc>
        <w:tc>
          <w:tcPr>
            <w:tcW w:w="731" w:type="pct"/>
            <w:vMerge w:val="restart"/>
            <w:vAlign w:val="center"/>
          </w:tcPr>
          <w:p w14:paraId="2045D1AF">
            <w:pPr>
              <w:widowControl/>
              <w:autoSpaceDE w:val="0"/>
              <w:adjustRightInd w:val="0"/>
              <w:snapToGrid w:val="0"/>
              <w:jc w:val="center"/>
              <w:textAlignment w:val="center"/>
              <w:rPr>
                <w:color w:val="000000"/>
                <w:szCs w:val="21"/>
              </w:rPr>
            </w:pPr>
            <w:r>
              <w:rPr>
                <w:rFonts w:hint="eastAsia"/>
                <w:color w:val="000000"/>
                <w:szCs w:val="21"/>
              </w:rPr>
              <w:t>281.0</w:t>
            </w:r>
          </w:p>
        </w:tc>
        <w:tc>
          <w:tcPr>
            <w:tcW w:w="718" w:type="pct"/>
            <w:vAlign w:val="center"/>
          </w:tcPr>
          <w:p w14:paraId="1A7F4B75">
            <w:pPr>
              <w:adjustRightInd w:val="0"/>
              <w:snapToGrid w:val="0"/>
              <w:jc w:val="center"/>
              <w:rPr>
                <w:color w:val="000000"/>
                <w:szCs w:val="21"/>
              </w:rPr>
            </w:pPr>
            <w:r>
              <w:rPr>
                <w:color w:val="000000"/>
                <w:szCs w:val="21"/>
              </w:rPr>
              <w:t>15</w:t>
            </w:r>
            <w:r>
              <w:rPr>
                <w:rFonts w:hint="eastAsia"/>
                <w:color w:val="000000"/>
                <w:szCs w:val="21"/>
              </w:rPr>
              <w:t>6.1</w:t>
            </w:r>
            <w:r>
              <w:rPr>
                <w:color w:val="000000"/>
                <w:szCs w:val="21"/>
              </w:rPr>
              <w:t>*</w:t>
            </w:r>
          </w:p>
        </w:tc>
        <w:tc>
          <w:tcPr>
            <w:tcW w:w="649" w:type="pct"/>
            <w:vAlign w:val="center"/>
          </w:tcPr>
          <w:p w14:paraId="2EF0A2AA">
            <w:pPr>
              <w:adjustRightInd w:val="0"/>
              <w:snapToGrid w:val="0"/>
              <w:jc w:val="center"/>
              <w:rPr>
                <w:color w:val="000000"/>
                <w:szCs w:val="21"/>
              </w:rPr>
            </w:pPr>
            <w:r>
              <w:rPr>
                <w:rFonts w:hint="eastAsia"/>
                <w:color w:val="000000"/>
                <w:szCs w:val="21"/>
              </w:rPr>
              <w:t>19</w:t>
            </w:r>
          </w:p>
        </w:tc>
        <w:tc>
          <w:tcPr>
            <w:tcW w:w="625" w:type="pct"/>
          </w:tcPr>
          <w:p w14:paraId="19043075">
            <w:pPr>
              <w:adjustRightInd w:val="0"/>
              <w:snapToGrid w:val="0"/>
              <w:jc w:val="center"/>
              <w:rPr>
                <w:color w:val="000000"/>
                <w:szCs w:val="21"/>
              </w:rPr>
            </w:pPr>
            <w:r>
              <w:t>50</w:t>
            </w:r>
          </w:p>
        </w:tc>
        <w:tc>
          <w:tcPr>
            <w:tcW w:w="605" w:type="pct"/>
          </w:tcPr>
          <w:p w14:paraId="21FC7478">
            <w:pPr>
              <w:adjustRightInd w:val="0"/>
              <w:snapToGrid w:val="0"/>
              <w:jc w:val="center"/>
              <w:rPr>
                <w:color w:val="000000"/>
                <w:szCs w:val="21"/>
              </w:rPr>
            </w:pPr>
            <w:r>
              <w:t>50</w:t>
            </w:r>
          </w:p>
        </w:tc>
        <w:tc>
          <w:tcPr>
            <w:tcW w:w="591" w:type="pct"/>
          </w:tcPr>
          <w:p w14:paraId="11F1F5E1">
            <w:pPr>
              <w:adjustRightInd w:val="0"/>
              <w:snapToGrid w:val="0"/>
              <w:jc w:val="center"/>
              <w:rPr>
                <w:color w:val="000000"/>
                <w:szCs w:val="21"/>
              </w:rPr>
            </w:pPr>
            <w:r>
              <w:t>50</w:t>
            </w:r>
          </w:p>
        </w:tc>
      </w:tr>
      <w:tr w14:paraId="0CC5D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2" w:hRule="atLeast"/>
          <w:jc w:val="center"/>
        </w:trPr>
        <w:tc>
          <w:tcPr>
            <w:tcW w:w="1081" w:type="pct"/>
            <w:vMerge w:val="continue"/>
            <w:vAlign w:val="center"/>
          </w:tcPr>
          <w:p w14:paraId="04E6CC9A">
            <w:pPr>
              <w:widowControl/>
              <w:adjustRightInd w:val="0"/>
              <w:snapToGrid w:val="0"/>
              <w:jc w:val="center"/>
              <w:rPr>
                <w:color w:val="000000"/>
                <w:szCs w:val="21"/>
              </w:rPr>
            </w:pPr>
          </w:p>
        </w:tc>
        <w:tc>
          <w:tcPr>
            <w:tcW w:w="731" w:type="pct"/>
            <w:vMerge w:val="continue"/>
            <w:vAlign w:val="center"/>
          </w:tcPr>
          <w:p w14:paraId="3BFC6408">
            <w:pPr>
              <w:widowControl/>
              <w:adjustRightInd w:val="0"/>
              <w:snapToGrid w:val="0"/>
              <w:jc w:val="center"/>
              <w:rPr>
                <w:color w:val="000000"/>
                <w:szCs w:val="21"/>
              </w:rPr>
            </w:pPr>
          </w:p>
        </w:tc>
        <w:tc>
          <w:tcPr>
            <w:tcW w:w="718" w:type="pct"/>
            <w:vAlign w:val="center"/>
          </w:tcPr>
          <w:p w14:paraId="56A73684">
            <w:pPr>
              <w:adjustRightInd w:val="0"/>
              <w:snapToGrid w:val="0"/>
              <w:jc w:val="center"/>
              <w:rPr>
                <w:color w:val="000000"/>
                <w:szCs w:val="21"/>
              </w:rPr>
            </w:pPr>
            <w:r>
              <w:rPr>
                <w:color w:val="000000"/>
                <w:szCs w:val="21"/>
              </w:rPr>
              <w:t>107.</w:t>
            </w:r>
            <w:r>
              <w:rPr>
                <w:rFonts w:hint="eastAsia"/>
                <w:color w:val="000000"/>
                <w:szCs w:val="21"/>
              </w:rPr>
              <w:t>8</w:t>
            </w:r>
          </w:p>
        </w:tc>
        <w:tc>
          <w:tcPr>
            <w:tcW w:w="649" w:type="pct"/>
            <w:vAlign w:val="center"/>
          </w:tcPr>
          <w:p w14:paraId="13964411">
            <w:pPr>
              <w:adjustRightInd w:val="0"/>
              <w:snapToGrid w:val="0"/>
              <w:jc w:val="center"/>
              <w:rPr>
                <w:color w:val="000000"/>
                <w:szCs w:val="21"/>
              </w:rPr>
            </w:pPr>
            <w:r>
              <w:rPr>
                <w:color w:val="000000"/>
                <w:szCs w:val="21"/>
              </w:rPr>
              <w:t>2</w:t>
            </w:r>
            <w:r>
              <w:rPr>
                <w:rFonts w:hint="eastAsia"/>
                <w:color w:val="000000"/>
                <w:szCs w:val="21"/>
              </w:rPr>
              <w:t>8</w:t>
            </w:r>
          </w:p>
        </w:tc>
        <w:tc>
          <w:tcPr>
            <w:tcW w:w="625" w:type="pct"/>
          </w:tcPr>
          <w:p w14:paraId="30B562D7">
            <w:pPr>
              <w:adjustRightInd w:val="0"/>
              <w:snapToGrid w:val="0"/>
              <w:jc w:val="center"/>
              <w:rPr>
                <w:color w:val="000000"/>
                <w:szCs w:val="21"/>
              </w:rPr>
            </w:pPr>
            <w:r>
              <w:t>50</w:t>
            </w:r>
          </w:p>
        </w:tc>
        <w:tc>
          <w:tcPr>
            <w:tcW w:w="605" w:type="pct"/>
          </w:tcPr>
          <w:p w14:paraId="07FDC975">
            <w:pPr>
              <w:adjustRightInd w:val="0"/>
              <w:snapToGrid w:val="0"/>
              <w:jc w:val="center"/>
              <w:rPr>
                <w:color w:val="000000"/>
                <w:szCs w:val="21"/>
              </w:rPr>
            </w:pPr>
            <w:r>
              <w:t>50</w:t>
            </w:r>
          </w:p>
        </w:tc>
        <w:tc>
          <w:tcPr>
            <w:tcW w:w="591" w:type="pct"/>
          </w:tcPr>
          <w:p w14:paraId="786BF735">
            <w:pPr>
              <w:adjustRightInd w:val="0"/>
              <w:snapToGrid w:val="0"/>
              <w:jc w:val="center"/>
              <w:rPr>
                <w:color w:val="000000"/>
                <w:szCs w:val="21"/>
              </w:rPr>
            </w:pPr>
            <w:r>
              <w:t>50</w:t>
            </w:r>
          </w:p>
        </w:tc>
      </w:tr>
      <w:tr w14:paraId="6545E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5" w:hRule="atLeast"/>
          <w:jc w:val="center"/>
        </w:trPr>
        <w:tc>
          <w:tcPr>
            <w:tcW w:w="1081" w:type="pct"/>
            <w:vMerge w:val="restart"/>
            <w:vAlign w:val="center"/>
          </w:tcPr>
          <w:p w14:paraId="4E113E66">
            <w:pPr>
              <w:widowControl/>
              <w:autoSpaceDE w:val="0"/>
              <w:adjustRightInd w:val="0"/>
              <w:snapToGrid w:val="0"/>
              <w:jc w:val="center"/>
              <w:textAlignment w:val="center"/>
              <w:rPr>
                <w:color w:val="000000"/>
                <w:szCs w:val="21"/>
              </w:rPr>
            </w:pPr>
            <w:r>
              <w:rPr>
                <w:szCs w:val="21"/>
              </w:rPr>
              <w:t>磺胺</w:t>
            </w:r>
            <w:r>
              <w:rPr>
                <w:rFonts w:hint="eastAsia"/>
                <w:szCs w:val="21"/>
              </w:rPr>
              <w:t>对</w:t>
            </w:r>
            <w:r>
              <w:rPr>
                <w:szCs w:val="21"/>
              </w:rPr>
              <w:t>甲氧嘧啶</w:t>
            </w:r>
          </w:p>
        </w:tc>
        <w:tc>
          <w:tcPr>
            <w:tcW w:w="731" w:type="pct"/>
            <w:vMerge w:val="restart"/>
            <w:vAlign w:val="center"/>
          </w:tcPr>
          <w:p w14:paraId="3513CB4D">
            <w:pPr>
              <w:widowControl/>
              <w:autoSpaceDE w:val="0"/>
              <w:adjustRightInd w:val="0"/>
              <w:snapToGrid w:val="0"/>
              <w:jc w:val="center"/>
              <w:textAlignment w:val="center"/>
              <w:rPr>
                <w:color w:val="000000"/>
                <w:szCs w:val="21"/>
              </w:rPr>
            </w:pPr>
            <w:r>
              <w:rPr>
                <w:rFonts w:hint="eastAsia"/>
                <w:color w:val="000000"/>
                <w:szCs w:val="21"/>
              </w:rPr>
              <w:t>280.9</w:t>
            </w:r>
          </w:p>
        </w:tc>
        <w:tc>
          <w:tcPr>
            <w:tcW w:w="718" w:type="pct"/>
            <w:vAlign w:val="center"/>
          </w:tcPr>
          <w:p w14:paraId="36F0648B">
            <w:pPr>
              <w:adjustRightInd w:val="0"/>
              <w:snapToGrid w:val="0"/>
              <w:jc w:val="center"/>
              <w:rPr>
                <w:color w:val="000000"/>
                <w:szCs w:val="21"/>
              </w:rPr>
            </w:pPr>
            <w:r>
              <w:rPr>
                <w:color w:val="000000"/>
                <w:szCs w:val="21"/>
              </w:rPr>
              <w:t>156.</w:t>
            </w:r>
            <w:r>
              <w:rPr>
                <w:rFonts w:hint="eastAsia"/>
                <w:color w:val="000000"/>
                <w:szCs w:val="21"/>
              </w:rPr>
              <w:t>1</w:t>
            </w:r>
            <w:r>
              <w:rPr>
                <w:color w:val="000000"/>
                <w:szCs w:val="21"/>
              </w:rPr>
              <w:t>*</w:t>
            </w:r>
          </w:p>
        </w:tc>
        <w:tc>
          <w:tcPr>
            <w:tcW w:w="649" w:type="pct"/>
            <w:vAlign w:val="center"/>
          </w:tcPr>
          <w:p w14:paraId="73A36918">
            <w:pPr>
              <w:adjustRightInd w:val="0"/>
              <w:snapToGrid w:val="0"/>
              <w:jc w:val="center"/>
              <w:rPr>
                <w:color w:val="000000"/>
                <w:szCs w:val="21"/>
              </w:rPr>
            </w:pPr>
            <w:r>
              <w:rPr>
                <w:color w:val="000000"/>
                <w:szCs w:val="21"/>
              </w:rPr>
              <w:t>2</w:t>
            </w:r>
            <w:r>
              <w:rPr>
                <w:rFonts w:hint="eastAsia"/>
                <w:color w:val="000000"/>
                <w:szCs w:val="21"/>
              </w:rPr>
              <w:t>5</w:t>
            </w:r>
          </w:p>
        </w:tc>
        <w:tc>
          <w:tcPr>
            <w:tcW w:w="625" w:type="pct"/>
          </w:tcPr>
          <w:p w14:paraId="33A35B14">
            <w:pPr>
              <w:adjustRightInd w:val="0"/>
              <w:snapToGrid w:val="0"/>
              <w:jc w:val="center"/>
              <w:rPr>
                <w:color w:val="000000"/>
                <w:szCs w:val="21"/>
              </w:rPr>
            </w:pPr>
            <w:r>
              <w:t>50</w:t>
            </w:r>
          </w:p>
        </w:tc>
        <w:tc>
          <w:tcPr>
            <w:tcW w:w="605" w:type="pct"/>
          </w:tcPr>
          <w:p w14:paraId="209CE3B7">
            <w:pPr>
              <w:adjustRightInd w:val="0"/>
              <w:snapToGrid w:val="0"/>
              <w:jc w:val="center"/>
              <w:rPr>
                <w:color w:val="000000"/>
                <w:szCs w:val="21"/>
              </w:rPr>
            </w:pPr>
            <w:r>
              <w:t>50</w:t>
            </w:r>
          </w:p>
        </w:tc>
        <w:tc>
          <w:tcPr>
            <w:tcW w:w="591" w:type="pct"/>
          </w:tcPr>
          <w:p w14:paraId="2C755D1C">
            <w:pPr>
              <w:adjustRightInd w:val="0"/>
              <w:snapToGrid w:val="0"/>
              <w:jc w:val="center"/>
              <w:rPr>
                <w:color w:val="000000"/>
                <w:szCs w:val="21"/>
              </w:rPr>
            </w:pPr>
            <w:r>
              <w:t>50</w:t>
            </w:r>
          </w:p>
        </w:tc>
      </w:tr>
      <w:tr w14:paraId="36765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1081" w:type="pct"/>
            <w:vMerge w:val="continue"/>
            <w:vAlign w:val="center"/>
          </w:tcPr>
          <w:p w14:paraId="4681174B">
            <w:pPr>
              <w:widowControl/>
              <w:adjustRightInd w:val="0"/>
              <w:snapToGrid w:val="0"/>
              <w:jc w:val="center"/>
              <w:rPr>
                <w:color w:val="000000"/>
                <w:szCs w:val="21"/>
              </w:rPr>
            </w:pPr>
          </w:p>
        </w:tc>
        <w:tc>
          <w:tcPr>
            <w:tcW w:w="731" w:type="pct"/>
            <w:vMerge w:val="continue"/>
            <w:vAlign w:val="center"/>
          </w:tcPr>
          <w:p w14:paraId="1CF6D2E7">
            <w:pPr>
              <w:widowControl/>
              <w:adjustRightInd w:val="0"/>
              <w:snapToGrid w:val="0"/>
              <w:jc w:val="center"/>
              <w:rPr>
                <w:color w:val="000000"/>
                <w:szCs w:val="21"/>
              </w:rPr>
            </w:pPr>
          </w:p>
        </w:tc>
        <w:tc>
          <w:tcPr>
            <w:tcW w:w="718" w:type="pct"/>
            <w:vAlign w:val="center"/>
          </w:tcPr>
          <w:p w14:paraId="62588C0B">
            <w:pPr>
              <w:adjustRightInd w:val="0"/>
              <w:snapToGrid w:val="0"/>
              <w:jc w:val="center"/>
              <w:rPr>
                <w:color w:val="000000"/>
                <w:szCs w:val="21"/>
              </w:rPr>
            </w:pPr>
            <w:r>
              <w:rPr>
                <w:color w:val="000000"/>
                <w:szCs w:val="21"/>
              </w:rPr>
              <w:t>10</w:t>
            </w:r>
            <w:r>
              <w:rPr>
                <w:rFonts w:hint="eastAsia"/>
                <w:color w:val="000000"/>
                <w:szCs w:val="21"/>
              </w:rPr>
              <w:t>8.0</w:t>
            </w:r>
          </w:p>
        </w:tc>
        <w:tc>
          <w:tcPr>
            <w:tcW w:w="649" w:type="pct"/>
            <w:vAlign w:val="center"/>
          </w:tcPr>
          <w:p w14:paraId="2B8641C7">
            <w:pPr>
              <w:adjustRightInd w:val="0"/>
              <w:snapToGrid w:val="0"/>
              <w:jc w:val="center"/>
              <w:rPr>
                <w:color w:val="000000"/>
                <w:szCs w:val="21"/>
              </w:rPr>
            </w:pPr>
            <w:r>
              <w:rPr>
                <w:rFonts w:hint="eastAsia"/>
                <w:color w:val="000000"/>
                <w:szCs w:val="21"/>
              </w:rPr>
              <w:t>37</w:t>
            </w:r>
          </w:p>
        </w:tc>
        <w:tc>
          <w:tcPr>
            <w:tcW w:w="625" w:type="pct"/>
          </w:tcPr>
          <w:p w14:paraId="680F340A">
            <w:pPr>
              <w:adjustRightInd w:val="0"/>
              <w:snapToGrid w:val="0"/>
              <w:jc w:val="center"/>
              <w:rPr>
                <w:color w:val="000000"/>
                <w:szCs w:val="21"/>
              </w:rPr>
            </w:pPr>
            <w:r>
              <w:t>50</w:t>
            </w:r>
          </w:p>
        </w:tc>
        <w:tc>
          <w:tcPr>
            <w:tcW w:w="605" w:type="pct"/>
          </w:tcPr>
          <w:p w14:paraId="3E6734DE">
            <w:pPr>
              <w:adjustRightInd w:val="0"/>
              <w:snapToGrid w:val="0"/>
              <w:jc w:val="center"/>
              <w:rPr>
                <w:color w:val="000000"/>
                <w:szCs w:val="21"/>
              </w:rPr>
            </w:pPr>
            <w:r>
              <w:t>50</w:t>
            </w:r>
          </w:p>
        </w:tc>
        <w:tc>
          <w:tcPr>
            <w:tcW w:w="591" w:type="pct"/>
          </w:tcPr>
          <w:p w14:paraId="3B04DAFB">
            <w:pPr>
              <w:adjustRightInd w:val="0"/>
              <w:snapToGrid w:val="0"/>
              <w:jc w:val="center"/>
              <w:rPr>
                <w:color w:val="000000"/>
                <w:szCs w:val="21"/>
              </w:rPr>
            </w:pPr>
            <w:r>
              <w:t>50</w:t>
            </w:r>
          </w:p>
        </w:tc>
      </w:tr>
      <w:tr w14:paraId="459D3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1081" w:type="pct"/>
            <w:vMerge w:val="restart"/>
            <w:vAlign w:val="center"/>
          </w:tcPr>
          <w:p w14:paraId="0B46F908">
            <w:pPr>
              <w:widowControl/>
              <w:autoSpaceDE w:val="0"/>
              <w:adjustRightInd w:val="0"/>
              <w:snapToGrid w:val="0"/>
              <w:jc w:val="center"/>
              <w:textAlignment w:val="center"/>
              <w:rPr>
                <w:color w:val="000000"/>
                <w:szCs w:val="21"/>
              </w:rPr>
            </w:pPr>
            <w:r>
              <w:rPr>
                <w:rFonts w:hint="eastAsia"/>
                <w:color w:val="000000"/>
                <w:szCs w:val="21"/>
              </w:rPr>
              <w:t>磺胺邻二甲嘧啶</w:t>
            </w:r>
          </w:p>
        </w:tc>
        <w:tc>
          <w:tcPr>
            <w:tcW w:w="731" w:type="pct"/>
            <w:vMerge w:val="restart"/>
            <w:vAlign w:val="center"/>
          </w:tcPr>
          <w:p w14:paraId="0A3CADCC">
            <w:pPr>
              <w:widowControl/>
              <w:autoSpaceDE w:val="0"/>
              <w:adjustRightInd w:val="0"/>
              <w:snapToGrid w:val="0"/>
              <w:jc w:val="center"/>
              <w:textAlignment w:val="center"/>
              <w:rPr>
                <w:color w:val="000000"/>
                <w:szCs w:val="21"/>
              </w:rPr>
            </w:pPr>
            <w:r>
              <w:rPr>
                <w:rFonts w:hint="eastAsia"/>
                <w:color w:val="000000"/>
                <w:szCs w:val="21"/>
              </w:rPr>
              <w:t>311.1</w:t>
            </w:r>
          </w:p>
        </w:tc>
        <w:tc>
          <w:tcPr>
            <w:tcW w:w="718" w:type="pct"/>
            <w:vAlign w:val="center"/>
          </w:tcPr>
          <w:p w14:paraId="4784CBF0">
            <w:pPr>
              <w:adjustRightInd w:val="0"/>
              <w:snapToGrid w:val="0"/>
              <w:jc w:val="center"/>
              <w:rPr>
                <w:color w:val="000000"/>
                <w:szCs w:val="21"/>
              </w:rPr>
            </w:pPr>
            <w:r>
              <w:rPr>
                <w:color w:val="000000"/>
                <w:szCs w:val="21"/>
              </w:rPr>
              <w:t>15</w:t>
            </w:r>
            <w:r>
              <w:rPr>
                <w:rFonts w:hint="eastAsia"/>
                <w:color w:val="000000"/>
                <w:szCs w:val="21"/>
              </w:rPr>
              <w:t>5.9</w:t>
            </w:r>
            <w:r>
              <w:rPr>
                <w:color w:val="000000"/>
                <w:szCs w:val="21"/>
              </w:rPr>
              <w:t>*</w:t>
            </w:r>
          </w:p>
        </w:tc>
        <w:tc>
          <w:tcPr>
            <w:tcW w:w="649" w:type="pct"/>
            <w:vAlign w:val="center"/>
          </w:tcPr>
          <w:p w14:paraId="42A5A22C">
            <w:pPr>
              <w:adjustRightInd w:val="0"/>
              <w:snapToGrid w:val="0"/>
              <w:jc w:val="center"/>
              <w:rPr>
                <w:color w:val="000000"/>
                <w:szCs w:val="21"/>
              </w:rPr>
            </w:pPr>
            <w:r>
              <w:rPr>
                <w:rFonts w:hint="eastAsia"/>
                <w:color w:val="000000"/>
                <w:szCs w:val="21"/>
              </w:rPr>
              <w:t>19</w:t>
            </w:r>
          </w:p>
        </w:tc>
        <w:tc>
          <w:tcPr>
            <w:tcW w:w="625" w:type="pct"/>
          </w:tcPr>
          <w:p w14:paraId="7E552127">
            <w:pPr>
              <w:adjustRightInd w:val="0"/>
              <w:snapToGrid w:val="0"/>
              <w:jc w:val="center"/>
              <w:rPr>
                <w:color w:val="000000"/>
                <w:szCs w:val="21"/>
              </w:rPr>
            </w:pPr>
            <w:r>
              <w:t>50</w:t>
            </w:r>
          </w:p>
        </w:tc>
        <w:tc>
          <w:tcPr>
            <w:tcW w:w="605" w:type="pct"/>
          </w:tcPr>
          <w:p w14:paraId="1B2B3039">
            <w:pPr>
              <w:adjustRightInd w:val="0"/>
              <w:snapToGrid w:val="0"/>
              <w:jc w:val="center"/>
              <w:rPr>
                <w:color w:val="000000"/>
                <w:szCs w:val="21"/>
              </w:rPr>
            </w:pPr>
            <w:r>
              <w:t>50</w:t>
            </w:r>
          </w:p>
        </w:tc>
        <w:tc>
          <w:tcPr>
            <w:tcW w:w="591" w:type="pct"/>
          </w:tcPr>
          <w:p w14:paraId="14CB6D06">
            <w:pPr>
              <w:adjustRightInd w:val="0"/>
              <w:snapToGrid w:val="0"/>
              <w:jc w:val="center"/>
              <w:rPr>
                <w:color w:val="000000"/>
                <w:szCs w:val="21"/>
              </w:rPr>
            </w:pPr>
            <w:r>
              <w:t>50</w:t>
            </w:r>
          </w:p>
        </w:tc>
      </w:tr>
      <w:tr w14:paraId="04281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1081" w:type="pct"/>
            <w:vMerge w:val="continue"/>
            <w:vAlign w:val="center"/>
          </w:tcPr>
          <w:p w14:paraId="4C3B6942">
            <w:pPr>
              <w:widowControl/>
              <w:adjustRightInd w:val="0"/>
              <w:snapToGrid w:val="0"/>
              <w:jc w:val="center"/>
              <w:rPr>
                <w:color w:val="000000"/>
                <w:szCs w:val="21"/>
              </w:rPr>
            </w:pPr>
          </w:p>
        </w:tc>
        <w:tc>
          <w:tcPr>
            <w:tcW w:w="731" w:type="pct"/>
            <w:vMerge w:val="continue"/>
            <w:vAlign w:val="center"/>
          </w:tcPr>
          <w:p w14:paraId="7B1369A7">
            <w:pPr>
              <w:widowControl/>
              <w:adjustRightInd w:val="0"/>
              <w:snapToGrid w:val="0"/>
              <w:jc w:val="center"/>
              <w:rPr>
                <w:color w:val="000000"/>
                <w:szCs w:val="21"/>
              </w:rPr>
            </w:pPr>
          </w:p>
        </w:tc>
        <w:tc>
          <w:tcPr>
            <w:tcW w:w="718" w:type="pct"/>
            <w:vAlign w:val="center"/>
          </w:tcPr>
          <w:p w14:paraId="7C5A01F0">
            <w:pPr>
              <w:adjustRightInd w:val="0"/>
              <w:snapToGrid w:val="0"/>
              <w:jc w:val="center"/>
              <w:rPr>
                <w:color w:val="000000"/>
                <w:szCs w:val="21"/>
              </w:rPr>
            </w:pPr>
            <w:r>
              <w:rPr>
                <w:color w:val="000000"/>
                <w:szCs w:val="21"/>
              </w:rPr>
              <w:t>10</w:t>
            </w:r>
            <w:r>
              <w:rPr>
                <w:rFonts w:hint="eastAsia"/>
                <w:color w:val="000000"/>
                <w:szCs w:val="21"/>
              </w:rPr>
              <w:t>7.7</w:t>
            </w:r>
          </w:p>
        </w:tc>
        <w:tc>
          <w:tcPr>
            <w:tcW w:w="649" w:type="pct"/>
            <w:vAlign w:val="center"/>
          </w:tcPr>
          <w:p w14:paraId="4174AA30">
            <w:pPr>
              <w:adjustRightInd w:val="0"/>
              <w:snapToGrid w:val="0"/>
              <w:jc w:val="center"/>
              <w:rPr>
                <w:color w:val="000000"/>
                <w:szCs w:val="21"/>
              </w:rPr>
            </w:pPr>
            <w:r>
              <w:rPr>
                <w:color w:val="000000"/>
                <w:szCs w:val="21"/>
              </w:rPr>
              <w:t>3</w:t>
            </w:r>
            <w:r>
              <w:rPr>
                <w:rFonts w:hint="eastAsia"/>
                <w:color w:val="000000"/>
                <w:szCs w:val="21"/>
              </w:rPr>
              <w:t>0</w:t>
            </w:r>
          </w:p>
        </w:tc>
        <w:tc>
          <w:tcPr>
            <w:tcW w:w="625" w:type="pct"/>
          </w:tcPr>
          <w:p w14:paraId="0E14B29F">
            <w:pPr>
              <w:adjustRightInd w:val="0"/>
              <w:snapToGrid w:val="0"/>
              <w:jc w:val="center"/>
              <w:rPr>
                <w:color w:val="000000"/>
                <w:szCs w:val="21"/>
              </w:rPr>
            </w:pPr>
            <w:r>
              <w:t>50</w:t>
            </w:r>
          </w:p>
        </w:tc>
        <w:tc>
          <w:tcPr>
            <w:tcW w:w="605" w:type="pct"/>
          </w:tcPr>
          <w:p w14:paraId="4D7C66CC">
            <w:pPr>
              <w:adjustRightInd w:val="0"/>
              <w:snapToGrid w:val="0"/>
              <w:jc w:val="center"/>
              <w:rPr>
                <w:color w:val="000000"/>
                <w:szCs w:val="21"/>
              </w:rPr>
            </w:pPr>
            <w:r>
              <w:t>50</w:t>
            </w:r>
          </w:p>
        </w:tc>
        <w:tc>
          <w:tcPr>
            <w:tcW w:w="591" w:type="pct"/>
          </w:tcPr>
          <w:p w14:paraId="50A7C75D">
            <w:pPr>
              <w:adjustRightInd w:val="0"/>
              <w:snapToGrid w:val="0"/>
              <w:jc w:val="center"/>
              <w:rPr>
                <w:color w:val="000000"/>
                <w:szCs w:val="21"/>
              </w:rPr>
            </w:pPr>
            <w:r>
              <w:t>50</w:t>
            </w:r>
          </w:p>
        </w:tc>
      </w:tr>
      <w:tr w14:paraId="26A72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1081" w:type="pct"/>
            <w:vMerge w:val="restart"/>
            <w:vAlign w:val="center"/>
          </w:tcPr>
          <w:p w14:paraId="23D6382D">
            <w:pPr>
              <w:widowControl/>
              <w:autoSpaceDE w:val="0"/>
              <w:adjustRightInd w:val="0"/>
              <w:snapToGrid w:val="0"/>
              <w:jc w:val="center"/>
              <w:textAlignment w:val="center"/>
              <w:rPr>
                <w:color w:val="000000"/>
                <w:szCs w:val="21"/>
              </w:rPr>
            </w:pPr>
            <w:r>
              <w:rPr>
                <w:rFonts w:hint="eastAsia"/>
                <w:color w:val="000000"/>
                <w:szCs w:val="21"/>
              </w:rPr>
              <w:t>磺胺异噁唑</w:t>
            </w:r>
          </w:p>
        </w:tc>
        <w:tc>
          <w:tcPr>
            <w:tcW w:w="731" w:type="pct"/>
            <w:vMerge w:val="restart"/>
            <w:vAlign w:val="center"/>
          </w:tcPr>
          <w:p w14:paraId="77BCA5CC">
            <w:pPr>
              <w:widowControl/>
              <w:autoSpaceDE w:val="0"/>
              <w:adjustRightInd w:val="0"/>
              <w:snapToGrid w:val="0"/>
              <w:jc w:val="center"/>
              <w:textAlignment w:val="center"/>
              <w:rPr>
                <w:color w:val="000000"/>
                <w:szCs w:val="21"/>
              </w:rPr>
            </w:pPr>
            <w:r>
              <w:rPr>
                <w:rFonts w:hint="eastAsia"/>
                <w:color w:val="000000"/>
                <w:szCs w:val="21"/>
              </w:rPr>
              <w:t>268.1</w:t>
            </w:r>
          </w:p>
        </w:tc>
        <w:tc>
          <w:tcPr>
            <w:tcW w:w="718" w:type="pct"/>
            <w:vAlign w:val="center"/>
          </w:tcPr>
          <w:p w14:paraId="6AC496EB">
            <w:pPr>
              <w:adjustRightInd w:val="0"/>
              <w:snapToGrid w:val="0"/>
              <w:jc w:val="center"/>
              <w:rPr>
                <w:color w:val="000000"/>
                <w:szCs w:val="21"/>
              </w:rPr>
            </w:pPr>
            <w:r>
              <w:rPr>
                <w:rFonts w:hint="eastAsia"/>
                <w:color w:val="000000"/>
                <w:szCs w:val="21"/>
              </w:rPr>
              <w:t>155.9</w:t>
            </w:r>
            <w:r>
              <w:rPr>
                <w:color w:val="000000"/>
                <w:szCs w:val="21"/>
              </w:rPr>
              <w:t>*</w:t>
            </w:r>
          </w:p>
        </w:tc>
        <w:tc>
          <w:tcPr>
            <w:tcW w:w="649" w:type="pct"/>
            <w:vAlign w:val="center"/>
          </w:tcPr>
          <w:p w14:paraId="3615691A">
            <w:pPr>
              <w:adjustRightInd w:val="0"/>
              <w:snapToGrid w:val="0"/>
              <w:jc w:val="center"/>
              <w:rPr>
                <w:color w:val="000000"/>
                <w:szCs w:val="21"/>
              </w:rPr>
            </w:pPr>
            <w:r>
              <w:rPr>
                <w:rFonts w:hint="eastAsia"/>
                <w:color w:val="000000"/>
                <w:szCs w:val="21"/>
              </w:rPr>
              <w:t>22</w:t>
            </w:r>
          </w:p>
        </w:tc>
        <w:tc>
          <w:tcPr>
            <w:tcW w:w="625" w:type="pct"/>
          </w:tcPr>
          <w:p w14:paraId="30D67826">
            <w:pPr>
              <w:adjustRightInd w:val="0"/>
              <w:snapToGrid w:val="0"/>
              <w:jc w:val="center"/>
              <w:rPr>
                <w:color w:val="000000"/>
                <w:szCs w:val="21"/>
              </w:rPr>
            </w:pPr>
            <w:r>
              <w:t>50</w:t>
            </w:r>
          </w:p>
        </w:tc>
        <w:tc>
          <w:tcPr>
            <w:tcW w:w="605" w:type="pct"/>
          </w:tcPr>
          <w:p w14:paraId="171F5DE2">
            <w:pPr>
              <w:adjustRightInd w:val="0"/>
              <w:snapToGrid w:val="0"/>
              <w:jc w:val="center"/>
              <w:rPr>
                <w:color w:val="000000"/>
                <w:szCs w:val="21"/>
              </w:rPr>
            </w:pPr>
            <w:r>
              <w:t>50</w:t>
            </w:r>
          </w:p>
        </w:tc>
        <w:tc>
          <w:tcPr>
            <w:tcW w:w="591" w:type="pct"/>
          </w:tcPr>
          <w:p w14:paraId="40E178B8">
            <w:pPr>
              <w:adjustRightInd w:val="0"/>
              <w:snapToGrid w:val="0"/>
              <w:jc w:val="center"/>
              <w:rPr>
                <w:color w:val="000000"/>
                <w:szCs w:val="21"/>
              </w:rPr>
            </w:pPr>
            <w:r>
              <w:t>50</w:t>
            </w:r>
          </w:p>
        </w:tc>
      </w:tr>
      <w:tr w14:paraId="43B2D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1081" w:type="pct"/>
            <w:vMerge w:val="continue"/>
            <w:vAlign w:val="center"/>
          </w:tcPr>
          <w:p w14:paraId="73CAE9A0">
            <w:pPr>
              <w:widowControl/>
              <w:adjustRightInd w:val="0"/>
              <w:snapToGrid w:val="0"/>
              <w:jc w:val="center"/>
              <w:rPr>
                <w:color w:val="000000"/>
                <w:szCs w:val="21"/>
              </w:rPr>
            </w:pPr>
          </w:p>
        </w:tc>
        <w:tc>
          <w:tcPr>
            <w:tcW w:w="731" w:type="pct"/>
            <w:vMerge w:val="continue"/>
            <w:vAlign w:val="center"/>
          </w:tcPr>
          <w:p w14:paraId="25F01217">
            <w:pPr>
              <w:widowControl/>
              <w:adjustRightInd w:val="0"/>
              <w:snapToGrid w:val="0"/>
              <w:jc w:val="center"/>
              <w:rPr>
                <w:color w:val="000000"/>
                <w:szCs w:val="21"/>
              </w:rPr>
            </w:pPr>
          </w:p>
        </w:tc>
        <w:tc>
          <w:tcPr>
            <w:tcW w:w="718" w:type="pct"/>
            <w:vAlign w:val="center"/>
          </w:tcPr>
          <w:p w14:paraId="5FBF3040">
            <w:pPr>
              <w:adjustRightInd w:val="0"/>
              <w:snapToGrid w:val="0"/>
              <w:jc w:val="center"/>
              <w:rPr>
                <w:color w:val="000000"/>
                <w:szCs w:val="21"/>
              </w:rPr>
            </w:pPr>
            <w:r>
              <w:rPr>
                <w:rFonts w:hint="eastAsia"/>
                <w:color w:val="000000"/>
                <w:szCs w:val="21"/>
              </w:rPr>
              <w:t>113</w:t>
            </w:r>
          </w:p>
        </w:tc>
        <w:tc>
          <w:tcPr>
            <w:tcW w:w="649" w:type="pct"/>
            <w:vAlign w:val="center"/>
          </w:tcPr>
          <w:p w14:paraId="30CCC8BD">
            <w:pPr>
              <w:adjustRightInd w:val="0"/>
              <w:snapToGrid w:val="0"/>
              <w:jc w:val="center"/>
              <w:rPr>
                <w:color w:val="000000"/>
                <w:szCs w:val="21"/>
              </w:rPr>
            </w:pPr>
            <w:r>
              <w:rPr>
                <w:rFonts w:hint="eastAsia"/>
                <w:color w:val="000000"/>
                <w:szCs w:val="21"/>
              </w:rPr>
              <w:t>24</w:t>
            </w:r>
          </w:p>
        </w:tc>
        <w:tc>
          <w:tcPr>
            <w:tcW w:w="625" w:type="pct"/>
          </w:tcPr>
          <w:p w14:paraId="382F8D88">
            <w:pPr>
              <w:adjustRightInd w:val="0"/>
              <w:snapToGrid w:val="0"/>
              <w:jc w:val="center"/>
              <w:rPr>
                <w:color w:val="000000"/>
                <w:szCs w:val="21"/>
              </w:rPr>
            </w:pPr>
            <w:r>
              <w:t>50</w:t>
            </w:r>
          </w:p>
        </w:tc>
        <w:tc>
          <w:tcPr>
            <w:tcW w:w="605" w:type="pct"/>
          </w:tcPr>
          <w:p w14:paraId="009C7A9A">
            <w:pPr>
              <w:adjustRightInd w:val="0"/>
              <w:snapToGrid w:val="0"/>
              <w:jc w:val="center"/>
              <w:rPr>
                <w:color w:val="000000"/>
                <w:szCs w:val="21"/>
              </w:rPr>
            </w:pPr>
            <w:r>
              <w:t>50</w:t>
            </w:r>
          </w:p>
        </w:tc>
        <w:tc>
          <w:tcPr>
            <w:tcW w:w="591" w:type="pct"/>
          </w:tcPr>
          <w:p w14:paraId="605216F6">
            <w:pPr>
              <w:adjustRightInd w:val="0"/>
              <w:snapToGrid w:val="0"/>
              <w:jc w:val="center"/>
              <w:rPr>
                <w:color w:val="000000"/>
                <w:szCs w:val="21"/>
              </w:rPr>
            </w:pPr>
            <w:r>
              <w:t>50</w:t>
            </w:r>
          </w:p>
        </w:tc>
      </w:tr>
      <w:tr w14:paraId="663A2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1081" w:type="pct"/>
            <w:vMerge w:val="restart"/>
            <w:vAlign w:val="center"/>
          </w:tcPr>
          <w:p w14:paraId="3A7FAD0F">
            <w:pPr>
              <w:widowControl/>
              <w:autoSpaceDE w:val="0"/>
              <w:adjustRightInd w:val="0"/>
              <w:snapToGrid w:val="0"/>
              <w:jc w:val="center"/>
              <w:textAlignment w:val="center"/>
              <w:rPr>
                <w:color w:val="000000"/>
                <w:szCs w:val="21"/>
              </w:rPr>
            </w:pPr>
            <w:r>
              <w:rPr>
                <w:szCs w:val="21"/>
              </w:rPr>
              <w:t>磺胺</w:t>
            </w:r>
            <w:r>
              <w:rPr>
                <w:rFonts w:hint="eastAsia"/>
                <w:szCs w:val="21"/>
              </w:rPr>
              <w:t>苯酰</w:t>
            </w:r>
          </w:p>
        </w:tc>
        <w:tc>
          <w:tcPr>
            <w:tcW w:w="731" w:type="pct"/>
            <w:vMerge w:val="restart"/>
            <w:vAlign w:val="center"/>
          </w:tcPr>
          <w:p w14:paraId="442E0B57">
            <w:pPr>
              <w:widowControl/>
              <w:autoSpaceDE w:val="0"/>
              <w:adjustRightInd w:val="0"/>
              <w:snapToGrid w:val="0"/>
              <w:jc w:val="center"/>
              <w:textAlignment w:val="center"/>
              <w:rPr>
                <w:color w:val="000000"/>
                <w:szCs w:val="21"/>
              </w:rPr>
            </w:pPr>
            <w:r>
              <w:rPr>
                <w:rFonts w:hint="eastAsia"/>
                <w:color w:val="000000"/>
                <w:szCs w:val="21"/>
              </w:rPr>
              <w:t>277.1</w:t>
            </w:r>
          </w:p>
        </w:tc>
        <w:tc>
          <w:tcPr>
            <w:tcW w:w="718" w:type="pct"/>
            <w:vAlign w:val="center"/>
          </w:tcPr>
          <w:p w14:paraId="584273DF">
            <w:pPr>
              <w:adjustRightInd w:val="0"/>
              <w:snapToGrid w:val="0"/>
              <w:jc w:val="center"/>
              <w:rPr>
                <w:color w:val="000000"/>
                <w:szCs w:val="21"/>
              </w:rPr>
            </w:pPr>
            <w:r>
              <w:rPr>
                <w:color w:val="000000"/>
                <w:szCs w:val="21"/>
              </w:rPr>
              <w:t>155.</w:t>
            </w:r>
            <w:r>
              <w:rPr>
                <w:rFonts w:hint="eastAsia"/>
                <w:color w:val="000000"/>
                <w:szCs w:val="21"/>
              </w:rPr>
              <w:t>8</w:t>
            </w:r>
            <w:r>
              <w:rPr>
                <w:color w:val="000000"/>
                <w:szCs w:val="21"/>
              </w:rPr>
              <w:t>*</w:t>
            </w:r>
          </w:p>
        </w:tc>
        <w:tc>
          <w:tcPr>
            <w:tcW w:w="649" w:type="pct"/>
            <w:vAlign w:val="center"/>
          </w:tcPr>
          <w:p w14:paraId="5058BE42">
            <w:pPr>
              <w:adjustRightInd w:val="0"/>
              <w:snapToGrid w:val="0"/>
              <w:jc w:val="center"/>
              <w:rPr>
                <w:color w:val="000000"/>
                <w:szCs w:val="21"/>
              </w:rPr>
            </w:pPr>
            <w:r>
              <w:rPr>
                <w:rFonts w:hint="eastAsia"/>
                <w:color w:val="000000"/>
                <w:szCs w:val="21"/>
              </w:rPr>
              <w:t>20</w:t>
            </w:r>
          </w:p>
        </w:tc>
        <w:tc>
          <w:tcPr>
            <w:tcW w:w="625" w:type="pct"/>
          </w:tcPr>
          <w:p w14:paraId="30230FF5">
            <w:pPr>
              <w:adjustRightInd w:val="0"/>
              <w:snapToGrid w:val="0"/>
              <w:jc w:val="center"/>
              <w:rPr>
                <w:color w:val="000000"/>
                <w:szCs w:val="21"/>
              </w:rPr>
            </w:pPr>
            <w:r>
              <w:t>50</w:t>
            </w:r>
          </w:p>
        </w:tc>
        <w:tc>
          <w:tcPr>
            <w:tcW w:w="605" w:type="pct"/>
          </w:tcPr>
          <w:p w14:paraId="4DF3EAD0">
            <w:pPr>
              <w:adjustRightInd w:val="0"/>
              <w:snapToGrid w:val="0"/>
              <w:jc w:val="center"/>
              <w:rPr>
                <w:color w:val="000000"/>
                <w:szCs w:val="21"/>
              </w:rPr>
            </w:pPr>
            <w:r>
              <w:t>50</w:t>
            </w:r>
          </w:p>
        </w:tc>
        <w:tc>
          <w:tcPr>
            <w:tcW w:w="591" w:type="pct"/>
          </w:tcPr>
          <w:p w14:paraId="5C17DF46">
            <w:pPr>
              <w:adjustRightInd w:val="0"/>
              <w:snapToGrid w:val="0"/>
              <w:jc w:val="center"/>
              <w:rPr>
                <w:color w:val="000000"/>
                <w:szCs w:val="21"/>
              </w:rPr>
            </w:pPr>
            <w:r>
              <w:t>50</w:t>
            </w:r>
          </w:p>
        </w:tc>
      </w:tr>
      <w:tr w14:paraId="7DAC3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1081" w:type="pct"/>
            <w:vMerge w:val="continue"/>
            <w:vAlign w:val="center"/>
          </w:tcPr>
          <w:p w14:paraId="77BA27BC">
            <w:pPr>
              <w:widowControl/>
              <w:adjustRightInd w:val="0"/>
              <w:snapToGrid w:val="0"/>
              <w:jc w:val="center"/>
              <w:rPr>
                <w:color w:val="000000"/>
                <w:szCs w:val="21"/>
              </w:rPr>
            </w:pPr>
          </w:p>
        </w:tc>
        <w:tc>
          <w:tcPr>
            <w:tcW w:w="731" w:type="pct"/>
            <w:vMerge w:val="continue"/>
            <w:vAlign w:val="center"/>
          </w:tcPr>
          <w:p w14:paraId="755D4D35">
            <w:pPr>
              <w:widowControl/>
              <w:adjustRightInd w:val="0"/>
              <w:snapToGrid w:val="0"/>
              <w:jc w:val="center"/>
              <w:rPr>
                <w:color w:val="000000"/>
                <w:szCs w:val="21"/>
              </w:rPr>
            </w:pPr>
          </w:p>
        </w:tc>
        <w:tc>
          <w:tcPr>
            <w:tcW w:w="718" w:type="pct"/>
            <w:vAlign w:val="center"/>
          </w:tcPr>
          <w:p w14:paraId="0DA072E8">
            <w:pPr>
              <w:adjustRightInd w:val="0"/>
              <w:snapToGrid w:val="0"/>
              <w:jc w:val="center"/>
              <w:rPr>
                <w:color w:val="000000"/>
                <w:szCs w:val="21"/>
              </w:rPr>
            </w:pPr>
            <w:r>
              <w:rPr>
                <w:color w:val="000000"/>
                <w:szCs w:val="21"/>
              </w:rPr>
              <w:t>1</w:t>
            </w:r>
            <w:r>
              <w:rPr>
                <w:rFonts w:hint="eastAsia"/>
                <w:color w:val="000000"/>
                <w:szCs w:val="21"/>
              </w:rPr>
              <w:t>08.1</w:t>
            </w:r>
          </w:p>
        </w:tc>
        <w:tc>
          <w:tcPr>
            <w:tcW w:w="649" w:type="pct"/>
            <w:vAlign w:val="center"/>
          </w:tcPr>
          <w:p w14:paraId="562F9D6F">
            <w:pPr>
              <w:adjustRightInd w:val="0"/>
              <w:snapToGrid w:val="0"/>
              <w:jc w:val="center"/>
              <w:rPr>
                <w:color w:val="000000"/>
                <w:szCs w:val="21"/>
              </w:rPr>
            </w:pPr>
            <w:r>
              <w:rPr>
                <w:rFonts w:hint="eastAsia"/>
                <w:color w:val="000000"/>
                <w:szCs w:val="21"/>
              </w:rPr>
              <w:t>35</w:t>
            </w:r>
          </w:p>
        </w:tc>
        <w:tc>
          <w:tcPr>
            <w:tcW w:w="625" w:type="pct"/>
          </w:tcPr>
          <w:p w14:paraId="3F565368">
            <w:pPr>
              <w:adjustRightInd w:val="0"/>
              <w:snapToGrid w:val="0"/>
              <w:jc w:val="center"/>
              <w:rPr>
                <w:color w:val="000000"/>
                <w:szCs w:val="21"/>
              </w:rPr>
            </w:pPr>
            <w:r>
              <w:t>50</w:t>
            </w:r>
          </w:p>
        </w:tc>
        <w:tc>
          <w:tcPr>
            <w:tcW w:w="605" w:type="pct"/>
          </w:tcPr>
          <w:p w14:paraId="0897F046">
            <w:pPr>
              <w:adjustRightInd w:val="0"/>
              <w:snapToGrid w:val="0"/>
              <w:jc w:val="center"/>
              <w:rPr>
                <w:color w:val="000000"/>
                <w:szCs w:val="21"/>
              </w:rPr>
            </w:pPr>
            <w:r>
              <w:t>50</w:t>
            </w:r>
          </w:p>
        </w:tc>
        <w:tc>
          <w:tcPr>
            <w:tcW w:w="591" w:type="pct"/>
          </w:tcPr>
          <w:p w14:paraId="29D772BF">
            <w:pPr>
              <w:adjustRightInd w:val="0"/>
              <w:snapToGrid w:val="0"/>
              <w:jc w:val="center"/>
              <w:rPr>
                <w:color w:val="000000"/>
                <w:szCs w:val="21"/>
              </w:rPr>
            </w:pPr>
            <w:r>
              <w:t>50</w:t>
            </w:r>
          </w:p>
        </w:tc>
      </w:tr>
      <w:tr w14:paraId="6D362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1081" w:type="pct"/>
            <w:vMerge w:val="restart"/>
            <w:vAlign w:val="center"/>
          </w:tcPr>
          <w:p w14:paraId="4A9FAB87">
            <w:pPr>
              <w:widowControl/>
              <w:autoSpaceDE w:val="0"/>
              <w:adjustRightInd w:val="0"/>
              <w:snapToGrid w:val="0"/>
              <w:jc w:val="center"/>
              <w:textAlignment w:val="center"/>
              <w:rPr>
                <w:color w:val="000000"/>
                <w:szCs w:val="21"/>
              </w:rPr>
            </w:pPr>
            <w:r>
              <w:rPr>
                <w:szCs w:val="21"/>
              </w:rPr>
              <w:t>磺胺</w:t>
            </w:r>
            <w:r>
              <w:rPr>
                <w:rFonts w:hint="eastAsia"/>
                <w:szCs w:val="21"/>
              </w:rPr>
              <w:t>间二甲氧嘧啶</w:t>
            </w:r>
          </w:p>
        </w:tc>
        <w:tc>
          <w:tcPr>
            <w:tcW w:w="731" w:type="pct"/>
            <w:vMerge w:val="restart"/>
            <w:vAlign w:val="center"/>
          </w:tcPr>
          <w:p w14:paraId="109A1F37">
            <w:pPr>
              <w:widowControl/>
              <w:autoSpaceDE w:val="0"/>
              <w:adjustRightInd w:val="0"/>
              <w:snapToGrid w:val="0"/>
              <w:jc w:val="center"/>
              <w:textAlignment w:val="center"/>
              <w:rPr>
                <w:color w:val="000000"/>
                <w:kern w:val="0"/>
                <w:szCs w:val="21"/>
              </w:rPr>
            </w:pPr>
            <w:r>
              <w:rPr>
                <w:rFonts w:hint="eastAsia"/>
                <w:color w:val="000000"/>
                <w:szCs w:val="21"/>
              </w:rPr>
              <w:t>310.9</w:t>
            </w:r>
          </w:p>
        </w:tc>
        <w:tc>
          <w:tcPr>
            <w:tcW w:w="718" w:type="pct"/>
            <w:vAlign w:val="center"/>
          </w:tcPr>
          <w:p w14:paraId="05647C55">
            <w:pPr>
              <w:adjustRightInd w:val="0"/>
              <w:snapToGrid w:val="0"/>
              <w:jc w:val="center"/>
              <w:rPr>
                <w:color w:val="000000"/>
                <w:szCs w:val="21"/>
              </w:rPr>
            </w:pPr>
            <w:r>
              <w:rPr>
                <w:color w:val="000000"/>
                <w:szCs w:val="21"/>
              </w:rPr>
              <w:t>15</w:t>
            </w:r>
            <w:r>
              <w:rPr>
                <w:rFonts w:hint="eastAsia"/>
                <w:color w:val="000000"/>
                <w:szCs w:val="21"/>
              </w:rPr>
              <w:t>6.0</w:t>
            </w:r>
            <w:r>
              <w:rPr>
                <w:color w:val="000000"/>
                <w:szCs w:val="21"/>
              </w:rPr>
              <w:t>*</w:t>
            </w:r>
          </w:p>
        </w:tc>
        <w:tc>
          <w:tcPr>
            <w:tcW w:w="649" w:type="pct"/>
            <w:vAlign w:val="center"/>
          </w:tcPr>
          <w:p w14:paraId="78B63C16">
            <w:pPr>
              <w:adjustRightInd w:val="0"/>
              <w:snapToGrid w:val="0"/>
              <w:jc w:val="center"/>
              <w:rPr>
                <w:color w:val="000000"/>
                <w:szCs w:val="21"/>
              </w:rPr>
            </w:pPr>
            <w:r>
              <w:rPr>
                <w:rFonts w:hint="eastAsia"/>
                <w:color w:val="000000"/>
                <w:szCs w:val="21"/>
              </w:rPr>
              <w:t>32</w:t>
            </w:r>
          </w:p>
        </w:tc>
        <w:tc>
          <w:tcPr>
            <w:tcW w:w="625" w:type="pct"/>
            <w:vAlign w:val="center"/>
          </w:tcPr>
          <w:p w14:paraId="23F9FD6B">
            <w:pPr>
              <w:adjustRightInd w:val="0"/>
              <w:snapToGrid w:val="0"/>
              <w:jc w:val="center"/>
              <w:rPr>
                <w:color w:val="000000"/>
                <w:szCs w:val="21"/>
              </w:rPr>
            </w:pPr>
            <w:r>
              <w:rPr>
                <w:rFonts w:hint="eastAsia"/>
                <w:color w:val="000000"/>
                <w:szCs w:val="21"/>
              </w:rPr>
              <w:t>5</w:t>
            </w:r>
            <w:r>
              <w:rPr>
                <w:color w:val="000000"/>
                <w:szCs w:val="21"/>
              </w:rPr>
              <w:t>0</w:t>
            </w:r>
          </w:p>
        </w:tc>
        <w:tc>
          <w:tcPr>
            <w:tcW w:w="605" w:type="pct"/>
            <w:vAlign w:val="center"/>
          </w:tcPr>
          <w:p w14:paraId="6B9301DC">
            <w:pPr>
              <w:adjustRightInd w:val="0"/>
              <w:snapToGrid w:val="0"/>
              <w:jc w:val="center"/>
              <w:rPr>
                <w:color w:val="000000"/>
                <w:szCs w:val="21"/>
              </w:rPr>
            </w:pPr>
            <w:r>
              <w:rPr>
                <w:rFonts w:hint="eastAsia"/>
                <w:color w:val="000000"/>
                <w:szCs w:val="21"/>
              </w:rPr>
              <w:t>50</w:t>
            </w:r>
          </w:p>
        </w:tc>
        <w:tc>
          <w:tcPr>
            <w:tcW w:w="591" w:type="pct"/>
            <w:vAlign w:val="center"/>
          </w:tcPr>
          <w:p w14:paraId="4E5BBE79">
            <w:pPr>
              <w:adjustRightInd w:val="0"/>
              <w:snapToGrid w:val="0"/>
              <w:jc w:val="center"/>
              <w:rPr>
                <w:color w:val="000000"/>
                <w:szCs w:val="21"/>
              </w:rPr>
            </w:pPr>
            <w:r>
              <w:rPr>
                <w:rFonts w:hint="eastAsia"/>
                <w:color w:val="000000"/>
                <w:szCs w:val="21"/>
              </w:rPr>
              <w:t>50</w:t>
            </w:r>
          </w:p>
        </w:tc>
      </w:tr>
      <w:tr w14:paraId="6F257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1081" w:type="pct"/>
            <w:vMerge w:val="continue"/>
            <w:vAlign w:val="center"/>
          </w:tcPr>
          <w:p w14:paraId="1F587083">
            <w:pPr>
              <w:widowControl/>
              <w:adjustRightInd w:val="0"/>
              <w:snapToGrid w:val="0"/>
              <w:jc w:val="center"/>
              <w:rPr>
                <w:color w:val="000000"/>
                <w:szCs w:val="21"/>
              </w:rPr>
            </w:pPr>
          </w:p>
        </w:tc>
        <w:tc>
          <w:tcPr>
            <w:tcW w:w="731" w:type="pct"/>
            <w:vMerge w:val="continue"/>
            <w:vAlign w:val="center"/>
          </w:tcPr>
          <w:p w14:paraId="7C1B284C">
            <w:pPr>
              <w:widowControl/>
              <w:autoSpaceDE w:val="0"/>
              <w:adjustRightInd w:val="0"/>
              <w:snapToGrid w:val="0"/>
              <w:jc w:val="center"/>
              <w:textAlignment w:val="center"/>
              <w:rPr>
                <w:color w:val="000000"/>
                <w:kern w:val="0"/>
                <w:szCs w:val="21"/>
              </w:rPr>
            </w:pPr>
          </w:p>
        </w:tc>
        <w:tc>
          <w:tcPr>
            <w:tcW w:w="718" w:type="pct"/>
            <w:vAlign w:val="center"/>
          </w:tcPr>
          <w:p w14:paraId="3E604155">
            <w:pPr>
              <w:adjustRightInd w:val="0"/>
              <w:snapToGrid w:val="0"/>
              <w:jc w:val="center"/>
              <w:rPr>
                <w:color w:val="000000"/>
                <w:szCs w:val="21"/>
              </w:rPr>
            </w:pPr>
            <w:r>
              <w:rPr>
                <w:rFonts w:hint="eastAsia"/>
                <w:color w:val="000000"/>
                <w:szCs w:val="21"/>
              </w:rPr>
              <w:t>108.0</w:t>
            </w:r>
          </w:p>
        </w:tc>
        <w:tc>
          <w:tcPr>
            <w:tcW w:w="649" w:type="pct"/>
            <w:vAlign w:val="center"/>
          </w:tcPr>
          <w:p w14:paraId="628A463F">
            <w:pPr>
              <w:adjustRightInd w:val="0"/>
              <w:snapToGrid w:val="0"/>
              <w:jc w:val="center"/>
              <w:rPr>
                <w:color w:val="000000"/>
                <w:szCs w:val="21"/>
              </w:rPr>
            </w:pPr>
            <w:r>
              <w:rPr>
                <w:rFonts w:hint="eastAsia"/>
                <w:color w:val="000000"/>
                <w:szCs w:val="21"/>
              </w:rPr>
              <w:t>25</w:t>
            </w:r>
          </w:p>
        </w:tc>
        <w:tc>
          <w:tcPr>
            <w:tcW w:w="625" w:type="pct"/>
            <w:vAlign w:val="center"/>
          </w:tcPr>
          <w:p w14:paraId="52729DFE">
            <w:pPr>
              <w:adjustRightInd w:val="0"/>
              <w:snapToGrid w:val="0"/>
              <w:jc w:val="center"/>
              <w:rPr>
                <w:color w:val="000000"/>
                <w:szCs w:val="21"/>
              </w:rPr>
            </w:pPr>
            <w:r>
              <w:rPr>
                <w:rFonts w:hint="eastAsia"/>
                <w:color w:val="000000"/>
                <w:szCs w:val="21"/>
              </w:rPr>
              <w:t>5</w:t>
            </w:r>
            <w:r>
              <w:rPr>
                <w:color w:val="000000"/>
                <w:szCs w:val="21"/>
              </w:rPr>
              <w:t>0</w:t>
            </w:r>
          </w:p>
        </w:tc>
        <w:tc>
          <w:tcPr>
            <w:tcW w:w="605" w:type="pct"/>
            <w:vAlign w:val="center"/>
          </w:tcPr>
          <w:p w14:paraId="00633AA3">
            <w:pPr>
              <w:adjustRightInd w:val="0"/>
              <w:snapToGrid w:val="0"/>
              <w:jc w:val="center"/>
              <w:rPr>
                <w:color w:val="000000"/>
                <w:szCs w:val="21"/>
              </w:rPr>
            </w:pPr>
            <w:r>
              <w:rPr>
                <w:rFonts w:hint="eastAsia"/>
                <w:color w:val="000000"/>
                <w:szCs w:val="21"/>
              </w:rPr>
              <w:t>50</w:t>
            </w:r>
          </w:p>
        </w:tc>
        <w:tc>
          <w:tcPr>
            <w:tcW w:w="591" w:type="pct"/>
            <w:vAlign w:val="center"/>
          </w:tcPr>
          <w:p w14:paraId="00B9ADDF">
            <w:pPr>
              <w:adjustRightInd w:val="0"/>
              <w:snapToGrid w:val="0"/>
              <w:jc w:val="center"/>
              <w:rPr>
                <w:color w:val="000000"/>
                <w:szCs w:val="21"/>
              </w:rPr>
            </w:pPr>
            <w:r>
              <w:rPr>
                <w:rFonts w:hint="eastAsia"/>
                <w:color w:val="000000"/>
                <w:szCs w:val="21"/>
              </w:rPr>
              <w:t>50</w:t>
            </w:r>
          </w:p>
        </w:tc>
      </w:tr>
    </w:tbl>
    <w:p w14:paraId="380EDF26">
      <w:pPr>
        <w:pStyle w:val="46"/>
        <w:ind w:firstLine="0" w:firstLineChars="0"/>
        <w:jc w:val="center"/>
        <w:rPr>
          <w:rFonts w:ascii="Times New Roman" w:eastAsia="黑体"/>
          <w:kern w:val="2"/>
          <w:sz w:val="22"/>
        </w:rPr>
        <w:sectPr>
          <w:pgSz w:w="11906" w:h="16838"/>
          <w:pgMar w:top="567" w:right="1134" w:bottom="1134" w:left="1418" w:header="567" w:footer="1134" w:gutter="0"/>
          <w:cols w:space="720" w:num="1"/>
          <w:formProt w:val="0"/>
          <w:docGrid w:type="lines" w:linePitch="312" w:charSpace="0"/>
        </w:sectPr>
      </w:pPr>
    </w:p>
    <w:p w14:paraId="0A14E025">
      <w:pPr>
        <w:pStyle w:val="46"/>
        <w:ind w:firstLine="440"/>
        <w:rPr>
          <w:rFonts w:ascii="Times New Roman"/>
          <w:kern w:val="2"/>
          <w:sz w:val="22"/>
        </w:rPr>
      </w:pPr>
    </w:p>
    <w:p w14:paraId="29BB59BE">
      <w:pPr>
        <w:pStyle w:val="46"/>
        <w:ind w:firstLine="0" w:firstLineChars="0"/>
        <w:jc w:val="center"/>
        <w:outlineLvl w:val="0"/>
        <w:rPr>
          <w:rFonts w:ascii="Times New Roman" w:eastAsia="黑体"/>
        </w:rPr>
      </w:pPr>
      <w:bookmarkStart w:id="63" w:name="_Toc19537"/>
      <w:r>
        <w:rPr>
          <w:rFonts w:hint="eastAsia" w:ascii="Times New Roman" w:eastAsia="黑体"/>
        </w:rPr>
        <w:t>附 录 B</w:t>
      </w:r>
      <w:bookmarkEnd w:id="63"/>
    </w:p>
    <w:p w14:paraId="05C49581">
      <w:pPr>
        <w:pStyle w:val="46"/>
        <w:ind w:firstLine="0" w:firstLineChars="0"/>
        <w:jc w:val="center"/>
        <w:rPr>
          <w:rFonts w:ascii="Times New Roman" w:eastAsia="黑体"/>
          <w:kern w:val="2"/>
          <w:sz w:val="22"/>
        </w:rPr>
      </w:pPr>
      <w:r>
        <w:rPr>
          <w:rFonts w:hint="eastAsia" w:ascii="Times New Roman" w:eastAsia="黑体"/>
          <w:kern w:val="2"/>
          <w:sz w:val="22"/>
        </w:rPr>
        <w:t>（资料性）</w:t>
      </w:r>
    </w:p>
    <w:p w14:paraId="1BDFFB06">
      <w:pPr>
        <w:pStyle w:val="46"/>
        <w:ind w:firstLine="0" w:firstLineChars="0"/>
        <w:jc w:val="center"/>
        <w:rPr>
          <w:rFonts w:ascii="Times New Roman" w:eastAsia="黑体"/>
          <w:kern w:val="2"/>
          <w:sz w:val="22"/>
        </w:rPr>
      </w:pPr>
      <w:r>
        <w:rPr>
          <w:rFonts w:hint="eastAsia" w:ascii="Times New Roman" w:eastAsia="黑体"/>
          <w:kern w:val="2"/>
          <w:sz w:val="22"/>
        </w:rPr>
        <w:t>目标化合物的总离子流色谱图</w:t>
      </w:r>
    </w:p>
    <w:p w14:paraId="1617A469">
      <w:pPr>
        <w:pStyle w:val="46"/>
        <w:ind w:firstLine="0" w:firstLineChars="0"/>
        <w:jc w:val="center"/>
        <w:rPr>
          <w:rFonts w:ascii="Times New Roman" w:eastAsia="黑体"/>
          <w:kern w:val="2"/>
          <w:sz w:val="22"/>
        </w:rPr>
      </w:pPr>
    </w:p>
    <w:p w14:paraId="6749D418">
      <w:pPr>
        <w:pStyle w:val="46"/>
        <w:ind w:firstLine="0" w:firstLineChars="0"/>
        <w:jc w:val="center"/>
        <w:rPr>
          <w:sz w:val="22"/>
        </w:rPr>
      </w:pPr>
      <w:r>
        <w:rPr>
          <w:rFonts w:hint="eastAsia"/>
          <w:sz w:val="22"/>
        </w:rPr>
        <w:drawing>
          <wp:inline distT="0" distB="0" distL="114300" distR="114300">
            <wp:extent cx="5925185" cy="3172460"/>
            <wp:effectExtent l="9525" t="9525" r="21590" b="18415"/>
            <wp:docPr id="1" name="图片 1" descr="100P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00PPB"/>
                    <pic:cNvPicPr>
                      <a:picLocks noChangeAspect="1"/>
                    </pic:cNvPicPr>
                  </pic:nvPicPr>
                  <pic:blipFill>
                    <a:blip r:embed="rId7"/>
                    <a:stretch>
                      <a:fillRect/>
                    </a:stretch>
                  </pic:blipFill>
                  <pic:spPr>
                    <a:xfrm>
                      <a:off x="0" y="0"/>
                      <a:ext cx="5925185" cy="3172460"/>
                    </a:xfrm>
                    <a:prstGeom prst="rect">
                      <a:avLst/>
                    </a:prstGeom>
                    <a:ln w="3175">
                      <a:solidFill>
                        <a:schemeClr val="tx1"/>
                      </a:solidFill>
                    </a:ln>
                  </pic:spPr>
                </pic:pic>
              </a:graphicData>
            </a:graphic>
          </wp:inline>
        </w:drawing>
      </w:r>
    </w:p>
    <w:p w14:paraId="3039594E">
      <w:pPr>
        <w:pStyle w:val="46"/>
        <w:ind w:firstLine="0" w:firstLineChars="0"/>
        <w:jc w:val="center"/>
        <w:rPr>
          <w:rFonts w:ascii="Times New Roman" w:eastAsia="黑体" w:cs="Times New Roman"/>
          <w:kern w:val="2"/>
          <w:sz w:val="22"/>
        </w:rPr>
        <w:sectPr>
          <w:pgSz w:w="11906" w:h="16838"/>
          <w:pgMar w:top="567" w:right="1134" w:bottom="1134" w:left="1418" w:header="567" w:footer="1134" w:gutter="0"/>
          <w:cols w:space="720" w:num="1"/>
          <w:formProt w:val="0"/>
          <w:docGrid w:type="lines" w:linePitch="312" w:charSpace="0"/>
        </w:sectPr>
      </w:pPr>
      <w:r>
        <w:rPr>
          <w:rFonts w:hint="eastAsia" w:ascii="Times New Roman" w:eastAsia="黑体" w:cs="Times New Roman"/>
          <w:kern w:val="2"/>
          <w:sz w:val="22"/>
        </w:rPr>
        <w:t>图 B.1 目标化合物的总离子流色谱图</w:t>
      </w:r>
    </w:p>
    <w:p w14:paraId="208056C0">
      <w:pPr>
        <w:pStyle w:val="46"/>
        <w:ind w:firstLine="0" w:firstLineChars="0"/>
        <w:jc w:val="center"/>
        <w:outlineLvl w:val="0"/>
        <w:rPr>
          <w:rFonts w:ascii="Times New Roman" w:eastAsia="黑体"/>
        </w:rPr>
      </w:pPr>
      <w:bookmarkStart w:id="64" w:name="_Toc31407"/>
      <w:r>
        <w:rPr>
          <w:rFonts w:ascii="Times New Roman" w:eastAsia="黑体"/>
        </w:rPr>
        <w:t>附 录</w:t>
      </w:r>
      <w:r>
        <w:rPr>
          <w:rFonts w:hint="eastAsia" w:ascii="Times New Roman" w:eastAsia="黑体"/>
        </w:rPr>
        <w:t xml:space="preserve"> C</w:t>
      </w:r>
      <w:bookmarkEnd w:id="64"/>
    </w:p>
    <w:p w14:paraId="7B927F94">
      <w:pPr>
        <w:pStyle w:val="46"/>
        <w:ind w:firstLine="0" w:firstLineChars="0"/>
        <w:jc w:val="center"/>
        <w:rPr>
          <w:rFonts w:ascii="Times New Roman" w:eastAsia="黑体"/>
          <w:kern w:val="2"/>
          <w:sz w:val="22"/>
        </w:rPr>
      </w:pPr>
      <w:r>
        <w:rPr>
          <w:rFonts w:ascii="Times New Roman" w:eastAsia="黑体"/>
          <w:kern w:val="2"/>
          <w:sz w:val="22"/>
        </w:rPr>
        <w:t>（规范性附录）</w:t>
      </w:r>
    </w:p>
    <w:p w14:paraId="2792EDFA">
      <w:pPr>
        <w:pStyle w:val="46"/>
        <w:ind w:firstLine="0" w:firstLineChars="0"/>
        <w:jc w:val="center"/>
        <w:rPr>
          <w:rFonts w:ascii="Times New Roman" w:eastAsia="黑体"/>
          <w:kern w:val="2"/>
          <w:sz w:val="22"/>
        </w:rPr>
      </w:pPr>
      <w:r>
        <w:rPr>
          <w:rFonts w:ascii="Times New Roman" w:eastAsia="黑体"/>
          <w:kern w:val="2"/>
          <w:sz w:val="22"/>
        </w:rPr>
        <w:t>方法的检出限和测定下限</w:t>
      </w:r>
    </w:p>
    <w:p w14:paraId="7CCC82DD">
      <w:pPr>
        <w:pStyle w:val="46"/>
        <w:ind w:firstLine="440"/>
        <w:jc w:val="center"/>
        <w:rPr>
          <w:rFonts w:ascii="Times New Roman" w:eastAsia="黑体"/>
          <w:kern w:val="2"/>
          <w:sz w:val="22"/>
        </w:rPr>
      </w:pPr>
    </w:p>
    <w:p w14:paraId="4EA9F7DE">
      <w:pPr>
        <w:spacing w:line="360" w:lineRule="auto"/>
        <w:ind w:firstLine="420"/>
        <w:rPr>
          <w:color w:val="000000"/>
          <w:sz w:val="22"/>
          <w:szCs w:val="22"/>
        </w:rPr>
      </w:pPr>
      <w:r>
        <w:rPr>
          <w:rFonts w:hint="eastAsia" w:ascii="黑体" w:hAnsi="黑体" w:eastAsia="黑体" w:cs="黑体"/>
          <w:color w:val="000000"/>
          <w:sz w:val="22"/>
          <w:szCs w:val="22"/>
        </w:rPr>
        <w:t>表 C.1 给出了本方法中16种目标化合物的方法检出限和测定下限</w:t>
      </w:r>
      <w:r>
        <w:rPr>
          <w:color w:val="000000"/>
          <w:sz w:val="22"/>
          <w:szCs w:val="22"/>
        </w:rPr>
        <w:t>。</w:t>
      </w:r>
    </w:p>
    <w:p w14:paraId="6C863770">
      <w:pPr>
        <w:widowControl/>
        <w:spacing w:line="360" w:lineRule="auto"/>
        <w:jc w:val="center"/>
        <w:rPr>
          <w:rFonts w:eastAsia="黑体"/>
          <w:color w:val="000000"/>
          <w:kern w:val="0"/>
          <w:sz w:val="22"/>
          <w:szCs w:val="22"/>
        </w:rPr>
      </w:pPr>
      <w:r>
        <w:rPr>
          <w:rFonts w:eastAsia="黑体"/>
          <w:color w:val="000000"/>
          <w:kern w:val="0"/>
          <w:sz w:val="22"/>
          <w:szCs w:val="22"/>
        </w:rPr>
        <w:t xml:space="preserve">表 </w:t>
      </w:r>
      <w:r>
        <w:rPr>
          <w:rFonts w:hint="eastAsia" w:eastAsia="黑体"/>
          <w:color w:val="000000"/>
          <w:kern w:val="0"/>
          <w:sz w:val="22"/>
          <w:szCs w:val="22"/>
        </w:rPr>
        <w:t>C</w:t>
      </w:r>
      <w:r>
        <w:rPr>
          <w:color w:val="000000"/>
          <w:kern w:val="0"/>
          <w:sz w:val="22"/>
          <w:szCs w:val="22"/>
        </w:rPr>
        <w:t xml:space="preserve">.1 </w:t>
      </w:r>
      <w:r>
        <w:rPr>
          <w:rFonts w:eastAsia="黑体"/>
          <w:color w:val="000000"/>
          <w:kern w:val="0"/>
          <w:sz w:val="22"/>
          <w:szCs w:val="22"/>
        </w:rPr>
        <w:t>方法检出限和测定下限</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4861"/>
        <w:gridCol w:w="2494"/>
        <w:gridCol w:w="2211"/>
      </w:tblGrid>
      <w:tr w14:paraId="5A90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540" w:type="pct"/>
            <w:shd w:val="clear" w:color="auto" w:fill="FFFFFF"/>
            <w:vAlign w:val="center"/>
          </w:tcPr>
          <w:p w14:paraId="165F6334">
            <w:pPr>
              <w:jc w:val="center"/>
              <w:rPr>
                <w:sz w:val="18"/>
                <w:szCs w:val="18"/>
              </w:rPr>
            </w:pPr>
            <w:r>
              <w:rPr>
                <w:sz w:val="18"/>
                <w:szCs w:val="18"/>
              </w:rPr>
              <w:t>抗生素</w:t>
            </w:r>
          </w:p>
        </w:tc>
        <w:tc>
          <w:tcPr>
            <w:tcW w:w="1303" w:type="pct"/>
            <w:shd w:val="clear" w:color="auto" w:fill="FFFFFF"/>
            <w:vAlign w:val="center"/>
          </w:tcPr>
          <w:p w14:paraId="1613D916">
            <w:pPr>
              <w:jc w:val="center"/>
              <w:rPr>
                <w:sz w:val="18"/>
                <w:szCs w:val="18"/>
              </w:rPr>
            </w:pPr>
            <w:r>
              <w:rPr>
                <w:sz w:val="18"/>
                <w:szCs w:val="18"/>
                <w:lang w:val="fr-FR"/>
              </w:rPr>
              <w:t>LOQ (ng/L)</w:t>
            </w:r>
          </w:p>
        </w:tc>
        <w:tc>
          <w:tcPr>
            <w:tcW w:w="1155" w:type="pct"/>
            <w:shd w:val="clear" w:color="auto" w:fill="FFFFFF"/>
            <w:vAlign w:val="center"/>
          </w:tcPr>
          <w:p w14:paraId="41206844">
            <w:pPr>
              <w:jc w:val="center"/>
              <w:rPr>
                <w:sz w:val="18"/>
                <w:szCs w:val="18"/>
              </w:rPr>
            </w:pPr>
            <w:r>
              <w:rPr>
                <w:sz w:val="18"/>
                <w:szCs w:val="18"/>
                <w:lang w:val="fr-FR"/>
              </w:rPr>
              <w:t>LOD (ng/L)</w:t>
            </w:r>
          </w:p>
        </w:tc>
      </w:tr>
      <w:tr w14:paraId="5F2B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2540" w:type="pct"/>
            <w:shd w:val="clear" w:color="auto" w:fill="FFFFFF"/>
            <w:vAlign w:val="center"/>
          </w:tcPr>
          <w:p w14:paraId="6F258218">
            <w:pPr>
              <w:jc w:val="center"/>
              <w:rPr>
                <w:sz w:val="18"/>
                <w:szCs w:val="18"/>
              </w:rPr>
            </w:pPr>
            <w:r>
              <w:rPr>
                <w:rFonts w:hint="eastAsia"/>
                <w:sz w:val="18"/>
                <w:szCs w:val="18"/>
              </w:rPr>
              <w:t>磺胺醋酰</w:t>
            </w:r>
          </w:p>
        </w:tc>
        <w:tc>
          <w:tcPr>
            <w:tcW w:w="1303" w:type="pct"/>
            <w:shd w:val="clear" w:color="auto" w:fill="FFFFFF"/>
            <w:vAlign w:val="center"/>
          </w:tcPr>
          <w:p w14:paraId="166A8DF6">
            <w:pPr>
              <w:jc w:val="center"/>
              <w:rPr>
                <w:sz w:val="18"/>
                <w:szCs w:val="18"/>
              </w:rPr>
            </w:pPr>
            <w:r>
              <w:rPr>
                <w:sz w:val="18"/>
                <w:szCs w:val="18"/>
              </w:rPr>
              <w:t>0.462</w:t>
            </w:r>
          </w:p>
        </w:tc>
        <w:tc>
          <w:tcPr>
            <w:tcW w:w="1155" w:type="pct"/>
            <w:shd w:val="clear" w:color="auto" w:fill="FFFFFF"/>
            <w:vAlign w:val="center"/>
          </w:tcPr>
          <w:p w14:paraId="20AA4693">
            <w:pPr>
              <w:jc w:val="center"/>
              <w:rPr>
                <w:sz w:val="18"/>
                <w:szCs w:val="18"/>
              </w:rPr>
            </w:pPr>
            <w:r>
              <w:rPr>
                <w:sz w:val="18"/>
                <w:szCs w:val="18"/>
              </w:rPr>
              <w:t>1.540</w:t>
            </w:r>
          </w:p>
        </w:tc>
      </w:tr>
      <w:tr w14:paraId="0A5A1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2540" w:type="pct"/>
            <w:shd w:val="clear" w:color="auto" w:fill="FFFFFF"/>
            <w:vAlign w:val="center"/>
          </w:tcPr>
          <w:p w14:paraId="685D5DB6">
            <w:pPr>
              <w:jc w:val="center"/>
              <w:rPr>
                <w:sz w:val="18"/>
                <w:szCs w:val="18"/>
              </w:rPr>
            </w:pPr>
            <w:r>
              <w:rPr>
                <w:rFonts w:hint="eastAsia"/>
                <w:sz w:val="18"/>
                <w:szCs w:val="18"/>
              </w:rPr>
              <w:t>磺胺嘧啶</w:t>
            </w:r>
          </w:p>
        </w:tc>
        <w:tc>
          <w:tcPr>
            <w:tcW w:w="1303" w:type="pct"/>
            <w:shd w:val="clear" w:color="auto" w:fill="FFFFFF"/>
            <w:vAlign w:val="center"/>
          </w:tcPr>
          <w:p w14:paraId="26FAB05E">
            <w:pPr>
              <w:jc w:val="center"/>
              <w:rPr>
                <w:sz w:val="18"/>
                <w:szCs w:val="18"/>
              </w:rPr>
            </w:pPr>
            <w:r>
              <w:rPr>
                <w:sz w:val="18"/>
                <w:szCs w:val="18"/>
              </w:rPr>
              <w:t>0.010</w:t>
            </w:r>
          </w:p>
        </w:tc>
        <w:tc>
          <w:tcPr>
            <w:tcW w:w="1155" w:type="pct"/>
            <w:shd w:val="clear" w:color="auto" w:fill="FFFFFF"/>
            <w:vAlign w:val="center"/>
          </w:tcPr>
          <w:p w14:paraId="6174E255">
            <w:pPr>
              <w:jc w:val="center"/>
              <w:rPr>
                <w:sz w:val="18"/>
                <w:szCs w:val="18"/>
              </w:rPr>
            </w:pPr>
            <w:r>
              <w:rPr>
                <w:sz w:val="18"/>
                <w:szCs w:val="18"/>
              </w:rPr>
              <w:t>0.034</w:t>
            </w:r>
          </w:p>
        </w:tc>
      </w:tr>
      <w:tr w14:paraId="0A87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2540" w:type="pct"/>
            <w:shd w:val="clear" w:color="auto" w:fill="FFFFFF"/>
            <w:vAlign w:val="center"/>
          </w:tcPr>
          <w:p w14:paraId="56CE869B">
            <w:pPr>
              <w:jc w:val="center"/>
              <w:rPr>
                <w:sz w:val="18"/>
                <w:szCs w:val="18"/>
              </w:rPr>
            </w:pPr>
            <w:r>
              <w:rPr>
                <w:rFonts w:hint="eastAsia"/>
                <w:sz w:val="18"/>
                <w:szCs w:val="18"/>
              </w:rPr>
              <w:t>磺胺噻唑</w:t>
            </w:r>
          </w:p>
        </w:tc>
        <w:tc>
          <w:tcPr>
            <w:tcW w:w="1303" w:type="pct"/>
            <w:shd w:val="clear" w:color="auto" w:fill="FFFFFF"/>
            <w:vAlign w:val="center"/>
          </w:tcPr>
          <w:p w14:paraId="31271352">
            <w:pPr>
              <w:jc w:val="center"/>
              <w:rPr>
                <w:sz w:val="18"/>
                <w:szCs w:val="18"/>
              </w:rPr>
            </w:pPr>
            <w:r>
              <w:rPr>
                <w:sz w:val="18"/>
                <w:szCs w:val="18"/>
              </w:rPr>
              <w:t>0.045</w:t>
            </w:r>
          </w:p>
        </w:tc>
        <w:tc>
          <w:tcPr>
            <w:tcW w:w="1155" w:type="pct"/>
            <w:shd w:val="clear" w:color="auto" w:fill="FFFFFF"/>
            <w:vAlign w:val="center"/>
          </w:tcPr>
          <w:p w14:paraId="02888352">
            <w:pPr>
              <w:jc w:val="center"/>
              <w:rPr>
                <w:sz w:val="18"/>
                <w:szCs w:val="18"/>
              </w:rPr>
            </w:pPr>
            <w:r>
              <w:rPr>
                <w:sz w:val="18"/>
                <w:szCs w:val="18"/>
              </w:rPr>
              <w:t>0.150</w:t>
            </w:r>
          </w:p>
        </w:tc>
      </w:tr>
      <w:tr w14:paraId="7AC77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2540" w:type="pct"/>
            <w:shd w:val="clear" w:color="auto" w:fill="FFFFFF"/>
            <w:vAlign w:val="center"/>
          </w:tcPr>
          <w:p w14:paraId="1BA148BE">
            <w:pPr>
              <w:jc w:val="center"/>
              <w:rPr>
                <w:sz w:val="18"/>
                <w:szCs w:val="18"/>
              </w:rPr>
            </w:pPr>
            <w:r>
              <w:rPr>
                <w:rFonts w:hint="eastAsia"/>
                <w:sz w:val="18"/>
                <w:szCs w:val="18"/>
              </w:rPr>
              <w:t>磺胺吡啶</w:t>
            </w:r>
          </w:p>
        </w:tc>
        <w:tc>
          <w:tcPr>
            <w:tcW w:w="1303" w:type="pct"/>
            <w:shd w:val="clear" w:color="auto" w:fill="FFFFFF"/>
            <w:vAlign w:val="center"/>
          </w:tcPr>
          <w:p w14:paraId="1AF65A12">
            <w:pPr>
              <w:jc w:val="center"/>
              <w:rPr>
                <w:sz w:val="18"/>
                <w:szCs w:val="18"/>
              </w:rPr>
            </w:pPr>
            <w:r>
              <w:rPr>
                <w:sz w:val="18"/>
                <w:szCs w:val="18"/>
              </w:rPr>
              <w:t>0.045</w:t>
            </w:r>
          </w:p>
        </w:tc>
        <w:tc>
          <w:tcPr>
            <w:tcW w:w="1155" w:type="pct"/>
            <w:shd w:val="clear" w:color="auto" w:fill="FFFFFF"/>
            <w:vAlign w:val="center"/>
          </w:tcPr>
          <w:p w14:paraId="37CF64BA">
            <w:pPr>
              <w:jc w:val="center"/>
              <w:rPr>
                <w:sz w:val="18"/>
                <w:szCs w:val="18"/>
              </w:rPr>
            </w:pPr>
            <w:r>
              <w:rPr>
                <w:sz w:val="18"/>
                <w:szCs w:val="18"/>
              </w:rPr>
              <w:t>0.149</w:t>
            </w:r>
          </w:p>
        </w:tc>
      </w:tr>
      <w:tr w14:paraId="69BFB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2540" w:type="pct"/>
            <w:shd w:val="clear" w:color="auto" w:fill="FFFFFF"/>
            <w:vAlign w:val="center"/>
          </w:tcPr>
          <w:p w14:paraId="709CD43C">
            <w:pPr>
              <w:jc w:val="center"/>
              <w:rPr>
                <w:sz w:val="18"/>
                <w:szCs w:val="18"/>
              </w:rPr>
            </w:pPr>
            <w:r>
              <w:rPr>
                <w:rFonts w:hint="eastAsia"/>
                <w:sz w:val="18"/>
                <w:szCs w:val="18"/>
              </w:rPr>
              <w:t>磺胺甲嘧啶</w:t>
            </w:r>
          </w:p>
        </w:tc>
        <w:tc>
          <w:tcPr>
            <w:tcW w:w="1303" w:type="pct"/>
            <w:shd w:val="clear" w:color="auto" w:fill="FFFFFF"/>
            <w:vAlign w:val="center"/>
          </w:tcPr>
          <w:p w14:paraId="240F0327">
            <w:pPr>
              <w:jc w:val="center"/>
              <w:rPr>
                <w:sz w:val="18"/>
                <w:szCs w:val="18"/>
              </w:rPr>
            </w:pPr>
            <w:r>
              <w:rPr>
                <w:sz w:val="18"/>
                <w:szCs w:val="18"/>
              </w:rPr>
              <w:t>0.008</w:t>
            </w:r>
          </w:p>
        </w:tc>
        <w:tc>
          <w:tcPr>
            <w:tcW w:w="1155" w:type="pct"/>
            <w:shd w:val="clear" w:color="auto" w:fill="FFFFFF"/>
            <w:vAlign w:val="center"/>
          </w:tcPr>
          <w:p w14:paraId="2C4214E0">
            <w:pPr>
              <w:jc w:val="center"/>
              <w:rPr>
                <w:sz w:val="18"/>
                <w:szCs w:val="18"/>
              </w:rPr>
            </w:pPr>
            <w:r>
              <w:rPr>
                <w:sz w:val="18"/>
                <w:szCs w:val="18"/>
              </w:rPr>
              <w:t>0.028</w:t>
            </w:r>
          </w:p>
        </w:tc>
      </w:tr>
      <w:tr w14:paraId="1EDA1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2540" w:type="pct"/>
            <w:shd w:val="clear" w:color="auto" w:fill="FFFFFF"/>
            <w:vAlign w:val="center"/>
          </w:tcPr>
          <w:p w14:paraId="651082E0">
            <w:pPr>
              <w:jc w:val="center"/>
              <w:rPr>
                <w:sz w:val="18"/>
                <w:szCs w:val="18"/>
              </w:rPr>
            </w:pPr>
            <w:r>
              <w:rPr>
                <w:rFonts w:hint="eastAsia"/>
                <w:sz w:val="18"/>
                <w:szCs w:val="18"/>
              </w:rPr>
              <w:t>磺胺甲二唑</w:t>
            </w:r>
          </w:p>
        </w:tc>
        <w:tc>
          <w:tcPr>
            <w:tcW w:w="1303" w:type="pct"/>
            <w:shd w:val="clear" w:color="auto" w:fill="FFFFFF"/>
            <w:vAlign w:val="center"/>
          </w:tcPr>
          <w:p w14:paraId="3DAEB152">
            <w:pPr>
              <w:jc w:val="center"/>
              <w:rPr>
                <w:sz w:val="18"/>
                <w:szCs w:val="18"/>
              </w:rPr>
            </w:pPr>
            <w:r>
              <w:rPr>
                <w:sz w:val="18"/>
                <w:szCs w:val="18"/>
              </w:rPr>
              <w:t>0.070</w:t>
            </w:r>
          </w:p>
        </w:tc>
        <w:tc>
          <w:tcPr>
            <w:tcW w:w="1155" w:type="pct"/>
            <w:shd w:val="clear" w:color="auto" w:fill="FFFFFF"/>
            <w:vAlign w:val="center"/>
          </w:tcPr>
          <w:p w14:paraId="11651625">
            <w:pPr>
              <w:jc w:val="center"/>
              <w:rPr>
                <w:sz w:val="18"/>
                <w:szCs w:val="18"/>
              </w:rPr>
            </w:pPr>
            <w:r>
              <w:rPr>
                <w:sz w:val="18"/>
                <w:szCs w:val="18"/>
              </w:rPr>
              <w:t>0.234</w:t>
            </w:r>
          </w:p>
        </w:tc>
      </w:tr>
      <w:tr w14:paraId="5CFB9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2540" w:type="pct"/>
            <w:shd w:val="clear" w:color="auto" w:fill="FFFFFF"/>
            <w:vAlign w:val="center"/>
          </w:tcPr>
          <w:p w14:paraId="6C1671B3">
            <w:pPr>
              <w:jc w:val="center"/>
              <w:rPr>
                <w:sz w:val="18"/>
                <w:szCs w:val="18"/>
              </w:rPr>
            </w:pPr>
            <w:r>
              <w:rPr>
                <w:rFonts w:hint="eastAsia"/>
                <w:sz w:val="18"/>
                <w:szCs w:val="18"/>
              </w:rPr>
              <w:t>甲氧苄啶</w:t>
            </w:r>
          </w:p>
        </w:tc>
        <w:tc>
          <w:tcPr>
            <w:tcW w:w="1303" w:type="pct"/>
            <w:shd w:val="clear" w:color="auto" w:fill="FFFFFF"/>
            <w:vAlign w:val="center"/>
          </w:tcPr>
          <w:p w14:paraId="601238AC">
            <w:pPr>
              <w:jc w:val="center"/>
              <w:rPr>
                <w:sz w:val="18"/>
                <w:szCs w:val="18"/>
              </w:rPr>
            </w:pPr>
            <w:r>
              <w:rPr>
                <w:sz w:val="18"/>
                <w:szCs w:val="18"/>
              </w:rPr>
              <w:t>0.001</w:t>
            </w:r>
          </w:p>
        </w:tc>
        <w:tc>
          <w:tcPr>
            <w:tcW w:w="1155" w:type="pct"/>
            <w:shd w:val="clear" w:color="auto" w:fill="FFFFFF"/>
            <w:vAlign w:val="center"/>
          </w:tcPr>
          <w:p w14:paraId="061251B2">
            <w:pPr>
              <w:jc w:val="center"/>
              <w:rPr>
                <w:sz w:val="18"/>
                <w:szCs w:val="18"/>
              </w:rPr>
            </w:pPr>
            <w:r>
              <w:rPr>
                <w:sz w:val="18"/>
                <w:szCs w:val="18"/>
              </w:rPr>
              <w:t>0.003</w:t>
            </w:r>
          </w:p>
        </w:tc>
      </w:tr>
      <w:tr w14:paraId="086A0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2540" w:type="pct"/>
            <w:shd w:val="clear" w:color="auto" w:fill="FFFFFF"/>
            <w:vAlign w:val="center"/>
          </w:tcPr>
          <w:p w14:paraId="5354925D">
            <w:pPr>
              <w:jc w:val="center"/>
              <w:rPr>
                <w:sz w:val="18"/>
                <w:szCs w:val="18"/>
              </w:rPr>
            </w:pPr>
            <w:r>
              <w:rPr>
                <w:rFonts w:hint="eastAsia"/>
                <w:sz w:val="18"/>
                <w:szCs w:val="18"/>
              </w:rPr>
              <w:t>磺胺二甲嘧啶</w:t>
            </w:r>
          </w:p>
        </w:tc>
        <w:tc>
          <w:tcPr>
            <w:tcW w:w="1303" w:type="pct"/>
            <w:shd w:val="clear" w:color="auto" w:fill="FFFFFF"/>
            <w:vAlign w:val="center"/>
          </w:tcPr>
          <w:p w14:paraId="40104680">
            <w:pPr>
              <w:jc w:val="center"/>
              <w:rPr>
                <w:sz w:val="18"/>
                <w:szCs w:val="18"/>
              </w:rPr>
            </w:pPr>
            <w:r>
              <w:rPr>
                <w:sz w:val="18"/>
                <w:szCs w:val="18"/>
              </w:rPr>
              <w:t>0.012</w:t>
            </w:r>
          </w:p>
        </w:tc>
        <w:tc>
          <w:tcPr>
            <w:tcW w:w="1155" w:type="pct"/>
            <w:shd w:val="clear" w:color="auto" w:fill="FFFFFF"/>
            <w:vAlign w:val="center"/>
          </w:tcPr>
          <w:p w14:paraId="7DA4A8D9">
            <w:pPr>
              <w:jc w:val="center"/>
              <w:rPr>
                <w:sz w:val="18"/>
                <w:szCs w:val="18"/>
              </w:rPr>
            </w:pPr>
            <w:r>
              <w:rPr>
                <w:sz w:val="18"/>
                <w:szCs w:val="18"/>
              </w:rPr>
              <w:t>0.039</w:t>
            </w:r>
          </w:p>
        </w:tc>
      </w:tr>
      <w:tr w14:paraId="4B3B9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2540" w:type="pct"/>
            <w:shd w:val="clear" w:color="auto" w:fill="FFFFFF"/>
            <w:vAlign w:val="center"/>
          </w:tcPr>
          <w:p w14:paraId="5A3EA505">
            <w:pPr>
              <w:jc w:val="center"/>
              <w:rPr>
                <w:sz w:val="18"/>
                <w:szCs w:val="18"/>
              </w:rPr>
            </w:pPr>
            <w:r>
              <w:rPr>
                <w:rFonts w:hint="eastAsia"/>
                <w:sz w:val="18"/>
                <w:szCs w:val="18"/>
              </w:rPr>
              <w:t>磺胺甲氧哒嗪</w:t>
            </w:r>
          </w:p>
        </w:tc>
        <w:tc>
          <w:tcPr>
            <w:tcW w:w="1303" w:type="pct"/>
            <w:shd w:val="clear" w:color="auto" w:fill="FFFFFF"/>
            <w:vAlign w:val="center"/>
          </w:tcPr>
          <w:p w14:paraId="46D09274">
            <w:pPr>
              <w:jc w:val="center"/>
              <w:rPr>
                <w:sz w:val="18"/>
                <w:szCs w:val="18"/>
              </w:rPr>
            </w:pPr>
            <w:r>
              <w:rPr>
                <w:sz w:val="18"/>
                <w:szCs w:val="18"/>
              </w:rPr>
              <w:t>0.028</w:t>
            </w:r>
          </w:p>
        </w:tc>
        <w:tc>
          <w:tcPr>
            <w:tcW w:w="1155" w:type="pct"/>
            <w:shd w:val="clear" w:color="auto" w:fill="FFFFFF"/>
            <w:vAlign w:val="center"/>
          </w:tcPr>
          <w:p w14:paraId="6C64674B">
            <w:pPr>
              <w:jc w:val="center"/>
              <w:rPr>
                <w:sz w:val="18"/>
                <w:szCs w:val="18"/>
              </w:rPr>
            </w:pPr>
            <w:r>
              <w:rPr>
                <w:sz w:val="18"/>
                <w:szCs w:val="18"/>
              </w:rPr>
              <w:t>0.095</w:t>
            </w:r>
          </w:p>
        </w:tc>
      </w:tr>
      <w:tr w14:paraId="56620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2540" w:type="pct"/>
            <w:shd w:val="clear" w:color="auto" w:fill="FFFFFF"/>
            <w:vAlign w:val="center"/>
          </w:tcPr>
          <w:p w14:paraId="33D1308C">
            <w:pPr>
              <w:jc w:val="center"/>
              <w:rPr>
                <w:sz w:val="18"/>
                <w:szCs w:val="18"/>
              </w:rPr>
            </w:pPr>
            <w:r>
              <w:rPr>
                <w:rFonts w:hint="eastAsia"/>
                <w:sz w:val="18"/>
                <w:szCs w:val="18"/>
              </w:rPr>
              <w:t>磺胺甲噁唑</w:t>
            </w:r>
          </w:p>
        </w:tc>
        <w:tc>
          <w:tcPr>
            <w:tcW w:w="1303" w:type="pct"/>
            <w:shd w:val="clear" w:color="auto" w:fill="FFFFFF"/>
            <w:vAlign w:val="center"/>
          </w:tcPr>
          <w:p w14:paraId="60BE5AAD">
            <w:pPr>
              <w:jc w:val="center"/>
              <w:rPr>
                <w:sz w:val="18"/>
                <w:szCs w:val="18"/>
              </w:rPr>
            </w:pPr>
            <w:r>
              <w:rPr>
                <w:sz w:val="18"/>
                <w:szCs w:val="18"/>
              </w:rPr>
              <w:t>0.033</w:t>
            </w:r>
          </w:p>
        </w:tc>
        <w:tc>
          <w:tcPr>
            <w:tcW w:w="1155" w:type="pct"/>
            <w:shd w:val="clear" w:color="auto" w:fill="FFFFFF"/>
            <w:vAlign w:val="center"/>
          </w:tcPr>
          <w:p w14:paraId="567DB43C">
            <w:pPr>
              <w:jc w:val="center"/>
              <w:rPr>
                <w:sz w:val="18"/>
                <w:szCs w:val="18"/>
              </w:rPr>
            </w:pPr>
            <w:r>
              <w:rPr>
                <w:sz w:val="18"/>
                <w:szCs w:val="18"/>
              </w:rPr>
              <w:t>0.109</w:t>
            </w:r>
          </w:p>
        </w:tc>
      </w:tr>
      <w:tr w14:paraId="417D3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2540" w:type="pct"/>
            <w:shd w:val="clear" w:color="auto" w:fill="FFFFFF"/>
            <w:vAlign w:val="center"/>
          </w:tcPr>
          <w:p w14:paraId="1C95B27B">
            <w:pPr>
              <w:jc w:val="center"/>
              <w:rPr>
                <w:sz w:val="18"/>
                <w:szCs w:val="18"/>
              </w:rPr>
            </w:pPr>
            <w:r>
              <w:rPr>
                <w:rFonts w:hint="eastAsia"/>
                <w:sz w:val="18"/>
                <w:szCs w:val="18"/>
              </w:rPr>
              <w:t>磺胺间甲氧嘧啶</w:t>
            </w:r>
          </w:p>
        </w:tc>
        <w:tc>
          <w:tcPr>
            <w:tcW w:w="1303" w:type="pct"/>
            <w:shd w:val="clear" w:color="auto" w:fill="FFFFFF"/>
            <w:vAlign w:val="center"/>
          </w:tcPr>
          <w:p w14:paraId="0E0C49D4">
            <w:pPr>
              <w:jc w:val="center"/>
              <w:rPr>
                <w:sz w:val="18"/>
                <w:szCs w:val="18"/>
              </w:rPr>
            </w:pPr>
            <w:r>
              <w:rPr>
                <w:sz w:val="18"/>
                <w:szCs w:val="18"/>
              </w:rPr>
              <w:t>0.048</w:t>
            </w:r>
          </w:p>
        </w:tc>
        <w:tc>
          <w:tcPr>
            <w:tcW w:w="1155" w:type="pct"/>
            <w:shd w:val="clear" w:color="auto" w:fill="FFFFFF"/>
            <w:vAlign w:val="center"/>
          </w:tcPr>
          <w:p w14:paraId="71BEAD9C">
            <w:pPr>
              <w:jc w:val="center"/>
              <w:rPr>
                <w:sz w:val="18"/>
                <w:szCs w:val="18"/>
              </w:rPr>
            </w:pPr>
            <w:r>
              <w:rPr>
                <w:sz w:val="18"/>
                <w:szCs w:val="18"/>
              </w:rPr>
              <w:t>0.159</w:t>
            </w:r>
          </w:p>
        </w:tc>
      </w:tr>
      <w:tr w14:paraId="19121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2540" w:type="pct"/>
            <w:shd w:val="clear" w:color="auto" w:fill="FFFFFF"/>
            <w:vAlign w:val="center"/>
          </w:tcPr>
          <w:p w14:paraId="072624AA">
            <w:pPr>
              <w:jc w:val="center"/>
              <w:rPr>
                <w:sz w:val="18"/>
                <w:szCs w:val="18"/>
              </w:rPr>
            </w:pPr>
            <w:r>
              <w:rPr>
                <w:rFonts w:hint="eastAsia"/>
                <w:sz w:val="18"/>
                <w:szCs w:val="18"/>
              </w:rPr>
              <w:t>磺胺对甲氧嘧啶</w:t>
            </w:r>
          </w:p>
        </w:tc>
        <w:tc>
          <w:tcPr>
            <w:tcW w:w="1303" w:type="pct"/>
            <w:shd w:val="clear" w:color="auto" w:fill="FFFFFF"/>
            <w:vAlign w:val="center"/>
          </w:tcPr>
          <w:p w14:paraId="6AC7988B">
            <w:pPr>
              <w:jc w:val="center"/>
              <w:rPr>
                <w:sz w:val="18"/>
                <w:szCs w:val="18"/>
              </w:rPr>
            </w:pPr>
            <w:r>
              <w:rPr>
                <w:sz w:val="18"/>
                <w:szCs w:val="18"/>
              </w:rPr>
              <w:t>0.032</w:t>
            </w:r>
          </w:p>
        </w:tc>
        <w:tc>
          <w:tcPr>
            <w:tcW w:w="1155" w:type="pct"/>
            <w:shd w:val="clear" w:color="auto" w:fill="FFFFFF"/>
            <w:vAlign w:val="center"/>
          </w:tcPr>
          <w:p w14:paraId="086CEBBB">
            <w:pPr>
              <w:jc w:val="center"/>
              <w:rPr>
                <w:sz w:val="18"/>
                <w:szCs w:val="18"/>
              </w:rPr>
            </w:pPr>
            <w:r>
              <w:rPr>
                <w:sz w:val="18"/>
                <w:szCs w:val="18"/>
              </w:rPr>
              <w:t>0.108</w:t>
            </w:r>
          </w:p>
        </w:tc>
      </w:tr>
      <w:tr w14:paraId="411AF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2540" w:type="pct"/>
            <w:shd w:val="clear" w:color="auto" w:fill="FFFFFF"/>
            <w:vAlign w:val="center"/>
          </w:tcPr>
          <w:p w14:paraId="47BF2CAE">
            <w:pPr>
              <w:jc w:val="center"/>
              <w:rPr>
                <w:sz w:val="18"/>
                <w:szCs w:val="18"/>
              </w:rPr>
            </w:pPr>
            <w:r>
              <w:rPr>
                <w:rFonts w:hint="eastAsia"/>
                <w:sz w:val="18"/>
                <w:szCs w:val="18"/>
              </w:rPr>
              <w:t>磺胺邻二甲嘧啶</w:t>
            </w:r>
          </w:p>
        </w:tc>
        <w:tc>
          <w:tcPr>
            <w:tcW w:w="1303" w:type="pct"/>
            <w:shd w:val="clear" w:color="auto" w:fill="FFFFFF"/>
            <w:vAlign w:val="center"/>
          </w:tcPr>
          <w:p w14:paraId="5B8146E2">
            <w:pPr>
              <w:jc w:val="center"/>
              <w:rPr>
                <w:sz w:val="18"/>
                <w:szCs w:val="18"/>
              </w:rPr>
            </w:pPr>
            <w:r>
              <w:rPr>
                <w:sz w:val="18"/>
                <w:szCs w:val="18"/>
              </w:rPr>
              <w:t>0.107</w:t>
            </w:r>
          </w:p>
        </w:tc>
        <w:tc>
          <w:tcPr>
            <w:tcW w:w="1155" w:type="pct"/>
            <w:shd w:val="clear" w:color="auto" w:fill="FFFFFF"/>
            <w:vAlign w:val="center"/>
          </w:tcPr>
          <w:p w14:paraId="6C1A014F">
            <w:pPr>
              <w:jc w:val="center"/>
              <w:rPr>
                <w:sz w:val="18"/>
                <w:szCs w:val="18"/>
              </w:rPr>
            </w:pPr>
            <w:r>
              <w:rPr>
                <w:sz w:val="18"/>
                <w:szCs w:val="18"/>
              </w:rPr>
              <w:t>0.356</w:t>
            </w:r>
          </w:p>
        </w:tc>
      </w:tr>
      <w:tr w14:paraId="672E7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540" w:type="pct"/>
            <w:shd w:val="clear" w:color="auto" w:fill="FFFFFF"/>
            <w:vAlign w:val="center"/>
          </w:tcPr>
          <w:p w14:paraId="28BF0347">
            <w:pPr>
              <w:jc w:val="center"/>
              <w:rPr>
                <w:sz w:val="18"/>
                <w:szCs w:val="18"/>
              </w:rPr>
            </w:pPr>
            <w:r>
              <w:rPr>
                <w:rFonts w:hint="eastAsia"/>
                <w:sz w:val="18"/>
                <w:szCs w:val="18"/>
              </w:rPr>
              <w:t>磺胺异噁唑</w:t>
            </w:r>
          </w:p>
        </w:tc>
        <w:tc>
          <w:tcPr>
            <w:tcW w:w="1303" w:type="pct"/>
            <w:shd w:val="clear" w:color="auto" w:fill="FFFFFF"/>
            <w:vAlign w:val="center"/>
          </w:tcPr>
          <w:p w14:paraId="00827948">
            <w:pPr>
              <w:jc w:val="center"/>
              <w:rPr>
                <w:sz w:val="18"/>
                <w:szCs w:val="18"/>
              </w:rPr>
            </w:pPr>
            <w:r>
              <w:rPr>
                <w:sz w:val="18"/>
                <w:szCs w:val="18"/>
              </w:rPr>
              <w:t>0.013</w:t>
            </w:r>
          </w:p>
        </w:tc>
        <w:tc>
          <w:tcPr>
            <w:tcW w:w="1155" w:type="pct"/>
            <w:shd w:val="clear" w:color="auto" w:fill="FFFFFF"/>
            <w:vAlign w:val="center"/>
          </w:tcPr>
          <w:p w14:paraId="7C0B9805">
            <w:pPr>
              <w:jc w:val="center"/>
              <w:rPr>
                <w:sz w:val="18"/>
                <w:szCs w:val="18"/>
              </w:rPr>
            </w:pPr>
            <w:r>
              <w:rPr>
                <w:sz w:val="18"/>
                <w:szCs w:val="18"/>
              </w:rPr>
              <w:t>0.042</w:t>
            </w:r>
          </w:p>
        </w:tc>
      </w:tr>
      <w:tr w14:paraId="3B8B0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540" w:type="pct"/>
            <w:shd w:val="clear" w:color="auto" w:fill="FFFFFF"/>
            <w:vAlign w:val="center"/>
          </w:tcPr>
          <w:p w14:paraId="7F7B9A77">
            <w:pPr>
              <w:jc w:val="center"/>
              <w:rPr>
                <w:sz w:val="18"/>
                <w:szCs w:val="18"/>
              </w:rPr>
            </w:pPr>
            <w:r>
              <w:rPr>
                <w:rFonts w:hint="eastAsia"/>
                <w:sz w:val="18"/>
                <w:szCs w:val="18"/>
              </w:rPr>
              <w:t>磺胺苯酰</w:t>
            </w:r>
          </w:p>
        </w:tc>
        <w:tc>
          <w:tcPr>
            <w:tcW w:w="1303" w:type="pct"/>
            <w:shd w:val="clear" w:color="auto" w:fill="FFFFFF"/>
            <w:vAlign w:val="center"/>
          </w:tcPr>
          <w:p w14:paraId="2E93DE81">
            <w:pPr>
              <w:jc w:val="center"/>
              <w:rPr>
                <w:sz w:val="18"/>
                <w:szCs w:val="18"/>
              </w:rPr>
            </w:pPr>
            <w:r>
              <w:rPr>
                <w:sz w:val="18"/>
                <w:szCs w:val="18"/>
              </w:rPr>
              <w:t>0.025</w:t>
            </w:r>
          </w:p>
        </w:tc>
        <w:tc>
          <w:tcPr>
            <w:tcW w:w="1155" w:type="pct"/>
            <w:shd w:val="clear" w:color="auto" w:fill="FFFFFF"/>
            <w:vAlign w:val="center"/>
          </w:tcPr>
          <w:p w14:paraId="174BC185">
            <w:pPr>
              <w:jc w:val="center"/>
              <w:rPr>
                <w:sz w:val="18"/>
                <w:szCs w:val="18"/>
              </w:rPr>
            </w:pPr>
            <w:r>
              <w:rPr>
                <w:sz w:val="18"/>
                <w:szCs w:val="18"/>
              </w:rPr>
              <w:t>0.083</w:t>
            </w:r>
          </w:p>
        </w:tc>
      </w:tr>
      <w:tr w14:paraId="0D173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2540" w:type="pct"/>
            <w:shd w:val="clear" w:color="auto" w:fill="FFFFFF"/>
            <w:vAlign w:val="center"/>
          </w:tcPr>
          <w:p w14:paraId="26916568">
            <w:pPr>
              <w:jc w:val="center"/>
              <w:rPr>
                <w:sz w:val="18"/>
                <w:szCs w:val="18"/>
              </w:rPr>
            </w:pPr>
            <w:r>
              <w:rPr>
                <w:rFonts w:hint="eastAsia"/>
                <w:sz w:val="18"/>
                <w:szCs w:val="18"/>
              </w:rPr>
              <w:t>磺胺间二甲氧嘧啶</w:t>
            </w:r>
          </w:p>
        </w:tc>
        <w:tc>
          <w:tcPr>
            <w:tcW w:w="1303" w:type="pct"/>
            <w:shd w:val="clear" w:color="auto" w:fill="FFFFFF"/>
            <w:vAlign w:val="center"/>
          </w:tcPr>
          <w:p w14:paraId="13435CCA">
            <w:pPr>
              <w:jc w:val="center"/>
              <w:rPr>
                <w:sz w:val="18"/>
                <w:szCs w:val="18"/>
              </w:rPr>
            </w:pPr>
            <w:r>
              <w:rPr>
                <w:sz w:val="18"/>
                <w:szCs w:val="18"/>
              </w:rPr>
              <w:t>0.025</w:t>
            </w:r>
          </w:p>
        </w:tc>
        <w:tc>
          <w:tcPr>
            <w:tcW w:w="1155" w:type="pct"/>
            <w:shd w:val="clear" w:color="auto" w:fill="FFFFFF"/>
            <w:vAlign w:val="center"/>
          </w:tcPr>
          <w:p w14:paraId="05A56150">
            <w:pPr>
              <w:jc w:val="center"/>
              <w:rPr>
                <w:sz w:val="18"/>
                <w:szCs w:val="18"/>
              </w:rPr>
            </w:pPr>
            <w:r>
              <w:rPr>
                <w:sz w:val="18"/>
                <w:szCs w:val="18"/>
              </w:rPr>
              <w:t>0.082</w:t>
            </w:r>
          </w:p>
        </w:tc>
      </w:tr>
    </w:tbl>
    <w:p w14:paraId="183E2B59">
      <w:pPr>
        <w:widowControl/>
        <w:spacing w:line="360" w:lineRule="auto"/>
        <w:jc w:val="center"/>
        <w:rPr>
          <w:rFonts w:eastAsia="黑体"/>
          <w:color w:val="000000"/>
          <w:kern w:val="0"/>
          <w:sz w:val="22"/>
          <w:szCs w:val="22"/>
        </w:rPr>
      </w:pPr>
    </w:p>
    <w:p w14:paraId="68205930">
      <w:pPr>
        <w:widowControl/>
        <w:spacing w:line="360" w:lineRule="auto"/>
        <w:jc w:val="center"/>
        <w:rPr>
          <w:kern w:val="0"/>
          <w:sz w:val="24"/>
        </w:rPr>
        <w:sectPr>
          <w:pgSz w:w="11906" w:h="16838"/>
          <w:pgMar w:top="567" w:right="1134" w:bottom="1134" w:left="1418" w:header="567" w:footer="1134" w:gutter="0"/>
          <w:cols w:space="720" w:num="1"/>
          <w:formProt w:val="0"/>
          <w:docGrid w:type="lines" w:linePitch="312" w:charSpace="0"/>
        </w:sectPr>
      </w:pPr>
    </w:p>
    <w:p w14:paraId="7DB3918C">
      <w:pPr>
        <w:pStyle w:val="46"/>
        <w:ind w:firstLine="0" w:firstLineChars="0"/>
        <w:jc w:val="center"/>
        <w:outlineLvl w:val="0"/>
        <w:rPr>
          <w:rFonts w:ascii="Times New Roman" w:eastAsia="黑体"/>
        </w:rPr>
      </w:pPr>
      <w:r>
        <w:rPr>
          <w:rFonts w:ascii="Times New Roman" w:eastAsia="黑体"/>
        </w:rPr>
        <w:t>附 录</w:t>
      </w:r>
      <w:r>
        <w:rPr>
          <w:rFonts w:hint="eastAsia" w:ascii="Times New Roman" w:eastAsia="黑体"/>
        </w:rPr>
        <w:t xml:space="preserve"> D</w:t>
      </w:r>
    </w:p>
    <w:p w14:paraId="38AF7E3F">
      <w:pPr>
        <w:pStyle w:val="46"/>
        <w:ind w:firstLine="0" w:firstLineChars="0"/>
        <w:jc w:val="center"/>
        <w:rPr>
          <w:rFonts w:ascii="Times New Roman" w:eastAsia="黑体"/>
          <w:kern w:val="2"/>
          <w:sz w:val="22"/>
        </w:rPr>
      </w:pPr>
      <w:r>
        <w:rPr>
          <w:rFonts w:ascii="Times New Roman" w:eastAsia="黑体"/>
          <w:kern w:val="2"/>
          <w:sz w:val="22"/>
        </w:rPr>
        <w:t>（规范性附录）</w:t>
      </w:r>
    </w:p>
    <w:p w14:paraId="711D0F0F">
      <w:pPr>
        <w:pStyle w:val="46"/>
        <w:ind w:firstLine="0" w:firstLineChars="0"/>
        <w:jc w:val="center"/>
        <w:rPr>
          <w:rFonts w:ascii="Times New Roman" w:eastAsia="黑体"/>
          <w:kern w:val="2"/>
          <w:sz w:val="22"/>
        </w:rPr>
      </w:pPr>
      <w:r>
        <w:rPr>
          <w:rFonts w:ascii="Times New Roman" w:eastAsia="黑体"/>
          <w:kern w:val="2"/>
          <w:sz w:val="22"/>
        </w:rPr>
        <w:t>方法的</w:t>
      </w:r>
      <w:r>
        <w:rPr>
          <w:rFonts w:hint="eastAsia" w:ascii="Times New Roman" w:eastAsia="黑体"/>
          <w:kern w:val="2"/>
          <w:sz w:val="22"/>
        </w:rPr>
        <w:t>精密度和准确度</w:t>
      </w:r>
    </w:p>
    <w:p w14:paraId="3DCD5919">
      <w:pPr>
        <w:pStyle w:val="46"/>
        <w:ind w:firstLine="0" w:firstLineChars="0"/>
        <w:jc w:val="center"/>
        <w:rPr>
          <w:rFonts w:ascii="Times New Roman" w:eastAsia="黑体"/>
          <w:kern w:val="2"/>
          <w:sz w:val="22"/>
        </w:rPr>
      </w:pPr>
    </w:p>
    <w:p w14:paraId="7B9F0DB6">
      <w:pPr>
        <w:spacing w:line="360" w:lineRule="auto"/>
        <w:ind w:firstLine="420"/>
        <w:rPr>
          <w:rFonts w:ascii="黑体" w:hAnsi="黑体" w:eastAsia="黑体" w:cs="黑体"/>
          <w:color w:val="000000"/>
          <w:sz w:val="22"/>
          <w:szCs w:val="22"/>
        </w:rPr>
      </w:pPr>
      <w:r>
        <w:rPr>
          <w:rFonts w:hint="eastAsia" w:ascii="黑体" w:hAnsi="黑体" w:eastAsia="黑体" w:cs="黑体"/>
          <w:color w:val="000000"/>
          <w:sz w:val="22"/>
          <w:szCs w:val="22"/>
        </w:rPr>
        <w:t>精密度和准确度的结果见表D.1和表D.2。</w:t>
      </w:r>
    </w:p>
    <w:p w14:paraId="304546B3">
      <w:pPr>
        <w:pStyle w:val="46"/>
        <w:ind w:firstLine="0" w:firstLineChars="0"/>
        <w:jc w:val="center"/>
        <w:rPr>
          <w:rFonts w:ascii="Times New Roman" w:eastAsia="黑体"/>
          <w:kern w:val="2"/>
          <w:sz w:val="22"/>
        </w:rPr>
      </w:pPr>
      <w:r>
        <w:rPr>
          <w:rFonts w:eastAsia="黑体"/>
          <w:sz w:val="22"/>
        </w:rPr>
        <w:t xml:space="preserve">表 </w:t>
      </w:r>
      <w:r>
        <w:rPr>
          <w:rFonts w:hint="eastAsia" w:eastAsia="黑体"/>
          <w:sz w:val="22"/>
        </w:rPr>
        <w:t>D</w:t>
      </w:r>
      <w:r>
        <w:rPr>
          <w:sz w:val="22"/>
        </w:rPr>
        <w:t xml:space="preserve">.1 </w:t>
      </w:r>
      <w:r>
        <w:rPr>
          <w:rFonts w:eastAsia="黑体"/>
          <w:sz w:val="22"/>
        </w:rPr>
        <w:t>方法</w:t>
      </w:r>
      <w:r>
        <w:rPr>
          <w:rFonts w:hint="eastAsia" w:eastAsia="黑体"/>
          <w:sz w:val="22"/>
        </w:rPr>
        <w:t>的精密度和准确度</w:t>
      </w:r>
    </w:p>
    <w:tbl>
      <w:tblPr>
        <w:tblStyle w:val="32"/>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3626"/>
        <w:gridCol w:w="1593"/>
        <w:gridCol w:w="1308"/>
        <w:gridCol w:w="1742"/>
        <w:gridCol w:w="1291"/>
      </w:tblGrid>
      <w:tr w14:paraId="6D9DE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897" w:type="pct"/>
            <w:vMerge w:val="restart"/>
            <w:shd w:val="clear" w:color="auto" w:fill="FFFFFF"/>
            <w:vAlign w:val="center"/>
          </w:tcPr>
          <w:p w14:paraId="0499E033">
            <w:pPr>
              <w:jc w:val="center"/>
              <w:rPr>
                <w:sz w:val="18"/>
                <w:szCs w:val="18"/>
              </w:rPr>
            </w:pPr>
            <w:r>
              <w:rPr>
                <w:sz w:val="18"/>
                <w:szCs w:val="18"/>
              </w:rPr>
              <w:t>抗生素</w:t>
            </w:r>
          </w:p>
        </w:tc>
        <w:tc>
          <w:tcPr>
            <w:tcW w:w="1517" w:type="pct"/>
            <w:gridSpan w:val="2"/>
            <w:shd w:val="clear" w:color="auto" w:fill="FFFFFF"/>
            <w:vAlign w:val="center"/>
          </w:tcPr>
          <w:p w14:paraId="41CCC72C">
            <w:pPr>
              <w:jc w:val="center"/>
              <w:rPr>
                <w:sz w:val="18"/>
                <w:szCs w:val="18"/>
              </w:rPr>
            </w:pPr>
            <w:r>
              <w:rPr>
                <w:rFonts w:hint="eastAsia"/>
                <w:sz w:val="18"/>
                <w:szCs w:val="18"/>
              </w:rPr>
              <w:t>10 ng/L</w:t>
            </w:r>
          </w:p>
        </w:tc>
        <w:tc>
          <w:tcPr>
            <w:tcW w:w="1586" w:type="pct"/>
            <w:gridSpan w:val="2"/>
            <w:shd w:val="clear" w:color="auto" w:fill="FFFFFF"/>
            <w:vAlign w:val="center"/>
          </w:tcPr>
          <w:p w14:paraId="64D5D1F3">
            <w:pPr>
              <w:jc w:val="center"/>
              <w:rPr>
                <w:sz w:val="18"/>
                <w:szCs w:val="18"/>
              </w:rPr>
            </w:pPr>
            <w:r>
              <w:rPr>
                <w:rFonts w:hint="eastAsia"/>
                <w:sz w:val="18"/>
                <w:szCs w:val="18"/>
              </w:rPr>
              <w:t>100 ng/L</w:t>
            </w:r>
          </w:p>
        </w:tc>
      </w:tr>
      <w:tr w14:paraId="2D6F7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897" w:type="pct"/>
            <w:vMerge w:val="continue"/>
            <w:shd w:val="clear" w:color="auto" w:fill="FFFFFF"/>
            <w:vAlign w:val="center"/>
          </w:tcPr>
          <w:p w14:paraId="1FC86E3D">
            <w:pPr>
              <w:jc w:val="center"/>
              <w:rPr>
                <w:sz w:val="18"/>
                <w:szCs w:val="18"/>
              </w:rPr>
            </w:pPr>
          </w:p>
        </w:tc>
        <w:tc>
          <w:tcPr>
            <w:tcW w:w="833" w:type="pct"/>
            <w:shd w:val="clear" w:color="auto" w:fill="FFFFFF"/>
            <w:vAlign w:val="center"/>
          </w:tcPr>
          <w:p w14:paraId="00F47BDB">
            <w:pPr>
              <w:rPr>
                <w:sz w:val="18"/>
                <w:szCs w:val="18"/>
              </w:rPr>
            </w:pPr>
            <w:r>
              <w:rPr>
                <w:rFonts w:hint="eastAsia"/>
                <w:sz w:val="18"/>
                <w:szCs w:val="18"/>
              </w:rPr>
              <w:t>加标回收率（%）</w:t>
            </w:r>
          </w:p>
        </w:tc>
        <w:tc>
          <w:tcPr>
            <w:tcW w:w="684" w:type="pct"/>
            <w:shd w:val="clear" w:color="auto" w:fill="FFFFFF"/>
            <w:vAlign w:val="center"/>
          </w:tcPr>
          <w:p w14:paraId="352FA8EA">
            <w:pPr>
              <w:jc w:val="center"/>
              <w:rPr>
                <w:sz w:val="18"/>
                <w:szCs w:val="18"/>
              </w:rPr>
            </w:pPr>
            <w:r>
              <w:rPr>
                <w:rFonts w:hint="eastAsia"/>
                <w:sz w:val="18"/>
                <w:szCs w:val="18"/>
              </w:rPr>
              <w:t>相对标准偏差（%）</w:t>
            </w:r>
          </w:p>
        </w:tc>
        <w:tc>
          <w:tcPr>
            <w:tcW w:w="911" w:type="pct"/>
            <w:shd w:val="clear" w:color="auto" w:fill="FFFFFF"/>
            <w:vAlign w:val="center"/>
          </w:tcPr>
          <w:p w14:paraId="1C43AF38">
            <w:pPr>
              <w:rPr>
                <w:sz w:val="18"/>
                <w:szCs w:val="18"/>
              </w:rPr>
            </w:pPr>
            <w:r>
              <w:rPr>
                <w:rFonts w:hint="eastAsia"/>
                <w:sz w:val="18"/>
                <w:szCs w:val="18"/>
              </w:rPr>
              <w:t>加标回收率（%）</w:t>
            </w:r>
          </w:p>
        </w:tc>
        <w:tc>
          <w:tcPr>
            <w:tcW w:w="675" w:type="pct"/>
            <w:shd w:val="clear" w:color="auto" w:fill="FFFFFF"/>
            <w:vAlign w:val="center"/>
          </w:tcPr>
          <w:p w14:paraId="43D25714">
            <w:pPr>
              <w:jc w:val="center"/>
              <w:rPr>
                <w:sz w:val="18"/>
                <w:szCs w:val="18"/>
              </w:rPr>
            </w:pPr>
            <w:r>
              <w:rPr>
                <w:rFonts w:hint="eastAsia"/>
                <w:sz w:val="18"/>
                <w:szCs w:val="18"/>
              </w:rPr>
              <w:t>相对标准偏差（%）</w:t>
            </w:r>
          </w:p>
        </w:tc>
      </w:tr>
      <w:tr w14:paraId="2F647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897" w:type="pct"/>
            <w:shd w:val="clear" w:color="auto" w:fill="FFFFFF"/>
            <w:vAlign w:val="center"/>
          </w:tcPr>
          <w:p w14:paraId="303BCA3B">
            <w:pPr>
              <w:jc w:val="center"/>
              <w:rPr>
                <w:sz w:val="18"/>
                <w:szCs w:val="18"/>
              </w:rPr>
            </w:pPr>
            <w:r>
              <w:rPr>
                <w:rFonts w:hint="eastAsia"/>
                <w:sz w:val="18"/>
                <w:szCs w:val="18"/>
              </w:rPr>
              <w:t>磺胺醋酰</w:t>
            </w:r>
          </w:p>
        </w:tc>
        <w:tc>
          <w:tcPr>
            <w:tcW w:w="833" w:type="pct"/>
            <w:shd w:val="clear" w:color="auto" w:fill="FFFFFF"/>
            <w:vAlign w:val="center"/>
          </w:tcPr>
          <w:p w14:paraId="5A2C344D">
            <w:pPr>
              <w:jc w:val="center"/>
              <w:rPr>
                <w:sz w:val="18"/>
                <w:szCs w:val="18"/>
              </w:rPr>
            </w:pPr>
            <w:r>
              <w:rPr>
                <w:rFonts w:hint="eastAsia"/>
                <w:sz w:val="18"/>
                <w:szCs w:val="18"/>
              </w:rPr>
              <w:t>83.4</w:t>
            </w:r>
            <w:r>
              <w:rPr>
                <w:sz w:val="18"/>
                <w:szCs w:val="18"/>
              </w:rPr>
              <w:sym w:font="Symbol" w:char="F07E"/>
            </w:r>
            <w:r>
              <w:rPr>
                <w:rFonts w:hint="eastAsia"/>
                <w:sz w:val="18"/>
                <w:szCs w:val="18"/>
              </w:rPr>
              <w:t>90.1</w:t>
            </w:r>
          </w:p>
        </w:tc>
        <w:tc>
          <w:tcPr>
            <w:tcW w:w="684" w:type="pct"/>
            <w:shd w:val="clear" w:color="auto" w:fill="FFFFFF"/>
            <w:vAlign w:val="center"/>
          </w:tcPr>
          <w:p w14:paraId="78FA83A5">
            <w:pPr>
              <w:jc w:val="center"/>
              <w:rPr>
                <w:sz w:val="18"/>
                <w:szCs w:val="18"/>
              </w:rPr>
            </w:pPr>
            <w:r>
              <w:rPr>
                <w:rFonts w:hint="eastAsia"/>
                <w:sz w:val="18"/>
                <w:szCs w:val="18"/>
              </w:rPr>
              <w:t>3.8</w:t>
            </w:r>
          </w:p>
        </w:tc>
        <w:tc>
          <w:tcPr>
            <w:tcW w:w="911" w:type="pct"/>
            <w:shd w:val="clear" w:color="auto" w:fill="FFFFFF"/>
            <w:vAlign w:val="center"/>
          </w:tcPr>
          <w:p w14:paraId="202882A6">
            <w:pPr>
              <w:jc w:val="center"/>
              <w:rPr>
                <w:sz w:val="18"/>
                <w:szCs w:val="18"/>
              </w:rPr>
            </w:pPr>
            <w:r>
              <w:rPr>
                <w:rFonts w:hint="eastAsia"/>
                <w:sz w:val="18"/>
                <w:szCs w:val="18"/>
              </w:rPr>
              <w:t>101.1</w:t>
            </w:r>
            <w:r>
              <w:rPr>
                <w:sz w:val="18"/>
                <w:szCs w:val="18"/>
              </w:rPr>
              <w:sym w:font="Symbol" w:char="F07E"/>
            </w:r>
            <w:r>
              <w:rPr>
                <w:rFonts w:hint="eastAsia"/>
                <w:sz w:val="18"/>
                <w:szCs w:val="18"/>
              </w:rPr>
              <w:t>108.6</w:t>
            </w:r>
          </w:p>
        </w:tc>
        <w:tc>
          <w:tcPr>
            <w:tcW w:w="675" w:type="pct"/>
            <w:shd w:val="clear" w:color="auto" w:fill="FFFFFF"/>
            <w:vAlign w:val="center"/>
          </w:tcPr>
          <w:p w14:paraId="5FA3A768">
            <w:pPr>
              <w:jc w:val="center"/>
              <w:rPr>
                <w:sz w:val="18"/>
                <w:szCs w:val="18"/>
              </w:rPr>
            </w:pPr>
            <w:r>
              <w:rPr>
                <w:rFonts w:hint="eastAsia"/>
                <w:sz w:val="18"/>
                <w:szCs w:val="18"/>
              </w:rPr>
              <w:t>3.6</w:t>
            </w:r>
          </w:p>
        </w:tc>
      </w:tr>
      <w:tr w14:paraId="0A79E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897" w:type="pct"/>
            <w:shd w:val="clear" w:color="auto" w:fill="FFFFFF"/>
            <w:vAlign w:val="center"/>
          </w:tcPr>
          <w:p w14:paraId="1D82C3E3">
            <w:pPr>
              <w:jc w:val="center"/>
              <w:rPr>
                <w:sz w:val="18"/>
                <w:szCs w:val="18"/>
              </w:rPr>
            </w:pPr>
            <w:r>
              <w:rPr>
                <w:rFonts w:hint="eastAsia"/>
                <w:sz w:val="18"/>
                <w:szCs w:val="18"/>
              </w:rPr>
              <w:t>磺胺嘧啶</w:t>
            </w:r>
          </w:p>
        </w:tc>
        <w:tc>
          <w:tcPr>
            <w:tcW w:w="833" w:type="pct"/>
            <w:shd w:val="clear" w:color="auto" w:fill="FFFFFF"/>
            <w:vAlign w:val="center"/>
          </w:tcPr>
          <w:p w14:paraId="430D3B7B">
            <w:pPr>
              <w:jc w:val="center"/>
              <w:rPr>
                <w:sz w:val="18"/>
                <w:szCs w:val="18"/>
              </w:rPr>
            </w:pPr>
            <w:r>
              <w:rPr>
                <w:rFonts w:hint="eastAsia"/>
                <w:sz w:val="18"/>
                <w:szCs w:val="18"/>
              </w:rPr>
              <w:t>83.9</w:t>
            </w:r>
            <w:r>
              <w:rPr>
                <w:sz w:val="18"/>
                <w:szCs w:val="18"/>
              </w:rPr>
              <w:sym w:font="Symbol" w:char="F07E"/>
            </w:r>
            <w:r>
              <w:rPr>
                <w:rFonts w:hint="eastAsia"/>
                <w:sz w:val="18"/>
                <w:szCs w:val="18"/>
              </w:rPr>
              <w:t>102.4</w:t>
            </w:r>
          </w:p>
        </w:tc>
        <w:tc>
          <w:tcPr>
            <w:tcW w:w="684" w:type="pct"/>
            <w:shd w:val="clear" w:color="auto" w:fill="FFFFFF"/>
            <w:vAlign w:val="center"/>
          </w:tcPr>
          <w:p w14:paraId="3E8B2ABC">
            <w:pPr>
              <w:jc w:val="center"/>
              <w:rPr>
                <w:sz w:val="18"/>
                <w:szCs w:val="18"/>
              </w:rPr>
            </w:pPr>
            <w:r>
              <w:rPr>
                <w:rFonts w:hint="eastAsia"/>
                <w:sz w:val="18"/>
                <w:szCs w:val="18"/>
              </w:rPr>
              <w:t>9.9</w:t>
            </w:r>
          </w:p>
        </w:tc>
        <w:tc>
          <w:tcPr>
            <w:tcW w:w="911" w:type="pct"/>
            <w:shd w:val="clear" w:color="auto" w:fill="FFFFFF"/>
            <w:vAlign w:val="center"/>
          </w:tcPr>
          <w:p w14:paraId="7725B8D9">
            <w:pPr>
              <w:jc w:val="center"/>
              <w:rPr>
                <w:sz w:val="18"/>
                <w:szCs w:val="18"/>
              </w:rPr>
            </w:pPr>
            <w:r>
              <w:rPr>
                <w:rFonts w:hint="eastAsia"/>
                <w:sz w:val="18"/>
                <w:szCs w:val="18"/>
              </w:rPr>
              <w:t>91.8</w:t>
            </w:r>
            <w:r>
              <w:rPr>
                <w:sz w:val="18"/>
                <w:szCs w:val="18"/>
              </w:rPr>
              <w:sym w:font="Symbol" w:char="F07E"/>
            </w:r>
            <w:r>
              <w:rPr>
                <w:rFonts w:hint="eastAsia"/>
                <w:sz w:val="18"/>
                <w:szCs w:val="18"/>
              </w:rPr>
              <w:t>104.3</w:t>
            </w:r>
          </w:p>
        </w:tc>
        <w:tc>
          <w:tcPr>
            <w:tcW w:w="675" w:type="pct"/>
            <w:shd w:val="clear" w:color="auto" w:fill="FFFFFF"/>
            <w:vAlign w:val="center"/>
          </w:tcPr>
          <w:p w14:paraId="08E11A54">
            <w:pPr>
              <w:jc w:val="center"/>
              <w:rPr>
                <w:sz w:val="18"/>
                <w:szCs w:val="18"/>
              </w:rPr>
            </w:pPr>
            <w:r>
              <w:rPr>
                <w:rFonts w:hint="eastAsia"/>
                <w:sz w:val="18"/>
                <w:szCs w:val="18"/>
              </w:rPr>
              <w:t>6.4</w:t>
            </w:r>
          </w:p>
        </w:tc>
      </w:tr>
      <w:tr w14:paraId="23436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897" w:type="pct"/>
            <w:shd w:val="clear" w:color="auto" w:fill="FFFFFF"/>
            <w:vAlign w:val="center"/>
          </w:tcPr>
          <w:p w14:paraId="62559FD7">
            <w:pPr>
              <w:jc w:val="center"/>
              <w:rPr>
                <w:sz w:val="18"/>
                <w:szCs w:val="18"/>
              </w:rPr>
            </w:pPr>
            <w:r>
              <w:rPr>
                <w:rFonts w:hint="eastAsia"/>
                <w:sz w:val="18"/>
                <w:szCs w:val="18"/>
              </w:rPr>
              <w:t>磺胺噻唑</w:t>
            </w:r>
          </w:p>
        </w:tc>
        <w:tc>
          <w:tcPr>
            <w:tcW w:w="833" w:type="pct"/>
            <w:shd w:val="clear" w:color="auto" w:fill="FFFFFF"/>
            <w:vAlign w:val="center"/>
          </w:tcPr>
          <w:p w14:paraId="14838064">
            <w:pPr>
              <w:jc w:val="center"/>
              <w:rPr>
                <w:sz w:val="18"/>
                <w:szCs w:val="18"/>
              </w:rPr>
            </w:pPr>
            <w:r>
              <w:rPr>
                <w:rFonts w:hint="eastAsia"/>
                <w:sz w:val="18"/>
                <w:szCs w:val="18"/>
              </w:rPr>
              <w:t>61.1</w:t>
            </w:r>
            <w:r>
              <w:rPr>
                <w:sz w:val="18"/>
                <w:szCs w:val="18"/>
              </w:rPr>
              <w:sym w:font="Symbol" w:char="F07E"/>
            </w:r>
            <w:r>
              <w:rPr>
                <w:rFonts w:hint="eastAsia"/>
                <w:sz w:val="18"/>
                <w:szCs w:val="18"/>
              </w:rPr>
              <w:t>76.1</w:t>
            </w:r>
          </w:p>
        </w:tc>
        <w:tc>
          <w:tcPr>
            <w:tcW w:w="684" w:type="pct"/>
            <w:shd w:val="clear" w:color="auto" w:fill="FFFFFF"/>
            <w:vAlign w:val="center"/>
          </w:tcPr>
          <w:p w14:paraId="10F1F2C9">
            <w:pPr>
              <w:jc w:val="center"/>
              <w:rPr>
                <w:sz w:val="18"/>
                <w:szCs w:val="18"/>
              </w:rPr>
            </w:pPr>
            <w:r>
              <w:rPr>
                <w:rFonts w:hint="eastAsia"/>
                <w:sz w:val="18"/>
                <w:szCs w:val="18"/>
              </w:rPr>
              <w:t>10.9</w:t>
            </w:r>
          </w:p>
        </w:tc>
        <w:tc>
          <w:tcPr>
            <w:tcW w:w="911" w:type="pct"/>
            <w:shd w:val="clear" w:color="auto" w:fill="FFFFFF"/>
            <w:vAlign w:val="center"/>
          </w:tcPr>
          <w:p w14:paraId="18CECD77">
            <w:pPr>
              <w:jc w:val="center"/>
              <w:rPr>
                <w:sz w:val="18"/>
                <w:szCs w:val="18"/>
              </w:rPr>
            </w:pPr>
            <w:r>
              <w:rPr>
                <w:rFonts w:hint="eastAsia"/>
                <w:sz w:val="18"/>
                <w:szCs w:val="18"/>
              </w:rPr>
              <w:t>79.6</w:t>
            </w:r>
            <w:r>
              <w:rPr>
                <w:sz w:val="18"/>
                <w:szCs w:val="18"/>
              </w:rPr>
              <w:sym w:font="Symbol" w:char="F07E"/>
            </w:r>
            <w:r>
              <w:rPr>
                <w:rFonts w:hint="eastAsia"/>
                <w:sz w:val="18"/>
                <w:szCs w:val="18"/>
              </w:rPr>
              <w:t>81.2</w:t>
            </w:r>
          </w:p>
        </w:tc>
        <w:tc>
          <w:tcPr>
            <w:tcW w:w="675" w:type="pct"/>
            <w:shd w:val="clear" w:color="auto" w:fill="FFFFFF"/>
            <w:vAlign w:val="center"/>
          </w:tcPr>
          <w:p w14:paraId="6D43FB2A">
            <w:pPr>
              <w:jc w:val="center"/>
              <w:rPr>
                <w:sz w:val="18"/>
                <w:szCs w:val="18"/>
              </w:rPr>
            </w:pPr>
            <w:r>
              <w:rPr>
                <w:rFonts w:hint="eastAsia"/>
                <w:sz w:val="18"/>
                <w:szCs w:val="18"/>
              </w:rPr>
              <w:t>1.1</w:t>
            </w:r>
          </w:p>
        </w:tc>
      </w:tr>
      <w:tr w14:paraId="29A6B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897" w:type="pct"/>
            <w:shd w:val="clear" w:color="auto" w:fill="FFFFFF"/>
            <w:vAlign w:val="center"/>
          </w:tcPr>
          <w:p w14:paraId="57F5C36D">
            <w:pPr>
              <w:jc w:val="center"/>
              <w:rPr>
                <w:sz w:val="18"/>
                <w:szCs w:val="18"/>
              </w:rPr>
            </w:pPr>
            <w:r>
              <w:rPr>
                <w:rFonts w:hint="eastAsia"/>
                <w:sz w:val="18"/>
                <w:szCs w:val="18"/>
              </w:rPr>
              <w:t>磺胺吡啶</w:t>
            </w:r>
          </w:p>
        </w:tc>
        <w:tc>
          <w:tcPr>
            <w:tcW w:w="833" w:type="pct"/>
            <w:shd w:val="clear" w:color="auto" w:fill="FFFFFF"/>
            <w:vAlign w:val="center"/>
          </w:tcPr>
          <w:p w14:paraId="44C74581">
            <w:pPr>
              <w:jc w:val="center"/>
              <w:rPr>
                <w:sz w:val="18"/>
                <w:szCs w:val="18"/>
              </w:rPr>
            </w:pPr>
            <w:r>
              <w:rPr>
                <w:rFonts w:hint="eastAsia"/>
                <w:sz w:val="18"/>
                <w:szCs w:val="18"/>
              </w:rPr>
              <w:t>78.3</w:t>
            </w:r>
            <w:r>
              <w:rPr>
                <w:sz w:val="18"/>
                <w:szCs w:val="18"/>
              </w:rPr>
              <w:sym w:font="Symbol" w:char="F07E"/>
            </w:r>
            <w:r>
              <w:rPr>
                <w:rFonts w:hint="eastAsia"/>
                <w:sz w:val="18"/>
                <w:szCs w:val="18"/>
              </w:rPr>
              <w:t>88.0</w:t>
            </w:r>
          </w:p>
        </w:tc>
        <w:tc>
          <w:tcPr>
            <w:tcW w:w="684" w:type="pct"/>
            <w:shd w:val="clear" w:color="auto" w:fill="FFFFFF"/>
            <w:vAlign w:val="center"/>
          </w:tcPr>
          <w:p w14:paraId="7B0C8016">
            <w:pPr>
              <w:jc w:val="center"/>
              <w:rPr>
                <w:sz w:val="18"/>
                <w:szCs w:val="18"/>
              </w:rPr>
            </w:pPr>
            <w:r>
              <w:rPr>
                <w:rFonts w:hint="eastAsia"/>
                <w:sz w:val="18"/>
                <w:szCs w:val="18"/>
              </w:rPr>
              <w:t>5.9</w:t>
            </w:r>
          </w:p>
        </w:tc>
        <w:tc>
          <w:tcPr>
            <w:tcW w:w="911" w:type="pct"/>
            <w:shd w:val="clear" w:color="auto" w:fill="FFFFFF"/>
            <w:vAlign w:val="center"/>
          </w:tcPr>
          <w:p w14:paraId="4C8924CF">
            <w:pPr>
              <w:jc w:val="center"/>
              <w:rPr>
                <w:sz w:val="18"/>
                <w:szCs w:val="18"/>
              </w:rPr>
            </w:pPr>
            <w:r>
              <w:rPr>
                <w:rFonts w:hint="eastAsia"/>
                <w:sz w:val="18"/>
                <w:szCs w:val="18"/>
              </w:rPr>
              <w:t>94.7</w:t>
            </w:r>
            <w:r>
              <w:rPr>
                <w:sz w:val="18"/>
                <w:szCs w:val="18"/>
              </w:rPr>
              <w:sym w:font="Symbol" w:char="F07E"/>
            </w:r>
            <w:r>
              <w:rPr>
                <w:rFonts w:hint="eastAsia"/>
                <w:sz w:val="18"/>
                <w:szCs w:val="18"/>
              </w:rPr>
              <w:t>108.0</w:t>
            </w:r>
          </w:p>
        </w:tc>
        <w:tc>
          <w:tcPr>
            <w:tcW w:w="675" w:type="pct"/>
            <w:shd w:val="clear" w:color="auto" w:fill="FFFFFF"/>
            <w:vAlign w:val="center"/>
          </w:tcPr>
          <w:p w14:paraId="480C201A">
            <w:pPr>
              <w:jc w:val="center"/>
              <w:rPr>
                <w:sz w:val="18"/>
                <w:szCs w:val="18"/>
              </w:rPr>
            </w:pPr>
            <w:r>
              <w:rPr>
                <w:rFonts w:hint="eastAsia"/>
                <w:sz w:val="18"/>
                <w:szCs w:val="18"/>
              </w:rPr>
              <w:t>7.0</w:t>
            </w:r>
          </w:p>
        </w:tc>
      </w:tr>
      <w:tr w14:paraId="03CC0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897" w:type="pct"/>
            <w:shd w:val="clear" w:color="auto" w:fill="FFFFFF"/>
            <w:vAlign w:val="center"/>
          </w:tcPr>
          <w:p w14:paraId="18E66F94">
            <w:pPr>
              <w:jc w:val="center"/>
              <w:rPr>
                <w:sz w:val="18"/>
                <w:szCs w:val="18"/>
              </w:rPr>
            </w:pPr>
            <w:r>
              <w:rPr>
                <w:rFonts w:hint="eastAsia"/>
                <w:sz w:val="18"/>
                <w:szCs w:val="18"/>
              </w:rPr>
              <w:t>磺胺甲嘧啶</w:t>
            </w:r>
          </w:p>
        </w:tc>
        <w:tc>
          <w:tcPr>
            <w:tcW w:w="833" w:type="pct"/>
            <w:shd w:val="clear" w:color="auto" w:fill="FFFFFF"/>
            <w:vAlign w:val="center"/>
          </w:tcPr>
          <w:p w14:paraId="749E9D4C">
            <w:pPr>
              <w:jc w:val="center"/>
              <w:rPr>
                <w:sz w:val="18"/>
                <w:szCs w:val="18"/>
              </w:rPr>
            </w:pPr>
            <w:r>
              <w:rPr>
                <w:rFonts w:hint="eastAsia"/>
                <w:sz w:val="18"/>
                <w:szCs w:val="18"/>
              </w:rPr>
              <w:t>72.3</w:t>
            </w:r>
            <w:r>
              <w:rPr>
                <w:sz w:val="18"/>
                <w:szCs w:val="18"/>
              </w:rPr>
              <w:sym w:font="Symbol" w:char="F07E"/>
            </w:r>
            <w:r>
              <w:rPr>
                <w:rFonts w:hint="eastAsia"/>
                <w:sz w:val="18"/>
                <w:szCs w:val="18"/>
              </w:rPr>
              <w:t>98.5</w:t>
            </w:r>
          </w:p>
        </w:tc>
        <w:tc>
          <w:tcPr>
            <w:tcW w:w="684" w:type="pct"/>
            <w:shd w:val="clear" w:color="auto" w:fill="FFFFFF"/>
            <w:vAlign w:val="center"/>
          </w:tcPr>
          <w:p w14:paraId="0AD54A12">
            <w:pPr>
              <w:jc w:val="center"/>
              <w:rPr>
                <w:sz w:val="18"/>
                <w:szCs w:val="18"/>
              </w:rPr>
            </w:pPr>
            <w:r>
              <w:rPr>
                <w:rFonts w:hint="eastAsia"/>
                <w:sz w:val="18"/>
                <w:szCs w:val="18"/>
              </w:rPr>
              <w:t>12.5</w:t>
            </w:r>
          </w:p>
        </w:tc>
        <w:tc>
          <w:tcPr>
            <w:tcW w:w="911" w:type="pct"/>
            <w:shd w:val="clear" w:color="auto" w:fill="FFFFFF"/>
            <w:vAlign w:val="center"/>
          </w:tcPr>
          <w:p w14:paraId="567D8EFA">
            <w:pPr>
              <w:jc w:val="center"/>
              <w:rPr>
                <w:sz w:val="18"/>
                <w:szCs w:val="18"/>
              </w:rPr>
            </w:pPr>
            <w:r>
              <w:rPr>
                <w:rFonts w:hint="eastAsia"/>
                <w:sz w:val="18"/>
                <w:szCs w:val="18"/>
              </w:rPr>
              <w:t>82.1</w:t>
            </w:r>
            <w:r>
              <w:rPr>
                <w:sz w:val="18"/>
                <w:szCs w:val="18"/>
              </w:rPr>
              <w:sym w:font="Symbol" w:char="F07E"/>
            </w:r>
            <w:r>
              <w:rPr>
                <w:rFonts w:hint="eastAsia"/>
                <w:sz w:val="18"/>
                <w:szCs w:val="18"/>
              </w:rPr>
              <w:t>91.3</w:t>
            </w:r>
          </w:p>
        </w:tc>
        <w:tc>
          <w:tcPr>
            <w:tcW w:w="675" w:type="pct"/>
            <w:shd w:val="clear" w:color="auto" w:fill="FFFFFF"/>
            <w:vAlign w:val="center"/>
          </w:tcPr>
          <w:p w14:paraId="00344309">
            <w:pPr>
              <w:jc w:val="center"/>
              <w:rPr>
                <w:sz w:val="18"/>
                <w:szCs w:val="18"/>
              </w:rPr>
            </w:pPr>
            <w:r>
              <w:rPr>
                <w:rFonts w:hint="eastAsia"/>
                <w:sz w:val="18"/>
                <w:szCs w:val="18"/>
              </w:rPr>
              <w:t>5.3</w:t>
            </w:r>
          </w:p>
        </w:tc>
      </w:tr>
      <w:tr w14:paraId="54F8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897" w:type="pct"/>
            <w:shd w:val="clear" w:color="auto" w:fill="FFFFFF"/>
            <w:vAlign w:val="center"/>
          </w:tcPr>
          <w:p w14:paraId="35AA88D5">
            <w:pPr>
              <w:jc w:val="center"/>
              <w:rPr>
                <w:sz w:val="18"/>
                <w:szCs w:val="18"/>
              </w:rPr>
            </w:pPr>
            <w:r>
              <w:rPr>
                <w:rFonts w:hint="eastAsia"/>
                <w:sz w:val="18"/>
                <w:szCs w:val="18"/>
              </w:rPr>
              <w:t>磺胺甲二唑</w:t>
            </w:r>
          </w:p>
        </w:tc>
        <w:tc>
          <w:tcPr>
            <w:tcW w:w="833" w:type="pct"/>
            <w:shd w:val="clear" w:color="auto" w:fill="FFFFFF"/>
            <w:vAlign w:val="center"/>
          </w:tcPr>
          <w:p w14:paraId="0BC46EAB">
            <w:pPr>
              <w:jc w:val="center"/>
              <w:rPr>
                <w:sz w:val="18"/>
                <w:szCs w:val="18"/>
              </w:rPr>
            </w:pPr>
            <w:r>
              <w:rPr>
                <w:rFonts w:hint="eastAsia"/>
                <w:sz w:val="18"/>
                <w:szCs w:val="18"/>
              </w:rPr>
              <w:t>96.8</w:t>
            </w:r>
            <w:r>
              <w:rPr>
                <w:sz w:val="18"/>
                <w:szCs w:val="18"/>
              </w:rPr>
              <w:sym w:font="Symbol" w:char="F07E"/>
            </w:r>
            <w:r>
              <w:rPr>
                <w:rFonts w:hint="eastAsia"/>
                <w:sz w:val="18"/>
                <w:szCs w:val="18"/>
              </w:rPr>
              <w:t>123.8</w:t>
            </w:r>
          </w:p>
        </w:tc>
        <w:tc>
          <w:tcPr>
            <w:tcW w:w="684" w:type="pct"/>
            <w:shd w:val="clear" w:color="auto" w:fill="FFFFFF"/>
            <w:vAlign w:val="center"/>
          </w:tcPr>
          <w:p w14:paraId="2A3E582B">
            <w:pPr>
              <w:jc w:val="center"/>
              <w:rPr>
                <w:sz w:val="18"/>
                <w:szCs w:val="18"/>
              </w:rPr>
            </w:pPr>
            <w:r>
              <w:rPr>
                <w:rFonts w:hint="eastAsia"/>
                <w:sz w:val="18"/>
                <w:szCs w:val="18"/>
              </w:rPr>
              <w:t>12.2</w:t>
            </w:r>
          </w:p>
        </w:tc>
        <w:tc>
          <w:tcPr>
            <w:tcW w:w="911" w:type="pct"/>
            <w:shd w:val="clear" w:color="auto" w:fill="FFFFFF"/>
            <w:vAlign w:val="center"/>
          </w:tcPr>
          <w:p w14:paraId="59A02A19">
            <w:pPr>
              <w:jc w:val="center"/>
              <w:rPr>
                <w:sz w:val="18"/>
                <w:szCs w:val="18"/>
              </w:rPr>
            </w:pPr>
            <w:r>
              <w:rPr>
                <w:rFonts w:hint="eastAsia"/>
                <w:sz w:val="18"/>
                <w:szCs w:val="18"/>
              </w:rPr>
              <w:t>91.9</w:t>
            </w:r>
            <w:r>
              <w:rPr>
                <w:sz w:val="18"/>
                <w:szCs w:val="18"/>
              </w:rPr>
              <w:sym w:font="Symbol" w:char="F07E"/>
            </w:r>
            <w:r>
              <w:rPr>
                <w:rFonts w:hint="eastAsia"/>
                <w:sz w:val="18"/>
                <w:szCs w:val="18"/>
              </w:rPr>
              <w:t>96.7</w:t>
            </w:r>
          </w:p>
        </w:tc>
        <w:tc>
          <w:tcPr>
            <w:tcW w:w="675" w:type="pct"/>
            <w:shd w:val="clear" w:color="auto" w:fill="FFFFFF"/>
            <w:vAlign w:val="center"/>
          </w:tcPr>
          <w:p w14:paraId="50D4D36E">
            <w:pPr>
              <w:jc w:val="center"/>
              <w:rPr>
                <w:sz w:val="18"/>
                <w:szCs w:val="18"/>
              </w:rPr>
            </w:pPr>
            <w:r>
              <w:rPr>
                <w:rFonts w:hint="eastAsia"/>
                <w:sz w:val="18"/>
                <w:szCs w:val="18"/>
              </w:rPr>
              <w:t>2.8</w:t>
            </w:r>
          </w:p>
        </w:tc>
      </w:tr>
      <w:tr w14:paraId="4646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897" w:type="pct"/>
            <w:shd w:val="clear" w:color="auto" w:fill="FFFFFF"/>
            <w:vAlign w:val="center"/>
          </w:tcPr>
          <w:p w14:paraId="3335F9EA">
            <w:pPr>
              <w:jc w:val="center"/>
              <w:rPr>
                <w:sz w:val="18"/>
                <w:szCs w:val="18"/>
              </w:rPr>
            </w:pPr>
            <w:r>
              <w:rPr>
                <w:rFonts w:hint="eastAsia"/>
                <w:sz w:val="18"/>
                <w:szCs w:val="18"/>
              </w:rPr>
              <w:t>甲氧苄啶</w:t>
            </w:r>
          </w:p>
        </w:tc>
        <w:tc>
          <w:tcPr>
            <w:tcW w:w="833" w:type="pct"/>
            <w:shd w:val="clear" w:color="auto" w:fill="FFFFFF"/>
            <w:vAlign w:val="center"/>
          </w:tcPr>
          <w:p w14:paraId="10253609">
            <w:pPr>
              <w:jc w:val="center"/>
              <w:rPr>
                <w:sz w:val="18"/>
                <w:szCs w:val="18"/>
              </w:rPr>
            </w:pPr>
            <w:r>
              <w:rPr>
                <w:rFonts w:hint="eastAsia"/>
                <w:sz w:val="18"/>
                <w:szCs w:val="18"/>
              </w:rPr>
              <w:t>84.5</w:t>
            </w:r>
            <w:r>
              <w:rPr>
                <w:sz w:val="18"/>
                <w:szCs w:val="18"/>
              </w:rPr>
              <w:sym w:font="Symbol" w:char="F07E"/>
            </w:r>
            <w:r>
              <w:rPr>
                <w:rFonts w:hint="eastAsia"/>
                <w:sz w:val="18"/>
                <w:szCs w:val="18"/>
              </w:rPr>
              <w:t>108.4</w:t>
            </w:r>
          </w:p>
        </w:tc>
        <w:tc>
          <w:tcPr>
            <w:tcW w:w="684" w:type="pct"/>
            <w:shd w:val="clear" w:color="auto" w:fill="FFFFFF"/>
            <w:vAlign w:val="center"/>
          </w:tcPr>
          <w:p w14:paraId="3C64F667">
            <w:pPr>
              <w:jc w:val="center"/>
              <w:rPr>
                <w:sz w:val="18"/>
                <w:szCs w:val="18"/>
              </w:rPr>
            </w:pPr>
            <w:r>
              <w:rPr>
                <w:rFonts w:hint="eastAsia"/>
                <w:sz w:val="18"/>
                <w:szCs w:val="18"/>
              </w:rPr>
              <w:t>12.4</w:t>
            </w:r>
          </w:p>
        </w:tc>
        <w:tc>
          <w:tcPr>
            <w:tcW w:w="911" w:type="pct"/>
            <w:shd w:val="clear" w:color="auto" w:fill="FFFFFF"/>
            <w:vAlign w:val="center"/>
          </w:tcPr>
          <w:p w14:paraId="4D514E24">
            <w:pPr>
              <w:jc w:val="center"/>
              <w:rPr>
                <w:sz w:val="18"/>
                <w:szCs w:val="18"/>
              </w:rPr>
            </w:pPr>
            <w:r>
              <w:rPr>
                <w:rFonts w:hint="eastAsia"/>
                <w:sz w:val="18"/>
                <w:szCs w:val="18"/>
              </w:rPr>
              <w:t>110.4</w:t>
            </w:r>
            <w:r>
              <w:rPr>
                <w:sz w:val="18"/>
                <w:szCs w:val="18"/>
              </w:rPr>
              <w:sym w:font="Symbol" w:char="F07E"/>
            </w:r>
            <w:r>
              <w:rPr>
                <w:rFonts w:hint="eastAsia"/>
                <w:sz w:val="18"/>
                <w:szCs w:val="18"/>
              </w:rPr>
              <w:t>118.4</w:t>
            </w:r>
          </w:p>
        </w:tc>
        <w:tc>
          <w:tcPr>
            <w:tcW w:w="675" w:type="pct"/>
            <w:shd w:val="clear" w:color="auto" w:fill="FFFFFF"/>
            <w:vAlign w:val="center"/>
          </w:tcPr>
          <w:p w14:paraId="4C557E57">
            <w:pPr>
              <w:jc w:val="center"/>
              <w:rPr>
                <w:sz w:val="18"/>
                <w:szCs w:val="18"/>
              </w:rPr>
            </w:pPr>
            <w:r>
              <w:rPr>
                <w:rFonts w:hint="eastAsia"/>
                <w:sz w:val="18"/>
                <w:szCs w:val="18"/>
              </w:rPr>
              <w:t>3.7</w:t>
            </w:r>
          </w:p>
        </w:tc>
      </w:tr>
      <w:tr w14:paraId="69CDE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897" w:type="pct"/>
            <w:shd w:val="clear" w:color="auto" w:fill="FFFFFF"/>
            <w:vAlign w:val="center"/>
          </w:tcPr>
          <w:p w14:paraId="304C6BDC">
            <w:pPr>
              <w:jc w:val="center"/>
              <w:rPr>
                <w:sz w:val="18"/>
                <w:szCs w:val="18"/>
              </w:rPr>
            </w:pPr>
            <w:r>
              <w:rPr>
                <w:rFonts w:hint="eastAsia"/>
                <w:sz w:val="18"/>
                <w:szCs w:val="18"/>
              </w:rPr>
              <w:t>磺胺二甲嘧啶</w:t>
            </w:r>
          </w:p>
        </w:tc>
        <w:tc>
          <w:tcPr>
            <w:tcW w:w="833" w:type="pct"/>
            <w:shd w:val="clear" w:color="auto" w:fill="FFFFFF"/>
            <w:vAlign w:val="center"/>
          </w:tcPr>
          <w:p w14:paraId="2240FADD">
            <w:pPr>
              <w:jc w:val="center"/>
              <w:rPr>
                <w:sz w:val="18"/>
                <w:szCs w:val="18"/>
              </w:rPr>
            </w:pPr>
            <w:r>
              <w:rPr>
                <w:rFonts w:hint="eastAsia"/>
                <w:sz w:val="18"/>
                <w:szCs w:val="18"/>
              </w:rPr>
              <w:t>99.1</w:t>
            </w:r>
            <w:r>
              <w:rPr>
                <w:sz w:val="18"/>
                <w:szCs w:val="18"/>
              </w:rPr>
              <w:sym w:font="Symbol" w:char="F07E"/>
            </w:r>
            <w:r>
              <w:rPr>
                <w:rFonts w:hint="eastAsia"/>
                <w:sz w:val="18"/>
                <w:szCs w:val="18"/>
              </w:rPr>
              <w:t>118.2</w:t>
            </w:r>
          </w:p>
        </w:tc>
        <w:tc>
          <w:tcPr>
            <w:tcW w:w="684" w:type="pct"/>
            <w:shd w:val="clear" w:color="auto" w:fill="FFFFFF"/>
            <w:vAlign w:val="center"/>
          </w:tcPr>
          <w:p w14:paraId="2C26C993">
            <w:pPr>
              <w:jc w:val="center"/>
              <w:rPr>
                <w:sz w:val="18"/>
                <w:szCs w:val="18"/>
              </w:rPr>
            </w:pPr>
            <w:r>
              <w:rPr>
                <w:rFonts w:hint="eastAsia"/>
                <w:sz w:val="18"/>
                <w:szCs w:val="18"/>
              </w:rPr>
              <w:t>9.3</w:t>
            </w:r>
          </w:p>
        </w:tc>
        <w:tc>
          <w:tcPr>
            <w:tcW w:w="911" w:type="pct"/>
            <w:shd w:val="clear" w:color="auto" w:fill="FFFFFF"/>
            <w:vAlign w:val="center"/>
          </w:tcPr>
          <w:p w14:paraId="4039A14D">
            <w:pPr>
              <w:jc w:val="center"/>
              <w:rPr>
                <w:sz w:val="18"/>
                <w:szCs w:val="18"/>
              </w:rPr>
            </w:pPr>
            <w:r>
              <w:rPr>
                <w:rFonts w:hint="eastAsia"/>
                <w:sz w:val="18"/>
                <w:szCs w:val="18"/>
              </w:rPr>
              <w:t>100.7</w:t>
            </w:r>
            <w:r>
              <w:rPr>
                <w:sz w:val="18"/>
                <w:szCs w:val="18"/>
              </w:rPr>
              <w:sym w:font="Symbol" w:char="F07E"/>
            </w:r>
            <w:r>
              <w:rPr>
                <w:rFonts w:hint="eastAsia"/>
                <w:sz w:val="18"/>
                <w:szCs w:val="18"/>
              </w:rPr>
              <w:t>120.2</w:t>
            </w:r>
          </w:p>
        </w:tc>
        <w:tc>
          <w:tcPr>
            <w:tcW w:w="675" w:type="pct"/>
            <w:shd w:val="clear" w:color="auto" w:fill="FFFFFF"/>
            <w:vAlign w:val="center"/>
          </w:tcPr>
          <w:p w14:paraId="3E06F156">
            <w:pPr>
              <w:jc w:val="center"/>
              <w:rPr>
                <w:sz w:val="18"/>
                <w:szCs w:val="18"/>
              </w:rPr>
            </w:pPr>
            <w:r>
              <w:rPr>
                <w:rFonts w:hint="eastAsia"/>
                <w:sz w:val="18"/>
                <w:szCs w:val="18"/>
              </w:rPr>
              <w:t>8.9</w:t>
            </w:r>
          </w:p>
        </w:tc>
      </w:tr>
      <w:tr w14:paraId="017F0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897" w:type="pct"/>
            <w:shd w:val="clear" w:color="auto" w:fill="FFFFFF"/>
            <w:vAlign w:val="center"/>
          </w:tcPr>
          <w:p w14:paraId="6E127086">
            <w:pPr>
              <w:jc w:val="center"/>
              <w:rPr>
                <w:sz w:val="18"/>
                <w:szCs w:val="18"/>
              </w:rPr>
            </w:pPr>
            <w:r>
              <w:rPr>
                <w:rFonts w:hint="eastAsia"/>
                <w:sz w:val="18"/>
                <w:szCs w:val="18"/>
              </w:rPr>
              <w:t>磺胺甲氧哒嗪</w:t>
            </w:r>
          </w:p>
        </w:tc>
        <w:tc>
          <w:tcPr>
            <w:tcW w:w="833" w:type="pct"/>
            <w:shd w:val="clear" w:color="auto" w:fill="FFFFFF"/>
            <w:vAlign w:val="center"/>
          </w:tcPr>
          <w:p w14:paraId="4141B12A">
            <w:pPr>
              <w:jc w:val="center"/>
              <w:rPr>
                <w:sz w:val="18"/>
                <w:szCs w:val="18"/>
              </w:rPr>
            </w:pPr>
            <w:r>
              <w:rPr>
                <w:rFonts w:hint="eastAsia"/>
                <w:sz w:val="18"/>
                <w:szCs w:val="18"/>
                <w:lang w:val="en-US" w:eastAsia="zh-CN"/>
              </w:rPr>
              <w:t>66.9</w:t>
            </w:r>
            <w:r>
              <w:rPr>
                <w:sz w:val="18"/>
                <w:szCs w:val="18"/>
              </w:rPr>
              <w:sym w:font="Symbol" w:char="F07E"/>
            </w:r>
            <w:r>
              <w:rPr>
                <w:rFonts w:hint="eastAsia"/>
                <w:sz w:val="18"/>
                <w:szCs w:val="18"/>
                <w:lang w:val="en-US" w:eastAsia="zh-CN"/>
              </w:rPr>
              <w:t>8</w:t>
            </w:r>
            <w:r>
              <w:rPr>
                <w:rFonts w:hint="eastAsia"/>
                <w:sz w:val="18"/>
                <w:szCs w:val="18"/>
              </w:rPr>
              <w:t>0.2</w:t>
            </w:r>
          </w:p>
        </w:tc>
        <w:tc>
          <w:tcPr>
            <w:tcW w:w="684" w:type="pct"/>
            <w:shd w:val="clear" w:color="auto" w:fill="FFFFFF"/>
            <w:vAlign w:val="center"/>
          </w:tcPr>
          <w:p w14:paraId="6BEF7670">
            <w:pPr>
              <w:jc w:val="center"/>
              <w:rPr>
                <w:rFonts w:hint="default" w:eastAsia="宋体"/>
                <w:sz w:val="18"/>
                <w:szCs w:val="18"/>
                <w:lang w:val="en-US" w:eastAsia="zh-CN"/>
              </w:rPr>
            </w:pPr>
            <w:r>
              <w:rPr>
                <w:rFonts w:hint="eastAsia"/>
                <w:sz w:val="18"/>
                <w:szCs w:val="18"/>
                <w:lang w:val="en-US" w:eastAsia="zh-CN"/>
              </w:rPr>
              <w:t>6.8</w:t>
            </w:r>
          </w:p>
        </w:tc>
        <w:tc>
          <w:tcPr>
            <w:tcW w:w="911" w:type="pct"/>
            <w:shd w:val="clear" w:color="auto" w:fill="FFFFFF"/>
            <w:vAlign w:val="center"/>
          </w:tcPr>
          <w:p w14:paraId="6BD2054D">
            <w:pPr>
              <w:jc w:val="center"/>
              <w:rPr>
                <w:sz w:val="18"/>
                <w:szCs w:val="18"/>
              </w:rPr>
            </w:pPr>
            <w:r>
              <w:rPr>
                <w:rFonts w:hint="eastAsia"/>
                <w:sz w:val="18"/>
                <w:szCs w:val="18"/>
              </w:rPr>
              <w:t>101.3</w:t>
            </w:r>
            <w:r>
              <w:rPr>
                <w:sz w:val="18"/>
                <w:szCs w:val="18"/>
              </w:rPr>
              <w:sym w:font="Symbol" w:char="F07E"/>
            </w:r>
            <w:r>
              <w:rPr>
                <w:rFonts w:hint="eastAsia"/>
                <w:sz w:val="18"/>
                <w:szCs w:val="18"/>
              </w:rPr>
              <w:t>105.9</w:t>
            </w:r>
          </w:p>
        </w:tc>
        <w:tc>
          <w:tcPr>
            <w:tcW w:w="675" w:type="pct"/>
            <w:shd w:val="clear" w:color="auto" w:fill="FFFFFF"/>
            <w:vAlign w:val="center"/>
          </w:tcPr>
          <w:p w14:paraId="4C60B824">
            <w:pPr>
              <w:jc w:val="center"/>
              <w:rPr>
                <w:sz w:val="18"/>
                <w:szCs w:val="18"/>
              </w:rPr>
            </w:pPr>
            <w:r>
              <w:rPr>
                <w:rFonts w:hint="eastAsia"/>
                <w:sz w:val="18"/>
                <w:szCs w:val="18"/>
              </w:rPr>
              <w:t>2.3</w:t>
            </w:r>
          </w:p>
        </w:tc>
      </w:tr>
      <w:tr w14:paraId="4B0BD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897" w:type="pct"/>
            <w:shd w:val="clear" w:color="auto" w:fill="FFFFFF"/>
            <w:vAlign w:val="center"/>
          </w:tcPr>
          <w:p w14:paraId="68336B88">
            <w:pPr>
              <w:jc w:val="center"/>
              <w:rPr>
                <w:sz w:val="18"/>
                <w:szCs w:val="18"/>
              </w:rPr>
            </w:pPr>
            <w:r>
              <w:rPr>
                <w:rFonts w:hint="eastAsia"/>
                <w:sz w:val="18"/>
                <w:szCs w:val="18"/>
              </w:rPr>
              <w:t>磺胺甲噁唑</w:t>
            </w:r>
          </w:p>
        </w:tc>
        <w:tc>
          <w:tcPr>
            <w:tcW w:w="833" w:type="pct"/>
            <w:shd w:val="clear" w:color="auto" w:fill="FFFFFF"/>
            <w:vAlign w:val="center"/>
          </w:tcPr>
          <w:p w14:paraId="797EF0D6">
            <w:pPr>
              <w:jc w:val="center"/>
              <w:rPr>
                <w:sz w:val="18"/>
                <w:szCs w:val="18"/>
              </w:rPr>
            </w:pPr>
            <w:r>
              <w:rPr>
                <w:rFonts w:hint="eastAsia"/>
                <w:sz w:val="18"/>
                <w:szCs w:val="18"/>
              </w:rPr>
              <w:t>83.8</w:t>
            </w:r>
            <w:r>
              <w:rPr>
                <w:sz w:val="18"/>
                <w:szCs w:val="18"/>
              </w:rPr>
              <w:sym w:font="Symbol" w:char="F07E"/>
            </w:r>
            <w:r>
              <w:rPr>
                <w:rFonts w:hint="eastAsia"/>
                <w:sz w:val="18"/>
                <w:szCs w:val="18"/>
              </w:rPr>
              <w:t>89.3</w:t>
            </w:r>
          </w:p>
        </w:tc>
        <w:tc>
          <w:tcPr>
            <w:tcW w:w="684" w:type="pct"/>
            <w:shd w:val="clear" w:color="auto" w:fill="FFFFFF"/>
            <w:vAlign w:val="center"/>
          </w:tcPr>
          <w:p w14:paraId="5B429D72">
            <w:pPr>
              <w:jc w:val="center"/>
              <w:rPr>
                <w:sz w:val="18"/>
                <w:szCs w:val="18"/>
              </w:rPr>
            </w:pPr>
            <w:r>
              <w:rPr>
                <w:rFonts w:hint="eastAsia"/>
                <w:sz w:val="18"/>
                <w:szCs w:val="18"/>
              </w:rPr>
              <w:t>3.5</w:t>
            </w:r>
          </w:p>
        </w:tc>
        <w:tc>
          <w:tcPr>
            <w:tcW w:w="911" w:type="pct"/>
            <w:shd w:val="clear" w:color="auto" w:fill="FFFFFF"/>
            <w:vAlign w:val="center"/>
          </w:tcPr>
          <w:p w14:paraId="2ECBBC2A">
            <w:pPr>
              <w:jc w:val="center"/>
              <w:rPr>
                <w:sz w:val="18"/>
                <w:szCs w:val="18"/>
              </w:rPr>
            </w:pPr>
            <w:r>
              <w:rPr>
                <w:rFonts w:hint="eastAsia"/>
                <w:sz w:val="18"/>
                <w:szCs w:val="18"/>
              </w:rPr>
              <w:t>100.4</w:t>
            </w:r>
            <w:r>
              <w:rPr>
                <w:sz w:val="18"/>
                <w:szCs w:val="18"/>
              </w:rPr>
              <w:sym w:font="Symbol" w:char="F07E"/>
            </w:r>
            <w:r>
              <w:rPr>
                <w:rFonts w:hint="eastAsia"/>
                <w:sz w:val="18"/>
                <w:szCs w:val="18"/>
              </w:rPr>
              <w:t>104.8</w:t>
            </w:r>
          </w:p>
        </w:tc>
        <w:tc>
          <w:tcPr>
            <w:tcW w:w="675" w:type="pct"/>
            <w:shd w:val="clear" w:color="auto" w:fill="FFFFFF"/>
            <w:vAlign w:val="center"/>
          </w:tcPr>
          <w:p w14:paraId="673CD2A5">
            <w:pPr>
              <w:jc w:val="center"/>
              <w:rPr>
                <w:sz w:val="18"/>
                <w:szCs w:val="18"/>
              </w:rPr>
            </w:pPr>
            <w:r>
              <w:rPr>
                <w:rFonts w:hint="eastAsia"/>
                <w:sz w:val="18"/>
                <w:szCs w:val="18"/>
              </w:rPr>
              <w:t>2.3</w:t>
            </w:r>
          </w:p>
        </w:tc>
      </w:tr>
      <w:tr w14:paraId="07FB2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897" w:type="pct"/>
            <w:shd w:val="clear" w:color="auto" w:fill="FFFFFF"/>
            <w:vAlign w:val="center"/>
          </w:tcPr>
          <w:p w14:paraId="320D7372">
            <w:pPr>
              <w:jc w:val="center"/>
              <w:rPr>
                <w:sz w:val="18"/>
                <w:szCs w:val="18"/>
              </w:rPr>
            </w:pPr>
            <w:r>
              <w:rPr>
                <w:rFonts w:hint="eastAsia"/>
                <w:sz w:val="18"/>
                <w:szCs w:val="18"/>
              </w:rPr>
              <w:t>磺胺间甲氧嘧啶</w:t>
            </w:r>
          </w:p>
        </w:tc>
        <w:tc>
          <w:tcPr>
            <w:tcW w:w="833" w:type="pct"/>
            <w:shd w:val="clear" w:color="auto" w:fill="FFFFFF"/>
            <w:vAlign w:val="center"/>
          </w:tcPr>
          <w:p w14:paraId="79FC4F37">
            <w:pPr>
              <w:jc w:val="center"/>
              <w:rPr>
                <w:sz w:val="18"/>
                <w:szCs w:val="18"/>
              </w:rPr>
            </w:pPr>
            <w:r>
              <w:rPr>
                <w:rFonts w:hint="eastAsia"/>
                <w:sz w:val="18"/>
                <w:szCs w:val="18"/>
              </w:rPr>
              <w:t>77.5</w:t>
            </w:r>
            <w:r>
              <w:rPr>
                <w:sz w:val="18"/>
                <w:szCs w:val="18"/>
              </w:rPr>
              <w:sym w:font="Symbol" w:char="F07E"/>
            </w:r>
            <w:r>
              <w:rPr>
                <w:rFonts w:hint="eastAsia"/>
                <w:sz w:val="18"/>
                <w:szCs w:val="18"/>
              </w:rPr>
              <w:t>92.4</w:t>
            </w:r>
          </w:p>
        </w:tc>
        <w:tc>
          <w:tcPr>
            <w:tcW w:w="684" w:type="pct"/>
            <w:shd w:val="clear" w:color="auto" w:fill="FFFFFF"/>
            <w:vAlign w:val="center"/>
          </w:tcPr>
          <w:p w14:paraId="44977D12">
            <w:pPr>
              <w:jc w:val="center"/>
              <w:rPr>
                <w:sz w:val="18"/>
                <w:szCs w:val="18"/>
              </w:rPr>
            </w:pPr>
            <w:r>
              <w:rPr>
                <w:rFonts w:hint="eastAsia"/>
                <w:sz w:val="18"/>
                <w:szCs w:val="18"/>
              </w:rPr>
              <w:t>9.2</w:t>
            </w:r>
          </w:p>
        </w:tc>
        <w:tc>
          <w:tcPr>
            <w:tcW w:w="911" w:type="pct"/>
            <w:shd w:val="clear" w:color="auto" w:fill="FFFFFF"/>
            <w:vAlign w:val="center"/>
          </w:tcPr>
          <w:p w14:paraId="36DDA5DE">
            <w:pPr>
              <w:jc w:val="center"/>
              <w:rPr>
                <w:sz w:val="18"/>
                <w:szCs w:val="18"/>
              </w:rPr>
            </w:pPr>
            <w:r>
              <w:rPr>
                <w:rFonts w:hint="eastAsia"/>
                <w:sz w:val="18"/>
                <w:szCs w:val="18"/>
              </w:rPr>
              <w:t>105.0</w:t>
            </w:r>
            <w:r>
              <w:rPr>
                <w:sz w:val="18"/>
                <w:szCs w:val="18"/>
              </w:rPr>
              <w:sym w:font="Symbol" w:char="F07E"/>
            </w:r>
            <w:r>
              <w:rPr>
                <w:rFonts w:hint="eastAsia"/>
                <w:sz w:val="18"/>
                <w:szCs w:val="18"/>
              </w:rPr>
              <w:t>114.5</w:t>
            </w:r>
          </w:p>
        </w:tc>
        <w:tc>
          <w:tcPr>
            <w:tcW w:w="675" w:type="pct"/>
            <w:shd w:val="clear" w:color="auto" w:fill="FFFFFF"/>
            <w:vAlign w:val="center"/>
          </w:tcPr>
          <w:p w14:paraId="2E6F3500">
            <w:pPr>
              <w:jc w:val="center"/>
              <w:rPr>
                <w:sz w:val="18"/>
                <w:szCs w:val="18"/>
              </w:rPr>
            </w:pPr>
            <w:r>
              <w:rPr>
                <w:rFonts w:hint="eastAsia"/>
                <w:sz w:val="18"/>
                <w:szCs w:val="18"/>
              </w:rPr>
              <w:t>4.6</w:t>
            </w:r>
          </w:p>
        </w:tc>
      </w:tr>
      <w:tr w14:paraId="14859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897" w:type="pct"/>
            <w:shd w:val="clear" w:color="auto" w:fill="FFFFFF"/>
            <w:vAlign w:val="center"/>
          </w:tcPr>
          <w:p w14:paraId="7E4DB80F">
            <w:pPr>
              <w:jc w:val="center"/>
              <w:rPr>
                <w:sz w:val="18"/>
                <w:szCs w:val="18"/>
              </w:rPr>
            </w:pPr>
            <w:r>
              <w:rPr>
                <w:rFonts w:hint="eastAsia"/>
                <w:sz w:val="18"/>
                <w:szCs w:val="18"/>
              </w:rPr>
              <w:t>磺胺对甲氧嘧啶</w:t>
            </w:r>
          </w:p>
        </w:tc>
        <w:tc>
          <w:tcPr>
            <w:tcW w:w="833" w:type="pct"/>
            <w:shd w:val="clear" w:color="auto" w:fill="FFFFFF"/>
            <w:vAlign w:val="center"/>
          </w:tcPr>
          <w:p w14:paraId="5F8C3C15">
            <w:pPr>
              <w:jc w:val="center"/>
              <w:rPr>
                <w:sz w:val="18"/>
                <w:szCs w:val="18"/>
              </w:rPr>
            </w:pPr>
            <w:r>
              <w:rPr>
                <w:rFonts w:hint="eastAsia"/>
                <w:sz w:val="18"/>
                <w:szCs w:val="18"/>
              </w:rPr>
              <w:t>90.8</w:t>
            </w:r>
            <w:r>
              <w:rPr>
                <w:sz w:val="18"/>
                <w:szCs w:val="18"/>
              </w:rPr>
              <w:sym w:font="Symbol" w:char="F07E"/>
            </w:r>
            <w:r>
              <w:rPr>
                <w:rFonts w:hint="eastAsia"/>
                <w:sz w:val="18"/>
                <w:szCs w:val="18"/>
              </w:rPr>
              <w:t>102.7</w:t>
            </w:r>
          </w:p>
        </w:tc>
        <w:tc>
          <w:tcPr>
            <w:tcW w:w="684" w:type="pct"/>
            <w:shd w:val="clear" w:color="auto" w:fill="FFFFFF"/>
            <w:vAlign w:val="center"/>
          </w:tcPr>
          <w:p w14:paraId="71470687">
            <w:pPr>
              <w:jc w:val="center"/>
              <w:rPr>
                <w:sz w:val="18"/>
                <w:szCs w:val="18"/>
              </w:rPr>
            </w:pPr>
            <w:r>
              <w:rPr>
                <w:rFonts w:hint="eastAsia"/>
                <w:sz w:val="18"/>
                <w:szCs w:val="18"/>
              </w:rPr>
              <w:t>6.7</w:t>
            </w:r>
          </w:p>
        </w:tc>
        <w:tc>
          <w:tcPr>
            <w:tcW w:w="911" w:type="pct"/>
            <w:shd w:val="clear" w:color="auto" w:fill="FFFFFF"/>
            <w:vAlign w:val="center"/>
          </w:tcPr>
          <w:p w14:paraId="59BFBD53">
            <w:pPr>
              <w:jc w:val="center"/>
              <w:rPr>
                <w:sz w:val="18"/>
                <w:szCs w:val="18"/>
              </w:rPr>
            </w:pPr>
            <w:r>
              <w:rPr>
                <w:rFonts w:hint="eastAsia"/>
                <w:sz w:val="18"/>
                <w:szCs w:val="18"/>
              </w:rPr>
              <w:t>83.7</w:t>
            </w:r>
            <w:r>
              <w:rPr>
                <w:sz w:val="18"/>
                <w:szCs w:val="18"/>
              </w:rPr>
              <w:sym w:font="Symbol" w:char="F07E"/>
            </w:r>
            <w:r>
              <w:rPr>
                <w:rFonts w:hint="eastAsia"/>
                <w:sz w:val="18"/>
                <w:szCs w:val="18"/>
              </w:rPr>
              <w:t>93.1</w:t>
            </w:r>
          </w:p>
        </w:tc>
        <w:tc>
          <w:tcPr>
            <w:tcW w:w="675" w:type="pct"/>
            <w:shd w:val="clear" w:color="auto" w:fill="FFFFFF"/>
            <w:vAlign w:val="center"/>
          </w:tcPr>
          <w:p w14:paraId="7089332C">
            <w:pPr>
              <w:jc w:val="center"/>
              <w:rPr>
                <w:sz w:val="18"/>
                <w:szCs w:val="18"/>
              </w:rPr>
            </w:pPr>
            <w:r>
              <w:rPr>
                <w:rFonts w:hint="eastAsia"/>
                <w:sz w:val="18"/>
                <w:szCs w:val="18"/>
              </w:rPr>
              <w:t>5.4</w:t>
            </w:r>
          </w:p>
        </w:tc>
      </w:tr>
      <w:tr w14:paraId="6BE2C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897" w:type="pct"/>
            <w:shd w:val="clear" w:color="auto" w:fill="FFFFFF"/>
            <w:vAlign w:val="center"/>
          </w:tcPr>
          <w:p w14:paraId="42E62FA7">
            <w:pPr>
              <w:jc w:val="center"/>
              <w:rPr>
                <w:sz w:val="18"/>
                <w:szCs w:val="18"/>
              </w:rPr>
            </w:pPr>
            <w:r>
              <w:rPr>
                <w:rFonts w:hint="eastAsia"/>
                <w:sz w:val="18"/>
                <w:szCs w:val="18"/>
              </w:rPr>
              <w:t>磺胺邻二甲嘧啶</w:t>
            </w:r>
          </w:p>
        </w:tc>
        <w:tc>
          <w:tcPr>
            <w:tcW w:w="833" w:type="pct"/>
            <w:shd w:val="clear" w:color="auto" w:fill="FFFFFF"/>
            <w:vAlign w:val="center"/>
          </w:tcPr>
          <w:p w14:paraId="590E0B77">
            <w:pPr>
              <w:jc w:val="center"/>
              <w:rPr>
                <w:sz w:val="18"/>
                <w:szCs w:val="18"/>
              </w:rPr>
            </w:pPr>
            <w:r>
              <w:rPr>
                <w:rFonts w:hint="eastAsia"/>
                <w:sz w:val="18"/>
                <w:szCs w:val="18"/>
              </w:rPr>
              <w:t>69.1</w:t>
            </w:r>
            <w:r>
              <w:rPr>
                <w:sz w:val="18"/>
                <w:szCs w:val="18"/>
              </w:rPr>
              <w:sym w:font="Symbol" w:char="F07E"/>
            </w:r>
            <w:r>
              <w:rPr>
                <w:rFonts w:hint="eastAsia"/>
                <w:sz w:val="18"/>
                <w:szCs w:val="18"/>
              </w:rPr>
              <w:t>84.9</w:t>
            </w:r>
          </w:p>
        </w:tc>
        <w:tc>
          <w:tcPr>
            <w:tcW w:w="684" w:type="pct"/>
            <w:shd w:val="clear" w:color="auto" w:fill="FFFFFF"/>
            <w:vAlign w:val="center"/>
          </w:tcPr>
          <w:p w14:paraId="5E88704E">
            <w:pPr>
              <w:jc w:val="center"/>
              <w:rPr>
                <w:sz w:val="18"/>
                <w:szCs w:val="18"/>
              </w:rPr>
            </w:pPr>
            <w:r>
              <w:rPr>
                <w:rFonts w:hint="eastAsia"/>
                <w:sz w:val="18"/>
                <w:szCs w:val="18"/>
              </w:rPr>
              <w:t>11.5</w:t>
            </w:r>
          </w:p>
        </w:tc>
        <w:tc>
          <w:tcPr>
            <w:tcW w:w="911" w:type="pct"/>
            <w:shd w:val="clear" w:color="auto" w:fill="FFFFFF"/>
            <w:vAlign w:val="center"/>
          </w:tcPr>
          <w:p w14:paraId="2EA85013">
            <w:pPr>
              <w:jc w:val="center"/>
              <w:rPr>
                <w:sz w:val="18"/>
                <w:szCs w:val="18"/>
              </w:rPr>
            </w:pPr>
            <w:r>
              <w:rPr>
                <w:rFonts w:hint="eastAsia"/>
                <w:sz w:val="18"/>
                <w:szCs w:val="18"/>
              </w:rPr>
              <w:t>84.2</w:t>
            </w:r>
            <w:r>
              <w:rPr>
                <w:sz w:val="18"/>
                <w:szCs w:val="18"/>
              </w:rPr>
              <w:sym w:font="Symbol" w:char="F07E"/>
            </w:r>
            <w:r>
              <w:rPr>
                <w:rFonts w:hint="eastAsia"/>
                <w:sz w:val="18"/>
                <w:szCs w:val="18"/>
              </w:rPr>
              <w:t>94.4</w:t>
            </w:r>
          </w:p>
        </w:tc>
        <w:tc>
          <w:tcPr>
            <w:tcW w:w="675" w:type="pct"/>
            <w:shd w:val="clear" w:color="auto" w:fill="FFFFFF"/>
            <w:vAlign w:val="center"/>
          </w:tcPr>
          <w:p w14:paraId="5A5DEBB9">
            <w:pPr>
              <w:jc w:val="center"/>
              <w:rPr>
                <w:sz w:val="18"/>
                <w:szCs w:val="18"/>
              </w:rPr>
            </w:pPr>
            <w:r>
              <w:rPr>
                <w:rFonts w:hint="eastAsia"/>
                <w:sz w:val="18"/>
                <w:szCs w:val="18"/>
              </w:rPr>
              <w:t>5.9</w:t>
            </w:r>
          </w:p>
        </w:tc>
      </w:tr>
      <w:tr w14:paraId="3F8AA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897" w:type="pct"/>
            <w:shd w:val="clear" w:color="auto" w:fill="FFFFFF"/>
            <w:vAlign w:val="center"/>
          </w:tcPr>
          <w:p w14:paraId="74427502">
            <w:pPr>
              <w:jc w:val="center"/>
              <w:rPr>
                <w:sz w:val="18"/>
                <w:szCs w:val="18"/>
              </w:rPr>
            </w:pPr>
            <w:r>
              <w:rPr>
                <w:rFonts w:hint="eastAsia"/>
                <w:sz w:val="18"/>
                <w:szCs w:val="18"/>
              </w:rPr>
              <w:t>磺胺异噁唑</w:t>
            </w:r>
          </w:p>
        </w:tc>
        <w:tc>
          <w:tcPr>
            <w:tcW w:w="833" w:type="pct"/>
            <w:shd w:val="clear" w:color="auto" w:fill="FFFFFF"/>
            <w:vAlign w:val="center"/>
          </w:tcPr>
          <w:p w14:paraId="77B237E9">
            <w:pPr>
              <w:jc w:val="center"/>
              <w:rPr>
                <w:sz w:val="18"/>
                <w:szCs w:val="18"/>
              </w:rPr>
            </w:pPr>
            <w:r>
              <w:rPr>
                <w:rFonts w:hint="eastAsia"/>
                <w:sz w:val="18"/>
                <w:szCs w:val="18"/>
              </w:rPr>
              <w:t>93.8</w:t>
            </w:r>
            <w:r>
              <w:rPr>
                <w:sz w:val="18"/>
                <w:szCs w:val="18"/>
              </w:rPr>
              <w:sym w:font="Symbol" w:char="F07E"/>
            </w:r>
            <w:r>
              <w:rPr>
                <w:rFonts w:hint="eastAsia"/>
                <w:sz w:val="18"/>
                <w:szCs w:val="18"/>
              </w:rPr>
              <w:t>104.3</w:t>
            </w:r>
          </w:p>
        </w:tc>
        <w:tc>
          <w:tcPr>
            <w:tcW w:w="684" w:type="pct"/>
            <w:shd w:val="clear" w:color="auto" w:fill="FFFFFF"/>
            <w:vAlign w:val="center"/>
          </w:tcPr>
          <w:p w14:paraId="7AC0E3AC">
            <w:pPr>
              <w:jc w:val="center"/>
              <w:rPr>
                <w:sz w:val="18"/>
                <w:szCs w:val="18"/>
              </w:rPr>
            </w:pPr>
            <w:r>
              <w:rPr>
                <w:rFonts w:hint="eastAsia"/>
                <w:sz w:val="18"/>
                <w:szCs w:val="18"/>
              </w:rPr>
              <w:t>5.5</w:t>
            </w:r>
          </w:p>
        </w:tc>
        <w:tc>
          <w:tcPr>
            <w:tcW w:w="911" w:type="pct"/>
            <w:shd w:val="clear" w:color="auto" w:fill="FFFFFF"/>
            <w:vAlign w:val="center"/>
          </w:tcPr>
          <w:p w14:paraId="21ECB330">
            <w:pPr>
              <w:jc w:val="center"/>
              <w:rPr>
                <w:sz w:val="18"/>
                <w:szCs w:val="18"/>
              </w:rPr>
            </w:pPr>
            <w:r>
              <w:rPr>
                <w:rFonts w:hint="eastAsia"/>
                <w:sz w:val="18"/>
                <w:szCs w:val="18"/>
              </w:rPr>
              <w:t>93.4</w:t>
            </w:r>
            <w:r>
              <w:rPr>
                <w:sz w:val="18"/>
                <w:szCs w:val="18"/>
              </w:rPr>
              <w:sym w:font="Symbol" w:char="F07E"/>
            </w:r>
            <w:r>
              <w:rPr>
                <w:rFonts w:hint="eastAsia"/>
                <w:sz w:val="18"/>
                <w:szCs w:val="18"/>
              </w:rPr>
              <w:t>106.1</w:t>
            </w:r>
          </w:p>
        </w:tc>
        <w:tc>
          <w:tcPr>
            <w:tcW w:w="675" w:type="pct"/>
            <w:shd w:val="clear" w:color="auto" w:fill="FFFFFF"/>
            <w:vAlign w:val="center"/>
          </w:tcPr>
          <w:p w14:paraId="621457A8">
            <w:pPr>
              <w:jc w:val="center"/>
              <w:rPr>
                <w:sz w:val="18"/>
                <w:szCs w:val="18"/>
              </w:rPr>
            </w:pPr>
            <w:r>
              <w:rPr>
                <w:rFonts w:hint="eastAsia"/>
                <w:sz w:val="18"/>
                <w:szCs w:val="18"/>
              </w:rPr>
              <w:t>6.9</w:t>
            </w:r>
          </w:p>
        </w:tc>
      </w:tr>
      <w:tr w14:paraId="75469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897" w:type="pct"/>
            <w:shd w:val="clear" w:color="auto" w:fill="FFFFFF"/>
            <w:vAlign w:val="center"/>
          </w:tcPr>
          <w:p w14:paraId="061C219D">
            <w:pPr>
              <w:jc w:val="center"/>
              <w:rPr>
                <w:sz w:val="18"/>
                <w:szCs w:val="18"/>
              </w:rPr>
            </w:pPr>
            <w:r>
              <w:rPr>
                <w:rFonts w:hint="eastAsia"/>
                <w:sz w:val="18"/>
                <w:szCs w:val="18"/>
              </w:rPr>
              <w:t>磺胺苯酰</w:t>
            </w:r>
          </w:p>
        </w:tc>
        <w:tc>
          <w:tcPr>
            <w:tcW w:w="833" w:type="pct"/>
            <w:shd w:val="clear" w:color="auto" w:fill="FFFFFF"/>
            <w:vAlign w:val="center"/>
          </w:tcPr>
          <w:p w14:paraId="53515E08">
            <w:pPr>
              <w:jc w:val="center"/>
              <w:rPr>
                <w:sz w:val="18"/>
                <w:szCs w:val="18"/>
              </w:rPr>
            </w:pPr>
            <w:r>
              <w:rPr>
                <w:rFonts w:hint="eastAsia"/>
                <w:sz w:val="18"/>
                <w:szCs w:val="18"/>
              </w:rPr>
              <w:t>80.8</w:t>
            </w:r>
            <w:r>
              <w:rPr>
                <w:sz w:val="18"/>
                <w:szCs w:val="18"/>
              </w:rPr>
              <w:sym w:font="Symbol" w:char="F07E"/>
            </w:r>
            <w:r>
              <w:rPr>
                <w:rFonts w:hint="eastAsia"/>
                <w:sz w:val="18"/>
                <w:szCs w:val="18"/>
              </w:rPr>
              <w:t>89.4</w:t>
            </w:r>
          </w:p>
        </w:tc>
        <w:tc>
          <w:tcPr>
            <w:tcW w:w="684" w:type="pct"/>
            <w:shd w:val="clear" w:color="auto" w:fill="FFFFFF"/>
            <w:vAlign w:val="center"/>
          </w:tcPr>
          <w:p w14:paraId="0EA63216">
            <w:pPr>
              <w:jc w:val="center"/>
              <w:rPr>
                <w:sz w:val="18"/>
                <w:szCs w:val="18"/>
              </w:rPr>
            </w:pPr>
            <w:r>
              <w:rPr>
                <w:rFonts w:hint="eastAsia"/>
                <w:sz w:val="18"/>
                <w:szCs w:val="18"/>
              </w:rPr>
              <w:t>5.4</w:t>
            </w:r>
          </w:p>
        </w:tc>
        <w:tc>
          <w:tcPr>
            <w:tcW w:w="911" w:type="pct"/>
            <w:shd w:val="clear" w:color="auto" w:fill="FFFFFF"/>
            <w:vAlign w:val="center"/>
          </w:tcPr>
          <w:p w14:paraId="73C6461C">
            <w:pPr>
              <w:jc w:val="center"/>
              <w:rPr>
                <w:sz w:val="18"/>
                <w:szCs w:val="18"/>
              </w:rPr>
            </w:pPr>
            <w:r>
              <w:rPr>
                <w:rFonts w:hint="eastAsia"/>
                <w:sz w:val="18"/>
                <w:szCs w:val="18"/>
              </w:rPr>
              <w:t>87.7</w:t>
            </w:r>
            <w:r>
              <w:rPr>
                <w:sz w:val="18"/>
                <w:szCs w:val="18"/>
              </w:rPr>
              <w:sym w:font="Symbol" w:char="F07E"/>
            </w:r>
            <w:r>
              <w:rPr>
                <w:rFonts w:hint="eastAsia"/>
                <w:sz w:val="18"/>
                <w:szCs w:val="18"/>
              </w:rPr>
              <w:t>96.3</w:t>
            </w:r>
          </w:p>
        </w:tc>
        <w:tc>
          <w:tcPr>
            <w:tcW w:w="675" w:type="pct"/>
            <w:shd w:val="clear" w:color="auto" w:fill="FFFFFF"/>
            <w:vAlign w:val="center"/>
          </w:tcPr>
          <w:p w14:paraId="524523F1">
            <w:pPr>
              <w:jc w:val="center"/>
              <w:rPr>
                <w:sz w:val="18"/>
                <w:szCs w:val="18"/>
              </w:rPr>
            </w:pPr>
            <w:r>
              <w:rPr>
                <w:rFonts w:hint="eastAsia"/>
                <w:sz w:val="18"/>
                <w:szCs w:val="18"/>
              </w:rPr>
              <w:t>4.7</w:t>
            </w:r>
          </w:p>
        </w:tc>
      </w:tr>
      <w:tr w14:paraId="31D0B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897" w:type="pct"/>
            <w:shd w:val="clear" w:color="auto" w:fill="FFFFFF"/>
            <w:vAlign w:val="center"/>
          </w:tcPr>
          <w:p w14:paraId="743C3426">
            <w:pPr>
              <w:jc w:val="center"/>
              <w:rPr>
                <w:sz w:val="18"/>
                <w:szCs w:val="18"/>
              </w:rPr>
            </w:pPr>
            <w:r>
              <w:rPr>
                <w:rFonts w:hint="eastAsia"/>
                <w:sz w:val="18"/>
                <w:szCs w:val="18"/>
              </w:rPr>
              <w:t>磺胺间二甲氧嘧啶</w:t>
            </w:r>
          </w:p>
        </w:tc>
        <w:tc>
          <w:tcPr>
            <w:tcW w:w="833" w:type="pct"/>
            <w:shd w:val="clear" w:color="auto" w:fill="FFFFFF"/>
            <w:vAlign w:val="center"/>
          </w:tcPr>
          <w:p w14:paraId="59BF9B2F">
            <w:pPr>
              <w:jc w:val="center"/>
              <w:rPr>
                <w:sz w:val="18"/>
                <w:szCs w:val="18"/>
              </w:rPr>
            </w:pPr>
            <w:r>
              <w:rPr>
                <w:rFonts w:hint="eastAsia"/>
                <w:sz w:val="18"/>
                <w:szCs w:val="18"/>
              </w:rPr>
              <w:t>80.6</w:t>
            </w:r>
            <w:r>
              <w:rPr>
                <w:sz w:val="18"/>
                <w:szCs w:val="18"/>
              </w:rPr>
              <w:sym w:font="Symbol" w:char="F07E"/>
            </w:r>
            <w:r>
              <w:rPr>
                <w:rFonts w:hint="eastAsia"/>
                <w:sz w:val="18"/>
                <w:szCs w:val="18"/>
              </w:rPr>
              <w:t>93.7</w:t>
            </w:r>
          </w:p>
        </w:tc>
        <w:tc>
          <w:tcPr>
            <w:tcW w:w="684" w:type="pct"/>
            <w:shd w:val="clear" w:color="auto" w:fill="FFFFFF"/>
            <w:vAlign w:val="center"/>
          </w:tcPr>
          <w:p w14:paraId="5D7DCB75">
            <w:pPr>
              <w:jc w:val="center"/>
              <w:rPr>
                <w:sz w:val="18"/>
                <w:szCs w:val="18"/>
              </w:rPr>
            </w:pPr>
            <w:r>
              <w:rPr>
                <w:rFonts w:hint="eastAsia"/>
                <w:sz w:val="18"/>
                <w:szCs w:val="18"/>
              </w:rPr>
              <w:t>6.7</w:t>
            </w:r>
          </w:p>
        </w:tc>
        <w:tc>
          <w:tcPr>
            <w:tcW w:w="911" w:type="pct"/>
            <w:shd w:val="clear" w:color="auto" w:fill="FFFFFF"/>
            <w:vAlign w:val="center"/>
          </w:tcPr>
          <w:p w14:paraId="460F5458">
            <w:pPr>
              <w:jc w:val="center"/>
              <w:rPr>
                <w:sz w:val="18"/>
                <w:szCs w:val="18"/>
              </w:rPr>
            </w:pPr>
            <w:r>
              <w:rPr>
                <w:rFonts w:hint="eastAsia"/>
                <w:sz w:val="18"/>
                <w:szCs w:val="18"/>
              </w:rPr>
              <w:t>83.4</w:t>
            </w:r>
            <w:r>
              <w:rPr>
                <w:sz w:val="18"/>
                <w:szCs w:val="18"/>
              </w:rPr>
              <w:sym w:font="Symbol" w:char="F07E"/>
            </w:r>
            <w:r>
              <w:rPr>
                <w:rFonts w:hint="eastAsia"/>
                <w:sz w:val="18"/>
                <w:szCs w:val="18"/>
              </w:rPr>
              <w:t>95.3</w:t>
            </w:r>
          </w:p>
        </w:tc>
        <w:tc>
          <w:tcPr>
            <w:tcW w:w="675" w:type="pct"/>
            <w:shd w:val="clear" w:color="auto" w:fill="FFFFFF"/>
            <w:vAlign w:val="center"/>
          </w:tcPr>
          <w:p w14:paraId="083D257F">
            <w:pPr>
              <w:jc w:val="center"/>
              <w:rPr>
                <w:sz w:val="18"/>
                <w:szCs w:val="18"/>
              </w:rPr>
            </w:pPr>
            <w:r>
              <w:rPr>
                <w:rFonts w:hint="eastAsia"/>
                <w:sz w:val="18"/>
                <w:szCs w:val="18"/>
              </w:rPr>
              <w:t>6.2</w:t>
            </w:r>
          </w:p>
        </w:tc>
      </w:tr>
    </w:tbl>
    <w:p w14:paraId="55BFFD69">
      <w:pPr>
        <w:pStyle w:val="46"/>
        <w:ind w:firstLine="0" w:firstLineChars="0"/>
        <w:jc w:val="center"/>
        <w:rPr>
          <w:rFonts w:eastAsia="黑体"/>
          <w:sz w:val="22"/>
        </w:rPr>
      </w:pPr>
    </w:p>
    <w:p w14:paraId="324FE032">
      <w:pPr>
        <w:ind w:firstLine="420"/>
      </w:pPr>
    </w:p>
    <w:p w14:paraId="15AB48F7">
      <w:pPr>
        <w:ind w:firstLine="420"/>
      </w:pPr>
    </w:p>
    <w:p w14:paraId="26C8F243">
      <w:pPr>
        <w:tabs>
          <w:tab w:val="left" w:pos="7190"/>
        </w:tabs>
        <w:jc w:val="center"/>
      </w:pPr>
    </w:p>
    <w:p w14:paraId="4BE5C5B7"/>
    <w:sectPr>
      <w:pgSz w:w="11906" w:h="16838"/>
      <w:pgMar w:top="567" w:right="1134" w:bottom="1134" w:left="1418" w:header="567" w:footer="1134"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roman"/>
    <w:pitch w:val="default"/>
    <w:sig w:usb0="00000000" w:usb1="00000000" w:usb2="00000000" w:usb3="00000000" w:csb0="00040001" w:csb1="00000000"/>
  </w:font>
  <w:font w:name="ArialMT">
    <w:altName w:val="Arial"/>
    <w:panose1 w:val="00000000000000000000"/>
    <w:charset w:val="00"/>
    <w:family w:val="roman"/>
    <w:pitch w:val="default"/>
    <w:sig w:usb0="00000000" w:usb1="00000000" w:usb2="00000000" w:usb3="00000000" w:csb0="00000000" w:csb1="00000000"/>
  </w:font>
  <w:font w:name="TimesNewRomanPS-ItalicMT">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A7461">
    <w:pPr>
      <w:pStyle w:val="9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31F36B">
                          <w:pPr>
                            <w:pStyle w:val="91"/>
                            <w:jc w:val="center"/>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E31F36B">
                    <w:pPr>
                      <w:pStyle w:val="91"/>
                      <w:jc w:val="center"/>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AC81C">
    <w:pPr>
      <w:pStyle w:val="9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7FE251">
                          <w:pPr>
                            <w:pStyle w:val="91"/>
                            <w:jc w:val="center"/>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67FE251">
                    <w:pPr>
                      <w:pStyle w:val="91"/>
                      <w:jc w:val="center"/>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D57F1">
    <w:pPr>
      <w:pStyle w:val="102"/>
    </w:pPr>
    <w:r>
      <w:t>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50"/>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12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9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17"/>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113"/>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8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63"/>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62"/>
      <w:suff w:val="nothing"/>
      <w:lvlText w:val="%1.%2.%3　"/>
      <w:lvlJc w:val="left"/>
      <w:pPr>
        <w:ind w:left="568"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60"/>
      <w:suff w:val="nothing"/>
      <w:lvlText w:val="%1.%2.%3.%4.%5　"/>
      <w:lvlJc w:val="left"/>
      <w:pPr>
        <w:ind w:left="0" w:firstLine="0"/>
      </w:pPr>
      <w:rPr>
        <w:rFonts w:hint="eastAsia" w:ascii="黑体" w:hAnsi="Times New Roman" w:eastAsia="黑体"/>
        <w:b w:val="0"/>
        <w:i w:val="0"/>
        <w:sz w:val="21"/>
      </w:rPr>
    </w:lvl>
    <w:lvl w:ilvl="5" w:tentative="0">
      <w:start w:val="1"/>
      <w:numFmt w:val="decimal"/>
      <w:pStyle w:val="5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10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8">
    <w:nsid w:val="2A8F7113"/>
    <w:multiLevelType w:val="multilevel"/>
    <w:tmpl w:val="2A8F7113"/>
    <w:lvl w:ilvl="0" w:tentative="0">
      <w:start w:val="1"/>
      <w:numFmt w:val="upperLetter"/>
      <w:pStyle w:val="64"/>
      <w:suff w:val="space"/>
      <w:lvlText w:val="%1"/>
      <w:lvlJc w:val="left"/>
      <w:pPr>
        <w:ind w:left="623" w:hanging="425"/>
      </w:pPr>
      <w:rPr>
        <w:rFonts w:hint="eastAsia"/>
      </w:rPr>
    </w:lvl>
    <w:lvl w:ilvl="1" w:tentative="0">
      <w:start w:val="1"/>
      <w:numFmt w:val="decimal"/>
      <w:pStyle w:val="8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134"/>
      <w:suff w:val="nothing"/>
      <w:lvlText w:val="%1——"/>
      <w:lvlJc w:val="left"/>
      <w:pPr>
        <w:ind w:left="833" w:hanging="408"/>
      </w:pPr>
      <w:rPr>
        <w:rFonts w:hint="eastAsia"/>
      </w:rPr>
    </w:lvl>
    <w:lvl w:ilvl="1" w:tentative="0">
      <w:start w:val="1"/>
      <w:numFmt w:val="bullet"/>
      <w:pStyle w:val="97"/>
      <w:lvlText w:val=""/>
      <w:lvlJc w:val="left"/>
      <w:pPr>
        <w:tabs>
          <w:tab w:val="left" w:pos="760"/>
        </w:tabs>
        <w:ind w:left="1264" w:hanging="413"/>
      </w:pPr>
      <w:rPr>
        <w:rFonts w:hint="default" w:ascii="Symbol" w:hAnsi="Symbol"/>
        <w:color w:val="auto"/>
      </w:rPr>
    </w:lvl>
    <w:lvl w:ilvl="2" w:tentative="0">
      <w:start w:val="1"/>
      <w:numFmt w:val="bullet"/>
      <w:pStyle w:val="11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96"/>
      <w:lvlText w:val="%1)"/>
      <w:lvlJc w:val="left"/>
      <w:pPr>
        <w:tabs>
          <w:tab w:val="left" w:pos="840"/>
        </w:tabs>
        <w:ind w:left="839" w:hanging="419"/>
      </w:pPr>
      <w:rPr>
        <w:rFonts w:hint="eastAsia" w:ascii="宋体" w:eastAsia="宋体"/>
        <w:b w:val="0"/>
        <w:i w:val="0"/>
        <w:sz w:val="21"/>
        <w:szCs w:val="21"/>
      </w:rPr>
    </w:lvl>
    <w:lvl w:ilvl="1" w:tentative="0">
      <w:start w:val="1"/>
      <w:numFmt w:val="decimal"/>
      <w:pStyle w:val="90"/>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B733A5F"/>
    <w:multiLevelType w:val="multilevel"/>
    <w:tmpl w:val="4B733A5F"/>
    <w:lvl w:ilvl="0" w:tentative="0">
      <w:start w:val="1"/>
      <w:numFmt w:val="decimal"/>
      <w:pStyle w:val="80"/>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60B55DC2"/>
    <w:multiLevelType w:val="multilevel"/>
    <w:tmpl w:val="60B55DC2"/>
    <w:lvl w:ilvl="0" w:tentative="0">
      <w:start w:val="1"/>
      <w:numFmt w:val="upperLetter"/>
      <w:pStyle w:val="139"/>
      <w:lvlText w:val="%1"/>
      <w:lvlJc w:val="left"/>
      <w:pPr>
        <w:tabs>
          <w:tab w:val="left" w:pos="0"/>
        </w:tabs>
        <w:ind w:left="0" w:hanging="425"/>
      </w:pPr>
      <w:rPr>
        <w:rFonts w:hint="eastAsia"/>
      </w:rPr>
    </w:lvl>
    <w:lvl w:ilvl="1" w:tentative="0">
      <w:start w:val="1"/>
      <w:numFmt w:val="decimal"/>
      <w:pStyle w:val="89"/>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9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11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8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7"/>
      <w:suff w:val="nothing"/>
      <w:lvlText w:val="%1.%2.%3　"/>
      <w:lvlJc w:val="left"/>
      <w:pPr>
        <w:ind w:left="0" w:firstLine="0"/>
      </w:pPr>
      <w:rPr>
        <w:rFonts w:hint="eastAsia" w:ascii="黑体" w:hAnsi="Times New Roman" w:eastAsia="黑体"/>
        <w:b w:val="0"/>
        <w:i w:val="0"/>
        <w:sz w:val="21"/>
      </w:rPr>
    </w:lvl>
    <w:lvl w:ilvl="3" w:tentative="0">
      <w:start w:val="1"/>
      <w:numFmt w:val="decimal"/>
      <w:pStyle w:val="58"/>
      <w:suff w:val="nothing"/>
      <w:lvlText w:val="%1.%2.%3.%4　"/>
      <w:lvlJc w:val="left"/>
      <w:pPr>
        <w:ind w:left="0" w:firstLine="0"/>
      </w:pPr>
      <w:rPr>
        <w:rFonts w:hint="eastAsia" w:ascii="黑体" w:hAnsi="Times New Roman" w:eastAsia="黑体"/>
        <w:b w:val="0"/>
        <w:i w:val="0"/>
        <w:sz w:val="21"/>
      </w:rPr>
    </w:lvl>
    <w:lvl w:ilvl="4" w:tentative="0">
      <w:start w:val="1"/>
      <w:numFmt w:val="decimal"/>
      <w:pStyle w:val="73"/>
      <w:suff w:val="nothing"/>
      <w:lvlText w:val="%1.%2.%3.%4.%5　"/>
      <w:lvlJc w:val="left"/>
      <w:pPr>
        <w:ind w:left="0" w:firstLine="0"/>
      </w:pPr>
      <w:rPr>
        <w:rFonts w:hint="eastAsia" w:ascii="黑体" w:hAnsi="Times New Roman" w:eastAsia="黑体"/>
        <w:b w:val="0"/>
        <w:i w:val="0"/>
        <w:sz w:val="21"/>
      </w:rPr>
    </w:lvl>
    <w:lvl w:ilvl="5" w:tentative="0">
      <w:start w:val="1"/>
      <w:numFmt w:val="decimal"/>
      <w:pStyle w:val="72"/>
      <w:suff w:val="nothing"/>
      <w:lvlText w:val="%1.%2.%3.%4.%5.%6　"/>
      <w:lvlJc w:val="left"/>
      <w:pPr>
        <w:ind w:left="0" w:firstLine="0"/>
      </w:pPr>
      <w:rPr>
        <w:rFonts w:hint="eastAsia" w:ascii="黑体" w:hAnsi="Times New Roman" w:eastAsia="黑体"/>
        <w:b w:val="0"/>
        <w:i w:val="0"/>
        <w:sz w:val="21"/>
      </w:rPr>
    </w:lvl>
    <w:lvl w:ilvl="6" w:tentative="0">
      <w:start w:val="1"/>
      <w:numFmt w:val="decimal"/>
      <w:pStyle w:val="7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143"/>
      <w:lvlText w:val="%1)"/>
      <w:lvlJc w:val="left"/>
      <w:pPr>
        <w:tabs>
          <w:tab w:val="left" w:pos="839"/>
        </w:tabs>
        <w:ind w:left="839" w:hanging="419"/>
      </w:pPr>
      <w:rPr>
        <w:rFonts w:hint="eastAsia" w:ascii="宋体" w:eastAsia="宋体"/>
        <w:b w:val="0"/>
        <w:i w:val="0"/>
        <w:sz w:val="21"/>
      </w:rPr>
    </w:lvl>
    <w:lvl w:ilvl="1" w:tentative="0">
      <w:start w:val="1"/>
      <w:numFmt w:val="decimal"/>
      <w:pStyle w:val="14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10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87BDACF"/>
    <w:multiLevelType w:val="singleLevel"/>
    <w:tmpl w:val="787BDACF"/>
    <w:lvl w:ilvl="0" w:tentative="0">
      <w:start w:val="1"/>
      <w:numFmt w:val="lowerLetter"/>
      <w:suff w:val="space"/>
      <w:lvlText w:val="%1)"/>
      <w:lvlJc w:val="left"/>
    </w:lvl>
  </w:abstractNum>
  <w:num w:numId="1">
    <w:abstractNumId w:val="10"/>
  </w:num>
  <w:num w:numId="2">
    <w:abstractNumId w:val="1"/>
  </w:num>
  <w:num w:numId="3">
    <w:abstractNumId w:val="0"/>
  </w:num>
  <w:num w:numId="4">
    <w:abstractNumId w:val="15"/>
  </w:num>
  <w:num w:numId="5">
    <w:abstractNumId w:val="6"/>
  </w:num>
  <w:num w:numId="6">
    <w:abstractNumId w:val="8"/>
  </w:num>
  <w:num w:numId="7">
    <w:abstractNumId w:val="12"/>
  </w:num>
  <w:num w:numId="8">
    <w:abstractNumId w:val="13"/>
  </w:num>
  <w:num w:numId="9">
    <w:abstractNumId w:val="11"/>
  </w:num>
  <w:num w:numId="10">
    <w:abstractNumId w:val="14"/>
  </w:num>
  <w:num w:numId="11">
    <w:abstractNumId w:val="9"/>
  </w:num>
  <w:num w:numId="12">
    <w:abstractNumId w:val="3"/>
  </w:num>
  <w:num w:numId="13">
    <w:abstractNumId w:val="7"/>
  </w:num>
  <w:num w:numId="14">
    <w:abstractNumId w:val="17"/>
  </w:num>
  <w:num w:numId="15">
    <w:abstractNumId w:val="5"/>
  </w:num>
  <w:num w:numId="16">
    <w:abstractNumId w:val="4"/>
  </w:num>
  <w:num w:numId="17">
    <w:abstractNumId w:val="2"/>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3MGM0MWJjN2YxMmMwMTZjYjk0N2MyYjQwNWNiYmMifQ=="/>
  </w:docVars>
  <w:rsids>
    <w:rsidRoot w:val="009D003E"/>
    <w:rsid w:val="0003014C"/>
    <w:rsid w:val="000C386C"/>
    <w:rsid w:val="000D0FBB"/>
    <w:rsid w:val="00155F4D"/>
    <w:rsid w:val="0016026E"/>
    <w:rsid w:val="001B291C"/>
    <w:rsid w:val="00264C1E"/>
    <w:rsid w:val="002748B8"/>
    <w:rsid w:val="002C2320"/>
    <w:rsid w:val="00304573"/>
    <w:rsid w:val="00334133"/>
    <w:rsid w:val="00372505"/>
    <w:rsid w:val="003C310F"/>
    <w:rsid w:val="00443EC3"/>
    <w:rsid w:val="00453F69"/>
    <w:rsid w:val="004C21DE"/>
    <w:rsid w:val="004E35D9"/>
    <w:rsid w:val="0050020B"/>
    <w:rsid w:val="00515313"/>
    <w:rsid w:val="005746A7"/>
    <w:rsid w:val="00596DF3"/>
    <w:rsid w:val="005A323E"/>
    <w:rsid w:val="005E3013"/>
    <w:rsid w:val="005E67C7"/>
    <w:rsid w:val="005F1C4B"/>
    <w:rsid w:val="005F2E87"/>
    <w:rsid w:val="00623B53"/>
    <w:rsid w:val="00683939"/>
    <w:rsid w:val="0069792C"/>
    <w:rsid w:val="00697E21"/>
    <w:rsid w:val="006C0420"/>
    <w:rsid w:val="006E6F94"/>
    <w:rsid w:val="008143BD"/>
    <w:rsid w:val="0084326B"/>
    <w:rsid w:val="00893CCC"/>
    <w:rsid w:val="008D2574"/>
    <w:rsid w:val="008D7FE2"/>
    <w:rsid w:val="008F6E0A"/>
    <w:rsid w:val="009017D4"/>
    <w:rsid w:val="009D003E"/>
    <w:rsid w:val="00A130E3"/>
    <w:rsid w:val="00A14E16"/>
    <w:rsid w:val="00A71B91"/>
    <w:rsid w:val="00AB115D"/>
    <w:rsid w:val="00B0427F"/>
    <w:rsid w:val="00B50522"/>
    <w:rsid w:val="00B767EE"/>
    <w:rsid w:val="00BD160B"/>
    <w:rsid w:val="00CC1E27"/>
    <w:rsid w:val="00CC7A10"/>
    <w:rsid w:val="00CD6D6F"/>
    <w:rsid w:val="00CE05CE"/>
    <w:rsid w:val="00CF1772"/>
    <w:rsid w:val="00D33863"/>
    <w:rsid w:val="00D868B5"/>
    <w:rsid w:val="00DD6970"/>
    <w:rsid w:val="00DE20EA"/>
    <w:rsid w:val="00E32E6B"/>
    <w:rsid w:val="00EB2266"/>
    <w:rsid w:val="00EE6ED6"/>
    <w:rsid w:val="00F63DC0"/>
    <w:rsid w:val="00F7480F"/>
    <w:rsid w:val="00FB1B4A"/>
    <w:rsid w:val="00FB7B0F"/>
    <w:rsid w:val="00FD6211"/>
    <w:rsid w:val="027A76EE"/>
    <w:rsid w:val="03951DDE"/>
    <w:rsid w:val="06081EEA"/>
    <w:rsid w:val="09205965"/>
    <w:rsid w:val="0F3074E0"/>
    <w:rsid w:val="108005C5"/>
    <w:rsid w:val="121E0096"/>
    <w:rsid w:val="122E0892"/>
    <w:rsid w:val="12D76496"/>
    <w:rsid w:val="17DC4AD0"/>
    <w:rsid w:val="19834C82"/>
    <w:rsid w:val="19874772"/>
    <w:rsid w:val="1A255666"/>
    <w:rsid w:val="1A911621"/>
    <w:rsid w:val="1BEA0AC8"/>
    <w:rsid w:val="1DD97567"/>
    <w:rsid w:val="1F3F3CEB"/>
    <w:rsid w:val="23A36271"/>
    <w:rsid w:val="243E6375"/>
    <w:rsid w:val="24FF3177"/>
    <w:rsid w:val="28E05C4D"/>
    <w:rsid w:val="2ACB0BD4"/>
    <w:rsid w:val="2BF42AC0"/>
    <w:rsid w:val="2EBC6814"/>
    <w:rsid w:val="2F0106CB"/>
    <w:rsid w:val="2F7C41F6"/>
    <w:rsid w:val="3031359C"/>
    <w:rsid w:val="31803E2C"/>
    <w:rsid w:val="368C4683"/>
    <w:rsid w:val="372728F5"/>
    <w:rsid w:val="37F232A7"/>
    <w:rsid w:val="381128D9"/>
    <w:rsid w:val="3DE170EA"/>
    <w:rsid w:val="3E59270A"/>
    <w:rsid w:val="44935E12"/>
    <w:rsid w:val="45AF0A29"/>
    <w:rsid w:val="462D014B"/>
    <w:rsid w:val="467115C6"/>
    <w:rsid w:val="4A58343D"/>
    <w:rsid w:val="4A5971B6"/>
    <w:rsid w:val="4BE56F53"/>
    <w:rsid w:val="4C675BBA"/>
    <w:rsid w:val="4CE07ADB"/>
    <w:rsid w:val="4DA544E7"/>
    <w:rsid w:val="4FDD6193"/>
    <w:rsid w:val="549A681B"/>
    <w:rsid w:val="55937A20"/>
    <w:rsid w:val="565D3AF2"/>
    <w:rsid w:val="5721105B"/>
    <w:rsid w:val="58C148A4"/>
    <w:rsid w:val="596F0EEE"/>
    <w:rsid w:val="59E13B26"/>
    <w:rsid w:val="5B092751"/>
    <w:rsid w:val="5EDA0FE7"/>
    <w:rsid w:val="5F335DCF"/>
    <w:rsid w:val="64BE438D"/>
    <w:rsid w:val="65275D0A"/>
    <w:rsid w:val="664570E8"/>
    <w:rsid w:val="665C3E5E"/>
    <w:rsid w:val="67357991"/>
    <w:rsid w:val="691B1DAE"/>
    <w:rsid w:val="6A521800"/>
    <w:rsid w:val="6C336ED2"/>
    <w:rsid w:val="743A6890"/>
    <w:rsid w:val="74455F31"/>
    <w:rsid w:val="74466952"/>
    <w:rsid w:val="755B0E30"/>
    <w:rsid w:val="77244912"/>
    <w:rsid w:val="7924080B"/>
    <w:rsid w:val="7C4C4048"/>
    <w:rsid w:val="7C4D0E92"/>
    <w:rsid w:val="7D1E1A15"/>
    <w:rsid w:val="7F0C357F"/>
    <w:rsid w:val="7F8738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158"/>
    <w:autoRedefine/>
    <w:semiHidden/>
    <w:unhideWhenUsed/>
    <w:qFormat/>
    <w:uiPriority w:val="9"/>
    <w:pPr>
      <w:keepNext/>
      <w:keepLines/>
      <w:spacing w:before="260" w:after="260" w:line="416" w:lineRule="auto"/>
      <w:outlineLvl w:val="2"/>
    </w:pPr>
    <w:rPr>
      <w:b/>
      <w:bCs/>
      <w:sz w:val="32"/>
      <w:szCs w:val="32"/>
    </w:rPr>
  </w:style>
  <w:style w:type="character" w:default="1" w:styleId="34">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1"/>
      </w:tabs>
      <w:ind w:firstLine="505"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link w:val="65"/>
    <w:autoRedefine/>
    <w:semiHidden/>
    <w:qFormat/>
    <w:uiPriority w:val="0"/>
    <w:pPr>
      <w:shd w:val="clear" w:color="auto" w:fill="000080"/>
    </w:pPr>
  </w:style>
  <w:style w:type="paragraph" w:styleId="9">
    <w:name w:val="annotation text"/>
    <w:basedOn w:val="1"/>
    <w:link w:val="153"/>
    <w:qFormat/>
    <w:uiPriority w:val="0"/>
    <w:pPr>
      <w:jc w:val="left"/>
    </w:pPr>
  </w:style>
  <w:style w:type="paragraph" w:styleId="10">
    <w:name w:val="index 6"/>
    <w:basedOn w:val="1"/>
    <w:next w:val="1"/>
    <w:autoRedefine/>
    <w:qFormat/>
    <w:uiPriority w:val="0"/>
    <w:pPr>
      <w:ind w:left="1260" w:hanging="210"/>
      <w:jc w:val="left"/>
    </w:pPr>
    <w:rPr>
      <w:rFonts w:ascii="Calibri" w:hAnsi="Calibri"/>
      <w:sz w:val="20"/>
      <w:szCs w:val="20"/>
    </w:rPr>
  </w:style>
  <w:style w:type="paragraph" w:styleId="11">
    <w:name w:val="index 4"/>
    <w:basedOn w:val="1"/>
    <w:next w:val="1"/>
    <w:autoRedefine/>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qFormat/>
    <w:uiPriority w:val="39"/>
    <w:pPr>
      <w:tabs>
        <w:tab w:val="right" w:leader="dot" w:pos="9241"/>
      </w:tabs>
      <w:ind w:firstLine="102" w:firstLineChars="100"/>
      <w:jc w:val="left"/>
    </w:pPr>
    <w:rPr>
      <w:rFonts w:ascii="宋体"/>
      <w:szCs w:val="21"/>
    </w:rPr>
  </w:style>
  <w:style w:type="paragraph" w:styleId="14">
    <w:name w:val="toc 8"/>
    <w:basedOn w:val="1"/>
    <w:next w:val="1"/>
    <w:semiHidden/>
    <w:qFormat/>
    <w:uiPriority w:val="0"/>
    <w:pPr>
      <w:tabs>
        <w:tab w:val="right" w:leader="dot" w:pos="9241"/>
      </w:tabs>
      <w:ind w:firstLine="607" w:firstLineChars="600"/>
      <w:jc w:val="left"/>
    </w:pPr>
    <w:rPr>
      <w:rFonts w:ascii="宋体"/>
      <w:szCs w:val="21"/>
    </w:rPr>
  </w:style>
  <w:style w:type="paragraph" w:styleId="15">
    <w:name w:val="index 3"/>
    <w:basedOn w:val="1"/>
    <w:next w:val="1"/>
    <w:autoRedefine/>
    <w:qFormat/>
    <w:uiPriority w:val="0"/>
    <w:pPr>
      <w:ind w:left="630" w:hanging="210"/>
      <w:jc w:val="left"/>
    </w:pPr>
    <w:rPr>
      <w:rFonts w:ascii="Calibri" w:hAnsi="Calibri"/>
      <w:sz w:val="20"/>
      <w:szCs w:val="20"/>
    </w:rPr>
  </w:style>
  <w:style w:type="paragraph" w:styleId="16">
    <w:name w:val="endnote text"/>
    <w:basedOn w:val="1"/>
    <w:link w:val="69"/>
    <w:autoRedefine/>
    <w:semiHidden/>
    <w:qFormat/>
    <w:uiPriority w:val="0"/>
    <w:pPr>
      <w:snapToGrid w:val="0"/>
      <w:jc w:val="left"/>
    </w:pPr>
  </w:style>
  <w:style w:type="paragraph" w:styleId="17">
    <w:name w:val="Balloon Text"/>
    <w:basedOn w:val="1"/>
    <w:link w:val="43"/>
    <w:qFormat/>
    <w:uiPriority w:val="0"/>
    <w:rPr>
      <w:rFonts w:cs="宋体"/>
      <w:color w:val="000000"/>
      <w:sz w:val="18"/>
      <w:szCs w:val="18"/>
    </w:rPr>
  </w:style>
  <w:style w:type="paragraph" w:styleId="18">
    <w:name w:val="footer"/>
    <w:basedOn w:val="1"/>
    <w:link w:val="66"/>
    <w:qFormat/>
    <w:uiPriority w:val="0"/>
    <w:pPr>
      <w:snapToGrid w:val="0"/>
      <w:ind w:right="210" w:rightChars="100"/>
      <w:jc w:val="right"/>
    </w:pPr>
    <w:rPr>
      <w:sz w:val="18"/>
      <w:szCs w:val="18"/>
    </w:rPr>
  </w:style>
  <w:style w:type="paragraph" w:styleId="19">
    <w:name w:val="header"/>
    <w:basedOn w:val="1"/>
    <w:link w:val="53"/>
    <w:qFormat/>
    <w:uiPriority w:val="0"/>
    <w:pPr>
      <w:snapToGrid w:val="0"/>
      <w:jc w:val="left"/>
    </w:pPr>
    <w:rPr>
      <w:sz w:val="18"/>
      <w:szCs w:val="18"/>
    </w:rPr>
  </w:style>
  <w:style w:type="paragraph" w:styleId="20">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21">
    <w:name w:val="toc 4"/>
    <w:basedOn w:val="1"/>
    <w:next w:val="1"/>
    <w:semiHidden/>
    <w:qFormat/>
    <w:uiPriority w:val="0"/>
    <w:pPr>
      <w:tabs>
        <w:tab w:val="right" w:leader="dot" w:pos="9241"/>
      </w:tabs>
      <w:ind w:firstLine="198"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1"/>
    <w:unhideWhenUsed/>
    <w:qFormat/>
    <w:uiPriority w:val="0"/>
  </w:style>
  <w:style w:type="paragraph" w:styleId="24">
    <w:name w:val="footnote text"/>
    <w:basedOn w:val="1"/>
    <w:link w:val="74"/>
    <w:qFormat/>
    <w:uiPriority w:val="0"/>
    <w:pPr>
      <w:numPr>
        <w:ilvl w:val="0"/>
        <w:numId w:val="1"/>
      </w:numPr>
      <w:snapToGrid w:val="0"/>
      <w:jc w:val="left"/>
    </w:pPr>
    <w:rPr>
      <w:rFonts w:ascii="宋体"/>
      <w:sz w:val="18"/>
      <w:szCs w:val="18"/>
    </w:rPr>
  </w:style>
  <w:style w:type="paragraph" w:styleId="25">
    <w:name w:val="toc 6"/>
    <w:basedOn w:val="1"/>
    <w:next w:val="1"/>
    <w:semiHidden/>
    <w:qFormat/>
    <w:uiPriority w:val="0"/>
    <w:pPr>
      <w:tabs>
        <w:tab w:val="right" w:leader="dot" w:pos="9241"/>
      </w:tabs>
      <w:ind w:firstLine="403" w:firstLineChars="400"/>
      <w:jc w:val="left"/>
    </w:pPr>
    <w:rPr>
      <w:rFonts w:ascii="宋体"/>
      <w:szCs w:val="21"/>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qFormat/>
    <w:uiPriority w:val="39"/>
    <w:pPr>
      <w:tabs>
        <w:tab w:val="right" w:leader="dot" w:pos="9241"/>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index 2"/>
    <w:basedOn w:val="1"/>
    <w:next w:val="1"/>
    <w:qFormat/>
    <w:uiPriority w:val="0"/>
    <w:pPr>
      <w:ind w:left="420" w:hanging="210"/>
      <w:jc w:val="left"/>
    </w:pPr>
    <w:rPr>
      <w:rFonts w:ascii="Calibri" w:hAnsi="Calibri"/>
      <w:sz w:val="20"/>
      <w:szCs w:val="20"/>
    </w:rPr>
  </w:style>
  <w:style w:type="paragraph" w:styleId="31">
    <w:name w:val="annotation subject"/>
    <w:basedOn w:val="9"/>
    <w:next w:val="9"/>
    <w:link w:val="154"/>
    <w:qFormat/>
    <w:uiPriority w:val="0"/>
    <w:rPr>
      <w:b/>
      <w:bCs/>
    </w:rPr>
  </w:style>
  <w:style w:type="table" w:styleId="33">
    <w:name w:val="Table Grid"/>
    <w:basedOn w:val="32"/>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endnote reference"/>
    <w:semiHidden/>
    <w:qFormat/>
    <w:uiPriority w:val="0"/>
    <w:rPr>
      <w:vertAlign w:val="superscript"/>
    </w:rPr>
  </w:style>
  <w:style w:type="character" w:styleId="36">
    <w:name w:val="page number"/>
    <w:qFormat/>
    <w:uiPriority w:val="0"/>
    <w:rPr>
      <w:rFonts w:ascii="Times New Roman" w:hAnsi="Times New Roman" w:eastAsia="宋体"/>
      <w:sz w:val="18"/>
    </w:rPr>
  </w:style>
  <w:style w:type="character" w:styleId="37">
    <w:name w:val="FollowedHyperlink"/>
    <w:qFormat/>
    <w:uiPriority w:val="0"/>
    <w:rPr>
      <w:color w:val="800080"/>
      <w:u w:val="single"/>
    </w:rPr>
  </w:style>
  <w:style w:type="character" w:styleId="38">
    <w:name w:val="Emphasis"/>
    <w:basedOn w:val="34"/>
    <w:qFormat/>
    <w:uiPriority w:val="20"/>
    <w:rPr>
      <w:i/>
    </w:rPr>
  </w:style>
  <w:style w:type="character" w:styleId="39">
    <w:name w:val="Hyperlink"/>
    <w:autoRedefine/>
    <w:qFormat/>
    <w:uiPriority w:val="99"/>
    <w:rPr>
      <w:color w:val="0000FF"/>
      <w:spacing w:val="0"/>
      <w:w w:val="100"/>
      <w:szCs w:val="21"/>
      <w:u w:val="single"/>
      <w:lang w:val="en-US" w:eastAsia="zh-CN"/>
    </w:rPr>
  </w:style>
  <w:style w:type="character" w:styleId="40">
    <w:name w:val="annotation reference"/>
    <w:qFormat/>
    <w:uiPriority w:val="0"/>
    <w:rPr>
      <w:sz w:val="21"/>
      <w:szCs w:val="21"/>
    </w:rPr>
  </w:style>
  <w:style w:type="character" w:styleId="41">
    <w:name w:val="footnote reference"/>
    <w:autoRedefine/>
    <w:semiHidden/>
    <w:qFormat/>
    <w:uiPriority w:val="0"/>
    <w:rPr>
      <w:vertAlign w:val="superscript"/>
    </w:rPr>
  </w:style>
  <w:style w:type="character" w:customStyle="1" w:styleId="42">
    <w:name w:val="标题 1 字符"/>
    <w:basedOn w:val="34"/>
    <w:link w:val="2"/>
    <w:qFormat/>
    <w:uiPriority w:val="0"/>
    <w:rPr>
      <w:rFonts w:cs="Times New Roman"/>
      <w:b/>
      <w:bCs/>
      <w:color w:val="auto"/>
      <w:kern w:val="44"/>
      <w:sz w:val="44"/>
      <w:szCs w:val="44"/>
    </w:rPr>
  </w:style>
  <w:style w:type="character" w:customStyle="1" w:styleId="43">
    <w:name w:val="批注框文本 字符"/>
    <w:link w:val="17"/>
    <w:autoRedefine/>
    <w:qFormat/>
    <w:uiPriority w:val="0"/>
    <w:rPr>
      <w:kern w:val="2"/>
      <w:sz w:val="18"/>
      <w:szCs w:val="18"/>
    </w:rPr>
  </w:style>
  <w:style w:type="character" w:customStyle="1" w:styleId="44">
    <w:name w:val="附录公式 Char"/>
    <w:basedOn w:val="45"/>
    <w:link w:val="47"/>
    <w:qFormat/>
    <w:uiPriority w:val="0"/>
    <w:rPr>
      <w:rFonts w:ascii="宋体"/>
      <w:sz w:val="21"/>
    </w:rPr>
  </w:style>
  <w:style w:type="character" w:customStyle="1" w:styleId="45">
    <w:name w:val="段 Char"/>
    <w:link w:val="46"/>
    <w:autoRedefine/>
    <w:qFormat/>
    <w:uiPriority w:val="0"/>
    <w:rPr>
      <w:rFonts w:ascii="宋体"/>
      <w:sz w:val="21"/>
    </w:rPr>
  </w:style>
  <w:style w:type="paragraph" w:customStyle="1" w:styleId="46">
    <w:name w:val="段"/>
    <w:link w:val="45"/>
    <w:qFormat/>
    <w:uiPriority w:val="0"/>
    <w:pPr>
      <w:tabs>
        <w:tab w:val="center" w:pos="4201"/>
        <w:tab w:val="right" w:leader="dot" w:pos="9298"/>
      </w:tabs>
      <w:autoSpaceDE w:val="0"/>
      <w:autoSpaceDN w:val="0"/>
      <w:ind w:firstLine="420" w:firstLineChars="200"/>
      <w:jc w:val="both"/>
    </w:pPr>
    <w:rPr>
      <w:rFonts w:ascii="宋体" w:hAnsi="Times New Roman" w:eastAsia="宋体" w:cs="宋体"/>
      <w:color w:val="000000"/>
      <w:sz w:val="21"/>
      <w:szCs w:val="22"/>
      <w:lang w:val="en-US" w:eastAsia="zh-CN" w:bidi="ar-SA"/>
    </w:rPr>
  </w:style>
  <w:style w:type="paragraph" w:customStyle="1" w:styleId="47">
    <w:name w:val="附录公式"/>
    <w:basedOn w:val="46"/>
    <w:next w:val="46"/>
    <w:link w:val="44"/>
    <w:qFormat/>
    <w:uiPriority w:val="0"/>
  </w:style>
  <w:style w:type="character" w:customStyle="1" w:styleId="48">
    <w:name w:val="发布"/>
    <w:qFormat/>
    <w:uiPriority w:val="0"/>
    <w:rPr>
      <w:rFonts w:ascii="黑体" w:eastAsia="黑体"/>
      <w:spacing w:val="85"/>
      <w:w w:val="100"/>
      <w:position w:val="3"/>
      <w:sz w:val="28"/>
      <w:szCs w:val="28"/>
    </w:rPr>
  </w:style>
  <w:style w:type="character" w:customStyle="1" w:styleId="49">
    <w:name w:val="首示例 Char"/>
    <w:link w:val="50"/>
    <w:autoRedefine/>
    <w:qFormat/>
    <w:uiPriority w:val="0"/>
    <w:rPr>
      <w:rFonts w:ascii="宋体" w:hAnsi="宋体"/>
      <w:kern w:val="2"/>
      <w:sz w:val="18"/>
      <w:szCs w:val="18"/>
    </w:rPr>
  </w:style>
  <w:style w:type="paragraph" w:customStyle="1" w:styleId="50">
    <w:name w:val="首示例"/>
    <w:next w:val="46"/>
    <w:link w:val="49"/>
    <w:autoRedefine/>
    <w:qFormat/>
    <w:uiPriority w:val="0"/>
    <w:pPr>
      <w:numPr>
        <w:ilvl w:val="0"/>
        <w:numId w:val="2"/>
      </w:numPr>
      <w:tabs>
        <w:tab w:val="left" w:pos="360"/>
      </w:tabs>
      <w:ind w:firstLine="0"/>
    </w:pPr>
    <w:rPr>
      <w:rFonts w:ascii="宋体" w:hAnsi="宋体" w:eastAsia="宋体" w:cs="宋体"/>
      <w:color w:val="000000"/>
      <w:kern w:val="2"/>
      <w:sz w:val="18"/>
      <w:szCs w:val="18"/>
      <w:lang w:val="en-US" w:eastAsia="zh-CN" w:bidi="ar-SA"/>
    </w:rPr>
  </w:style>
  <w:style w:type="paragraph" w:customStyle="1" w:styleId="51">
    <w:name w:val="封面正文"/>
    <w:autoRedefine/>
    <w:qFormat/>
    <w:uiPriority w:val="0"/>
    <w:pPr>
      <w:jc w:val="both"/>
    </w:pPr>
    <w:rPr>
      <w:rFonts w:ascii="Times New Roman" w:hAnsi="Times New Roman" w:eastAsia="宋体" w:cs="Times New Roman"/>
      <w:lang w:val="en-US" w:eastAsia="zh-CN" w:bidi="ar-SA"/>
    </w:rPr>
  </w:style>
  <w:style w:type="paragraph" w:customStyle="1" w:styleId="5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character" w:customStyle="1" w:styleId="53">
    <w:name w:val="页眉 字符"/>
    <w:basedOn w:val="34"/>
    <w:link w:val="19"/>
    <w:autoRedefine/>
    <w:qFormat/>
    <w:uiPriority w:val="0"/>
    <w:rPr>
      <w:rFonts w:cs="Times New Roman"/>
      <w:color w:val="auto"/>
      <w:kern w:val="2"/>
      <w:sz w:val="18"/>
      <w:szCs w:val="18"/>
    </w:rPr>
  </w:style>
  <w:style w:type="paragraph" w:customStyle="1" w:styleId="54">
    <w:name w:val="封面标准英文名称2"/>
    <w:basedOn w:val="55"/>
    <w:autoRedefine/>
    <w:qFormat/>
    <w:uiPriority w:val="0"/>
    <w:pPr>
      <w:framePr w:wrap="around" w:y="4469"/>
    </w:pPr>
  </w:style>
  <w:style w:type="paragraph" w:customStyle="1" w:styleId="55">
    <w:name w:val="封面标准英文名称"/>
    <w:basedOn w:val="56"/>
    <w:autoRedefine/>
    <w:qFormat/>
    <w:uiPriority w:val="0"/>
    <w:pPr>
      <w:framePr w:wrap="around"/>
      <w:spacing w:before="370" w:line="400" w:lineRule="exact"/>
    </w:pPr>
    <w:rPr>
      <w:rFonts w:ascii="Times New Roman"/>
      <w:sz w:val="28"/>
      <w:szCs w:val="28"/>
    </w:rPr>
  </w:style>
  <w:style w:type="paragraph" w:customStyle="1" w:styleId="56">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7">
    <w:name w:val="注×："/>
    <w:autoRedefine/>
    <w:qFormat/>
    <w:uiPriority w:val="0"/>
    <w:pPr>
      <w:widowControl w:val="0"/>
      <w:numPr>
        <w:ilvl w:val="0"/>
        <w:numId w:val="3"/>
      </w:numPr>
      <w:autoSpaceDE w:val="0"/>
      <w:autoSpaceDN w:val="0"/>
      <w:jc w:val="both"/>
    </w:pPr>
    <w:rPr>
      <w:rFonts w:ascii="宋体" w:hAnsi="Times New Roman" w:eastAsia="宋体" w:cs="Times New Roman"/>
      <w:sz w:val="18"/>
      <w:szCs w:val="18"/>
      <w:lang w:val="en-US" w:eastAsia="zh-CN" w:bidi="ar-SA"/>
    </w:rPr>
  </w:style>
  <w:style w:type="paragraph" w:customStyle="1" w:styleId="58">
    <w:name w:val="附录二级条标题"/>
    <w:basedOn w:val="1"/>
    <w:next w:val="46"/>
    <w:autoRedefine/>
    <w:qFormat/>
    <w:uiPriority w:val="0"/>
    <w:pPr>
      <w:widowControl/>
      <w:numPr>
        <w:ilvl w:val="3"/>
        <w:numId w:val="4"/>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59">
    <w:name w:val="五级条标题"/>
    <w:basedOn w:val="60"/>
    <w:next w:val="46"/>
    <w:autoRedefine/>
    <w:qFormat/>
    <w:uiPriority w:val="0"/>
    <w:pPr>
      <w:numPr>
        <w:ilvl w:val="5"/>
      </w:numPr>
      <w:outlineLvl w:val="6"/>
    </w:pPr>
  </w:style>
  <w:style w:type="paragraph" w:customStyle="1" w:styleId="60">
    <w:name w:val="四级条标题"/>
    <w:basedOn w:val="61"/>
    <w:next w:val="46"/>
    <w:qFormat/>
    <w:uiPriority w:val="0"/>
    <w:pPr>
      <w:numPr>
        <w:ilvl w:val="4"/>
        <w:numId w:val="5"/>
      </w:numPr>
      <w:outlineLvl w:val="5"/>
    </w:pPr>
  </w:style>
  <w:style w:type="paragraph" w:customStyle="1" w:styleId="61">
    <w:name w:val="三级条标题"/>
    <w:basedOn w:val="62"/>
    <w:next w:val="46"/>
    <w:autoRedefine/>
    <w:qFormat/>
    <w:uiPriority w:val="0"/>
    <w:pPr>
      <w:numPr>
        <w:ilvl w:val="0"/>
        <w:numId w:val="0"/>
      </w:numPr>
      <w:outlineLvl w:val="4"/>
    </w:pPr>
  </w:style>
  <w:style w:type="paragraph" w:customStyle="1" w:styleId="62">
    <w:name w:val="二级条标题"/>
    <w:basedOn w:val="63"/>
    <w:next w:val="46"/>
    <w:qFormat/>
    <w:uiPriority w:val="0"/>
    <w:pPr>
      <w:numPr>
        <w:ilvl w:val="2"/>
      </w:numPr>
      <w:spacing w:before="50" w:after="50"/>
      <w:outlineLvl w:val="3"/>
    </w:pPr>
  </w:style>
  <w:style w:type="paragraph" w:customStyle="1" w:styleId="63">
    <w:name w:val="一级条标题"/>
    <w:next w:val="46"/>
    <w:qFormat/>
    <w:uiPriority w:val="0"/>
    <w:pPr>
      <w:numPr>
        <w:ilvl w:val="1"/>
        <w:numId w:val="5"/>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64">
    <w:name w:val="附录图标号"/>
    <w:basedOn w:val="1"/>
    <w:qFormat/>
    <w:uiPriority w:val="0"/>
    <w:pPr>
      <w:keepNext/>
      <w:pageBreakBefore/>
      <w:widowControl/>
      <w:numPr>
        <w:ilvl w:val="0"/>
        <w:numId w:val="6"/>
      </w:numPr>
      <w:spacing w:line="14" w:lineRule="exact"/>
      <w:ind w:left="0" w:firstLine="363"/>
      <w:jc w:val="center"/>
      <w:outlineLvl w:val="0"/>
    </w:pPr>
    <w:rPr>
      <w:color w:val="FFFFFF"/>
    </w:rPr>
  </w:style>
  <w:style w:type="character" w:customStyle="1" w:styleId="65">
    <w:name w:val="文档结构图 字符"/>
    <w:basedOn w:val="34"/>
    <w:link w:val="8"/>
    <w:semiHidden/>
    <w:qFormat/>
    <w:uiPriority w:val="0"/>
    <w:rPr>
      <w:rFonts w:cs="Times New Roman"/>
      <w:color w:val="auto"/>
      <w:kern w:val="2"/>
      <w:sz w:val="21"/>
      <w:szCs w:val="24"/>
      <w:shd w:val="clear" w:color="auto" w:fill="000080"/>
    </w:rPr>
  </w:style>
  <w:style w:type="character" w:customStyle="1" w:styleId="66">
    <w:name w:val="页脚 字符"/>
    <w:basedOn w:val="34"/>
    <w:link w:val="18"/>
    <w:qFormat/>
    <w:uiPriority w:val="0"/>
    <w:rPr>
      <w:rFonts w:cs="Times New Roman"/>
      <w:color w:val="auto"/>
      <w:kern w:val="2"/>
      <w:sz w:val="18"/>
      <w:szCs w:val="18"/>
    </w:rPr>
  </w:style>
  <w:style w:type="paragraph" w:customStyle="1" w:styleId="67">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68">
    <w:name w:val="发布部门"/>
    <w:next w:val="46"/>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character" w:customStyle="1" w:styleId="69">
    <w:name w:val="尾注文本 字符"/>
    <w:basedOn w:val="34"/>
    <w:link w:val="16"/>
    <w:semiHidden/>
    <w:qFormat/>
    <w:uiPriority w:val="0"/>
    <w:rPr>
      <w:rFonts w:cs="Times New Roman"/>
      <w:color w:val="auto"/>
      <w:kern w:val="2"/>
      <w:sz w:val="21"/>
      <w:szCs w:val="24"/>
    </w:rPr>
  </w:style>
  <w:style w:type="character" w:customStyle="1" w:styleId="70">
    <w:name w:val="批注框文本 字符1"/>
    <w:basedOn w:val="34"/>
    <w:autoRedefine/>
    <w:semiHidden/>
    <w:qFormat/>
    <w:uiPriority w:val="99"/>
    <w:rPr>
      <w:rFonts w:cs="Times New Roman"/>
      <w:color w:val="auto"/>
      <w:kern w:val="2"/>
      <w:sz w:val="18"/>
      <w:szCs w:val="18"/>
    </w:rPr>
  </w:style>
  <w:style w:type="paragraph" w:customStyle="1" w:styleId="71">
    <w:name w:val="附录五级条标题"/>
    <w:basedOn w:val="72"/>
    <w:next w:val="46"/>
    <w:autoRedefine/>
    <w:qFormat/>
    <w:uiPriority w:val="0"/>
    <w:pPr>
      <w:numPr>
        <w:ilvl w:val="6"/>
      </w:numPr>
      <w:tabs>
        <w:tab w:val="left" w:pos="360"/>
      </w:tabs>
      <w:outlineLvl w:val="6"/>
    </w:pPr>
  </w:style>
  <w:style w:type="paragraph" w:customStyle="1" w:styleId="72">
    <w:name w:val="附录四级条标题"/>
    <w:basedOn w:val="73"/>
    <w:next w:val="46"/>
    <w:qFormat/>
    <w:uiPriority w:val="0"/>
    <w:pPr>
      <w:numPr>
        <w:ilvl w:val="5"/>
      </w:numPr>
      <w:tabs>
        <w:tab w:val="left" w:pos="360"/>
      </w:tabs>
      <w:outlineLvl w:val="5"/>
    </w:pPr>
  </w:style>
  <w:style w:type="paragraph" w:customStyle="1" w:styleId="73">
    <w:name w:val="附录三级条标题"/>
    <w:basedOn w:val="58"/>
    <w:next w:val="46"/>
    <w:autoRedefine/>
    <w:qFormat/>
    <w:uiPriority w:val="0"/>
    <w:pPr>
      <w:numPr>
        <w:ilvl w:val="4"/>
      </w:numPr>
      <w:outlineLvl w:val="4"/>
    </w:pPr>
  </w:style>
  <w:style w:type="character" w:customStyle="1" w:styleId="74">
    <w:name w:val="脚注文本 字符"/>
    <w:basedOn w:val="34"/>
    <w:link w:val="24"/>
    <w:qFormat/>
    <w:uiPriority w:val="0"/>
    <w:rPr>
      <w:rFonts w:ascii="宋体" w:cs="Times New Roman"/>
      <w:color w:val="auto"/>
      <w:kern w:val="2"/>
      <w:sz w:val="18"/>
      <w:szCs w:val="18"/>
    </w:rPr>
  </w:style>
  <w:style w:type="paragraph" w:customStyle="1" w:styleId="75">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76">
    <w:name w:val="封面标准文稿编辑信息2"/>
    <w:basedOn w:val="77"/>
    <w:autoRedefine/>
    <w:qFormat/>
    <w:uiPriority w:val="0"/>
    <w:pPr>
      <w:framePr w:wrap="around" w:y="4469"/>
    </w:pPr>
  </w:style>
  <w:style w:type="paragraph" w:customStyle="1" w:styleId="77">
    <w:name w:val="封面标准文稿编辑信息"/>
    <w:basedOn w:val="78"/>
    <w:autoRedefine/>
    <w:qFormat/>
    <w:uiPriority w:val="0"/>
    <w:pPr>
      <w:framePr w:wrap="around"/>
      <w:spacing w:before="180" w:line="180" w:lineRule="exact"/>
    </w:pPr>
    <w:rPr>
      <w:sz w:val="21"/>
    </w:rPr>
  </w:style>
  <w:style w:type="paragraph" w:customStyle="1" w:styleId="78">
    <w:name w:val="封面标准文稿类别"/>
    <w:basedOn w:val="79"/>
    <w:qFormat/>
    <w:uiPriority w:val="0"/>
    <w:pPr>
      <w:framePr w:wrap="around"/>
      <w:spacing w:after="160" w:line="240" w:lineRule="auto"/>
    </w:pPr>
    <w:rPr>
      <w:sz w:val="24"/>
    </w:rPr>
  </w:style>
  <w:style w:type="paragraph" w:customStyle="1" w:styleId="79">
    <w:name w:val="封面一致性程度标识"/>
    <w:basedOn w:val="55"/>
    <w:autoRedefine/>
    <w:qFormat/>
    <w:uiPriority w:val="0"/>
    <w:pPr>
      <w:framePr w:wrap="around"/>
      <w:spacing w:before="440"/>
    </w:pPr>
    <w:rPr>
      <w:rFonts w:ascii="宋体" w:eastAsia="宋体"/>
    </w:rPr>
  </w:style>
  <w:style w:type="paragraph" w:customStyle="1" w:styleId="80">
    <w:name w:val="示例×："/>
    <w:basedOn w:val="81"/>
    <w:autoRedefine/>
    <w:qFormat/>
    <w:uiPriority w:val="0"/>
    <w:pPr>
      <w:numPr>
        <w:numId w:val="7"/>
      </w:numPr>
      <w:spacing w:before="0" w:beforeLines="0" w:after="0" w:afterLines="0"/>
      <w:outlineLvl w:val="9"/>
    </w:pPr>
    <w:rPr>
      <w:rFonts w:ascii="宋体" w:eastAsia="宋体"/>
      <w:sz w:val="18"/>
      <w:szCs w:val="18"/>
    </w:rPr>
  </w:style>
  <w:style w:type="paragraph" w:customStyle="1" w:styleId="81">
    <w:name w:val="章标题"/>
    <w:next w:val="46"/>
    <w:autoRedefine/>
    <w:qFormat/>
    <w:uiPriority w:val="0"/>
    <w:pPr>
      <w:numPr>
        <w:ilvl w:val="0"/>
        <w:numId w:val="5"/>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82">
    <w:name w:val="附录图标题"/>
    <w:basedOn w:val="1"/>
    <w:next w:val="46"/>
    <w:autoRedefine/>
    <w:qFormat/>
    <w:uiPriority w:val="0"/>
    <w:pPr>
      <w:numPr>
        <w:ilvl w:val="1"/>
        <w:numId w:val="6"/>
      </w:numPr>
      <w:tabs>
        <w:tab w:val="left" w:pos="363"/>
      </w:tabs>
      <w:spacing w:before="50" w:beforeLines="50" w:after="50" w:afterLines="50"/>
      <w:ind w:left="0" w:firstLine="0"/>
      <w:jc w:val="center"/>
    </w:pPr>
    <w:rPr>
      <w:rFonts w:ascii="黑体" w:eastAsia="黑体"/>
      <w:szCs w:val="21"/>
    </w:rPr>
  </w:style>
  <w:style w:type="paragraph" w:customStyle="1" w:styleId="83">
    <w:name w:val="封面一致性程度标识2"/>
    <w:basedOn w:val="79"/>
    <w:autoRedefine/>
    <w:qFormat/>
    <w:uiPriority w:val="0"/>
    <w:pPr>
      <w:framePr w:wrap="around" w:y="4469"/>
    </w:pPr>
  </w:style>
  <w:style w:type="paragraph" w:customStyle="1" w:styleId="84">
    <w:name w:val="终结线"/>
    <w:basedOn w:val="1"/>
    <w:autoRedefine/>
    <w:qFormat/>
    <w:uiPriority w:val="0"/>
    <w:pPr>
      <w:framePr w:hSpace="181" w:vSpace="181" w:wrap="around" w:vAnchor="text" w:hAnchor="margin" w:xAlign="center" w:y="285"/>
    </w:pPr>
  </w:style>
  <w:style w:type="paragraph" w:customStyle="1" w:styleId="85">
    <w:name w:val="图的脚注"/>
    <w:next w:val="46"/>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86">
    <w:name w:val="附录章标题"/>
    <w:next w:val="46"/>
    <w:autoRedefine/>
    <w:qFormat/>
    <w:uiPriority w:val="0"/>
    <w:pPr>
      <w:numPr>
        <w:ilvl w:val="1"/>
        <w:numId w:val="4"/>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87">
    <w:name w:val="附录一级条标题"/>
    <w:basedOn w:val="86"/>
    <w:next w:val="46"/>
    <w:autoRedefine/>
    <w:qFormat/>
    <w:uiPriority w:val="0"/>
    <w:pPr>
      <w:numPr>
        <w:ilvl w:val="2"/>
      </w:numPr>
      <w:autoSpaceDN w:val="0"/>
      <w:spacing w:before="50" w:beforeLines="50" w:after="50" w:afterLines="50"/>
      <w:outlineLvl w:val="2"/>
    </w:pPr>
  </w:style>
  <w:style w:type="paragraph" w:customStyle="1" w:styleId="88">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89">
    <w:name w:val="附录表标题"/>
    <w:basedOn w:val="1"/>
    <w:next w:val="46"/>
    <w:qFormat/>
    <w:uiPriority w:val="0"/>
    <w:pPr>
      <w:numPr>
        <w:ilvl w:val="1"/>
        <w:numId w:val="8"/>
      </w:numPr>
      <w:tabs>
        <w:tab w:val="left" w:pos="180"/>
      </w:tabs>
      <w:spacing w:before="50" w:beforeLines="50" w:after="50" w:afterLines="50"/>
      <w:ind w:left="0" w:firstLine="0"/>
      <w:jc w:val="center"/>
    </w:pPr>
    <w:rPr>
      <w:rFonts w:ascii="黑体" w:eastAsia="黑体"/>
      <w:szCs w:val="21"/>
    </w:rPr>
  </w:style>
  <w:style w:type="paragraph" w:customStyle="1" w:styleId="90">
    <w:name w:val="数字编号列项（二级）"/>
    <w:autoRedefine/>
    <w:qFormat/>
    <w:uiPriority w:val="0"/>
    <w:pPr>
      <w:numPr>
        <w:ilvl w:val="1"/>
        <w:numId w:val="9"/>
      </w:numPr>
      <w:jc w:val="both"/>
    </w:pPr>
    <w:rPr>
      <w:rFonts w:ascii="宋体" w:hAnsi="Times New Roman" w:eastAsia="宋体" w:cs="Times New Roman"/>
      <w:sz w:val="21"/>
      <w:lang w:val="en-US" w:eastAsia="zh-CN" w:bidi="ar-SA"/>
    </w:rPr>
  </w:style>
  <w:style w:type="paragraph" w:customStyle="1" w:styleId="91">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92">
    <w:name w:val="正文表标题"/>
    <w:next w:val="46"/>
    <w:autoRedefine/>
    <w:qFormat/>
    <w:uiPriority w:val="0"/>
    <w:pPr>
      <w:numPr>
        <w:ilvl w:val="0"/>
        <w:numId w:val="10"/>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93">
    <w:name w:val="三级无"/>
    <w:basedOn w:val="61"/>
    <w:autoRedefine/>
    <w:qFormat/>
    <w:uiPriority w:val="0"/>
    <w:pPr>
      <w:spacing w:before="0" w:beforeLines="0" w:after="0" w:afterLines="0"/>
    </w:pPr>
    <w:rPr>
      <w:rFonts w:ascii="宋体" w:eastAsia="宋体"/>
    </w:rPr>
  </w:style>
  <w:style w:type="paragraph" w:customStyle="1" w:styleId="9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95">
    <w:name w:val="其他发布部门"/>
    <w:basedOn w:val="68"/>
    <w:qFormat/>
    <w:uiPriority w:val="0"/>
    <w:pPr>
      <w:framePr w:wrap="around" w:y="15310"/>
      <w:spacing w:line="0" w:lineRule="atLeast"/>
    </w:pPr>
    <w:rPr>
      <w:rFonts w:ascii="黑体" w:eastAsia="黑体"/>
      <w:b w:val="0"/>
    </w:rPr>
  </w:style>
  <w:style w:type="paragraph" w:customStyle="1" w:styleId="96">
    <w:name w:val="字母编号列项（一级）"/>
    <w:qFormat/>
    <w:uiPriority w:val="0"/>
    <w:pPr>
      <w:numPr>
        <w:ilvl w:val="0"/>
        <w:numId w:val="9"/>
      </w:numPr>
      <w:jc w:val="both"/>
    </w:pPr>
    <w:rPr>
      <w:rFonts w:ascii="宋体" w:hAnsi="Times New Roman" w:eastAsia="宋体" w:cs="Times New Roman"/>
      <w:sz w:val="21"/>
      <w:lang w:val="en-US" w:eastAsia="zh-CN" w:bidi="ar-SA"/>
    </w:rPr>
  </w:style>
  <w:style w:type="paragraph" w:customStyle="1" w:styleId="97">
    <w:name w:val="列项●（二级）"/>
    <w:autoRedefine/>
    <w:qFormat/>
    <w:uiPriority w:val="0"/>
    <w:pPr>
      <w:numPr>
        <w:ilvl w:val="1"/>
        <w:numId w:val="11"/>
      </w:numPr>
      <w:tabs>
        <w:tab w:val="left" w:pos="840"/>
      </w:tabs>
      <w:jc w:val="both"/>
    </w:pPr>
    <w:rPr>
      <w:rFonts w:ascii="宋体" w:hAnsi="Times New Roman" w:eastAsia="宋体" w:cs="Times New Roman"/>
      <w:sz w:val="21"/>
      <w:lang w:val="en-US" w:eastAsia="zh-CN" w:bidi="ar-SA"/>
    </w:rPr>
  </w:style>
  <w:style w:type="paragraph" w:customStyle="1" w:styleId="98">
    <w:name w:val="正文图标题"/>
    <w:next w:val="46"/>
    <w:qFormat/>
    <w:uiPriority w:val="0"/>
    <w:pPr>
      <w:numPr>
        <w:ilvl w:val="0"/>
        <w:numId w:val="12"/>
      </w:numPr>
      <w:spacing w:before="156" w:beforeLines="50" w:after="156" w:afterLines="50"/>
      <w:jc w:val="center"/>
    </w:pPr>
    <w:rPr>
      <w:rFonts w:ascii="黑体" w:hAnsi="Times New Roman" w:eastAsia="黑体" w:cs="Times New Roman"/>
      <w:sz w:val="21"/>
      <w:lang w:val="en-US" w:eastAsia="zh-CN" w:bidi="ar-SA"/>
    </w:rPr>
  </w:style>
  <w:style w:type="paragraph" w:customStyle="1" w:styleId="99">
    <w:name w:val="附录五级无"/>
    <w:basedOn w:val="71"/>
    <w:autoRedefine/>
    <w:qFormat/>
    <w:uiPriority w:val="0"/>
    <w:pPr>
      <w:tabs>
        <w:tab w:val="clear" w:pos="360"/>
      </w:tabs>
      <w:spacing w:before="0" w:beforeLines="0" w:after="0" w:afterLines="0"/>
    </w:pPr>
    <w:rPr>
      <w:rFonts w:ascii="宋体" w:eastAsia="宋体"/>
      <w:szCs w:val="21"/>
    </w:rPr>
  </w:style>
  <w:style w:type="paragraph" w:customStyle="1" w:styleId="100">
    <w:name w:val="编号列项（三级）"/>
    <w:qFormat/>
    <w:uiPriority w:val="0"/>
    <w:rPr>
      <w:rFonts w:ascii="宋体" w:hAnsi="Times New Roman" w:eastAsia="宋体" w:cs="Times New Roman"/>
      <w:sz w:val="21"/>
      <w:lang w:val="en-US" w:eastAsia="zh-CN" w:bidi="ar-SA"/>
    </w:rPr>
  </w:style>
  <w:style w:type="paragraph" w:customStyle="1" w:styleId="101">
    <w:name w:val="封面标准文稿类别2"/>
    <w:basedOn w:val="78"/>
    <w:qFormat/>
    <w:uiPriority w:val="0"/>
    <w:pPr>
      <w:framePr w:wrap="around" w:y="4469"/>
    </w:pPr>
  </w:style>
  <w:style w:type="paragraph" w:customStyle="1" w:styleId="102">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03">
    <w:name w:val="其他发布日期"/>
    <w:basedOn w:val="104"/>
    <w:autoRedefine/>
    <w:qFormat/>
    <w:uiPriority w:val="0"/>
    <w:pPr>
      <w:framePr w:wrap="around" w:vAnchor="page" w:hAnchor="text" w:x="1419"/>
    </w:pPr>
  </w:style>
  <w:style w:type="paragraph" w:customStyle="1" w:styleId="104">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05">
    <w:name w:val="附录标题"/>
    <w:basedOn w:val="46"/>
    <w:next w:val="46"/>
    <w:autoRedefine/>
    <w:qFormat/>
    <w:uiPriority w:val="0"/>
    <w:pPr>
      <w:ind w:firstLine="0" w:firstLineChars="0"/>
      <w:jc w:val="center"/>
    </w:pPr>
    <w:rPr>
      <w:rFonts w:ascii="黑体" w:eastAsia="黑体"/>
    </w:rPr>
  </w:style>
  <w:style w:type="paragraph" w:customStyle="1" w:styleId="106">
    <w:name w:val="示例后文字"/>
    <w:basedOn w:val="46"/>
    <w:next w:val="46"/>
    <w:autoRedefine/>
    <w:qFormat/>
    <w:uiPriority w:val="0"/>
    <w:pPr>
      <w:ind w:firstLine="360"/>
    </w:pPr>
    <w:rPr>
      <w:sz w:val="18"/>
    </w:rPr>
  </w:style>
  <w:style w:type="paragraph" w:customStyle="1" w:styleId="107">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注：（正文）"/>
    <w:basedOn w:val="109"/>
    <w:next w:val="46"/>
    <w:autoRedefine/>
    <w:qFormat/>
    <w:uiPriority w:val="0"/>
    <w:pPr>
      <w:numPr>
        <w:ilvl w:val="0"/>
        <w:numId w:val="13"/>
      </w:numPr>
    </w:pPr>
  </w:style>
  <w:style w:type="paragraph" w:customStyle="1" w:styleId="109">
    <w:name w:val="注："/>
    <w:next w:val="46"/>
    <w:autoRedefine/>
    <w:qFormat/>
    <w:uiPriority w:val="0"/>
    <w:pPr>
      <w:widowControl w:val="0"/>
      <w:numPr>
        <w:ilvl w:val="0"/>
        <w:numId w:val="14"/>
      </w:numPr>
      <w:autoSpaceDE w:val="0"/>
      <w:autoSpaceDN w:val="0"/>
      <w:jc w:val="both"/>
    </w:pPr>
    <w:rPr>
      <w:rFonts w:ascii="宋体" w:hAnsi="Times New Roman" w:eastAsia="宋体" w:cs="Times New Roman"/>
      <w:sz w:val="18"/>
      <w:szCs w:val="18"/>
      <w:lang w:val="en-US" w:eastAsia="zh-CN" w:bidi="ar-SA"/>
    </w:rPr>
  </w:style>
  <w:style w:type="paragraph" w:customStyle="1" w:styleId="110">
    <w:name w:val="附录一级无"/>
    <w:basedOn w:val="87"/>
    <w:autoRedefine/>
    <w:qFormat/>
    <w:uiPriority w:val="0"/>
    <w:pPr>
      <w:tabs>
        <w:tab w:val="clear" w:pos="360"/>
      </w:tabs>
      <w:spacing w:before="0" w:beforeLines="0" w:after="0" w:afterLines="0"/>
    </w:pPr>
    <w:rPr>
      <w:rFonts w:ascii="宋体" w:eastAsia="宋体"/>
      <w:szCs w:val="21"/>
    </w:rPr>
  </w:style>
  <w:style w:type="paragraph" w:customStyle="1" w:styleId="111">
    <w:name w:val="附录公式编号制表符"/>
    <w:basedOn w:val="1"/>
    <w:next w:val="46"/>
    <w:qFormat/>
    <w:uiPriority w:val="0"/>
    <w:pPr>
      <w:widowControl/>
      <w:tabs>
        <w:tab w:val="center" w:pos="4201"/>
        <w:tab w:val="right" w:leader="dot" w:pos="9298"/>
      </w:tabs>
      <w:autoSpaceDE w:val="0"/>
      <w:autoSpaceDN w:val="0"/>
    </w:pPr>
    <w:rPr>
      <w:rFonts w:ascii="宋体"/>
      <w:kern w:val="0"/>
      <w:szCs w:val="20"/>
    </w:rPr>
  </w:style>
  <w:style w:type="paragraph" w:customStyle="1" w:styleId="112">
    <w:name w:val="参考文献"/>
    <w:basedOn w:val="1"/>
    <w:next w:val="46"/>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3">
    <w:name w:val="注×：（正文）"/>
    <w:qFormat/>
    <w:uiPriority w:val="0"/>
    <w:pPr>
      <w:numPr>
        <w:ilvl w:val="0"/>
        <w:numId w:val="15"/>
      </w:numPr>
      <w:jc w:val="both"/>
    </w:pPr>
    <w:rPr>
      <w:rFonts w:ascii="宋体" w:hAnsi="Times New Roman" w:eastAsia="宋体" w:cs="Times New Roman"/>
      <w:sz w:val="18"/>
      <w:szCs w:val="18"/>
      <w:lang w:val="en-US" w:eastAsia="zh-CN" w:bidi="ar-SA"/>
    </w:rPr>
  </w:style>
  <w:style w:type="paragraph" w:customStyle="1" w:styleId="114">
    <w:name w:val="图标脚注说明"/>
    <w:basedOn w:val="46"/>
    <w:qFormat/>
    <w:uiPriority w:val="0"/>
    <w:pPr>
      <w:ind w:left="840" w:hanging="420" w:firstLineChars="0"/>
    </w:pPr>
    <w:rPr>
      <w:sz w:val="18"/>
      <w:szCs w:val="18"/>
    </w:rPr>
  </w:style>
  <w:style w:type="paragraph" w:customStyle="1" w:styleId="115">
    <w:name w:val="实施日期"/>
    <w:basedOn w:val="104"/>
    <w:autoRedefine/>
    <w:qFormat/>
    <w:uiPriority w:val="0"/>
    <w:pPr>
      <w:framePr w:wrap="around" w:vAnchor="page" w:hAnchor="text"/>
      <w:jc w:val="right"/>
    </w:pPr>
  </w:style>
  <w:style w:type="paragraph" w:customStyle="1" w:styleId="116">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117">
    <w:name w:val="图表脚注说明"/>
    <w:basedOn w:val="1"/>
    <w:autoRedefine/>
    <w:qFormat/>
    <w:uiPriority w:val="0"/>
    <w:pPr>
      <w:numPr>
        <w:ilvl w:val="0"/>
        <w:numId w:val="16"/>
      </w:numPr>
    </w:pPr>
    <w:rPr>
      <w:rFonts w:ascii="宋体"/>
      <w:sz w:val="18"/>
      <w:szCs w:val="18"/>
    </w:rPr>
  </w:style>
  <w:style w:type="paragraph" w:customStyle="1" w:styleId="118">
    <w:name w:val="附录标识"/>
    <w:basedOn w:val="1"/>
    <w:next w:val="46"/>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19">
    <w:name w:val="列项◆（三级）"/>
    <w:basedOn w:val="1"/>
    <w:autoRedefine/>
    <w:qFormat/>
    <w:uiPriority w:val="0"/>
    <w:pPr>
      <w:numPr>
        <w:ilvl w:val="2"/>
        <w:numId w:val="11"/>
      </w:numPr>
    </w:pPr>
    <w:rPr>
      <w:rFonts w:ascii="宋体"/>
      <w:szCs w:val="21"/>
    </w:rPr>
  </w:style>
  <w:style w:type="paragraph" w:customStyle="1" w:styleId="120">
    <w:name w:val="参考文献、索引标题"/>
    <w:basedOn w:val="1"/>
    <w:next w:val="46"/>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1">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122">
    <w:name w:val="示例"/>
    <w:next w:val="121"/>
    <w:qFormat/>
    <w:uiPriority w:val="0"/>
    <w:pPr>
      <w:widowControl w:val="0"/>
      <w:numPr>
        <w:ilvl w:val="0"/>
        <w:numId w:val="17"/>
      </w:numPr>
      <w:jc w:val="both"/>
    </w:pPr>
    <w:rPr>
      <w:rFonts w:ascii="宋体" w:hAnsi="Times New Roman" w:eastAsia="宋体" w:cs="Times New Roman"/>
      <w:sz w:val="18"/>
      <w:szCs w:val="18"/>
      <w:lang w:val="en-US" w:eastAsia="zh-CN" w:bidi="ar-SA"/>
    </w:rPr>
  </w:style>
  <w:style w:type="paragraph" w:customStyle="1" w:styleId="123">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4">
    <w:name w:val="附录四级无"/>
    <w:basedOn w:val="72"/>
    <w:autoRedefine/>
    <w:qFormat/>
    <w:uiPriority w:val="0"/>
    <w:pPr>
      <w:tabs>
        <w:tab w:val="clear" w:pos="360"/>
      </w:tabs>
      <w:spacing w:before="0" w:beforeLines="0" w:after="0" w:afterLines="0"/>
    </w:pPr>
    <w:rPr>
      <w:rFonts w:ascii="宋体" w:eastAsia="宋体"/>
      <w:szCs w:val="21"/>
    </w:rPr>
  </w:style>
  <w:style w:type="paragraph" w:customStyle="1" w:styleId="125">
    <w:name w:val="二级无"/>
    <w:basedOn w:val="62"/>
    <w:autoRedefine/>
    <w:qFormat/>
    <w:uiPriority w:val="0"/>
    <w:pPr>
      <w:spacing w:before="0" w:beforeLines="0" w:after="0" w:afterLines="0"/>
    </w:pPr>
    <w:rPr>
      <w:rFonts w:ascii="宋体" w:eastAsia="宋体"/>
    </w:rPr>
  </w:style>
  <w:style w:type="paragraph" w:customStyle="1" w:styleId="126">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27">
    <w:name w:val="其他实施日期"/>
    <w:basedOn w:val="115"/>
    <w:autoRedefine/>
    <w:qFormat/>
    <w:uiPriority w:val="0"/>
    <w:pPr>
      <w:framePr w:wrap="around"/>
    </w:pPr>
  </w:style>
  <w:style w:type="paragraph" w:customStyle="1" w:styleId="128">
    <w:name w:val="封面标准名称2"/>
    <w:basedOn w:val="56"/>
    <w:qFormat/>
    <w:uiPriority w:val="0"/>
    <w:pPr>
      <w:framePr w:wrap="around" w:y="4469"/>
      <w:spacing w:before="630" w:beforeLines="630"/>
    </w:pPr>
  </w:style>
  <w:style w:type="paragraph" w:customStyle="1" w:styleId="129">
    <w:name w:val="目次、标准名称标题"/>
    <w:basedOn w:val="1"/>
    <w:next w:val="46"/>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30">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31">
    <w:name w:val="五级无"/>
    <w:basedOn w:val="59"/>
    <w:qFormat/>
    <w:uiPriority w:val="0"/>
    <w:pPr>
      <w:spacing w:before="0" w:beforeLines="0" w:after="0" w:afterLines="0"/>
    </w:pPr>
    <w:rPr>
      <w:rFonts w:ascii="宋体" w:eastAsia="宋体"/>
    </w:rPr>
  </w:style>
  <w:style w:type="paragraph" w:customStyle="1" w:styleId="132">
    <w:name w:val="标准书眉一"/>
    <w:autoRedefine/>
    <w:qFormat/>
    <w:uiPriority w:val="0"/>
    <w:pPr>
      <w:jc w:val="both"/>
    </w:pPr>
    <w:rPr>
      <w:rFonts w:ascii="Times New Roman" w:hAnsi="Times New Roman" w:eastAsia="宋体" w:cs="Times New Roman"/>
      <w:lang w:val="en-US" w:eastAsia="zh-CN" w:bidi="ar-SA"/>
    </w:rPr>
  </w:style>
  <w:style w:type="paragraph" w:customStyle="1" w:styleId="133">
    <w:name w:val="附录三级无"/>
    <w:basedOn w:val="73"/>
    <w:autoRedefine/>
    <w:qFormat/>
    <w:uiPriority w:val="0"/>
    <w:pPr>
      <w:tabs>
        <w:tab w:val="clear" w:pos="360"/>
      </w:tabs>
      <w:spacing w:before="0" w:beforeLines="0" w:after="0" w:afterLines="0"/>
    </w:pPr>
    <w:rPr>
      <w:rFonts w:ascii="宋体" w:eastAsia="宋体"/>
      <w:szCs w:val="21"/>
    </w:rPr>
  </w:style>
  <w:style w:type="paragraph" w:customStyle="1" w:styleId="134">
    <w:name w:val="列项——（一级）"/>
    <w:autoRedefine/>
    <w:qFormat/>
    <w:uiPriority w:val="0"/>
    <w:pPr>
      <w:widowControl w:val="0"/>
      <w:numPr>
        <w:ilvl w:val="0"/>
        <w:numId w:val="11"/>
      </w:numPr>
      <w:jc w:val="both"/>
    </w:pPr>
    <w:rPr>
      <w:rFonts w:ascii="宋体" w:hAnsi="Times New Roman" w:eastAsia="宋体" w:cs="Times New Roman"/>
      <w:sz w:val="21"/>
      <w:lang w:val="en-US" w:eastAsia="zh-CN" w:bidi="ar-SA"/>
    </w:rPr>
  </w:style>
  <w:style w:type="paragraph" w:customStyle="1" w:styleId="135">
    <w:name w:val="前言、引言标题"/>
    <w:next w:val="46"/>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6">
    <w:name w:val="四级无"/>
    <w:basedOn w:val="60"/>
    <w:autoRedefine/>
    <w:qFormat/>
    <w:uiPriority w:val="0"/>
    <w:pPr>
      <w:spacing w:before="0" w:beforeLines="0" w:after="0" w:afterLines="0"/>
    </w:pPr>
    <w:rPr>
      <w:rFonts w:ascii="宋体" w:eastAsia="宋体"/>
    </w:rPr>
  </w:style>
  <w:style w:type="paragraph" w:customStyle="1" w:styleId="137">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38">
    <w:name w:val="标准书眉_偶数页"/>
    <w:basedOn w:val="102"/>
    <w:next w:val="1"/>
    <w:autoRedefine/>
    <w:qFormat/>
    <w:uiPriority w:val="0"/>
    <w:pPr>
      <w:jc w:val="left"/>
    </w:pPr>
  </w:style>
  <w:style w:type="paragraph" w:customStyle="1" w:styleId="139">
    <w:name w:val="附录表标号"/>
    <w:basedOn w:val="1"/>
    <w:next w:val="46"/>
    <w:autoRedefine/>
    <w:qFormat/>
    <w:uiPriority w:val="0"/>
    <w:pPr>
      <w:numPr>
        <w:ilvl w:val="0"/>
        <w:numId w:val="8"/>
      </w:numPr>
      <w:tabs>
        <w:tab w:val="clear" w:pos="0"/>
      </w:tabs>
      <w:spacing w:line="14" w:lineRule="exact"/>
      <w:ind w:left="811" w:hanging="448"/>
      <w:jc w:val="center"/>
      <w:outlineLvl w:val="0"/>
    </w:pPr>
    <w:rPr>
      <w:color w:val="FFFFFF"/>
    </w:rPr>
  </w:style>
  <w:style w:type="paragraph" w:customStyle="1" w:styleId="140">
    <w:name w:val="附录二级无"/>
    <w:basedOn w:val="58"/>
    <w:autoRedefine/>
    <w:qFormat/>
    <w:uiPriority w:val="0"/>
    <w:pPr>
      <w:tabs>
        <w:tab w:val="clear" w:pos="360"/>
      </w:tabs>
      <w:spacing w:before="0" w:beforeLines="0" w:after="0" w:afterLines="0"/>
    </w:pPr>
    <w:rPr>
      <w:rFonts w:ascii="宋体" w:eastAsia="宋体"/>
      <w:szCs w:val="21"/>
    </w:rPr>
  </w:style>
  <w:style w:type="paragraph" w:customStyle="1" w:styleId="141">
    <w:name w:val="附录数字编号列项（二级）"/>
    <w:autoRedefine/>
    <w:qFormat/>
    <w:uiPriority w:val="0"/>
    <w:pPr>
      <w:numPr>
        <w:ilvl w:val="1"/>
        <w:numId w:val="18"/>
      </w:numPr>
    </w:pPr>
    <w:rPr>
      <w:rFonts w:ascii="宋体" w:hAnsi="Times New Roman" w:eastAsia="宋体" w:cs="Times New Roman"/>
      <w:sz w:val="21"/>
      <w:lang w:val="en-US" w:eastAsia="zh-CN" w:bidi="ar-SA"/>
    </w:rPr>
  </w:style>
  <w:style w:type="paragraph" w:customStyle="1" w:styleId="142">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3">
    <w:name w:val="附录字母编号列项（一级）"/>
    <w:autoRedefine/>
    <w:qFormat/>
    <w:uiPriority w:val="0"/>
    <w:pPr>
      <w:numPr>
        <w:ilvl w:val="0"/>
        <w:numId w:val="18"/>
      </w:numPr>
    </w:pPr>
    <w:rPr>
      <w:rFonts w:ascii="宋体" w:hAnsi="Times New Roman" w:eastAsia="宋体" w:cs="Times New Roman"/>
      <w:sz w:val="21"/>
      <w:lang w:val="en-US" w:eastAsia="zh-CN" w:bidi="ar-SA"/>
    </w:rPr>
  </w:style>
  <w:style w:type="paragraph" w:customStyle="1" w:styleId="144">
    <w:name w:val="其他标准标志"/>
    <w:basedOn w:val="52"/>
    <w:autoRedefine/>
    <w:qFormat/>
    <w:uiPriority w:val="0"/>
    <w:pPr>
      <w:framePr w:w="6101" w:wrap="around" w:vAnchor="page" w:hAnchor="page" w:x="4673" w:y="942"/>
    </w:pPr>
    <w:rPr>
      <w:w w:val="130"/>
    </w:rPr>
  </w:style>
  <w:style w:type="paragraph" w:customStyle="1" w:styleId="145">
    <w:name w:val="一级无"/>
    <w:basedOn w:val="63"/>
    <w:autoRedefine/>
    <w:qFormat/>
    <w:uiPriority w:val="0"/>
    <w:pPr>
      <w:spacing w:before="0" w:beforeLines="0" w:after="0" w:afterLines="0"/>
    </w:pPr>
    <w:rPr>
      <w:rFonts w:ascii="宋体" w:eastAsia="宋体"/>
    </w:rPr>
  </w:style>
  <w:style w:type="paragraph" w:customStyle="1" w:styleId="146">
    <w:name w:val="条文脚注"/>
    <w:basedOn w:val="24"/>
    <w:autoRedefine/>
    <w:qFormat/>
    <w:uiPriority w:val="0"/>
    <w:pPr>
      <w:numPr>
        <w:numId w:val="0"/>
      </w:numPr>
      <w:jc w:val="both"/>
    </w:pPr>
  </w:style>
  <w:style w:type="paragraph" w:customStyle="1" w:styleId="147">
    <w:name w:val="正文公式编号制表符"/>
    <w:basedOn w:val="46"/>
    <w:next w:val="46"/>
    <w:autoRedefine/>
    <w:qFormat/>
    <w:uiPriority w:val="0"/>
    <w:pPr>
      <w:ind w:firstLine="0" w:firstLineChars="0"/>
    </w:pPr>
  </w:style>
  <w:style w:type="paragraph" w:customStyle="1" w:styleId="148">
    <w:name w:val="TOC 标题1"/>
    <w:basedOn w:val="2"/>
    <w:next w:val="1"/>
    <w:autoRedefine/>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149">
    <w:name w:val="fontstyle01"/>
    <w:autoRedefine/>
    <w:qFormat/>
    <w:uiPriority w:val="0"/>
    <w:rPr>
      <w:rFonts w:hint="default" w:ascii="TimesNewRomanPSMT" w:hAnsi="TimesNewRomanPSMT"/>
      <w:color w:val="000000"/>
      <w:sz w:val="22"/>
      <w:szCs w:val="22"/>
    </w:rPr>
  </w:style>
  <w:style w:type="character" w:customStyle="1" w:styleId="150">
    <w:name w:val="fontstyle21"/>
    <w:autoRedefine/>
    <w:qFormat/>
    <w:uiPriority w:val="0"/>
    <w:rPr>
      <w:rFonts w:hint="default" w:ascii="TimesNewRomanPSMT" w:hAnsi="TimesNewRomanPSMT"/>
      <w:color w:val="000000"/>
      <w:sz w:val="22"/>
      <w:szCs w:val="22"/>
    </w:rPr>
  </w:style>
  <w:style w:type="character" w:customStyle="1" w:styleId="151">
    <w:name w:val="fontstyle11"/>
    <w:autoRedefine/>
    <w:qFormat/>
    <w:uiPriority w:val="0"/>
    <w:rPr>
      <w:rFonts w:hint="default" w:ascii="TimesNewRomanPSMT" w:hAnsi="TimesNewRomanPSMT"/>
      <w:color w:val="000000"/>
      <w:sz w:val="22"/>
      <w:szCs w:val="22"/>
    </w:rPr>
  </w:style>
  <w:style w:type="character" w:customStyle="1" w:styleId="152">
    <w:name w:val="fontstyle31"/>
    <w:autoRedefine/>
    <w:qFormat/>
    <w:uiPriority w:val="0"/>
    <w:rPr>
      <w:rFonts w:hint="eastAsia" w:ascii="宋体" w:hAnsi="宋体" w:eastAsia="宋体"/>
      <w:color w:val="000000"/>
      <w:sz w:val="22"/>
      <w:szCs w:val="22"/>
    </w:rPr>
  </w:style>
  <w:style w:type="character" w:customStyle="1" w:styleId="153">
    <w:name w:val="批注文字 字符"/>
    <w:basedOn w:val="34"/>
    <w:link w:val="9"/>
    <w:autoRedefine/>
    <w:qFormat/>
    <w:uiPriority w:val="0"/>
    <w:rPr>
      <w:rFonts w:cs="Times New Roman"/>
      <w:color w:val="auto"/>
      <w:kern w:val="2"/>
      <w:sz w:val="21"/>
      <w:szCs w:val="24"/>
    </w:rPr>
  </w:style>
  <w:style w:type="character" w:customStyle="1" w:styleId="154">
    <w:name w:val="批注主题 字符"/>
    <w:basedOn w:val="153"/>
    <w:link w:val="31"/>
    <w:autoRedefine/>
    <w:qFormat/>
    <w:uiPriority w:val="0"/>
    <w:rPr>
      <w:rFonts w:cs="Times New Roman"/>
      <w:b/>
      <w:bCs/>
      <w:color w:val="auto"/>
      <w:kern w:val="2"/>
      <w:sz w:val="21"/>
      <w:szCs w:val="24"/>
    </w:rPr>
  </w:style>
  <w:style w:type="character" w:customStyle="1" w:styleId="155">
    <w:name w:val="fontstyle51"/>
    <w:autoRedefine/>
    <w:qFormat/>
    <w:uiPriority w:val="0"/>
    <w:rPr>
      <w:rFonts w:hint="eastAsia" w:ascii="黑体" w:hAnsi="黑体" w:eastAsia="黑体"/>
      <w:color w:val="000000"/>
      <w:sz w:val="22"/>
      <w:szCs w:val="22"/>
    </w:rPr>
  </w:style>
  <w:style w:type="character" w:customStyle="1" w:styleId="156">
    <w:name w:val="fontstyle61"/>
    <w:autoRedefine/>
    <w:qFormat/>
    <w:uiPriority w:val="0"/>
    <w:rPr>
      <w:rFonts w:hint="default" w:ascii="ArialMT" w:hAnsi="ArialMT"/>
      <w:color w:val="000000"/>
      <w:sz w:val="22"/>
      <w:szCs w:val="22"/>
    </w:rPr>
  </w:style>
  <w:style w:type="character" w:customStyle="1" w:styleId="157">
    <w:name w:val="fontstyle41"/>
    <w:autoRedefine/>
    <w:qFormat/>
    <w:uiPriority w:val="0"/>
    <w:rPr>
      <w:rFonts w:hint="default" w:ascii="TimesNewRomanPS-ItalicMT" w:hAnsi="TimesNewRomanPS-ItalicMT"/>
      <w:i/>
      <w:iCs/>
      <w:color w:val="000000"/>
      <w:sz w:val="12"/>
      <w:szCs w:val="12"/>
    </w:rPr>
  </w:style>
  <w:style w:type="character" w:customStyle="1" w:styleId="158">
    <w:name w:val="标题 3 字符"/>
    <w:basedOn w:val="34"/>
    <w:link w:val="3"/>
    <w:autoRedefine/>
    <w:semiHidden/>
    <w:qFormat/>
    <w:uiPriority w:val="9"/>
    <w:rPr>
      <w:rFonts w:cs="Times New Roman"/>
      <w:b/>
      <w:bCs/>
      <w:color w:val="auto"/>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4905</Words>
  <Characters>6569</Characters>
  <Lines>62</Lines>
  <Paragraphs>17</Paragraphs>
  <TotalTime>1</TotalTime>
  <ScaleCrop>false</ScaleCrop>
  <LinksUpToDate>false</LinksUpToDate>
  <CharactersWithSpaces>7042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2023-08-29T07:31:00Z</dcterms:created>
  <dc:creator>qi dan</dc:creator>
  <cp:lastModifiedBy>嗒嘀嗒</cp:lastModifiedBy>
  <dcterms:modified xsi:type="dcterms:W3CDTF">2024-07-15T09:10:00Z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C557FAEE72984AA799D254506816085E_13</vt:lpwstr>
  </property>
</Properties>
</file>