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E6F70">
      <w:pPr>
        <w:pStyle w:val="142"/>
        <w:framePr w:wrap="around"/>
        <w:rPr>
          <w:rFonts w:hint="default" w:ascii="Times New Roman" w:eastAsia="黑体"/>
          <w:lang w:val="en-US" w:eastAsia="zh-CN"/>
        </w:rPr>
      </w:pPr>
      <w:r>
        <w:rPr>
          <w:rFonts w:hint="eastAsia" w:ascii="Times New Roman"/>
          <w:lang w:val="en-US" w:eastAsia="zh-CN"/>
        </w:rPr>
        <w:t>ICS 13.020.40</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3B899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57AE93DE">
            <w:pPr>
              <w:pStyle w:val="142"/>
              <w:framePr w:wrap="around"/>
              <w:rPr>
                <w:rFonts w:ascii="Times New Roman"/>
              </w:rPr>
            </w:pPr>
            <w:r>
              <w:rPr>
                <w:rFonts w:ascii="Times New Roman"/>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4445" b="0"/>
                      <wp:wrapNone/>
                      <wp:docPr id="1082089285" name="矩形 7"/>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7"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iuL+zV&#10;AAAABwEAAA8AAAAAAAAAAQAgAAAAIgAAAGRycy9kb3ducmV2LnhtbFBLAQIUABQAAAAIAIdO4kDq&#10;pC90IwIAAC4EAAAOAAAAAAAAAAEAIAAAACQBAABkcnMvZTJvRG9jLnhtbFBLBQYAAAAABgAGAFkB&#10;AAC5BQAAAAA=&#10;">
                      <v:fill on="t" focussize="0,0"/>
                      <v:stroke on="f"/>
                      <v:imagedata o:title=""/>
                      <o:lock v:ext="edit" aspectratio="f"/>
                    </v:rect>
                  </w:pict>
                </mc:Fallback>
              </mc:AlternateContent>
            </w:r>
            <w:r>
              <w:rPr>
                <w:rFonts w:hint="eastAsia" w:ascii="Times New Roman"/>
                <w:lang w:val="en-US" w:eastAsia="zh-CN"/>
              </w:rPr>
              <w:t>CCS Z 05</w:t>
            </w:r>
            <w:r>
              <w:rPr>
                <w:rFonts w:ascii="Times New Roman"/>
              </w:rPr>
              <w:fldChar w:fldCharType="begin">
                <w:ffData>
                  <w:name w:val="BAH"/>
                  <w:enabled/>
                  <w:calcOnExit w:val="0"/>
                  <w:textInput/>
                </w:ffData>
              </w:fldChar>
            </w:r>
            <w:bookmarkStart w:id="0" w:name="BAH"/>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0"/>
          </w:p>
        </w:tc>
      </w:tr>
    </w:tbl>
    <w:p w14:paraId="0438828C">
      <w:pPr>
        <w:pStyle w:val="144"/>
        <w:framePr w:wrap="around"/>
      </w:pPr>
    </w:p>
    <w:p w14:paraId="03C65B55">
      <w:pPr>
        <w:pStyle w:val="88"/>
        <w:framePr w:wrap="around" w:y="2061"/>
        <w:rPr>
          <w:rFonts w:ascii="Times New Roman" w:hAnsi="Times New Roman"/>
        </w:rPr>
      </w:pPr>
      <w:r>
        <w:rPr>
          <w:rFonts w:hint="eastAsia" w:ascii="Times New Roman" w:hAnsi="Times New Roman"/>
          <w:sz w:val="96"/>
          <w:szCs w:val="96"/>
        </w:rPr>
        <w:t>团体</w:t>
      </w:r>
      <w:r>
        <w:rPr>
          <w:rFonts w:ascii="Times New Roman" w:hAnsi="Times New Roman"/>
          <w:sz w:val="96"/>
          <w:szCs w:val="96"/>
        </w:rPr>
        <w:t>标准</w:t>
      </w:r>
    </w:p>
    <w:p w14:paraId="02344D34">
      <w:pPr>
        <w:pStyle w:val="94"/>
        <w:framePr w:wrap="around" w:x="1944" w:y="3180"/>
        <w:rPr>
          <w:rFonts w:ascii="Times New Roman"/>
        </w:rPr>
      </w:pPr>
      <w:r>
        <w:rPr>
          <w:rFonts w:hint="eastAsia" w:ascii="Times New Roman"/>
        </w:rPr>
        <w:t>T</w:t>
      </w:r>
      <w:r>
        <w:rPr>
          <w:rFonts w:ascii="Times New Roman"/>
        </w:rPr>
        <w:t xml:space="preserve">/ </w:t>
      </w:r>
      <w:bookmarkStart w:id="1" w:name="StdNo1"/>
      <w:r>
        <w:rPr>
          <w:rFonts w:ascii="Times New Roman"/>
        </w:rPr>
        <w:t>XXXX</w:t>
      </w:r>
      <w:bookmarkEnd w:id="1"/>
      <w:r>
        <w:rPr>
          <w:rFonts w:ascii="Times New Roman"/>
        </w:rPr>
        <w:t>—</w:t>
      </w:r>
      <w:bookmarkStart w:id="2" w:name="StdNo2"/>
      <w:r>
        <w:rPr>
          <w:rFonts w:ascii="Times New Roman"/>
        </w:rPr>
        <w:t>XXXX</w:t>
      </w:r>
      <w:bookmarkEnd w:id="2"/>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35E80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36736196">
            <w:pPr>
              <w:pStyle w:val="137"/>
              <w:framePr w:wrap="around" w:x="1944" w:y="3180"/>
              <w:rPr>
                <w:rFonts w:ascii="Times New Roman"/>
              </w:rPr>
            </w:pPr>
            <w:bookmarkStart w:id="3" w:name="DT"/>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906023774" name="矩形 6"/>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6"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mDyy9YA&#10;AAAIAQAADwAAAAAAAAABACAAAAAiAAAAZHJzL2Rvd25yZXYueG1sUEsBAhQAFAAAAAgAh07iQN/X&#10;YXMhAgAALgQAAA4AAAAAAAAAAQAgAAAAJQEAAGRycy9lMm9Eb2MueG1sUEsFBgAAAAAGAAYAWQEA&#10;ALgFAAAAAA==&#10;">
                      <v:fill on="t" focussize="0,0"/>
                      <v:stroke on="f"/>
                      <v:imagedata o:title=""/>
                      <o:lock v:ext="edit" aspectratio="f"/>
                    </v:rect>
                  </w:pict>
                </mc:Fallback>
              </mc:AlternateContent>
            </w:r>
            <w:r>
              <w:rPr>
                <w:rFonts w:ascii="Times New Roman"/>
              </w:rPr>
              <w:fldChar w:fldCharType="begin">
                <w:ffData>
                  <w:name w:val="DT"/>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3"/>
          </w:p>
        </w:tc>
      </w:tr>
    </w:tbl>
    <w:p w14:paraId="3064A195">
      <w:pPr>
        <w:pStyle w:val="94"/>
        <w:framePr w:wrap="around" w:x="1944" w:y="3180"/>
        <w:rPr>
          <w:rFonts w:ascii="Times New Roman"/>
        </w:rPr>
      </w:pPr>
    </w:p>
    <w:p w14:paraId="7CE8FB0D">
      <w:pPr>
        <w:pStyle w:val="94"/>
        <w:framePr w:wrap="around" w:x="1944" w:y="3180"/>
        <w:rPr>
          <w:rFonts w:ascii="Times New Roman"/>
        </w:rPr>
      </w:pPr>
    </w:p>
    <w:p w14:paraId="571F3FC4">
      <w:pPr>
        <w:pStyle w:val="56"/>
        <w:framePr w:wrap="around" w:x="1161" w:y="5721"/>
        <w:rPr>
          <w:rFonts w:ascii="Times New Roman"/>
        </w:rPr>
      </w:pPr>
      <w:bookmarkStart w:id="4" w:name="StdName"/>
    </w:p>
    <w:p w14:paraId="4CD968CC">
      <w:pPr>
        <w:pStyle w:val="56"/>
        <w:framePr w:wrap="around" w:x="1161" w:y="5721"/>
        <w:rPr>
          <w:rFonts w:ascii="Times New Roman"/>
        </w:rPr>
      </w:pPr>
    </w:p>
    <w:bookmarkEnd w:id="4"/>
    <w:p w14:paraId="240457EC">
      <w:pPr>
        <w:pStyle w:val="56"/>
        <w:framePr w:wrap="around" w:x="1161" w:y="5721"/>
        <w:spacing w:line="567" w:lineRule="exact"/>
        <w:rPr>
          <w:rFonts w:ascii="Times New Roman"/>
        </w:rPr>
      </w:pPr>
      <w:bookmarkStart w:id="5" w:name="YZBS"/>
      <w:r>
        <w:rPr>
          <w:rFonts w:hint="eastAsia" w:ascii="Times New Roman"/>
        </w:rPr>
        <w:t>石油化工行业废水中多环芳烃类持久性有机物环境风险评估技术指南</w:t>
      </w:r>
    </w:p>
    <w:bookmarkEnd w:id="5"/>
    <w:p w14:paraId="63E2315F">
      <w:pPr>
        <w:pStyle w:val="56"/>
        <w:framePr w:wrap="around" w:x="1161" w:y="5721"/>
        <w:spacing w:line="567" w:lineRule="exact"/>
        <w:rPr>
          <w:rFonts w:ascii="Times New Roman"/>
          <w:sz w:val="36"/>
          <w:szCs w:val="36"/>
        </w:rPr>
      </w:pPr>
      <w:r>
        <w:rPr>
          <w:rFonts w:ascii="Times New Roman"/>
          <w:sz w:val="36"/>
          <w:szCs w:val="36"/>
        </w:rPr>
        <w:t>Technical guide for environmental risk assessment of polycyclic aromatic hydrocarbons and persistent organic compounds in wastewater from the petrochemical industry</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70DB4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7D1F761D">
            <w:pPr>
              <w:pStyle w:val="78"/>
              <w:framePr w:wrap="around" w:x="1161" w:y="5721"/>
              <w:rPr>
                <w:rFonts w:ascii="Times New Roman"/>
              </w:rPr>
            </w:pPr>
            <w:r>
              <w:rPr>
                <w:rFonts w:ascii="Times New Roman"/>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3175" r="3175" b="0"/>
                      <wp:wrapNone/>
                      <wp:docPr id="143289323" name="矩形 5"/>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5"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YmuktUAAAAK&#10;AQAADwAAAAAAAAABACAAAAAiAAAAZHJzL2Rvd25yZXYueG1sUEsBAhQAFAAAAAgAh07iQBl5ECkf&#10;AgAALgQAAA4AAAAAAAAAAQAgAAAAJAEAAGRycy9lMm9Eb2MueG1sUEsFBgAAAAAGAAYAWQEAALUF&#10;AAAAAA==&#10;">
                      <v:fill on="t" focussize="0,0"/>
                      <v:stroke on="f"/>
                      <v:imagedata o:title=""/>
                      <o:lock v:ext="edit" aspectratio="f"/>
                      <w10:anchorlock/>
                    </v:rect>
                  </w:pict>
                </mc:Fallback>
              </mc:AlternateContent>
            </w:r>
            <w:r>
              <w:rPr>
                <w:rFonts w:ascii="Times New Roman"/>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3175" t="0" r="3175" b="0"/>
                      <wp:wrapNone/>
                      <wp:docPr id="1690381416" name="矩形 4"/>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4"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4Yvl1gAA&#10;AAkBAAAPAAAAAAAAAAEAIAAAACIAAABkcnMvZG93bnJldi54bWxQSwECFAAUAAAACACHTuJAGFGr&#10;DSACAAAvBAAADgAAAAAAAAABACAAAAAlAQAAZHJzL2Uyb0RvYy54bWxQSwUGAAAAAAYABgBZAQAA&#10;twUAAAAA&#10;">
                      <v:fill on="t" focussize="0,0"/>
                      <v:stroke on="f"/>
                      <v:imagedata o:title=""/>
                      <o:lock v:ext="edit" aspectratio="f"/>
                    </v:rect>
                  </w:pict>
                </mc:Fallback>
              </mc:AlternateContent>
            </w:r>
          </w:p>
        </w:tc>
      </w:tr>
      <w:tr w14:paraId="2E6C9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60D4AF79">
            <w:pPr>
              <w:pStyle w:val="77"/>
              <w:framePr w:wrap="around" w:x="1161" w:y="5721"/>
              <w:rPr>
                <w:rFonts w:ascii="Times New Roman"/>
              </w:rPr>
            </w:pPr>
            <w:bookmarkStart w:id="6" w:name="WCRQ"/>
            <w:r>
              <w:rPr>
                <w:rFonts w:ascii="Times New Roman"/>
              </w:rPr>
              <w:fldChar w:fldCharType="begin">
                <w:ffData>
                  <w:name w:val="WCRQ"/>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6"/>
          </w:p>
        </w:tc>
      </w:tr>
    </w:tbl>
    <w:p w14:paraId="13ED4794">
      <w:pPr>
        <w:pStyle w:val="103"/>
        <w:framePr w:wrap="around" w:hAnchor="page" w:x="1461" w:y="14081"/>
      </w:pPr>
      <w:r>
        <w:t>XXXX - XX - XX发布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1690615486"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WH&#10;azzWAAAACwEAAA8AAAAAAAAAAQAgAAAAIgAAAGRycy9kb3ducmV2LnhtbFBLAQIUABQAAAAIAIdO&#10;4kAmuTqi7AEAALMDAAAOAAAAAAAAAAEAIAAAACUBAABkcnMvZTJvRG9jLnhtbFBLBQYAAAAABgAG&#10;AFkBAACDBQAAAAA=&#10;">
                <v:fill on="f" focussize="0,0"/>
                <v:stroke color="#000000" joinstyle="round"/>
                <v:imagedata o:title=""/>
                <o:lock v:ext="edit" aspectratio="f"/>
                <w10:anchorlock/>
              </v:line>
            </w:pict>
          </mc:Fallback>
        </mc:AlternateContent>
      </w:r>
    </w:p>
    <w:p w14:paraId="32DAFC95">
      <w:pPr>
        <w:pStyle w:val="127"/>
        <w:framePr w:wrap="around" w:hAnchor="page" w:x="7021" w:y="14061"/>
      </w:pPr>
      <w:r>
        <w:t>XXXX - XX - XX实施</w:t>
      </w:r>
    </w:p>
    <w:p w14:paraId="2A252B9B">
      <w:pPr>
        <w:pStyle w:val="95"/>
        <w:framePr w:w="9731" w:h="481" w:hRule="exact" w:wrap="around" w:x="1279" w:y="15064"/>
        <w:rPr>
          <w:rFonts w:ascii="Times New Roman"/>
        </w:rPr>
      </w:pPr>
      <w:r>
        <w:rPr>
          <w:rStyle w:val="48"/>
          <w:rFonts w:hint="eastAsia" w:ascii="Times New Roman"/>
          <w:sz w:val="24"/>
          <w:szCs w:val="24"/>
          <w:lang w:val="en-US" w:eastAsia="zh-CN"/>
        </w:rPr>
        <w:t>新疆维吾尔自治区生态环境保护产业协会</w:t>
      </w:r>
      <w:r>
        <w:rPr>
          <w:rStyle w:val="48"/>
          <w:rFonts w:ascii="Times New Roman"/>
          <w:sz w:val="24"/>
          <w:szCs w:val="24"/>
        </w:rPr>
        <w:t>发布</w:t>
      </w:r>
    </w:p>
    <w:p w14:paraId="2A5FCFB3">
      <w:pPr>
        <w:pStyle w:val="46"/>
        <w:rPr>
          <w:rFonts w:ascii="Times New Roman"/>
        </w:rPr>
        <w:sectPr>
          <w:footerReference r:id="rId3" w:type="even"/>
          <w:pgSz w:w="11906" w:h="16838"/>
          <w:pgMar w:top="567" w:right="851" w:bottom="1134" w:left="1418" w:header="0" w:footer="0" w:gutter="0"/>
          <w:pgNumType w:start="1"/>
          <w:cols w:space="720" w:num="1"/>
          <w:docGrid w:type="lines" w:linePitch="312" w:charSpace="0"/>
        </w:sectPr>
      </w:pPr>
      <w:r>
        <w:rPr>
          <w:rFonts w:ascii="Times New Roman"/>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8880475</wp:posOffset>
                </wp:positionV>
                <wp:extent cx="6120130" cy="0"/>
                <wp:effectExtent l="13970" t="13970" r="9525" b="5080"/>
                <wp:wrapNone/>
                <wp:docPr id="2006162923"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0pt;margin-top:699.25pt;height:0pt;width:481.9pt;z-index:251665408;mso-width-relative:page;mso-height-relative:page;" filled="f" stroked="t" coordsize="21600,21600" o:gfxdata="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N77tXV&#10;AAAACgEAAA8AAAAAAAAAAQAgAAAAIgAAAGRycy9kb3ducmV2LnhtbFBLAQIUABQAAAAIAIdO4kB8&#10;HnZG6gEAALMDAAAOAAAAAAAAAAEAIAAAACQBAABkcnMvZTJvRG9jLnhtbFBLBQYAAAAABgAGAFkB&#10;AACABQAAAAA=&#10;">
                <v:fill on="f" focussize="0,0"/>
                <v:stroke color="#000000" joinstyle="round"/>
                <v:imagedata o:title=""/>
                <o:lock v:ext="edit" aspectratio="f"/>
              </v:line>
            </w:pict>
          </mc:Fallback>
        </mc:AlternateContent>
      </w:r>
      <w:r>
        <w:rPr>
          <w:rFonts w:ascii="Times New Roman"/>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1720687669"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0.05pt;margin-top:184.25pt;height:0pt;width:481.9pt;z-index:25166438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QeJf1wAAAAkBAAAPAAAAAAAAAAEAIAAAACIAAABkcnMvZG93bnJldi54bWxQSwECFAAUAAAACACH&#10;TuJAa1mk0OwBAACzAwAADgAAAAAAAAABACAAAAAmAQAAZHJzL2Uyb0RvYy54bWxQSwUGAAAAAAYA&#10;BgBZAQAAhAUAAAAA&#10;">
                <v:fill on="f" focussize="0,0"/>
                <v:stroke color="#000000" joinstyle="round"/>
                <v:imagedata o:title=""/>
                <o:lock v:ext="edit" aspectratio="f"/>
              </v:line>
            </w:pict>
          </mc:Fallback>
        </mc:AlternateContent>
      </w:r>
    </w:p>
    <w:p w14:paraId="1C966893">
      <w:pPr>
        <w:jc w:val="center"/>
        <w:rPr>
          <w:rFonts w:ascii="黑体" w:hAnsi="黑体" w:eastAsia="黑体"/>
          <w:sz w:val="32"/>
          <w:szCs w:val="32"/>
        </w:rPr>
      </w:pPr>
      <w:bookmarkStart w:id="7" w:name="_Toc87433432"/>
      <w:bookmarkStart w:id="8" w:name="_Toc113374072"/>
      <w:r>
        <w:rPr>
          <w:rFonts w:ascii="黑体" w:hAnsi="黑体" w:eastAsia="黑体"/>
          <w:sz w:val="32"/>
          <w:szCs w:val="32"/>
        </w:rPr>
        <w:t>目</w:t>
      </w:r>
      <w:bookmarkStart w:id="9" w:name="BKML"/>
      <w:r>
        <w:rPr>
          <w:rFonts w:ascii="黑体" w:hAnsi="黑体" w:eastAsia="黑体"/>
          <w:sz w:val="32"/>
          <w:szCs w:val="32"/>
        </w:rPr>
        <w:t>  次</w:t>
      </w:r>
      <w:bookmarkEnd w:id="7"/>
      <w:bookmarkEnd w:id="8"/>
      <w:bookmarkEnd w:id="9"/>
    </w:p>
    <w:p w14:paraId="49BDF7E0">
      <w:pPr>
        <w:pStyle w:val="21"/>
        <w:spacing w:before="78" w:after="78"/>
        <w:rPr>
          <w:rFonts w:ascii="Times New Roman" w:eastAsiaTheme="minorEastAsia"/>
          <w:szCs w:val="22"/>
          <w14:ligatures w14:val="standardContextual"/>
        </w:rPr>
      </w:pPr>
      <w:r>
        <w:rPr>
          <w:rFonts w:ascii="Times New Roman"/>
        </w:rPr>
        <w:fldChar w:fldCharType="begin"/>
      </w:r>
      <w:r>
        <w:rPr>
          <w:rFonts w:ascii="Times New Roman"/>
        </w:rPr>
        <w:instrText xml:space="preserve"> TOC \o "1-2" \h \z \u </w:instrText>
      </w:r>
      <w:r>
        <w:rPr>
          <w:rFonts w:ascii="Times New Roman"/>
        </w:rPr>
        <w:fldChar w:fldCharType="separate"/>
      </w:r>
      <w:r>
        <w:fldChar w:fldCharType="begin"/>
      </w:r>
      <w:r>
        <w:instrText xml:space="preserve"> HYPERLINK \l "_Toc165037168" </w:instrText>
      </w:r>
      <w:r>
        <w:fldChar w:fldCharType="separate"/>
      </w:r>
      <w:r>
        <w:rPr>
          <w:rStyle w:val="39"/>
          <w:rFonts w:ascii="Times New Roman"/>
        </w:rPr>
        <w:t>前  言</w:t>
      </w:r>
      <w:r>
        <w:rPr>
          <w:rFonts w:ascii="Times New Roman"/>
        </w:rPr>
        <w:tab/>
      </w:r>
      <w:r>
        <w:rPr>
          <w:rFonts w:ascii="Times New Roman"/>
        </w:rPr>
        <w:fldChar w:fldCharType="begin"/>
      </w:r>
      <w:r>
        <w:rPr>
          <w:rFonts w:ascii="Times New Roman"/>
        </w:rPr>
        <w:instrText xml:space="preserve"> PAGEREF _Toc165037168 \h </w:instrText>
      </w:r>
      <w:r>
        <w:rPr>
          <w:rFonts w:ascii="Times New Roman"/>
        </w:rPr>
        <w:fldChar w:fldCharType="separate"/>
      </w:r>
      <w:r>
        <w:rPr>
          <w:rFonts w:ascii="Times New Roman"/>
        </w:rPr>
        <w:t>II</w:t>
      </w:r>
      <w:r>
        <w:rPr>
          <w:rFonts w:ascii="Times New Roman"/>
        </w:rPr>
        <w:fldChar w:fldCharType="end"/>
      </w:r>
      <w:r>
        <w:rPr>
          <w:rFonts w:ascii="Times New Roman"/>
        </w:rPr>
        <w:fldChar w:fldCharType="end"/>
      </w:r>
    </w:p>
    <w:p w14:paraId="12F88337">
      <w:pPr>
        <w:pStyle w:val="29"/>
        <w:rPr>
          <w:rFonts w:ascii="Times New Roman" w:eastAsiaTheme="minorEastAsia"/>
          <w:szCs w:val="22"/>
          <w14:ligatures w14:val="standardContextual"/>
        </w:rPr>
      </w:pPr>
      <w:r>
        <w:fldChar w:fldCharType="begin"/>
      </w:r>
      <w:r>
        <w:instrText xml:space="preserve"> HYPERLINK \l "_Toc165037169" </w:instrText>
      </w:r>
      <w:r>
        <w:fldChar w:fldCharType="separate"/>
      </w:r>
      <w:r>
        <w:rPr>
          <w:rStyle w:val="39"/>
          <w:rFonts w:ascii="Times New Roman"/>
        </w:rPr>
        <w:t>1 适用范围</w:t>
      </w:r>
      <w:r>
        <w:rPr>
          <w:rFonts w:ascii="Times New Roman"/>
        </w:rPr>
        <w:tab/>
      </w:r>
      <w:r>
        <w:rPr>
          <w:rFonts w:ascii="Times New Roman"/>
        </w:rPr>
        <w:fldChar w:fldCharType="begin"/>
      </w:r>
      <w:r>
        <w:rPr>
          <w:rFonts w:ascii="Times New Roman"/>
        </w:rPr>
        <w:instrText xml:space="preserve"> PAGEREF _Toc165037169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410276F7">
      <w:pPr>
        <w:pStyle w:val="29"/>
        <w:rPr>
          <w:rFonts w:ascii="Times New Roman" w:eastAsiaTheme="minorEastAsia"/>
          <w:szCs w:val="22"/>
          <w14:ligatures w14:val="standardContextual"/>
        </w:rPr>
      </w:pPr>
      <w:r>
        <w:fldChar w:fldCharType="begin"/>
      </w:r>
      <w:r>
        <w:instrText xml:space="preserve"> HYPERLINK \l "_Toc165037170" </w:instrText>
      </w:r>
      <w:r>
        <w:fldChar w:fldCharType="separate"/>
      </w:r>
      <w:r>
        <w:rPr>
          <w:rStyle w:val="39"/>
          <w:rFonts w:ascii="Times New Roman"/>
        </w:rPr>
        <w:t>2 规范性引用文件</w:t>
      </w:r>
      <w:r>
        <w:rPr>
          <w:rFonts w:ascii="Times New Roman"/>
        </w:rPr>
        <w:tab/>
      </w:r>
      <w:r>
        <w:rPr>
          <w:rFonts w:ascii="Times New Roman"/>
        </w:rPr>
        <w:fldChar w:fldCharType="begin"/>
      </w:r>
      <w:r>
        <w:rPr>
          <w:rFonts w:ascii="Times New Roman"/>
        </w:rPr>
        <w:instrText xml:space="preserve"> PAGEREF _Toc165037170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3522DDF7">
      <w:pPr>
        <w:pStyle w:val="29"/>
        <w:rPr>
          <w:rFonts w:ascii="Times New Roman" w:eastAsiaTheme="minorEastAsia"/>
          <w:szCs w:val="22"/>
          <w14:ligatures w14:val="standardContextual"/>
        </w:rPr>
      </w:pPr>
      <w:r>
        <w:fldChar w:fldCharType="begin"/>
      </w:r>
      <w:r>
        <w:instrText xml:space="preserve"> HYPERLINK \l "_Toc165037171" </w:instrText>
      </w:r>
      <w:r>
        <w:fldChar w:fldCharType="separate"/>
      </w:r>
      <w:r>
        <w:rPr>
          <w:rStyle w:val="39"/>
          <w:rFonts w:ascii="Times New Roman"/>
        </w:rPr>
        <w:t>3 术语和定义</w:t>
      </w:r>
      <w:r>
        <w:rPr>
          <w:rFonts w:ascii="Times New Roman"/>
        </w:rPr>
        <w:tab/>
      </w:r>
      <w:r>
        <w:rPr>
          <w:rFonts w:ascii="Times New Roman"/>
        </w:rPr>
        <w:fldChar w:fldCharType="begin"/>
      </w:r>
      <w:r>
        <w:rPr>
          <w:rFonts w:ascii="Times New Roman"/>
        </w:rPr>
        <w:instrText xml:space="preserve"> PAGEREF _Toc165037171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3EF1D8A7">
      <w:pPr>
        <w:pStyle w:val="29"/>
        <w:rPr>
          <w:rFonts w:ascii="Times New Roman" w:eastAsiaTheme="minorEastAsia"/>
          <w:szCs w:val="22"/>
          <w14:ligatures w14:val="standardContextual"/>
        </w:rPr>
      </w:pPr>
      <w:r>
        <w:fldChar w:fldCharType="begin"/>
      </w:r>
      <w:r>
        <w:instrText xml:space="preserve"> HYPERLINK \l "_Toc165037172" </w:instrText>
      </w:r>
      <w:r>
        <w:fldChar w:fldCharType="separate"/>
      </w:r>
      <w:r>
        <w:rPr>
          <w:rStyle w:val="39"/>
          <w:rFonts w:ascii="Times New Roman"/>
        </w:rPr>
        <w:t>4 总则</w:t>
      </w:r>
      <w:r>
        <w:rPr>
          <w:rFonts w:ascii="Times New Roman"/>
        </w:rPr>
        <w:tab/>
      </w:r>
      <w:r>
        <w:rPr>
          <w:rFonts w:ascii="Times New Roman"/>
        </w:rPr>
        <w:fldChar w:fldCharType="begin"/>
      </w:r>
      <w:r>
        <w:rPr>
          <w:rFonts w:ascii="Times New Roman"/>
        </w:rPr>
        <w:instrText xml:space="preserve"> PAGEREF _Toc165037172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14:paraId="168363E2">
      <w:pPr>
        <w:pStyle w:val="29"/>
        <w:rPr>
          <w:rFonts w:ascii="Times New Roman" w:eastAsiaTheme="minorEastAsia"/>
          <w:szCs w:val="22"/>
          <w14:ligatures w14:val="standardContextual"/>
        </w:rPr>
      </w:pPr>
      <w:r>
        <w:fldChar w:fldCharType="begin"/>
      </w:r>
      <w:r>
        <w:instrText xml:space="preserve"> HYPERLINK \l "_Toc165037173" </w:instrText>
      </w:r>
      <w:r>
        <w:fldChar w:fldCharType="separate"/>
      </w:r>
      <w:r>
        <w:rPr>
          <w:rStyle w:val="39"/>
          <w:rFonts w:ascii="Times New Roman"/>
        </w:rPr>
        <w:t>5 方案制定</w:t>
      </w:r>
      <w:r>
        <w:rPr>
          <w:rFonts w:ascii="Times New Roman"/>
        </w:rPr>
        <w:tab/>
      </w:r>
      <w:r>
        <w:rPr>
          <w:rFonts w:ascii="Times New Roman"/>
        </w:rPr>
        <w:fldChar w:fldCharType="begin"/>
      </w:r>
      <w:r>
        <w:rPr>
          <w:rFonts w:ascii="Times New Roman"/>
        </w:rPr>
        <w:instrText xml:space="preserve"> PAGEREF _Toc165037173 \h </w:instrText>
      </w:r>
      <w:r>
        <w:rPr>
          <w:rFonts w:ascii="Times New Roman"/>
        </w:rPr>
        <w:fldChar w:fldCharType="separate"/>
      </w:r>
      <w:r>
        <w:rPr>
          <w:rFonts w:ascii="Times New Roman"/>
        </w:rPr>
        <w:t>4</w:t>
      </w:r>
      <w:r>
        <w:rPr>
          <w:rFonts w:ascii="Times New Roman"/>
        </w:rPr>
        <w:fldChar w:fldCharType="end"/>
      </w:r>
      <w:r>
        <w:rPr>
          <w:rFonts w:ascii="Times New Roman"/>
        </w:rPr>
        <w:fldChar w:fldCharType="end"/>
      </w:r>
    </w:p>
    <w:p w14:paraId="76097A3E">
      <w:pPr>
        <w:pStyle w:val="29"/>
        <w:rPr>
          <w:rFonts w:ascii="Times New Roman" w:eastAsiaTheme="minorEastAsia"/>
          <w:szCs w:val="22"/>
          <w14:ligatures w14:val="standardContextual"/>
        </w:rPr>
      </w:pPr>
      <w:r>
        <w:fldChar w:fldCharType="begin"/>
      </w:r>
      <w:r>
        <w:instrText xml:space="preserve"> HYPERLINK \l "_Toc165037174" </w:instrText>
      </w:r>
      <w:r>
        <w:fldChar w:fldCharType="separate"/>
      </w:r>
      <w:r>
        <w:rPr>
          <w:rStyle w:val="39"/>
          <w:rFonts w:ascii="Times New Roman"/>
        </w:rPr>
        <w:t>6 石油化工行业废水中多环芳烃类持久性有机物污染源调查</w:t>
      </w:r>
      <w:r>
        <w:rPr>
          <w:rFonts w:ascii="Times New Roman"/>
        </w:rPr>
        <w:tab/>
      </w:r>
      <w:r>
        <w:rPr>
          <w:rFonts w:ascii="Times New Roman"/>
        </w:rPr>
        <w:fldChar w:fldCharType="begin"/>
      </w:r>
      <w:r>
        <w:rPr>
          <w:rFonts w:ascii="Times New Roman"/>
        </w:rPr>
        <w:instrText xml:space="preserve"> PAGEREF _Toc165037174 \h </w:instrText>
      </w:r>
      <w:r>
        <w:rPr>
          <w:rFonts w:ascii="Times New Roman"/>
        </w:rPr>
        <w:fldChar w:fldCharType="separate"/>
      </w:r>
      <w:r>
        <w:rPr>
          <w:rFonts w:ascii="Times New Roman"/>
        </w:rPr>
        <w:t>4</w:t>
      </w:r>
      <w:r>
        <w:rPr>
          <w:rFonts w:ascii="Times New Roman"/>
        </w:rPr>
        <w:fldChar w:fldCharType="end"/>
      </w:r>
      <w:r>
        <w:rPr>
          <w:rFonts w:ascii="Times New Roman"/>
        </w:rPr>
        <w:fldChar w:fldCharType="end"/>
      </w:r>
    </w:p>
    <w:p w14:paraId="6B032F1A">
      <w:pPr>
        <w:pStyle w:val="29"/>
        <w:rPr>
          <w:rFonts w:ascii="Times New Roman" w:eastAsiaTheme="minorEastAsia"/>
          <w:szCs w:val="22"/>
          <w14:ligatures w14:val="standardContextual"/>
        </w:rPr>
      </w:pPr>
      <w:r>
        <w:fldChar w:fldCharType="begin"/>
      </w:r>
      <w:r>
        <w:instrText xml:space="preserve"> HYPERLINK \l "_Toc165037175" </w:instrText>
      </w:r>
      <w:r>
        <w:fldChar w:fldCharType="separate"/>
      </w:r>
      <w:r>
        <w:rPr>
          <w:rStyle w:val="39"/>
          <w:rFonts w:ascii="Times New Roman"/>
        </w:rPr>
        <w:t>7 风险分析</w:t>
      </w:r>
      <w:r>
        <w:rPr>
          <w:rFonts w:ascii="Times New Roman"/>
        </w:rPr>
        <w:tab/>
      </w:r>
      <w:r>
        <w:rPr>
          <w:rFonts w:ascii="Times New Roman"/>
        </w:rPr>
        <w:fldChar w:fldCharType="begin"/>
      </w:r>
      <w:r>
        <w:rPr>
          <w:rFonts w:ascii="Times New Roman"/>
        </w:rPr>
        <w:instrText xml:space="preserve"> PAGEREF _Toc165037175 \h </w:instrText>
      </w:r>
      <w:r>
        <w:rPr>
          <w:rFonts w:ascii="Times New Roman"/>
        </w:rPr>
        <w:fldChar w:fldCharType="separate"/>
      </w:r>
      <w:r>
        <w:rPr>
          <w:rFonts w:ascii="Times New Roman"/>
        </w:rPr>
        <w:t>5</w:t>
      </w:r>
      <w:r>
        <w:rPr>
          <w:rFonts w:ascii="Times New Roman"/>
        </w:rPr>
        <w:fldChar w:fldCharType="end"/>
      </w:r>
      <w:r>
        <w:rPr>
          <w:rFonts w:ascii="Times New Roman"/>
        </w:rPr>
        <w:fldChar w:fldCharType="end"/>
      </w:r>
    </w:p>
    <w:p w14:paraId="79EA5AD9">
      <w:pPr>
        <w:pStyle w:val="29"/>
        <w:rPr>
          <w:rFonts w:ascii="Times New Roman" w:eastAsiaTheme="minorEastAsia"/>
          <w:szCs w:val="22"/>
          <w14:ligatures w14:val="standardContextual"/>
        </w:rPr>
      </w:pPr>
      <w:r>
        <w:fldChar w:fldCharType="begin"/>
      </w:r>
      <w:r>
        <w:instrText xml:space="preserve"> HYPERLINK \l "_Toc165037176" </w:instrText>
      </w:r>
      <w:r>
        <w:fldChar w:fldCharType="separate"/>
      </w:r>
      <w:r>
        <w:rPr>
          <w:rStyle w:val="39"/>
          <w:rFonts w:ascii="Times New Roman"/>
        </w:rPr>
        <w:t>8 风险表征</w:t>
      </w:r>
      <w:r>
        <w:rPr>
          <w:rFonts w:ascii="Times New Roman"/>
        </w:rPr>
        <w:tab/>
      </w:r>
      <w:r>
        <w:rPr>
          <w:rFonts w:ascii="Times New Roman"/>
        </w:rPr>
        <w:fldChar w:fldCharType="begin"/>
      </w:r>
      <w:r>
        <w:rPr>
          <w:rFonts w:ascii="Times New Roman"/>
        </w:rPr>
        <w:instrText xml:space="preserve"> PAGEREF _Toc165037176 \h </w:instrText>
      </w:r>
      <w:r>
        <w:rPr>
          <w:rFonts w:ascii="Times New Roman"/>
        </w:rPr>
        <w:fldChar w:fldCharType="separate"/>
      </w:r>
      <w:r>
        <w:rPr>
          <w:rFonts w:ascii="Times New Roman"/>
        </w:rPr>
        <w:t>5</w:t>
      </w:r>
      <w:r>
        <w:rPr>
          <w:rFonts w:ascii="Times New Roman"/>
        </w:rPr>
        <w:fldChar w:fldCharType="end"/>
      </w:r>
      <w:r>
        <w:rPr>
          <w:rFonts w:ascii="Times New Roman"/>
        </w:rPr>
        <w:fldChar w:fldCharType="end"/>
      </w:r>
    </w:p>
    <w:p w14:paraId="39637FFE">
      <w:pPr>
        <w:pStyle w:val="29"/>
        <w:rPr>
          <w:rFonts w:ascii="Times New Roman" w:eastAsiaTheme="minorEastAsia"/>
          <w:szCs w:val="22"/>
          <w14:ligatures w14:val="standardContextual"/>
        </w:rPr>
      </w:pPr>
      <w:r>
        <w:fldChar w:fldCharType="begin"/>
      </w:r>
      <w:r>
        <w:instrText xml:space="preserve"> HYPERLINK \l "_Toc165037177" </w:instrText>
      </w:r>
      <w:r>
        <w:fldChar w:fldCharType="separate"/>
      </w:r>
      <w:r>
        <w:rPr>
          <w:rStyle w:val="39"/>
          <w:rFonts w:ascii="Times New Roman"/>
        </w:rPr>
        <w:t>9 石油化工行业废水环境风险管理</w:t>
      </w:r>
      <w:r>
        <w:rPr>
          <w:rFonts w:ascii="Times New Roman"/>
        </w:rPr>
        <w:tab/>
      </w:r>
      <w:r>
        <w:rPr>
          <w:rFonts w:ascii="Times New Roman"/>
        </w:rPr>
        <w:fldChar w:fldCharType="begin"/>
      </w:r>
      <w:r>
        <w:rPr>
          <w:rFonts w:ascii="Times New Roman"/>
        </w:rPr>
        <w:instrText xml:space="preserve"> PAGEREF _Toc165037177 \h </w:instrText>
      </w:r>
      <w:r>
        <w:rPr>
          <w:rFonts w:ascii="Times New Roman"/>
        </w:rPr>
        <w:fldChar w:fldCharType="separate"/>
      </w:r>
      <w:r>
        <w:rPr>
          <w:rFonts w:ascii="Times New Roman"/>
        </w:rPr>
        <w:t>6</w:t>
      </w:r>
      <w:r>
        <w:rPr>
          <w:rFonts w:ascii="Times New Roman"/>
        </w:rPr>
        <w:fldChar w:fldCharType="end"/>
      </w:r>
      <w:r>
        <w:rPr>
          <w:rFonts w:ascii="Times New Roman"/>
        </w:rPr>
        <w:fldChar w:fldCharType="end"/>
      </w:r>
    </w:p>
    <w:p w14:paraId="1157C119">
      <w:pPr>
        <w:pStyle w:val="46"/>
        <w:spacing w:line="360" w:lineRule="auto"/>
        <w:rPr>
          <w:rFonts w:ascii="Times New Roman"/>
          <w:szCs w:val="21"/>
        </w:rPr>
      </w:pPr>
      <w:r>
        <w:rPr>
          <w:rFonts w:ascii="Times New Roman"/>
          <w:szCs w:val="21"/>
        </w:rPr>
        <w:fldChar w:fldCharType="end"/>
      </w:r>
    </w:p>
    <w:p w14:paraId="1088BB2B">
      <w:pPr>
        <w:pStyle w:val="46"/>
        <w:spacing w:line="360" w:lineRule="auto"/>
        <w:rPr>
          <w:rFonts w:ascii="Times New Roman"/>
          <w:szCs w:val="21"/>
        </w:rPr>
      </w:pPr>
    </w:p>
    <w:p w14:paraId="339528A1">
      <w:pPr>
        <w:pStyle w:val="46"/>
        <w:spacing w:line="360" w:lineRule="auto"/>
        <w:rPr>
          <w:rFonts w:ascii="Times New Roman"/>
          <w:szCs w:val="21"/>
        </w:rPr>
      </w:pPr>
      <w:bookmarkStart w:id="35" w:name="_GoBack"/>
      <w:bookmarkEnd w:id="35"/>
    </w:p>
    <w:p w14:paraId="2ABA925D">
      <w:pPr>
        <w:pStyle w:val="46"/>
        <w:spacing w:line="360" w:lineRule="auto"/>
        <w:rPr>
          <w:rFonts w:ascii="Times New Roman"/>
          <w:szCs w:val="21"/>
        </w:rPr>
      </w:pPr>
    </w:p>
    <w:p w14:paraId="63E82D8B">
      <w:pPr>
        <w:pStyle w:val="46"/>
        <w:spacing w:line="360" w:lineRule="auto"/>
        <w:rPr>
          <w:rFonts w:ascii="Times New Roman"/>
        </w:rPr>
        <w:sectPr>
          <w:headerReference r:id="rId4" w:type="default"/>
          <w:footerReference r:id="rId5" w:type="default"/>
          <w:pgSz w:w="11906" w:h="16838"/>
          <w:pgMar w:top="567" w:right="1134" w:bottom="1134" w:left="1418" w:header="1418" w:footer="1134" w:gutter="0"/>
          <w:pgNumType w:fmt="upperRoman" w:start="1"/>
          <w:cols w:space="720" w:num="1"/>
          <w:formProt w:val="0"/>
          <w:docGrid w:type="lines" w:linePitch="312" w:charSpace="0"/>
        </w:sectPr>
      </w:pPr>
    </w:p>
    <w:p w14:paraId="0A888770">
      <w:pPr>
        <w:pStyle w:val="135"/>
        <w:rPr>
          <w:rFonts w:ascii="Times New Roman"/>
        </w:rPr>
      </w:pPr>
      <w:bookmarkStart w:id="10" w:name="_Toc16609143"/>
      <w:bookmarkStart w:id="11" w:name="_Toc165037168"/>
      <w:bookmarkStart w:id="12" w:name="_Toc87433433"/>
      <w:r>
        <w:rPr>
          <w:rFonts w:ascii="Times New Roman"/>
        </w:rPr>
        <w:t>前</w:t>
      </w:r>
      <w:bookmarkStart w:id="13" w:name="BKQY"/>
      <w:r>
        <w:rPr>
          <w:rFonts w:ascii="Times New Roman"/>
        </w:rPr>
        <w:t>  言</w:t>
      </w:r>
      <w:bookmarkEnd w:id="10"/>
      <w:bookmarkEnd w:id="11"/>
      <w:bookmarkEnd w:id="12"/>
      <w:bookmarkEnd w:id="13"/>
    </w:p>
    <w:p w14:paraId="2395B482">
      <w:pPr>
        <w:pStyle w:val="46"/>
        <w:rPr>
          <w:rFonts w:hint="eastAsia" w:ascii="Times New Roman" w:eastAsia="宋体"/>
          <w:lang w:eastAsia="zh-CN"/>
        </w:rPr>
      </w:pPr>
      <w:r>
        <w:rPr>
          <w:rFonts w:ascii="Times New Roman"/>
        </w:rPr>
        <w:t>本文件按照</w:t>
      </w:r>
      <w:r>
        <w:rPr>
          <w:rFonts w:hint="eastAsia" w:ascii="Times New Roman"/>
        </w:rPr>
        <w:t xml:space="preserve"> </w:t>
      </w:r>
      <w:r>
        <w:rPr>
          <w:rFonts w:ascii="Times New Roman"/>
        </w:rPr>
        <w:t>GB/T 1.1-2020《标准化工作导则 第1部分：标准化文件的结构和起草规则》的规定起草</w:t>
      </w:r>
      <w:r>
        <w:rPr>
          <w:rFonts w:hint="eastAsia" w:ascii="Times New Roman"/>
          <w:lang w:eastAsia="zh-CN"/>
        </w:rPr>
        <w:t>。</w:t>
      </w:r>
    </w:p>
    <w:p w14:paraId="7CC881A8">
      <w:pPr>
        <w:pStyle w:val="46"/>
        <w:rPr>
          <w:rFonts w:ascii="Times New Roman"/>
        </w:rPr>
      </w:pPr>
      <w:r>
        <w:rPr>
          <w:rFonts w:ascii="Times New Roman"/>
        </w:rPr>
        <w:t>为贯彻《中华人民共和国环境保护法》</w:t>
      </w:r>
      <w:r>
        <w:rPr>
          <w:rFonts w:hint="eastAsia" w:ascii="Times New Roman"/>
        </w:rPr>
        <w:t>，</w:t>
      </w:r>
      <w:r>
        <w:rPr>
          <w:rFonts w:ascii="Times New Roman" w:cs="Times New Roman"/>
          <w:color w:val="auto"/>
          <w:szCs w:val="21"/>
        </w:rPr>
        <w:t>主要针对新疆</w:t>
      </w:r>
      <w:r>
        <w:rPr>
          <w:color w:val="auto"/>
          <w:szCs w:val="21"/>
        </w:rPr>
        <w:t>石油化工行业废水中持久性有机物</w:t>
      </w:r>
      <w:r>
        <w:rPr>
          <w:rFonts w:hint="eastAsia" w:ascii="Times New Roman" w:cs="Times New Roman"/>
          <w:color w:val="auto"/>
          <w:szCs w:val="21"/>
        </w:rPr>
        <w:t>环境风险评估问题，</w:t>
      </w:r>
      <w:r>
        <w:rPr>
          <w:rFonts w:ascii="Times New Roman" w:cs="Times New Roman"/>
          <w:color w:val="auto"/>
          <w:szCs w:val="21"/>
        </w:rPr>
        <w:t>对所涉及</w:t>
      </w:r>
      <w:r>
        <w:rPr>
          <w:rFonts w:hint="eastAsia" w:ascii="Times New Roman" w:cs="Times New Roman"/>
          <w:color w:val="auto"/>
          <w:szCs w:val="21"/>
        </w:rPr>
        <w:t>的</w:t>
      </w:r>
      <w:r>
        <w:rPr>
          <w:rFonts w:ascii="Times New Roman" w:cs="Times New Roman"/>
          <w:color w:val="auto"/>
          <w:szCs w:val="21"/>
        </w:rPr>
        <w:t>风险源</w:t>
      </w:r>
      <w:r>
        <w:rPr>
          <w:rFonts w:hint="eastAsia" w:ascii="Times New Roman" w:cs="Times New Roman"/>
          <w:color w:val="auto"/>
          <w:szCs w:val="21"/>
        </w:rPr>
        <w:t>、风险受体</w:t>
      </w:r>
      <w:r>
        <w:rPr>
          <w:rFonts w:ascii="Times New Roman" w:cs="Times New Roman"/>
          <w:color w:val="auto"/>
          <w:szCs w:val="21"/>
        </w:rPr>
        <w:t>、风险评估技术环节做</w:t>
      </w:r>
      <w:r>
        <w:rPr>
          <w:rFonts w:hint="eastAsia" w:ascii="Times New Roman" w:cs="Times New Roman"/>
          <w:color w:val="auto"/>
          <w:szCs w:val="21"/>
        </w:rPr>
        <w:t>出</w:t>
      </w:r>
      <w:r>
        <w:rPr>
          <w:rFonts w:ascii="Times New Roman" w:cs="Times New Roman"/>
          <w:color w:val="auto"/>
          <w:szCs w:val="21"/>
        </w:rPr>
        <w:t>要求，为新疆石油化工行业重点管控新污染物</w:t>
      </w:r>
      <w:r>
        <w:rPr>
          <w:rFonts w:hint="eastAsia" w:ascii="Times New Roman" w:cs="Times New Roman"/>
          <w:color w:val="auto"/>
          <w:szCs w:val="21"/>
        </w:rPr>
        <w:t>的</w:t>
      </w:r>
      <w:r>
        <w:rPr>
          <w:rFonts w:ascii="Times New Roman" w:cs="Times New Roman"/>
          <w:color w:val="auto"/>
          <w:szCs w:val="21"/>
        </w:rPr>
        <w:t>环境风险管理提供技术支撑</w:t>
      </w:r>
      <w:r>
        <w:rPr>
          <w:rFonts w:hint="eastAsia" w:ascii="Times New Roman"/>
        </w:rPr>
        <w:t>。</w:t>
      </w:r>
    </w:p>
    <w:p w14:paraId="74825F06">
      <w:pPr>
        <w:pStyle w:val="46"/>
        <w:rPr>
          <w:rFonts w:ascii="Times New Roman"/>
        </w:rPr>
      </w:pPr>
      <w:r>
        <w:rPr>
          <w:rFonts w:ascii="Times New Roman" w:cs="Times New Roman"/>
          <w:color w:val="auto"/>
          <w:szCs w:val="21"/>
        </w:rPr>
        <w:t>本标准适用于石油化工行业</w:t>
      </w:r>
      <w:r>
        <w:rPr>
          <w:rFonts w:hint="eastAsia" w:ascii="Times New Roman" w:cs="Times New Roman"/>
          <w:color w:val="auto"/>
          <w:szCs w:val="21"/>
        </w:rPr>
        <w:t>废水中多环芳烃类持久性有机</w:t>
      </w:r>
      <w:r>
        <w:rPr>
          <w:rFonts w:ascii="Times New Roman" w:cs="Times New Roman"/>
          <w:color w:val="auto"/>
          <w:szCs w:val="21"/>
        </w:rPr>
        <w:t>污染物对</w:t>
      </w:r>
      <w:r>
        <w:rPr>
          <w:rFonts w:hint="eastAsia" w:ascii="Times New Roman" w:cs="Times New Roman"/>
          <w:color w:val="auto"/>
          <w:szCs w:val="21"/>
        </w:rPr>
        <w:t>周边环境影响的</w:t>
      </w:r>
      <w:r>
        <w:rPr>
          <w:rFonts w:ascii="Times New Roman" w:cs="Times New Roman"/>
          <w:color w:val="auto"/>
          <w:szCs w:val="21"/>
        </w:rPr>
        <w:t>风险评估。本文件不适用于噪声、微生物、铅等环境污染开展的环境风险评估与风险管控</w:t>
      </w:r>
      <w:r>
        <w:rPr>
          <w:rFonts w:ascii="Times New Roman"/>
        </w:rPr>
        <w:t>。</w:t>
      </w:r>
    </w:p>
    <w:p w14:paraId="571DE6A2">
      <w:pPr>
        <w:pStyle w:val="46"/>
        <w:rPr>
          <w:rFonts w:ascii="Times New Roman"/>
        </w:rPr>
      </w:pPr>
      <w:r>
        <w:rPr>
          <w:rFonts w:ascii="Times New Roman"/>
        </w:rPr>
        <w:t>本文件为首次发布。</w:t>
      </w:r>
    </w:p>
    <w:p w14:paraId="3405216A">
      <w:pPr>
        <w:ind w:firstLine="420" w:firstLineChars="200"/>
        <w:jc w:val="both"/>
        <w:rPr>
          <w:rFonts w:hint="eastAsia" w:ascii="宋体" w:hAnsi="宋体" w:eastAsia="宋体" w:cs="宋体"/>
          <w:color w:val="000000"/>
          <w:kern w:val="0"/>
          <w:sz w:val="21"/>
          <w:szCs w:val="21"/>
          <w:lang w:val="en-US" w:eastAsia="zh-CN" w:bidi="ar"/>
        </w:rPr>
      </w:pPr>
      <w:r>
        <w:rPr>
          <w:rFonts w:ascii="Times New Roman"/>
        </w:rPr>
        <w:t>本文件由</w:t>
      </w:r>
      <w:r>
        <w:rPr>
          <w:rFonts w:hint="eastAsia"/>
          <w:lang w:val="en-US" w:eastAsia="zh-CN"/>
        </w:rPr>
        <w:t>本文件由新疆天熙环保科技有限公司、生态环境部南京环境科学研究所</w:t>
      </w:r>
    </w:p>
    <w:p w14:paraId="229A523F">
      <w:pPr>
        <w:ind w:firstLine="420" w:firstLineChars="200"/>
        <w:jc w:val="both"/>
        <w:rPr>
          <w:rFonts w:hint="eastAsia" w:ascii="宋体" w:hAnsi="宋体" w:eastAsia="宋体" w:cs="宋体"/>
          <w:color w:val="000000"/>
          <w:kern w:val="0"/>
          <w:sz w:val="21"/>
          <w:szCs w:val="21"/>
          <w:lang w:val="en-US" w:eastAsia="zh-CN" w:bidi="ar"/>
        </w:rPr>
      </w:pPr>
      <w:r>
        <w:rPr>
          <w:rFonts w:ascii="Times New Roman"/>
        </w:rPr>
        <w:t>本文件由新疆维吾尔自治区生态环境保护产业协会提出并归口</w:t>
      </w:r>
    </w:p>
    <w:p w14:paraId="3BF9F421">
      <w:pPr>
        <w:pStyle w:val="46"/>
        <w:rPr>
          <w:rFonts w:ascii="Times New Roman"/>
        </w:rPr>
      </w:pPr>
      <w:r>
        <w:rPr>
          <w:rFonts w:ascii="Times New Roman"/>
        </w:rPr>
        <w:t>本文件起草单位：</w:t>
      </w:r>
      <w:r>
        <w:rPr>
          <w:rFonts w:hint="eastAsia" w:ascii="Times New Roman"/>
          <w:lang w:val="en-US" w:eastAsia="zh-CN"/>
        </w:rPr>
        <w:t xml:space="preserve">新疆天熙环保科技有限公司 </w:t>
      </w:r>
      <w:r>
        <w:rPr>
          <w:rFonts w:ascii="Times New Roman"/>
        </w:rPr>
        <w:t>生态环境部南京环境科学研究所</w:t>
      </w:r>
      <w:r>
        <w:rPr>
          <w:rFonts w:hint="eastAsia" w:ascii="Times New Roman"/>
          <w:lang w:val="en-US" w:eastAsia="zh-CN"/>
        </w:rPr>
        <w:t xml:space="preserve"> </w:t>
      </w:r>
      <w:r>
        <w:rPr>
          <w:rFonts w:ascii="Times New Roman"/>
        </w:rPr>
        <w:t>。</w:t>
      </w:r>
    </w:p>
    <w:p w14:paraId="50BA4EC2">
      <w:pPr>
        <w:pStyle w:val="46"/>
        <w:rPr>
          <w:rFonts w:ascii="Times New Roman"/>
        </w:rPr>
        <w:sectPr>
          <w:pgSz w:w="11906" w:h="16838"/>
          <w:pgMar w:top="567" w:right="1134" w:bottom="1134" w:left="1418" w:header="1418" w:footer="1134" w:gutter="0"/>
          <w:pgNumType w:fmt="upperRoman"/>
          <w:cols w:space="720" w:num="1"/>
          <w:formProt w:val="0"/>
          <w:docGrid w:type="lines" w:linePitch="312" w:charSpace="0"/>
        </w:sectPr>
      </w:pPr>
      <w:r>
        <w:rPr>
          <w:rFonts w:ascii="Times New Roman"/>
        </w:rPr>
        <w:t>本文件</w:t>
      </w:r>
      <w:r>
        <w:rPr>
          <w:rFonts w:hint="eastAsia" w:ascii="Times New Roman"/>
        </w:rPr>
        <w:t>主要起草人：</w:t>
      </w:r>
      <w:r>
        <w:rPr>
          <w:rFonts w:hint="eastAsia" w:ascii="Times New Roman"/>
          <w:lang w:val="en-US" w:eastAsia="zh-CN"/>
        </w:rPr>
        <w:t>雷荣荣 王灵  张圣虎 漆丹 王宁 刘丽青</w:t>
      </w:r>
    </w:p>
    <w:p w14:paraId="40381924">
      <w:pPr>
        <w:spacing w:line="960" w:lineRule="auto"/>
        <w:jc w:val="center"/>
        <w:rPr>
          <w:rFonts w:eastAsia="黑体"/>
          <w:sz w:val="32"/>
          <w:szCs w:val="32"/>
        </w:rPr>
      </w:pPr>
      <w:bookmarkStart w:id="14" w:name="_Toc87433434"/>
      <w:r>
        <w:rPr>
          <w:rFonts w:hint="eastAsia" w:eastAsia="黑体"/>
          <w:sz w:val="32"/>
          <w:szCs w:val="32"/>
        </w:rPr>
        <w:t>石油化工行业废水中多环芳烃类持久性有机物</w:t>
      </w:r>
    </w:p>
    <w:p w14:paraId="40878565">
      <w:pPr>
        <w:spacing w:line="960" w:lineRule="auto"/>
        <w:jc w:val="center"/>
        <w:rPr>
          <w:rFonts w:eastAsia="黑体"/>
          <w:sz w:val="32"/>
          <w:szCs w:val="32"/>
        </w:rPr>
      </w:pPr>
      <w:r>
        <w:rPr>
          <w:rFonts w:hint="eastAsia" w:eastAsia="黑体"/>
          <w:sz w:val="32"/>
          <w:szCs w:val="32"/>
        </w:rPr>
        <w:t>环境风险评估技术指南</w:t>
      </w:r>
      <w:bookmarkEnd w:id="14"/>
    </w:p>
    <w:p w14:paraId="75646137">
      <w:pPr>
        <w:pStyle w:val="81"/>
        <w:rPr>
          <w:rFonts w:ascii="Times New Roman"/>
        </w:rPr>
      </w:pPr>
      <w:bookmarkStart w:id="15" w:name="_Toc165037169"/>
      <w:bookmarkStart w:id="16" w:name="_Toc87433435"/>
      <w:bookmarkStart w:id="17" w:name="_Toc16609145"/>
      <w:r>
        <w:rPr>
          <w:rFonts w:ascii="Times New Roman"/>
        </w:rPr>
        <w:t>适用范围</w:t>
      </w:r>
      <w:bookmarkEnd w:id="15"/>
      <w:bookmarkEnd w:id="16"/>
      <w:bookmarkEnd w:id="17"/>
    </w:p>
    <w:p w14:paraId="588E2F9F">
      <w:pPr>
        <w:pStyle w:val="46"/>
        <w:spacing w:line="276" w:lineRule="auto"/>
        <w:rPr>
          <w:rFonts w:ascii="Times New Roman"/>
        </w:rPr>
      </w:pPr>
      <w:r>
        <w:rPr>
          <w:rFonts w:hint="eastAsia" w:ascii="Times New Roman"/>
        </w:rPr>
        <w:t>本标准适用于石油化工行业废水中多环芳烃类持久性有机污染物对周边环境影响的风险评估。本文件不适用于噪声、微生物、铅等环境污染开展的环境风险评估与风险管控。</w:t>
      </w:r>
    </w:p>
    <w:p w14:paraId="4691D32B">
      <w:pPr>
        <w:pStyle w:val="81"/>
        <w:rPr>
          <w:rFonts w:ascii="Times New Roman"/>
        </w:rPr>
      </w:pPr>
      <w:bookmarkStart w:id="18" w:name="_Toc87433436"/>
      <w:bookmarkStart w:id="19" w:name="_Toc16609146"/>
      <w:bookmarkStart w:id="20" w:name="_Toc165037170"/>
      <w:r>
        <w:rPr>
          <w:rFonts w:ascii="Times New Roman"/>
        </w:rPr>
        <w:t>规范性引用文件</w:t>
      </w:r>
      <w:bookmarkEnd w:id="18"/>
      <w:bookmarkEnd w:id="19"/>
      <w:bookmarkEnd w:id="20"/>
    </w:p>
    <w:p w14:paraId="230EFB42">
      <w:pPr>
        <w:pStyle w:val="46"/>
        <w:spacing w:line="276" w:lineRule="auto"/>
        <w:rPr>
          <w:rFonts w:ascii="Times New Roman"/>
        </w:rPr>
      </w:pPr>
      <w:r>
        <w:rPr>
          <w:rFonts w:ascii="Times New Roman"/>
        </w:rPr>
        <w:t>本文件引用了下列文件或其中的条款。凡是注明日期的引用文件，仅注日期的版本适用于本文件。凡是未注日期的引用文件，其最新版本（包括所有的修改单）适用于本文件。</w:t>
      </w:r>
    </w:p>
    <w:p w14:paraId="15985545">
      <w:pPr>
        <w:pStyle w:val="46"/>
        <w:spacing w:line="276" w:lineRule="auto"/>
        <w:rPr>
          <w:rFonts w:ascii="Times New Roman"/>
        </w:rPr>
      </w:pPr>
      <w:r>
        <w:rPr>
          <w:rFonts w:hint="eastAsia" w:ascii="Times New Roman"/>
        </w:rPr>
        <w:t>GB'T 27921  风险管理 风险评估技术</w:t>
      </w:r>
    </w:p>
    <w:p w14:paraId="35BAEA5E">
      <w:pPr>
        <w:pStyle w:val="46"/>
        <w:spacing w:line="276" w:lineRule="auto"/>
        <w:rPr>
          <w:rFonts w:ascii="Times New Roman"/>
        </w:rPr>
      </w:pPr>
      <w:r>
        <w:rPr>
          <w:rFonts w:hint="eastAsia" w:ascii="Times New Roman"/>
        </w:rPr>
        <w:t>GB 50747 石油化工污水处理设计规范</w:t>
      </w:r>
    </w:p>
    <w:p w14:paraId="1D82138D">
      <w:pPr>
        <w:pStyle w:val="46"/>
        <w:spacing w:line="276" w:lineRule="auto"/>
        <w:rPr>
          <w:rFonts w:hint="eastAsia" w:ascii="Times New Roman"/>
        </w:rPr>
      </w:pPr>
      <w:r>
        <w:rPr>
          <w:rFonts w:hint="eastAsia" w:ascii="Times New Roman"/>
        </w:rPr>
        <w:t>HJ 1111 生态环境健康风险评估技术指南 总纲</w:t>
      </w:r>
    </w:p>
    <w:p w14:paraId="1C55C709">
      <w:pPr>
        <w:pStyle w:val="46"/>
        <w:spacing w:line="276" w:lineRule="auto"/>
        <w:rPr>
          <w:rFonts w:hint="eastAsia" w:ascii="Times New Roman"/>
        </w:rPr>
      </w:pPr>
      <w:r>
        <w:rPr>
          <w:rFonts w:ascii="Times New Roman"/>
        </w:rPr>
        <w:t>HJ 124</w:t>
      </w:r>
      <w:r>
        <w:rPr>
          <w:rFonts w:hint="eastAsia" w:ascii="Times New Roman"/>
        </w:rPr>
        <w:t xml:space="preserve"> 排污单位自行监测技术指南 陆上石油天然气开采工业</w:t>
      </w:r>
    </w:p>
    <w:p w14:paraId="035F35C0">
      <w:pPr>
        <w:pStyle w:val="46"/>
        <w:spacing w:line="276" w:lineRule="auto"/>
        <w:rPr>
          <w:rFonts w:ascii="Times New Roman"/>
        </w:rPr>
      </w:pPr>
      <w:r>
        <w:rPr>
          <w:rFonts w:hint="eastAsia" w:ascii="Times New Roman"/>
        </w:rPr>
        <w:t>HJ 2.2 环境影响评价技术导则大气环境</w:t>
      </w:r>
    </w:p>
    <w:p w14:paraId="03138E70">
      <w:pPr>
        <w:pStyle w:val="46"/>
        <w:spacing w:line="276" w:lineRule="auto"/>
        <w:rPr>
          <w:rFonts w:ascii="Times New Roman"/>
        </w:rPr>
      </w:pPr>
      <w:r>
        <w:rPr>
          <w:rFonts w:hint="eastAsia" w:ascii="Times New Roman"/>
        </w:rPr>
        <w:t>HJ 2.3 环境影响评价技术导则地面水环境</w:t>
      </w:r>
    </w:p>
    <w:p w14:paraId="536C8C5F">
      <w:pPr>
        <w:pStyle w:val="46"/>
        <w:spacing w:line="276" w:lineRule="auto"/>
        <w:rPr>
          <w:rFonts w:ascii="Times New Roman"/>
        </w:rPr>
      </w:pPr>
      <w:r>
        <w:rPr>
          <w:rFonts w:hint="eastAsia" w:ascii="Times New Roman"/>
        </w:rPr>
        <w:t>HJ 25.3 污染场地风险评估技术导则</w:t>
      </w:r>
    </w:p>
    <w:p w14:paraId="7F9C2DE8">
      <w:pPr>
        <w:pStyle w:val="46"/>
        <w:spacing w:line="276" w:lineRule="auto"/>
        <w:rPr>
          <w:rFonts w:hint="eastAsia" w:ascii="Times New Roman"/>
        </w:rPr>
      </w:pPr>
      <w:r>
        <w:rPr>
          <w:rFonts w:ascii="Times New Roman"/>
        </w:rPr>
        <w:t>HJ 405</w:t>
      </w:r>
      <w:r>
        <w:rPr>
          <w:rFonts w:hint="eastAsia" w:ascii="Times New Roman"/>
        </w:rPr>
        <w:t xml:space="preserve"> 建设项目竣工环境保护设施验收技术规范 石油炼制</w:t>
      </w:r>
    </w:p>
    <w:p w14:paraId="290EB317">
      <w:pPr>
        <w:pStyle w:val="46"/>
        <w:spacing w:line="276" w:lineRule="auto"/>
        <w:rPr>
          <w:rFonts w:hint="eastAsia" w:ascii="Times New Roman"/>
        </w:rPr>
      </w:pPr>
      <w:r>
        <w:rPr>
          <w:rFonts w:hint="eastAsia" w:ascii="Times New Roman"/>
        </w:rPr>
        <w:t>HJ 610 环境影响评价技术导则地下水环境</w:t>
      </w:r>
    </w:p>
    <w:p w14:paraId="4905678A">
      <w:pPr>
        <w:pStyle w:val="46"/>
        <w:spacing w:line="276" w:lineRule="auto"/>
        <w:rPr>
          <w:rFonts w:ascii="Times New Roman"/>
        </w:rPr>
      </w:pPr>
      <w:r>
        <w:rPr>
          <w:rFonts w:hint="eastAsia" w:ascii="Times New Roman"/>
        </w:rPr>
        <w:t>HJ 877 暴露参数调查技术规范</w:t>
      </w:r>
    </w:p>
    <w:p w14:paraId="2F918F9F">
      <w:pPr>
        <w:pStyle w:val="46"/>
        <w:spacing w:line="276" w:lineRule="auto"/>
        <w:rPr>
          <w:rFonts w:ascii="Times New Roman"/>
        </w:rPr>
      </w:pPr>
      <w:r>
        <w:rPr>
          <w:rFonts w:hint="eastAsia" w:ascii="Times New Roman"/>
        </w:rPr>
        <w:t>HJ 964 环境影响评价技术导则土壤环境（试行）</w:t>
      </w:r>
    </w:p>
    <w:p w14:paraId="0E3D1D97">
      <w:pPr>
        <w:pStyle w:val="46"/>
        <w:spacing w:line="276" w:lineRule="auto"/>
        <w:rPr>
          <w:rFonts w:ascii="Times New Roman"/>
        </w:rPr>
      </w:pPr>
      <w:r>
        <w:rPr>
          <w:rFonts w:ascii="Times New Roman"/>
        </w:rPr>
        <w:t>SH/T3024</w:t>
      </w:r>
      <w:r>
        <w:rPr>
          <w:rFonts w:hint="eastAsia" w:ascii="Times New Roman"/>
        </w:rPr>
        <w:t xml:space="preserve"> 石油化工环境保护设计规范</w:t>
      </w:r>
    </w:p>
    <w:p w14:paraId="4B59F9C1">
      <w:pPr>
        <w:pStyle w:val="46"/>
        <w:spacing w:line="276" w:lineRule="auto"/>
        <w:rPr>
          <w:rFonts w:hint="eastAsia" w:ascii="Times New Roman"/>
        </w:rPr>
      </w:pPr>
      <w:r>
        <w:rPr>
          <w:rFonts w:ascii="Times New Roman"/>
        </w:rPr>
        <w:t>SH/T3099</w:t>
      </w:r>
      <w:r>
        <w:rPr>
          <w:rFonts w:hint="eastAsia" w:ascii="Times New Roman"/>
        </w:rPr>
        <w:t xml:space="preserve"> 石油化工给水排水水质标准</w:t>
      </w:r>
    </w:p>
    <w:p w14:paraId="06460796">
      <w:pPr>
        <w:pStyle w:val="46"/>
        <w:spacing w:line="276" w:lineRule="auto"/>
        <w:rPr>
          <w:rFonts w:ascii="Times New Roman"/>
        </w:rPr>
      </w:pPr>
      <w:r>
        <w:rPr>
          <w:rFonts w:hint="eastAsia" w:ascii="Times New Roman"/>
        </w:rPr>
        <w:t>T/CSES 53 环境健康风险监测技术规范</w:t>
      </w:r>
    </w:p>
    <w:p w14:paraId="10BDF9CA">
      <w:pPr>
        <w:pStyle w:val="46"/>
        <w:spacing w:line="276" w:lineRule="auto"/>
        <w:rPr>
          <w:rFonts w:hint="eastAsia" w:ascii="Times New Roman"/>
        </w:rPr>
      </w:pPr>
      <w:r>
        <w:rPr>
          <w:rFonts w:hint="eastAsia" w:ascii="Times New Roman"/>
        </w:rPr>
        <w:t>Q/SH 0729 石化企业水体环境风险防控技术要求</w:t>
      </w:r>
    </w:p>
    <w:p w14:paraId="0E0D11EE">
      <w:pPr>
        <w:pStyle w:val="81"/>
        <w:rPr>
          <w:rFonts w:ascii="Times New Roman"/>
        </w:rPr>
      </w:pPr>
      <w:bookmarkStart w:id="21" w:name="_Toc165037171"/>
      <w:r>
        <w:rPr>
          <w:rFonts w:hint="eastAsia" w:ascii="Times New Roman"/>
        </w:rPr>
        <w:t>术语和定义</w:t>
      </w:r>
      <w:bookmarkEnd w:id="21"/>
    </w:p>
    <w:p w14:paraId="3F42C2AD">
      <w:pPr>
        <w:pStyle w:val="46"/>
        <w:spacing w:line="276" w:lineRule="auto"/>
        <w:rPr>
          <w:rFonts w:ascii="Times New Roman"/>
        </w:rPr>
      </w:pPr>
      <w:r>
        <w:rPr>
          <w:rFonts w:hint="eastAsia" w:ascii="Times New Roman"/>
        </w:rPr>
        <w:t>下列术语和定义适用于本标准</w:t>
      </w:r>
      <w:r>
        <w:rPr>
          <w:rFonts w:ascii="Times New Roman"/>
        </w:rPr>
        <w:t>。</w:t>
      </w:r>
    </w:p>
    <w:p w14:paraId="7B6DAC68">
      <w:pPr>
        <w:pStyle w:val="63"/>
        <w:rPr>
          <w:rFonts w:ascii="Times New Roman"/>
        </w:rPr>
      </w:pPr>
    </w:p>
    <w:p w14:paraId="5BD23760">
      <w:pPr>
        <w:pStyle w:val="46"/>
        <w:ind w:firstLine="422"/>
        <w:rPr>
          <w:rFonts w:ascii="Times New Roman"/>
          <w:b/>
          <w:bCs/>
          <w:szCs w:val="21"/>
        </w:rPr>
      </w:pPr>
      <w:r>
        <w:rPr>
          <w:rFonts w:hint="eastAsia" w:ascii="Times New Roman"/>
          <w:b/>
          <w:bCs/>
          <w:szCs w:val="21"/>
        </w:rPr>
        <w:t>石油化工行业 p</w:t>
      </w:r>
      <w:r>
        <w:rPr>
          <w:rFonts w:ascii="Times New Roman"/>
          <w:b/>
          <w:bCs/>
          <w:szCs w:val="21"/>
        </w:rPr>
        <w:t>etrochemical industry</w:t>
      </w:r>
    </w:p>
    <w:p w14:paraId="121C33F5">
      <w:pPr>
        <w:pStyle w:val="46"/>
        <w:rPr>
          <w:rFonts w:ascii="Times New Roman"/>
          <w:szCs w:val="21"/>
        </w:rPr>
      </w:pPr>
      <w:r>
        <w:rPr>
          <w:rFonts w:hint="eastAsia" w:ascii="Times New Roman"/>
          <w:szCs w:val="21"/>
        </w:rPr>
        <w:t>是以石油、天然气、煤及其产品为原料，生产、储运液化石油气、汽油馏分、煤油馏分、柴油馏分、燃料油、润滑油、石蜡油、沥青油、石油化工原料、有机化学品、合成树脂、合成纤维、合成橡胶等工业。</w:t>
      </w:r>
    </w:p>
    <w:p w14:paraId="038B95C3">
      <w:pPr>
        <w:pStyle w:val="46"/>
        <w:spacing w:line="276" w:lineRule="auto"/>
        <w:rPr>
          <w:rFonts w:ascii="Times New Roman"/>
        </w:rPr>
      </w:pPr>
      <w:r>
        <w:rPr>
          <w:rFonts w:hint="eastAsia" w:ascii="Times New Roman"/>
        </w:rPr>
        <w:t>[来源：</w:t>
      </w:r>
      <w:r>
        <w:rPr>
          <w:rFonts w:ascii="Times New Roman"/>
        </w:rPr>
        <w:t>SH/T 3024-2017</w:t>
      </w:r>
      <w:r>
        <w:rPr>
          <w:rFonts w:hint="eastAsia" w:ascii="Times New Roman"/>
        </w:rPr>
        <w:t>，定义3.1.1]</w:t>
      </w:r>
    </w:p>
    <w:p w14:paraId="15A5D6BC">
      <w:pPr>
        <w:pStyle w:val="46"/>
        <w:spacing w:line="276" w:lineRule="auto"/>
        <w:rPr>
          <w:rFonts w:ascii="Times New Roman"/>
        </w:rPr>
      </w:pPr>
    </w:p>
    <w:p w14:paraId="2490B8E6">
      <w:pPr>
        <w:pStyle w:val="63"/>
        <w:rPr>
          <w:rFonts w:ascii="Times New Roman"/>
        </w:rPr>
      </w:pPr>
    </w:p>
    <w:p w14:paraId="3BC99CFB">
      <w:pPr>
        <w:pStyle w:val="46"/>
        <w:ind w:firstLine="422"/>
        <w:rPr>
          <w:rFonts w:ascii="Times New Roman"/>
          <w:b/>
          <w:bCs/>
          <w:szCs w:val="21"/>
        </w:rPr>
      </w:pPr>
      <w:r>
        <w:rPr>
          <w:rFonts w:hint="eastAsia" w:ascii="Times New Roman"/>
          <w:b/>
          <w:bCs/>
          <w:szCs w:val="21"/>
        </w:rPr>
        <w:t>污染源 pollutant source</w:t>
      </w:r>
    </w:p>
    <w:p w14:paraId="7E110EBC">
      <w:pPr>
        <w:pStyle w:val="46"/>
        <w:rPr>
          <w:rFonts w:ascii="Times New Roman"/>
          <w:szCs w:val="21"/>
        </w:rPr>
      </w:pPr>
      <w:r>
        <w:rPr>
          <w:rFonts w:hint="eastAsia" w:ascii="Times New Roman"/>
          <w:szCs w:val="21"/>
        </w:rPr>
        <w:t>指排放污染物的设施或者排放污染物的点位。</w:t>
      </w:r>
    </w:p>
    <w:p w14:paraId="5691EDFE">
      <w:pPr>
        <w:pStyle w:val="46"/>
        <w:spacing w:line="276" w:lineRule="auto"/>
        <w:rPr>
          <w:rFonts w:ascii="Times New Roman"/>
        </w:rPr>
      </w:pPr>
      <w:r>
        <w:rPr>
          <w:rFonts w:hint="eastAsia" w:ascii="Times New Roman"/>
        </w:rPr>
        <w:t>[来源：</w:t>
      </w:r>
      <w:r>
        <w:rPr>
          <w:rFonts w:ascii="Times New Roman"/>
        </w:rPr>
        <w:t>SH/T 3024-2017</w:t>
      </w:r>
      <w:r>
        <w:rPr>
          <w:rFonts w:hint="eastAsia" w:ascii="Times New Roman"/>
        </w:rPr>
        <w:t>，定义3.1.2]</w:t>
      </w:r>
    </w:p>
    <w:p w14:paraId="26019710">
      <w:pPr>
        <w:pStyle w:val="63"/>
        <w:rPr>
          <w:rFonts w:ascii="Times New Roman"/>
        </w:rPr>
      </w:pPr>
    </w:p>
    <w:p w14:paraId="648A32AF">
      <w:pPr>
        <w:pStyle w:val="46"/>
        <w:ind w:firstLine="422"/>
        <w:rPr>
          <w:rFonts w:ascii="Times New Roman"/>
          <w:b/>
          <w:bCs/>
          <w:szCs w:val="21"/>
        </w:rPr>
      </w:pPr>
      <w:r>
        <w:rPr>
          <w:rFonts w:hint="eastAsia" w:ascii="Times New Roman"/>
          <w:b/>
          <w:bCs/>
          <w:szCs w:val="21"/>
        </w:rPr>
        <w:t>风险表征 risk characterizatioon</w:t>
      </w:r>
    </w:p>
    <w:p w14:paraId="09487A0B">
      <w:pPr>
        <w:pStyle w:val="46"/>
        <w:rPr>
          <w:rFonts w:ascii="Times New Roman"/>
          <w:szCs w:val="21"/>
        </w:rPr>
      </w:pPr>
      <w:r>
        <w:t>定性或定量分析在特定暴露条件下，目标人群暴露于环境中化学性因素而发生有害效应的可能性</w:t>
      </w:r>
      <w:r>
        <w:rPr>
          <w:rFonts w:hint="eastAsia"/>
        </w:rPr>
        <w:t>及其不确定性的过程。</w:t>
      </w:r>
    </w:p>
    <w:p w14:paraId="3485B525">
      <w:pPr>
        <w:pStyle w:val="46"/>
        <w:spacing w:line="276" w:lineRule="auto"/>
        <w:rPr>
          <w:rFonts w:ascii="Times New Roman"/>
        </w:rPr>
      </w:pPr>
      <w:r>
        <w:rPr>
          <w:rFonts w:hint="eastAsia" w:ascii="Times New Roman"/>
        </w:rPr>
        <w:t>[来源：HJ 1111</w:t>
      </w:r>
      <w:r>
        <w:rPr>
          <w:rFonts w:ascii="Times New Roman"/>
        </w:rPr>
        <w:t>-20</w:t>
      </w:r>
      <w:r>
        <w:rPr>
          <w:rFonts w:hint="eastAsia" w:ascii="Times New Roman"/>
        </w:rPr>
        <w:t>20，定义3.5]</w:t>
      </w:r>
    </w:p>
    <w:p w14:paraId="7A9A3C6B">
      <w:pPr>
        <w:pStyle w:val="63"/>
        <w:rPr>
          <w:rFonts w:ascii="Times New Roman"/>
        </w:rPr>
      </w:pPr>
    </w:p>
    <w:p w14:paraId="4725F1CC">
      <w:pPr>
        <w:pStyle w:val="46"/>
        <w:ind w:firstLine="422"/>
        <w:rPr>
          <w:rFonts w:ascii="Times New Roman"/>
          <w:b/>
          <w:bCs/>
          <w:szCs w:val="21"/>
        </w:rPr>
      </w:pPr>
      <w:r>
        <w:rPr>
          <w:rFonts w:hint="eastAsia" w:ascii="Times New Roman"/>
          <w:b/>
          <w:bCs/>
          <w:szCs w:val="21"/>
        </w:rPr>
        <w:t>不确定性 uncertainty</w:t>
      </w:r>
    </w:p>
    <w:p w14:paraId="0AC4A53E">
      <w:pPr>
        <w:pStyle w:val="46"/>
        <w:rPr>
          <w:rFonts w:ascii="Times New Roman"/>
          <w:szCs w:val="21"/>
        </w:rPr>
      </w:pPr>
      <w:r>
        <w:rPr>
          <w:rFonts w:hint="eastAsia"/>
        </w:rPr>
        <w:t>由于科学认识不足、评估方法局限和基础数据欠缺等因素，导致生态环境健康风险评估结果的准确性受到影响的情况。</w:t>
      </w:r>
    </w:p>
    <w:p w14:paraId="7039D4EC">
      <w:pPr>
        <w:pStyle w:val="46"/>
        <w:spacing w:line="276" w:lineRule="auto"/>
        <w:rPr>
          <w:rFonts w:ascii="Times New Roman"/>
        </w:rPr>
      </w:pPr>
      <w:r>
        <w:rPr>
          <w:rFonts w:hint="eastAsia" w:ascii="Times New Roman"/>
        </w:rPr>
        <w:t>[来源：HJ 1111</w:t>
      </w:r>
      <w:r>
        <w:rPr>
          <w:rFonts w:ascii="Times New Roman"/>
        </w:rPr>
        <w:t>-20</w:t>
      </w:r>
      <w:r>
        <w:rPr>
          <w:rFonts w:hint="eastAsia" w:ascii="Times New Roman"/>
        </w:rPr>
        <w:t>20，定义3.6]</w:t>
      </w:r>
    </w:p>
    <w:p w14:paraId="7E9655CE">
      <w:pPr>
        <w:pStyle w:val="81"/>
        <w:rPr>
          <w:rFonts w:ascii="Times New Roman"/>
        </w:rPr>
      </w:pPr>
      <w:bookmarkStart w:id="22" w:name="_Toc165037172"/>
      <w:r>
        <w:rPr>
          <w:rFonts w:hint="eastAsia" w:ascii="Times New Roman"/>
        </w:rPr>
        <w:t>总则</w:t>
      </w:r>
      <w:bookmarkEnd w:id="22"/>
    </w:p>
    <w:p w14:paraId="5B9A0A5C">
      <w:pPr>
        <w:pStyle w:val="46"/>
        <w:rPr>
          <w:rFonts w:hint="eastAsia" w:ascii="Times New Roman"/>
          <w:szCs w:val="21"/>
        </w:rPr>
      </w:pPr>
      <w:r>
        <w:rPr>
          <w:rFonts w:ascii="Times New Roman"/>
          <w:szCs w:val="21"/>
        </w:rPr>
        <w:t>总则明确了环境风险评估的评估原则、环境风险评估技术指南体系和评估程序</w:t>
      </w:r>
      <w:r>
        <w:rPr>
          <w:rFonts w:hint="eastAsia" w:ascii="Times New Roman"/>
          <w:szCs w:val="21"/>
        </w:rPr>
        <w:t>。</w:t>
      </w:r>
    </w:p>
    <w:p w14:paraId="0992F628">
      <w:pPr>
        <w:pStyle w:val="63"/>
        <w:rPr>
          <w:rFonts w:ascii="Times New Roman" w:eastAsia="宋体"/>
        </w:rPr>
      </w:pPr>
      <w:r>
        <w:rPr>
          <w:rFonts w:hint="eastAsia" w:ascii="Times New Roman"/>
        </w:rPr>
        <w:t>评估原则</w:t>
      </w:r>
    </w:p>
    <w:p w14:paraId="60D3372C">
      <w:pPr>
        <w:pStyle w:val="46"/>
        <w:rPr>
          <w:rFonts w:ascii="Times New Roman"/>
          <w:szCs w:val="21"/>
        </w:rPr>
      </w:pPr>
      <w:r>
        <w:rPr>
          <w:rFonts w:ascii="Times New Roman"/>
          <w:szCs w:val="21"/>
        </w:rPr>
        <w:t>科学性原则。环境风险评估的主要依据是现有的文献资料，包括国内外已有的权威的数据库和经同行专家评审的文献资料，主要遵循避繁就简的原则基于现有科学认识开展评估。</w:t>
      </w:r>
    </w:p>
    <w:p w14:paraId="26858836">
      <w:pPr>
        <w:pStyle w:val="46"/>
        <w:rPr>
          <w:rFonts w:ascii="Times New Roman"/>
          <w:szCs w:val="21"/>
        </w:rPr>
      </w:pPr>
      <w:r>
        <w:rPr>
          <w:rFonts w:ascii="Times New Roman"/>
          <w:szCs w:val="21"/>
        </w:rPr>
        <w:t>时效性原则。随着科技的发展和研究的深入，人类对同一问题的认识也可能不断改变，为了反映最新的科学认识，环境风险评估的结果也应该基于可及的最新科学证据及时的进行更新。</w:t>
      </w:r>
    </w:p>
    <w:p w14:paraId="2E4C5979">
      <w:pPr>
        <w:pStyle w:val="46"/>
        <w:rPr>
          <w:rFonts w:ascii="Times New Roman"/>
          <w:szCs w:val="21"/>
        </w:rPr>
      </w:pPr>
      <w:r>
        <w:rPr>
          <w:rFonts w:ascii="Times New Roman"/>
          <w:szCs w:val="21"/>
        </w:rPr>
        <w:t>可溯性原则。国内外相关实践经验表明，为了保证风险评估的客观性和可重复性，应对风险评估的过程和资料进行详细的记录和归档，尤其对于风险评估的制约因素、不确定性和假设及其处理方法、评估中的不同意见和观点，直接影响风险评估结果的重大决策等内容要详尽记录。</w:t>
      </w:r>
    </w:p>
    <w:p w14:paraId="5BC2E0B5">
      <w:pPr>
        <w:pStyle w:val="46"/>
        <w:rPr>
          <w:rFonts w:hint="eastAsia" w:ascii="Times New Roman"/>
          <w:szCs w:val="21"/>
        </w:rPr>
      </w:pPr>
      <w:r>
        <w:rPr>
          <w:rFonts w:hint="eastAsia" w:ascii="Times New Roman"/>
          <w:szCs w:val="21"/>
        </w:rPr>
        <w:t>一般性原则。环境风险评价应以石油化工行业废水中多环芳烃类持久性有机物环境污染防控为目标，对项目的环境风险进行分析、预测和评估，提出环境风险预防、控制、减缓措施，明确环境风险监控及应急建议要求，为项目环境风险防控提供科学依据。</w:t>
      </w:r>
    </w:p>
    <w:p w14:paraId="04070E05">
      <w:pPr>
        <w:pStyle w:val="63"/>
        <w:rPr>
          <w:rFonts w:ascii="Times New Roman" w:eastAsia="宋体"/>
        </w:rPr>
      </w:pPr>
      <w:r>
        <w:rPr>
          <w:rFonts w:hint="eastAsia" w:ascii="Times New Roman"/>
        </w:rPr>
        <w:t>环境风险评估技术指南体系</w:t>
      </w:r>
    </w:p>
    <w:p w14:paraId="15980EA2">
      <w:pPr>
        <w:pStyle w:val="46"/>
        <w:rPr>
          <w:rFonts w:hint="eastAsia" w:ascii="Times New Roman"/>
          <w:szCs w:val="21"/>
        </w:rPr>
      </w:pPr>
      <w:r>
        <w:rPr>
          <w:rFonts w:hint="eastAsia" w:ascii="Times New Roman"/>
          <w:szCs w:val="21"/>
        </w:rPr>
        <w:t>环境风险评价基本内容包括风险调查、环境风险潜势初判、风险识别、环境受体分析、风险预测与评价、环境风险管理等。</w:t>
      </w:r>
    </w:p>
    <w:p w14:paraId="2423A09B">
      <w:pPr>
        <w:pStyle w:val="46"/>
        <w:rPr>
          <w:rFonts w:ascii="Times New Roman"/>
          <w:szCs w:val="21"/>
        </w:rPr>
      </w:pPr>
      <w:r>
        <w:rPr>
          <w:rFonts w:hint="eastAsia" w:ascii="Times New Roman"/>
          <w:szCs w:val="21"/>
        </w:rPr>
        <w:t>基于风险调查，分析石油化工行业废水中持久性有机物质及工艺系统危险性和环境敏感性，进行风险潜势的判断，确定风险评价等级</w:t>
      </w:r>
      <w:r>
        <w:rPr>
          <w:rFonts w:ascii="Times New Roman"/>
          <w:szCs w:val="21"/>
        </w:rPr>
        <w:t>。</w:t>
      </w:r>
    </w:p>
    <w:p w14:paraId="4954069B">
      <w:pPr>
        <w:pStyle w:val="46"/>
        <w:rPr>
          <w:rFonts w:hint="eastAsia" w:ascii="Times New Roman"/>
          <w:szCs w:val="21"/>
        </w:rPr>
      </w:pPr>
      <w:r>
        <w:rPr>
          <w:rFonts w:hint="eastAsia" w:ascii="Times New Roman"/>
          <w:szCs w:val="21"/>
        </w:rPr>
        <w:t>风险识别及风险事故情形分析应明确持久性有机物在生产系统、废水处理系统中的主要分布，筛选可能的风险事故情形，合理设定事故源项。</w:t>
      </w:r>
    </w:p>
    <w:p w14:paraId="192EE0BD">
      <w:pPr>
        <w:pStyle w:val="46"/>
        <w:rPr>
          <w:rFonts w:ascii="Times New Roman"/>
          <w:szCs w:val="21"/>
        </w:rPr>
      </w:pPr>
      <w:r>
        <w:rPr>
          <w:rFonts w:hint="eastAsia" w:ascii="Times New Roman"/>
          <w:szCs w:val="21"/>
        </w:rPr>
        <w:t>各环境要素按确定的评价工作等级分别开展预测评价，分析说明环境风险危害范围与程度，提出环境风险防范的基本要求。</w:t>
      </w:r>
    </w:p>
    <w:p w14:paraId="3BEDAFF6">
      <w:pPr>
        <w:pStyle w:val="46"/>
        <w:rPr>
          <w:rFonts w:ascii="Times New Roman"/>
          <w:szCs w:val="21"/>
        </w:rPr>
      </w:pPr>
      <w:r>
        <w:rPr>
          <w:rFonts w:hint="eastAsia" w:ascii="Times New Roman"/>
          <w:szCs w:val="21"/>
        </w:rPr>
        <w:t>大气环境风险预测。一级评价需选取最不利气象条件和事故发生地的最常见气象条件，选择适用的数值方法进行分析预测，给出石油化工行业废水持久性有机物释放可能造成的大气环境影响范围与程度。二级评价需选取最不利气象条件，选择适用的数值方法进行分析预测，给出风险事故情形下石油化工行业废水持久性有机物释放可能造成的大气环境影响范围与程度。三级评价应定性分析说明大气环境影响后果。</w:t>
      </w:r>
    </w:p>
    <w:p w14:paraId="40490978">
      <w:pPr>
        <w:pStyle w:val="46"/>
        <w:rPr>
          <w:rFonts w:ascii="Times New Roman"/>
          <w:szCs w:val="21"/>
        </w:rPr>
      </w:pPr>
      <w:r>
        <w:rPr>
          <w:rFonts w:hint="eastAsia" w:ascii="Times New Roman"/>
          <w:szCs w:val="21"/>
        </w:rPr>
        <w:t>地表水环境风险预测。一级、二级评价应选择适用的数值方法预测地表水环境风险，给出石油化工行业废水持久性有机物释放情形下可能造成的影响范围与程度；三级评价应定性分析说明地表水环境影响后果。</w:t>
      </w:r>
    </w:p>
    <w:p w14:paraId="3967EC1E">
      <w:pPr>
        <w:pStyle w:val="46"/>
        <w:rPr>
          <w:rFonts w:hint="eastAsia" w:ascii="Times New Roman"/>
          <w:szCs w:val="21"/>
        </w:rPr>
      </w:pPr>
      <w:r>
        <w:rPr>
          <w:rFonts w:hint="eastAsia" w:ascii="Times New Roman"/>
          <w:szCs w:val="21"/>
        </w:rPr>
        <w:t>地下水环境风险预测。一级及以下评价应优先选择适用的数值方法预测地下水环境风险，给出石油化工行业废水持久性有机物释放情形下可能造成的影响范围与程度。</w:t>
      </w:r>
    </w:p>
    <w:p w14:paraId="3A6B8CF1">
      <w:pPr>
        <w:pStyle w:val="46"/>
        <w:rPr>
          <w:rFonts w:ascii="Times New Roman"/>
          <w:szCs w:val="21"/>
        </w:rPr>
      </w:pPr>
      <w:r>
        <w:rPr>
          <w:rFonts w:hint="eastAsia" w:ascii="Times New Roman"/>
          <w:szCs w:val="21"/>
        </w:rPr>
        <w:t>提出环境风险管理对策，明确环境风险防范措施。</w:t>
      </w:r>
    </w:p>
    <w:p w14:paraId="21F3B147">
      <w:pPr>
        <w:pStyle w:val="46"/>
        <w:rPr>
          <w:rFonts w:hint="eastAsia" w:ascii="Times New Roman"/>
          <w:szCs w:val="21"/>
        </w:rPr>
      </w:pPr>
      <w:r>
        <w:rPr>
          <w:rFonts w:hint="eastAsia" w:ascii="Times New Roman"/>
          <w:szCs w:val="21"/>
        </w:rPr>
        <w:t>综合环境风险评价过程，给出评价结论与建议。</w:t>
      </w:r>
    </w:p>
    <w:p w14:paraId="13458F83">
      <w:pPr>
        <w:pStyle w:val="63"/>
        <w:rPr>
          <w:rFonts w:ascii="Times New Roman" w:eastAsia="宋体"/>
        </w:rPr>
      </w:pPr>
      <w:r>
        <w:rPr>
          <w:rFonts w:hint="eastAsia" w:ascii="Times New Roman"/>
        </w:rPr>
        <w:t>评估程序</w:t>
      </w:r>
    </w:p>
    <w:p w14:paraId="21B84DC3">
      <w:pPr>
        <w:pStyle w:val="46"/>
        <w:rPr>
          <w:rFonts w:ascii="Times New Roman"/>
          <w:szCs w:val="21"/>
        </w:rPr>
      </w:pPr>
      <w:r>
        <w:rPr>
          <w:rFonts w:ascii="Times New Roman"/>
          <w:szCs w:val="21"/>
        </w:rPr>
        <w:t>主要参考</w:t>
      </w:r>
      <w:r>
        <w:rPr>
          <w:rFonts w:hint="eastAsia" w:ascii="Times New Roman"/>
          <w:szCs w:val="21"/>
        </w:rPr>
        <w:t>环境</w:t>
      </w:r>
      <w:r>
        <w:rPr>
          <w:rFonts w:ascii="Times New Roman"/>
          <w:szCs w:val="21"/>
        </w:rPr>
        <w:t>风险评估</w:t>
      </w:r>
      <w:r>
        <w:rPr>
          <w:rFonts w:hint="eastAsia" w:ascii="Times New Roman"/>
          <w:szCs w:val="21"/>
        </w:rPr>
        <w:t>三</w:t>
      </w:r>
      <w:r>
        <w:rPr>
          <w:rFonts w:ascii="Times New Roman"/>
          <w:szCs w:val="21"/>
        </w:rPr>
        <w:t>步法，确定环境风险评估的程序。将环境风险评估划分为</w:t>
      </w:r>
      <w:r>
        <w:rPr>
          <w:rFonts w:hint="eastAsia" w:ascii="Times New Roman"/>
          <w:szCs w:val="21"/>
        </w:rPr>
        <w:t>规划审定和问题构建阶段</w:t>
      </w:r>
      <w:r>
        <w:rPr>
          <w:rFonts w:ascii="Times New Roman"/>
          <w:szCs w:val="21"/>
        </w:rPr>
        <w:t>、</w:t>
      </w:r>
      <w:r>
        <w:rPr>
          <w:rFonts w:hint="eastAsia" w:ascii="Times New Roman"/>
          <w:szCs w:val="21"/>
        </w:rPr>
        <w:t>风险分析阶段</w:t>
      </w:r>
      <w:r>
        <w:rPr>
          <w:rFonts w:ascii="Times New Roman"/>
          <w:szCs w:val="21"/>
        </w:rPr>
        <w:t>和风险表征</w:t>
      </w:r>
      <w:r>
        <w:rPr>
          <w:rFonts w:hint="eastAsia" w:ascii="Times New Roman"/>
          <w:szCs w:val="21"/>
        </w:rPr>
        <w:t>三</w:t>
      </w:r>
      <w:r>
        <w:rPr>
          <w:rFonts w:ascii="Times New Roman"/>
          <w:szCs w:val="21"/>
        </w:rPr>
        <w:t>个相互联系的部分。环境风险评估是实施环境风险管理的手段，开展评估的目的是解决环境管理中的问题。为了突出环境风险评估的目的性，本标准在传统的风险评估过程“</w:t>
      </w:r>
      <w:r>
        <w:rPr>
          <w:rFonts w:hint="eastAsia" w:ascii="Times New Roman"/>
          <w:szCs w:val="21"/>
        </w:rPr>
        <w:t>三</w:t>
      </w:r>
      <w:r>
        <w:rPr>
          <w:rFonts w:ascii="Times New Roman"/>
          <w:szCs w:val="21"/>
        </w:rPr>
        <w:t>步法”的基础上，增加了方案制定和报告编写两个部分。与国外环境风险评估框架的进展相一致。</w:t>
      </w:r>
    </w:p>
    <w:p w14:paraId="6F02D3AA">
      <w:pPr>
        <w:pStyle w:val="46"/>
        <w:rPr>
          <w:rFonts w:ascii="Times New Roman"/>
          <w:szCs w:val="21"/>
        </w:rPr>
      </w:pPr>
      <w:r>
        <w:rPr>
          <w:rFonts w:hint="eastAsia" w:ascii="Times New Roman"/>
          <w:szCs w:val="21"/>
        </w:rPr>
        <w:t>石油化工行业废水中多环芳烃类持久性有机物环境风险评估主要包括方案制定、污染源识别、风险分析、风险表征、石油化工行业废水环境风险管理及报告编制</w:t>
      </w:r>
      <w:r>
        <w:rPr>
          <w:rFonts w:ascii="Times New Roman"/>
          <w:szCs w:val="21"/>
        </w:rPr>
        <w:t>。</w:t>
      </w:r>
      <w:r>
        <w:rPr>
          <w:rFonts w:hint="eastAsia" w:ascii="Times New Roman"/>
          <w:szCs w:val="21"/>
        </w:rPr>
        <w:t>石油化工行业废水中多环芳烃类持久性有机物环境风险评估程序见图1。</w:t>
      </w:r>
    </w:p>
    <w:p w14:paraId="7C06FC6F">
      <w:pPr>
        <w:pStyle w:val="46"/>
        <w:jc w:val="center"/>
        <w:rPr>
          <w:rFonts w:ascii="Times New Roman"/>
          <w:szCs w:val="21"/>
        </w:rPr>
      </w:pPr>
      <w:r>
        <w:object>
          <v:shape id="_x0000_i1025" o:spt="75" type="#_x0000_t75" style="height:273.35pt;width:296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p>
    <w:p w14:paraId="299EC35F">
      <w:pPr>
        <w:jc w:val="center"/>
        <w:rPr>
          <w:rFonts w:eastAsia="黑体"/>
          <w:color w:val="000000"/>
          <w:sz w:val="22"/>
          <w:szCs w:val="22"/>
        </w:rPr>
      </w:pPr>
      <w:r>
        <w:rPr>
          <w:rFonts w:hint="eastAsia" w:eastAsia="黑体"/>
          <w:color w:val="000000"/>
          <w:sz w:val="22"/>
          <w:szCs w:val="22"/>
        </w:rPr>
        <w:t>图1 石油化工行业废水中多环芳烃类持久性有机物环境风险评估程序</w:t>
      </w:r>
    </w:p>
    <w:p w14:paraId="6768BB11">
      <w:pPr>
        <w:jc w:val="center"/>
        <w:rPr>
          <w:rFonts w:eastAsia="黑体"/>
          <w:color w:val="000000"/>
          <w:sz w:val="22"/>
          <w:szCs w:val="22"/>
        </w:rPr>
      </w:pPr>
    </w:p>
    <w:p w14:paraId="1C5569C3">
      <w:pPr>
        <w:pStyle w:val="81"/>
        <w:rPr>
          <w:rFonts w:ascii="Times New Roman"/>
        </w:rPr>
      </w:pPr>
      <w:bookmarkStart w:id="23" w:name="_Toc165037173"/>
      <w:r>
        <w:rPr>
          <w:rFonts w:hint="eastAsia" w:ascii="Times New Roman"/>
        </w:rPr>
        <w:t>方案制定</w:t>
      </w:r>
      <w:bookmarkEnd w:id="23"/>
    </w:p>
    <w:p w14:paraId="01C8BF7B">
      <w:pPr>
        <w:pStyle w:val="63"/>
        <w:rPr>
          <w:rFonts w:ascii="Times New Roman" w:eastAsia="宋体"/>
        </w:rPr>
      </w:pPr>
      <w:r>
        <w:rPr>
          <w:rFonts w:ascii="Times New Roman"/>
        </w:rPr>
        <w:t>明确开展风险评估的目的</w:t>
      </w:r>
    </w:p>
    <w:p w14:paraId="61F9CBA1">
      <w:pPr>
        <w:pStyle w:val="46"/>
        <w:rPr>
          <w:rFonts w:ascii="Times New Roman"/>
          <w:szCs w:val="21"/>
        </w:rPr>
      </w:pPr>
      <w:r>
        <w:rPr>
          <w:rFonts w:hint="eastAsia" w:ascii="Times New Roman"/>
          <w:szCs w:val="21"/>
        </w:rPr>
        <w:t>在风险评估方案的制订阶段，风险评估者与风险管理者和利益相关方共同讨论确定风险评估的目的和需要解决的问题。</w:t>
      </w:r>
    </w:p>
    <w:p w14:paraId="4630D522">
      <w:pPr>
        <w:pStyle w:val="63"/>
        <w:rPr>
          <w:rFonts w:ascii="Times New Roman" w:eastAsia="宋体"/>
        </w:rPr>
      </w:pPr>
      <w:r>
        <w:rPr>
          <w:rFonts w:ascii="Times New Roman"/>
        </w:rPr>
        <w:t>明确风险评估的范围</w:t>
      </w:r>
    </w:p>
    <w:p w14:paraId="64A78FF4">
      <w:pPr>
        <w:pStyle w:val="46"/>
        <w:rPr>
          <w:rFonts w:ascii="Times New Roman"/>
          <w:szCs w:val="21"/>
        </w:rPr>
      </w:pPr>
      <w:r>
        <w:rPr>
          <w:rFonts w:ascii="Times New Roman"/>
          <w:szCs w:val="21"/>
        </w:rPr>
        <w:t>包括识别确定风险评估针对的目标环境因素，评估的时间范围、空间范围以及</w:t>
      </w:r>
      <w:r>
        <w:rPr>
          <w:rFonts w:hint="eastAsia" w:ascii="Times New Roman"/>
          <w:szCs w:val="21"/>
        </w:rPr>
        <w:t>环境受体</w:t>
      </w:r>
      <w:r>
        <w:rPr>
          <w:rFonts w:ascii="Times New Roman"/>
          <w:szCs w:val="21"/>
        </w:rPr>
        <w:t>。应针对环境管理需求和评估目的，通过现场调查和情景分析等，初步建立</w:t>
      </w:r>
      <w:r>
        <w:rPr>
          <w:rFonts w:hint="eastAsia" w:ascii="Times New Roman"/>
          <w:szCs w:val="21"/>
        </w:rPr>
        <w:t>石油化工行业废水中多环芳烃类持久性有机物释放情形</w:t>
      </w:r>
      <w:r>
        <w:rPr>
          <w:rFonts w:ascii="Times New Roman"/>
          <w:szCs w:val="21"/>
        </w:rPr>
        <w:t>情景，为风险评估类型和内容、方法的选择提供基础。</w:t>
      </w:r>
    </w:p>
    <w:p w14:paraId="50808860">
      <w:pPr>
        <w:pStyle w:val="63"/>
        <w:rPr>
          <w:rFonts w:ascii="Times New Roman" w:eastAsia="宋体"/>
        </w:rPr>
      </w:pPr>
      <w:r>
        <w:rPr>
          <w:rFonts w:ascii="Times New Roman"/>
        </w:rPr>
        <w:t>选择风险评估的类型</w:t>
      </w:r>
    </w:p>
    <w:p w14:paraId="6C006EA0">
      <w:pPr>
        <w:pStyle w:val="46"/>
        <w:rPr>
          <w:rFonts w:ascii="Times New Roman"/>
          <w:szCs w:val="21"/>
        </w:rPr>
      </w:pPr>
      <w:r>
        <w:rPr>
          <w:rFonts w:ascii="Times New Roman"/>
          <w:szCs w:val="21"/>
        </w:rPr>
        <w:t>应根据不同的管理需求、数据可及性、精度要求、时限要求等因素，选择合适的评估类型，主要包括定性评估和定量评估两种类型</w:t>
      </w:r>
      <w:r>
        <w:rPr>
          <w:rFonts w:hint="eastAsia" w:ascii="Times New Roman"/>
          <w:szCs w:val="21"/>
        </w:rPr>
        <w:t>。</w:t>
      </w:r>
    </w:p>
    <w:p w14:paraId="1271E0D8">
      <w:pPr>
        <w:pStyle w:val="63"/>
        <w:rPr>
          <w:rFonts w:ascii="Times New Roman" w:eastAsia="宋体"/>
        </w:rPr>
      </w:pPr>
      <w:r>
        <w:rPr>
          <w:rFonts w:ascii="Times New Roman"/>
        </w:rPr>
        <w:t>确定数据获取方法</w:t>
      </w:r>
    </w:p>
    <w:p w14:paraId="73698AF4">
      <w:pPr>
        <w:pStyle w:val="46"/>
        <w:rPr>
          <w:rFonts w:ascii="Times New Roman"/>
          <w:szCs w:val="21"/>
        </w:rPr>
      </w:pPr>
      <w:r>
        <w:rPr>
          <w:rFonts w:ascii="Times New Roman"/>
          <w:szCs w:val="21"/>
        </w:rPr>
        <w:t>应根据评估目的和评估类型，综合考虑数据可及性、精度要求、时限要求、资源投入以及不同数据获取方法的优缺点和适用性，采用一种或多种方法获取风险评估所需的数据资料。</w:t>
      </w:r>
    </w:p>
    <w:p w14:paraId="0AFEB8F2">
      <w:pPr>
        <w:pStyle w:val="63"/>
        <w:rPr>
          <w:rFonts w:ascii="Times New Roman" w:eastAsia="宋体"/>
        </w:rPr>
      </w:pPr>
      <w:r>
        <w:rPr>
          <w:rFonts w:hint="eastAsia" w:ascii="Times New Roman"/>
        </w:rPr>
        <w:t>明确评估的内容和质量控制要求</w:t>
      </w:r>
    </w:p>
    <w:p w14:paraId="732AD99D">
      <w:pPr>
        <w:pStyle w:val="46"/>
        <w:rPr>
          <w:rFonts w:ascii="Times New Roman"/>
          <w:szCs w:val="21"/>
        </w:rPr>
      </w:pPr>
      <w:r>
        <w:rPr>
          <w:rFonts w:ascii="Times New Roman"/>
          <w:szCs w:val="21"/>
        </w:rPr>
        <w:t>根据评估目的、范围和类型，确定风险评估的主要内容、实施步骤、评估方法等具体细节，以及全过程的质量控制和质量保证要求，确保风险评估实施方案的科学性和可行性。</w:t>
      </w:r>
    </w:p>
    <w:p w14:paraId="11134B59">
      <w:pPr>
        <w:pStyle w:val="63"/>
        <w:rPr>
          <w:rFonts w:ascii="Times New Roman" w:eastAsia="宋体"/>
        </w:rPr>
      </w:pPr>
      <w:r>
        <w:rPr>
          <w:rFonts w:hint="eastAsia" w:ascii="Times New Roman"/>
        </w:rPr>
        <w:t>确定评估方案</w:t>
      </w:r>
    </w:p>
    <w:p w14:paraId="426665FA">
      <w:pPr>
        <w:pStyle w:val="46"/>
        <w:rPr>
          <w:rFonts w:ascii="Times New Roman"/>
          <w:szCs w:val="21"/>
        </w:rPr>
      </w:pPr>
      <w:r>
        <w:rPr>
          <w:rFonts w:hint="eastAsia" w:ascii="Times New Roman"/>
          <w:szCs w:val="21"/>
        </w:rPr>
        <w:t>评估方案应充分征求风险管理者和利益相关方的意见，经专家论证后实施。</w:t>
      </w:r>
    </w:p>
    <w:p w14:paraId="75876187">
      <w:pPr>
        <w:pStyle w:val="81"/>
        <w:rPr>
          <w:rFonts w:ascii="Times New Roman"/>
        </w:rPr>
      </w:pPr>
      <w:bookmarkStart w:id="24" w:name="_Toc165037174"/>
      <w:bookmarkStart w:id="25" w:name="_Toc87433438"/>
      <w:r>
        <w:rPr>
          <w:rFonts w:hint="eastAsia" w:ascii="Times New Roman"/>
        </w:rPr>
        <w:t>石油化工行业废水中多环芳烃类持久性有机物污染源调查</w:t>
      </w:r>
      <w:bookmarkEnd w:id="24"/>
      <w:bookmarkEnd w:id="25"/>
    </w:p>
    <w:p w14:paraId="291E55E4">
      <w:pPr>
        <w:pStyle w:val="63"/>
        <w:rPr>
          <w:rFonts w:ascii="Times New Roman" w:eastAsia="宋体"/>
        </w:rPr>
      </w:pPr>
      <w:bookmarkStart w:id="26" w:name="_Hlk113613290"/>
      <w:r>
        <w:rPr>
          <w:rFonts w:hint="eastAsia" w:ascii="Times New Roman"/>
        </w:rPr>
        <w:t>石油化工行业废水中多环芳烃类持久性有机物污染源资料</w:t>
      </w:r>
    </w:p>
    <w:p w14:paraId="1FA79E02">
      <w:pPr>
        <w:pStyle w:val="46"/>
        <w:rPr>
          <w:rFonts w:ascii="Times New Roman"/>
          <w:szCs w:val="21"/>
        </w:rPr>
      </w:pPr>
      <w:r>
        <w:rPr>
          <w:rFonts w:hint="eastAsia" w:ascii="Times New Roman"/>
          <w:szCs w:val="21"/>
        </w:rPr>
        <w:t>石油化工行业废水中多环芳烃类持久性有机物污染源资料主要包括石油化工行业企业基本信息、生产信息、环境管理信息、产排污及污染防治设施情况等资料</w:t>
      </w:r>
      <w:r>
        <w:rPr>
          <w:rFonts w:ascii="Times New Roman"/>
          <w:szCs w:val="21"/>
        </w:rPr>
        <w:t>。</w:t>
      </w:r>
    </w:p>
    <w:p w14:paraId="2C32DD74">
      <w:pPr>
        <w:pStyle w:val="125"/>
        <w:spacing w:before="50" w:after="50"/>
        <w:ind w:left="0"/>
        <w:rPr>
          <w:rFonts w:ascii="Times New Roman"/>
          <w:b/>
          <w:bCs/>
        </w:rPr>
      </w:pPr>
      <w:r>
        <w:rPr>
          <w:rFonts w:hint="eastAsia" w:ascii="Times New Roman"/>
          <w:b/>
          <w:bCs/>
        </w:rPr>
        <w:t>基本信息</w:t>
      </w:r>
    </w:p>
    <w:p w14:paraId="65DE812A">
      <w:pPr>
        <w:pStyle w:val="46"/>
        <w:rPr>
          <w:rFonts w:ascii="Times New Roman"/>
          <w:szCs w:val="21"/>
        </w:rPr>
      </w:pPr>
      <w:r>
        <w:rPr>
          <w:rFonts w:hint="eastAsia" w:hAnsi="宋体"/>
          <w:szCs w:val="21"/>
        </w:rPr>
        <w:t>石油化工行业企业名称、运营管理单位、生产运行状况；企业总平面布置图及面积、重点设施设备分布图、雨污管线分布图。</w:t>
      </w:r>
    </w:p>
    <w:p w14:paraId="76A14585">
      <w:pPr>
        <w:pStyle w:val="125"/>
        <w:spacing w:before="50" w:after="50"/>
        <w:ind w:left="0"/>
        <w:rPr>
          <w:rFonts w:ascii="Times New Roman"/>
          <w:b/>
          <w:bCs/>
        </w:rPr>
      </w:pPr>
      <w:r>
        <w:rPr>
          <w:rFonts w:hint="eastAsia" w:ascii="Times New Roman"/>
          <w:b/>
          <w:bCs/>
        </w:rPr>
        <w:t>生产信息</w:t>
      </w:r>
    </w:p>
    <w:p w14:paraId="4B734CB9">
      <w:pPr>
        <w:pStyle w:val="46"/>
        <w:rPr>
          <w:rFonts w:ascii="Times New Roman"/>
          <w:szCs w:val="21"/>
        </w:rPr>
      </w:pPr>
      <w:r>
        <w:rPr>
          <w:rFonts w:hint="eastAsia" w:hAnsi="宋体"/>
          <w:szCs w:val="21"/>
        </w:rPr>
        <w:t>主要生产单元、主要工艺、生产设施名称、设施参数；产品名称及生产能力及计量单位；主要原辅材料。</w:t>
      </w:r>
    </w:p>
    <w:p w14:paraId="0970D070">
      <w:pPr>
        <w:pStyle w:val="125"/>
        <w:spacing w:before="50" w:after="50"/>
        <w:ind w:left="0"/>
        <w:rPr>
          <w:rFonts w:ascii="Times New Roman"/>
          <w:b/>
          <w:bCs/>
        </w:rPr>
      </w:pPr>
      <w:r>
        <w:rPr>
          <w:rFonts w:hint="eastAsia" w:ascii="Times New Roman"/>
          <w:b/>
          <w:bCs/>
        </w:rPr>
        <w:t>环境管理信息</w:t>
      </w:r>
    </w:p>
    <w:p w14:paraId="6D7532F3">
      <w:pPr>
        <w:pStyle w:val="46"/>
        <w:rPr>
          <w:rFonts w:ascii="Times New Roman"/>
          <w:szCs w:val="21"/>
        </w:rPr>
      </w:pPr>
      <w:r>
        <w:rPr>
          <w:rFonts w:hint="eastAsia" w:hAnsi="宋体"/>
          <w:szCs w:val="21"/>
        </w:rPr>
        <w:t>环境影响评价文件及批复、建设项目竣工验收报告、环境影响后评价报告、清沽生产报告、</w:t>
      </w:r>
      <w:r>
        <w:rPr>
          <w:szCs w:val="21"/>
        </w:rPr>
        <w:t xml:space="preserve"> </w:t>
      </w:r>
      <w:r>
        <w:rPr>
          <w:rFonts w:hint="eastAsia" w:hAnsi="宋体"/>
          <w:szCs w:val="21"/>
        </w:rPr>
        <w:t>排污许可证、突发环境事件风险评估报告、应急预案等；废气、废水收集、处理及排放，固体废物产生、贮存、利用和处理处置等情况；士壤和地下水环境调查监测数据、历史污染记录、历年突发环境事件情况。</w:t>
      </w:r>
    </w:p>
    <w:p w14:paraId="1D509C20">
      <w:pPr>
        <w:pStyle w:val="125"/>
        <w:spacing w:before="50" w:after="50"/>
        <w:ind w:left="0"/>
        <w:rPr>
          <w:rFonts w:ascii="Times New Roman"/>
          <w:b/>
          <w:bCs/>
        </w:rPr>
      </w:pPr>
      <w:r>
        <w:rPr>
          <w:rFonts w:hint="eastAsia" w:ascii="Times New Roman"/>
          <w:b/>
          <w:bCs/>
        </w:rPr>
        <w:t>产排污及污染防治措施</w:t>
      </w:r>
    </w:p>
    <w:p w14:paraId="1A290498">
      <w:pPr>
        <w:pStyle w:val="46"/>
        <w:rPr>
          <w:rFonts w:ascii="Times New Roman"/>
          <w:szCs w:val="21"/>
        </w:rPr>
      </w:pPr>
      <w:r>
        <w:rPr>
          <w:rFonts w:hint="eastAsia" w:hAnsi="宋体"/>
          <w:szCs w:val="21"/>
        </w:rPr>
        <w:t>废气产污环节、污染物种类、排放形式及污染治理设施和运行情况；废水类别、特征污染物及污染治理设施和运行情况；固体废物的产生与处置情况。</w:t>
      </w:r>
    </w:p>
    <w:p w14:paraId="5A5AFDC6">
      <w:pPr>
        <w:pStyle w:val="125"/>
        <w:spacing w:before="50" w:after="50"/>
        <w:ind w:left="0"/>
        <w:rPr>
          <w:rFonts w:ascii="Times New Roman"/>
          <w:b/>
          <w:bCs/>
        </w:rPr>
      </w:pPr>
      <w:r>
        <w:rPr>
          <w:rFonts w:hint="eastAsia" w:ascii="Times New Roman"/>
          <w:b/>
          <w:bCs/>
        </w:rPr>
        <w:t>其他可能的影响</w:t>
      </w:r>
    </w:p>
    <w:p w14:paraId="373B885D">
      <w:pPr>
        <w:pStyle w:val="46"/>
        <w:rPr>
          <w:rFonts w:hAnsi="宋体"/>
          <w:szCs w:val="21"/>
        </w:rPr>
      </w:pPr>
      <w:r>
        <w:rPr>
          <w:rFonts w:hint="eastAsia" w:hAnsi="宋体"/>
          <w:szCs w:val="21"/>
        </w:rPr>
        <w:t>考虑到相邻企业可能的影响，当调查企业与相邻企业存在相互污染的可能时，须调查相邻企业的相关记录和资料。</w:t>
      </w:r>
    </w:p>
    <w:p w14:paraId="56427AB9">
      <w:pPr>
        <w:pStyle w:val="63"/>
        <w:rPr>
          <w:rFonts w:ascii="Times New Roman"/>
        </w:rPr>
      </w:pPr>
      <w:r>
        <w:rPr>
          <w:rFonts w:hint="eastAsia" w:ascii="Times New Roman"/>
        </w:rPr>
        <w:t>风险源识别</w:t>
      </w:r>
    </w:p>
    <w:p w14:paraId="49C3D2CB">
      <w:pPr>
        <w:pStyle w:val="46"/>
        <w:rPr>
          <w:rFonts w:ascii="Times New Roman" w:cs="Times New Roman"/>
          <w:szCs w:val="21"/>
        </w:rPr>
      </w:pPr>
      <w:r>
        <w:rPr>
          <w:rFonts w:ascii="Times New Roman" w:cs="Times New Roman"/>
          <w:color w:val="auto"/>
          <w:szCs w:val="21"/>
        </w:rPr>
        <w:t>对石油化工行业重点工艺对应的原辅材料、废水中的潜在持久性有机物污染物进行梳理，</w:t>
      </w:r>
      <w:r>
        <w:rPr>
          <w:rFonts w:ascii="Times New Roman" w:cs="Times New Roman"/>
          <w:szCs w:val="21"/>
        </w:rPr>
        <w:t>针对不同类型的废水（含油废水、含硫废水、含碱废水、生产废水），参考《排污单位自行监测技术指南 陆上石油天然气开采工业》</w:t>
      </w:r>
      <w:r>
        <w:rPr>
          <w:rFonts w:hint="eastAsia" w:ascii="Times New Roman" w:cs="Times New Roman"/>
          <w:szCs w:val="21"/>
        </w:rPr>
        <w:t>（HJ 124）</w:t>
      </w:r>
      <w:r>
        <w:rPr>
          <w:rFonts w:ascii="Times New Roman" w:cs="Times New Roman"/>
          <w:szCs w:val="21"/>
        </w:rPr>
        <w:t>、《建设项目</w:t>
      </w:r>
      <w:r>
        <w:rPr>
          <w:rFonts w:hint="eastAsia" w:ascii="Times New Roman" w:cs="Times New Roman"/>
          <w:szCs w:val="21"/>
        </w:rPr>
        <w:t>竣工</w:t>
      </w:r>
      <w:r>
        <w:rPr>
          <w:rFonts w:ascii="Times New Roman" w:cs="Times New Roman"/>
          <w:szCs w:val="21"/>
        </w:rPr>
        <w:t>环境保护设施验收技术规范 石油炼制》</w:t>
      </w:r>
      <w:r>
        <w:rPr>
          <w:rFonts w:hint="eastAsia" w:ascii="Times New Roman" w:cs="Times New Roman"/>
          <w:szCs w:val="21"/>
        </w:rPr>
        <w:t>（HJ 405）</w:t>
      </w:r>
      <w:r>
        <w:rPr>
          <w:rFonts w:ascii="Times New Roman" w:cs="Times New Roman"/>
          <w:szCs w:val="21"/>
        </w:rPr>
        <w:t>、《石油化工污水处理设计规范》（GB 50747）等资料，</w:t>
      </w:r>
      <w:r>
        <w:rPr>
          <w:rFonts w:hint="eastAsia" w:ascii="Times New Roman" w:cs="Times New Roman"/>
          <w:szCs w:val="21"/>
        </w:rPr>
        <w:t>识别石油化工行业企业废水中的风险源及风险因子。</w:t>
      </w:r>
    </w:p>
    <w:p w14:paraId="22BDD7ED">
      <w:pPr>
        <w:pStyle w:val="63"/>
        <w:rPr>
          <w:rFonts w:ascii="Times New Roman"/>
        </w:rPr>
      </w:pPr>
      <w:r>
        <w:rPr>
          <w:rFonts w:hint="eastAsia" w:ascii="Times New Roman"/>
        </w:rPr>
        <w:t>关注污染物确定</w:t>
      </w:r>
    </w:p>
    <w:p w14:paraId="0A79A144">
      <w:pPr>
        <w:pStyle w:val="46"/>
        <w:rPr>
          <w:rFonts w:ascii="Times New Roman" w:cs="Times New Roman"/>
          <w:szCs w:val="21"/>
        </w:rPr>
      </w:pPr>
      <w:r>
        <w:rPr>
          <w:rFonts w:ascii="Times New Roman" w:cs="Times New Roman"/>
          <w:szCs w:val="21"/>
        </w:rPr>
        <w:t>基于石油化工行业企业原辅材料、产品及废水的成分分析，参考《排污单位自行监测技术指南 陆上石油天然气开采工业》</w:t>
      </w:r>
      <w:r>
        <w:rPr>
          <w:rFonts w:hint="eastAsia" w:ascii="Times New Roman" w:cs="Times New Roman"/>
          <w:szCs w:val="21"/>
        </w:rPr>
        <w:t>（HJ 124）</w:t>
      </w:r>
      <w:r>
        <w:rPr>
          <w:rFonts w:ascii="Times New Roman" w:cs="Times New Roman"/>
          <w:szCs w:val="21"/>
        </w:rPr>
        <w:t>、《建设项目</w:t>
      </w:r>
      <w:r>
        <w:rPr>
          <w:rFonts w:hint="eastAsia" w:ascii="Times New Roman" w:cs="Times New Roman"/>
          <w:szCs w:val="21"/>
        </w:rPr>
        <w:t>竣工</w:t>
      </w:r>
      <w:r>
        <w:rPr>
          <w:rFonts w:ascii="Times New Roman" w:cs="Times New Roman"/>
          <w:szCs w:val="21"/>
        </w:rPr>
        <w:t>环境保护设施验收技术规范 石油炼制》</w:t>
      </w:r>
      <w:r>
        <w:rPr>
          <w:rFonts w:hint="eastAsia" w:ascii="Times New Roman" w:cs="Times New Roman"/>
          <w:szCs w:val="21"/>
        </w:rPr>
        <w:t>（HJ 405）</w:t>
      </w:r>
      <w:r>
        <w:rPr>
          <w:rFonts w:ascii="Times New Roman" w:cs="Times New Roman"/>
          <w:szCs w:val="21"/>
        </w:rPr>
        <w:t>、《石油化工污水处理设计规范》（GB 50747）中污染物排放相关内容，结合文献查阅与项目组已有研究成果，明确提出石油化工行业企业涉及的污染物包括多环芳烃（苯并(a)芘、苯并[a]蒽、苯并[a]菲、苯并[b]荧蒽、苯并[k]荧蒽、蒽、二苯并[a,h]蒽等）等，应重点关注。</w:t>
      </w:r>
    </w:p>
    <w:bookmarkEnd w:id="26"/>
    <w:p w14:paraId="13413AE9">
      <w:pPr>
        <w:pStyle w:val="81"/>
        <w:rPr>
          <w:rFonts w:ascii="Times New Roman"/>
          <w:szCs w:val="21"/>
        </w:rPr>
      </w:pPr>
      <w:bookmarkStart w:id="27" w:name="_Toc165037175"/>
      <w:bookmarkStart w:id="28" w:name="_Toc87433439"/>
      <w:bookmarkStart w:id="29" w:name="_Hlk113613322"/>
      <w:r>
        <w:rPr>
          <w:rFonts w:hint="eastAsia" w:ascii="Times New Roman"/>
          <w:szCs w:val="21"/>
        </w:rPr>
        <w:t>风险分析</w:t>
      </w:r>
      <w:bookmarkEnd w:id="27"/>
      <w:bookmarkEnd w:id="28"/>
    </w:p>
    <w:p w14:paraId="24F8DAA3">
      <w:pPr>
        <w:pStyle w:val="63"/>
        <w:rPr>
          <w:rFonts w:ascii="Times New Roman"/>
        </w:rPr>
      </w:pPr>
      <w:r>
        <w:rPr>
          <w:rFonts w:hint="eastAsia" w:ascii="Times New Roman"/>
        </w:rPr>
        <w:t>确定区域</w:t>
      </w:r>
    </w:p>
    <w:p w14:paraId="73DA317E">
      <w:pPr>
        <w:pStyle w:val="46"/>
        <w:rPr>
          <w:rFonts w:ascii="Times New Roman" w:cs="Times New Roman"/>
          <w:szCs w:val="21"/>
        </w:rPr>
      </w:pPr>
      <w:r>
        <w:rPr>
          <w:rFonts w:hint="eastAsia" w:ascii="Times New Roman" w:cs="Times New Roman"/>
          <w:szCs w:val="21"/>
        </w:rPr>
        <w:t>区域确定主要受污染物的扩散影响范围决定，参考《环境影响评价技术导则大气环境》（HJ 2.2），《环境影响评价技术导则地表水环境》（HJ 2.3），《环境影响评价技术导则地下水环境》（HJ 610），《环境影响评价技术导则土壤环境（试行）》（HJ 964），并根据石油化工行业企业的具体情况、企业内外的污染源分布、水文地质条件以及污染物的迁移和转化等因素。</w:t>
      </w:r>
    </w:p>
    <w:p w14:paraId="69ECBCC6">
      <w:pPr>
        <w:pStyle w:val="63"/>
        <w:rPr>
          <w:rFonts w:ascii="Times New Roman"/>
        </w:rPr>
      </w:pPr>
      <w:r>
        <w:rPr>
          <w:rFonts w:hint="eastAsia" w:ascii="Times New Roman"/>
        </w:rPr>
        <w:t>确定受体</w:t>
      </w:r>
    </w:p>
    <w:p w14:paraId="61098EBE">
      <w:pPr>
        <w:pStyle w:val="46"/>
        <w:rPr>
          <w:rFonts w:ascii="Times New Roman" w:cs="Times New Roman"/>
          <w:szCs w:val="21"/>
        </w:rPr>
      </w:pPr>
      <w:r>
        <w:rPr>
          <w:rFonts w:hint="eastAsia" w:ascii="Times New Roman" w:cs="Times New Roman"/>
          <w:szCs w:val="21"/>
        </w:rPr>
        <w:t>根据多环芳烃排放特征及污染物特性，石油化工行业废水影响的受体主要包括：</w:t>
      </w:r>
    </w:p>
    <w:p w14:paraId="6E6BA62B">
      <w:pPr>
        <w:pStyle w:val="46"/>
        <w:rPr>
          <w:rFonts w:hint="eastAsia" w:ascii="Times New Roman" w:cs="Times New Roman"/>
          <w:szCs w:val="21"/>
        </w:rPr>
      </w:pPr>
      <w:r>
        <w:rPr>
          <w:rFonts w:hint="eastAsia" w:ascii="Times New Roman" w:cs="Times New Roman"/>
          <w:szCs w:val="21"/>
        </w:rPr>
        <w:t>a) 周边学校、居民；</w:t>
      </w:r>
    </w:p>
    <w:p w14:paraId="7BC676F2">
      <w:pPr>
        <w:pStyle w:val="46"/>
        <w:rPr>
          <w:rFonts w:hint="eastAsia" w:ascii="Times New Roman" w:cs="Times New Roman"/>
          <w:szCs w:val="21"/>
        </w:rPr>
      </w:pPr>
      <w:r>
        <w:rPr>
          <w:rFonts w:hint="eastAsia" w:ascii="Times New Roman" w:cs="Times New Roman"/>
          <w:szCs w:val="21"/>
        </w:rPr>
        <w:t>b) 饮用地表水/地下水；</w:t>
      </w:r>
    </w:p>
    <w:p w14:paraId="44436DAB">
      <w:pPr>
        <w:pStyle w:val="46"/>
        <w:rPr>
          <w:rFonts w:hint="eastAsia" w:ascii="Times New Roman" w:cs="Times New Roman"/>
          <w:szCs w:val="21"/>
        </w:rPr>
      </w:pPr>
      <w:r>
        <w:rPr>
          <w:rFonts w:hint="eastAsia" w:ascii="Times New Roman" w:cs="Times New Roman"/>
          <w:szCs w:val="21"/>
        </w:rPr>
        <w:t>c) 周边动、植物。</w:t>
      </w:r>
    </w:p>
    <w:p w14:paraId="03C072BA">
      <w:pPr>
        <w:pStyle w:val="63"/>
        <w:rPr>
          <w:rFonts w:ascii="Times New Roman"/>
        </w:rPr>
      </w:pPr>
      <w:r>
        <w:rPr>
          <w:rFonts w:hint="eastAsia" w:ascii="Times New Roman"/>
        </w:rPr>
        <w:t>环境现场调查</w:t>
      </w:r>
    </w:p>
    <w:p w14:paraId="632875A9">
      <w:pPr>
        <w:pStyle w:val="46"/>
        <w:rPr>
          <w:rFonts w:hint="eastAsia" w:ascii="Times New Roman" w:cs="Times New Roman"/>
          <w:szCs w:val="21"/>
        </w:rPr>
      </w:pPr>
      <w:r>
        <w:rPr>
          <w:rFonts w:hint="eastAsia" w:ascii="Times New Roman" w:cs="Times New Roman"/>
          <w:szCs w:val="21"/>
        </w:rPr>
        <w:t>通过石油化工行业废水污染源的产排污情况，主要的影响的介质包括环境空气、环境水体、土壤、饮用水及农畜水产品。环境现场调查监测点位布设、监测时间与频次按照T/CSES 53 的相关规定执行。</w:t>
      </w:r>
    </w:p>
    <w:bookmarkEnd w:id="29"/>
    <w:p w14:paraId="10470E78">
      <w:pPr>
        <w:pStyle w:val="81"/>
        <w:rPr>
          <w:rFonts w:ascii="Times New Roman"/>
        </w:rPr>
      </w:pPr>
      <w:bookmarkStart w:id="30" w:name="_Toc87433440"/>
      <w:bookmarkStart w:id="31" w:name="_Toc165037176"/>
      <w:r>
        <w:rPr>
          <w:rFonts w:hint="eastAsia" w:ascii="Times New Roman"/>
        </w:rPr>
        <w:t>风险表征</w:t>
      </w:r>
      <w:bookmarkEnd w:id="30"/>
      <w:bookmarkEnd w:id="31"/>
    </w:p>
    <w:p w14:paraId="295450E3">
      <w:pPr>
        <w:pStyle w:val="46"/>
        <w:rPr>
          <w:rFonts w:ascii="Times New Roman" w:cs="Times New Roman"/>
          <w:szCs w:val="21"/>
        </w:rPr>
      </w:pPr>
      <w:r>
        <w:rPr>
          <w:rFonts w:hint="eastAsia" w:ascii="Times New Roman" w:cs="Times New Roman"/>
          <w:szCs w:val="21"/>
        </w:rPr>
        <w:t>多环芳烃的风险评估参照Q/SH0729-2018的相关要求执行。在风险评估过程中所使用之各种参数或模型存在不确定性，因而影响风险评估的不确定性，不确定性主要来源于模型、参数等方面。</w:t>
      </w:r>
    </w:p>
    <w:p w14:paraId="2ACC54A7">
      <w:pPr>
        <w:pStyle w:val="63"/>
        <w:rPr>
          <w:rFonts w:ascii="Times New Roman"/>
        </w:rPr>
      </w:pPr>
      <w:r>
        <w:rPr>
          <w:rFonts w:hint="eastAsia" w:ascii="Times New Roman"/>
        </w:rPr>
        <w:t>敏感分析法</w:t>
      </w:r>
    </w:p>
    <w:p w14:paraId="274A4FED">
      <w:pPr>
        <w:pStyle w:val="46"/>
        <w:rPr>
          <w:rFonts w:hint="eastAsia" w:ascii="Times New Roman" w:cs="Times New Roman"/>
          <w:szCs w:val="21"/>
        </w:rPr>
      </w:pPr>
      <w:r>
        <w:rPr>
          <w:rFonts w:hint="eastAsia" w:ascii="Times New Roman" w:cs="Times New Roman"/>
          <w:szCs w:val="21"/>
        </w:rPr>
        <w:t>改变模型中的一个输入变量的值，其他变量固定为常数，分析变量的变化对计算结果的影响。</w:t>
      </w:r>
    </w:p>
    <w:p w14:paraId="7FFB438D">
      <w:pPr>
        <w:pStyle w:val="63"/>
        <w:rPr>
          <w:rFonts w:ascii="Times New Roman"/>
        </w:rPr>
      </w:pPr>
      <w:r>
        <w:rPr>
          <w:rFonts w:hint="eastAsia" w:ascii="Times New Roman"/>
        </w:rPr>
        <w:t>不确定性传播分析法</w:t>
      </w:r>
    </w:p>
    <w:p w14:paraId="7C4DD3F9">
      <w:pPr>
        <w:pStyle w:val="46"/>
        <w:rPr>
          <w:rFonts w:ascii="Times New Roman" w:cs="Times New Roman"/>
          <w:szCs w:val="21"/>
        </w:rPr>
      </w:pPr>
      <w:r>
        <w:rPr>
          <w:rFonts w:hint="eastAsia" w:hAnsi="宋体"/>
          <w:szCs w:val="21"/>
        </w:rPr>
        <w:t>调查各参数的不确定性对整个模型计算结果的不确定性的影响。</w:t>
      </w:r>
    </w:p>
    <w:p w14:paraId="65B9E7A1">
      <w:pPr>
        <w:pStyle w:val="63"/>
        <w:rPr>
          <w:rFonts w:ascii="Times New Roman"/>
        </w:rPr>
      </w:pPr>
      <w:r>
        <w:rPr>
          <w:rFonts w:hint="eastAsia" w:ascii="Times New Roman"/>
        </w:rPr>
        <w:t>概率分析法</w:t>
      </w:r>
    </w:p>
    <w:p w14:paraId="13B2D1EA">
      <w:pPr>
        <w:pStyle w:val="46"/>
        <w:rPr>
          <w:rFonts w:ascii="Times New Roman" w:cs="Times New Roman"/>
          <w:szCs w:val="21"/>
        </w:rPr>
      </w:pPr>
      <w:r>
        <w:rPr>
          <w:rFonts w:hint="eastAsia" w:ascii="Times New Roman" w:cs="Times New Roman"/>
          <w:szCs w:val="21"/>
        </w:rPr>
        <w:t>根据各参数变量的分布函数，随机抽取输入变量的数值，计算分析各种评价结果，如蒙特卡洛法。</w:t>
      </w:r>
    </w:p>
    <w:p w14:paraId="7A36A2E6">
      <w:pPr>
        <w:pStyle w:val="63"/>
        <w:rPr>
          <w:rFonts w:ascii="Times New Roman"/>
        </w:rPr>
      </w:pPr>
      <w:r>
        <w:rPr>
          <w:rFonts w:hint="eastAsia" w:ascii="Times New Roman"/>
        </w:rPr>
        <w:t>经典统计方法</w:t>
      </w:r>
    </w:p>
    <w:p w14:paraId="716F4915">
      <w:pPr>
        <w:pStyle w:val="46"/>
        <w:rPr>
          <w:rFonts w:ascii="Times New Roman" w:cs="Times New Roman"/>
          <w:szCs w:val="21"/>
        </w:rPr>
      </w:pPr>
      <w:r>
        <w:rPr>
          <w:rFonts w:hint="eastAsia" w:hAnsi="宋体"/>
          <w:szCs w:val="21"/>
        </w:rPr>
        <w:t>根据抽取的样本直接计算置信区间、分位数等。</w:t>
      </w:r>
    </w:p>
    <w:p w14:paraId="05F5F14C">
      <w:pPr>
        <w:pStyle w:val="81"/>
        <w:rPr>
          <w:rFonts w:ascii="Times New Roman"/>
        </w:rPr>
      </w:pPr>
      <w:bookmarkStart w:id="32" w:name="_Toc87433441"/>
      <w:bookmarkStart w:id="33" w:name="_Toc165037177"/>
      <w:bookmarkStart w:id="34" w:name="_Toc8091"/>
      <w:r>
        <w:rPr>
          <w:rFonts w:hint="eastAsia" w:ascii="Times New Roman"/>
        </w:rPr>
        <w:t>石油化工行业废水环境风险管理</w:t>
      </w:r>
      <w:bookmarkEnd w:id="32"/>
      <w:bookmarkEnd w:id="33"/>
    </w:p>
    <w:bookmarkEnd w:id="34"/>
    <w:p w14:paraId="6BF350DF">
      <w:pPr>
        <w:pStyle w:val="63"/>
        <w:rPr>
          <w:rFonts w:ascii="Times New Roman"/>
        </w:rPr>
      </w:pPr>
      <w:r>
        <w:rPr>
          <w:rFonts w:hint="eastAsia" w:ascii="Times New Roman"/>
        </w:rPr>
        <w:t>环境风险管理目标</w:t>
      </w:r>
    </w:p>
    <w:p w14:paraId="3D6CF06E">
      <w:pPr>
        <w:pStyle w:val="46"/>
        <w:rPr>
          <w:rFonts w:ascii="Times New Roman" w:cs="Times New Roman"/>
          <w:szCs w:val="21"/>
        </w:rPr>
      </w:pPr>
      <w:r>
        <w:rPr>
          <w:rFonts w:ascii="Times New Roman" w:cs="Times New Roman"/>
          <w:szCs w:val="21"/>
        </w:rPr>
        <w:t>环境风险管理目标是采用最低合理可行原则 (As low as reasonable practicable，ALARP) 管控环境风险。采取的环境风险防范措施应与社会经济技术发展水平相适应，运用科学的技术手段和管理方法，对环境风险进行有效的预防、监控、响应。</w:t>
      </w:r>
    </w:p>
    <w:p w14:paraId="1150A93B">
      <w:pPr>
        <w:pStyle w:val="63"/>
        <w:rPr>
          <w:rFonts w:ascii="Times New Roman"/>
        </w:rPr>
      </w:pPr>
      <w:r>
        <w:rPr>
          <w:rFonts w:hint="eastAsia" w:ascii="Times New Roman"/>
        </w:rPr>
        <w:t>环境风险防范措施</w:t>
      </w:r>
    </w:p>
    <w:p w14:paraId="41216200">
      <w:pPr>
        <w:pStyle w:val="46"/>
        <w:rPr>
          <w:rFonts w:hAnsi="宋体"/>
          <w:szCs w:val="21"/>
        </w:rPr>
      </w:pPr>
      <w:r>
        <w:rPr>
          <w:rFonts w:hint="eastAsia" w:hAnsi="宋体"/>
          <w:szCs w:val="21"/>
        </w:rPr>
        <w:t>大气环境风险防范应结合风险源状况明确环境风险的防范、减缓措施，提出环境风险监控要求，并结合环境风险预测分析结果、区域交通道路和安置场所位置等，提出事故状态下人员的疏散通道及安置等应急建议。</w:t>
      </w:r>
    </w:p>
    <w:p w14:paraId="40A94A9A">
      <w:pPr>
        <w:pStyle w:val="46"/>
        <w:rPr>
          <w:rFonts w:hAnsi="宋体"/>
          <w:szCs w:val="21"/>
        </w:rPr>
      </w:pPr>
      <w:r>
        <w:rPr>
          <w:rFonts w:hint="eastAsia" w:hAnsi="宋体"/>
          <w:szCs w:val="21"/>
        </w:rPr>
        <w:t>废水环境风险防范应明确的环境风险防控体系要求，设置废水收集（尽可能以非动力自流方式）和应急储存设施，以满足事故状态下收集泄漏物料、污染消防水和污染雨水的需要，明确并图示防止事故废水进入外环境的控制、封堵系统应急储存设施应根据发生事故的设备容量、事故时消防用水量及可能进入应急储存设施的雨水量等因素综合确定。</w:t>
      </w:r>
    </w:p>
    <w:p w14:paraId="0D16C051">
      <w:pPr>
        <w:pStyle w:val="46"/>
        <w:rPr>
          <w:rFonts w:hint="eastAsia" w:hAnsi="宋体"/>
          <w:szCs w:val="21"/>
        </w:rPr>
      </w:pPr>
      <w:r>
        <w:rPr>
          <w:rFonts w:hint="eastAsia" w:hAnsi="宋体"/>
          <w:szCs w:val="21"/>
        </w:rPr>
        <w:t>地下水环境风险防范应重点采取源头控制和分区防渗措施，加强地下水环境的监控、预警，提出事故应急减缓措施。</w:t>
      </w:r>
    </w:p>
    <w:p w14:paraId="288ED8CD">
      <w:pPr>
        <w:pStyle w:val="46"/>
        <w:rPr>
          <w:rFonts w:hAnsi="宋体"/>
          <w:szCs w:val="21"/>
        </w:rPr>
      </w:pPr>
    </w:p>
    <w:sectPr>
      <w:footerReference r:id="rId6" w:type="default"/>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imesNewRomanPSMT">
    <w:altName w:val="等线"/>
    <w:panose1 w:val="00000000000000000000"/>
    <w:charset w:val="00"/>
    <w:family w:val="roman"/>
    <w:pitch w:val="default"/>
    <w:sig w:usb0="00000000" w:usb1="00000000" w:usb2="00000010" w:usb3="00000000" w:csb0="00040001" w:csb1="00000000"/>
  </w:font>
  <w:font w:name="ArialMT">
    <w:altName w:val="Arial"/>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1978163"/>
      <w:docPartObj>
        <w:docPartGallery w:val="autotext"/>
      </w:docPartObj>
    </w:sdtPr>
    <w:sdtContent>
      <w:p w14:paraId="0DECCA3A">
        <w:pPr>
          <w:pStyle w:val="19"/>
          <w:jc w:val="left"/>
        </w:pPr>
        <w:r>
          <w:fldChar w:fldCharType="begin"/>
        </w:r>
        <w:r>
          <w:instrText xml:space="preserve">PAGE   \* MERGEFORMAT</w:instrText>
        </w:r>
        <w:r>
          <w:fldChar w:fldCharType="separate"/>
        </w:r>
        <w:r>
          <w:rPr>
            <w:lang w:val="zh-CN"/>
          </w:rPr>
          <w:t>2</w:t>
        </w:r>
        <w:r>
          <w:fldChar w:fldCharType="end"/>
        </w:r>
      </w:p>
    </w:sdtContent>
  </w:sdt>
  <w:p w14:paraId="7040E5F7">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8398E">
    <w:pPr>
      <w:pStyle w:val="91"/>
    </w:pPr>
    <w:r>
      <w:fldChar w:fldCharType="begin"/>
    </w:r>
    <w:r>
      <w:instrText xml:space="preserve"> PAGE  \* MERGEFORMAT </w:instrText>
    </w:r>
    <w:r>
      <w:fldChar w:fldCharType="separate"/>
    </w:r>
    <w:r>
      <w:t>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DDAD1">
    <w:pPr>
      <w:pStyle w:val="91"/>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12</w:t>
    </w:r>
    <w:r>
      <w:rPr>
        <w:rFonts w:ascii="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D14FF">
    <w:pPr>
      <w:pStyle w:val="102"/>
    </w:pPr>
    <w:r>
      <w:t>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50"/>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2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9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1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11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8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3"/>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2"/>
      <w:suff w:val="nothing"/>
      <w:lvlText w:val="%1.%2.%3　"/>
      <w:lvlJc w:val="left"/>
      <w:pPr>
        <w:ind w:left="5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60"/>
      <w:suff w:val="nothing"/>
      <w:lvlText w:val="%1.%2.%3.%4.%5　"/>
      <w:lvlJc w:val="left"/>
      <w:pPr>
        <w:ind w:left="0" w:firstLine="0"/>
      </w:pPr>
      <w:rPr>
        <w:rFonts w:hint="eastAsia" w:ascii="黑体" w:hAnsi="Times New Roman" w:eastAsia="黑体"/>
        <w:b w:val="0"/>
        <w:i w:val="0"/>
        <w:sz w:val="21"/>
      </w:rPr>
    </w:lvl>
    <w:lvl w:ilvl="5" w:tentative="0">
      <w:start w:val="1"/>
      <w:numFmt w:val="decimal"/>
      <w:pStyle w:val="5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10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2A8F7113"/>
    <w:multiLevelType w:val="multilevel"/>
    <w:tmpl w:val="2A8F7113"/>
    <w:lvl w:ilvl="0" w:tentative="0">
      <w:start w:val="1"/>
      <w:numFmt w:val="upperLetter"/>
      <w:pStyle w:val="64"/>
      <w:suff w:val="space"/>
      <w:lvlText w:val="%1"/>
      <w:lvlJc w:val="left"/>
      <w:pPr>
        <w:ind w:left="623" w:hanging="425"/>
      </w:pPr>
      <w:rPr>
        <w:rFonts w:hint="eastAsia"/>
      </w:rPr>
    </w:lvl>
    <w:lvl w:ilvl="1" w:tentative="0">
      <w:start w:val="1"/>
      <w:numFmt w:val="decimal"/>
      <w:pStyle w:val="8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134"/>
      <w:suff w:val="nothing"/>
      <w:lvlText w:val="%1——"/>
      <w:lvlJc w:val="left"/>
      <w:pPr>
        <w:ind w:left="833" w:hanging="408"/>
      </w:pPr>
      <w:rPr>
        <w:rFonts w:hint="eastAsia"/>
      </w:rPr>
    </w:lvl>
    <w:lvl w:ilvl="1" w:tentative="0">
      <w:start w:val="1"/>
      <w:numFmt w:val="bullet"/>
      <w:pStyle w:val="97"/>
      <w:lvlText w:val=""/>
      <w:lvlJc w:val="left"/>
      <w:pPr>
        <w:tabs>
          <w:tab w:val="left" w:pos="760"/>
        </w:tabs>
        <w:ind w:left="1264" w:hanging="413"/>
      </w:pPr>
      <w:rPr>
        <w:rFonts w:hint="default" w:ascii="Symbol" w:hAnsi="Symbol"/>
        <w:color w:val="auto"/>
      </w:rPr>
    </w:lvl>
    <w:lvl w:ilvl="2" w:tentative="0">
      <w:start w:val="1"/>
      <w:numFmt w:val="bullet"/>
      <w:pStyle w:val="11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9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90"/>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8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60B55DC2"/>
    <w:multiLevelType w:val="multilevel"/>
    <w:tmpl w:val="60B55DC2"/>
    <w:lvl w:ilvl="0" w:tentative="0">
      <w:start w:val="1"/>
      <w:numFmt w:val="upperLetter"/>
      <w:pStyle w:val="139"/>
      <w:lvlText w:val="%1"/>
      <w:lvlJc w:val="left"/>
      <w:pPr>
        <w:tabs>
          <w:tab w:val="left" w:pos="0"/>
        </w:tabs>
        <w:ind w:left="0" w:hanging="425"/>
      </w:pPr>
      <w:rPr>
        <w:rFonts w:hint="eastAsia"/>
      </w:rPr>
    </w:lvl>
    <w:lvl w:ilvl="1" w:tentative="0">
      <w:start w:val="1"/>
      <w:numFmt w:val="decimal"/>
      <w:pStyle w:val="8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9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11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8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7"/>
      <w:suff w:val="nothing"/>
      <w:lvlText w:val="%1.%2.%3　"/>
      <w:lvlJc w:val="left"/>
      <w:pPr>
        <w:ind w:left="0" w:firstLine="0"/>
      </w:pPr>
      <w:rPr>
        <w:rFonts w:hint="eastAsia" w:ascii="黑体" w:hAnsi="Times New Roman" w:eastAsia="黑体"/>
        <w:b w:val="0"/>
        <w:i w:val="0"/>
        <w:sz w:val="21"/>
      </w:rPr>
    </w:lvl>
    <w:lvl w:ilvl="3" w:tentative="0">
      <w:start w:val="1"/>
      <w:numFmt w:val="decimal"/>
      <w:pStyle w:val="58"/>
      <w:suff w:val="nothing"/>
      <w:lvlText w:val="%1.%2.%3.%4　"/>
      <w:lvlJc w:val="left"/>
      <w:pPr>
        <w:ind w:left="0" w:firstLine="0"/>
      </w:pPr>
      <w:rPr>
        <w:rFonts w:hint="eastAsia" w:ascii="黑体" w:hAnsi="Times New Roman" w:eastAsia="黑体"/>
        <w:b w:val="0"/>
        <w:i w:val="0"/>
        <w:sz w:val="21"/>
      </w:rPr>
    </w:lvl>
    <w:lvl w:ilvl="4" w:tentative="0">
      <w:start w:val="1"/>
      <w:numFmt w:val="decimal"/>
      <w:pStyle w:val="73"/>
      <w:suff w:val="nothing"/>
      <w:lvlText w:val="%1.%2.%3.%4.%5　"/>
      <w:lvlJc w:val="left"/>
      <w:pPr>
        <w:ind w:left="0" w:firstLine="0"/>
      </w:pPr>
      <w:rPr>
        <w:rFonts w:hint="eastAsia" w:ascii="黑体" w:hAnsi="Times New Roman" w:eastAsia="黑体"/>
        <w:b w:val="0"/>
        <w:i w:val="0"/>
        <w:sz w:val="21"/>
      </w:rPr>
    </w:lvl>
    <w:lvl w:ilvl="5" w:tentative="0">
      <w:start w:val="1"/>
      <w:numFmt w:val="decimal"/>
      <w:pStyle w:val="72"/>
      <w:suff w:val="nothing"/>
      <w:lvlText w:val="%1.%2.%3.%4.%5.%6　"/>
      <w:lvlJc w:val="left"/>
      <w:pPr>
        <w:ind w:left="0" w:firstLine="0"/>
      </w:pPr>
      <w:rPr>
        <w:rFonts w:hint="eastAsia" w:ascii="黑体" w:hAnsi="Times New Roman" w:eastAsia="黑体"/>
        <w:b w:val="0"/>
        <w:i w:val="0"/>
        <w:sz w:val="21"/>
      </w:rPr>
    </w:lvl>
    <w:lvl w:ilvl="6" w:tentative="0">
      <w:start w:val="1"/>
      <w:numFmt w:val="decimal"/>
      <w:pStyle w:val="7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43"/>
      <w:lvlText w:val="%1)"/>
      <w:lvlJc w:val="left"/>
      <w:pPr>
        <w:tabs>
          <w:tab w:val="left" w:pos="839"/>
        </w:tabs>
        <w:ind w:left="839" w:hanging="419"/>
      </w:pPr>
      <w:rPr>
        <w:rFonts w:hint="eastAsia" w:ascii="宋体" w:eastAsia="宋体"/>
        <w:b w:val="0"/>
        <w:i w:val="0"/>
        <w:sz w:val="21"/>
      </w:rPr>
    </w:lvl>
    <w:lvl w:ilvl="1" w:tentative="0">
      <w:start w:val="1"/>
      <w:numFmt w:val="decimal"/>
      <w:pStyle w:val="14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10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1"/>
  </w:num>
  <w:num w:numId="3">
    <w:abstractNumId w:val="0"/>
  </w:num>
  <w:num w:numId="4">
    <w:abstractNumId w:val="15"/>
  </w:num>
  <w:num w:numId="5">
    <w:abstractNumId w:val="6"/>
  </w:num>
  <w:num w:numId="6">
    <w:abstractNumId w:val="8"/>
  </w:num>
  <w:num w:numId="7">
    <w:abstractNumId w:val="12"/>
  </w:num>
  <w:num w:numId="8">
    <w:abstractNumId w:val="13"/>
  </w:num>
  <w:num w:numId="9">
    <w:abstractNumId w:val="11"/>
  </w:num>
  <w:num w:numId="10">
    <w:abstractNumId w:val="14"/>
  </w:num>
  <w:num w:numId="11">
    <w:abstractNumId w:val="9"/>
  </w:num>
  <w:num w:numId="12">
    <w:abstractNumId w:val="3"/>
  </w:num>
  <w:num w:numId="13">
    <w:abstractNumId w:val="7"/>
  </w:num>
  <w:num w:numId="14">
    <w:abstractNumId w:val="17"/>
  </w:num>
  <w:num w:numId="15">
    <w:abstractNumId w:val="5"/>
  </w:num>
  <w:num w:numId="16">
    <w:abstractNumId w:val="4"/>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3MGM0MWJjN2YxMmMwMTZjYjk0N2MyYjQwNWNiYmMifQ=="/>
  </w:docVars>
  <w:rsids>
    <w:rsidRoot w:val="009D003E"/>
    <w:rsid w:val="00023201"/>
    <w:rsid w:val="0003014C"/>
    <w:rsid w:val="0009551A"/>
    <w:rsid w:val="000A36D3"/>
    <w:rsid w:val="000A3CD7"/>
    <w:rsid w:val="000C386C"/>
    <w:rsid w:val="00125874"/>
    <w:rsid w:val="00183DEA"/>
    <w:rsid w:val="001B22DE"/>
    <w:rsid w:val="001B291C"/>
    <w:rsid w:val="001C4BF5"/>
    <w:rsid w:val="00222C07"/>
    <w:rsid w:val="002309BE"/>
    <w:rsid w:val="00264C1E"/>
    <w:rsid w:val="002C4874"/>
    <w:rsid w:val="002E30F1"/>
    <w:rsid w:val="002E5530"/>
    <w:rsid w:val="002F2FF6"/>
    <w:rsid w:val="00335F9D"/>
    <w:rsid w:val="00371BF7"/>
    <w:rsid w:val="003C310F"/>
    <w:rsid w:val="003D4291"/>
    <w:rsid w:val="0042151C"/>
    <w:rsid w:val="00443EC3"/>
    <w:rsid w:val="00476D9E"/>
    <w:rsid w:val="0050020B"/>
    <w:rsid w:val="00515313"/>
    <w:rsid w:val="005746A7"/>
    <w:rsid w:val="005967A1"/>
    <w:rsid w:val="00596DF3"/>
    <w:rsid w:val="005E3013"/>
    <w:rsid w:val="005E67C7"/>
    <w:rsid w:val="005F2E87"/>
    <w:rsid w:val="00616A07"/>
    <w:rsid w:val="006443F0"/>
    <w:rsid w:val="0069792C"/>
    <w:rsid w:val="00697E21"/>
    <w:rsid w:val="006E6F94"/>
    <w:rsid w:val="00721A4F"/>
    <w:rsid w:val="00746788"/>
    <w:rsid w:val="007F3D27"/>
    <w:rsid w:val="00811EC3"/>
    <w:rsid w:val="008143BD"/>
    <w:rsid w:val="00820E31"/>
    <w:rsid w:val="0084326B"/>
    <w:rsid w:val="00900042"/>
    <w:rsid w:val="009017D0"/>
    <w:rsid w:val="009017D4"/>
    <w:rsid w:val="00944A07"/>
    <w:rsid w:val="0096729F"/>
    <w:rsid w:val="009C4536"/>
    <w:rsid w:val="009D003E"/>
    <w:rsid w:val="00A130E3"/>
    <w:rsid w:val="00A26B3D"/>
    <w:rsid w:val="00A528B2"/>
    <w:rsid w:val="00A65C62"/>
    <w:rsid w:val="00A90E12"/>
    <w:rsid w:val="00AA2373"/>
    <w:rsid w:val="00AB661A"/>
    <w:rsid w:val="00AB6756"/>
    <w:rsid w:val="00B60270"/>
    <w:rsid w:val="00B767EE"/>
    <w:rsid w:val="00C208A0"/>
    <w:rsid w:val="00C37B6B"/>
    <w:rsid w:val="00C542B1"/>
    <w:rsid w:val="00C67EE4"/>
    <w:rsid w:val="00C719D3"/>
    <w:rsid w:val="00CC074B"/>
    <w:rsid w:val="00CD6D6F"/>
    <w:rsid w:val="00D33863"/>
    <w:rsid w:val="00D64580"/>
    <w:rsid w:val="00D8676D"/>
    <w:rsid w:val="00D868B5"/>
    <w:rsid w:val="00DD1264"/>
    <w:rsid w:val="00DE1DBA"/>
    <w:rsid w:val="00DF25C3"/>
    <w:rsid w:val="00E62AC1"/>
    <w:rsid w:val="00E94C29"/>
    <w:rsid w:val="00EB2266"/>
    <w:rsid w:val="00ED18FA"/>
    <w:rsid w:val="00F02FAD"/>
    <w:rsid w:val="011F0D9E"/>
    <w:rsid w:val="015754F6"/>
    <w:rsid w:val="0C4C3EA9"/>
    <w:rsid w:val="0C637445"/>
    <w:rsid w:val="0CF74077"/>
    <w:rsid w:val="0CFD51A3"/>
    <w:rsid w:val="0FCE72CB"/>
    <w:rsid w:val="10725EA8"/>
    <w:rsid w:val="10CA7A92"/>
    <w:rsid w:val="12483364"/>
    <w:rsid w:val="13196AAF"/>
    <w:rsid w:val="1ACB068F"/>
    <w:rsid w:val="1B972C67"/>
    <w:rsid w:val="1CAC7971"/>
    <w:rsid w:val="1CC23D13"/>
    <w:rsid w:val="1E4569AA"/>
    <w:rsid w:val="1F7C289F"/>
    <w:rsid w:val="231D7EF5"/>
    <w:rsid w:val="2378512C"/>
    <w:rsid w:val="24285883"/>
    <w:rsid w:val="28B948FC"/>
    <w:rsid w:val="2A36189D"/>
    <w:rsid w:val="2CAE7E10"/>
    <w:rsid w:val="2CD31625"/>
    <w:rsid w:val="2D395002"/>
    <w:rsid w:val="2EC556FD"/>
    <w:rsid w:val="3321758E"/>
    <w:rsid w:val="3475619D"/>
    <w:rsid w:val="363C648D"/>
    <w:rsid w:val="36B9188B"/>
    <w:rsid w:val="370635ED"/>
    <w:rsid w:val="37AF6638"/>
    <w:rsid w:val="38F35529"/>
    <w:rsid w:val="3A254051"/>
    <w:rsid w:val="3DBE3CED"/>
    <w:rsid w:val="3EA82911"/>
    <w:rsid w:val="43EE526A"/>
    <w:rsid w:val="49F42EAF"/>
    <w:rsid w:val="49FA5FEB"/>
    <w:rsid w:val="4B9E7576"/>
    <w:rsid w:val="51275918"/>
    <w:rsid w:val="513A0EB5"/>
    <w:rsid w:val="521C7446"/>
    <w:rsid w:val="55B6370E"/>
    <w:rsid w:val="583077E2"/>
    <w:rsid w:val="58953AAF"/>
    <w:rsid w:val="5BE2700B"/>
    <w:rsid w:val="5F0C25F1"/>
    <w:rsid w:val="5F4C0C3F"/>
    <w:rsid w:val="60D300EA"/>
    <w:rsid w:val="61954B1F"/>
    <w:rsid w:val="628801E0"/>
    <w:rsid w:val="634E31D8"/>
    <w:rsid w:val="64E738E4"/>
    <w:rsid w:val="68112A26"/>
    <w:rsid w:val="69F36887"/>
    <w:rsid w:val="6EFF7A7C"/>
    <w:rsid w:val="703E338D"/>
    <w:rsid w:val="710650F2"/>
    <w:rsid w:val="719E357C"/>
    <w:rsid w:val="74561EEC"/>
    <w:rsid w:val="79750B98"/>
    <w:rsid w:val="79E85CDC"/>
    <w:rsid w:val="7C06069C"/>
    <w:rsid w:val="7CBC51FE"/>
    <w:rsid w:val="7ED405DD"/>
    <w:rsid w:val="7F6F6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6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8"/>
    <w:semiHidden/>
    <w:unhideWhenUsed/>
    <w:qFormat/>
    <w:uiPriority w:val="9"/>
    <w:pPr>
      <w:keepNext/>
      <w:keepLines/>
      <w:spacing w:before="260" w:after="260" w:line="416" w:lineRule="auto"/>
      <w:outlineLvl w:val="2"/>
    </w:pPr>
    <w:rPr>
      <w:b/>
      <w:bCs/>
      <w:sz w:val="32"/>
      <w:szCs w:val="32"/>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link w:val="65"/>
    <w:semiHidden/>
    <w:qFormat/>
    <w:uiPriority w:val="0"/>
    <w:pPr>
      <w:shd w:val="clear" w:color="auto" w:fill="000080"/>
    </w:pPr>
  </w:style>
  <w:style w:type="paragraph" w:styleId="10">
    <w:name w:val="annotation text"/>
    <w:basedOn w:val="1"/>
    <w:link w:val="153"/>
    <w:uiPriority w:val="0"/>
    <w:pPr>
      <w:jc w:val="left"/>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2"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link w:val="69"/>
    <w:semiHidden/>
    <w:qFormat/>
    <w:uiPriority w:val="0"/>
    <w:pPr>
      <w:snapToGrid w:val="0"/>
      <w:jc w:val="left"/>
    </w:pPr>
  </w:style>
  <w:style w:type="paragraph" w:styleId="18">
    <w:name w:val="Balloon Text"/>
    <w:basedOn w:val="1"/>
    <w:link w:val="43"/>
    <w:qFormat/>
    <w:uiPriority w:val="0"/>
    <w:rPr>
      <w:rFonts w:cs="宋体"/>
      <w:color w:val="000000"/>
      <w:sz w:val="18"/>
      <w:szCs w:val="18"/>
    </w:rPr>
  </w:style>
  <w:style w:type="paragraph" w:styleId="19">
    <w:name w:val="footer"/>
    <w:basedOn w:val="1"/>
    <w:link w:val="66"/>
    <w:qFormat/>
    <w:uiPriority w:val="99"/>
    <w:pPr>
      <w:snapToGrid w:val="0"/>
      <w:ind w:right="210" w:rightChars="100"/>
      <w:jc w:val="right"/>
    </w:pPr>
    <w:rPr>
      <w:sz w:val="18"/>
      <w:szCs w:val="18"/>
    </w:rPr>
  </w:style>
  <w:style w:type="paragraph" w:styleId="20">
    <w:name w:val="header"/>
    <w:basedOn w:val="1"/>
    <w:link w:val="53"/>
    <w:qFormat/>
    <w:uiPriority w:val="0"/>
    <w:pPr>
      <w:snapToGrid w:val="0"/>
      <w:jc w:val="left"/>
    </w:pPr>
    <w:rPr>
      <w:sz w:val="18"/>
      <w:szCs w:val="18"/>
    </w:rPr>
  </w:style>
  <w:style w:type="paragraph" w:styleId="21">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2">
    <w:name w:val="toc 4"/>
    <w:basedOn w:val="1"/>
    <w:next w:val="1"/>
    <w:semiHidden/>
    <w:qFormat/>
    <w:uiPriority w:val="0"/>
    <w:pPr>
      <w:tabs>
        <w:tab w:val="right" w:leader="dot" w:pos="9241"/>
      </w:tabs>
      <w:ind w:firstLine="198"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1"/>
    <w:autoRedefine/>
    <w:unhideWhenUsed/>
    <w:qFormat/>
    <w:uiPriority w:val="0"/>
  </w:style>
  <w:style w:type="paragraph" w:styleId="25">
    <w:name w:val="footnote text"/>
    <w:basedOn w:val="1"/>
    <w:link w:val="74"/>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3"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qFormat/>
    <w:uiPriority w:val="39"/>
    <w:pPr>
      <w:tabs>
        <w:tab w:val="right" w:leader="dot" w:pos="9241"/>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10"/>
    <w:next w:val="10"/>
    <w:link w:val="154"/>
    <w:qFormat/>
    <w:uiPriority w:val="0"/>
    <w:rPr>
      <w:b/>
      <w:bCs/>
    </w:rPr>
  </w:style>
  <w:style w:type="table" w:styleId="34">
    <w:name w:val="Table Grid"/>
    <w:basedOn w:val="33"/>
    <w:qFormat/>
    <w:uiPriority w:val="0"/>
    <w:rPr>
      <w:rFonts w:ascii="宋体" w:cs="Times New Roman"/>
      <w:color w:val="auto"/>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qFormat/>
    <w:uiPriority w:val="99"/>
    <w:rPr>
      <w:color w:val="0000FF"/>
      <w:spacing w:val="0"/>
      <w:w w:val="100"/>
      <w:szCs w:val="21"/>
      <w:u w:val="single"/>
      <w:lang w:val="en-US" w:eastAsia="zh-CN"/>
    </w:rPr>
  </w:style>
  <w:style w:type="character" w:styleId="40">
    <w:name w:val="annotation reference"/>
    <w:qFormat/>
    <w:uiPriority w:val="0"/>
    <w:rPr>
      <w:sz w:val="21"/>
      <w:szCs w:val="21"/>
    </w:rPr>
  </w:style>
  <w:style w:type="character" w:styleId="41">
    <w:name w:val="footnote reference"/>
    <w:semiHidden/>
    <w:qFormat/>
    <w:uiPriority w:val="0"/>
    <w:rPr>
      <w:vertAlign w:val="superscript"/>
    </w:rPr>
  </w:style>
  <w:style w:type="character" w:customStyle="1" w:styleId="42">
    <w:name w:val="标题 1 字符"/>
    <w:basedOn w:val="35"/>
    <w:link w:val="2"/>
    <w:qFormat/>
    <w:uiPriority w:val="0"/>
    <w:rPr>
      <w:rFonts w:cs="Times New Roman"/>
      <w:b/>
      <w:bCs/>
      <w:color w:val="auto"/>
      <w:kern w:val="44"/>
      <w:sz w:val="44"/>
      <w:szCs w:val="44"/>
    </w:rPr>
  </w:style>
  <w:style w:type="character" w:customStyle="1" w:styleId="43">
    <w:name w:val="批注框文本 字符"/>
    <w:link w:val="18"/>
    <w:qFormat/>
    <w:uiPriority w:val="0"/>
    <w:rPr>
      <w:kern w:val="2"/>
      <w:sz w:val="18"/>
      <w:szCs w:val="18"/>
    </w:rPr>
  </w:style>
  <w:style w:type="character" w:customStyle="1" w:styleId="44">
    <w:name w:val="附录公式 Char"/>
    <w:basedOn w:val="45"/>
    <w:link w:val="47"/>
    <w:qFormat/>
    <w:uiPriority w:val="0"/>
    <w:rPr>
      <w:rFonts w:ascii="宋体"/>
      <w:sz w:val="21"/>
    </w:rPr>
  </w:style>
  <w:style w:type="character" w:customStyle="1" w:styleId="45">
    <w:name w:val="段 Char"/>
    <w:link w:val="46"/>
    <w:qFormat/>
    <w:uiPriority w:val="0"/>
    <w:rPr>
      <w:rFonts w:ascii="宋体"/>
      <w:sz w:val="21"/>
    </w:rPr>
  </w:style>
  <w:style w:type="paragraph" w:customStyle="1" w:styleId="46">
    <w:name w:val="段"/>
    <w:link w:val="45"/>
    <w:qFormat/>
    <w:uiPriority w:val="0"/>
    <w:pPr>
      <w:tabs>
        <w:tab w:val="center" w:pos="4201"/>
        <w:tab w:val="right" w:leader="dot" w:pos="9298"/>
      </w:tabs>
      <w:autoSpaceDE w:val="0"/>
      <w:autoSpaceDN w:val="0"/>
      <w:ind w:firstLine="420" w:firstLineChars="200"/>
      <w:jc w:val="both"/>
    </w:pPr>
    <w:rPr>
      <w:rFonts w:ascii="宋体" w:hAnsi="Times New Roman" w:eastAsia="宋体" w:cs="宋体"/>
      <w:color w:val="000000"/>
      <w:sz w:val="21"/>
      <w:szCs w:val="22"/>
      <w:lang w:val="en-US" w:eastAsia="zh-CN" w:bidi="ar-SA"/>
    </w:rPr>
  </w:style>
  <w:style w:type="paragraph" w:customStyle="1" w:styleId="47">
    <w:name w:val="附录公式"/>
    <w:basedOn w:val="46"/>
    <w:next w:val="46"/>
    <w:link w:val="44"/>
    <w:qFormat/>
    <w:uiPriority w:val="0"/>
  </w:style>
  <w:style w:type="character" w:customStyle="1" w:styleId="48">
    <w:name w:val="发布"/>
    <w:qFormat/>
    <w:uiPriority w:val="0"/>
    <w:rPr>
      <w:rFonts w:ascii="黑体" w:eastAsia="黑体"/>
      <w:spacing w:val="85"/>
      <w:w w:val="100"/>
      <w:position w:val="3"/>
      <w:sz w:val="28"/>
      <w:szCs w:val="28"/>
    </w:rPr>
  </w:style>
  <w:style w:type="character" w:customStyle="1" w:styleId="49">
    <w:name w:val="首示例 Char"/>
    <w:link w:val="50"/>
    <w:qFormat/>
    <w:uiPriority w:val="0"/>
    <w:rPr>
      <w:rFonts w:ascii="宋体" w:hAnsi="宋体"/>
      <w:kern w:val="2"/>
      <w:sz w:val="18"/>
      <w:szCs w:val="18"/>
    </w:rPr>
  </w:style>
  <w:style w:type="paragraph" w:customStyle="1" w:styleId="50">
    <w:name w:val="首示例"/>
    <w:next w:val="46"/>
    <w:link w:val="49"/>
    <w:qFormat/>
    <w:uiPriority w:val="0"/>
    <w:pPr>
      <w:numPr>
        <w:ilvl w:val="0"/>
        <w:numId w:val="2"/>
      </w:numPr>
      <w:tabs>
        <w:tab w:val="left" w:pos="360"/>
      </w:tabs>
      <w:ind w:firstLine="0"/>
    </w:pPr>
    <w:rPr>
      <w:rFonts w:ascii="宋体" w:hAnsi="宋体" w:eastAsia="宋体" w:cs="宋体"/>
      <w:color w:val="000000"/>
      <w:kern w:val="2"/>
      <w:sz w:val="18"/>
      <w:szCs w:val="18"/>
      <w:lang w:val="en-US" w:eastAsia="zh-CN" w:bidi="ar-SA"/>
    </w:rPr>
  </w:style>
  <w:style w:type="paragraph" w:customStyle="1" w:styleId="51">
    <w:name w:val="封面正文"/>
    <w:qFormat/>
    <w:uiPriority w:val="0"/>
    <w:pPr>
      <w:jc w:val="both"/>
    </w:pPr>
    <w:rPr>
      <w:rFonts w:ascii="Times New Roman" w:hAnsi="Times New Roman" w:eastAsia="宋体" w:cs="Times New Roman"/>
      <w:color w:val="auto"/>
      <w:sz w:val="20"/>
      <w:szCs w:val="20"/>
      <w:lang w:val="en-US" w:eastAsia="zh-CN" w:bidi="ar-SA"/>
    </w:rPr>
  </w:style>
  <w:style w:type="paragraph" w:customStyle="1" w:styleId="5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color w:val="auto"/>
      <w:w w:val="170"/>
      <w:sz w:val="96"/>
      <w:szCs w:val="96"/>
      <w:lang w:val="en-US" w:eastAsia="zh-CN" w:bidi="ar-SA"/>
    </w:rPr>
  </w:style>
  <w:style w:type="character" w:customStyle="1" w:styleId="53">
    <w:name w:val="页眉 字符"/>
    <w:basedOn w:val="35"/>
    <w:link w:val="20"/>
    <w:qFormat/>
    <w:uiPriority w:val="0"/>
    <w:rPr>
      <w:rFonts w:cs="Times New Roman"/>
      <w:color w:val="auto"/>
      <w:kern w:val="2"/>
      <w:sz w:val="18"/>
      <w:szCs w:val="18"/>
    </w:rPr>
  </w:style>
  <w:style w:type="paragraph" w:customStyle="1" w:styleId="54">
    <w:name w:val="封面标准英文名称2"/>
    <w:basedOn w:val="55"/>
    <w:qFormat/>
    <w:uiPriority w:val="0"/>
    <w:pPr>
      <w:framePr w:wrap="around" w:y="4469"/>
    </w:pPr>
  </w:style>
  <w:style w:type="paragraph" w:customStyle="1" w:styleId="55">
    <w:name w:val="封面标准英文名称"/>
    <w:basedOn w:val="56"/>
    <w:qFormat/>
    <w:uiPriority w:val="0"/>
    <w:pPr>
      <w:framePr w:wrap="around"/>
      <w:spacing w:before="370" w:line="400" w:lineRule="exact"/>
    </w:pPr>
    <w:rPr>
      <w:rFonts w:ascii="Times New Roman"/>
      <w:sz w:val="28"/>
      <w:szCs w:val="28"/>
    </w:rPr>
  </w:style>
  <w:style w:type="paragraph" w:customStyle="1" w:styleId="5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color w:val="auto"/>
      <w:sz w:val="52"/>
      <w:szCs w:val="20"/>
      <w:lang w:val="en-US" w:eastAsia="zh-CN" w:bidi="ar-SA"/>
    </w:rPr>
  </w:style>
  <w:style w:type="paragraph" w:customStyle="1" w:styleId="57">
    <w:name w:val="注×："/>
    <w:qFormat/>
    <w:uiPriority w:val="0"/>
    <w:pPr>
      <w:widowControl w:val="0"/>
      <w:numPr>
        <w:ilvl w:val="0"/>
        <w:numId w:val="3"/>
      </w:numPr>
      <w:autoSpaceDE w:val="0"/>
      <w:autoSpaceDN w:val="0"/>
      <w:jc w:val="both"/>
    </w:pPr>
    <w:rPr>
      <w:rFonts w:ascii="宋体" w:hAnsi="Times New Roman" w:eastAsia="宋体" w:cs="Times New Roman"/>
      <w:color w:val="auto"/>
      <w:sz w:val="18"/>
      <w:szCs w:val="18"/>
      <w:lang w:val="en-US" w:eastAsia="zh-CN" w:bidi="ar-SA"/>
    </w:rPr>
  </w:style>
  <w:style w:type="paragraph" w:customStyle="1" w:styleId="58">
    <w:name w:val="附录二级条标题"/>
    <w:basedOn w:val="1"/>
    <w:next w:val="46"/>
    <w:qFormat/>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59">
    <w:name w:val="五级条标题"/>
    <w:basedOn w:val="60"/>
    <w:next w:val="46"/>
    <w:qFormat/>
    <w:uiPriority w:val="0"/>
    <w:pPr>
      <w:numPr>
        <w:ilvl w:val="5"/>
      </w:numPr>
      <w:outlineLvl w:val="6"/>
    </w:pPr>
  </w:style>
  <w:style w:type="paragraph" w:customStyle="1" w:styleId="60">
    <w:name w:val="四级条标题"/>
    <w:basedOn w:val="61"/>
    <w:next w:val="46"/>
    <w:qFormat/>
    <w:uiPriority w:val="0"/>
    <w:pPr>
      <w:numPr>
        <w:ilvl w:val="4"/>
        <w:numId w:val="5"/>
      </w:numPr>
      <w:outlineLvl w:val="5"/>
    </w:pPr>
  </w:style>
  <w:style w:type="paragraph" w:customStyle="1" w:styleId="61">
    <w:name w:val="三级条标题"/>
    <w:basedOn w:val="62"/>
    <w:next w:val="46"/>
    <w:qFormat/>
    <w:uiPriority w:val="0"/>
    <w:pPr>
      <w:numPr>
        <w:ilvl w:val="0"/>
        <w:numId w:val="0"/>
      </w:numPr>
      <w:outlineLvl w:val="4"/>
    </w:pPr>
  </w:style>
  <w:style w:type="paragraph" w:customStyle="1" w:styleId="62">
    <w:name w:val="二级条标题"/>
    <w:basedOn w:val="63"/>
    <w:next w:val="46"/>
    <w:qFormat/>
    <w:uiPriority w:val="0"/>
    <w:pPr>
      <w:numPr>
        <w:ilvl w:val="2"/>
      </w:numPr>
      <w:spacing w:before="50" w:after="50"/>
      <w:outlineLvl w:val="3"/>
    </w:pPr>
  </w:style>
  <w:style w:type="paragraph" w:customStyle="1" w:styleId="63">
    <w:name w:val="一级条标题"/>
    <w:next w:val="46"/>
    <w:qFormat/>
    <w:uiPriority w:val="0"/>
    <w:pPr>
      <w:numPr>
        <w:ilvl w:val="1"/>
        <w:numId w:val="5"/>
      </w:numPr>
      <w:spacing w:before="156" w:beforeLines="50" w:after="156" w:afterLines="50"/>
      <w:outlineLvl w:val="2"/>
    </w:pPr>
    <w:rPr>
      <w:rFonts w:ascii="黑体" w:hAnsi="Times New Roman" w:eastAsia="黑体" w:cs="Times New Roman"/>
      <w:color w:val="auto"/>
      <w:sz w:val="21"/>
      <w:szCs w:val="21"/>
      <w:lang w:val="en-US" w:eastAsia="zh-CN" w:bidi="ar-SA"/>
    </w:rPr>
  </w:style>
  <w:style w:type="paragraph" w:customStyle="1" w:styleId="64">
    <w:name w:val="附录图标号"/>
    <w:basedOn w:val="1"/>
    <w:qFormat/>
    <w:uiPriority w:val="0"/>
    <w:pPr>
      <w:keepNext/>
      <w:pageBreakBefore/>
      <w:widowControl/>
      <w:numPr>
        <w:ilvl w:val="0"/>
        <w:numId w:val="6"/>
      </w:numPr>
      <w:spacing w:line="14" w:lineRule="exact"/>
      <w:ind w:left="0" w:firstLine="363"/>
      <w:jc w:val="center"/>
      <w:outlineLvl w:val="0"/>
    </w:pPr>
    <w:rPr>
      <w:color w:val="FFFFFF"/>
    </w:rPr>
  </w:style>
  <w:style w:type="character" w:customStyle="1" w:styleId="65">
    <w:name w:val="文档结构图 字符"/>
    <w:basedOn w:val="35"/>
    <w:link w:val="9"/>
    <w:semiHidden/>
    <w:qFormat/>
    <w:uiPriority w:val="0"/>
    <w:rPr>
      <w:rFonts w:cs="Times New Roman"/>
      <w:color w:val="auto"/>
      <w:kern w:val="2"/>
      <w:sz w:val="21"/>
      <w:szCs w:val="24"/>
      <w:shd w:val="clear" w:color="auto" w:fill="000080"/>
    </w:rPr>
  </w:style>
  <w:style w:type="character" w:customStyle="1" w:styleId="66">
    <w:name w:val="页脚 字符"/>
    <w:basedOn w:val="35"/>
    <w:link w:val="19"/>
    <w:qFormat/>
    <w:uiPriority w:val="99"/>
    <w:rPr>
      <w:rFonts w:cs="Times New Roman"/>
      <w:color w:val="auto"/>
      <w:kern w:val="2"/>
      <w:sz w:val="18"/>
      <w:szCs w:val="18"/>
    </w:rPr>
  </w:style>
  <w:style w:type="paragraph" w:customStyle="1" w:styleId="67">
    <w:name w:val="正文1"/>
    <w:qFormat/>
    <w:uiPriority w:val="0"/>
    <w:pPr>
      <w:jc w:val="both"/>
    </w:pPr>
    <w:rPr>
      <w:rFonts w:ascii="Times New Roman" w:hAnsi="Times New Roman" w:eastAsia="宋体" w:cs="Times New Roman"/>
      <w:color w:val="auto"/>
      <w:kern w:val="2"/>
      <w:sz w:val="21"/>
      <w:szCs w:val="21"/>
      <w:lang w:val="en-US" w:eastAsia="zh-CN" w:bidi="ar-SA"/>
    </w:rPr>
  </w:style>
  <w:style w:type="paragraph" w:customStyle="1" w:styleId="68">
    <w:name w:val="发布部门"/>
    <w:next w:val="46"/>
    <w:qFormat/>
    <w:uiPriority w:val="0"/>
    <w:pPr>
      <w:framePr w:w="7938" w:h="1134" w:hRule="exact" w:hSpace="125" w:vSpace="181" w:wrap="around" w:vAnchor="page" w:hAnchor="page" w:x="2150" w:y="14630" w:anchorLock="1"/>
      <w:jc w:val="center"/>
    </w:pPr>
    <w:rPr>
      <w:rFonts w:ascii="宋体" w:hAnsi="Times New Roman" w:eastAsia="宋体" w:cs="Times New Roman"/>
      <w:b/>
      <w:color w:val="auto"/>
      <w:spacing w:val="20"/>
      <w:w w:val="135"/>
      <w:sz w:val="28"/>
      <w:szCs w:val="20"/>
      <w:lang w:val="en-US" w:eastAsia="zh-CN" w:bidi="ar-SA"/>
    </w:rPr>
  </w:style>
  <w:style w:type="character" w:customStyle="1" w:styleId="69">
    <w:name w:val="尾注文本 字符"/>
    <w:basedOn w:val="35"/>
    <w:link w:val="17"/>
    <w:semiHidden/>
    <w:qFormat/>
    <w:uiPriority w:val="0"/>
    <w:rPr>
      <w:rFonts w:cs="Times New Roman"/>
      <w:color w:val="auto"/>
      <w:kern w:val="2"/>
      <w:sz w:val="21"/>
      <w:szCs w:val="24"/>
    </w:rPr>
  </w:style>
  <w:style w:type="character" w:customStyle="1" w:styleId="70">
    <w:name w:val="批注框文本 字符1"/>
    <w:basedOn w:val="35"/>
    <w:semiHidden/>
    <w:qFormat/>
    <w:uiPriority w:val="99"/>
    <w:rPr>
      <w:rFonts w:cs="Times New Roman"/>
      <w:color w:val="auto"/>
      <w:kern w:val="2"/>
      <w:sz w:val="18"/>
      <w:szCs w:val="18"/>
    </w:rPr>
  </w:style>
  <w:style w:type="paragraph" w:customStyle="1" w:styleId="71">
    <w:name w:val="附录五级条标题"/>
    <w:basedOn w:val="72"/>
    <w:next w:val="46"/>
    <w:qFormat/>
    <w:uiPriority w:val="0"/>
    <w:pPr>
      <w:numPr>
        <w:ilvl w:val="6"/>
      </w:numPr>
      <w:tabs>
        <w:tab w:val="left" w:pos="360"/>
      </w:tabs>
      <w:outlineLvl w:val="6"/>
    </w:pPr>
  </w:style>
  <w:style w:type="paragraph" w:customStyle="1" w:styleId="72">
    <w:name w:val="附录四级条标题"/>
    <w:basedOn w:val="73"/>
    <w:next w:val="46"/>
    <w:qFormat/>
    <w:uiPriority w:val="0"/>
    <w:pPr>
      <w:numPr>
        <w:ilvl w:val="5"/>
      </w:numPr>
      <w:tabs>
        <w:tab w:val="left" w:pos="360"/>
      </w:tabs>
      <w:outlineLvl w:val="5"/>
    </w:pPr>
  </w:style>
  <w:style w:type="paragraph" w:customStyle="1" w:styleId="73">
    <w:name w:val="附录三级条标题"/>
    <w:basedOn w:val="58"/>
    <w:next w:val="46"/>
    <w:qFormat/>
    <w:uiPriority w:val="0"/>
    <w:pPr>
      <w:numPr>
        <w:ilvl w:val="4"/>
      </w:numPr>
      <w:outlineLvl w:val="4"/>
    </w:pPr>
  </w:style>
  <w:style w:type="character" w:customStyle="1" w:styleId="74">
    <w:name w:val="脚注文本 字符"/>
    <w:basedOn w:val="35"/>
    <w:link w:val="25"/>
    <w:qFormat/>
    <w:uiPriority w:val="0"/>
    <w:rPr>
      <w:rFonts w:ascii="宋体" w:cs="Times New Roman"/>
      <w:color w:val="auto"/>
      <w:kern w:val="2"/>
      <w:sz w:val="18"/>
      <w:szCs w:val="18"/>
    </w:rPr>
  </w:style>
  <w:style w:type="paragraph" w:customStyle="1" w:styleId="75">
    <w:name w:val="列项说明数字编号"/>
    <w:qFormat/>
    <w:uiPriority w:val="0"/>
    <w:pPr>
      <w:ind w:left="600" w:leftChars="400" w:hanging="200" w:hangingChars="200"/>
    </w:pPr>
    <w:rPr>
      <w:rFonts w:ascii="宋体" w:hAnsi="Times New Roman" w:eastAsia="宋体" w:cs="Times New Roman"/>
      <w:color w:val="auto"/>
      <w:sz w:val="21"/>
      <w:szCs w:val="20"/>
      <w:lang w:val="en-US" w:eastAsia="zh-CN" w:bidi="ar-SA"/>
    </w:rPr>
  </w:style>
  <w:style w:type="paragraph" w:customStyle="1" w:styleId="76">
    <w:name w:val="封面标准文稿编辑信息2"/>
    <w:basedOn w:val="77"/>
    <w:qFormat/>
    <w:uiPriority w:val="0"/>
    <w:pPr>
      <w:framePr w:wrap="around" w:y="4469"/>
    </w:pPr>
  </w:style>
  <w:style w:type="paragraph" w:customStyle="1" w:styleId="77">
    <w:name w:val="封面标准文稿编辑信息"/>
    <w:basedOn w:val="78"/>
    <w:qFormat/>
    <w:uiPriority w:val="0"/>
    <w:pPr>
      <w:framePr w:wrap="around"/>
      <w:spacing w:before="180" w:line="180" w:lineRule="exact"/>
    </w:pPr>
    <w:rPr>
      <w:sz w:val="21"/>
    </w:rPr>
  </w:style>
  <w:style w:type="paragraph" w:customStyle="1" w:styleId="78">
    <w:name w:val="封面标准文稿类别"/>
    <w:basedOn w:val="79"/>
    <w:qFormat/>
    <w:uiPriority w:val="0"/>
    <w:pPr>
      <w:framePr w:wrap="around"/>
      <w:spacing w:after="160" w:line="240" w:lineRule="auto"/>
    </w:pPr>
    <w:rPr>
      <w:sz w:val="24"/>
    </w:rPr>
  </w:style>
  <w:style w:type="paragraph" w:customStyle="1" w:styleId="79">
    <w:name w:val="封面一致性程度标识"/>
    <w:basedOn w:val="55"/>
    <w:qFormat/>
    <w:uiPriority w:val="0"/>
    <w:pPr>
      <w:framePr w:wrap="around"/>
      <w:spacing w:before="440"/>
    </w:pPr>
    <w:rPr>
      <w:rFonts w:ascii="宋体" w:eastAsia="宋体"/>
    </w:rPr>
  </w:style>
  <w:style w:type="paragraph" w:customStyle="1" w:styleId="80">
    <w:name w:val="示例×："/>
    <w:basedOn w:val="81"/>
    <w:qFormat/>
    <w:uiPriority w:val="0"/>
    <w:pPr>
      <w:numPr>
        <w:numId w:val="7"/>
      </w:numPr>
      <w:spacing w:before="0" w:beforeLines="0" w:after="0" w:afterLines="0"/>
      <w:outlineLvl w:val="9"/>
    </w:pPr>
    <w:rPr>
      <w:rFonts w:ascii="宋体" w:eastAsia="宋体"/>
      <w:sz w:val="18"/>
      <w:szCs w:val="18"/>
    </w:rPr>
  </w:style>
  <w:style w:type="paragraph" w:customStyle="1" w:styleId="81">
    <w:name w:val="章标题"/>
    <w:next w:val="46"/>
    <w:qFormat/>
    <w:uiPriority w:val="0"/>
    <w:pPr>
      <w:numPr>
        <w:ilvl w:val="0"/>
        <w:numId w:val="5"/>
      </w:numPr>
      <w:spacing w:before="312" w:beforeLines="100" w:after="312" w:afterLines="100"/>
      <w:jc w:val="both"/>
      <w:outlineLvl w:val="1"/>
    </w:pPr>
    <w:rPr>
      <w:rFonts w:ascii="黑体" w:hAnsi="Times New Roman" w:eastAsia="黑体" w:cs="Times New Roman"/>
      <w:color w:val="auto"/>
      <w:sz w:val="21"/>
      <w:szCs w:val="20"/>
      <w:lang w:val="en-US" w:eastAsia="zh-CN" w:bidi="ar-SA"/>
    </w:rPr>
  </w:style>
  <w:style w:type="paragraph" w:customStyle="1" w:styleId="82">
    <w:name w:val="附录图标题"/>
    <w:basedOn w:val="1"/>
    <w:next w:val="46"/>
    <w:qFormat/>
    <w:uiPriority w:val="0"/>
    <w:pPr>
      <w:numPr>
        <w:ilvl w:val="1"/>
        <w:numId w:val="6"/>
      </w:numPr>
      <w:tabs>
        <w:tab w:val="left" w:pos="363"/>
      </w:tabs>
      <w:spacing w:before="50" w:beforeLines="50" w:after="50" w:afterLines="50"/>
      <w:ind w:left="0" w:firstLine="0"/>
      <w:jc w:val="center"/>
    </w:pPr>
    <w:rPr>
      <w:rFonts w:ascii="黑体" w:eastAsia="黑体"/>
      <w:szCs w:val="21"/>
    </w:rPr>
  </w:style>
  <w:style w:type="paragraph" w:customStyle="1" w:styleId="83">
    <w:name w:val="封面一致性程度标识2"/>
    <w:basedOn w:val="79"/>
    <w:qFormat/>
    <w:uiPriority w:val="0"/>
    <w:pPr>
      <w:framePr w:wrap="around" w:y="4469"/>
    </w:pPr>
  </w:style>
  <w:style w:type="paragraph" w:customStyle="1" w:styleId="84">
    <w:name w:val="终结线"/>
    <w:basedOn w:val="1"/>
    <w:qFormat/>
    <w:uiPriority w:val="0"/>
    <w:pPr>
      <w:framePr w:hSpace="181" w:vSpace="181" w:wrap="around" w:vAnchor="text" w:hAnchor="margin" w:xAlign="center" w:y="285"/>
    </w:pPr>
  </w:style>
  <w:style w:type="paragraph" w:customStyle="1" w:styleId="85">
    <w:name w:val="图的脚注"/>
    <w:next w:val="46"/>
    <w:qFormat/>
    <w:uiPriority w:val="0"/>
    <w:pPr>
      <w:widowControl w:val="0"/>
      <w:ind w:left="840" w:leftChars="200" w:hanging="420" w:hangingChars="200"/>
      <w:jc w:val="both"/>
    </w:pPr>
    <w:rPr>
      <w:rFonts w:ascii="宋体" w:hAnsi="Times New Roman" w:eastAsia="宋体" w:cs="Times New Roman"/>
      <w:color w:val="auto"/>
      <w:sz w:val="18"/>
      <w:szCs w:val="20"/>
      <w:lang w:val="en-US" w:eastAsia="zh-CN" w:bidi="ar-SA"/>
    </w:rPr>
  </w:style>
  <w:style w:type="paragraph" w:customStyle="1" w:styleId="86">
    <w:name w:val="附录章标题"/>
    <w:next w:val="46"/>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color w:val="auto"/>
      <w:kern w:val="21"/>
      <w:sz w:val="21"/>
      <w:szCs w:val="20"/>
      <w:lang w:val="en-US" w:eastAsia="zh-CN" w:bidi="ar-SA"/>
    </w:rPr>
  </w:style>
  <w:style w:type="paragraph" w:customStyle="1" w:styleId="87">
    <w:name w:val="附录一级条标题"/>
    <w:basedOn w:val="86"/>
    <w:next w:val="46"/>
    <w:qFormat/>
    <w:uiPriority w:val="0"/>
    <w:pPr>
      <w:numPr>
        <w:ilvl w:val="2"/>
      </w:numPr>
      <w:autoSpaceDN w:val="0"/>
      <w:spacing w:before="50" w:beforeLines="50" w:after="50" w:afterLines="50"/>
      <w:outlineLvl w:val="2"/>
    </w:pPr>
  </w:style>
  <w:style w:type="paragraph" w:customStyle="1" w:styleId="8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color w:val="auto"/>
      <w:spacing w:val="-40"/>
      <w:sz w:val="48"/>
      <w:szCs w:val="52"/>
      <w:lang w:val="en-US" w:eastAsia="zh-CN" w:bidi="ar-SA"/>
    </w:rPr>
  </w:style>
  <w:style w:type="paragraph" w:customStyle="1" w:styleId="89">
    <w:name w:val="附录表标题"/>
    <w:basedOn w:val="1"/>
    <w:next w:val="46"/>
    <w:qFormat/>
    <w:uiPriority w:val="0"/>
    <w:pPr>
      <w:numPr>
        <w:ilvl w:val="1"/>
        <w:numId w:val="8"/>
      </w:numPr>
      <w:tabs>
        <w:tab w:val="left" w:pos="180"/>
      </w:tabs>
      <w:spacing w:before="50" w:beforeLines="50" w:after="50" w:afterLines="50"/>
      <w:ind w:left="0" w:firstLine="0"/>
      <w:jc w:val="center"/>
    </w:pPr>
    <w:rPr>
      <w:rFonts w:ascii="黑体" w:eastAsia="黑体"/>
      <w:szCs w:val="21"/>
    </w:rPr>
  </w:style>
  <w:style w:type="paragraph" w:customStyle="1" w:styleId="90">
    <w:name w:val="数字编号列项（二级）"/>
    <w:qFormat/>
    <w:uiPriority w:val="0"/>
    <w:pPr>
      <w:numPr>
        <w:ilvl w:val="1"/>
        <w:numId w:val="9"/>
      </w:numPr>
      <w:jc w:val="both"/>
    </w:pPr>
    <w:rPr>
      <w:rFonts w:ascii="宋体" w:hAnsi="Times New Roman" w:eastAsia="宋体" w:cs="Times New Roman"/>
      <w:color w:val="auto"/>
      <w:sz w:val="21"/>
      <w:szCs w:val="20"/>
      <w:lang w:val="en-US" w:eastAsia="zh-CN" w:bidi="ar-SA"/>
    </w:rPr>
  </w:style>
  <w:style w:type="paragraph" w:customStyle="1" w:styleId="91">
    <w:name w:val="标准书脚_奇数页"/>
    <w:qFormat/>
    <w:uiPriority w:val="0"/>
    <w:pPr>
      <w:spacing w:before="120"/>
      <w:ind w:right="198"/>
      <w:jc w:val="right"/>
    </w:pPr>
    <w:rPr>
      <w:rFonts w:ascii="宋体" w:hAnsi="Times New Roman" w:eastAsia="宋体" w:cs="Times New Roman"/>
      <w:color w:val="auto"/>
      <w:sz w:val="18"/>
      <w:szCs w:val="18"/>
      <w:lang w:val="en-US" w:eastAsia="zh-CN" w:bidi="ar-SA"/>
    </w:rPr>
  </w:style>
  <w:style w:type="paragraph" w:customStyle="1" w:styleId="92">
    <w:name w:val="正文表标题"/>
    <w:next w:val="46"/>
    <w:qFormat/>
    <w:uiPriority w:val="0"/>
    <w:pPr>
      <w:numPr>
        <w:ilvl w:val="0"/>
        <w:numId w:val="10"/>
      </w:numPr>
      <w:tabs>
        <w:tab w:val="left" w:pos="360"/>
      </w:tabs>
      <w:spacing w:before="156" w:beforeLines="50" w:after="156" w:afterLines="50"/>
      <w:jc w:val="center"/>
    </w:pPr>
    <w:rPr>
      <w:rFonts w:ascii="黑体" w:hAnsi="Times New Roman" w:eastAsia="黑体" w:cs="Times New Roman"/>
      <w:color w:val="auto"/>
      <w:sz w:val="21"/>
      <w:szCs w:val="20"/>
      <w:lang w:val="en-US" w:eastAsia="zh-CN" w:bidi="ar-SA"/>
    </w:rPr>
  </w:style>
  <w:style w:type="paragraph" w:customStyle="1" w:styleId="93">
    <w:name w:val="三级无"/>
    <w:basedOn w:val="61"/>
    <w:qFormat/>
    <w:uiPriority w:val="0"/>
    <w:pPr>
      <w:spacing w:before="0" w:beforeLines="0" w:after="0" w:afterLines="0"/>
    </w:pPr>
    <w:rPr>
      <w:rFonts w:ascii="宋体" w:eastAsia="宋体"/>
    </w:rPr>
  </w:style>
  <w:style w:type="paragraph" w:customStyle="1" w:styleId="9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color w:val="auto"/>
      <w:sz w:val="28"/>
      <w:szCs w:val="28"/>
      <w:lang w:val="en-US" w:eastAsia="zh-CN" w:bidi="ar-SA"/>
    </w:rPr>
  </w:style>
  <w:style w:type="paragraph" w:customStyle="1" w:styleId="95">
    <w:name w:val="其他发布部门"/>
    <w:basedOn w:val="68"/>
    <w:qFormat/>
    <w:uiPriority w:val="0"/>
    <w:pPr>
      <w:framePr w:wrap="around" w:y="15310"/>
      <w:spacing w:line="0" w:lineRule="atLeast"/>
    </w:pPr>
    <w:rPr>
      <w:rFonts w:ascii="黑体" w:eastAsia="黑体"/>
      <w:b w:val="0"/>
    </w:rPr>
  </w:style>
  <w:style w:type="paragraph" w:customStyle="1" w:styleId="96">
    <w:name w:val="字母编号列项（一级）"/>
    <w:qFormat/>
    <w:uiPriority w:val="0"/>
    <w:pPr>
      <w:numPr>
        <w:ilvl w:val="0"/>
        <w:numId w:val="9"/>
      </w:numPr>
      <w:jc w:val="both"/>
    </w:pPr>
    <w:rPr>
      <w:rFonts w:ascii="宋体" w:hAnsi="Times New Roman" w:eastAsia="宋体" w:cs="Times New Roman"/>
      <w:color w:val="auto"/>
      <w:sz w:val="21"/>
      <w:szCs w:val="20"/>
      <w:lang w:val="en-US" w:eastAsia="zh-CN" w:bidi="ar-SA"/>
    </w:rPr>
  </w:style>
  <w:style w:type="paragraph" w:customStyle="1" w:styleId="97">
    <w:name w:val="列项●（二级）"/>
    <w:qFormat/>
    <w:uiPriority w:val="0"/>
    <w:pPr>
      <w:numPr>
        <w:ilvl w:val="1"/>
        <w:numId w:val="11"/>
      </w:numPr>
      <w:tabs>
        <w:tab w:val="left" w:pos="840"/>
      </w:tabs>
      <w:jc w:val="both"/>
    </w:pPr>
    <w:rPr>
      <w:rFonts w:ascii="宋体" w:hAnsi="Times New Roman" w:eastAsia="宋体" w:cs="Times New Roman"/>
      <w:color w:val="auto"/>
      <w:sz w:val="21"/>
      <w:szCs w:val="20"/>
      <w:lang w:val="en-US" w:eastAsia="zh-CN" w:bidi="ar-SA"/>
    </w:rPr>
  </w:style>
  <w:style w:type="paragraph" w:customStyle="1" w:styleId="98">
    <w:name w:val="正文图标题"/>
    <w:next w:val="46"/>
    <w:qFormat/>
    <w:uiPriority w:val="0"/>
    <w:pPr>
      <w:numPr>
        <w:ilvl w:val="0"/>
        <w:numId w:val="12"/>
      </w:numPr>
      <w:spacing w:before="156" w:beforeLines="50" w:after="156" w:afterLines="50"/>
      <w:jc w:val="center"/>
    </w:pPr>
    <w:rPr>
      <w:rFonts w:ascii="黑体" w:hAnsi="Times New Roman" w:eastAsia="黑体" w:cs="Times New Roman"/>
      <w:color w:val="auto"/>
      <w:sz w:val="21"/>
      <w:szCs w:val="20"/>
      <w:lang w:val="en-US" w:eastAsia="zh-CN" w:bidi="ar-SA"/>
    </w:rPr>
  </w:style>
  <w:style w:type="paragraph" w:customStyle="1" w:styleId="99">
    <w:name w:val="附录五级无"/>
    <w:basedOn w:val="71"/>
    <w:qFormat/>
    <w:uiPriority w:val="0"/>
    <w:pPr>
      <w:tabs>
        <w:tab w:val="clear" w:pos="360"/>
      </w:tabs>
      <w:spacing w:before="0" w:beforeLines="0" w:after="0" w:afterLines="0"/>
    </w:pPr>
    <w:rPr>
      <w:rFonts w:ascii="宋体" w:eastAsia="宋体"/>
      <w:szCs w:val="21"/>
    </w:rPr>
  </w:style>
  <w:style w:type="paragraph" w:customStyle="1" w:styleId="100">
    <w:name w:val="编号列项（三级）"/>
    <w:qFormat/>
    <w:uiPriority w:val="0"/>
    <w:rPr>
      <w:rFonts w:ascii="宋体" w:hAnsi="Times New Roman" w:eastAsia="宋体" w:cs="Times New Roman"/>
      <w:color w:val="auto"/>
      <w:sz w:val="21"/>
      <w:szCs w:val="20"/>
      <w:lang w:val="en-US" w:eastAsia="zh-CN" w:bidi="ar-SA"/>
    </w:rPr>
  </w:style>
  <w:style w:type="paragraph" w:customStyle="1" w:styleId="101">
    <w:name w:val="封面标准文稿类别2"/>
    <w:basedOn w:val="78"/>
    <w:qFormat/>
    <w:uiPriority w:val="0"/>
    <w:pPr>
      <w:framePr w:wrap="around" w:y="4469"/>
    </w:pPr>
  </w:style>
  <w:style w:type="paragraph" w:customStyle="1" w:styleId="102">
    <w:name w:val="标准书眉_奇数页"/>
    <w:next w:val="1"/>
    <w:qFormat/>
    <w:uiPriority w:val="0"/>
    <w:pPr>
      <w:tabs>
        <w:tab w:val="center" w:pos="4154"/>
        <w:tab w:val="right" w:pos="8306"/>
      </w:tabs>
      <w:spacing w:after="220"/>
      <w:jc w:val="right"/>
    </w:pPr>
    <w:rPr>
      <w:rFonts w:ascii="黑体" w:hAnsi="Times New Roman" w:eastAsia="黑体" w:cs="Times New Roman"/>
      <w:color w:val="auto"/>
      <w:sz w:val="21"/>
      <w:szCs w:val="21"/>
      <w:lang w:val="en-US" w:eastAsia="zh-CN" w:bidi="ar-SA"/>
    </w:rPr>
  </w:style>
  <w:style w:type="paragraph" w:customStyle="1" w:styleId="103">
    <w:name w:val="其他发布日期"/>
    <w:basedOn w:val="104"/>
    <w:qFormat/>
    <w:uiPriority w:val="0"/>
    <w:pPr>
      <w:framePr w:wrap="around" w:vAnchor="page" w:hAnchor="text" w:x="1419"/>
    </w:pPr>
  </w:style>
  <w:style w:type="paragraph" w:customStyle="1" w:styleId="104">
    <w:name w:val="发布日期"/>
    <w:qFormat/>
    <w:uiPriority w:val="0"/>
    <w:pPr>
      <w:framePr w:w="3997" w:h="471" w:hRule="exact" w:vSpace="181" w:wrap="around" w:vAnchor="margin" w:hAnchor="page" w:x="7089" w:y="14097" w:anchorLock="1"/>
    </w:pPr>
    <w:rPr>
      <w:rFonts w:ascii="Times New Roman" w:hAnsi="Times New Roman" w:eastAsia="黑体" w:cs="Times New Roman"/>
      <w:color w:val="auto"/>
      <w:sz w:val="28"/>
      <w:szCs w:val="20"/>
      <w:lang w:val="en-US" w:eastAsia="zh-CN" w:bidi="ar-SA"/>
    </w:rPr>
  </w:style>
  <w:style w:type="paragraph" w:customStyle="1" w:styleId="105">
    <w:name w:val="附录标题"/>
    <w:basedOn w:val="46"/>
    <w:next w:val="46"/>
    <w:qFormat/>
    <w:uiPriority w:val="0"/>
    <w:pPr>
      <w:ind w:firstLine="0" w:firstLineChars="0"/>
      <w:jc w:val="center"/>
    </w:pPr>
    <w:rPr>
      <w:rFonts w:ascii="黑体" w:eastAsia="黑体"/>
    </w:rPr>
  </w:style>
  <w:style w:type="paragraph" w:customStyle="1" w:styleId="106">
    <w:name w:val="示例后文字"/>
    <w:basedOn w:val="46"/>
    <w:next w:val="46"/>
    <w:qFormat/>
    <w:uiPriority w:val="0"/>
    <w:pPr>
      <w:ind w:firstLine="360"/>
    </w:pPr>
    <w:rPr>
      <w:sz w:val="18"/>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注：（正文）"/>
    <w:basedOn w:val="109"/>
    <w:next w:val="46"/>
    <w:qFormat/>
    <w:uiPriority w:val="0"/>
    <w:pPr>
      <w:numPr>
        <w:ilvl w:val="0"/>
        <w:numId w:val="13"/>
      </w:numPr>
    </w:pPr>
  </w:style>
  <w:style w:type="paragraph" w:customStyle="1" w:styleId="109">
    <w:name w:val="注："/>
    <w:next w:val="46"/>
    <w:qFormat/>
    <w:uiPriority w:val="0"/>
    <w:pPr>
      <w:widowControl w:val="0"/>
      <w:numPr>
        <w:ilvl w:val="0"/>
        <w:numId w:val="14"/>
      </w:numPr>
      <w:autoSpaceDE w:val="0"/>
      <w:autoSpaceDN w:val="0"/>
      <w:jc w:val="both"/>
    </w:pPr>
    <w:rPr>
      <w:rFonts w:ascii="宋体" w:hAnsi="Times New Roman" w:eastAsia="宋体" w:cs="Times New Roman"/>
      <w:color w:val="auto"/>
      <w:sz w:val="18"/>
      <w:szCs w:val="18"/>
      <w:lang w:val="en-US" w:eastAsia="zh-CN" w:bidi="ar-SA"/>
    </w:rPr>
  </w:style>
  <w:style w:type="paragraph" w:customStyle="1" w:styleId="110">
    <w:name w:val="附录一级无"/>
    <w:basedOn w:val="87"/>
    <w:qFormat/>
    <w:uiPriority w:val="0"/>
    <w:pPr>
      <w:tabs>
        <w:tab w:val="clear" w:pos="360"/>
      </w:tabs>
      <w:spacing w:before="0" w:beforeLines="0" w:after="0" w:afterLines="0"/>
    </w:pPr>
    <w:rPr>
      <w:rFonts w:ascii="宋体" w:eastAsia="宋体"/>
      <w:szCs w:val="21"/>
    </w:rPr>
  </w:style>
  <w:style w:type="paragraph" w:customStyle="1" w:styleId="111">
    <w:name w:val="附录公式编号制表符"/>
    <w:basedOn w:val="1"/>
    <w:next w:val="46"/>
    <w:qFormat/>
    <w:uiPriority w:val="0"/>
    <w:pPr>
      <w:widowControl/>
      <w:tabs>
        <w:tab w:val="center" w:pos="4201"/>
        <w:tab w:val="right" w:leader="dot" w:pos="9298"/>
      </w:tabs>
      <w:autoSpaceDE w:val="0"/>
      <w:autoSpaceDN w:val="0"/>
    </w:pPr>
    <w:rPr>
      <w:rFonts w:ascii="宋体"/>
      <w:kern w:val="0"/>
      <w:szCs w:val="20"/>
    </w:rPr>
  </w:style>
  <w:style w:type="paragraph" w:customStyle="1" w:styleId="112">
    <w:name w:val="参考文献"/>
    <w:basedOn w:val="1"/>
    <w:next w:val="4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3">
    <w:name w:val="注×：（正文）"/>
    <w:qFormat/>
    <w:uiPriority w:val="0"/>
    <w:pPr>
      <w:numPr>
        <w:ilvl w:val="0"/>
        <w:numId w:val="15"/>
      </w:numPr>
      <w:jc w:val="both"/>
    </w:pPr>
    <w:rPr>
      <w:rFonts w:ascii="宋体" w:hAnsi="Times New Roman" w:eastAsia="宋体" w:cs="Times New Roman"/>
      <w:color w:val="auto"/>
      <w:sz w:val="18"/>
      <w:szCs w:val="18"/>
      <w:lang w:val="en-US" w:eastAsia="zh-CN" w:bidi="ar-SA"/>
    </w:rPr>
  </w:style>
  <w:style w:type="paragraph" w:customStyle="1" w:styleId="114">
    <w:name w:val="图标脚注说明"/>
    <w:basedOn w:val="46"/>
    <w:qFormat/>
    <w:uiPriority w:val="0"/>
    <w:pPr>
      <w:ind w:left="840" w:hanging="420" w:firstLineChars="0"/>
    </w:pPr>
    <w:rPr>
      <w:sz w:val="18"/>
      <w:szCs w:val="18"/>
    </w:rPr>
  </w:style>
  <w:style w:type="paragraph" w:customStyle="1" w:styleId="115">
    <w:name w:val="实施日期"/>
    <w:basedOn w:val="104"/>
    <w:qFormat/>
    <w:uiPriority w:val="0"/>
    <w:pPr>
      <w:framePr w:wrap="around" w:vAnchor="page" w:hAnchor="text"/>
      <w:jc w:val="right"/>
    </w:pPr>
  </w:style>
  <w:style w:type="paragraph" w:customStyle="1" w:styleId="116">
    <w:name w:val="标准书脚_偶数页"/>
    <w:qFormat/>
    <w:uiPriority w:val="0"/>
    <w:pPr>
      <w:spacing w:before="120"/>
      <w:ind w:left="221"/>
    </w:pPr>
    <w:rPr>
      <w:rFonts w:ascii="宋体" w:hAnsi="Times New Roman" w:eastAsia="宋体" w:cs="Times New Roman"/>
      <w:color w:val="auto"/>
      <w:sz w:val="18"/>
      <w:szCs w:val="18"/>
      <w:lang w:val="en-US" w:eastAsia="zh-CN" w:bidi="ar-SA"/>
    </w:rPr>
  </w:style>
  <w:style w:type="paragraph" w:customStyle="1" w:styleId="117">
    <w:name w:val="图表脚注说明"/>
    <w:basedOn w:val="1"/>
    <w:qFormat/>
    <w:uiPriority w:val="0"/>
    <w:pPr>
      <w:numPr>
        <w:ilvl w:val="0"/>
        <w:numId w:val="16"/>
      </w:numPr>
    </w:pPr>
    <w:rPr>
      <w:rFonts w:ascii="宋体"/>
      <w:sz w:val="18"/>
      <w:szCs w:val="18"/>
    </w:rPr>
  </w:style>
  <w:style w:type="paragraph" w:customStyle="1" w:styleId="118">
    <w:name w:val="附录标识"/>
    <w:basedOn w:val="1"/>
    <w:next w:val="46"/>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9">
    <w:name w:val="列项◆（三级）"/>
    <w:basedOn w:val="1"/>
    <w:qFormat/>
    <w:uiPriority w:val="0"/>
    <w:pPr>
      <w:numPr>
        <w:ilvl w:val="2"/>
        <w:numId w:val="11"/>
      </w:numPr>
    </w:pPr>
    <w:rPr>
      <w:rFonts w:ascii="宋体"/>
      <w:szCs w:val="21"/>
    </w:rPr>
  </w:style>
  <w:style w:type="paragraph" w:customStyle="1" w:styleId="120">
    <w:name w:val="参考文献、索引标题"/>
    <w:basedOn w:val="1"/>
    <w:next w:val="4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1">
    <w:name w:val="示例内容"/>
    <w:qFormat/>
    <w:uiPriority w:val="0"/>
    <w:pPr>
      <w:ind w:firstLine="200" w:firstLineChars="200"/>
    </w:pPr>
    <w:rPr>
      <w:rFonts w:ascii="宋体" w:hAnsi="Times New Roman" w:eastAsia="宋体" w:cs="Times New Roman"/>
      <w:color w:val="auto"/>
      <w:sz w:val="18"/>
      <w:szCs w:val="18"/>
      <w:lang w:val="en-US" w:eastAsia="zh-CN" w:bidi="ar-SA"/>
    </w:rPr>
  </w:style>
  <w:style w:type="paragraph" w:customStyle="1" w:styleId="122">
    <w:name w:val="示例"/>
    <w:next w:val="121"/>
    <w:qFormat/>
    <w:uiPriority w:val="0"/>
    <w:pPr>
      <w:widowControl w:val="0"/>
      <w:numPr>
        <w:ilvl w:val="0"/>
        <w:numId w:val="17"/>
      </w:numPr>
      <w:jc w:val="both"/>
    </w:pPr>
    <w:rPr>
      <w:rFonts w:ascii="宋体" w:hAnsi="Times New Roman" w:eastAsia="宋体" w:cs="Times New Roman"/>
      <w:color w:val="auto"/>
      <w:sz w:val="18"/>
      <w:szCs w:val="18"/>
      <w:lang w:val="en-US" w:eastAsia="zh-CN" w:bidi="ar-SA"/>
    </w:rPr>
  </w:style>
  <w:style w:type="paragraph" w:customStyle="1" w:styleId="12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color w:val="auto"/>
      <w:spacing w:val="20"/>
      <w:w w:val="148"/>
      <w:sz w:val="48"/>
      <w:szCs w:val="20"/>
      <w:lang w:val="en-US" w:eastAsia="zh-CN" w:bidi="ar-SA"/>
    </w:rPr>
  </w:style>
  <w:style w:type="paragraph" w:customStyle="1" w:styleId="124">
    <w:name w:val="附录四级无"/>
    <w:basedOn w:val="72"/>
    <w:qFormat/>
    <w:uiPriority w:val="0"/>
    <w:pPr>
      <w:tabs>
        <w:tab w:val="clear" w:pos="360"/>
      </w:tabs>
      <w:spacing w:before="0" w:beforeLines="0" w:after="0" w:afterLines="0"/>
    </w:pPr>
    <w:rPr>
      <w:rFonts w:ascii="宋体" w:eastAsia="宋体"/>
      <w:szCs w:val="21"/>
    </w:rPr>
  </w:style>
  <w:style w:type="paragraph" w:customStyle="1" w:styleId="125">
    <w:name w:val="二级无"/>
    <w:basedOn w:val="62"/>
    <w:qFormat/>
    <w:uiPriority w:val="0"/>
    <w:pPr>
      <w:spacing w:before="0" w:beforeLines="0" w:after="0" w:afterLines="0"/>
    </w:pPr>
    <w:rPr>
      <w:rFonts w:ascii="宋体" w:eastAsia="宋体"/>
    </w:rPr>
  </w:style>
  <w:style w:type="paragraph" w:customStyle="1" w:styleId="12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color w:val="auto"/>
      <w:sz w:val="28"/>
      <w:szCs w:val="20"/>
      <w:lang w:val="en-US" w:eastAsia="zh-CN" w:bidi="ar-SA"/>
    </w:rPr>
  </w:style>
  <w:style w:type="paragraph" w:customStyle="1" w:styleId="127">
    <w:name w:val="其他实施日期"/>
    <w:basedOn w:val="115"/>
    <w:qFormat/>
    <w:uiPriority w:val="0"/>
    <w:pPr>
      <w:framePr w:wrap="around"/>
    </w:pPr>
  </w:style>
  <w:style w:type="paragraph" w:customStyle="1" w:styleId="128">
    <w:name w:val="封面标准名称2"/>
    <w:basedOn w:val="56"/>
    <w:qFormat/>
    <w:uiPriority w:val="0"/>
    <w:pPr>
      <w:framePr w:wrap="around" w:y="4469"/>
      <w:spacing w:before="630" w:beforeLines="630"/>
    </w:pPr>
  </w:style>
  <w:style w:type="paragraph" w:customStyle="1" w:styleId="129">
    <w:name w:val="目次、标准名称标题"/>
    <w:basedOn w:val="1"/>
    <w:next w:val="4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0">
    <w:name w:val="目次、索引正文"/>
    <w:qFormat/>
    <w:uiPriority w:val="0"/>
    <w:pPr>
      <w:spacing w:line="320" w:lineRule="exact"/>
      <w:jc w:val="both"/>
    </w:pPr>
    <w:rPr>
      <w:rFonts w:ascii="宋体" w:hAnsi="Times New Roman" w:eastAsia="宋体" w:cs="Times New Roman"/>
      <w:color w:val="auto"/>
      <w:sz w:val="21"/>
      <w:szCs w:val="20"/>
      <w:lang w:val="en-US" w:eastAsia="zh-CN" w:bidi="ar-SA"/>
    </w:rPr>
  </w:style>
  <w:style w:type="paragraph" w:customStyle="1" w:styleId="131">
    <w:name w:val="五级无"/>
    <w:basedOn w:val="59"/>
    <w:qFormat/>
    <w:uiPriority w:val="0"/>
    <w:pPr>
      <w:spacing w:before="0" w:beforeLines="0" w:after="0" w:afterLines="0"/>
    </w:pPr>
    <w:rPr>
      <w:rFonts w:ascii="宋体" w:eastAsia="宋体"/>
    </w:rPr>
  </w:style>
  <w:style w:type="paragraph" w:customStyle="1" w:styleId="132">
    <w:name w:val="标准书眉一"/>
    <w:qFormat/>
    <w:uiPriority w:val="0"/>
    <w:pPr>
      <w:jc w:val="both"/>
    </w:pPr>
    <w:rPr>
      <w:rFonts w:ascii="Times New Roman" w:hAnsi="Times New Roman" w:eastAsia="宋体" w:cs="Times New Roman"/>
      <w:color w:val="auto"/>
      <w:sz w:val="20"/>
      <w:szCs w:val="20"/>
      <w:lang w:val="en-US" w:eastAsia="zh-CN" w:bidi="ar-SA"/>
    </w:rPr>
  </w:style>
  <w:style w:type="paragraph" w:customStyle="1" w:styleId="133">
    <w:name w:val="附录三级无"/>
    <w:basedOn w:val="73"/>
    <w:qFormat/>
    <w:uiPriority w:val="0"/>
    <w:pPr>
      <w:tabs>
        <w:tab w:val="clear" w:pos="360"/>
      </w:tabs>
      <w:spacing w:before="0" w:beforeLines="0" w:after="0" w:afterLines="0"/>
    </w:pPr>
    <w:rPr>
      <w:rFonts w:ascii="宋体" w:eastAsia="宋体"/>
      <w:szCs w:val="21"/>
    </w:rPr>
  </w:style>
  <w:style w:type="paragraph" w:customStyle="1" w:styleId="134">
    <w:name w:val="列项——（一级）"/>
    <w:qFormat/>
    <w:uiPriority w:val="0"/>
    <w:pPr>
      <w:widowControl w:val="0"/>
      <w:numPr>
        <w:ilvl w:val="0"/>
        <w:numId w:val="11"/>
      </w:numPr>
      <w:jc w:val="both"/>
    </w:pPr>
    <w:rPr>
      <w:rFonts w:ascii="宋体" w:hAnsi="Times New Roman" w:eastAsia="宋体" w:cs="Times New Roman"/>
      <w:color w:val="auto"/>
      <w:sz w:val="21"/>
      <w:szCs w:val="20"/>
      <w:lang w:val="en-US" w:eastAsia="zh-CN" w:bidi="ar-SA"/>
    </w:rPr>
  </w:style>
  <w:style w:type="paragraph" w:customStyle="1" w:styleId="135">
    <w:name w:val="前言、引言标题"/>
    <w:next w:val="46"/>
    <w:qFormat/>
    <w:uiPriority w:val="0"/>
    <w:pPr>
      <w:keepNext/>
      <w:pageBreakBefore/>
      <w:shd w:val="clear" w:color="FFFFFF" w:fill="FFFFFF"/>
      <w:spacing w:before="640" w:after="560"/>
      <w:jc w:val="center"/>
      <w:outlineLvl w:val="0"/>
    </w:pPr>
    <w:rPr>
      <w:rFonts w:ascii="黑体" w:hAnsi="Times New Roman" w:eastAsia="黑体" w:cs="Times New Roman"/>
      <w:color w:val="auto"/>
      <w:sz w:val="32"/>
      <w:szCs w:val="20"/>
      <w:lang w:val="en-US" w:eastAsia="zh-CN" w:bidi="ar-SA"/>
    </w:rPr>
  </w:style>
  <w:style w:type="paragraph" w:customStyle="1" w:styleId="136">
    <w:name w:val="四级无"/>
    <w:basedOn w:val="60"/>
    <w:qFormat/>
    <w:uiPriority w:val="0"/>
    <w:pPr>
      <w:spacing w:before="0" w:beforeLines="0" w:after="0" w:afterLines="0"/>
    </w:pPr>
    <w:rPr>
      <w:rFonts w:ascii="宋体" w:eastAsia="宋体"/>
    </w:rPr>
  </w:style>
  <w:style w:type="paragraph" w:customStyle="1" w:styleId="13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color w:val="auto"/>
      <w:sz w:val="21"/>
      <w:szCs w:val="21"/>
      <w:lang w:val="en-US" w:eastAsia="zh-CN" w:bidi="ar-SA"/>
    </w:rPr>
  </w:style>
  <w:style w:type="paragraph" w:customStyle="1" w:styleId="138">
    <w:name w:val="标准书眉_偶数页"/>
    <w:basedOn w:val="102"/>
    <w:next w:val="1"/>
    <w:qFormat/>
    <w:uiPriority w:val="0"/>
    <w:pPr>
      <w:jc w:val="left"/>
    </w:pPr>
  </w:style>
  <w:style w:type="paragraph" w:customStyle="1" w:styleId="139">
    <w:name w:val="附录表标号"/>
    <w:basedOn w:val="1"/>
    <w:next w:val="46"/>
    <w:qFormat/>
    <w:uiPriority w:val="0"/>
    <w:pPr>
      <w:numPr>
        <w:ilvl w:val="0"/>
        <w:numId w:val="8"/>
      </w:numPr>
      <w:tabs>
        <w:tab w:val="clear" w:pos="0"/>
      </w:tabs>
      <w:spacing w:line="14" w:lineRule="exact"/>
      <w:ind w:left="811" w:hanging="448"/>
      <w:jc w:val="center"/>
      <w:outlineLvl w:val="0"/>
    </w:pPr>
    <w:rPr>
      <w:color w:val="FFFFFF"/>
    </w:rPr>
  </w:style>
  <w:style w:type="paragraph" w:customStyle="1" w:styleId="140">
    <w:name w:val="附录二级无"/>
    <w:basedOn w:val="58"/>
    <w:qFormat/>
    <w:uiPriority w:val="0"/>
    <w:pPr>
      <w:tabs>
        <w:tab w:val="clear" w:pos="360"/>
      </w:tabs>
      <w:spacing w:before="0" w:beforeLines="0" w:after="0" w:afterLines="0"/>
    </w:pPr>
    <w:rPr>
      <w:rFonts w:ascii="宋体" w:eastAsia="宋体"/>
      <w:szCs w:val="21"/>
    </w:rPr>
  </w:style>
  <w:style w:type="paragraph" w:customStyle="1" w:styleId="141">
    <w:name w:val="附录数字编号列项（二级）"/>
    <w:qFormat/>
    <w:uiPriority w:val="0"/>
    <w:pPr>
      <w:numPr>
        <w:ilvl w:val="1"/>
        <w:numId w:val="18"/>
      </w:numPr>
    </w:pPr>
    <w:rPr>
      <w:rFonts w:ascii="宋体" w:hAnsi="Times New Roman" w:eastAsia="宋体" w:cs="Times New Roman"/>
      <w:color w:val="auto"/>
      <w:sz w:val="21"/>
      <w:szCs w:val="20"/>
      <w:lang w:val="en-US" w:eastAsia="zh-CN" w:bidi="ar-SA"/>
    </w:rPr>
  </w:style>
  <w:style w:type="paragraph" w:customStyle="1" w:styleId="14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color w:val="auto"/>
      <w:sz w:val="21"/>
      <w:szCs w:val="21"/>
      <w:lang w:val="en-US" w:eastAsia="zh-CN" w:bidi="ar-SA"/>
    </w:rPr>
  </w:style>
  <w:style w:type="paragraph" w:customStyle="1" w:styleId="143">
    <w:name w:val="附录字母编号列项（一级）"/>
    <w:qFormat/>
    <w:uiPriority w:val="0"/>
    <w:pPr>
      <w:numPr>
        <w:ilvl w:val="0"/>
        <w:numId w:val="18"/>
      </w:numPr>
    </w:pPr>
    <w:rPr>
      <w:rFonts w:ascii="宋体" w:hAnsi="Times New Roman" w:eastAsia="宋体" w:cs="Times New Roman"/>
      <w:color w:val="auto"/>
      <w:sz w:val="21"/>
      <w:szCs w:val="20"/>
      <w:lang w:val="en-US" w:eastAsia="zh-CN" w:bidi="ar-SA"/>
    </w:rPr>
  </w:style>
  <w:style w:type="paragraph" w:customStyle="1" w:styleId="144">
    <w:name w:val="其他标准标志"/>
    <w:basedOn w:val="52"/>
    <w:qFormat/>
    <w:uiPriority w:val="0"/>
    <w:pPr>
      <w:framePr w:w="6101" w:wrap="around" w:vAnchor="page" w:hAnchor="page" w:x="4673" w:y="942"/>
    </w:pPr>
    <w:rPr>
      <w:w w:val="130"/>
    </w:rPr>
  </w:style>
  <w:style w:type="paragraph" w:customStyle="1" w:styleId="145">
    <w:name w:val="一级无"/>
    <w:basedOn w:val="63"/>
    <w:qFormat/>
    <w:uiPriority w:val="0"/>
    <w:pPr>
      <w:spacing w:before="0" w:beforeLines="0" w:after="0" w:afterLines="0"/>
    </w:pPr>
    <w:rPr>
      <w:rFonts w:ascii="宋体" w:eastAsia="宋体"/>
    </w:rPr>
  </w:style>
  <w:style w:type="paragraph" w:customStyle="1" w:styleId="146">
    <w:name w:val="条文脚注"/>
    <w:basedOn w:val="25"/>
    <w:qFormat/>
    <w:uiPriority w:val="0"/>
    <w:pPr>
      <w:numPr>
        <w:numId w:val="0"/>
      </w:numPr>
      <w:jc w:val="both"/>
    </w:pPr>
  </w:style>
  <w:style w:type="paragraph" w:customStyle="1" w:styleId="147">
    <w:name w:val="正文公式编号制表符"/>
    <w:basedOn w:val="46"/>
    <w:next w:val="46"/>
    <w:qFormat/>
    <w:uiPriority w:val="0"/>
    <w:pPr>
      <w:ind w:firstLine="0" w:firstLineChars="0"/>
    </w:pPr>
  </w:style>
  <w:style w:type="paragraph" w:customStyle="1" w:styleId="148">
    <w:name w:val="TOC Heading"/>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149">
    <w:name w:val="fontstyle01"/>
    <w:qFormat/>
    <w:uiPriority w:val="0"/>
    <w:rPr>
      <w:rFonts w:hint="default" w:ascii="TimesNewRomanPSMT" w:hAnsi="TimesNewRomanPSMT"/>
      <w:color w:val="000000"/>
      <w:sz w:val="22"/>
      <w:szCs w:val="22"/>
    </w:rPr>
  </w:style>
  <w:style w:type="character" w:customStyle="1" w:styleId="150">
    <w:name w:val="fontstyle21"/>
    <w:qFormat/>
    <w:uiPriority w:val="0"/>
    <w:rPr>
      <w:rFonts w:hint="default" w:ascii="TimesNewRomanPSMT" w:hAnsi="TimesNewRomanPSMT"/>
      <w:color w:val="000000"/>
      <w:sz w:val="22"/>
      <w:szCs w:val="22"/>
    </w:rPr>
  </w:style>
  <w:style w:type="character" w:customStyle="1" w:styleId="151">
    <w:name w:val="fontstyle11"/>
    <w:qFormat/>
    <w:uiPriority w:val="0"/>
    <w:rPr>
      <w:rFonts w:hint="default" w:ascii="TimesNewRomanPSMT" w:hAnsi="TimesNewRomanPSMT"/>
      <w:color w:val="000000"/>
      <w:sz w:val="22"/>
      <w:szCs w:val="22"/>
    </w:rPr>
  </w:style>
  <w:style w:type="character" w:customStyle="1" w:styleId="152">
    <w:name w:val="fontstyle31"/>
    <w:qFormat/>
    <w:uiPriority w:val="0"/>
    <w:rPr>
      <w:rFonts w:hint="eastAsia" w:ascii="宋体" w:hAnsi="宋体" w:eastAsia="宋体"/>
      <w:color w:val="000000"/>
      <w:sz w:val="22"/>
      <w:szCs w:val="22"/>
    </w:rPr>
  </w:style>
  <w:style w:type="character" w:customStyle="1" w:styleId="153">
    <w:name w:val="批注文字 字符"/>
    <w:basedOn w:val="35"/>
    <w:link w:val="10"/>
    <w:qFormat/>
    <w:uiPriority w:val="0"/>
    <w:rPr>
      <w:rFonts w:cs="Times New Roman"/>
      <w:color w:val="auto"/>
      <w:kern w:val="2"/>
      <w:sz w:val="21"/>
      <w:szCs w:val="24"/>
    </w:rPr>
  </w:style>
  <w:style w:type="character" w:customStyle="1" w:styleId="154">
    <w:name w:val="批注主题 字符"/>
    <w:basedOn w:val="153"/>
    <w:link w:val="32"/>
    <w:qFormat/>
    <w:uiPriority w:val="0"/>
    <w:rPr>
      <w:rFonts w:cs="Times New Roman"/>
      <w:b/>
      <w:bCs/>
      <w:color w:val="auto"/>
      <w:kern w:val="2"/>
      <w:sz w:val="21"/>
      <w:szCs w:val="24"/>
    </w:rPr>
  </w:style>
  <w:style w:type="character" w:customStyle="1" w:styleId="155">
    <w:name w:val="fontstyle51"/>
    <w:qFormat/>
    <w:uiPriority w:val="0"/>
    <w:rPr>
      <w:rFonts w:hint="eastAsia" w:ascii="黑体" w:hAnsi="黑体" w:eastAsia="黑体"/>
      <w:color w:val="000000"/>
      <w:sz w:val="22"/>
      <w:szCs w:val="22"/>
    </w:rPr>
  </w:style>
  <w:style w:type="character" w:customStyle="1" w:styleId="156">
    <w:name w:val="fontstyle61"/>
    <w:qFormat/>
    <w:uiPriority w:val="0"/>
    <w:rPr>
      <w:rFonts w:hint="default" w:ascii="ArialMT" w:hAnsi="ArialMT"/>
      <w:color w:val="000000"/>
      <w:sz w:val="22"/>
      <w:szCs w:val="22"/>
    </w:rPr>
  </w:style>
  <w:style w:type="character" w:customStyle="1" w:styleId="157">
    <w:name w:val="fontstyle41"/>
    <w:qFormat/>
    <w:uiPriority w:val="0"/>
    <w:rPr>
      <w:rFonts w:hint="default" w:ascii="TimesNewRomanPS-ItalicMT" w:hAnsi="TimesNewRomanPS-ItalicMT"/>
      <w:i/>
      <w:iCs/>
      <w:color w:val="000000"/>
      <w:sz w:val="12"/>
      <w:szCs w:val="12"/>
    </w:rPr>
  </w:style>
  <w:style w:type="character" w:customStyle="1" w:styleId="158">
    <w:name w:val="标题 3 字符"/>
    <w:basedOn w:val="35"/>
    <w:link w:val="4"/>
    <w:semiHidden/>
    <w:qFormat/>
    <w:uiPriority w:val="9"/>
    <w:rPr>
      <w:rFonts w:cs="Times New Roman"/>
      <w:b/>
      <w:bCs/>
      <w:color w:val="auto"/>
      <w:kern w:val="2"/>
      <w:sz w:val="32"/>
      <w:szCs w:val="32"/>
    </w:rPr>
  </w:style>
  <w:style w:type="paragraph" w:customStyle="1" w:styleId="159">
    <w:name w:val="Other|1"/>
    <w:basedOn w:val="1"/>
    <w:qFormat/>
    <w:uiPriority w:val="0"/>
    <w:pPr>
      <w:spacing w:line="468" w:lineRule="auto"/>
      <w:ind w:firstLine="400"/>
      <w:jc w:val="left"/>
    </w:pPr>
    <w:rPr>
      <w:rFonts w:ascii="宋体" w:hAnsi="宋体" w:cs="宋体"/>
      <w:color w:val="000000"/>
      <w:kern w:val="0"/>
      <w:sz w:val="28"/>
      <w:szCs w:val="28"/>
      <w:lang w:val="zh-TW" w:eastAsia="zh-TW" w:bidi="zh-TW"/>
    </w:rPr>
  </w:style>
  <w:style w:type="character" w:customStyle="1" w:styleId="160">
    <w:name w:val="标题 2 字符"/>
    <w:basedOn w:val="35"/>
    <w:link w:val="3"/>
    <w:semiHidden/>
    <w:qFormat/>
    <w:uiPriority w:val="9"/>
    <w:rPr>
      <w:rFonts w:asciiTheme="majorHAnsi" w:hAnsiTheme="majorHAnsi" w:eastAsiaTheme="majorEastAsia" w:cstheme="majorBidi"/>
      <w:b/>
      <w:bCs/>
      <w:color w:val="auto"/>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package" Target="embeddings/Microsoft_Visio___1.vsdx"/><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C792DC-D4E8-42D4-B6C2-E2794A5A62C2}">
  <ds:schemaRefs/>
</ds:datastoreItem>
</file>

<file path=docProps/app.xml><?xml version="1.0" encoding="utf-8"?>
<Properties xmlns="http://schemas.openxmlformats.org/officeDocument/2006/extended-properties" xmlns:vt="http://schemas.openxmlformats.org/officeDocument/2006/docPropsVTypes">
  <Template>Normal</Template>
  <Pages>10</Pages>
  <Words>5033</Words>
  <Characters>5500</Characters>
  <Lines>46</Lines>
  <Paragraphs>13</Paragraphs>
  <TotalTime>17</TotalTime>
  <ScaleCrop>false</ScaleCrop>
  <LinksUpToDate>false</LinksUpToDate>
  <CharactersWithSpaces>5634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2023-08-29T07:31:00Z</dcterms:created>
  <dc:creator>qi dan</dc:creator>
  <cp:lastModifiedBy>嗒嘀嗒</cp:lastModifiedBy>
  <dcterms:modified xsi:type="dcterms:W3CDTF">2024-07-15T09:17:33Z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3740B807F1244E859F4A4CC408BE86CB_13</vt:lpwstr>
  </property>
</Properties>
</file>