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00" w:rsidRDefault="003B3B8C">
      <w:pPr>
        <w:jc w:val="center"/>
        <w:rPr>
          <w:rFonts w:ascii="方正小标宋简体" w:eastAsia="方正小标宋简体"/>
          <w:sz w:val="36"/>
          <w:szCs w:val="36"/>
        </w:rPr>
      </w:pPr>
      <w:r w:rsidRPr="002F0B04">
        <w:rPr>
          <w:rFonts w:ascii="方正小标宋简体" w:eastAsia="方正小标宋简体" w:hint="eastAsia"/>
          <w:sz w:val="36"/>
          <w:szCs w:val="36"/>
        </w:rPr>
        <w:t>《</w:t>
      </w:r>
      <w:r w:rsidR="00D10735">
        <w:rPr>
          <w:rFonts w:ascii="方正小标宋简体" w:eastAsia="方正小标宋简体" w:hint="eastAsia"/>
          <w:sz w:val="36"/>
          <w:szCs w:val="36"/>
        </w:rPr>
        <w:t>碱字标  盐碱地鲜米</w:t>
      </w:r>
      <w:r w:rsidRPr="002F0B04">
        <w:rPr>
          <w:rFonts w:ascii="方正小标宋简体" w:eastAsia="方正小标宋简体" w:hint="eastAsia"/>
          <w:sz w:val="36"/>
          <w:szCs w:val="36"/>
        </w:rPr>
        <w:t>》</w:t>
      </w:r>
      <w:r>
        <w:rPr>
          <w:rFonts w:ascii="方正小标宋简体" w:eastAsia="方正小标宋简体" w:hint="eastAsia"/>
          <w:sz w:val="36"/>
          <w:szCs w:val="36"/>
        </w:rPr>
        <w:t>团体标准</w:t>
      </w:r>
    </w:p>
    <w:p w:rsidR="00BA0900" w:rsidRDefault="003B3B8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征求意见稿编制说明</w:t>
      </w:r>
    </w:p>
    <w:p w:rsidR="00BA0900" w:rsidRDefault="00BA0900">
      <w:pPr>
        <w:jc w:val="center"/>
        <w:rPr>
          <w:rFonts w:ascii="方正小标宋简体" w:eastAsia="方正小标宋简体"/>
          <w:sz w:val="36"/>
          <w:szCs w:val="36"/>
        </w:rPr>
      </w:pPr>
    </w:p>
    <w:p w:rsidR="00BA0900" w:rsidRDefault="003B3B8C">
      <w:pPr>
        <w:pStyle w:val="a8"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任务来源</w:t>
      </w:r>
    </w:p>
    <w:p w:rsidR="006A17EF" w:rsidRDefault="0016713C" w:rsidP="006A17EF">
      <w:pPr>
        <w:pStyle w:val="a8"/>
        <w:spacing w:line="360" w:lineRule="auto"/>
        <w:ind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长沙</w:t>
      </w:r>
      <w:r w:rsidR="006A17EF" w:rsidRPr="006A17EF">
        <w:rPr>
          <w:rFonts w:ascii="仿宋_GB2312" w:eastAsia="仿宋_GB2312" w:hAnsiTheme="minorEastAsia" w:hint="eastAsia"/>
          <w:sz w:val="32"/>
          <w:szCs w:val="32"/>
        </w:rPr>
        <w:t>袁梦农业科技有限公司(以下简称:袁梦农业)公司成立于2021年，地处中国（湖南）自由贸易试验区。</w:t>
      </w:r>
    </w:p>
    <w:p w:rsidR="006A17EF" w:rsidRDefault="006A17EF" w:rsidP="006A17EF">
      <w:pPr>
        <w:pStyle w:val="a8"/>
        <w:spacing w:line="360" w:lineRule="auto"/>
        <w:ind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6A17EF">
        <w:rPr>
          <w:rFonts w:ascii="仿宋_GB2312" w:eastAsia="仿宋_GB2312" w:hAnsiTheme="minorEastAsia" w:hint="eastAsia"/>
          <w:sz w:val="32"/>
          <w:szCs w:val="32"/>
        </w:rPr>
        <w:t>袁梦农业秉承袁老遗志，依托国家耐盐碱水稻产业联合会，集合国际优势资源，专注于耐盐碱水稻产业化开发、耐盐碱综合利用技术推广和应用，为坚守耕地红线，保障国家粮食安全，实施“藏粮于地、藏粮于技”战略提供产业化探索与支持。</w:t>
      </w:r>
      <w:r>
        <w:rPr>
          <w:rFonts w:ascii="仿宋_GB2312" w:eastAsia="仿宋_GB2312" w:hAnsiTheme="minorEastAsia" w:hint="eastAsia"/>
          <w:sz w:val="32"/>
          <w:szCs w:val="32"/>
        </w:rPr>
        <w:t>立足于盐碱地产品的开发、销售及产业服务，</w:t>
      </w:r>
      <w:r w:rsidR="00333839">
        <w:rPr>
          <w:rFonts w:ascii="仿宋_GB2312" w:eastAsia="仿宋_GB2312" w:hAnsiTheme="minorEastAsia" w:hint="eastAsia"/>
          <w:sz w:val="32"/>
          <w:szCs w:val="32"/>
        </w:rPr>
        <w:t>打造耐盐碱水稻产业化服务领导品牌</w:t>
      </w:r>
      <w:r w:rsidR="00D03629">
        <w:rPr>
          <w:rFonts w:ascii="仿宋_GB2312" w:eastAsia="仿宋_GB2312" w:hAnsiTheme="minorEastAsia" w:hint="eastAsia"/>
          <w:sz w:val="32"/>
          <w:szCs w:val="32"/>
        </w:rPr>
        <w:t>，为</w:t>
      </w:r>
      <w:r w:rsidR="00D03629" w:rsidRPr="00D03629">
        <w:rPr>
          <w:rFonts w:ascii="仿宋_GB2312" w:eastAsia="仿宋_GB2312" w:hAnsiTheme="minorEastAsia" w:hint="eastAsia"/>
          <w:sz w:val="32"/>
          <w:szCs w:val="32"/>
        </w:rPr>
        <w:t>亿亩荒滩变粮仓</w:t>
      </w:r>
      <w:r w:rsidR="00D03629">
        <w:rPr>
          <w:rFonts w:ascii="仿宋_GB2312" w:eastAsia="仿宋_GB2312" w:hAnsiTheme="minorEastAsia" w:hint="eastAsia"/>
          <w:sz w:val="32"/>
          <w:szCs w:val="32"/>
        </w:rPr>
        <w:t>提供技术支撑。</w:t>
      </w:r>
    </w:p>
    <w:p w:rsidR="00BA0900" w:rsidRDefault="000C6DE9" w:rsidP="000C6DE9">
      <w:pPr>
        <w:pStyle w:val="a8"/>
        <w:spacing w:line="360" w:lineRule="auto"/>
        <w:ind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近年来，盐碱地产出的大米展现出良好的市场潜力，为规范和保障盐碱地大米</w:t>
      </w:r>
      <w:r w:rsidR="007F3644">
        <w:rPr>
          <w:rFonts w:ascii="仿宋_GB2312" w:eastAsia="仿宋_GB2312" w:hAnsiTheme="minorEastAsia" w:hint="eastAsia"/>
          <w:sz w:val="32"/>
          <w:szCs w:val="32"/>
        </w:rPr>
        <w:t>产品</w:t>
      </w:r>
      <w:r>
        <w:rPr>
          <w:rFonts w:ascii="仿宋_GB2312" w:eastAsia="仿宋_GB2312" w:hAnsiTheme="minorEastAsia" w:hint="eastAsia"/>
          <w:sz w:val="32"/>
          <w:szCs w:val="32"/>
        </w:rPr>
        <w:t>的质量与品质，</w:t>
      </w:r>
      <w:r w:rsidR="007F3644">
        <w:rPr>
          <w:rFonts w:ascii="仿宋_GB2312" w:eastAsia="仿宋_GB2312" w:hAnsiTheme="minorEastAsia" w:hint="eastAsia"/>
          <w:sz w:val="32"/>
          <w:szCs w:val="32"/>
        </w:rPr>
        <w:t>维护消费者权益，树立盐碱地大米品牌标杆，</w:t>
      </w:r>
      <w:r w:rsidR="003B3B8C">
        <w:rPr>
          <w:rFonts w:ascii="仿宋_GB2312" w:eastAsia="仿宋_GB2312" w:hAnsiTheme="minorEastAsia" w:hint="eastAsia"/>
          <w:sz w:val="32"/>
          <w:szCs w:val="32"/>
        </w:rPr>
        <w:t>202</w:t>
      </w:r>
      <w:r w:rsidR="00BF495A">
        <w:rPr>
          <w:rFonts w:ascii="仿宋_GB2312" w:eastAsia="仿宋_GB2312" w:hAnsiTheme="minorEastAsia" w:hint="eastAsia"/>
          <w:sz w:val="32"/>
          <w:szCs w:val="32"/>
        </w:rPr>
        <w:t>4</w:t>
      </w:r>
      <w:r w:rsidR="003B3B8C">
        <w:rPr>
          <w:rFonts w:ascii="仿宋_GB2312" w:eastAsia="仿宋_GB2312" w:hAnsiTheme="minorEastAsia" w:hint="eastAsia"/>
          <w:sz w:val="32"/>
          <w:szCs w:val="32"/>
        </w:rPr>
        <w:t>年</w:t>
      </w:r>
      <w:r w:rsidR="00BF495A">
        <w:rPr>
          <w:rFonts w:ascii="仿宋_GB2312" w:eastAsia="仿宋_GB2312" w:hAnsiTheme="minorEastAsia" w:hint="eastAsia"/>
          <w:sz w:val="32"/>
          <w:szCs w:val="32"/>
        </w:rPr>
        <w:t>5</w:t>
      </w:r>
      <w:r w:rsidR="003B3B8C">
        <w:rPr>
          <w:rFonts w:ascii="仿宋_GB2312" w:eastAsia="仿宋_GB2312" w:hAnsiTheme="minorEastAsia" w:hint="eastAsia"/>
          <w:sz w:val="32"/>
          <w:szCs w:val="32"/>
        </w:rPr>
        <w:t>月，</w:t>
      </w:r>
      <w:r w:rsidR="00BF495A">
        <w:rPr>
          <w:rFonts w:ascii="仿宋_GB2312" w:eastAsia="仿宋_GB2312" w:hAnsiTheme="minorEastAsia" w:hint="eastAsia"/>
          <w:sz w:val="32"/>
          <w:szCs w:val="32"/>
        </w:rPr>
        <w:t>袁梦农业</w:t>
      </w:r>
      <w:r w:rsidR="003B3B8C">
        <w:rPr>
          <w:rFonts w:ascii="仿宋_GB2312" w:eastAsia="仿宋_GB2312" w:hAnsiTheme="minorEastAsia" w:hint="eastAsia"/>
          <w:sz w:val="32"/>
          <w:szCs w:val="32"/>
        </w:rPr>
        <w:t>提出了</w:t>
      </w:r>
      <w:r w:rsidR="00BF495A">
        <w:rPr>
          <w:rFonts w:ascii="仿宋_GB2312" w:eastAsia="仿宋_GB2312" w:hAnsiTheme="minorEastAsia" w:hint="eastAsia"/>
          <w:sz w:val="32"/>
          <w:szCs w:val="32"/>
        </w:rPr>
        <w:t>研制</w:t>
      </w:r>
      <w:r w:rsidR="003B3B8C">
        <w:rPr>
          <w:rFonts w:ascii="仿宋_GB2312" w:eastAsia="仿宋_GB2312" w:hAnsiTheme="minorEastAsia" w:hint="eastAsia"/>
          <w:sz w:val="32"/>
          <w:szCs w:val="32"/>
        </w:rPr>
        <w:t>《</w:t>
      </w:r>
      <w:r w:rsidR="00BF495A">
        <w:rPr>
          <w:rFonts w:ascii="仿宋_GB2312" w:eastAsia="仿宋_GB2312" w:hAnsiTheme="minorEastAsia" w:hint="eastAsia"/>
          <w:sz w:val="32"/>
          <w:szCs w:val="32"/>
        </w:rPr>
        <w:t>碱字标  盐碱地鲜米</w:t>
      </w:r>
      <w:r w:rsidR="003B3B8C">
        <w:rPr>
          <w:rFonts w:ascii="仿宋_GB2312" w:eastAsia="仿宋_GB2312" w:hAnsiTheme="minorEastAsia" w:hint="eastAsia"/>
          <w:sz w:val="32"/>
          <w:szCs w:val="32"/>
        </w:rPr>
        <w:t>》团体标准的想法，并进行了相关资料</w:t>
      </w:r>
      <w:r w:rsidR="00BF495A">
        <w:rPr>
          <w:rFonts w:ascii="仿宋_GB2312" w:eastAsia="仿宋_GB2312" w:hAnsiTheme="minorEastAsia" w:hint="eastAsia"/>
          <w:sz w:val="32"/>
          <w:szCs w:val="32"/>
        </w:rPr>
        <w:t>、数据</w:t>
      </w:r>
      <w:r w:rsidR="003B3B8C">
        <w:rPr>
          <w:rFonts w:ascii="仿宋_GB2312" w:eastAsia="仿宋_GB2312" w:hAnsiTheme="minorEastAsia" w:hint="eastAsia"/>
          <w:sz w:val="32"/>
          <w:szCs w:val="32"/>
        </w:rPr>
        <w:t>的收集整理，202</w:t>
      </w:r>
      <w:r w:rsidR="00BF495A">
        <w:rPr>
          <w:rFonts w:ascii="仿宋_GB2312" w:eastAsia="仿宋_GB2312" w:hAnsiTheme="minorEastAsia" w:hint="eastAsia"/>
          <w:sz w:val="32"/>
          <w:szCs w:val="32"/>
        </w:rPr>
        <w:t>4</w:t>
      </w:r>
      <w:r w:rsidR="003B3B8C">
        <w:rPr>
          <w:rFonts w:ascii="仿宋_GB2312" w:eastAsia="仿宋_GB2312" w:hAnsiTheme="minorEastAsia" w:hint="eastAsia"/>
          <w:sz w:val="32"/>
          <w:szCs w:val="32"/>
        </w:rPr>
        <w:t>年</w:t>
      </w:r>
      <w:r w:rsidR="00BF495A">
        <w:rPr>
          <w:rFonts w:ascii="仿宋_GB2312" w:eastAsia="仿宋_GB2312" w:hAnsiTheme="minorEastAsia" w:hint="eastAsia"/>
          <w:sz w:val="32"/>
          <w:szCs w:val="32"/>
        </w:rPr>
        <w:t>6</w:t>
      </w:r>
      <w:r w:rsidR="003B3B8C">
        <w:rPr>
          <w:rFonts w:ascii="仿宋_GB2312" w:eastAsia="仿宋_GB2312" w:hAnsiTheme="minorEastAsia" w:hint="eastAsia"/>
          <w:sz w:val="32"/>
          <w:szCs w:val="32"/>
        </w:rPr>
        <w:t>月</w:t>
      </w:r>
      <w:r w:rsidR="00BF495A">
        <w:rPr>
          <w:rFonts w:ascii="仿宋_GB2312" w:eastAsia="仿宋_GB2312" w:hAnsiTheme="minorEastAsia" w:hint="eastAsia"/>
          <w:sz w:val="32"/>
          <w:szCs w:val="32"/>
        </w:rPr>
        <w:t>13</w:t>
      </w:r>
      <w:r w:rsidR="003B3B8C">
        <w:rPr>
          <w:rFonts w:ascii="仿宋_GB2312" w:eastAsia="仿宋_GB2312" w:hAnsiTheme="minorEastAsia" w:hint="eastAsia"/>
          <w:sz w:val="32"/>
          <w:szCs w:val="32"/>
        </w:rPr>
        <w:t>日经专家评审，成功立项。</w:t>
      </w:r>
    </w:p>
    <w:p w:rsidR="00BA0900" w:rsidRDefault="003B3B8C">
      <w:pPr>
        <w:pStyle w:val="a8"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制定标准的必要性与意义</w:t>
      </w:r>
    </w:p>
    <w:p w:rsidR="00782027" w:rsidRDefault="00782027" w:rsidP="00782027">
      <w:pPr>
        <w:pStyle w:val="a8"/>
        <w:spacing w:line="360" w:lineRule="auto"/>
        <w:ind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782027">
        <w:rPr>
          <w:rFonts w:ascii="仿宋_GB2312" w:eastAsia="仿宋_GB2312" w:hAnsiTheme="minorEastAsia" w:hint="eastAsia"/>
          <w:sz w:val="32"/>
          <w:szCs w:val="32"/>
        </w:rPr>
        <w:t>我国是全球第三大盐碱地分布国家，我国目前拥有各类</w:t>
      </w:r>
      <w:r w:rsidRPr="00782027">
        <w:rPr>
          <w:rFonts w:ascii="仿宋_GB2312" w:eastAsia="仿宋_GB2312" w:hAnsiTheme="minorEastAsia" w:hint="eastAsia"/>
          <w:sz w:val="32"/>
          <w:szCs w:val="32"/>
        </w:rPr>
        <w:lastRenderedPageBreak/>
        <w:t>可利用盐碱地资源约5亿多亩，其中具有农业利用前景的盐碱地总面积1.85亿亩（2023</w:t>
      </w:r>
      <w:r>
        <w:rPr>
          <w:rFonts w:ascii="仿宋_GB2312" w:eastAsia="仿宋_GB2312" w:hAnsiTheme="minorEastAsia" w:hint="eastAsia"/>
          <w:sz w:val="32"/>
          <w:szCs w:val="32"/>
        </w:rPr>
        <w:t>年），是重要的后备耕地资源</w:t>
      </w:r>
    </w:p>
    <w:p w:rsidR="00850AFE" w:rsidRDefault="00782027" w:rsidP="00850AFE">
      <w:pPr>
        <w:pStyle w:val="a8"/>
        <w:spacing w:line="360" w:lineRule="auto"/>
        <w:ind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782027">
        <w:rPr>
          <w:rFonts w:ascii="仿宋_GB2312" w:eastAsia="仿宋_GB2312" w:hAnsiTheme="minorEastAsia" w:hint="eastAsia"/>
          <w:sz w:val="32"/>
          <w:szCs w:val="32"/>
        </w:rPr>
        <w:t>耕地是粮食生产的载体，是国家粮食安全的根本保障，鉴于我国盐碱地面积大，耕地资源紧张的现状，培育并推广耐高盐碱度的耐盐碱水稻，使海边大面积不长植物的盐碱地和滩涂成为耕地，对粮食短缺、缓解土地资源短缺、保障粮食安全等方面具有重要意义。</w:t>
      </w:r>
      <w:r w:rsidR="00924413">
        <w:rPr>
          <w:rFonts w:ascii="仿宋_GB2312" w:eastAsia="仿宋_GB2312" w:hAnsiTheme="minorEastAsia" w:hint="eastAsia"/>
          <w:sz w:val="32"/>
          <w:szCs w:val="32"/>
        </w:rPr>
        <w:t>开展盐碱地鲜米标准</w:t>
      </w:r>
      <w:r w:rsidR="007E34E7">
        <w:rPr>
          <w:rFonts w:ascii="仿宋_GB2312" w:eastAsia="仿宋_GB2312" w:hAnsiTheme="minorEastAsia" w:hint="eastAsia"/>
          <w:sz w:val="32"/>
          <w:szCs w:val="32"/>
        </w:rPr>
        <w:t>研制</w:t>
      </w:r>
      <w:r w:rsidR="00924413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850AFE" w:rsidRDefault="00782027" w:rsidP="00850AFE">
      <w:pPr>
        <w:pStyle w:val="a8"/>
        <w:spacing w:line="360" w:lineRule="auto"/>
        <w:ind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782027">
        <w:rPr>
          <w:rFonts w:ascii="仿宋_GB2312" w:eastAsia="仿宋_GB2312" w:hAnsiTheme="minorEastAsia" w:hint="eastAsia"/>
          <w:sz w:val="32"/>
          <w:szCs w:val="32"/>
        </w:rPr>
        <w:t>是促进粮食产能提升的重要举措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  <w:r w:rsidRPr="00782027">
        <w:rPr>
          <w:rFonts w:ascii="仿宋_GB2312" w:eastAsia="仿宋_GB2312" w:hAnsiTheme="minorEastAsia" w:hint="eastAsia"/>
          <w:sz w:val="32"/>
          <w:szCs w:val="32"/>
        </w:rPr>
        <w:t>以盐碱地大米产品指标为核心，将优秀的土壤改良技术、盐碱地水稻栽培技术进行成果转化，通过标准化宣传推广，增加粮食产能。</w:t>
      </w:r>
    </w:p>
    <w:p w:rsidR="00850AFE" w:rsidRDefault="00782027" w:rsidP="00782027">
      <w:pPr>
        <w:pStyle w:val="a8"/>
        <w:spacing w:line="360" w:lineRule="auto"/>
        <w:ind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782027">
        <w:rPr>
          <w:rFonts w:ascii="仿宋_GB2312" w:eastAsia="仿宋_GB2312" w:hAnsiTheme="minorEastAsia" w:hint="eastAsia"/>
          <w:sz w:val="32"/>
          <w:szCs w:val="32"/>
        </w:rPr>
        <w:t>是推动盐碱地综合利用的重要抓手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  <w:r w:rsidRPr="00782027">
        <w:rPr>
          <w:rFonts w:ascii="仿宋_GB2312" w:eastAsia="仿宋_GB2312" w:hAnsiTheme="minorEastAsia" w:hint="eastAsia"/>
          <w:sz w:val="32"/>
          <w:szCs w:val="32"/>
        </w:rPr>
        <w:t>促进盐碱地土壤改良技术、耐盐碱水稻品种选育、耐盐碱水稻种植技术等的协同研究，以大米产品标</w:t>
      </w:r>
      <w:r w:rsidR="00850AFE">
        <w:rPr>
          <w:rFonts w:ascii="仿宋_GB2312" w:eastAsia="仿宋_GB2312" w:hAnsiTheme="minorEastAsia" w:hint="eastAsia"/>
          <w:sz w:val="32"/>
          <w:szCs w:val="32"/>
        </w:rPr>
        <w:t>准推动耐盐碱地改良的技术标准化，有力有序有效推动盐碱地综合利用。</w:t>
      </w:r>
    </w:p>
    <w:p w:rsidR="00782027" w:rsidRPr="00782027" w:rsidRDefault="00782027" w:rsidP="00782027">
      <w:pPr>
        <w:pStyle w:val="a8"/>
        <w:spacing w:line="360" w:lineRule="auto"/>
        <w:ind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782027">
        <w:rPr>
          <w:rFonts w:ascii="仿宋_GB2312" w:eastAsia="仿宋_GB2312" w:hAnsiTheme="minorEastAsia" w:hint="eastAsia"/>
          <w:sz w:val="32"/>
          <w:szCs w:val="32"/>
        </w:rPr>
        <w:t>是保障粮食质量安全的重要手段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  <w:r w:rsidRPr="00782027">
        <w:rPr>
          <w:rFonts w:ascii="仿宋_GB2312" w:eastAsia="仿宋_GB2312" w:hAnsiTheme="minorEastAsia" w:hint="eastAsia"/>
          <w:sz w:val="32"/>
          <w:szCs w:val="32"/>
        </w:rPr>
        <w:t>规定产品需要满足的指标及要求，规范盐碱地鲜米质量，为耐盐碱水稻行业</w:t>
      </w:r>
      <w:r w:rsidR="009464F6">
        <w:rPr>
          <w:rFonts w:ascii="仿宋_GB2312" w:eastAsia="仿宋_GB2312" w:hAnsiTheme="minorEastAsia" w:hint="eastAsia"/>
          <w:sz w:val="32"/>
          <w:szCs w:val="32"/>
        </w:rPr>
        <w:t>产品准确评定提供依据，为打击假冒伪劣盐碱地大米产品提供参考，也</w:t>
      </w:r>
      <w:r w:rsidRPr="00782027">
        <w:rPr>
          <w:rFonts w:ascii="仿宋_GB2312" w:eastAsia="仿宋_GB2312" w:hAnsiTheme="minorEastAsia" w:hint="eastAsia"/>
          <w:sz w:val="32"/>
          <w:szCs w:val="32"/>
        </w:rPr>
        <w:t>为盐碱地大米产品树立品牌标杆、行业权威提供基础。</w:t>
      </w:r>
    </w:p>
    <w:p w:rsidR="00BA0900" w:rsidRDefault="003B3B8C">
      <w:pPr>
        <w:pStyle w:val="a8"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主要起草过程</w:t>
      </w:r>
    </w:p>
    <w:p w:rsidR="00BA0900" w:rsidRDefault="003B3B8C">
      <w:pPr>
        <w:pStyle w:val="a8"/>
        <w:numPr>
          <w:ilvl w:val="0"/>
          <w:numId w:val="3"/>
        </w:numPr>
        <w:spacing w:afterLines="50" w:after="156"/>
        <w:ind w:left="1797" w:firstLineChars="0" w:hanging="1077"/>
        <w:jc w:val="left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前期标准预研</w:t>
      </w:r>
    </w:p>
    <w:p w:rsidR="00BA0900" w:rsidRDefault="003B3B8C">
      <w:pPr>
        <w:pStyle w:val="a8"/>
        <w:spacing w:line="360" w:lineRule="auto"/>
        <w:ind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20</w:t>
      </w:r>
      <w:r w:rsidR="0016713C">
        <w:rPr>
          <w:rFonts w:ascii="仿宋_GB2312" w:eastAsia="仿宋_GB2312" w:hAnsiTheme="minorEastAsia" w:hint="eastAsia"/>
          <w:sz w:val="32"/>
          <w:szCs w:val="32"/>
        </w:rPr>
        <w:t>24</w:t>
      </w:r>
      <w:r>
        <w:rPr>
          <w:rFonts w:ascii="仿宋_GB2312" w:eastAsia="仿宋_GB2312" w:hAnsiTheme="minorEastAsia" w:hint="eastAsia"/>
          <w:sz w:val="32"/>
          <w:szCs w:val="32"/>
        </w:rPr>
        <w:t>年</w:t>
      </w:r>
      <w:r w:rsidR="00FD6B87">
        <w:rPr>
          <w:rFonts w:ascii="仿宋_GB2312" w:eastAsia="仿宋_GB2312" w:hAnsiTheme="minorEastAsia" w:hint="eastAsia"/>
          <w:sz w:val="32"/>
          <w:szCs w:val="32"/>
        </w:rPr>
        <w:t>5</w:t>
      </w:r>
      <w:r>
        <w:rPr>
          <w:rFonts w:ascii="仿宋_GB2312" w:eastAsia="仿宋_GB2312" w:hAnsiTheme="minorEastAsia" w:hint="eastAsia"/>
          <w:sz w:val="32"/>
          <w:szCs w:val="32"/>
        </w:rPr>
        <w:t>月，由</w:t>
      </w:r>
      <w:r w:rsidR="0016713C">
        <w:rPr>
          <w:rFonts w:ascii="仿宋_GB2312" w:eastAsia="仿宋_GB2312" w:hAnsiTheme="minorEastAsia" w:hint="eastAsia"/>
          <w:sz w:val="32"/>
          <w:szCs w:val="32"/>
        </w:rPr>
        <w:t>袁梦农业</w:t>
      </w:r>
      <w:r w:rsidR="00DA6AE0">
        <w:rPr>
          <w:rFonts w:ascii="仿宋_GB2312" w:eastAsia="仿宋_GB2312" w:hAnsiTheme="minorEastAsia" w:hint="eastAsia"/>
          <w:sz w:val="32"/>
          <w:szCs w:val="32"/>
        </w:rPr>
        <w:t>、国家耐盐碱水稻技术创新中</w:t>
      </w:r>
      <w:r w:rsidR="00DA6AE0">
        <w:rPr>
          <w:rFonts w:ascii="仿宋_GB2312" w:eastAsia="仿宋_GB2312" w:hAnsiTheme="minorEastAsia" w:hint="eastAsia"/>
          <w:sz w:val="32"/>
          <w:szCs w:val="32"/>
        </w:rPr>
        <w:lastRenderedPageBreak/>
        <w:t>心、</w:t>
      </w:r>
      <w:r>
        <w:rPr>
          <w:rFonts w:ascii="仿宋_GB2312" w:eastAsia="仿宋_GB2312" w:hAnsiTheme="minorEastAsia" w:hint="eastAsia"/>
          <w:sz w:val="32"/>
          <w:szCs w:val="32"/>
        </w:rPr>
        <w:t>希而思共同组织工作组开展前期资料收集与研究工作，通过对文献及相关标准检索查新，梳理</w:t>
      </w:r>
      <w:r w:rsidR="00ED4289">
        <w:rPr>
          <w:rFonts w:ascii="仿宋_GB2312" w:eastAsia="仿宋_GB2312" w:hAnsiTheme="minorEastAsia" w:hint="eastAsia"/>
          <w:sz w:val="32"/>
          <w:szCs w:val="32"/>
        </w:rPr>
        <w:t>盐碱地大米产品标准</w:t>
      </w:r>
      <w:r>
        <w:rPr>
          <w:rFonts w:ascii="仿宋_GB2312" w:eastAsia="仿宋_GB2312" w:hAnsiTheme="minorEastAsia" w:hint="eastAsia"/>
          <w:sz w:val="32"/>
          <w:szCs w:val="32"/>
        </w:rPr>
        <w:t>的建设情况，</w:t>
      </w:r>
      <w:r w:rsidR="00FD6B87">
        <w:rPr>
          <w:rFonts w:ascii="仿宋_GB2312" w:eastAsia="仿宋_GB2312" w:hAnsiTheme="minorEastAsia" w:hint="eastAsia"/>
          <w:sz w:val="32"/>
          <w:szCs w:val="32"/>
        </w:rPr>
        <w:t>多方沟通及讨论，</w:t>
      </w:r>
      <w:r>
        <w:rPr>
          <w:rFonts w:ascii="仿宋_GB2312" w:eastAsia="仿宋_GB2312" w:hAnsiTheme="minorEastAsia" w:hint="eastAsia"/>
          <w:sz w:val="32"/>
          <w:szCs w:val="32"/>
        </w:rPr>
        <w:t>拟定了标准框架及草案内容。</w:t>
      </w:r>
    </w:p>
    <w:p w:rsidR="00FD6B87" w:rsidRPr="00C22BF2" w:rsidRDefault="00FD6B87" w:rsidP="00C22BF2">
      <w:pPr>
        <w:pStyle w:val="a8"/>
        <w:spacing w:line="360" w:lineRule="auto"/>
        <w:ind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标准工作组讨论并确定了标准的适用范围、框架及关键技术要求，填写了团体标准制修订立项申请书，向长沙市标准化协会提交立项申请。</w:t>
      </w:r>
    </w:p>
    <w:p w:rsidR="00BA0900" w:rsidRDefault="003B3B8C">
      <w:pPr>
        <w:pStyle w:val="a8"/>
        <w:numPr>
          <w:ilvl w:val="0"/>
          <w:numId w:val="3"/>
        </w:numPr>
        <w:spacing w:afterLines="50" w:after="156"/>
        <w:ind w:left="1797" w:firstLineChars="0" w:hanging="1077"/>
        <w:jc w:val="left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标准立项</w:t>
      </w:r>
    </w:p>
    <w:p w:rsidR="00BA0900" w:rsidRDefault="003B3B8C">
      <w:pPr>
        <w:pStyle w:val="a8"/>
        <w:spacing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202</w:t>
      </w:r>
      <w:r w:rsidR="00C22BF2">
        <w:rPr>
          <w:rFonts w:ascii="仿宋_GB2312" w:eastAsia="仿宋_GB2312" w:hAnsiTheme="minorEastAsia" w:hint="eastAsia"/>
          <w:sz w:val="32"/>
          <w:szCs w:val="32"/>
        </w:rPr>
        <w:t>4</w:t>
      </w:r>
      <w:r>
        <w:rPr>
          <w:rFonts w:ascii="仿宋_GB2312" w:eastAsia="仿宋_GB2312" w:hAnsiTheme="minorEastAsia" w:hint="eastAsia"/>
          <w:sz w:val="32"/>
          <w:szCs w:val="32"/>
        </w:rPr>
        <w:t>年</w:t>
      </w:r>
      <w:r w:rsidR="00C22BF2">
        <w:rPr>
          <w:rFonts w:ascii="仿宋_GB2312" w:eastAsia="仿宋_GB2312" w:hAnsiTheme="minorEastAsia" w:hint="eastAsia"/>
          <w:sz w:val="32"/>
          <w:szCs w:val="32"/>
        </w:rPr>
        <w:t>6</w:t>
      </w:r>
      <w:r>
        <w:rPr>
          <w:rFonts w:ascii="仿宋_GB2312" w:eastAsia="仿宋_GB2312" w:hAnsiTheme="minorEastAsia" w:hint="eastAsia"/>
          <w:sz w:val="32"/>
          <w:szCs w:val="32"/>
        </w:rPr>
        <w:t>月</w:t>
      </w:r>
      <w:r w:rsidR="00C22BF2">
        <w:rPr>
          <w:rFonts w:ascii="仿宋_GB2312" w:eastAsia="仿宋_GB2312" w:hAnsiTheme="minorEastAsia" w:hint="eastAsia"/>
          <w:sz w:val="32"/>
          <w:szCs w:val="32"/>
        </w:rPr>
        <w:t>13</w:t>
      </w:r>
      <w:r>
        <w:rPr>
          <w:rFonts w:ascii="仿宋_GB2312" w:eastAsia="仿宋_GB2312" w:hAnsiTheme="minorEastAsia" w:hint="eastAsia"/>
          <w:sz w:val="32"/>
          <w:szCs w:val="32"/>
        </w:rPr>
        <w:t>日</w:t>
      </w:r>
      <w:r w:rsidR="00C22BF2">
        <w:rPr>
          <w:rFonts w:ascii="仿宋_GB2312" w:eastAsia="仿宋_GB2312" w:hAnsiTheme="minorEastAsia" w:hint="eastAsia"/>
          <w:sz w:val="32"/>
          <w:szCs w:val="32"/>
        </w:rPr>
        <w:t>，</w:t>
      </w:r>
      <w:r w:rsidR="00D374B0">
        <w:rPr>
          <w:rFonts w:ascii="仿宋_GB2312" w:eastAsia="仿宋_GB2312" w:hAnsiTheme="minorEastAsia" w:hint="eastAsia"/>
          <w:sz w:val="32"/>
          <w:szCs w:val="32"/>
        </w:rPr>
        <w:t>长沙市标准化协会组织专家召开</w:t>
      </w:r>
      <w:r>
        <w:rPr>
          <w:rFonts w:ascii="仿宋_GB2312" w:eastAsia="仿宋_GB2312" w:hAnsiTheme="minorEastAsia" w:hint="eastAsia"/>
          <w:sz w:val="32"/>
          <w:szCs w:val="32"/>
        </w:rPr>
        <w:t>立项评审会</w:t>
      </w:r>
      <w:r w:rsidR="00D374B0">
        <w:rPr>
          <w:rFonts w:ascii="仿宋_GB2312" w:eastAsia="仿宋_GB2312" w:hAnsiTheme="minorEastAsia" w:hint="eastAsia"/>
          <w:sz w:val="32"/>
          <w:szCs w:val="32"/>
        </w:rPr>
        <w:t>，会上</w:t>
      </w:r>
      <w:r>
        <w:rPr>
          <w:rFonts w:ascii="仿宋_GB2312" w:eastAsia="仿宋_GB2312" w:hAnsiTheme="minorEastAsia" w:hint="eastAsia"/>
          <w:sz w:val="32"/>
          <w:szCs w:val="32"/>
        </w:rPr>
        <w:t>专家组成员对标准立项的可行性、必要性、先进性等进行评审</w:t>
      </w:r>
      <w:r w:rsidR="00BF42FF">
        <w:rPr>
          <w:rFonts w:ascii="仿宋_GB2312" w:eastAsia="仿宋_GB2312" w:hAnsiTheme="minorEastAsia" w:hint="eastAsia"/>
          <w:sz w:val="32"/>
          <w:szCs w:val="32"/>
        </w:rPr>
        <w:t>，同时对标准草案进行讨论并给出建设性的意见。专家组</w:t>
      </w:r>
      <w:r w:rsidR="00D374B0">
        <w:rPr>
          <w:rFonts w:ascii="仿宋_GB2312" w:eastAsia="仿宋_GB2312" w:hAnsiTheme="minorEastAsia" w:hint="eastAsia"/>
          <w:sz w:val="32"/>
          <w:szCs w:val="32"/>
        </w:rPr>
        <w:t>认为该项目符合国家粮食产业发展需求，前期工作基础扎实，技术内容和方案可行</w:t>
      </w:r>
      <w:r w:rsidR="00BF42FF">
        <w:rPr>
          <w:rFonts w:ascii="仿宋_GB2312" w:eastAsia="仿宋_GB2312" w:hAnsiTheme="minorEastAsia" w:hint="eastAsia"/>
          <w:sz w:val="32"/>
          <w:szCs w:val="32"/>
        </w:rPr>
        <w:t>，一致同意该项目</w:t>
      </w:r>
      <w:r w:rsidR="00D374B0">
        <w:rPr>
          <w:rFonts w:ascii="仿宋_GB2312" w:eastAsia="仿宋_GB2312" w:hAnsiTheme="minorEastAsia" w:hint="eastAsia"/>
          <w:sz w:val="32"/>
          <w:szCs w:val="32"/>
        </w:rPr>
        <w:t>立项。</w:t>
      </w:r>
    </w:p>
    <w:p w:rsidR="00BA0900" w:rsidRDefault="003B3B8C">
      <w:pPr>
        <w:pStyle w:val="a8"/>
        <w:numPr>
          <w:ilvl w:val="0"/>
          <w:numId w:val="3"/>
        </w:numPr>
        <w:spacing w:afterLines="50" w:after="156"/>
        <w:ind w:left="1797" w:firstLineChars="0" w:hanging="1077"/>
        <w:jc w:val="left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标准起草过程</w:t>
      </w:r>
    </w:p>
    <w:p w:rsidR="004244A3" w:rsidRDefault="003B3B8C">
      <w:pPr>
        <w:pStyle w:val="a8"/>
        <w:spacing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立项之后，</w:t>
      </w:r>
      <w:r w:rsidR="00661D98">
        <w:rPr>
          <w:rFonts w:ascii="仿宋_GB2312" w:eastAsia="仿宋_GB2312" w:hAnsiTheme="minorEastAsia" w:hint="eastAsia"/>
          <w:sz w:val="32"/>
          <w:szCs w:val="32"/>
        </w:rPr>
        <w:t>项目小组根据立项评审会专家意见，</w:t>
      </w:r>
      <w:r w:rsidR="00144193">
        <w:rPr>
          <w:rFonts w:ascii="仿宋_GB2312" w:eastAsia="仿宋_GB2312" w:hAnsiTheme="minorEastAsia" w:hint="eastAsia"/>
          <w:sz w:val="32"/>
          <w:szCs w:val="32"/>
        </w:rPr>
        <w:t>为使标准更具有符合性、充分性和有效性，</w:t>
      </w:r>
      <w:r w:rsidR="00661D98">
        <w:rPr>
          <w:rFonts w:ascii="仿宋_GB2312" w:eastAsia="仿宋_GB2312" w:hAnsiTheme="minorEastAsia" w:hint="eastAsia"/>
          <w:sz w:val="32"/>
          <w:szCs w:val="32"/>
        </w:rPr>
        <w:t>结合相关标准及文献资料，</w:t>
      </w:r>
      <w:r w:rsidR="00144193">
        <w:rPr>
          <w:rFonts w:ascii="仿宋_GB2312" w:eastAsia="仿宋_GB2312" w:hAnsiTheme="minorEastAsia" w:hint="eastAsia"/>
          <w:sz w:val="32"/>
          <w:szCs w:val="32"/>
        </w:rPr>
        <w:t>依据有关</w:t>
      </w:r>
      <w:r w:rsidR="00661D98">
        <w:rPr>
          <w:rFonts w:ascii="仿宋_GB2312" w:eastAsia="仿宋_GB2312" w:hAnsiTheme="minorEastAsia" w:hint="eastAsia"/>
          <w:sz w:val="32"/>
          <w:szCs w:val="32"/>
        </w:rPr>
        <w:t>产品检测报告，</w:t>
      </w:r>
      <w:r w:rsidR="003F1AC9">
        <w:rPr>
          <w:rFonts w:ascii="仿宋_GB2312" w:eastAsia="仿宋_GB2312" w:hAnsiTheme="minorEastAsia" w:hint="eastAsia"/>
          <w:sz w:val="32"/>
          <w:szCs w:val="32"/>
        </w:rPr>
        <w:t>内部多次</w:t>
      </w:r>
      <w:r w:rsidR="00144193">
        <w:rPr>
          <w:rFonts w:ascii="仿宋_GB2312" w:eastAsia="仿宋_GB2312" w:hAnsiTheme="minorEastAsia" w:hint="eastAsia"/>
          <w:sz w:val="32"/>
          <w:szCs w:val="32"/>
        </w:rPr>
        <w:t>讨论，反复对标，</w:t>
      </w:r>
      <w:r w:rsidR="003F1AC9">
        <w:rPr>
          <w:rFonts w:ascii="仿宋_GB2312" w:eastAsia="仿宋_GB2312" w:hAnsiTheme="minorEastAsia" w:hint="eastAsia"/>
          <w:sz w:val="32"/>
          <w:szCs w:val="32"/>
        </w:rPr>
        <w:t>广泛</w:t>
      </w:r>
      <w:r w:rsidR="00E76C75">
        <w:rPr>
          <w:rFonts w:ascii="仿宋_GB2312" w:eastAsia="仿宋_GB2312" w:hAnsiTheme="minorEastAsia" w:hint="eastAsia"/>
          <w:sz w:val="32"/>
          <w:szCs w:val="32"/>
        </w:rPr>
        <w:t>征询，</w:t>
      </w:r>
      <w:r w:rsidR="00144193">
        <w:rPr>
          <w:rFonts w:ascii="仿宋_GB2312" w:eastAsia="仿宋_GB2312" w:hAnsiTheme="minorEastAsia" w:hint="eastAsia"/>
          <w:sz w:val="32"/>
          <w:szCs w:val="32"/>
        </w:rPr>
        <w:t>拟定盐碱地产品指标参数及要求，并</w:t>
      </w:r>
      <w:r w:rsidR="00A47853">
        <w:rPr>
          <w:rFonts w:ascii="仿宋_GB2312" w:eastAsia="仿宋_GB2312" w:hAnsiTheme="minorEastAsia" w:hint="eastAsia"/>
          <w:sz w:val="32"/>
          <w:szCs w:val="32"/>
        </w:rPr>
        <w:t>针对指标设置的合理性</w:t>
      </w:r>
      <w:r w:rsidR="00144193">
        <w:rPr>
          <w:rFonts w:ascii="仿宋_GB2312" w:eastAsia="仿宋_GB2312" w:hAnsiTheme="minorEastAsia" w:hint="eastAsia"/>
          <w:sz w:val="32"/>
          <w:szCs w:val="32"/>
        </w:rPr>
        <w:t>向</w:t>
      </w:r>
      <w:r w:rsidR="00661D98" w:rsidRPr="00661D98">
        <w:rPr>
          <w:rFonts w:ascii="仿宋_GB2312" w:eastAsia="仿宋_GB2312" w:hAnsiTheme="minorEastAsia" w:hint="eastAsia"/>
          <w:sz w:val="32"/>
          <w:szCs w:val="32"/>
        </w:rPr>
        <w:t>湖南杂交水稻研究中心</w:t>
      </w:r>
      <w:r w:rsidR="00144193">
        <w:rPr>
          <w:rFonts w:ascii="仿宋_GB2312" w:eastAsia="仿宋_GB2312" w:hAnsiTheme="minorEastAsia" w:hint="eastAsia"/>
          <w:sz w:val="32"/>
          <w:szCs w:val="32"/>
        </w:rPr>
        <w:t>专家</w:t>
      </w:r>
      <w:r w:rsidR="00A47853">
        <w:rPr>
          <w:rFonts w:ascii="仿宋_GB2312" w:eastAsia="仿宋_GB2312" w:hAnsiTheme="minorEastAsia" w:hint="eastAsia"/>
          <w:sz w:val="32"/>
          <w:szCs w:val="32"/>
        </w:rPr>
        <w:t>请教</w:t>
      </w:r>
      <w:r w:rsidR="001B34EE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BA0900" w:rsidRDefault="001B34EE" w:rsidP="004244A3">
      <w:pPr>
        <w:pStyle w:val="a8"/>
        <w:spacing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为保证指标的合理性，适用性，项目小组</w:t>
      </w:r>
      <w:r w:rsidR="00144193">
        <w:rPr>
          <w:rFonts w:ascii="仿宋_GB2312" w:eastAsia="仿宋_GB2312" w:hAnsiTheme="minorEastAsia" w:hint="eastAsia"/>
          <w:sz w:val="32"/>
          <w:szCs w:val="32"/>
        </w:rPr>
        <w:t>广泛收集盐碱地大米产品，开展蛋白质、pH等指标的测定</w:t>
      </w:r>
      <w:r w:rsidR="003B3B8C">
        <w:rPr>
          <w:rFonts w:ascii="仿宋_GB2312" w:eastAsia="仿宋_GB2312" w:hAnsiTheme="minorEastAsia" w:hint="eastAsia"/>
          <w:sz w:val="32"/>
          <w:szCs w:val="32"/>
        </w:rPr>
        <w:t>。</w:t>
      </w:r>
      <w:r w:rsidR="004244A3">
        <w:rPr>
          <w:rFonts w:ascii="仿宋_GB2312" w:eastAsia="仿宋_GB2312" w:hAnsiTheme="minorEastAsia" w:hint="eastAsia"/>
          <w:sz w:val="32"/>
          <w:szCs w:val="32"/>
        </w:rPr>
        <w:t>根据测定结果</w:t>
      </w:r>
      <w:r w:rsidR="003B3B8C">
        <w:rPr>
          <w:rFonts w:ascii="仿宋_GB2312" w:eastAsia="仿宋_GB2312" w:hAnsiTheme="minorEastAsia" w:hint="eastAsia"/>
          <w:sz w:val="32"/>
          <w:szCs w:val="32"/>
        </w:rPr>
        <w:t>对标准</w:t>
      </w:r>
      <w:r w:rsidR="004244A3">
        <w:rPr>
          <w:rFonts w:ascii="仿宋_GB2312" w:eastAsia="仿宋_GB2312" w:hAnsiTheme="minorEastAsia" w:hint="eastAsia"/>
          <w:sz w:val="32"/>
          <w:szCs w:val="32"/>
        </w:rPr>
        <w:t>指标内容</w:t>
      </w:r>
      <w:r w:rsidR="003B3B8C">
        <w:rPr>
          <w:rFonts w:ascii="仿宋_GB2312" w:eastAsia="仿宋_GB2312" w:hAnsiTheme="minorEastAsia" w:hint="eastAsia"/>
          <w:sz w:val="32"/>
          <w:szCs w:val="32"/>
        </w:rPr>
        <w:t>进行完善，形成标准征求意见稿，并编制标</w:t>
      </w:r>
      <w:r w:rsidR="00B119C7">
        <w:rPr>
          <w:rFonts w:ascii="仿宋_GB2312" w:eastAsia="仿宋_GB2312" w:hAnsiTheme="minorEastAsia" w:hint="eastAsia"/>
          <w:sz w:val="32"/>
          <w:szCs w:val="32"/>
        </w:rPr>
        <w:lastRenderedPageBreak/>
        <w:t>准编制说明，申请挂网广泛征求意见</w:t>
      </w:r>
      <w:r w:rsidR="003B3B8C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BA0900" w:rsidRDefault="003B3B8C">
      <w:pPr>
        <w:pStyle w:val="a8"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制定标准的原则和依据</w:t>
      </w:r>
    </w:p>
    <w:p w:rsidR="00BA0900" w:rsidRDefault="003B3B8C">
      <w:pPr>
        <w:pStyle w:val="a8"/>
        <w:numPr>
          <w:ilvl w:val="0"/>
          <w:numId w:val="4"/>
        </w:numPr>
        <w:spacing w:afterLines="50" w:after="156"/>
        <w:ind w:firstLineChars="0"/>
        <w:jc w:val="left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标准编制原则</w:t>
      </w:r>
    </w:p>
    <w:p w:rsidR="00BA0900" w:rsidRDefault="003B3B8C">
      <w:pPr>
        <w:pStyle w:val="a8"/>
        <w:spacing w:line="360" w:lineRule="auto"/>
        <w:ind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1.合规性原则</w:t>
      </w:r>
    </w:p>
    <w:p w:rsidR="00BA0900" w:rsidRPr="00825479" w:rsidRDefault="003B3B8C" w:rsidP="00825479">
      <w:pPr>
        <w:pStyle w:val="a8"/>
        <w:spacing w:line="360" w:lineRule="auto"/>
        <w:ind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标准编制符合</w:t>
      </w:r>
      <w:r w:rsidR="00825479">
        <w:rPr>
          <w:rFonts w:ascii="仿宋_GB2312" w:eastAsia="仿宋_GB2312" w:hAnsiTheme="minorEastAsia" w:hint="eastAsia"/>
          <w:sz w:val="32"/>
          <w:szCs w:val="32"/>
        </w:rPr>
        <w:t>稻谷及大米</w:t>
      </w:r>
      <w:r w:rsidRPr="00825479">
        <w:rPr>
          <w:rFonts w:ascii="仿宋_GB2312" w:eastAsia="仿宋_GB2312" w:hAnsiTheme="minorEastAsia" w:hint="eastAsia"/>
          <w:sz w:val="32"/>
          <w:szCs w:val="32"/>
        </w:rPr>
        <w:t>相关法律法规与国家强制标准的要求。</w:t>
      </w:r>
    </w:p>
    <w:p w:rsidR="00BA0900" w:rsidRDefault="003B3B8C">
      <w:pPr>
        <w:pStyle w:val="a8"/>
        <w:spacing w:line="360" w:lineRule="auto"/>
        <w:ind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2.适用性原则</w:t>
      </w:r>
    </w:p>
    <w:p w:rsidR="00BA0900" w:rsidRDefault="003B3B8C">
      <w:pPr>
        <w:pStyle w:val="a8"/>
        <w:spacing w:line="360" w:lineRule="auto"/>
        <w:ind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结合</w:t>
      </w:r>
      <w:r w:rsidR="00825479">
        <w:rPr>
          <w:rFonts w:ascii="仿宋_GB2312" w:eastAsia="仿宋_GB2312" w:hAnsiTheme="minorEastAsia" w:hint="eastAsia"/>
          <w:sz w:val="32"/>
          <w:szCs w:val="32"/>
        </w:rPr>
        <w:t>盐碱地鲜米的特殊性，充分梳理，</w:t>
      </w:r>
      <w:r w:rsidR="00AD157D">
        <w:rPr>
          <w:rFonts w:ascii="仿宋_GB2312" w:eastAsia="仿宋_GB2312" w:hAnsiTheme="minorEastAsia" w:hint="eastAsia"/>
          <w:sz w:val="32"/>
          <w:szCs w:val="32"/>
        </w:rPr>
        <w:t>设定适用</w:t>
      </w:r>
      <w:r w:rsidR="004F1862" w:rsidRPr="00825479">
        <w:rPr>
          <w:rFonts w:ascii="仿宋_GB2312" w:eastAsia="仿宋_GB2312" w:hAnsiTheme="minorEastAsia" w:hint="eastAsia"/>
          <w:sz w:val="32"/>
          <w:szCs w:val="32"/>
        </w:rPr>
        <w:t>指标项目及范围，</w:t>
      </w:r>
      <w:r w:rsidR="00825479">
        <w:rPr>
          <w:rFonts w:ascii="仿宋_GB2312" w:eastAsia="仿宋_GB2312" w:hAnsiTheme="minorEastAsia" w:hint="eastAsia"/>
          <w:sz w:val="32"/>
          <w:szCs w:val="32"/>
        </w:rPr>
        <w:t>符合</w:t>
      </w:r>
      <w:r w:rsidR="00825479" w:rsidRPr="00825479">
        <w:rPr>
          <w:rFonts w:ascii="仿宋_GB2312" w:eastAsia="仿宋_GB2312" w:hAnsiTheme="minorEastAsia" w:hint="eastAsia"/>
          <w:sz w:val="32"/>
          <w:szCs w:val="32"/>
        </w:rPr>
        <w:t>袁梦农业</w:t>
      </w:r>
      <w:r w:rsidR="00BD790C">
        <w:rPr>
          <w:rFonts w:ascii="仿宋_GB2312" w:eastAsia="仿宋_GB2312" w:hAnsiTheme="minorEastAsia" w:hint="eastAsia"/>
          <w:sz w:val="32"/>
          <w:szCs w:val="32"/>
        </w:rPr>
        <w:t>对盐碱地鲜米质量及品质的要求</w:t>
      </w:r>
      <w:r w:rsidRPr="00825479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BA0900" w:rsidRDefault="003B3B8C">
      <w:pPr>
        <w:pStyle w:val="a8"/>
        <w:spacing w:line="360" w:lineRule="auto"/>
        <w:ind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3.目的性原则</w:t>
      </w:r>
    </w:p>
    <w:p w:rsidR="00BA0900" w:rsidRDefault="003B3B8C">
      <w:pPr>
        <w:pStyle w:val="a8"/>
        <w:spacing w:line="360" w:lineRule="auto"/>
        <w:ind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标准的内容涵盖了对</w:t>
      </w:r>
      <w:r w:rsidR="00C72C33">
        <w:rPr>
          <w:rFonts w:ascii="仿宋_GB2312" w:eastAsia="仿宋_GB2312" w:hAnsiTheme="minorEastAsia" w:hint="eastAsia"/>
          <w:sz w:val="32"/>
          <w:szCs w:val="32"/>
        </w:rPr>
        <w:t>品种、原料</w:t>
      </w:r>
      <w:r>
        <w:rPr>
          <w:rFonts w:ascii="仿宋_GB2312" w:eastAsia="仿宋_GB2312" w:hAnsiTheme="minorEastAsia" w:hint="eastAsia"/>
          <w:sz w:val="32"/>
          <w:szCs w:val="32"/>
        </w:rPr>
        <w:t>、</w:t>
      </w:r>
      <w:r w:rsidR="00C72C33">
        <w:rPr>
          <w:rFonts w:ascii="仿宋_GB2312" w:eastAsia="仿宋_GB2312" w:hAnsiTheme="minorEastAsia" w:hint="eastAsia"/>
          <w:sz w:val="32"/>
          <w:szCs w:val="32"/>
        </w:rPr>
        <w:t>盐碱地鲜米质量指标、</w:t>
      </w:r>
      <w:r w:rsidR="00C72C33" w:rsidRPr="0006748E">
        <w:rPr>
          <w:rFonts w:ascii="仿宋_GB2312" w:eastAsia="仿宋_GB2312" w:hAnsiTheme="minorEastAsia" w:hint="eastAsia"/>
          <w:sz w:val="32"/>
          <w:szCs w:val="32"/>
        </w:rPr>
        <w:t>营养</w:t>
      </w:r>
      <w:r w:rsidRPr="0006748E">
        <w:rPr>
          <w:rFonts w:ascii="仿宋_GB2312" w:eastAsia="仿宋_GB2312" w:hAnsiTheme="minorEastAsia" w:hint="eastAsia"/>
          <w:sz w:val="32"/>
          <w:szCs w:val="32"/>
        </w:rPr>
        <w:t>指标</w:t>
      </w:r>
      <w:r w:rsidR="00C72C33" w:rsidRPr="0006748E">
        <w:rPr>
          <w:rFonts w:ascii="仿宋_GB2312" w:eastAsia="仿宋_GB2312" w:hAnsiTheme="minorEastAsia" w:hint="eastAsia"/>
          <w:sz w:val="32"/>
          <w:szCs w:val="32"/>
        </w:rPr>
        <w:t>、食品安全指标等</w:t>
      </w:r>
      <w:r w:rsidR="0006748E" w:rsidRPr="0006748E">
        <w:rPr>
          <w:rFonts w:ascii="仿宋_GB2312" w:eastAsia="仿宋_GB2312" w:hAnsiTheme="minorEastAsia" w:hint="eastAsia"/>
          <w:sz w:val="32"/>
          <w:szCs w:val="32"/>
        </w:rPr>
        <w:t>的要求，并给出了具体的检测方法，</w:t>
      </w:r>
      <w:r w:rsidRPr="0006748E">
        <w:rPr>
          <w:rFonts w:ascii="仿宋_GB2312" w:eastAsia="仿宋_GB2312" w:hAnsiTheme="minorEastAsia" w:hint="eastAsia"/>
          <w:sz w:val="32"/>
          <w:szCs w:val="32"/>
        </w:rPr>
        <w:t>为有效</w:t>
      </w:r>
      <w:r w:rsidR="0006748E" w:rsidRPr="0006748E">
        <w:rPr>
          <w:rFonts w:ascii="仿宋_GB2312" w:eastAsia="仿宋_GB2312" w:hAnsiTheme="minorEastAsia" w:hint="eastAsia"/>
          <w:sz w:val="32"/>
          <w:szCs w:val="32"/>
        </w:rPr>
        <w:t>规范盐碱地鲜米质量和品质提供</w:t>
      </w:r>
      <w:r w:rsidRPr="0006748E">
        <w:rPr>
          <w:rFonts w:ascii="仿宋_GB2312" w:eastAsia="仿宋_GB2312" w:hAnsiTheme="minorEastAsia" w:hint="eastAsia"/>
          <w:sz w:val="32"/>
          <w:szCs w:val="32"/>
        </w:rPr>
        <w:t>支撑。</w:t>
      </w:r>
    </w:p>
    <w:p w:rsidR="00BA0900" w:rsidRDefault="003B3B8C">
      <w:pPr>
        <w:pStyle w:val="a8"/>
        <w:spacing w:line="360" w:lineRule="auto"/>
        <w:ind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4.规范性原则</w:t>
      </w:r>
    </w:p>
    <w:p w:rsidR="00BA0900" w:rsidRDefault="00AD157D">
      <w:pPr>
        <w:pStyle w:val="a8"/>
        <w:spacing w:line="360" w:lineRule="auto"/>
        <w:ind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="楷体" w:cs="Times New Roman" w:hint="eastAsia"/>
          <w:kern w:val="0"/>
          <w:sz w:val="32"/>
          <w:szCs w:val="32"/>
        </w:rPr>
        <w:t>本</w:t>
      </w:r>
      <w:r w:rsidR="003B3B8C">
        <w:rPr>
          <w:rFonts w:ascii="仿宋_GB2312" w:eastAsia="仿宋_GB2312" w:hAnsi="楷体" w:cs="Times New Roman" w:hint="eastAsia"/>
          <w:kern w:val="0"/>
          <w:sz w:val="32"/>
          <w:szCs w:val="32"/>
        </w:rPr>
        <w:t>标准依据 GB/T 1.1-2020《标准化工作导则第 1 部分：</w:t>
      </w:r>
      <w:r w:rsidR="003B3B8C">
        <w:rPr>
          <w:rFonts w:ascii="仿宋_GB2312" w:eastAsia="仿宋_GB2312" w:hAnsiTheme="minorEastAsia" w:hint="eastAsia"/>
          <w:sz w:val="32"/>
          <w:szCs w:val="32"/>
        </w:rPr>
        <w:t>标准化文件的结构和起草规则</w:t>
      </w:r>
      <w:r w:rsidR="003B3B8C">
        <w:rPr>
          <w:rFonts w:ascii="仿宋_GB2312" w:eastAsia="仿宋_GB2312" w:hAnsi="楷体" w:cs="Times New Roman" w:hint="eastAsia"/>
          <w:kern w:val="0"/>
          <w:sz w:val="32"/>
          <w:szCs w:val="32"/>
        </w:rPr>
        <w:t>》给出的规则编写。</w:t>
      </w:r>
    </w:p>
    <w:p w:rsidR="00BA0900" w:rsidRDefault="003B3B8C">
      <w:pPr>
        <w:pStyle w:val="a8"/>
        <w:numPr>
          <w:ilvl w:val="0"/>
          <w:numId w:val="4"/>
        </w:numPr>
        <w:spacing w:afterLines="50" w:after="156"/>
        <w:ind w:firstLineChars="0"/>
        <w:jc w:val="left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标准编制依据</w:t>
      </w:r>
    </w:p>
    <w:p w:rsidR="00BA0900" w:rsidRDefault="003B3B8C">
      <w:pPr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本标准共计引用了</w:t>
      </w:r>
      <w:r w:rsidR="00460B2E">
        <w:rPr>
          <w:rFonts w:ascii="仿宋_GB2312" w:eastAsia="仿宋_GB2312" w:hAnsiTheme="minorEastAsia" w:hint="eastAsia"/>
          <w:sz w:val="32"/>
          <w:szCs w:val="32"/>
        </w:rPr>
        <w:t>34</w:t>
      </w:r>
      <w:r>
        <w:rPr>
          <w:rFonts w:ascii="仿宋_GB2312" w:eastAsia="仿宋_GB2312" w:hAnsiTheme="minorEastAsia" w:hint="eastAsia"/>
          <w:sz w:val="32"/>
          <w:szCs w:val="32"/>
        </w:rPr>
        <w:t>项标准，分别为：</w:t>
      </w:r>
    </w:p>
    <w:p w:rsidR="0006748E" w:rsidRDefault="0006748E" w:rsidP="0006748E">
      <w:pPr>
        <w:pStyle w:val="a9"/>
      </w:pPr>
      <w:r>
        <w:rPr>
          <w:rFonts w:hint="eastAsia"/>
        </w:rPr>
        <w:t xml:space="preserve">GB/T 191  </w:t>
      </w:r>
      <w:r>
        <w:rPr>
          <w:rFonts w:hint="eastAsia"/>
          <w:color w:val="000000"/>
          <w:szCs w:val="21"/>
        </w:rPr>
        <w:t>包装储运图示标志</w:t>
      </w:r>
    </w:p>
    <w:p w:rsidR="0006748E" w:rsidRDefault="0006748E" w:rsidP="0006748E">
      <w:pPr>
        <w:pStyle w:val="a9"/>
      </w:pPr>
      <w:r>
        <w:rPr>
          <w:rFonts w:hint="eastAsia"/>
        </w:rPr>
        <w:t>GB/T 1354  大米</w:t>
      </w:r>
    </w:p>
    <w:p w:rsidR="0006748E" w:rsidRDefault="0006748E" w:rsidP="0006748E">
      <w:pPr>
        <w:pStyle w:val="a9"/>
      </w:pPr>
      <w:r>
        <w:rPr>
          <w:rFonts w:hint="eastAsia"/>
        </w:rPr>
        <w:t>GB 2715  食品安全国家标准  粮食</w:t>
      </w:r>
    </w:p>
    <w:p w:rsidR="0006748E" w:rsidRDefault="0006748E" w:rsidP="0006748E">
      <w:pPr>
        <w:pStyle w:val="a9"/>
      </w:pPr>
      <w:r>
        <w:rPr>
          <w:rFonts w:hint="eastAsia"/>
        </w:rPr>
        <w:t>GB 4404.1  粮食作物种子  第1部分：禾谷类</w:t>
      </w:r>
    </w:p>
    <w:p w:rsidR="0006748E" w:rsidRDefault="0006748E" w:rsidP="0006748E">
      <w:pPr>
        <w:pStyle w:val="a9"/>
        <w:rPr>
          <w:color w:val="000000"/>
          <w:szCs w:val="21"/>
        </w:rPr>
      </w:pPr>
      <w:r>
        <w:rPr>
          <w:rFonts w:hint="eastAsia"/>
        </w:rPr>
        <w:t xml:space="preserve">GB 5009.3  </w:t>
      </w:r>
      <w:r>
        <w:rPr>
          <w:rFonts w:hint="eastAsia"/>
          <w:color w:val="000000"/>
          <w:szCs w:val="21"/>
        </w:rPr>
        <w:t>食品安全国家标准  食品中水分的测定</w:t>
      </w:r>
    </w:p>
    <w:p w:rsidR="0006748E" w:rsidRDefault="0006748E" w:rsidP="0006748E">
      <w:pPr>
        <w:pStyle w:val="a9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GB 5009.5  食品安全国家标准  食品中蛋白质的测定</w:t>
      </w:r>
    </w:p>
    <w:p w:rsidR="0006748E" w:rsidRDefault="0006748E" w:rsidP="0006748E">
      <w:pPr>
        <w:pStyle w:val="a9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GB 5009.6  食品安全国家标准  食品中脂肪的测定</w:t>
      </w:r>
    </w:p>
    <w:p w:rsidR="0006748E" w:rsidRDefault="0006748E" w:rsidP="0006748E">
      <w:pPr>
        <w:pStyle w:val="a9"/>
        <w:rPr>
          <w:color w:val="000000"/>
          <w:szCs w:val="21"/>
        </w:rPr>
      </w:pPr>
      <w:r w:rsidRPr="005C53EE">
        <w:rPr>
          <w:color w:val="000000"/>
          <w:szCs w:val="21"/>
        </w:rPr>
        <w:t>GB 5009.14</w:t>
      </w:r>
      <w:r>
        <w:rPr>
          <w:rFonts w:hint="eastAsia"/>
          <w:color w:val="000000"/>
          <w:szCs w:val="21"/>
        </w:rPr>
        <w:t xml:space="preserve">  </w:t>
      </w:r>
      <w:r w:rsidRPr="005C53EE">
        <w:rPr>
          <w:color w:val="000000"/>
          <w:szCs w:val="21"/>
        </w:rPr>
        <w:t>食品安全国家标准 食品中锌的测定</w:t>
      </w:r>
    </w:p>
    <w:p w:rsidR="0006748E" w:rsidRDefault="0006748E" w:rsidP="0006748E">
      <w:pPr>
        <w:pStyle w:val="a9"/>
        <w:rPr>
          <w:color w:val="000000"/>
          <w:szCs w:val="21"/>
        </w:rPr>
      </w:pPr>
      <w:r w:rsidRPr="00D55234">
        <w:rPr>
          <w:color w:val="000000"/>
          <w:szCs w:val="21"/>
        </w:rPr>
        <w:t>GB 5009.88</w:t>
      </w:r>
      <w:r>
        <w:rPr>
          <w:rFonts w:hint="eastAsia"/>
          <w:color w:val="000000"/>
          <w:szCs w:val="21"/>
        </w:rPr>
        <w:t xml:space="preserve">  </w:t>
      </w:r>
      <w:r w:rsidRPr="00D55234">
        <w:rPr>
          <w:color w:val="000000"/>
          <w:szCs w:val="21"/>
        </w:rPr>
        <w:t xml:space="preserve">食品安全国家标准 </w:t>
      </w:r>
      <w:r>
        <w:rPr>
          <w:rFonts w:hint="eastAsia"/>
          <w:color w:val="000000"/>
          <w:szCs w:val="21"/>
        </w:rPr>
        <w:t xml:space="preserve"> </w:t>
      </w:r>
      <w:r w:rsidRPr="00D55234">
        <w:rPr>
          <w:color w:val="000000"/>
          <w:szCs w:val="21"/>
        </w:rPr>
        <w:t>食品中膳食纤维的测定</w:t>
      </w:r>
    </w:p>
    <w:p w:rsidR="0006748E" w:rsidRDefault="0006748E" w:rsidP="0006748E">
      <w:pPr>
        <w:pStyle w:val="a9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GB 5009.90  食品安全国家标准  食品中铁的测定</w:t>
      </w:r>
    </w:p>
    <w:p w:rsidR="0006748E" w:rsidRDefault="0006748E" w:rsidP="0006748E">
      <w:pPr>
        <w:pStyle w:val="a9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GB/T 5009.91  食品安全国家标准  食品中钾、钠的测定</w:t>
      </w:r>
    </w:p>
    <w:p w:rsidR="0006748E" w:rsidRDefault="0006748E" w:rsidP="0006748E">
      <w:pPr>
        <w:pStyle w:val="a9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GB 5009.92  食品安全国家标准  食品中钙的测定</w:t>
      </w:r>
    </w:p>
    <w:p w:rsidR="0006748E" w:rsidRDefault="0006748E" w:rsidP="0006748E">
      <w:pPr>
        <w:pStyle w:val="a9"/>
        <w:rPr>
          <w:color w:val="000000"/>
          <w:szCs w:val="21"/>
        </w:rPr>
      </w:pPr>
      <w:r w:rsidRPr="00EF22C5">
        <w:rPr>
          <w:color w:val="000000"/>
          <w:szCs w:val="21"/>
        </w:rPr>
        <w:t>GB 5009.153</w:t>
      </w:r>
      <w:r>
        <w:rPr>
          <w:rFonts w:hint="eastAsia"/>
          <w:color w:val="000000"/>
          <w:szCs w:val="21"/>
        </w:rPr>
        <w:t xml:space="preserve">  </w:t>
      </w:r>
      <w:r w:rsidRPr="00EF22C5">
        <w:rPr>
          <w:color w:val="000000"/>
          <w:szCs w:val="21"/>
        </w:rPr>
        <w:t>食品安全国家标准 食品中植酸的测定</w:t>
      </w:r>
    </w:p>
    <w:p w:rsidR="0006748E" w:rsidRDefault="0006748E" w:rsidP="0006748E">
      <w:pPr>
        <w:pStyle w:val="a9"/>
        <w:rPr>
          <w:color w:val="000000"/>
          <w:szCs w:val="21"/>
        </w:rPr>
      </w:pPr>
      <w:r>
        <w:rPr>
          <w:color w:val="000000"/>
          <w:szCs w:val="21"/>
        </w:rPr>
        <w:t>GB 5009.237</w:t>
      </w:r>
      <w:r>
        <w:rPr>
          <w:rFonts w:hint="eastAsia"/>
          <w:color w:val="000000"/>
          <w:szCs w:val="21"/>
        </w:rPr>
        <w:t xml:space="preserve">  食品安全国家标准  食品pH值的测定</w:t>
      </w:r>
    </w:p>
    <w:p w:rsidR="0006748E" w:rsidRDefault="0006748E" w:rsidP="0006748E">
      <w:pPr>
        <w:pStyle w:val="a9"/>
        <w:rPr>
          <w:color w:val="000000"/>
          <w:szCs w:val="21"/>
        </w:rPr>
      </w:pPr>
      <w:r>
        <w:rPr>
          <w:rFonts w:hint="eastAsia"/>
        </w:rPr>
        <w:t xml:space="preserve">GB/T 5490  </w:t>
      </w:r>
      <w:r>
        <w:t>粮油检验 一般规则</w:t>
      </w:r>
    </w:p>
    <w:p w:rsidR="0006748E" w:rsidRDefault="0006748E" w:rsidP="0006748E">
      <w:pPr>
        <w:pStyle w:val="a9"/>
      </w:pPr>
      <w:r>
        <w:rPr>
          <w:rFonts w:hint="eastAsia"/>
        </w:rPr>
        <w:t>GB/T 5491  粮食、油料检验  扦样、分样法</w:t>
      </w:r>
    </w:p>
    <w:p w:rsidR="0006748E" w:rsidRDefault="0006748E" w:rsidP="0006748E">
      <w:pPr>
        <w:pStyle w:val="a9"/>
      </w:pPr>
      <w:r>
        <w:rPr>
          <w:rFonts w:hint="eastAsia"/>
        </w:rPr>
        <w:t xml:space="preserve">GB/T 5492  </w:t>
      </w:r>
      <w:r>
        <w:t xml:space="preserve">粮油检验 </w:t>
      </w:r>
      <w:r>
        <w:rPr>
          <w:rFonts w:hint="eastAsia"/>
        </w:rPr>
        <w:t xml:space="preserve"> </w:t>
      </w:r>
      <w:r>
        <w:t>粮食、油料的色泽、气味、口味鉴定</w:t>
      </w:r>
    </w:p>
    <w:p w:rsidR="0006748E" w:rsidRDefault="0006748E" w:rsidP="0006748E">
      <w:pPr>
        <w:pStyle w:val="a9"/>
      </w:pPr>
      <w:r>
        <w:rPr>
          <w:rFonts w:hint="eastAsia"/>
        </w:rPr>
        <w:t>GB/T 5493  粮油检验  类型及互混检验</w:t>
      </w:r>
    </w:p>
    <w:p w:rsidR="0006748E" w:rsidRDefault="0006748E" w:rsidP="0006748E">
      <w:pPr>
        <w:pStyle w:val="a9"/>
        <w:rPr>
          <w:color w:val="000000"/>
          <w:szCs w:val="21"/>
        </w:rPr>
      </w:pPr>
      <w:r>
        <w:rPr>
          <w:rFonts w:hint="eastAsia"/>
        </w:rPr>
        <w:t xml:space="preserve">GB/T 5494  </w:t>
      </w:r>
      <w:r>
        <w:rPr>
          <w:rFonts w:hint="eastAsia"/>
          <w:color w:val="000000"/>
          <w:szCs w:val="21"/>
        </w:rPr>
        <w:t>粮油检验  粮食、油料的杂质、不完善粒检验</w:t>
      </w:r>
    </w:p>
    <w:p w:rsidR="0006748E" w:rsidRDefault="0006748E" w:rsidP="0006748E">
      <w:pPr>
        <w:pStyle w:val="a9"/>
      </w:pPr>
      <w:r>
        <w:rPr>
          <w:rFonts w:hint="eastAsia"/>
        </w:rPr>
        <w:t xml:space="preserve">GB/T 5496  </w:t>
      </w:r>
      <w:r>
        <w:t xml:space="preserve">粮食、油料检验 </w:t>
      </w:r>
      <w:r>
        <w:rPr>
          <w:rFonts w:hint="eastAsia"/>
        </w:rPr>
        <w:t xml:space="preserve"> </w:t>
      </w:r>
      <w:r>
        <w:t>黄粒米及裂纹粒检验法</w:t>
      </w:r>
    </w:p>
    <w:p w:rsidR="0006748E" w:rsidRDefault="0006748E" w:rsidP="0006748E">
      <w:pPr>
        <w:pStyle w:val="a9"/>
        <w:rPr>
          <w:color w:val="000000"/>
          <w:szCs w:val="21"/>
        </w:rPr>
      </w:pPr>
      <w:r>
        <w:rPr>
          <w:rFonts w:hint="eastAsia"/>
        </w:rPr>
        <w:t xml:space="preserve">GB/T 5502  </w:t>
      </w:r>
      <w:r>
        <w:rPr>
          <w:rFonts w:hint="eastAsia"/>
          <w:color w:val="000000"/>
          <w:szCs w:val="21"/>
        </w:rPr>
        <w:t>粮油检验  大米加工精度检验</w:t>
      </w:r>
    </w:p>
    <w:p w:rsidR="0006748E" w:rsidRDefault="0006748E" w:rsidP="0006748E">
      <w:pPr>
        <w:pStyle w:val="a9"/>
      </w:pPr>
      <w:r>
        <w:rPr>
          <w:rFonts w:hint="eastAsia"/>
        </w:rPr>
        <w:t xml:space="preserve">GB/T 5503  </w:t>
      </w:r>
      <w:r>
        <w:rPr>
          <w:rFonts w:hint="eastAsia"/>
          <w:color w:val="000000"/>
          <w:szCs w:val="21"/>
        </w:rPr>
        <w:t>粮油检验  碎米检验法</w:t>
      </w:r>
    </w:p>
    <w:p w:rsidR="0006748E" w:rsidRDefault="0006748E" w:rsidP="0006748E">
      <w:pPr>
        <w:pStyle w:val="a9"/>
      </w:pPr>
      <w:r>
        <w:rPr>
          <w:rFonts w:hint="eastAsia"/>
        </w:rPr>
        <w:t>GB 5749  生活饮用水卫生标准</w:t>
      </w:r>
    </w:p>
    <w:p w:rsidR="0006748E" w:rsidRDefault="0006748E" w:rsidP="0006748E">
      <w:pPr>
        <w:pStyle w:val="a9"/>
      </w:pPr>
      <w:r>
        <w:rPr>
          <w:rFonts w:hint="eastAsia"/>
        </w:rPr>
        <w:t xml:space="preserve">GB 7718  </w:t>
      </w:r>
      <w:r>
        <w:t xml:space="preserve">食品安全国家标准 </w:t>
      </w:r>
      <w:r>
        <w:rPr>
          <w:rFonts w:hint="eastAsia"/>
        </w:rPr>
        <w:t xml:space="preserve"> </w:t>
      </w:r>
      <w:r>
        <w:t>预包装食品标签通则</w:t>
      </w:r>
    </w:p>
    <w:p w:rsidR="0006748E" w:rsidRDefault="0006748E" w:rsidP="0006748E">
      <w:pPr>
        <w:pStyle w:val="a9"/>
      </w:pPr>
      <w:r>
        <w:rPr>
          <w:rFonts w:hint="eastAsia"/>
        </w:rPr>
        <w:t>GB/T 15682  粮油检验  稻谷、大米蒸煮食用品质感官评价方法</w:t>
      </w:r>
    </w:p>
    <w:p w:rsidR="0006748E" w:rsidRDefault="0006748E" w:rsidP="0006748E">
      <w:pPr>
        <w:pStyle w:val="a9"/>
      </w:pPr>
      <w:r>
        <w:rPr>
          <w:rFonts w:hint="eastAsia"/>
        </w:rPr>
        <w:t xml:space="preserve">GB/T 15683  </w:t>
      </w:r>
      <w:r>
        <w:t>大米 直链淀粉含量的测定</w:t>
      </w:r>
    </w:p>
    <w:p w:rsidR="0006748E" w:rsidRDefault="0006748E" w:rsidP="0006748E">
      <w:pPr>
        <w:pStyle w:val="a9"/>
      </w:pPr>
      <w:r>
        <w:rPr>
          <w:rFonts w:hint="eastAsia"/>
        </w:rPr>
        <w:t xml:space="preserve">GB/T 17109  </w:t>
      </w:r>
      <w:r>
        <w:rPr>
          <w:rFonts w:hint="eastAsia"/>
          <w:color w:val="000000"/>
          <w:szCs w:val="21"/>
        </w:rPr>
        <w:t>粮食销售包装</w:t>
      </w:r>
    </w:p>
    <w:p w:rsidR="0006748E" w:rsidRDefault="0006748E" w:rsidP="0006748E">
      <w:pPr>
        <w:pStyle w:val="a9"/>
      </w:pPr>
      <w:r>
        <w:rPr>
          <w:rFonts w:hint="eastAsia"/>
        </w:rPr>
        <w:t>GB/T 17891  优质稻谷</w:t>
      </w:r>
    </w:p>
    <w:p w:rsidR="0006748E" w:rsidRDefault="0006748E" w:rsidP="0006748E">
      <w:pPr>
        <w:pStyle w:val="a9"/>
      </w:pPr>
      <w:r>
        <w:rPr>
          <w:rFonts w:hint="eastAsia"/>
        </w:rPr>
        <w:t>GB/T 22294  粮油检验  大米胶稠度的测定</w:t>
      </w:r>
    </w:p>
    <w:p w:rsidR="0006748E" w:rsidRDefault="0006748E" w:rsidP="0006748E">
      <w:pPr>
        <w:pStyle w:val="a9"/>
      </w:pPr>
      <w:r>
        <w:rPr>
          <w:rFonts w:hint="eastAsia"/>
        </w:rPr>
        <w:t>GB/T 26630  大米加工企业良好操作规范</w:t>
      </w:r>
    </w:p>
    <w:p w:rsidR="0006748E" w:rsidRDefault="0006748E" w:rsidP="0006748E">
      <w:pPr>
        <w:pStyle w:val="a9"/>
      </w:pPr>
      <w:r>
        <w:rPr>
          <w:rFonts w:hint="eastAsia"/>
        </w:rPr>
        <w:t>GB/T 27341  危害分析与关键控制点(HACCP)体系 食品生产企业通用要求</w:t>
      </w:r>
    </w:p>
    <w:p w:rsidR="0006748E" w:rsidRDefault="0006748E" w:rsidP="0006748E">
      <w:pPr>
        <w:pStyle w:val="a9"/>
        <w:rPr>
          <w:color w:val="000000"/>
          <w:szCs w:val="21"/>
        </w:rPr>
      </w:pPr>
      <w:r>
        <w:rPr>
          <w:rFonts w:hint="eastAsia"/>
        </w:rPr>
        <w:t xml:space="preserve">GB 28050  </w:t>
      </w:r>
      <w:r>
        <w:rPr>
          <w:rFonts w:hint="eastAsia"/>
          <w:color w:val="000000"/>
          <w:szCs w:val="21"/>
        </w:rPr>
        <w:t>食品安全国家标准 预包装食品营养标签通则</w:t>
      </w:r>
    </w:p>
    <w:p w:rsidR="0006748E" w:rsidRDefault="0006748E" w:rsidP="0006748E">
      <w:pPr>
        <w:pStyle w:val="a9"/>
      </w:pPr>
      <w:r>
        <w:rPr>
          <w:rFonts w:hint="eastAsia"/>
        </w:rPr>
        <w:t>LS/T 6118  粮油检验  稻谷新鲜度测定与判别</w:t>
      </w:r>
    </w:p>
    <w:p w:rsidR="0006748E" w:rsidRDefault="0006748E" w:rsidP="0006748E">
      <w:pPr>
        <w:pStyle w:val="a9"/>
      </w:pPr>
      <w:r>
        <w:rPr>
          <w:rFonts w:hint="eastAsia"/>
        </w:rPr>
        <w:t>JJF 1070.3  定量包装商品净含量 计量检验规则 大米</w:t>
      </w:r>
    </w:p>
    <w:p w:rsidR="00BA0900" w:rsidRDefault="003B3B8C">
      <w:pPr>
        <w:pStyle w:val="a8"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主要条款的说明</w:t>
      </w:r>
    </w:p>
    <w:p w:rsidR="00BA0900" w:rsidRDefault="003B3B8C">
      <w:pPr>
        <w:pStyle w:val="a8"/>
        <w:numPr>
          <w:ilvl w:val="0"/>
          <w:numId w:val="5"/>
        </w:numPr>
        <w:spacing w:beforeLines="50" w:before="156" w:afterLines="50" w:after="156"/>
        <w:ind w:left="1797" w:firstLineChars="0" w:hanging="1077"/>
        <w:jc w:val="left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术语和定义</w:t>
      </w:r>
    </w:p>
    <w:p w:rsidR="00BA0900" w:rsidRDefault="003B3B8C" w:rsidP="00606A50">
      <w:pPr>
        <w:pStyle w:val="a9"/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术语和定义中，参考相关标准对</w:t>
      </w:r>
      <w:r w:rsidR="00606A50">
        <w:rPr>
          <w:rFonts w:ascii="仿宋_GB2312" w:eastAsia="仿宋_GB2312" w:hAnsiTheme="minorEastAsia" w:hint="eastAsia"/>
          <w:sz w:val="32"/>
          <w:szCs w:val="32"/>
        </w:rPr>
        <w:t>盐碱地</w:t>
      </w:r>
      <w:r>
        <w:rPr>
          <w:rFonts w:ascii="仿宋_GB2312" w:eastAsia="仿宋_GB2312" w:hAnsiTheme="minorEastAsia" w:hint="eastAsia"/>
          <w:sz w:val="32"/>
          <w:szCs w:val="32"/>
        </w:rPr>
        <w:t>、</w:t>
      </w:r>
      <w:r w:rsidR="00606A50">
        <w:rPr>
          <w:rFonts w:ascii="仿宋_GB2312" w:eastAsia="仿宋_GB2312" w:hAnsiTheme="minorEastAsia" w:hint="eastAsia"/>
          <w:sz w:val="32"/>
          <w:szCs w:val="32"/>
        </w:rPr>
        <w:t>鲜米和盐碱地鲜米</w:t>
      </w:r>
      <w:r>
        <w:rPr>
          <w:rFonts w:ascii="仿宋_GB2312" w:eastAsia="仿宋_GB2312" w:hAnsiTheme="minorEastAsia" w:hint="eastAsia"/>
          <w:sz w:val="32"/>
          <w:szCs w:val="32"/>
        </w:rPr>
        <w:t>进行了说明，</w:t>
      </w:r>
      <w:r w:rsidR="00606A50">
        <w:rPr>
          <w:rFonts w:ascii="仿宋_GB2312" w:eastAsia="仿宋_GB2312" w:hAnsiTheme="minorEastAsia" w:hint="eastAsia"/>
          <w:sz w:val="32"/>
          <w:szCs w:val="32"/>
        </w:rPr>
        <w:t>其中盐碱地鲜米定义为</w:t>
      </w:r>
      <w:r w:rsidR="00606A50" w:rsidRPr="00606A50">
        <w:rPr>
          <w:rFonts w:ascii="仿宋_GB2312" w:eastAsia="仿宋_GB2312" w:hAnsiTheme="minorEastAsia" w:hint="eastAsia"/>
          <w:sz w:val="32"/>
          <w:szCs w:val="32"/>
        </w:rPr>
        <w:t>采用新鲜的耐盐碱水稻稻谷碾磨后，符合质量指标和营养指标的鲜米。</w:t>
      </w:r>
    </w:p>
    <w:p w:rsidR="00BA0900" w:rsidRDefault="00B85906">
      <w:pPr>
        <w:pStyle w:val="a8"/>
        <w:numPr>
          <w:ilvl w:val="0"/>
          <w:numId w:val="5"/>
        </w:numPr>
        <w:spacing w:beforeLines="50" w:before="156" w:afterLines="50" w:after="156"/>
        <w:ind w:left="1797" w:firstLineChars="0" w:hanging="1077"/>
        <w:jc w:val="left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要求</w:t>
      </w:r>
    </w:p>
    <w:p w:rsidR="00907533" w:rsidRDefault="00907533" w:rsidP="00B85906">
      <w:pPr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1、</w:t>
      </w:r>
      <w:r w:rsidR="00B85906">
        <w:rPr>
          <w:rFonts w:ascii="仿宋_GB2312" w:eastAsia="仿宋_GB2312" w:hAnsiTheme="minorEastAsia" w:hint="eastAsia"/>
          <w:sz w:val="32"/>
          <w:szCs w:val="32"/>
        </w:rPr>
        <w:t>品种</w:t>
      </w:r>
      <w:r w:rsidR="00B85906" w:rsidRPr="00B85906">
        <w:rPr>
          <w:rFonts w:ascii="仿宋_GB2312" w:eastAsia="仿宋_GB2312" w:hAnsiTheme="minorEastAsia" w:hint="eastAsia"/>
          <w:sz w:val="32"/>
          <w:szCs w:val="32"/>
        </w:rPr>
        <w:t>应选用适合盐碱地种植且通过国家、省级审定</w:t>
      </w:r>
      <w:r w:rsidR="00B85906" w:rsidRPr="00B85906">
        <w:rPr>
          <w:rFonts w:ascii="仿宋_GB2312" w:eastAsia="仿宋_GB2312" w:hAnsiTheme="minorEastAsia" w:hint="eastAsia"/>
          <w:sz w:val="32"/>
          <w:szCs w:val="32"/>
        </w:rPr>
        <w:lastRenderedPageBreak/>
        <w:t>或具有当地特色的品种</w:t>
      </w:r>
      <w:r w:rsidR="00B85906">
        <w:rPr>
          <w:rFonts w:ascii="仿宋_GB2312" w:eastAsia="仿宋_GB2312" w:hAnsiTheme="minorEastAsia" w:hint="eastAsia"/>
          <w:sz w:val="32"/>
          <w:szCs w:val="32"/>
        </w:rPr>
        <w:t>，原料种子及稻谷品质应符合国家相关标准的要求。</w:t>
      </w:r>
    </w:p>
    <w:p w:rsidR="00B85906" w:rsidRPr="00B85906" w:rsidRDefault="00907533" w:rsidP="00B85906">
      <w:pPr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2、</w:t>
      </w:r>
      <w:r w:rsidR="00B85906">
        <w:rPr>
          <w:rFonts w:ascii="仿宋_GB2312" w:eastAsia="仿宋_GB2312" w:hAnsiTheme="minorEastAsia" w:hint="eastAsia"/>
          <w:sz w:val="32"/>
          <w:szCs w:val="32"/>
        </w:rPr>
        <w:t>质量指标、营养指标、</w:t>
      </w:r>
      <w:r w:rsidR="00C922B7">
        <w:rPr>
          <w:rFonts w:ascii="仿宋_GB2312" w:eastAsia="仿宋_GB2312" w:hAnsiTheme="minorEastAsia" w:hint="eastAsia"/>
          <w:sz w:val="32"/>
          <w:szCs w:val="32"/>
        </w:rPr>
        <w:t>食品安全指标等提出要求，具体见表1和表2。</w:t>
      </w:r>
    </w:p>
    <w:p w:rsidR="00BA0900" w:rsidRDefault="003B3B8C">
      <w:pPr>
        <w:widowControl/>
        <w:numPr>
          <w:ilvl w:val="0"/>
          <w:numId w:val="1"/>
        </w:numPr>
        <w:tabs>
          <w:tab w:val="left" w:pos="360"/>
        </w:tabs>
        <w:spacing w:beforeLines="50" w:before="156" w:afterLines="50" w:after="156"/>
        <w:jc w:val="center"/>
        <w:rPr>
          <w:rFonts w:ascii="黑体" w:eastAsia="黑体" w:hAnsi="Times New Roman" w:cs="Times New Roman"/>
          <w:kern w:val="0"/>
          <w:szCs w:val="20"/>
        </w:rPr>
      </w:pPr>
      <w:r>
        <w:rPr>
          <w:rFonts w:ascii="黑体" w:eastAsia="黑体" w:hAnsi="Times New Roman" w:cs="Times New Roman" w:hint="eastAsia"/>
          <w:kern w:val="0"/>
          <w:szCs w:val="20"/>
        </w:rPr>
        <w:t>质量指标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3192"/>
        <w:gridCol w:w="2236"/>
        <w:gridCol w:w="2492"/>
      </w:tblGrid>
      <w:tr w:rsidR="00907533" w:rsidRPr="00907533" w:rsidTr="00907533">
        <w:trPr>
          <w:trHeight w:val="272"/>
        </w:trPr>
        <w:tc>
          <w:tcPr>
            <w:tcW w:w="2226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质量指标</w:t>
            </w:r>
          </w:p>
        </w:tc>
        <w:tc>
          <w:tcPr>
            <w:tcW w:w="131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籼米</w:t>
            </w:r>
          </w:p>
        </w:tc>
        <w:tc>
          <w:tcPr>
            <w:tcW w:w="146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粳米</w:t>
            </w:r>
          </w:p>
        </w:tc>
      </w:tr>
      <w:tr w:rsidR="00907533" w:rsidRPr="00907533" w:rsidTr="00907533">
        <w:trPr>
          <w:trHeight w:val="369"/>
        </w:trPr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533" w:rsidRPr="00907533" w:rsidRDefault="00907533" w:rsidP="00907533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碎米</w:t>
            </w:r>
          </w:p>
        </w:tc>
        <w:tc>
          <w:tcPr>
            <w:tcW w:w="187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07533" w:rsidRPr="00907533" w:rsidRDefault="00907533" w:rsidP="00907533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 xml:space="preserve">总量/%                       ≤       </w:t>
            </w:r>
          </w:p>
        </w:tc>
        <w:tc>
          <w:tcPr>
            <w:tcW w:w="1312" w:type="pct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12.5</w:t>
            </w:r>
          </w:p>
        </w:tc>
        <w:tc>
          <w:tcPr>
            <w:tcW w:w="146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7.5</w:t>
            </w:r>
          </w:p>
        </w:tc>
      </w:tr>
      <w:tr w:rsidR="00907533" w:rsidRPr="00907533" w:rsidTr="00907533">
        <w:trPr>
          <w:trHeight w:val="374"/>
        </w:trPr>
        <w:tc>
          <w:tcPr>
            <w:tcW w:w="35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07533" w:rsidRPr="00907533" w:rsidRDefault="00907533" w:rsidP="00907533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533" w:rsidRPr="00907533" w:rsidRDefault="00907533" w:rsidP="00907533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 xml:space="preserve">其中：小碎米含量/%           ≤   </w:t>
            </w:r>
          </w:p>
        </w:tc>
        <w:tc>
          <w:tcPr>
            <w:tcW w:w="13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0.5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0.3</w:t>
            </w:r>
          </w:p>
        </w:tc>
      </w:tr>
      <w:tr w:rsidR="00907533" w:rsidRPr="00907533" w:rsidTr="00907533">
        <w:tc>
          <w:tcPr>
            <w:tcW w:w="2226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907533" w:rsidRPr="00907533" w:rsidRDefault="00907533" w:rsidP="00907533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 xml:space="preserve">加工精度                             </w:t>
            </w:r>
          </w:p>
        </w:tc>
        <w:tc>
          <w:tcPr>
            <w:tcW w:w="13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精碾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精碾</w:t>
            </w:r>
          </w:p>
        </w:tc>
      </w:tr>
      <w:tr w:rsidR="00907533" w:rsidRPr="00907533" w:rsidTr="00907533">
        <w:tc>
          <w:tcPr>
            <w:tcW w:w="2226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907533" w:rsidRPr="00907533" w:rsidRDefault="00907533" w:rsidP="00907533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垩白度/%                             ≤</w:t>
            </w:r>
          </w:p>
        </w:tc>
        <w:tc>
          <w:tcPr>
            <w:tcW w:w="13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5.0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4.0</w:t>
            </w:r>
          </w:p>
        </w:tc>
      </w:tr>
      <w:tr w:rsidR="00907533" w:rsidRPr="00907533" w:rsidTr="00907533">
        <w:tc>
          <w:tcPr>
            <w:tcW w:w="2226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907533" w:rsidRPr="00907533" w:rsidRDefault="00907533" w:rsidP="00907533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 xml:space="preserve">直链淀粉含量/%                        </w:t>
            </w:r>
          </w:p>
        </w:tc>
        <w:tc>
          <w:tcPr>
            <w:tcW w:w="13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15.0-22.0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15.0-20.0</w:t>
            </w:r>
          </w:p>
        </w:tc>
      </w:tr>
      <w:tr w:rsidR="00907533" w:rsidRPr="00907533" w:rsidTr="00907533">
        <w:tc>
          <w:tcPr>
            <w:tcW w:w="2226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907533" w:rsidRPr="00907533" w:rsidRDefault="00907533" w:rsidP="00907533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 xml:space="preserve">水分含量/%          </w:t>
            </w:r>
            <w:r w:rsidRPr="00907533">
              <w:rPr>
                <w:rFonts w:ascii="宋体" w:eastAsia="宋体" w:hAnsi="Times New Roman" w:cs="Times New Roman" w:hint="eastAsia"/>
                <w:color w:val="FF0000"/>
                <w:sz w:val="18"/>
                <w:szCs w:val="24"/>
              </w:rPr>
              <w:t xml:space="preserve">                 </w:t>
            </w: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≤</w:t>
            </w:r>
          </w:p>
        </w:tc>
        <w:tc>
          <w:tcPr>
            <w:tcW w:w="13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14.5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15.5</w:t>
            </w:r>
          </w:p>
        </w:tc>
      </w:tr>
      <w:tr w:rsidR="00907533" w:rsidRPr="00907533" w:rsidTr="00907533">
        <w:tc>
          <w:tcPr>
            <w:tcW w:w="2226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907533" w:rsidRPr="00907533" w:rsidRDefault="00907533" w:rsidP="00907533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钠/(mg/100g)</w:t>
            </w:r>
          </w:p>
        </w:tc>
        <w:tc>
          <w:tcPr>
            <w:tcW w:w="13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0-2.0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-</w:t>
            </w:r>
          </w:p>
        </w:tc>
      </w:tr>
      <w:tr w:rsidR="00907533" w:rsidRPr="00907533" w:rsidTr="00907533">
        <w:tc>
          <w:tcPr>
            <w:tcW w:w="2226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907533" w:rsidRPr="00907533" w:rsidRDefault="00907533" w:rsidP="00907533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pH</w:t>
            </w:r>
          </w:p>
        </w:tc>
        <w:tc>
          <w:tcPr>
            <w:tcW w:w="13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-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7.2-7.5</w:t>
            </w:r>
          </w:p>
        </w:tc>
      </w:tr>
      <w:tr w:rsidR="00907533" w:rsidRPr="00907533" w:rsidTr="00907533">
        <w:trPr>
          <w:trHeight w:val="280"/>
        </w:trPr>
        <w:tc>
          <w:tcPr>
            <w:tcW w:w="353" w:type="pct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杂质</w:t>
            </w: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533" w:rsidRPr="00907533" w:rsidRDefault="00907533" w:rsidP="00907533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总量/%                       ≤</w:t>
            </w:r>
          </w:p>
        </w:tc>
        <w:tc>
          <w:tcPr>
            <w:tcW w:w="2774" w:type="pct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0.25</w:t>
            </w:r>
          </w:p>
        </w:tc>
      </w:tr>
      <w:tr w:rsidR="00907533" w:rsidRPr="00907533" w:rsidTr="00907533">
        <w:trPr>
          <w:trHeight w:val="222"/>
        </w:trPr>
        <w:tc>
          <w:tcPr>
            <w:tcW w:w="35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07533" w:rsidRPr="00907533" w:rsidRDefault="00907533" w:rsidP="00907533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533" w:rsidRPr="00907533" w:rsidRDefault="00907533" w:rsidP="00907533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其中：无机杂质含量/%         ≤</w:t>
            </w:r>
          </w:p>
        </w:tc>
        <w:tc>
          <w:tcPr>
            <w:tcW w:w="2774" w:type="pct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0.02</w:t>
            </w:r>
          </w:p>
        </w:tc>
      </w:tr>
      <w:tr w:rsidR="00907533" w:rsidRPr="00907533" w:rsidTr="00907533">
        <w:tc>
          <w:tcPr>
            <w:tcW w:w="2226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907533" w:rsidRPr="00907533" w:rsidRDefault="00907533" w:rsidP="00907533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不完善粒含量/%                       ≤</w:t>
            </w:r>
          </w:p>
        </w:tc>
        <w:tc>
          <w:tcPr>
            <w:tcW w:w="2774" w:type="pct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2.0</w:t>
            </w:r>
          </w:p>
        </w:tc>
      </w:tr>
      <w:tr w:rsidR="00907533" w:rsidRPr="00907533" w:rsidTr="00907533">
        <w:tc>
          <w:tcPr>
            <w:tcW w:w="2226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907533" w:rsidRPr="00907533" w:rsidRDefault="00907533" w:rsidP="00907533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品尝评分值/分                        ≥</w:t>
            </w:r>
          </w:p>
        </w:tc>
        <w:tc>
          <w:tcPr>
            <w:tcW w:w="2774" w:type="pct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80</w:t>
            </w:r>
          </w:p>
        </w:tc>
      </w:tr>
      <w:tr w:rsidR="00907533" w:rsidRPr="00907533" w:rsidTr="00907533">
        <w:tc>
          <w:tcPr>
            <w:tcW w:w="2226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907533" w:rsidRPr="00907533" w:rsidRDefault="00907533" w:rsidP="00907533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黄粒米含量/%                         ≤</w:t>
            </w:r>
          </w:p>
        </w:tc>
        <w:tc>
          <w:tcPr>
            <w:tcW w:w="2774" w:type="pct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0.2</w:t>
            </w:r>
          </w:p>
        </w:tc>
      </w:tr>
      <w:tr w:rsidR="00907533" w:rsidRPr="00907533" w:rsidTr="00907533">
        <w:tc>
          <w:tcPr>
            <w:tcW w:w="2226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907533" w:rsidRPr="00907533" w:rsidRDefault="00907533" w:rsidP="00907533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胶稠度/mm                            ≥</w:t>
            </w:r>
          </w:p>
        </w:tc>
        <w:tc>
          <w:tcPr>
            <w:tcW w:w="2774" w:type="pct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80</w:t>
            </w:r>
          </w:p>
        </w:tc>
      </w:tr>
      <w:tr w:rsidR="00907533" w:rsidRPr="00907533" w:rsidTr="00907533">
        <w:tc>
          <w:tcPr>
            <w:tcW w:w="2226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907533" w:rsidRPr="00907533" w:rsidRDefault="00907533" w:rsidP="00907533">
            <w:pPr>
              <w:ind w:right="90"/>
              <w:jc w:val="left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互混率/%                            ≤</w:t>
            </w:r>
          </w:p>
        </w:tc>
        <w:tc>
          <w:tcPr>
            <w:tcW w:w="2774" w:type="pct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5</w:t>
            </w:r>
          </w:p>
        </w:tc>
      </w:tr>
      <w:tr w:rsidR="00907533" w:rsidRPr="00907533" w:rsidTr="00907533">
        <w:trPr>
          <w:trHeight w:val="392"/>
        </w:trPr>
        <w:tc>
          <w:tcPr>
            <w:tcW w:w="2226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:rsidR="00907533" w:rsidRPr="00907533" w:rsidRDefault="00907533" w:rsidP="00907533">
            <w:pPr>
              <w:jc w:val="left"/>
              <w:rPr>
                <w:rFonts w:ascii="宋体" w:eastAsia="宋体" w:hAnsi="Times New Roman" w:cs="Times New Roman"/>
                <w:sz w:val="18"/>
                <w:szCs w:val="24"/>
                <w:highlight w:val="yellow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色泽、气味</w:t>
            </w:r>
          </w:p>
        </w:tc>
        <w:tc>
          <w:tcPr>
            <w:tcW w:w="2774" w:type="pct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7533" w:rsidRPr="00907533" w:rsidRDefault="00907533" w:rsidP="00907533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907533">
              <w:rPr>
                <w:rFonts w:ascii="宋体" w:eastAsia="宋体" w:hAnsi="Times New Roman" w:cs="Times New Roman" w:hint="eastAsia"/>
                <w:sz w:val="18"/>
                <w:szCs w:val="24"/>
              </w:rPr>
              <w:t>正常</w:t>
            </w:r>
          </w:p>
        </w:tc>
      </w:tr>
    </w:tbl>
    <w:p w:rsidR="00BA0900" w:rsidRPr="00E940AD" w:rsidRDefault="00BA0900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 w:eastAsia="宋体" w:hAnsi="Times New Roman" w:cs="Times New Roman"/>
          <w:kern w:val="0"/>
          <w:szCs w:val="20"/>
        </w:rPr>
      </w:pPr>
    </w:p>
    <w:p w:rsidR="00BA0900" w:rsidRDefault="003B3B8C">
      <w:pPr>
        <w:widowControl/>
        <w:tabs>
          <w:tab w:val="left" w:pos="360"/>
        </w:tabs>
        <w:spacing w:beforeLines="50" w:before="156" w:afterLines="50" w:after="156"/>
        <w:jc w:val="center"/>
        <w:rPr>
          <w:rFonts w:ascii="黑体" w:eastAsia="黑体" w:hAnsi="Times New Roman" w:cs="Times New Roman"/>
          <w:kern w:val="0"/>
          <w:szCs w:val="20"/>
        </w:rPr>
      </w:pPr>
      <w:r>
        <w:rPr>
          <w:rFonts w:ascii="黑体" w:eastAsia="黑体" w:hAnsi="Times New Roman" w:cs="Times New Roman" w:hint="eastAsia"/>
          <w:kern w:val="0"/>
          <w:szCs w:val="20"/>
        </w:rPr>
        <w:t xml:space="preserve">表2  </w:t>
      </w:r>
      <w:r w:rsidR="00C922B7">
        <w:rPr>
          <w:rFonts w:ascii="黑体" w:eastAsia="黑体" w:hAnsi="Times New Roman" w:cs="Times New Roman" w:hint="eastAsia"/>
          <w:kern w:val="0"/>
          <w:szCs w:val="20"/>
        </w:rPr>
        <w:t>营养指标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3736"/>
      </w:tblGrid>
      <w:tr w:rsidR="00C922B7" w:rsidRPr="00C922B7" w:rsidTr="00C922B7">
        <w:tc>
          <w:tcPr>
            <w:tcW w:w="2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922B7" w:rsidRPr="00C922B7" w:rsidRDefault="00C922B7" w:rsidP="00C922B7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C922B7">
              <w:rPr>
                <w:rFonts w:ascii="宋体" w:eastAsia="宋体" w:hAnsi="Times New Roman" w:cs="Times New Roman" w:hint="eastAsia"/>
                <w:sz w:val="18"/>
                <w:szCs w:val="24"/>
              </w:rPr>
              <w:t>项目</w:t>
            </w:r>
          </w:p>
        </w:tc>
        <w:tc>
          <w:tcPr>
            <w:tcW w:w="219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2B7" w:rsidRPr="00C922B7" w:rsidRDefault="00C922B7" w:rsidP="00C922B7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C922B7">
              <w:rPr>
                <w:rFonts w:ascii="宋体" w:eastAsia="宋体" w:hAnsi="Times New Roman" w:cs="Times New Roman" w:hint="eastAsia"/>
                <w:sz w:val="18"/>
                <w:szCs w:val="24"/>
              </w:rPr>
              <w:t>指标</w:t>
            </w:r>
          </w:p>
        </w:tc>
      </w:tr>
      <w:tr w:rsidR="00C922B7" w:rsidRPr="00C922B7" w:rsidTr="00C922B7">
        <w:tc>
          <w:tcPr>
            <w:tcW w:w="2808" w:type="pct"/>
            <w:tcBorders>
              <w:top w:val="single" w:sz="12" w:space="0" w:color="auto"/>
              <w:left w:val="single" w:sz="12" w:space="0" w:color="auto"/>
            </w:tcBorders>
          </w:tcPr>
          <w:p w:rsidR="00C922B7" w:rsidRPr="00C922B7" w:rsidRDefault="00C922B7" w:rsidP="00C922B7">
            <w:pPr>
              <w:jc w:val="left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C922B7">
              <w:rPr>
                <w:rFonts w:ascii="宋体" w:eastAsia="宋体" w:hAnsi="Times New Roman" w:cs="Times New Roman" w:hint="eastAsia"/>
                <w:sz w:val="18"/>
                <w:szCs w:val="24"/>
              </w:rPr>
              <w:t>钙/(mg/kg)                                     ≥</w:t>
            </w:r>
          </w:p>
        </w:tc>
        <w:tc>
          <w:tcPr>
            <w:tcW w:w="2192" w:type="pct"/>
            <w:tcBorders>
              <w:top w:val="single" w:sz="12" w:space="0" w:color="auto"/>
              <w:right w:val="single" w:sz="12" w:space="0" w:color="auto"/>
            </w:tcBorders>
          </w:tcPr>
          <w:p w:rsidR="00C922B7" w:rsidRPr="00C922B7" w:rsidRDefault="00C922B7" w:rsidP="00C922B7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C922B7">
              <w:rPr>
                <w:rFonts w:ascii="宋体" w:eastAsia="宋体" w:hAnsi="Times New Roman" w:cs="Times New Roman" w:hint="eastAsia"/>
                <w:sz w:val="18"/>
                <w:szCs w:val="24"/>
              </w:rPr>
              <w:t>65.0</w:t>
            </w:r>
          </w:p>
        </w:tc>
      </w:tr>
      <w:tr w:rsidR="00C922B7" w:rsidRPr="00C922B7" w:rsidTr="00C922B7">
        <w:tc>
          <w:tcPr>
            <w:tcW w:w="2808" w:type="pct"/>
            <w:tcBorders>
              <w:left w:val="single" w:sz="12" w:space="0" w:color="auto"/>
            </w:tcBorders>
          </w:tcPr>
          <w:p w:rsidR="00C922B7" w:rsidRPr="00C922B7" w:rsidRDefault="00C922B7" w:rsidP="00C922B7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C922B7">
              <w:rPr>
                <w:rFonts w:ascii="宋体" w:eastAsia="宋体" w:hAnsi="Times New Roman" w:cs="Times New Roman" w:hint="eastAsia"/>
                <w:sz w:val="18"/>
                <w:szCs w:val="24"/>
              </w:rPr>
              <w:t>铁/(mg/kg)                                     ≥</w:t>
            </w:r>
          </w:p>
        </w:tc>
        <w:tc>
          <w:tcPr>
            <w:tcW w:w="2192" w:type="pct"/>
            <w:tcBorders>
              <w:right w:val="single" w:sz="12" w:space="0" w:color="auto"/>
            </w:tcBorders>
          </w:tcPr>
          <w:p w:rsidR="00C922B7" w:rsidRPr="00C922B7" w:rsidRDefault="00C922B7" w:rsidP="00C922B7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C922B7">
              <w:rPr>
                <w:rFonts w:ascii="宋体" w:eastAsia="宋体" w:hAnsi="Times New Roman" w:cs="Times New Roman" w:hint="eastAsia"/>
                <w:sz w:val="18"/>
                <w:szCs w:val="24"/>
              </w:rPr>
              <w:t>13.0</w:t>
            </w:r>
          </w:p>
        </w:tc>
      </w:tr>
      <w:tr w:rsidR="00C922B7" w:rsidRPr="00C922B7" w:rsidTr="00C922B7">
        <w:tc>
          <w:tcPr>
            <w:tcW w:w="2808" w:type="pct"/>
            <w:tcBorders>
              <w:left w:val="single" w:sz="12" w:space="0" w:color="auto"/>
            </w:tcBorders>
          </w:tcPr>
          <w:p w:rsidR="00C922B7" w:rsidRPr="00C922B7" w:rsidRDefault="00C922B7" w:rsidP="00C922B7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C922B7">
              <w:rPr>
                <w:rFonts w:ascii="宋体" w:eastAsia="宋体" w:hAnsi="Times New Roman" w:cs="Times New Roman" w:hint="eastAsia"/>
                <w:sz w:val="18"/>
                <w:szCs w:val="24"/>
              </w:rPr>
              <w:t>蛋白质/%                                       ≥</w:t>
            </w:r>
          </w:p>
        </w:tc>
        <w:tc>
          <w:tcPr>
            <w:tcW w:w="2192" w:type="pct"/>
            <w:tcBorders>
              <w:right w:val="single" w:sz="12" w:space="0" w:color="auto"/>
            </w:tcBorders>
          </w:tcPr>
          <w:p w:rsidR="00C922B7" w:rsidRPr="00C922B7" w:rsidRDefault="00C922B7" w:rsidP="00C922B7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C922B7">
              <w:rPr>
                <w:rFonts w:ascii="宋体" w:eastAsia="宋体" w:hAnsi="Times New Roman" w:cs="Times New Roman" w:hint="eastAsia"/>
                <w:sz w:val="18"/>
                <w:szCs w:val="24"/>
              </w:rPr>
              <w:t>5.0-7.0</w:t>
            </w:r>
          </w:p>
        </w:tc>
      </w:tr>
      <w:tr w:rsidR="00C922B7" w:rsidRPr="00C922B7" w:rsidTr="00C922B7">
        <w:tc>
          <w:tcPr>
            <w:tcW w:w="2808" w:type="pct"/>
            <w:tcBorders>
              <w:left w:val="single" w:sz="12" w:space="0" w:color="auto"/>
            </w:tcBorders>
          </w:tcPr>
          <w:p w:rsidR="00C922B7" w:rsidRPr="00C922B7" w:rsidRDefault="00C922B7" w:rsidP="00C922B7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C922B7">
              <w:rPr>
                <w:rFonts w:ascii="宋体" w:eastAsia="宋体" w:hAnsi="Times New Roman" w:cs="Times New Roman" w:hint="eastAsia"/>
                <w:sz w:val="18"/>
                <w:szCs w:val="24"/>
              </w:rPr>
              <w:t>脂肪/%                                         ≥</w:t>
            </w:r>
          </w:p>
        </w:tc>
        <w:tc>
          <w:tcPr>
            <w:tcW w:w="2192" w:type="pct"/>
            <w:tcBorders>
              <w:right w:val="single" w:sz="12" w:space="0" w:color="auto"/>
            </w:tcBorders>
          </w:tcPr>
          <w:p w:rsidR="00C922B7" w:rsidRPr="00C922B7" w:rsidRDefault="00C922B7" w:rsidP="00C922B7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C922B7">
              <w:rPr>
                <w:rFonts w:ascii="宋体" w:eastAsia="宋体" w:hAnsi="Times New Roman" w:cs="Times New Roman" w:hint="eastAsia"/>
                <w:sz w:val="18"/>
                <w:szCs w:val="24"/>
              </w:rPr>
              <w:t>0.4-3.0</w:t>
            </w:r>
          </w:p>
        </w:tc>
      </w:tr>
      <w:tr w:rsidR="00C922B7" w:rsidRPr="00C922B7" w:rsidTr="00C922B7">
        <w:tc>
          <w:tcPr>
            <w:tcW w:w="2808" w:type="pct"/>
            <w:tcBorders>
              <w:left w:val="single" w:sz="12" w:space="0" w:color="auto"/>
            </w:tcBorders>
          </w:tcPr>
          <w:p w:rsidR="00C922B7" w:rsidRPr="00C922B7" w:rsidRDefault="00C922B7" w:rsidP="00C922B7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C922B7">
              <w:rPr>
                <w:rFonts w:ascii="宋体" w:eastAsia="宋体" w:hAnsi="Times New Roman" w:cs="Times New Roman" w:hint="eastAsia"/>
                <w:sz w:val="18"/>
                <w:szCs w:val="24"/>
              </w:rPr>
              <w:t>膳食纤维/%                                     ≥</w:t>
            </w:r>
          </w:p>
        </w:tc>
        <w:tc>
          <w:tcPr>
            <w:tcW w:w="2192" w:type="pct"/>
            <w:tcBorders>
              <w:right w:val="single" w:sz="12" w:space="0" w:color="auto"/>
            </w:tcBorders>
          </w:tcPr>
          <w:p w:rsidR="00C922B7" w:rsidRPr="00C922B7" w:rsidRDefault="00C922B7" w:rsidP="00C922B7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C922B7">
              <w:rPr>
                <w:rFonts w:ascii="宋体" w:eastAsia="宋体" w:hAnsi="Times New Roman" w:cs="Times New Roman" w:hint="eastAsia"/>
                <w:sz w:val="18"/>
                <w:szCs w:val="24"/>
              </w:rPr>
              <w:t>2.0</w:t>
            </w:r>
          </w:p>
        </w:tc>
      </w:tr>
      <w:tr w:rsidR="00C922B7" w:rsidRPr="00C922B7" w:rsidTr="00C922B7">
        <w:tc>
          <w:tcPr>
            <w:tcW w:w="2808" w:type="pct"/>
            <w:tcBorders>
              <w:left w:val="single" w:sz="12" w:space="0" w:color="auto"/>
            </w:tcBorders>
          </w:tcPr>
          <w:p w:rsidR="00C922B7" w:rsidRPr="00C922B7" w:rsidRDefault="00C922B7" w:rsidP="00C922B7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C922B7">
              <w:rPr>
                <w:rFonts w:ascii="宋体" w:eastAsia="宋体" w:hAnsi="Times New Roman" w:cs="Times New Roman" w:hint="eastAsia"/>
                <w:sz w:val="18"/>
                <w:szCs w:val="24"/>
              </w:rPr>
              <w:t>锌/(mg/kg)                                     ≥</w:t>
            </w:r>
          </w:p>
        </w:tc>
        <w:tc>
          <w:tcPr>
            <w:tcW w:w="2192" w:type="pct"/>
            <w:tcBorders>
              <w:right w:val="single" w:sz="12" w:space="0" w:color="auto"/>
            </w:tcBorders>
          </w:tcPr>
          <w:p w:rsidR="00C922B7" w:rsidRPr="00C922B7" w:rsidRDefault="00C922B7" w:rsidP="00C922B7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C922B7">
              <w:rPr>
                <w:rFonts w:ascii="宋体" w:eastAsia="宋体" w:hAnsi="Times New Roman" w:cs="Times New Roman" w:hint="eastAsia"/>
                <w:sz w:val="18"/>
                <w:szCs w:val="24"/>
              </w:rPr>
              <w:t>12.0</w:t>
            </w:r>
          </w:p>
        </w:tc>
      </w:tr>
      <w:tr w:rsidR="00C922B7" w:rsidRPr="00C922B7" w:rsidTr="00C922B7">
        <w:tc>
          <w:tcPr>
            <w:tcW w:w="2808" w:type="pct"/>
            <w:tcBorders>
              <w:left w:val="single" w:sz="12" w:space="0" w:color="auto"/>
            </w:tcBorders>
          </w:tcPr>
          <w:p w:rsidR="00C922B7" w:rsidRPr="00C922B7" w:rsidRDefault="00C922B7" w:rsidP="00C922B7">
            <w:pPr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C922B7">
              <w:rPr>
                <w:rFonts w:ascii="宋体" w:eastAsia="宋体" w:hAnsi="Times New Roman" w:cs="Times New Roman" w:hint="eastAsia"/>
                <w:sz w:val="18"/>
                <w:szCs w:val="24"/>
              </w:rPr>
              <w:t>肌醇六磷酸（IP6）/(mg/kg)                      ≥</w:t>
            </w:r>
          </w:p>
        </w:tc>
        <w:tc>
          <w:tcPr>
            <w:tcW w:w="2192" w:type="pct"/>
            <w:tcBorders>
              <w:right w:val="single" w:sz="12" w:space="0" w:color="auto"/>
            </w:tcBorders>
          </w:tcPr>
          <w:p w:rsidR="00C922B7" w:rsidRPr="00C922B7" w:rsidRDefault="00C922B7" w:rsidP="00C922B7">
            <w:pPr>
              <w:jc w:val="center"/>
              <w:rPr>
                <w:rFonts w:ascii="宋体" w:eastAsia="宋体" w:hAnsi="Times New Roman" w:cs="Times New Roman"/>
                <w:sz w:val="18"/>
                <w:szCs w:val="24"/>
              </w:rPr>
            </w:pPr>
            <w:r w:rsidRPr="00C922B7">
              <w:rPr>
                <w:rFonts w:ascii="宋体" w:eastAsia="宋体" w:hAnsi="Times New Roman" w:cs="Times New Roman" w:hint="eastAsia"/>
                <w:sz w:val="18"/>
                <w:szCs w:val="24"/>
              </w:rPr>
              <w:t>900.0</w:t>
            </w:r>
          </w:p>
        </w:tc>
      </w:tr>
    </w:tbl>
    <w:p w:rsidR="00E940AD" w:rsidRDefault="00E940AD">
      <w:pPr>
        <w:widowControl/>
        <w:tabs>
          <w:tab w:val="left" w:pos="360"/>
        </w:tabs>
        <w:spacing w:beforeLines="50" w:before="156" w:afterLines="50" w:after="156"/>
        <w:jc w:val="center"/>
        <w:rPr>
          <w:rFonts w:ascii="黑体" w:eastAsia="黑体" w:hAnsi="Times New Roman" w:cs="Times New Roman"/>
          <w:kern w:val="0"/>
          <w:szCs w:val="20"/>
        </w:rPr>
      </w:pPr>
    </w:p>
    <w:p w:rsidR="00BA0900" w:rsidRDefault="00230469">
      <w:pPr>
        <w:pStyle w:val="a8"/>
        <w:numPr>
          <w:ilvl w:val="0"/>
          <w:numId w:val="5"/>
        </w:numPr>
        <w:spacing w:beforeLines="50" w:before="156" w:afterLines="50" w:after="156"/>
        <w:ind w:left="1797" w:firstLineChars="0" w:hanging="1077"/>
        <w:jc w:val="left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食品</w:t>
      </w:r>
      <w:r w:rsidR="00907533">
        <w:rPr>
          <w:rFonts w:ascii="楷体_GB2312" w:eastAsia="楷体_GB2312" w:hAnsi="黑体" w:hint="eastAsia"/>
          <w:sz w:val="32"/>
          <w:szCs w:val="32"/>
        </w:rPr>
        <w:t>安全</w:t>
      </w:r>
      <w:r w:rsidR="003B3B8C">
        <w:rPr>
          <w:rFonts w:ascii="楷体_GB2312" w:eastAsia="楷体_GB2312" w:hAnsi="黑体" w:hint="eastAsia"/>
          <w:sz w:val="32"/>
          <w:szCs w:val="32"/>
        </w:rPr>
        <w:t>指标</w:t>
      </w:r>
    </w:p>
    <w:p w:rsidR="00FF1D24" w:rsidRDefault="00226098" w:rsidP="00FF1D24">
      <w:pPr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有毒有害菌类应符合</w:t>
      </w:r>
      <w:r w:rsidRPr="00226098">
        <w:rPr>
          <w:rFonts w:ascii="仿宋_GB2312" w:eastAsia="仿宋_GB2312" w:hAnsiTheme="minorEastAsia" w:hint="eastAsia"/>
          <w:sz w:val="32"/>
          <w:szCs w:val="32"/>
        </w:rPr>
        <w:t>GB 2715的规定，麦角不得检出</w:t>
      </w:r>
      <w:r>
        <w:rPr>
          <w:rFonts w:ascii="仿宋_GB2312" w:eastAsia="仿宋_GB2312" w:hAnsiTheme="minorEastAsia" w:hint="eastAsia"/>
          <w:sz w:val="32"/>
          <w:szCs w:val="32"/>
        </w:rPr>
        <w:t>。真菌毒素、污染物和农药残留等应符合</w:t>
      </w:r>
      <w:r w:rsidRPr="00226098">
        <w:rPr>
          <w:rFonts w:ascii="仿宋_GB2312" w:eastAsia="仿宋_GB2312" w:hAnsiTheme="minorEastAsia" w:hint="eastAsia"/>
          <w:sz w:val="32"/>
          <w:szCs w:val="32"/>
        </w:rPr>
        <w:t>LS/T 3247</w:t>
      </w:r>
      <w:r>
        <w:rPr>
          <w:rFonts w:ascii="仿宋_GB2312" w:eastAsia="仿宋_GB2312" w:hAnsiTheme="minorEastAsia" w:hint="eastAsia"/>
          <w:sz w:val="32"/>
          <w:szCs w:val="32"/>
        </w:rPr>
        <w:t>提出的安全指数要求</w:t>
      </w:r>
      <w:r w:rsidR="003B3B8C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BA0900" w:rsidRDefault="003B3B8C">
      <w:pPr>
        <w:pStyle w:val="a8"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重大意见分歧的处理依据和结果</w:t>
      </w:r>
    </w:p>
    <w:p w:rsidR="00BA0900" w:rsidRDefault="003B3B8C">
      <w:pPr>
        <w:pStyle w:val="a8"/>
        <w:spacing w:line="360" w:lineRule="auto"/>
        <w:ind w:left="720" w:firstLineChars="0" w:firstLine="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无。</w:t>
      </w:r>
    </w:p>
    <w:p w:rsidR="00BA0900" w:rsidRDefault="003B3B8C">
      <w:pPr>
        <w:pStyle w:val="a8"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与现行相关法律、法规和标准的关系</w:t>
      </w:r>
    </w:p>
    <w:p w:rsidR="00BA0900" w:rsidRDefault="003B3B8C">
      <w:pPr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本标准的编制符合</w:t>
      </w:r>
      <w:r w:rsidR="00CE36A6">
        <w:rPr>
          <w:rFonts w:ascii="仿宋_GB2312" w:eastAsia="仿宋_GB2312" w:hAnsiTheme="minorEastAsia" w:hint="eastAsia"/>
          <w:sz w:val="32"/>
          <w:szCs w:val="32"/>
        </w:rPr>
        <w:t>稻谷及</w:t>
      </w:r>
      <w:r>
        <w:rPr>
          <w:rFonts w:ascii="仿宋_GB2312" w:eastAsia="仿宋_GB2312" w:hAnsiTheme="minorEastAsia" w:hint="eastAsia"/>
          <w:sz w:val="32"/>
          <w:szCs w:val="32"/>
        </w:rPr>
        <w:t>大米的政策法规要求，并以相关标准为依据，与相关要求相一致。</w:t>
      </w:r>
    </w:p>
    <w:p w:rsidR="00BA0900" w:rsidRDefault="003B3B8C">
      <w:pPr>
        <w:pStyle w:val="a8"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贯彻标准的措施建议</w:t>
      </w:r>
    </w:p>
    <w:p w:rsidR="00BA0900" w:rsidRDefault="003B3B8C">
      <w:pPr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本标准发布后，</w:t>
      </w:r>
      <w:r w:rsidR="00F65A77">
        <w:rPr>
          <w:rFonts w:ascii="仿宋_GB2312" w:eastAsia="仿宋_GB2312" w:hAnsiTheme="minorEastAsia" w:hint="eastAsia"/>
          <w:sz w:val="32"/>
          <w:szCs w:val="32"/>
        </w:rPr>
        <w:t>长沙市</w:t>
      </w:r>
      <w:r w:rsidR="007841E9">
        <w:rPr>
          <w:rFonts w:ascii="仿宋_GB2312" w:eastAsia="仿宋_GB2312" w:hAnsiTheme="minorEastAsia" w:hint="eastAsia"/>
          <w:sz w:val="32"/>
          <w:szCs w:val="32"/>
        </w:rPr>
        <w:t>标准化</w:t>
      </w:r>
      <w:r w:rsidR="00F65A77">
        <w:rPr>
          <w:rFonts w:ascii="仿宋_GB2312" w:eastAsia="仿宋_GB2312" w:hAnsiTheme="minorEastAsia" w:hint="eastAsia"/>
          <w:sz w:val="32"/>
          <w:szCs w:val="32"/>
        </w:rPr>
        <w:t>协会及袁梦农业将</w:t>
      </w:r>
      <w:r>
        <w:rPr>
          <w:rFonts w:ascii="仿宋_GB2312" w:eastAsia="仿宋_GB2312" w:hAnsiTheme="minorEastAsia" w:hint="eastAsia"/>
          <w:sz w:val="32"/>
          <w:szCs w:val="32"/>
        </w:rPr>
        <w:t>对团体内部成员及产业链上下游企业进行宣贯及培训，使标准使用者了解</w:t>
      </w:r>
      <w:r w:rsidR="00F65A77">
        <w:rPr>
          <w:rFonts w:ascii="仿宋_GB2312" w:eastAsia="仿宋_GB2312" w:hAnsiTheme="minorEastAsia" w:hint="eastAsia"/>
          <w:sz w:val="32"/>
          <w:szCs w:val="32"/>
        </w:rPr>
        <w:t>盐碱地鲜米</w:t>
      </w:r>
      <w:r>
        <w:rPr>
          <w:rFonts w:ascii="仿宋_GB2312" w:eastAsia="仿宋_GB2312" w:hAnsiTheme="minorEastAsia" w:hint="eastAsia"/>
          <w:sz w:val="32"/>
          <w:szCs w:val="32"/>
        </w:rPr>
        <w:t>的概念及</w:t>
      </w:r>
      <w:r w:rsidR="00F65A77">
        <w:rPr>
          <w:rFonts w:ascii="仿宋_GB2312" w:eastAsia="仿宋_GB2312" w:hAnsiTheme="minorEastAsia" w:hint="eastAsia"/>
          <w:sz w:val="32"/>
          <w:szCs w:val="32"/>
        </w:rPr>
        <w:t>具体</w:t>
      </w:r>
      <w:r>
        <w:rPr>
          <w:rFonts w:ascii="仿宋_GB2312" w:eastAsia="仿宋_GB2312" w:hAnsiTheme="minorEastAsia" w:hint="eastAsia"/>
          <w:sz w:val="32"/>
          <w:szCs w:val="32"/>
        </w:rPr>
        <w:t>要求，</w:t>
      </w:r>
      <w:bookmarkStart w:id="0" w:name="_GoBack"/>
      <w:bookmarkEnd w:id="0"/>
      <w:r>
        <w:rPr>
          <w:rFonts w:ascii="仿宋_GB2312" w:eastAsia="仿宋_GB2312" w:hAnsiTheme="minorEastAsia" w:hint="eastAsia"/>
          <w:sz w:val="32"/>
          <w:szCs w:val="32"/>
        </w:rPr>
        <w:t>认识到</w:t>
      </w:r>
      <w:r w:rsidR="00F65A77">
        <w:rPr>
          <w:rFonts w:ascii="仿宋_GB2312" w:eastAsia="仿宋_GB2312" w:hAnsiTheme="minorEastAsia" w:hint="eastAsia"/>
          <w:sz w:val="32"/>
          <w:szCs w:val="32"/>
        </w:rPr>
        <w:t>盐碱地鲜米</w:t>
      </w:r>
      <w:r>
        <w:rPr>
          <w:rFonts w:ascii="仿宋_GB2312" w:eastAsia="仿宋_GB2312" w:hAnsiTheme="minorEastAsia" w:hint="eastAsia"/>
          <w:sz w:val="32"/>
          <w:szCs w:val="32"/>
        </w:rPr>
        <w:t>的市场价值和意义，意识到</w:t>
      </w:r>
      <w:r w:rsidRPr="004E2108">
        <w:rPr>
          <w:rFonts w:ascii="仿宋_GB2312" w:eastAsia="仿宋_GB2312" w:hAnsiTheme="minorEastAsia" w:hint="eastAsia"/>
          <w:sz w:val="32"/>
          <w:szCs w:val="32"/>
        </w:rPr>
        <w:t>规范</w:t>
      </w:r>
      <w:r w:rsidR="004E2108" w:rsidRPr="004E2108">
        <w:rPr>
          <w:rFonts w:ascii="仿宋_GB2312" w:eastAsia="仿宋_GB2312" w:hAnsiTheme="minorEastAsia" w:hint="eastAsia"/>
          <w:sz w:val="32"/>
          <w:szCs w:val="32"/>
        </w:rPr>
        <w:t>盐碱地鲜米质量，</w:t>
      </w:r>
      <w:r w:rsidR="00F5740E">
        <w:rPr>
          <w:rFonts w:ascii="仿宋_GB2312" w:eastAsia="仿宋_GB2312" w:hAnsiTheme="minorEastAsia" w:hint="eastAsia"/>
          <w:sz w:val="32"/>
          <w:szCs w:val="32"/>
        </w:rPr>
        <w:t>对</w:t>
      </w:r>
      <w:r w:rsidR="00AF11E8">
        <w:rPr>
          <w:rFonts w:ascii="仿宋_GB2312" w:eastAsia="仿宋_GB2312" w:hAnsiTheme="minorEastAsia" w:hint="eastAsia"/>
          <w:sz w:val="32"/>
          <w:szCs w:val="32"/>
        </w:rPr>
        <w:t>打开盐碱地产品市场，</w:t>
      </w:r>
      <w:r w:rsidR="00EE49BC">
        <w:rPr>
          <w:rFonts w:ascii="仿宋_GB2312" w:eastAsia="仿宋_GB2312" w:hAnsiTheme="minorEastAsia" w:hint="eastAsia"/>
          <w:sz w:val="32"/>
          <w:szCs w:val="32"/>
        </w:rPr>
        <w:t>推动盐碱地综合利用</w:t>
      </w:r>
      <w:r w:rsidR="00AF11E8">
        <w:rPr>
          <w:rFonts w:ascii="仿宋_GB2312" w:eastAsia="仿宋_GB2312" w:hAnsiTheme="minorEastAsia" w:hint="eastAsia"/>
          <w:sz w:val="32"/>
          <w:szCs w:val="32"/>
        </w:rPr>
        <w:t>、缓解</w:t>
      </w:r>
      <w:r w:rsidR="00AF11E8" w:rsidRPr="00782027">
        <w:rPr>
          <w:rFonts w:ascii="仿宋_GB2312" w:eastAsia="仿宋_GB2312" w:hAnsiTheme="minorEastAsia" w:hint="eastAsia"/>
          <w:sz w:val="32"/>
          <w:szCs w:val="32"/>
        </w:rPr>
        <w:t>粮食短缺、缓解土地资源短缺、保障粮食安全</w:t>
      </w:r>
      <w:r w:rsidRPr="004E2108">
        <w:rPr>
          <w:rFonts w:ascii="仿宋_GB2312" w:eastAsia="仿宋_GB2312" w:hAnsiTheme="minorEastAsia" w:hint="eastAsia"/>
          <w:sz w:val="32"/>
          <w:szCs w:val="32"/>
        </w:rPr>
        <w:t>的益处。</w:t>
      </w:r>
      <w:r>
        <w:rPr>
          <w:rFonts w:ascii="仿宋_GB2312" w:eastAsia="仿宋_GB2312" w:hAnsiTheme="minorEastAsia" w:hint="eastAsia"/>
          <w:sz w:val="32"/>
          <w:szCs w:val="32"/>
        </w:rPr>
        <w:t>通过对</w:t>
      </w:r>
      <w:r w:rsidR="00F65A77">
        <w:rPr>
          <w:rFonts w:ascii="仿宋_GB2312" w:eastAsia="仿宋_GB2312" w:hAnsiTheme="minorEastAsia" w:hint="eastAsia"/>
          <w:sz w:val="32"/>
          <w:szCs w:val="32"/>
        </w:rPr>
        <w:t>盐碱地鲜米</w:t>
      </w:r>
      <w:r>
        <w:rPr>
          <w:rFonts w:ascii="仿宋_GB2312" w:eastAsia="仿宋_GB2312" w:hAnsiTheme="minorEastAsia" w:hint="eastAsia"/>
          <w:sz w:val="32"/>
          <w:szCs w:val="32"/>
        </w:rPr>
        <w:t>指标及检测方法等进行</w:t>
      </w:r>
      <w:r w:rsidR="00D172A5">
        <w:rPr>
          <w:rFonts w:ascii="仿宋_GB2312" w:eastAsia="仿宋_GB2312" w:hAnsiTheme="minorEastAsia" w:hint="eastAsia"/>
          <w:sz w:val="32"/>
          <w:szCs w:val="32"/>
        </w:rPr>
        <w:t>了解</w:t>
      </w:r>
      <w:r>
        <w:rPr>
          <w:rFonts w:ascii="仿宋_GB2312" w:eastAsia="仿宋_GB2312" w:hAnsiTheme="minorEastAsia" w:hint="eastAsia"/>
          <w:sz w:val="32"/>
          <w:szCs w:val="32"/>
        </w:rPr>
        <w:t>学习，使种植方、收购方、</w:t>
      </w:r>
      <w:r w:rsidR="00D172A5">
        <w:rPr>
          <w:rFonts w:ascii="仿宋_GB2312" w:eastAsia="仿宋_GB2312" w:hAnsiTheme="minorEastAsia" w:hint="eastAsia"/>
          <w:sz w:val="32"/>
          <w:szCs w:val="32"/>
        </w:rPr>
        <w:t>销售方</w:t>
      </w:r>
      <w:r>
        <w:rPr>
          <w:rFonts w:ascii="仿宋_GB2312" w:eastAsia="仿宋_GB2312" w:hAnsiTheme="minorEastAsia" w:hint="eastAsia"/>
          <w:sz w:val="32"/>
          <w:szCs w:val="32"/>
        </w:rPr>
        <w:t>等能</w:t>
      </w:r>
      <w:r w:rsidR="00D172A5">
        <w:rPr>
          <w:rFonts w:ascii="仿宋_GB2312" w:eastAsia="仿宋_GB2312" w:hAnsiTheme="minorEastAsia" w:hint="eastAsia"/>
          <w:sz w:val="32"/>
          <w:szCs w:val="32"/>
        </w:rPr>
        <w:t>严格按照</w:t>
      </w:r>
      <w:r>
        <w:rPr>
          <w:rFonts w:ascii="仿宋_GB2312" w:eastAsia="仿宋_GB2312" w:hAnsiTheme="minorEastAsia" w:hint="eastAsia"/>
          <w:sz w:val="32"/>
          <w:szCs w:val="32"/>
        </w:rPr>
        <w:t>标准要求</w:t>
      </w:r>
      <w:r w:rsidR="00D172A5">
        <w:rPr>
          <w:rFonts w:ascii="仿宋_GB2312" w:eastAsia="仿宋_GB2312" w:hAnsiTheme="minorEastAsia" w:hint="eastAsia"/>
          <w:sz w:val="32"/>
          <w:szCs w:val="32"/>
        </w:rPr>
        <w:t>执行，</w:t>
      </w:r>
      <w:r>
        <w:rPr>
          <w:rFonts w:ascii="仿宋_GB2312" w:eastAsia="仿宋_GB2312" w:hAnsiTheme="minorEastAsia" w:hint="eastAsia"/>
          <w:sz w:val="32"/>
          <w:szCs w:val="32"/>
        </w:rPr>
        <w:t>为</w:t>
      </w:r>
      <w:r w:rsidR="00F5740E">
        <w:rPr>
          <w:rFonts w:ascii="仿宋_GB2312" w:eastAsia="仿宋_GB2312" w:hAnsiTheme="minorEastAsia" w:hint="eastAsia"/>
          <w:sz w:val="32"/>
          <w:szCs w:val="32"/>
        </w:rPr>
        <w:t>保障盐碱地鲜米质量和品质，为</w:t>
      </w:r>
      <w:r>
        <w:rPr>
          <w:rFonts w:ascii="仿宋_GB2312" w:eastAsia="仿宋_GB2312" w:hAnsiTheme="minorEastAsia" w:hint="eastAsia"/>
          <w:sz w:val="32"/>
          <w:szCs w:val="32"/>
        </w:rPr>
        <w:t>更多</w:t>
      </w:r>
      <w:r w:rsidR="00EE49BC">
        <w:rPr>
          <w:rFonts w:ascii="仿宋_GB2312" w:eastAsia="仿宋_GB2312" w:hAnsiTheme="minorEastAsia" w:hint="eastAsia"/>
          <w:sz w:val="32"/>
          <w:szCs w:val="32"/>
        </w:rPr>
        <w:t>的盐碱地产品</w:t>
      </w:r>
      <w:r>
        <w:rPr>
          <w:rFonts w:ascii="仿宋_GB2312" w:eastAsia="仿宋_GB2312" w:hAnsiTheme="minorEastAsia" w:hint="eastAsia"/>
          <w:sz w:val="32"/>
          <w:szCs w:val="32"/>
        </w:rPr>
        <w:t>的</w:t>
      </w:r>
      <w:r w:rsidR="004D40C2">
        <w:rPr>
          <w:rFonts w:ascii="仿宋_GB2312" w:eastAsia="仿宋_GB2312" w:hAnsiTheme="minorEastAsia" w:hint="eastAsia"/>
          <w:sz w:val="32"/>
          <w:szCs w:val="32"/>
        </w:rPr>
        <w:t>开发、</w:t>
      </w:r>
      <w:r>
        <w:rPr>
          <w:rFonts w:ascii="仿宋_GB2312" w:eastAsia="仿宋_GB2312" w:hAnsiTheme="minorEastAsia" w:hint="eastAsia"/>
          <w:sz w:val="32"/>
          <w:szCs w:val="32"/>
        </w:rPr>
        <w:t>生产助力。</w:t>
      </w:r>
    </w:p>
    <w:p w:rsidR="00BA0900" w:rsidRDefault="003B3B8C">
      <w:pPr>
        <w:spacing w:line="360" w:lineRule="auto"/>
        <w:ind w:right="480"/>
        <w:jc w:val="righ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标准编制组</w:t>
      </w:r>
    </w:p>
    <w:p w:rsidR="00BA0900" w:rsidRDefault="003B3B8C">
      <w:pPr>
        <w:spacing w:line="360" w:lineRule="auto"/>
        <w:jc w:val="right"/>
      </w:pPr>
      <w:r>
        <w:rPr>
          <w:rFonts w:ascii="仿宋_GB2312" w:eastAsia="仿宋_GB2312" w:hAnsiTheme="minorEastAsia" w:hint="eastAsia"/>
          <w:sz w:val="32"/>
          <w:szCs w:val="32"/>
        </w:rPr>
        <w:t>202</w:t>
      </w:r>
      <w:r w:rsidR="004D40C2">
        <w:rPr>
          <w:rFonts w:ascii="仿宋_GB2312" w:eastAsia="仿宋_GB2312" w:hAnsiTheme="minorEastAsia" w:hint="eastAsia"/>
          <w:sz w:val="32"/>
          <w:szCs w:val="32"/>
        </w:rPr>
        <w:t>4</w:t>
      </w:r>
      <w:r>
        <w:rPr>
          <w:rFonts w:ascii="仿宋_GB2312" w:eastAsia="仿宋_GB2312" w:hAnsiTheme="minorEastAsia" w:hint="eastAsia"/>
          <w:sz w:val="32"/>
          <w:szCs w:val="32"/>
        </w:rPr>
        <w:t>年</w:t>
      </w:r>
      <w:r w:rsidR="004D40C2">
        <w:rPr>
          <w:rFonts w:ascii="仿宋_GB2312" w:eastAsia="仿宋_GB2312" w:hAnsiTheme="minorEastAsia" w:hint="eastAsia"/>
          <w:sz w:val="32"/>
          <w:szCs w:val="32"/>
        </w:rPr>
        <w:t>7</w:t>
      </w:r>
      <w:r>
        <w:rPr>
          <w:rFonts w:ascii="仿宋_GB2312" w:eastAsia="仿宋_GB2312" w:hAnsiTheme="minorEastAsia" w:hint="eastAsia"/>
          <w:sz w:val="32"/>
          <w:szCs w:val="32"/>
        </w:rPr>
        <w:t>月</w:t>
      </w:r>
      <w:r w:rsidR="004D40C2">
        <w:rPr>
          <w:rFonts w:ascii="仿宋_GB2312" w:eastAsia="仿宋_GB2312" w:hAnsiTheme="minorEastAsia" w:hint="eastAsia"/>
          <w:sz w:val="32"/>
          <w:szCs w:val="32"/>
        </w:rPr>
        <w:t>17</w:t>
      </w:r>
      <w:r>
        <w:rPr>
          <w:rFonts w:ascii="仿宋_GB2312" w:eastAsia="仿宋_GB2312" w:hAnsiTheme="minorEastAsia" w:hint="eastAsia"/>
          <w:sz w:val="32"/>
          <w:szCs w:val="32"/>
        </w:rPr>
        <w:t>日</w:t>
      </w:r>
    </w:p>
    <w:sectPr w:rsidR="00BA090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6B" w:rsidRDefault="0081096B">
      <w:r>
        <w:separator/>
      </w:r>
    </w:p>
  </w:endnote>
  <w:endnote w:type="continuationSeparator" w:id="0">
    <w:p w:rsidR="0081096B" w:rsidRDefault="0081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4780"/>
    </w:sdtPr>
    <w:sdtEndPr/>
    <w:sdtContent>
      <w:p w:rsidR="00BA0900" w:rsidRDefault="003B3B8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1E9" w:rsidRPr="007841E9">
          <w:rPr>
            <w:noProof/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:rsidR="00BA0900" w:rsidRDefault="00BA09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6B" w:rsidRDefault="0081096B">
      <w:r>
        <w:separator/>
      </w:r>
    </w:p>
  </w:footnote>
  <w:footnote w:type="continuationSeparator" w:id="0">
    <w:p w:rsidR="0081096B" w:rsidRDefault="00810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441"/>
    <w:multiLevelType w:val="multilevel"/>
    <w:tmpl w:val="0AE51441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A354237"/>
    <w:multiLevelType w:val="multilevel"/>
    <w:tmpl w:val="3A354237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9FBEB4E"/>
    <w:multiLevelType w:val="singleLevel"/>
    <w:tmpl w:val="59FBEB4E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60B12950"/>
    <w:multiLevelType w:val="multilevel"/>
    <w:tmpl w:val="60B1295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5525A2"/>
    <w:multiLevelType w:val="multilevel"/>
    <w:tmpl w:val="625525A2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646260FA"/>
    <w:multiLevelType w:val="multilevel"/>
    <w:tmpl w:val="646260FA"/>
    <w:lvl w:ilvl="0">
      <w:start w:val="1"/>
      <w:numFmt w:val="decimal"/>
      <w:pStyle w:val="a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NDMzNjY4ZjEyOGQ3ZWE5YzY0NGQ1MGIxZDc0ZWMifQ=="/>
  </w:docVars>
  <w:rsids>
    <w:rsidRoot w:val="001B3A00"/>
    <w:rsid w:val="00004A80"/>
    <w:rsid w:val="00004D6D"/>
    <w:rsid w:val="000154B2"/>
    <w:rsid w:val="00020250"/>
    <w:rsid w:val="000244A5"/>
    <w:rsid w:val="000258BF"/>
    <w:rsid w:val="00025B1B"/>
    <w:rsid w:val="000345D5"/>
    <w:rsid w:val="00036F1B"/>
    <w:rsid w:val="00044CEA"/>
    <w:rsid w:val="00051352"/>
    <w:rsid w:val="000567F0"/>
    <w:rsid w:val="00064884"/>
    <w:rsid w:val="00064F5B"/>
    <w:rsid w:val="00065323"/>
    <w:rsid w:val="00066512"/>
    <w:rsid w:val="0006748E"/>
    <w:rsid w:val="00070B66"/>
    <w:rsid w:val="000737B8"/>
    <w:rsid w:val="00073F1A"/>
    <w:rsid w:val="000775EC"/>
    <w:rsid w:val="00085E9C"/>
    <w:rsid w:val="0009048A"/>
    <w:rsid w:val="00093C8A"/>
    <w:rsid w:val="000956CB"/>
    <w:rsid w:val="000975F3"/>
    <w:rsid w:val="000A311B"/>
    <w:rsid w:val="000B17DC"/>
    <w:rsid w:val="000C0D5F"/>
    <w:rsid w:val="000C40F0"/>
    <w:rsid w:val="000C5FBA"/>
    <w:rsid w:val="000C6DE9"/>
    <w:rsid w:val="000C7C7D"/>
    <w:rsid w:val="000D612C"/>
    <w:rsid w:val="000E3DE1"/>
    <w:rsid w:val="000F4B30"/>
    <w:rsid w:val="000F4F56"/>
    <w:rsid w:val="000F518B"/>
    <w:rsid w:val="000F79F1"/>
    <w:rsid w:val="00100968"/>
    <w:rsid w:val="00101E9F"/>
    <w:rsid w:val="00114234"/>
    <w:rsid w:val="0011461D"/>
    <w:rsid w:val="00116176"/>
    <w:rsid w:val="00122504"/>
    <w:rsid w:val="00123333"/>
    <w:rsid w:val="00125764"/>
    <w:rsid w:val="001265A3"/>
    <w:rsid w:val="00140510"/>
    <w:rsid w:val="001429D9"/>
    <w:rsid w:val="001438E4"/>
    <w:rsid w:val="00143B00"/>
    <w:rsid w:val="00144193"/>
    <w:rsid w:val="00145DA7"/>
    <w:rsid w:val="00147934"/>
    <w:rsid w:val="00155C43"/>
    <w:rsid w:val="00156B17"/>
    <w:rsid w:val="00156FEE"/>
    <w:rsid w:val="00157A07"/>
    <w:rsid w:val="00160259"/>
    <w:rsid w:val="001608A1"/>
    <w:rsid w:val="00160BF9"/>
    <w:rsid w:val="00162732"/>
    <w:rsid w:val="0016696E"/>
    <w:rsid w:val="0016713C"/>
    <w:rsid w:val="00173BB8"/>
    <w:rsid w:val="00173C38"/>
    <w:rsid w:val="001744D6"/>
    <w:rsid w:val="00185BBF"/>
    <w:rsid w:val="001902DC"/>
    <w:rsid w:val="00190FEB"/>
    <w:rsid w:val="0019109B"/>
    <w:rsid w:val="001916B6"/>
    <w:rsid w:val="0019276C"/>
    <w:rsid w:val="00194F1E"/>
    <w:rsid w:val="00195BD8"/>
    <w:rsid w:val="00197E43"/>
    <w:rsid w:val="001A14D1"/>
    <w:rsid w:val="001A398D"/>
    <w:rsid w:val="001A3F76"/>
    <w:rsid w:val="001B0241"/>
    <w:rsid w:val="001B34EE"/>
    <w:rsid w:val="001B3A00"/>
    <w:rsid w:val="001B579D"/>
    <w:rsid w:val="001C2287"/>
    <w:rsid w:val="001C23DC"/>
    <w:rsid w:val="001D5DFD"/>
    <w:rsid w:val="001D6767"/>
    <w:rsid w:val="001E1D1E"/>
    <w:rsid w:val="001F360B"/>
    <w:rsid w:val="001F3EEA"/>
    <w:rsid w:val="001F56DE"/>
    <w:rsid w:val="001F64FA"/>
    <w:rsid w:val="0021454D"/>
    <w:rsid w:val="0021470B"/>
    <w:rsid w:val="002152E8"/>
    <w:rsid w:val="00220402"/>
    <w:rsid w:val="00226098"/>
    <w:rsid w:val="00230469"/>
    <w:rsid w:val="00235145"/>
    <w:rsid w:val="0024113A"/>
    <w:rsid w:val="00245E56"/>
    <w:rsid w:val="002504D9"/>
    <w:rsid w:val="002531F2"/>
    <w:rsid w:val="002619E2"/>
    <w:rsid w:val="002672DA"/>
    <w:rsid w:val="00286714"/>
    <w:rsid w:val="0028773E"/>
    <w:rsid w:val="002907CB"/>
    <w:rsid w:val="00291055"/>
    <w:rsid w:val="002937EC"/>
    <w:rsid w:val="002A04F6"/>
    <w:rsid w:val="002A6DAC"/>
    <w:rsid w:val="002C07A9"/>
    <w:rsid w:val="002C2609"/>
    <w:rsid w:val="002C2A72"/>
    <w:rsid w:val="002C5CB8"/>
    <w:rsid w:val="002C72F4"/>
    <w:rsid w:val="002D2AD8"/>
    <w:rsid w:val="002D76C4"/>
    <w:rsid w:val="002E6003"/>
    <w:rsid w:val="002E7692"/>
    <w:rsid w:val="002F0B04"/>
    <w:rsid w:val="002F2575"/>
    <w:rsid w:val="002F6BE9"/>
    <w:rsid w:val="002F7079"/>
    <w:rsid w:val="00302AC8"/>
    <w:rsid w:val="003064B2"/>
    <w:rsid w:val="00306679"/>
    <w:rsid w:val="003101B3"/>
    <w:rsid w:val="00312D3E"/>
    <w:rsid w:val="00313B90"/>
    <w:rsid w:val="00314899"/>
    <w:rsid w:val="003212AD"/>
    <w:rsid w:val="00321521"/>
    <w:rsid w:val="00324111"/>
    <w:rsid w:val="00332B4C"/>
    <w:rsid w:val="00333839"/>
    <w:rsid w:val="00336D5C"/>
    <w:rsid w:val="0033789A"/>
    <w:rsid w:val="00342C2F"/>
    <w:rsid w:val="00342ED7"/>
    <w:rsid w:val="0034366C"/>
    <w:rsid w:val="0035411E"/>
    <w:rsid w:val="003566B1"/>
    <w:rsid w:val="00357BF4"/>
    <w:rsid w:val="00361553"/>
    <w:rsid w:val="003618CE"/>
    <w:rsid w:val="00364285"/>
    <w:rsid w:val="00365189"/>
    <w:rsid w:val="00376AB1"/>
    <w:rsid w:val="003777E5"/>
    <w:rsid w:val="00380553"/>
    <w:rsid w:val="00380D61"/>
    <w:rsid w:val="003846C7"/>
    <w:rsid w:val="00393CB7"/>
    <w:rsid w:val="00397E7C"/>
    <w:rsid w:val="003A1094"/>
    <w:rsid w:val="003A130B"/>
    <w:rsid w:val="003A5095"/>
    <w:rsid w:val="003B0FF5"/>
    <w:rsid w:val="003B3B8C"/>
    <w:rsid w:val="003B52F5"/>
    <w:rsid w:val="003C2082"/>
    <w:rsid w:val="003C3062"/>
    <w:rsid w:val="003D0CCC"/>
    <w:rsid w:val="003D6BBE"/>
    <w:rsid w:val="003E0674"/>
    <w:rsid w:val="003E15BF"/>
    <w:rsid w:val="003E36DB"/>
    <w:rsid w:val="003E3CB3"/>
    <w:rsid w:val="003E4B20"/>
    <w:rsid w:val="003E6110"/>
    <w:rsid w:val="003F1AC9"/>
    <w:rsid w:val="003F69A4"/>
    <w:rsid w:val="00401EF9"/>
    <w:rsid w:val="0040577A"/>
    <w:rsid w:val="00406F03"/>
    <w:rsid w:val="00407D22"/>
    <w:rsid w:val="004108A4"/>
    <w:rsid w:val="00413689"/>
    <w:rsid w:val="00422350"/>
    <w:rsid w:val="004244A3"/>
    <w:rsid w:val="00430ED4"/>
    <w:rsid w:val="00434828"/>
    <w:rsid w:val="004372B2"/>
    <w:rsid w:val="0043773B"/>
    <w:rsid w:val="004426C5"/>
    <w:rsid w:val="00451BB2"/>
    <w:rsid w:val="00451F9D"/>
    <w:rsid w:val="00452144"/>
    <w:rsid w:val="004544C4"/>
    <w:rsid w:val="004576E0"/>
    <w:rsid w:val="00460B2E"/>
    <w:rsid w:val="00461B3D"/>
    <w:rsid w:val="004641CE"/>
    <w:rsid w:val="004650CE"/>
    <w:rsid w:val="0047241D"/>
    <w:rsid w:val="00474BB2"/>
    <w:rsid w:val="0048413A"/>
    <w:rsid w:val="004850E0"/>
    <w:rsid w:val="00485FAF"/>
    <w:rsid w:val="00486347"/>
    <w:rsid w:val="00492F16"/>
    <w:rsid w:val="00494569"/>
    <w:rsid w:val="004A21CA"/>
    <w:rsid w:val="004A2F8B"/>
    <w:rsid w:val="004A6901"/>
    <w:rsid w:val="004B4BB1"/>
    <w:rsid w:val="004B6F8B"/>
    <w:rsid w:val="004C042A"/>
    <w:rsid w:val="004C17E8"/>
    <w:rsid w:val="004C2320"/>
    <w:rsid w:val="004C4430"/>
    <w:rsid w:val="004C478C"/>
    <w:rsid w:val="004C5342"/>
    <w:rsid w:val="004C63F2"/>
    <w:rsid w:val="004C697E"/>
    <w:rsid w:val="004C6D78"/>
    <w:rsid w:val="004D1BDD"/>
    <w:rsid w:val="004D3487"/>
    <w:rsid w:val="004D3862"/>
    <w:rsid w:val="004D40C2"/>
    <w:rsid w:val="004D48A3"/>
    <w:rsid w:val="004D5FD3"/>
    <w:rsid w:val="004E2108"/>
    <w:rsid w:val="004E7259"/>
    <w:rsid w:val="004F0AEF"/>
    <w:rsid w:val="004F1862"/>
    <w:rsid w:val="004F6C1B"/>
    <w:rsid w:val="0050781A"/>
    <w:rsid w:val="00507E97"/>
    <w:rsid w:val="00515084"/>
    <w:rsid w:val="00515B74"/>
    <w:rsid w:val="00525190"/>
    <w:rsid w:val="00525FCB"/>
    <w:rsid w:val="00527DCB"/>
    <w:rsid w:val="00527DD3"/>
    <w:rsid w:val="005354E2"/>
    <w:rsid w:val="00537318"/>
    <w:rsid w:val="00542BC3"/>
    <w:rsid w:val="00545444"/>
    <w:rsid w:val="0055191B"/>
    <w:rsid w:val="00551D5C"/>
    <w:rsid w:val="0055253A"/>
    <w:rsid w:val="00556581"/>
    <w:rsid w:val="00560370"/>
    <w:rsid w:val="00570CC7"/>
    <w:rsid w:val="0057221A"/>
    <w:rsid w:val="005810F2"/>
    <w:rsid w:val="00584BA5"/>
    <w:rsid w:val="00587E6D"/>
    <w:rsid w:val="00590917"/>
    <w:rsid w:val="005920E5"/>
    <w:rsid w:val="005949D0"/>
    <w:rsid w:val="005977B3"/>
    <w:rsid w:val="005A1658"/>
    <w:rsid w:val="005A4000"/>
    <w:rsid w:val="005B4C72"/>
    <w:rsid w:val="005B699B"/>
    <w:rsid w:val="005C0856"/>
    <w:rsid w:val="005C20E2"/>
    <w:rsid w:val="005C37C3"/>
    <w:rsid w:val="005C494E"/>
    <w:rsid w:val="005C69BE"/>
    <w:rsid w:val="005D0D85"/>
    <w:rsid w:val="005D3E63"/>
    <w:rsid w:val="005D480B"/>
    <w:rsid w:val="005D71D0"/>
    <w:rsid w:val="005E0E02"/>
    <w:rsid w:val="005E191E"/>
    <w:rsid w:val="00600853"/>
    <w:rsid w:val="006015DB"/>
    <w:rsid w:val="00602D33"/>
    <w:rsid w:val="006050DA"/>
    <w:rsid w:val="00605760"/>
    <w:rsid w:val="00606A50"/>
    <w:rsid w:val="00610C93"/>
    <w:rsid w:val="00611082"/>
    <w:rsid w:val="006145CB"/>
    <w:rsid w:val="00615816"/>
    <w:rsid w:val="0062025B"/>
    <w:rsid w:val="00621689"/>
    <w:rsid w:val="00621FD9"/>
    <w:rsid w:val="0062627C"/>
    <w:rsid w:val="00626B68"/>
    <w:rsid w:val="0062788F"/>
    <w:rsid w:val="0063626E"/>
    <w:rsid w:val="006476F8"/>
    <w:rsid w:val="00650970"/>
    <w:rsid w:val="00651546"/>
    <w:rsid w:val="00651572"/>
    <w:rsid w:val="006528CF"/>
    <w:rsid w:val="00661D98"/>
    <w:rsid w:val="006625B0"/>
    <w:rsid w:val="006717F6"/>
    <w:rsid w:val="00671F74"/>
    <w:rsid w:val="00675B7A"/>
    <w:rsid w:val="0067684F"/>
    <w:rsid w:val="00682408"/>
    <w:rsid w:val="00682508"/>
    <w:rsid w:val="00696A91"/>
    <w:rsid w:val="006A00FB"/>
    <w:rsid w:val="006A17EF"/>
    <w:rsid w:val="006A4167"/>
    <w:rsid w:val="006A7BAA"/>
    <w:rsid w:val="006B11F1"/>
    <w:rsid w:val="006B1488"/>
    <w:rsid w:val="006B74B5"/>
    <w:rsid w:val="006C2569"/>
    <w:rsid w:val="006C6644"/>
    <w:rsid w:val="006D0091"/>
    <w:rsid w:val="006D2008"/>
    <w:rsid w:val="006D32AD"/>
    <w:rsid w:val="006D40CF"/>
    <w:rsid w:val="006D71E6"/>
    <w:rsid w:val="006E6DD5"/>
    <w:rsid w:val="006F7A76"/>
    <w:rsid w:val="00702BA2"/>
    <w:rsid w:val="00707A4C"/>
    <w:rsid w:val="00711FA6"/>
    <w:rsid w:val="00721E3F"/>
    <w:rsid w:val="00722A3B"/>
    <w:rsid w:val="00723A59"/>
    <w:rsid w:val="0073640F"/>
    <w:rsid w:val="00742FD5"/>
    <w:rsid w:val="007450C8"/>
    <w:rsid w:val="0076662D"/>
    <w:rsid w:val="00767DE8"/>
    <w:rsid w:val="00775BAD"/>
    <w:rsid w:val="007764C0"/>
    <w:rsid w:val="00776E4B"/>
    <w:rsid w:val="007775E5"/>
    <w:rsid w:val="00780894"/>
    <w:rsid w:val="00782027"/>
    <w:rsid w:val="00783AF8"/>
    <w:rsid w:val="007841E9"/>
    <w:rsid w:val="0078423B"/>
    <w:rsid w:val="007875DC"/>
    <w:rsid w:val="00787771"/>
    <w:rsid w:val="00787E6F"/>
    <w:rsid w:val="00791921"/>
    <w:rsid w:val="007A0CBB"/>
    <w:rsid w:val="007A1EA9"/>
    <w:rsid w:val="007B25E3"/>
    <w:rsid w:val="007B28AC"/>
    <w:rsid w:val="007B554C"/>
    <w:rsid w:val="007B6EE7"/>
    <w:rsid w:val="007C1C21"/>
    <w:rsid w:val="007C2861"/>
    <w:rsid w:val="007C39E5"/>
    <w:rsid w:val="007C4C6A"/>
    <w:rsid w:val="007C5C2F"/>
    <w:rsid w:val="007D55BA"/>
    <w:rsid w:val="007D6671"/>
    <w:rsid w:val="007D6C7D"/>
    <w:rsid w:val="007E051F"/>
    <w:rsid w:val="007E150C"/>
    <w:rsid w:val="007E34E7"/>
    <w:rsid w:val="007F34AE"/>
    <w:rsid w:val="007F35BB"/>
    <w:rsid w:val="007F3644"/>
    <w:rsid w:val="0080186D"/>
    <w:rsid w:val="00802265"/>
    <w:rsid w:val="00802A86"/>
    <w:rsid w:val="00807171"/>
    <w:rsid w:val="0081096B"/>
    <w:rsid w:val="00810FE7"/>
    <w:rsid w:val="00812621"/>
    <w:rsid w:val="008131D5"/>
    <w:rsid w:val="008146CD"/>
    <w:rsid w:val="0082179D"/>
    <w:rsid w:val="00824347"/>
    <w:rsid w:val="00825479"/>
    <w:rsid w:val="008264B9"/>
    <w:rsid w:val="00830190"/>
    <w:rsid w:val="00831020"/>
    <w:rsid w:val="00835749"/>
    <w:rsid w:val="008374E1"/>
    <w:rsid w:val="00837E65"/>
    <w:rsid w:val="00844F08"/>
    <w:rsid w:val="008452B7"/>
    <w:rsid w:val="00845E3F"/>
    <w:rsid w:val="00850AFE"/>
    <w:rsid w:val="00853343"/>
    <w:rsid w:val="00855796"/>
    <w:rsid w:val="00855C69"/>
    <w:rsid w:val="00860D62"/>
    <w:rsid w:val="0086240E"/>
    <w:rsid w:val="00865A97"/>
    <w:rsid w:val="0086698E"/>
    <w:rsid w:val="0086725B"/>
    <w:rsid w:val="00872EB4"/>
    <w:rsid w:val="00873A84"/>
    <w:rsid w:val="00877C20"/>
    <w:rsid w:val="008805DD"/>
    <w:rsid w:val="00881B10"/>
    <w:rsid w:val="00884A79"/>
    <w:rsid w:val="00887984"/>
    <w:rsid w:val="00892089"/>
    <w:rsid w:val="0089219D"/>
    <w:rsid w:val="00894CCA"/>
    <w:rsid w:val="008A02A6"/>
    <w:rsid w:val="008A34F0"/>
    <w:rsid w:val="008A7F2D"/>
    <w:rsid w:val="008B01A0"/>
    <w:rsid w:val="008B154D"/>
    <w:rsid w:val="008B1900"/>
    <w:rsid w:val="008B1B60"/>
    <w:rsid w:val="008B2DD1"/>
    <w:rsid w:val="008C33B9"/>
    <w:rsid w:val="008C467C"/>
    <w:rsid w:val="008C67D5"/>
    <w:rsid w:val="008C6FFB"/>
    <w:rsid w:val="008C78D4"/>
    <w:rsid w:val="008D5B3F"/>
    <w:rsid w:val="008D6E44"/>
    <w:rsid w:val="008E0039"/>
    <w:rsid w:val="008E01A9"/>
    <w:rsid w:val="008E11B0"/>
    <w:rsid w:val="008E1FC3"/>
    <w:rsid w:val="008E2CA8"/>
    <w:rsid w:val="008F6B42"/>
    <w:rsid w:val="008F7AF3"/>
    <w:rsid w:val="00900444"/>
    <w:rsid w:val="0090052D"/>
    <w:rsid w:val="009050DE"/>
    <w:rsid w:val="00906E84"/>
    <w:rsid w:val="00907533"/>
    <w:rsid w:val="00912C1F"/>
    <w:rsid w:val="00921110"/>
    <w:rsid w:val="00924413"/>
    <w:rsid w:val="00927355"/>
    <w:rsid w:val="00933E8C"/>
    <w:rsid w:val="009464F6"/>
    <w:rsid w:val="00946C12"/>
    <w:rsid w:val="009533F4"/>
    <w:rsid w:val="0096464D"/>
    <w:rsid w:val="00966DA6"/>
    <w:rsid w:val="00972795"/>
    <w:rsid w:val="00972B81"/>
    <w:rsid w:val="00972D91"/>
    <w:rsid w:val="00976BC2"/>
    <w:rsid w:val="009819D9"/>
    <w:rsid w:val="0098657C"/>
    <w:rsid w:val="00986DB7"/>
    <w:rsid w:val="0098776C"/>
    <w:rsid w:val="00987868"/>
    <w:rsid w:val="0099089A"/>
    <w:rsid w:val="009909A3"/>
    <w:rsid w:val="009972B4"/>
    <w:rsid w:val="009A11F4"/>
    <w:rsid w:val="009A185C"/>
    <w:rsid w:val="009A21E9"/>
    <w:rsid w:val="009A3F03"/>
    <w:rsid w:val="009A513D"/>
    <w:rsid w:val="009B081B"/>
    <w:rsid w:val="009B18E1"/>
    <w:rsid w:val="009B4552"/>
    <w:rsid w:val="009B6E34"/>
    <w:rsid w:val="009B794D"/>
    <w:rsid w:val="009C0571"/>
    <w:rsid w:val="009C0793"/>
    <w:rsid w:val="009C2116"/>
    <w:rsid w:val="009C5936"/>
    <w:rsid w:val="009C6FDD"/>
    <w:rsid w:val="009D032A"/>
    <w:rsid w:val="009D14C4"/>
    <w:rsid w:val="009D17C1"/>
    <w:rsid w:val="009D23B3"/>
    <w:rsid w:val="009D5BAF"/>
    <w:rsid w:val="009E0AA7"/>
    <w:rsid w:val="009E138A"/>
    <w:rsid w:val="009E3B0D"/>
    <w:rsid w:val="009E5ACB"/>
    <w:rsid w:val="009E7ACD"/>
    <w:rsid w:val="009E7BD9"/>
    <w:rsid w:val="009F33EA"/>
    <w:rsid w:val="009F351E"/>
    <w:rsid w:val="009F6E54"/>
    <w:rsid w:val="00A02731"/>
    <w:rsid w:val="00A15B64"/>
    <w:rsid w:val="00A16132"/>
    <w:rsid w:val="00A17BDF"/>
    <w:rsid w:val="00A21547"/>
    <w:rsid w:val="00A246A4"/>
    <w:rsid w:val="00A35794"/>
    <w:rsid w:val="00A369B6"/>
    <w:rsid w:val="00A41308"/>
    <w:rsid w:val="00A42A09"/>
    <w:rsid w:val="00A43264"/>
    <w:rsid w:val="00A46AF9"/>
    <w:rsid w:val="00A47853"/>
    <w:rsid w:val="00A5497F"/>
    <w:rsid w:val="00A67077"/>
    <w:rsid w:val="00A71092"/>
    <w:rsid w:val="00A76EBC"/>
    <w:rsid w:val="00A831AF"/>
    <w:rsid w:val="00A84003"/>
    <w:rsid w:val="00A87E03"/>
    <w:rsid w:val="00A93C8F"/>
    <w:rsid w:val="00A95286"/>
    <w:rsid w:val="00AA1C9D"/>
    <w:rsid w:val="00AA3913"/>
    <w:rsid w:val="00AA3F25"/>
    <w:rsid w:val="00AA51A9"/>
    <w:rsid w:val="00AA5FA6"/>
    <w:rsid w:val="00AA6538"/>
    <w:rsid w:val="00AA71A6"/>
    <w:rsid w:val="00AB0307"/>
    <w:rsid w:val="00AB16A3"/>
    <w:rsid w:val="00AB1DF8"/>
    <w:rsid w:val="00AB2B6B"/>
    <w:rsid w:val="00AB2EBE"/>
    <w:rsid w:val="00AB3FB0"/>
    <w:rsid w:val="00AC3D27"/>
    <w:rsid w:val="00AC6F38"/>
    <w:rsid w:val="00AD157D"/>
    <w:rsid w:val="00AD4B61"/>
    <w:rsid w:val="00AD6812"/>
    <w:rsid w:val="00AD6A8B"/>
    <w:rsid w:val="00AE3AC7"/>
    <w:rsid w:val="00AF0560"/>
    <w:rsid w:val="00AF11E8"/>
    <w:rsid w:val="00AF7B3B"/>
    <w:rsid w:val="00B047A0"/>
    <w:rsid w:val="00B10F48"/>
    <w:rsid w:val="00B119C7"/>
    <w:rsid w:val="00B1565E"/>
    <w:rsid w:val="00B25E8E"/>
    <w:rsid w:val="00B26349"/>
    <w:rsid w:val="00B273C9"/>
    <w:rsid w:val="00B30DE0"/>
    <w:rsid w:val="00B32CE6"/>
    <w:rsid w:val="00B32E24"/>
    <w:rsid w:val="00B35F02"/>
    <w:rsid w:val="00B37297"/>
    <w:rsid w:val="00B421BA"/>
    <w:rsid w:val="00B43871"/>
    <w:rsid w:val="00B45443"/>
    <w:rsid w:val="00B560AB"/>
    <w:rsid w:val="00B565C6"/>
    <w:rsid w:val="00B56BD4"/>
    <w:rsid w:val="00B61FFA"/>
    <w:rsid w:val="00B633F3"/>
    <w:rsid w:val="00B65F05"/>
    <w:rsid w:val="00B66201"/>
    <w:rsid w:val="00B74965"/>
    <w:rsid w:val="00B8131D"/>
    <w:rsid w:val="00B81484"/>
    <w:rsid w:val="00B81DB2"/>
    <w:rsid w:val="00B83EC0"/>
    <w:rsid w:val="00B85906"/>
    <w:rsid w:val="00B90250"/>
    <w:rsid w:val="00B920FF"/>
    <w:rsid w:val="00B9414A"/>
    <w:rsid w:val="00B949D3"/>
    <w:rsid w:val="00B9533E"/>
    <w:rsid w:val="00BA075C"/>
    <w:rsid w:val="00BA0900"/>
    <w:rsid w:val="00BA1D31"/>
    <w:rsid w:val="00BA1D4E"/>
    <w:rsid w:val="00BA236F"/>
    <w:rsid w:val="00BA3C88"/>
    <w:rsid w:val="00BA3CF4"/>
    <w:rsid w:val="00BA40D3"/>
    <w:rsid w:val="00BA6BE8"/>
    <w:rsid w:val="00BB0E9B"/>
    <w:rsid w:val="00BB3755"/>
    <w:rsid w:val="00BB4BD6"/>
    <w:rsid w:val="00BB50AC"/>
    <w:rsid w:val="00BC0331"/>
    <w:rsid w:val="00BC13D3"/>
    <w:rsid w:val="00BC2AC1"/>
    <w:rsid w:val="00BC3D4E"/>
    <w:rsid w:val="00BD790C"/>
    <w:rsid w:val="00BE39C2"/>
    <w:rsid w:val="00BE553B"/>
    <w:rsid w:val="00BF42FF"/>
    <w:rsid w:val="00BF495A"/>
    <w:rsid w:val="00BF5E34"/>
    <w:rsid w:val="00BF6180"/>
    <w:rsid w:val="00C01CD8"/>
    <w:rsid w:val="00C11DA4"/>
    <w:rsid w:val="00C1691E"/>
    <w:rsid w:val="00C215CF"/>
    <w:rsid w:val="00C218EE"/>
    <w:rsid w:val="00C22BF2"/>
    <w:rsid w:val="00C331E2"/>
    <w:rsid w:val="00C360AF"/>
    <w:rsid w:val="00C374A6"/>
    <w:rsid w:val="00C525C7"/>
    <w:rsid w:val="00C71FED"/>
    <w:rsid w:val="00C72C33"/>
    <w:rsid w:val="00C732AF"/>
    <w:rsid w:val="00C76187"/>
    <w:rsid w:val="00C84F8E"/>
    <w:rsid w:val="00C86F51"/>
    <w:rsid w:val="00C922B7"/>
    <w:rsid w:val="00C941CE"/>
    <w:rsid w:val="00C94D29"/>
    <w:rsid w:val="00C95B7B"/>
    <w:rsid w:val="00C96947"/>
    <w:rsid w:val="00CA5165"/>
    <w:rsid w:val="00CB33C6"/>
    <w:rsid w:val="00CB3DAB"/>
    <w:rsid w:val="00CB5F22"/>
    <w:rsid w:val="00CB67F7"/>
    <w:rsid w:val="00CC3A5C"/>
    <w:rsid w:val="00CC4B6F"/>
    <w:rsid w:val="00CD25FE"/>
    <w:rsid w:val="00CD2762"/>
    <w:rsid w:val="00CD4CB3"/>
    <w:rsid w:val="00CE15C6"/>
    <w:rsid w:val="00CE170D"/>
    <w:rsid w:val="00CE2A5A"/>
    <w:rsid w:val="00CE36A6"/>
    <w:rsid w:val="00CE67B4"/>
    <w:rsid w:val="00CF3F3D"/>
    <w:rsid w:val="00D00760"/>
    <w:rsid w:val="00D02030"/>
    <w:rsid w:val="00D03629"/>
    <w:rsid w:val="00D10735"/>
    <w:rsid w:val="00D12DD1"/>
    <w:rsid w:val="00D1356E"/>
    <w:rsid w:val="00D153BF"/>
    <w:rsid w:val="00D15B3D"/>
    <w:rsid w:val="00D161F3"/>
    <w:rsid w:val="00D16B20"/>
    <w:rsid w:val="00D172A5"/>
    <w:rsid w:val="00D23804"/>
    <w:rsid w:val="00D2528B"/>
    <w:rsid w:val="00D3248A"/>
    <w:rsid w:val="00D32624"/>
    <w:rsid w:val="00D374B0"/>
    <w:rsid w:val="00D40066"/>
    <w:rsid w:val="00D4052C"/>
    <w:rsid w:val="00D4397A"/>
    <w:rsid w:val="00D445DF"/>
    <w:rsid w:val="00D45D66"/>
    <w:rsid w:val="00D47892"/>
    <w:rsid w:val="00D50FBD"/>
    <w:rsid w:val="00D626CE"/>
    <w:rsid w:val="00D62744"/>
    <w:rsid w:val="00D74E78"/>
    <w:rsid w:val="00D75318"/>
    <w:rsid w:val="00D77A90"/>
    <w:rsid w:val="00D80844"/>
    <w:rsid w:val="00D810A2"/>
    <w:rsid w:val="00D86B62"/>
    <w:rsid w:val="00D94EAD"/>
    <w:rsid w:val="00DA1A6F"/>
    <w:rsid w:val="00DA2365"/>
    <w:rsid w:val="00DA27ED"/>
    <w:rsid w:val="00DA6AE0"/>
    <w:rsid w:val="00DB4246"/>
    <w:rsid w:val="00DB4B9B"/>
    <w:rsid w:val="00DB50EF"/>
    <w:rsid w:val="00DC0BEA"/>
    <w:rsid w:val="00DC6181"/>
    <w:rsid w:val="00DD0367"/>
    <w:rsid w:val="00DD6622"/>
    <w:rsid w:val="00DE42E3"/>
    <w:rsid w:val="00DE7BF6"/>
    <w:rsid w:val="00DE7E11"/>
    <w:rsid w:val="00DF45EF"/>
    <w:rsid w:val="00DF554B"/>
    <w:rsid w:val="00E100D6"/>
    <w:rsid w:val="00E12646"/>
    <w:rsid w:val="00E14143"/>
    <w:rsid w:val="00E15F30"/>
    <w:rsid w:val="00E20EC0"/>
    <w:rsid w:val="00E23EFE"/>
    <w:rsid w:val="00E241BF"/>
    <w:rsid w:val="00E339EC"/>
    <w:rsid w:val="00E3447F"/>
    <w:rsid w:val="00E35417"/>
    <w:rsid w:val="00E3627C"/>
    <w:rsid w:val="00E40B5B"/>
    <w:rsid w:val="00E432BC"/>
    <w:rsid w:val="00E436FD"/>
    <w:rsid w:val="00E46C0C"/>
    <w:rsid w:val="00E5551C"/>
    <w:rsid w:val="00E5678F"/>
    <w:rsid w:val="00E56F47"/>
    <w:rsid w:val="00E65D76"/>
    <w:rsid w:val="00E70144"/>
    <w:rsid w:val="00E7090A"/>
    <w:rsid w:val="00E76C75"/>
    <w:rsid w:val="00E84090"/>
    <w:rsid w:val="00E940AD"/>
    <w:rsid w:val="00EA1C93"/>
    <w:rsid w:val="00EA1FAB"/>
    <w:rsid w:val="00EA3468"/>
    <w:rsid w:val="00EA3873"/>
    <w:rsid w:val="00EA4B07"/>
    <w:rsid w:val="00EA669E"/>
    <w:rsid w:val="00EB2A1F"/>
    <w:rsid w:val="00EC1FE5"/>
    <w:rsid w:val="00EC21B8"/>
    <w:rsid w:val="00EC331E"/>
    <w:rsid w:val="00EC5BA3"/>
    <w:rsid w:val="00EC5D03"/>
    <w:rsid w:val="00EC76D8"/>
    <w:rsid w:val="00ED1831"/>
    <w:rsid w:val="00ED3AF2"/>
    <w:rsid w:val="00ED4289"/>
    <w:rsid w:val="00ED4E8E"/>
    <w:rsid w:val="00ED6BAC"/>
    <w:rsid w:val="00EE08A5"/>
    <w:rsid w:val="00EE0C46"/>
    <w:rsid w:val="00EE49BC"/>
    <w:rsid w:val="00EF63BD"/>
    <w:rsid w:val="00F10121"/>
    <w:rsid w:val="00F127EA"/>
    <w:rsid w:val="00F16485"/>
    <w:rsid w:val="00F16DFE"/>
    <w:rsid w:val="00F2114C"/>
    <w:rsid w:val="00F2149B"/>
    <w:rsid w:val="00F22829"/>
    <w:rsid w:val="00F2538D"/>
    <w:rsid w:val="00F26FD5"/>
    <w:rsid w:val="00F27544"/>
    <w:rsid w:val="00F27C06"/>
    <w:rsid w:val="00F3198A"/>
    <w:rsid w:val="00F32CFD"/>
    <w:rsid w:val="00F35A48"/>
    <w:rsid w:val="00F36295"/>
    <w:rsid w:val="00F3760D"/>
    <w:rsid w:val="00F4731D"/>
    <w:rsid w:val="00F521F5"/>
    <w:rsid w:val="00F52AE4"/>
    <w:rsid w:val="00F558C5"/>
    <w:rsid w:val="00F5740E"/>
    <w:rsid w:val="00F6376B"/>
    <w:rsid w:val="00F63E16"/>
    <w:rsid w:val="00F641C8"/>
    <w:rsid w:val="00F65A77"/>
    <w:rsid w:val="00F6761A"/>
    <w:rsid w:val="00F83D2D"/>
    <w:rsid w:val="00F843A2"/>
    <w:rsid w:val="00F84F7F"/>
    <w:rsid w:val="00F86235"/>
    <w:rsid w:val="00FA0B31"/>
    <w:rsid w:val="00FA5BFC"/>
    <w:rsid w:val="00FB0118"/>
    <w:rsid w:val="00FB0D26"/>
    <w:rsid w:val="00FC7635"/>
    <w:rsid w:val="00FC7EFE"/>
    <w:rsid w:val="00FD2055"/>
    <w:rsid w:val="00FD3EED"/>
    <w:rsid w:val="00FD4D24"/>
    <w:rsid w:val="00FD6B87"/>
    <w:rsid w:val="00FD701E"/>
    <w:rsid w:val="00FE57F2"/>
    <w:rsid w:val="00FF0439"/>
    <w:rsid w:val="00FF1D24"/>
    <w:rsid w:val="00FF2EDC"/>
    <w:rsid w:val="00FF3F68"/>
    <w:rsid w:val="00FF4978"/>
    <w:rsid w:val="0121613B"/>
    <w:rsid w:val="04C05B6E"/>
    <w:rsid w:val="05851238"/>
    <w:rsid w:val="0E5E58DB"/>
    <w:rsid w:val="1855471B"/>
    <w:rsid w:val="23C779BA"/>
    <w:rsid w:val="25E14C48"/>
    <w:rsid w:val="3B903503"/>
    <w:rsid w:val="3E267F59"/>
    <w:rsid w:val="44896AD9"/>
    <w:rsid w:val="52A120B9"/>
    <w:rsid w:val="55AA5601"/>
    <w:rsid w:val="6A07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Pr>
      <w:rFonts w:ascii="宋体" w:eastAsia="宋体" w:hAnsi="Times New Roman" w:cs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paragraph" w:styleId="a8">
    <w:name w:val="List Paragraph"/>
    <w:basedOn w:val="a0"/>
    <w:uiPriority w:val="99"/>
    <w:qFormat/>
    <w:pPr>
      <w:ind w:firstLineChars="200" w:firstLine="420"/>
    </w:pPr>
  </w:style>
  <w:style w:type="paragraph" w:customStyle="1" w:styleId="a9">
    <w:name w:val="段"/>
    <w:link w:val="Char2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2">
    <w:name w:val="段 Char"/>
    <w:link w:val="a9"/>
    <w:qFormat/>
    <w:rPr>
      <w:rFonts w:ascii="宋体" w:eastAsia="宋体" w:hAnsi="Times New Roman" w:cs="Times New Roman"/>
      <w:kern w:val="0"/>
      <w:szCs w:val="20"/>
    </w:rPr>
  </w:style>
  <w:style w:type="paragraph" w:customStyle="1" w:styleId="a">
    <w:name w:val="正文表标题"/>
    <w:next w:val="a0"/>
    <w:qFormat/>
    <w:pPr>
      <w:numPr>
        <w:numId w:val="1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 w:hAnsi="Times New Roman" w:cs="Times New Roman"/>
      <w:sz w:val="21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kern w:val="2"/>
      <w:sz w:val="18"/>
      <w:szCs w:val="18"/>
    </w:rPr>
  </w:style>
  <w:style w:type="paragraph" w:styleId="aa">
    <w:name w:val="Revision"/>
    <w:hidden/>
    <w:uiPriority w:val="99"/>
    <w:unhideWhenUsed/>
    <w:rsid w:val="00AB1DF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Pr>
      <w:rFonts w:ascii="宋体" w:eastAsia="宋体" w:hAnsi="Times New Roman" w:cs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paragraph" w:styleId="a8">
    <w:name w:val="List Paragraph"/>
    <w:basedOn w:val="a0"/>
    <w:uiPriority w:val="99"/>
    <w:qFormat/>
    <w:pPr>
      <w:ind w:firstLineChars="200" w:firstLine="420"/>
    </w:pPr>
  </w:style>
  <w:style w:type="paragraph" w:customStyle="1" w:styleId="a9">
    <w:name w:val="段"/>
    <w:link w:val="Char2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2">
    <w:name w:val="段 Char"/>
    <w:link w:val="a9"/>
    <w:qFormat/>
    <w:rPr>
      <w:rFonts w:ascii="宋体" w:eastAsia="宋体" w:hAnsi="Times New Roman" w:cs="Times New Roman"/>
      <w:kern w:val="0"/>
      <w:szCs w:val="20"/>
    </w:rPr>
  </w:style>
  <w:style w:type="paragraph" w:customStyle="1" w:styleId="a">
    <w:name w:val="正文表标题"/>
    <w:next w:val="a0"/>
    <w:qFormat/>
    <w:pPr>
      <w:numPr>
        <w:numId w:val="1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 w:hAnsi="Times New Roman" w:cs="Times New Roman"/>
      <w:sz w:val="21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kern w:val="2"/>
      <w:sz w:val="18"/>
      <w:szCs w:val="18"/>
    </w:rPr>
  </w:style>
  <w:style w:type="paragraph" w:styleId="aa">
    <w:name w:val="Revision"/>
    <w:hidden/>
    <w:uiPriority w:val="99"/>
    <w:unhideWhenUsed/>
    <w:rsid w:val="00AB1D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628</Words>
  <Characters>3586</Characters>
  <Application>Microsoft Office Word</Application>
  <DocSecurity>0</DocSecurity>
  <Lines>29</Lines>
  <Paragraphs>8</Paragraphs>
  <ScaleCrop>false</ScaleCrop>
  <Company>长沙市标准化协会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66</cp:revision>
  <dcterms:created xsi:type="dcterms:W3CDTF">2022-09-14T02:36:00Z</dcterms:created>
  <dcterms:modified xsi:type="dcterms:W3CDTF">2024-07-22T08:33:00Z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7C40445D9018457D9C619D6EE8C14DD0</vt:lpwstr>
  </property>
</Properties>
</file>