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98" w:rsidRDefault="00471898">
      <w:pPr>
        <w:widowControl/>
        <w:adjustRightInd w:val="0"/>
        <w:snapToGrid w:val="0"/>
        <w:spacing w:after="200" w:line="360" w:lineRule="auto"/>
        <w:jc w:val="center"/>
        <w:rPr>
          <w:rFonts w:ascii="方正小标宋简体" w:eastAsia="方正小标宋简体" w:hAnsi="宋体" w:cs="方正小标宋简体"/>
          <w:kern w:val="0"/>
          <w:sz w:val="44"/>
          <w:szCs w:val="44"/>
        </w:rPr>
      </w:pPr>
    </w:p>
    <w:p w:rsidR="00471898" w:rsidRDefault="00471898">
      <w:pPr>
        <w:widowControl/>
        <w:adjustRightInd w:val="0"/>
        <w:snapToGrid w:val="0"/>
        <w:spacing w:after="200" w:line="360" w:lineRule="auto"/>
        <w:jc w:val="center"/>
        <w:rPr>
          <w:rFonts w:ascii="方正小标宋简体" w:eastAsia="方正小标宋简体" w:hAnsi="宋体" w:cs="方正小标宋简体"/>
          <w:kern w:val="0"/>
          <w:sz w:val="44"/>
          <w:szCs w:val="44"/>
        </w:rPr>
      </w:pPr>
    </w:p>
    <w:p w:rsidR="00471898" w:rsidRDefault="004D4DB2" w:rsidP="00B46047">
      <w:pPr>
        <w:widowControl/>
        <w:adjustRightInd w:val="0"/>
        <w:snapToGrid w:val="0"/>
        <w:spacing w:afterLines="100" w:after="360" w:line="800" w:lineRule="exact"/>
        <w:jc w:val="center"/>
        <w:rPr>
          <w:rFonts w:ascii="黑体" w:eastAsia="黑体" w:hAnsi="黑体" w:cs="方正小标宋简体"/>
          <w:kern w:val="0"/>
          <w:sz w:val="44"/>
          <w:szCs w:val="44"/>
        </w:rPr>
      </w:pPr>
      <w:r w:rsidRPr="00B46047">
        <w:rPr>
          <w:rFonts w:ascii="黑体" w:eastAsia="黑体" w:hAnsi="黑体" w:cs="方正小标宋简体" w:hint="eastAsia"/>
          <w:kern w:val="0"/>
          <w:sz w:val="44"/>
          <w:szCs w:val="44"/>
        </w:rPr>
        <w:t>《电子导向快轨车辆  通用技术条件》</w:t>
      </w:r>
    </w:p>
    <w:p w:rsidR="00B46047" w:rsidRPr="00B46047" w:rsidRDefault="00B46047" w:rsidP="00B46047">
      <w:pPr>
        <w:widowControl/>
        <w:adjustRightInd w:val="0"/>
        <w:snapToGrid w:val="0"/>
        <w:spacing w:after="200" w:line="360" w:lineRule="auto"/>
        <w:jc w:val="center"/>
        <w:rPr>
          <w:rFonts w:ascii="方正小标宋简体" w:eastAsia="方正小标宋简体" w:hAnsi="宋体" w:cs="方正小标宋简体"/>
          <w:kern w:val="0"/>
          <w:sz w:val="28"/>
          <w:szCs w:val="28"/>
        </w:rPr>
      </w:pPr>
      <w:r w:rsidRPr="00B46047">
        <w:rPr>
          <w:rFonts w:ascii="宋体" w:eastAsia="宋体" w:hAnsi="宋体" w:cs="宋体" w:hint="eastAsia"/>
          <w:kern w:val="0"/>
          <w:sz w:val="28"/>
          <w:szCs w:val="28"/>
        </w:rPr>
        <w:t>（征求意见稿）</w:t>
      </w:r>
    </w:p>
    <w:p w:rsidR="00B46047" w:rsidRPr="00B46047" w:rsidRDefault="00B46047">
      <w:pPr>
        <w:widowControl/>
        <w:adjustRightInd w:val="0"/>
        <w:snapToGrid w:val="0"/>
        <w:spacing w:line="800" w:lineRule="exact"/>
        <w:jc w:val="center"/>
        <w:rPr>
          <w:rFonts w:ascii="黑体" w:eastAsia="黑体" w:hAnsi="黑体" w:cs="方正小标宋简体"/>
          <w:kern w:val="0"/>
          <w:sz w:val="44"/>
          <w:szCs w:val="44"/>
        </w:rPr>
      </w:pPr>
    </w:p>
    <w:p w:rsidR="00471898" w:rsidRPr="00B46047" w:rsidRDefault="004D4DB2">
      <w:pPr>
        <w:widowControl/>
        <w:adjustRightInd w:val="0"/>
        <w:snapToGrid w:val="0"/>
        <w:spacing w:line="800" w:lineRule="exact"/>
        <w:jc w:val="center"/>
        <w:rPr>
          <w:rFonts w:ascii="黑体" w:eastAsia="黑体" w:hAnsi="黑体" w:cs="方正小标宋简体"/>
          <w:kern w:val="0"/>
          <w:sz w:val="44"/>
          <w:szCs w:val="44"/>
        </w:rPr>
      </w:pPr>
      <w:r w:rsidRPr="00B46047">
        <w:rPr>
          <w:rFonts w:ascii="黑体" w:eastAsia="黑体" w:hAnsi="黑体" w:cs="方正小标宋简体" w:hint="eastAsia"/>
          <w:kern w:val="0"/>
          <w:sz w:val="44"/>
          <w:szCs w:val="44"/>
        </w:rPr>
        <w:t>编制说明</w:t>
      </w:r>
    </w:p>
    <w:p w:rsidR="00471898" w:rsidRDefault="00471898">
      <w:pPr>
        <w:widowControl/>
        <w:adjustRightInd w:val="0"/>
        <w:snapToGrid w:val="0"/>
        <w:spacing w:after="200" w:line="360" w:lineRule="auto"/>
        <w:jc w:val="center"/>
        <w:rPr>
          <w:rFonts w:ascii="方正小标宋简体" w:eastAsia="方正小标宋简体" w:hAnsi="宋体" w:cs="方正小标宋简体"/>
          <w:kern w:val="0"/>
          <w:sz w:val="44"/>
          <w:szCs w:val="44"/>
        </w:rPr>
      </w:pPr>
    </w:p>
    <w:p w:rsidR="00471898" w:rsidRDefault="00471898">
      <w:pPr>
        <w:widowControl/>
        <w:adjustRightInd w:val="0"/>
        <w:snapToGrid w:val="0"/>
        <w:spacing w:after="200" w:line="360" w:lineRule="auto"/>
        <w:jc w:val="left"/>
        <w:rPr>
          <w:rFonts w:ascii="方正小标宋简体" w:eastAsia="方正小标宋简体" w:hAnsi="宋体" w:cs="方正小标宋简体"/>
          <w:kern w:val="0"/>
          <w:sz w:val="44"/>
          <w:szCs w:val="44"/>
        </w:rPr>
      </w:pPr>
    </w:p>
    <w:p w:rsidR="00471898" w:rsidRDefault="00471898">
      <w:pPr>
        <w:pStyle w:val="Default"/>
        <w:rPr>
          <w:rFonts w:ascii="方正小标宋简体" w:eastAsia="方正小标宋简体" w:hAnsi="宋体" w:cs="方正小标宋简体"/>
          <w:color w:val="auto"/>
          <w:kern w:val="0"/>
          <w:sz w:val="44"/>
          <w:szCs w:val="44"/>
          <w:lang w:eastAsia="zh-CN"/>
        </w:rPr>
      </w:pPr>
    </w:p>
    <w:p w:rsidR="00471898" w:rsidRDefault="00471898">
      <w:pPr>
        <w:pStyle w:val="Default"/>
        <w:rPr>
          <w:rFonts w:ascii="方正小标宋简体" w:eastAsia="方正小标宋简体" w:hAnsi="宋体" w:cs="方正小标宋简体"/>
          <w:color w:val="auto"/>
          <w:kern w:val="0"/>
          <w:sz w:val="44"/>
          <w:szCs w:val="44"/>
          <w:lang w:eastAsia="zh-CN"/>
        </w:rPr>
      </w:pPr>
    </w:p>
    <w:p w:rsidR="00471898" w:rsidRDefault="00471898">
      <w:pPr>
        <w:pStyle w:val="Default"/>
        <w:rPr>
          <w:rFonts w:ascii="方正小标宋简体" w:eastAsia="方正小标宋简体" w:hAnsi="宋体" w:cs="方正小标宋简体"/>
          <w:color w:val="auto"/>
          <w:kern w:val="0"/>
          <w:sz w:val="44"/>
          <w:szCs w:val="44"/>
          <w:lang w:eastAsia="zh-CN"/>
        </w:rPr>
      </w:pPr>
    </w:p>
    <w:p w:rsidR="00471898" w:rsidRDefault="00471898">
      <w:pPr>
        <w:spacing w:line="360" w:lineRule="auto"/>
        <w:rPr>
          <w:rFonts w:ascii="方正小标宋简体" w:eastAsia="方正小标宋简体" w:hAnsi="方正小标宋简体" w:cs="方正小标宋简体"/>
          <w:sz w:val="32"/>
          <w:szCs w:val="32"/>
        </w:rPr>
      </w:pPr>
    </w:p>
    <w:p w:rsidR="00471898" w:rsidRPr="00B46047" w:rsidRDefault="004D4DB2">
      <w:pPr>
        <w:spacing w:line="360" w:lineRule="auto"/>
        <w:jc w:val="center"/>
        <w:rPr>
          <w:rFonts w:ascii="黑体" w:eastAsia="黑体" w:hAnsi="黑体" w:cs="宋体"/>
          <w:sz w:val="30"/>
          <w:szCs w:val="30"/>
        </w:rPr>
        <w:sectPr w:rsidR="00471898" w:rsidRPr="00B46047">
          <w:footerReference w:type="default" r:id="rId11"/>
          <w:pgSz w:w="11906" w:h="16838"/>
          <w:pgMar w:top="1440" w:right="1701" w:bottom="1440" w:left="1701" w:header="709" w:footer="709" w:gutter="0"/>
          <w:pgNumType w:start="0"/>
          <w:cols w:space="708"/>
          <w:titlePg/>
          <w:docGrid w:type="lines" w:linePitch="360"/>
        </w:sectPr>
      </w:pPr>
      <w:r w:rsidRPr="00B46047">
        <w:rPr>
          <w:rFonts w:ascii="黑体" w:eastAsia="黑体" w:hAnsi="黑体" w:cs="方正小标宋简体" w:hint="eastAsia"/>
          <w:sz w:val="30"/>
          <w:szCs w:val="30"/>
        </w:rPr>
        <w:t>二〇二四年</w:t>
      </w:r>
      <w:r w:rsidR="00D022E9">
        <w:rPr>
          <w:rFonts w:ascii="黑体" w:eastAsia="黑体" w:hAnsi="黑体" w:cs="方正小标宋简体" w:hint="eastAsia"/>
          <w:sz w:val="30"/>
          <w:szCs w:val="30"/>
        </w:rPr>
        <w:t>六</w:t>
      </w:r>
      <w:r w:rsidRPr="00B46047">
        <w:rPr>
          <w:rFonts w:ascii="黑体" w:eastAsia="黑体" w:hAnsi="黑体" w:cs="方正小标宋简体" w:hint="eastAsia"/>
          <w:sz w:val="30"/>
          <w:szCs w:val="30"/>
        </w:rPr>
        <w:t>月</w:t>
      </w:r>
    </w:p>
    <w:p w:rsidR="00471898" w:rsidRDefault="00471898">
      <w:pPr>
        <w:spacing w:line="360" w:lineRule="auto"/>
        <w:rPr>
          <w:rFonts w:ascii="仿宋_GB2312" w:eastAsia="仿宋_GB2312" w:hAnsi="宋体" w:cs="宋体"/>
          <w:sz w:val="32"/>
          <w:szCs w:val="32"/>
        </w:rPr>
      </w:pPr>
    </w:p>
    <w:p w:rsidR="00471898" w:rsidRDefault="004D4DB2">
      <w:pPr>
        <w:pStyle w:val="10"/>
        <w:spacing w:after="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目 </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 xml:space="preserve"> 录</w:t>
      </w:r>
    </w:p>
    <w:p w:rsidR="00471898" w:rsidRDefault="00471898"/>
    <w:p w:rsidR="00471898" w:rsidRPr="00B46047" w:rsidRDefault="004D4DB2">
      <w:pPr>
        <w:pStyle w:val="10"/>
        <w:widowControl w:val="0"/>
        <w:adjustRightInd w:val="0"/>
        <w:snapToGrid w:val="0"/>
        <w:spacing w:after="0" w:line="560" w:lineRule="exact"/>
        <w:rPr>
          <w:rFonts w:asciiTheme="minorEastAsia" w:eastAsiaTheme="minorEastAsia" w:hAnsiTheme="minorEastAsia"/>
          <w:sz w:val="28"/>
          <w:szCs w:val="28"/>
        </w:rPr>
      </w:pPr>
      <w:r>
        <w:rPr>
          <w:rFonts w:ascii="仿宋_GB2312" w:eastAsia="仿宋_GB2312" w:hAnsi="宋体" w:hint="eastAsia"/>
          <w:sz w:val="21"/>
          <w:szCs w:val="21"/>
        </w:rPr>
        <w:fldChar w:fldCharType="begin"/>
      </w:r>
      <w:r>
        <w:rPr>
          <w:rFonts w:ascii="仿宋_GB2312" w:eastAsia="仿宋_GB2312" w:hAnsi="宋体" w:hint="eastAsia"/>
          <w:sz w:val="21"/>
          <w:szCs w:val="21"/>
        </w:rPr>
        <w:instrText xml:space="preserve"> TOC \o "1-3" \h \z \u </w:instrText>
      </w:r>
      <w:r>
        <w:rPr>
          <w:rFonts w:ascii="仿宋_GB2312" w:eastAsia="仿宋_GB2312" w:hAnsi="宋体" w:hint="eastAsia"/>
          <w:sz w:val="21"/>
          <w:szCs w:val="21"/>
        </w:rPr>
        <w:fldChar w:fldCharType="separate"/>
      </w:r>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50" w:history="1">
        <w:r w:rsidR="004D4DB2" w:rsidRPr="00B46047">
          <w:rPr>
            <w:rStyle w:val="af3"/>
            <w:rFonts w:asciiTheme="minorEastAsia" w:eastAsiaTheme="minorEastAsia" w:hAnsiTheme="minorEastAsia" w:cs="黑体" w:hint="eastAsia"/>
            <w:bCs/>
            <w:sz w:val="28"/>
            <w:szCs w:val="28"/>
          </w:rPr>
          <w:t>一、工作简况</w:t>
        </w:r>
        <w:r w:rsidR="004D4DB2" w:rsidRPr="00B46047">
          <w:rPr>
            <w:rFonts w:asciiTheme="minorEastAsia" w:eastAsiaTheme="minorEastAsia" w:hAnsiTheme="minorEastAsia"/>
            <w:sz w:val="28"/>
            <w:szCs w:val="28"/>
          </w:rPr>
          <w:tab/>
        </w:r>
        <w:r w:rsidR="004D4DB2" w:rsidRPr="00B46047">
          <w:rPr>
            <w:rFonts w:asciiTheme="minorEastAsia" w:eastAsiaTheme="minorEastAsia" w:hAnsiTheme="minorEastAsia"/>
            <w:sz w:val="28"/>
            <w:szCs w:val="28"/>
          </w:rPr>
          <w:fldChar w:fldCharType="begin"/>
        </w:r>
        <w:r w:rsidR="004D4DB2" w:rsidRPr="00B46047">
          <w:rPr>
            <w:rFonts w:asciiTheme="minorEastAsia" w:eastAsiaTheme="minorEastAsia" w:hAnsiTheme="minorEastAsia"/>
            <w:sz w:val="28"/>
            <w:szCs w:val="28"/>
          </w:rPr>
          <w:instrText xml:space="preserve"> PAGEREF _Toc122002350 \h </w:instrText>
        </w:r>
        <w:r w:rsidR="004D4DB2" w:rsidRPr="00B46047">
          <w:rPr>
            <w:rFonts w:asciiTheme="minorEastAsia" w:eastAsiaTheme="minorEastAsia" w:hAnsiTheme="minorEastAsia"/>
            <w:sz w:val="28"/>
            <w:szCs w:val="28"/>
          </w:rPr>
        </w:r>
        <w:r w:rsidR="004D4DB2" w:rsidRPr="00B46047">
          <w:rPr>
            <w:rFonts w:asciiTheme="minorEastAsia" w:eastAsiaTheme="minorEastAsia" w:hAnsiTheme="minorEastAsia"/>
            <w:sz w:val="28"/>
            <w:szCs w:val="28"/>
          </w:rPr>
          <w:fldChar w:fldCharType="separate"/>
        </w:r>
        <w:r w:rsidR="004D4DB2" w:rsidRPr="00B46047">
          <w:rPr>
            <w:rFonts w:asciiTheme="minorEastAsia" w:eastAsiaTheme="minorEastAsia" w:hAnsiTheme="minorEastAsia"/>
            <w:sz w:val="28"/>
            <w:szCs w:val="28"/>
          </w:rPr>
          <w:t>1</w:t>
        </w:r>
        <w:r w:rsidR="004D4DB2" w:rsidRPr="00B46047">
          <w:rPr>
            <w:rFonts w:asciiTheme="minorEastAsia" w:eastAsiaTheme="minorEastAsia" w:hAnsiTheme="minorEastAsia"/>
            <w:sz w:val="28"/>
            <w:szCs w:val="28"/>
          </w:rPr>
          <w:fldChar w:fldCharType="end"/>
        </w:r>
      </w:hyperlink>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51" w:history="1">
        <w:r w:rsidR="004D4DB2" w:rsidRPr="00B46047">
          <w:rPr>
            <w:rStyle w:val="af3"/>
            <w:rFonts w:asciiTheme="minorEastAsia" w:eastAsiaTheme="minorEastAsia" w:hAnsiTheme="minorEastAsia" w:cs="楷体_GB2312" w:hint="eastAsia"/>
            <w:sz w:val="28"/>
            <w:szCs w:val="28"/>
          </w:rPr>
          <w:t>（一）任务来源</w:t>
        </w:r>
        <w:r w:rsidR="004D4DB2" w:rsidRPr="00B46047">
          <w:rPr>
            <w:rFonts w:asciiTheme="minorEastAsia" w:eastAsiaTheme="minorEastAsia" w:hAnsiTheme="minorEastAsia"/>
            <w:sz w:val="28"/>
            <w:szCs w:val="28"/>
          </w:rPr>
          <w:tab/>
        </w:r>
        <w:r w:rsidR="004D4DB2" w:rsidRPr="00B46047">
          <w:rPr>
            <w:rFonts w:asciiTheme="minorEastAsia" w:eastAsiaTheme="minorEastAsia" w:hAnsiTheme="minorEastAsia"/>
            <w:sz w:val="28"/>
            <w:szCs w:val="28"/>
          </w:rPr>
          <w:fldChar w:fldCharType="begin"/>
        </w:r>
        <w:r w:rsidR="004D4DB2" w:rsidRPr="00B46047">
          <w:rPr>
            <w:rFonts w:asciiTheme="minorEastAsia" w:eastAsiaTheme="minorEastAsia" w:hAnsiTheme="minorEastAsia"/>
            <w:sz w:val="28"/>
            <w:szCs w:val="28"/>
          </w:rPr>
          <w:instrText xml:space="preserve"> PAGEREF _Toc122002351 \h </w:instrText>
        </w:r>
        <w:r w:rsidR="004D4DB2" w:rsidRPr="00B46047">
          <w:rPr>
            <w:rFonts w:asciiTheme="minorEastAsia" w:eastAsiaTheme="minorEastAsia" w:hAnsiTheme="minorEastAsia"/>
            <w:sz w:val="28"/>
            <w:szCs w:val="28"/>
          </w:rPr>
        </w:r>
        <w:r w:rsidR="004D4DB2" w:rsidRPr="00B46047">
          <w:rPr>
            <w:rFonts w:asciiTheme="minorEastAsia" w:eastAsiaTheme="minorEastAsia" w:hAnsiTheme="minorEastAsia"/>
            <w:sz w:val="28"/>
            <w:szCs w:val="28"/>
          </w:rPr>
          <w:fldChar w:fldCharType="separate"/>
        </w:r>
        <w:r w:rsidR="004D4DB2" w:rsidRPr="00B46047">
          <w:rPr>
            <w:rFonts w:asciiTheme="minorEastAsia" w:eastAsiaTheme="minorEastAsia" w:hAnsiTheme="minorEastAsia"/>
            <w:sz w:val="28"/>
            <w:szCs w:val="28"/>
          </w:rPr>
          <w:t>1</w:t>
        </w:r>
        <w:r w:rsidR="004D4DB2" w:rsidRPr="00B46047">
          <w:rPr>
            <w:rFonts w:asciiTheme="minorEastAsia" w:eastAsiaTheme="minorEastAsia" w:hAnsiTheme="minorEastAsia"/>
            <w:sz w:val="28"/>
            <w:szCs w:val="28"/>
          </w:rPr>
          <w:fldChar w:fldCharType="end"/>
        </w:r>
      </w:hyperlink>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52" w:history="1">
        <w:r w:rsidR="004D4DB2" w:rsidRPr="00B46047">
          <w:rPr>
            <w:rStyle w:val="af3"/>
            <w:rFonts w:asciiTheme="minorEastAsia" w:eastAsiaTheme="minorEastAsia" w:hAnsiTheme="minorEastAsia" w:cs="楷体_GB2312" w:hint="eastAsia"/>
            <w:sz w:val="28"/>
            <w:szCs w:val="28"/>
          </w:rPr>
          <w:t>（二）起草单位和主要起草人</w:t>
        </w:r>
        <w:r w:rsidR="004D4DB2" w:rsidRPr="00B46047">
          <w:rPr>
            <w:rFonts w:asciiTheme="minorEastAsia" w:eastAsiaTheme="minorEastAsia" w:hAnsiTheme="minorEastAsia"/>
            <w:sz w:val="28"/>
            <w:szCs w:val="28"/>
          </w:rPr>
          <w:tab/>
        </w:r>
        <w:r>
          <w:rPr>
            <w:rFonts w:asciiTheme="minorEastAsia" w:eastAsiaTheme="minorEastAsia" w:hAnsiTheme="minorEastAsia" w:hint="eastAsia"/>
            <w:sz w:val="28"/>
            <w:szCs w:val="28"/>
          </w:rPr>
          <w:t>1</w:t>
        </w:r>
      </w:hyperlink>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53" w:history="1">
        <w:r w:rsidR="004D4DB2" w:rsidRPr="00B46047">
          <w:rPr>
            <w:rStyle w:val="af3"/>
            <w:rFonts w:asciiTheme="minorEastAsia" w:eastAsiaTheme="minorEastAsia" w:hAnsiTheme="minorEastAsia" w:cs="楷体_GB2312" w:hint="eastAsia"/>
            <w:sz w:val="28"/>
            <w:szCs w:val="28"/>
          </w:rPr>
          <w:t>（三）起草单位和主要起草人任务分工</w:t>
        </w:r>
        <w:r w:rsidR="004D4DB2" w:rsidRPr="00B46047">
          <w:rPr>
            <w:rFonts w:asciiTheme="minorEastAsia" w:eastAsiaTheme="minorEastAsia" w:hAnsiTheme="minorEastAsia"/>
            <w:sz w:val="28"/>
            <w:szCs w:val="28"/>
          </w:rPr>
          <w:tab/>
        </w:r>
        <w:r>
          <w:rPr>
            <w:rFonts w:asciiTheme="minorEastAsia" w:eastAsiaTheme="minorEastAsia" w:hAnsiTheme="minorEastAsia" w:hint="eastAsia"/>
            <w:sz w:val="28"/>
            <w:szCs w:val="28"/>
          </w:rPr>
          <w:t>1</w:t>
        </w:r>
      </w:hyperlink>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54" w:history="1">
        <w:r w:rsidR="004D4DB2" w:rsidRPr="00B46047">
          <w:rPr>
            <w:rStyle w:val="af3"/>
            <w:rFonts w:asciiTheme="minorEastAsia" w:eastAsiaTheme="minorEastAsia" w:hAnsiTheme="minorEastAsia" w:cs="楷体_GB2312" w:hint="eastAsia"/>
            <w:sz w:val="28"/>
            <w:szCs w:val="28"/>
          </w:rPr>
          <w:t>（四）起草过程</w:t>
        </w:r>
        <w:r w:rsidR="004D4DB2" w:rsidRPr="00B46047">
          <w:rPr>
            <w:rFonts w:asciiTheme="minorEastAsia" w:eastAsiaTheme="minorEastAsia" w:hAnsiTheme="minorEastAsia"/>
            <w:sz w:val="28"/>
            <w:szCs w:val="28"/>
          </w:rPr>
          <w:tab/>
        </w:r>
        <w:r>
          <w:rPr>
            <w:rFonts w:asciiTheme="minorEastAsia" w:eastAsiaTheme="minorEastAsia" w:hAnsiTheme="minorEastAsia" w:hint="eastAsia"/>
            <w:sz w:val="28"/>
            <w:szCs w:val="28"/>
          </w:rPr>
          <w:t>2</w:t>
        </w:r>
      </w:hyperlink>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55" w:history="1">
        <w:r w:rsidR="004D4DB2" w:rsidRPr="00B46047">
          <w:rPr>
            <w:rStyle w:val="af3"/>
            <w:rFonts w:asciiTheme="minorEastAsia" w:eastAsiaTheme="minorEastAsia" w:hAnsiTheme="minorEastAsia" w:cs="黑体" w:hint="eastAsia"/>
            <w:bCs/>
            <w:sz w:val="28"/>
            <w:szCs w:val="28"/>
          </w:rPr>
          <w:t>二、标准制定的目的和意义</w:t>
        </w:r>
        <w:r w:rsidR="004D4DB2" w:rsidRPr="00B46047">
          <w:rPr>
            <w:rFonts w:asciiTheme="minorEastAsia" w:eastAsiaTheme="minorEastAsia" w:hAnsiTheme="minorEastAsia"/>
            <w:sz w:val="28"/>
            <w:szCs w:val="28"/>
          </w:rPr>
          <w:tab/>
        </w:r>
        <w:r>
          <w:rPr>
            <w:rFonts w:asciiTheme="minorEastAsia" w:eastAsiaTheme="minorEastAsia" w:hAnsiTheme="minorEastAsia" w:hint="eastAsia"/>
            <w:sz w:val="28"/>
            <w:szCs w:val="28"/>
          </w:rPr>
          <w:t>3</w:t>
        </w:r>
      </w:hyperlink>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56" w:history="1">
        <w:r w:rsidR="004D4DB2" w:rsidRPr="00B46047">
          <w:rPr>
            <w:rStyle w:val="af3"/>
            <w:rFonts w:asciiTheme="minorEastAsia" w:eastAsiaTheme="minorEastAsia" w:hAnsiTheme="minorEastAsia" w:cs="黑体" w:hint="eastAsia"/>
            <w:bCs/>
            <w:sz w:val="28"/>
            <w:szCs w:val="28"/>
          </w:rPr>
          <w:t>三、标准编制原则、主要技术内容和确定依据</w:t>
        </w:r>
        <w:r w:rsidR="004D4DB2" w:rsidRPr="00B46047">
          <w:rPr>
            <w:rFonts w:asciiTheme="minorEastAsia" w:eastAsiaTheme="minorEastAsia" w:hAnsiTheme="minorEastAsia"/>
            <w:sz w:val="28"/>
            <w:szCs w:val="28"/>
          </w:rPr>
          <w:tab/>
        </w:r>
        <w:r>
          <w:rPr>
            <w:rFonts w:asciiTheme="minorEastAsia" w:eastAsiaTheme="minorEastAsia" w:hAnsiTheme="minorEastAsia" w:hint="eastAsia"/>
            <w:sz w:val="28"/>
            <w:szCs w:val="28"/>
          </w:rPr>
          <w:t>4</w:t>
        </w:r>
      </w:hyperlink>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57" w:history="1">
        <w:r w:rsidR="004D4DB2" w:rsidRPr="00B46047">
          <w:rPr>
            <w:rStyle w:val="af3"/>
            <w:rFonts w:asciiTheme="minorEastAsia" w:eastAsiaTheme="minorEastAsia" w:hAnsiTheme="minorEastAsia" w:cs="楷体_GB2312" w:hint="eastAsia"/>
            <w:sz w:val="28"/>
            <w:szCs w:val="28"/>
          </w:rPr>
          <w:t>（一）标准编制原则</w:t>
        </w:r>
        <w:r w:rsidR="004D4DB2" w:rsidRPr="00B46047">
          <w:rPr>
            <w:rFonts w:asciiTheme="minorEastAsia" w:eastAsiaTheme="minorEastAsia" w:hAnsiTheme="minorEastAsia"/>
            <w:sz w:val="28"/>
            <w:szCs w:val="28"/>
          </w:rPr>
          <w:tab/>
        </w:r>
        <w:r>
          <w:rPr>
            <w:rFonts w:asciiTheme="minorEastAsia" w:eastAsiaTheme="minorEastAsia" w:hAnsiTheme="minorEastAsia" w:hint="eastAsia"/>
            <w:sz w:val="28"/>
            <w:szCs w:val="28"/>
          </w:rPr>
          <w:t>4</w:t>
        </w:r>
      </w:hyperlink>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58" w:history="1">
        <w:r w:rsidR="004D4DB2" w:rsidRPr="00B46047">
          <w:rPr>
            <w:rStyle w:val="af3"/>
            <w:rFonts w:asciiTheme="minorEastAsia" w:eastAsiaTheme="minorEastAsia" w:hAnsiTheme="minorEastAsia" w:cs="楷体_GB2312" w:hint="eastAsia"/>
            <w:sz w:val="28"/>
            <w:szCs w:val="28"/>
          </w:rPr>
          <w:t>（二）主要技术内容</w:t>
        </w:r>
        <w:r w:rsidR="004D4DB2" w:rsidRPr="00B46047">
          <w:rPr>
            <w:rFonts w:asciiTheme="minorEastAsia" w:eastAsiaTheme="minorEastAsia" w:hAnsiTheme="minorEastAsia"/>
            <w:sz w:val="28"/>
            <w:szCs w:val="28"/>
          </w:rPr>
          <w:tab/>
        </w:r>
        <w:r>
          <w:rPr>
            <w:rFonts w:asciiTheme="minorEastAsia" w:eastAsiaTheme="minorEastAsia" w:hAnsiTheme="minorEastAsia" w:hint="eastAsia"/>
            <w:sz w:val="28"/>
            <w:szCs w:val="28"/>
          </w:rPr>
          <w:t>4</w:t>
        </w:r>
      </w:hyperlink>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59" w:history="1">
        <w:r w:rsidR="004D4DB2" w:rsidRPr="00B46047">
          <w:rPr>
            <w:rStyle w:val="af3"/>
            <w:rFonts w:asciiTheme="minorEastAsia" w:eastAsiaTheme="minorEastAsia" w:hAnsiTheme="minorEastAsia" w:cs="楷体_GB2312" w:hint="eastAsia"/>
            <w:sz w:val="28"/>
            <w:szCs w:val="28"/>
          </w:rPr>
          <w:t>（三）确定依据</w:t>
        </w:r>
        <w:r w:rsidR="004D4DB2" w:rsidRPr="00B46047">
          <w:rPr>
            <w:rFonts w:asciiTheme="minorEastAsia" w:eastAsiaTheme="minorEastAsia" w:hAnsiTheme="minorEastAsia"/>
            <w:sz w:val="28"/>
            <w:szCs w:val="28"/>
          </w:rPr>
          <w:tab/>
        </w:r>
        <w:r>
          <w:rPr>
            <w:rFonts w:asciiTheme="minorEastAsia" w:eastAsiaTheme="minorEastAsia" w:hAnsiTheme="minorEastAsia" w:hint="eastAsia"/>
            <w:sz w:val="28"/>
            <w:szCs w:val="28"/>
          </w:rPr>
          <w:t>6</w:t>
        </w:r>
      </w:hyperlink>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60" w:history="1">
        <w:r w:rsidR="004D4DB2" w:rsidRPr="00B46047">
          <w:rPr>
            <w:rStyle w:val="af3"/>
            <w:rFonts w:asciiTheme="minorEastAsia" w:eastAsiaTheme="minorEastAsia" w:hAnsiTheme="minorEastAsia" w:cs="黑体" w:hint="eastAsia"/>
            <w:bCs/>
            <w:sz w:val="28"/>
            <w:szCs w:val="28"/>
          </w:rPr>
          <w:t>四、与现行相关法律、行政法规和其他标准的关系</w:t>
        </w:r>
        <w:r w:rsidR="004D4DB2" w:rsidRPr="00B46047">
          <w:rPr>
            <w:rFonts w:asciiTheme="minorEastAsia" w:eastAsiaTheme="minorEastAsia" w:hAnsiTheme="minorEastAsia"/>
            <w:sz w:val="28"/>
            <w:szCs w:val="28"/>
          </w:rPr>
          <w:tab/>
        </w:r>
        <w:r>
          <w:rPr>
            <w:rFonts w:asciiTheme="minorEastAsia" w:eastAsiaTheme="minorEastAsia" w:hAnsiTheme="minorEastAsia" w:hint="eastAsia"/>
            <w:sz w:val="28"/>
            <w:szCs w:val="28"/>
          </w:rPr>
          <w:t>7</w:t>
        </w:r>
      </w:hyperlink>
    </w:p>
    <w:p w:rsidR="00471898" w:rsidRPr="00B46047" w:rsidRDefault="006D4492">
      <w:pPr>
        <w:pStyle w:val="10"/>
        <w:spacing w:line="560" w:lineRule="exact"/>
        <w:rPr>
          <w:rFonts w:asciiTheme="minorEastAsia" w:eastAsiaTheme="minorEastAsia" w:hAnsiTheme="minorEastAsia" w:cstheme="minorBidi"/>
          <w:kern w:val="2"/>
          <w:sz w:val="28"/>
          <w:szCs w:val="28"/>
        </w:rPr>
      </w:pPr>
      <w:hyperlink w:anchor="_Toc122002361" w:history="1">
        <w:r w:rsidR="004D4DB2" w:rsidRPr="00B46047">
          <w:rPr>
            <w:rStyle w:val="af3"/>
            <w:rFonts w:asciiTheme="minorEastAsia" w:eastAsiaTheme="minorEastAsia" w:hAnsiTheme="minorEastAsia" w:cs="黑体" w:hint="eastAsia"/>
            <w:bCs/>
            <w:sz w:val="28"/>
            <w:szCs w:val="28"/>
          </w:rPr>
          <w:t>五、重大分歧意见的处理过程、处理意见及其依据</w:t>
        </w:r>
        <w:r w:rsidR="004D4DB2" w:rsidRPr="00B46047">
          <w:rPr>
            <w:rFonts w:asciiTheme="minorEastAsia" w:eastAsiaTheme="minorEastAsia" w:hAnsiTheme="minorEastAsia"/>
            <w:sz w:val="28"/>
            <w:szCs w:val="28"/>
          </w:rPr>
          <w:tab/>
        </w:r>
        <w:r>
          <w:rPr>
            <w:rFonts w:asciiTheme="minorEastAsia" w:eastAsiaTheme="minorEastAsia" w:hAnsiTheme="minorEastAsia" w:hint="eastAsia"/>
            <w:sz w:val="28"/>
            <w:szCs w:val="28"/>
          </w:rPr>
          <w:t>8</w:t>
        </w:r>
      </w:hyperlink>
    </w:p>
    <w:p w:rsidR="00471898" w:rsidRDefault="006D4492">
      <w:pPr>
        <w:pStyle w:val="10"/>
        <w:spacing w:line="560" w:lineRule="exact"/>
        <w:rPr>
          <w:rFonts w:asciiTheme="minorHAnsi" w:eastAsiaTheme="minorEastAsia" w:hAnsiTheme="minorHAnsi" w:cstheme="minorBidi"/>
          <w:kern w:val="2"/>
          <w:sz w:val="21"/>
          <w:szCs w:val="21"/>
        </w:rPr>
      </w:pPr>
      <w:r>
        <w:fldChar w:fldCharType="begin"/>
      </w:r>
      <w:r>
        <w:instrText xml:space="preserve"> HYPERLINK \l "_Toc122002363" </w:instrText>
      </w:r>
      <w:r>
        <w:fldChar w:fldCharType="separate"/>
      </w:r>
      <w:r w:rsidR="004D4DB2" w:rsidRPr="00B46047">
        <w:rPr>
          <w:rStyle w:val="af3"/>
          <w:rFonts w:asciiTheme="minorEastAsia" w:eastAsiaTheme="minorEastAsia" w:hAnsiTheme="minorEastAsia" w:cs="黑体" w:hint="eastAsia"/>
          <w:bCs/>
          <w:sz w:val="28"/>
          <w:szCs w:val="28"/>
        </w:rPr>
        <w:t>六、其他需要说明的内容</w:t>
      </w:r>
      <w:r w:rsidR="004D4DB2" w:rsidRPr="00B46047">
        <w:rPr>
          <w:rFonts w:asciiTheme="minorEastAsia" w:eastAsiaTheme="minorEastAsia" w:hAnsiTheme="minorEastAsia"/>
          <w:sz w:val="28"/>
          <w:szCs w:val="28"/>
        </w:rPr>
        <w:tab/>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8</w:t>
      </w:r>
      <w:bookmarkStart w:id="0" w:name="_GoBack"/>
      <w:bookmarkEnd w:id="0"/>
    </w:p>
    <w:p w:rsidR="00471898" w:rsidRDefault="004D4DB2">
      <w:pPr>
        <w:adjustRightInd w:val="0"/>
        <w:snapToGrid w:val="0"/>
        <w:rPr>
          <w:rFonts w:ascii="仿宋_GB2312" w:eastAsia="仿宋_GB2312" w:hAnsi="宋体" w:cs="宋体"/>
          <w:szCs w:val="21"/>
        </w:rPr>
      </w:pPr>
      <w:r>
        <w:rPr>
          <w:rFonts w:ascii="仿宋_GB2312" w:eastAsia="仿宋_GB2312" w:hAnsi="宋体" w:cs="宋体" w:hint="eastAsia"/>
          <w:szCs w:val="21"/>
        </w:rPr>
        <w:fldChar w:fldCharType="end"/>
      </w:r>
    </w:p>
    <w:p w:rsidR="00471898" w:rsidRDefault="00471898">
      <w:pPr>
        <w:spacing w:line="360" w:lineRule="auto"/>
        <w:rPr>
          <w:rFonts w:ascii="仿宋_GB2312" w:eastAsia="仿宋_GB2312" w:hAnsi="宋体" w:cs="宋体"/>
          <w:sz w:val="32"/>
          <w:szCs w:val="32"/>
        </w:rPr>
        <w:sectPr w:rsidR="00471898">
          <w:footerReference w:type="default" r:id="rId12"/>
          <w:footerReference w:type="first" r:id="rId13"/>
          <w:pgSz w:w="11906" w:h="16838"/>
          <w:pgMar w:top="1440" w:right="1701" w:bottom="1440" w:left="1701" w:header="709" w:footer="709" w:gutter="0"/>
          <w:pgNumType w:start="0"/>
          <w:cols w:space="708"/>
          <w:titlePg/>
          <w:docGrid w:type="lines" w:linePitch="360"/>
        </w:sectPr>
      </w:pPr>
    </w:p>
    <w:p w:rsidR="00471898" w:rsidRPr="008D0FBA" w:rsidRDefault="004D4DB2" w:rsidP="008D0FBA">
      <w:pPr>
        <w:spacing w:line="560" w:lineRule="exact"/>
        <w:ind w:firstLineChars="200" w:firstLine="480"/>
        <w:outlineLvl w:val="0"/>
        <w:rPr>
          <w:rFonts w:ascii="仿宋_GB2312" w:eastAsia="仿宋_GB2312" w:hAnsi="Times New Roman" w:cs="Times New Roman"/>
          <w:b/>
          <w:sz w:val="24"/>
          <w:szCs w:val="24"/>
        </w:rPr>
      </w:pPr>
      <w:bookmarkStart w:id="1" w:name="_Toc122002350"/>
      <w:r w:rsidRPr="008D0FBA">
        <w:rPr>
          <w:rFonts w:ascii="黑体" w:eastAsia="黑体" w:hAnsi="黑体" w:cs="黑体" w:hint="eastAsia"/>
          <w:bCs/>
          <w:sz w:val="24"/>
          <w:szCs w:val="24"/>
        </w:rPr>
        <w:lastRenderedPageBreak/>
        <w:t>一、 工作简况</w:t>
      </w:r>
      <w:bookmarkEnd w:id="1"/>
    </w:p>
    <w:p w:rsidR="00471898" w:rsidRPr="008D0FBA" w:rsidRDefault="004D4DB2" w:rsidP="008D0FBA">
      <w:pPr>
        <w:pStyle w:val="af5"/>
        <w:rPr>
          <w:rFonts w:ascii="黑体" w:eastAsia="黑体" w:hAnsi="黑体"/>
        </w:rPr>
      </w:pPr>
      <w:bookmarkStart w:id="2" w:name="_Toc122002351"/>
      <w:r w:rsidRPr="00D022E9">
        <w:rPr>
          <w:rFonts w:ascii="黑体" w:eastAsia="黑体" w:hAnsi="黑体" w:hint="eastAsia"/>
        </w:rPr>
        <w:t>（一）任务来源</w:t>
      </w:r>
      <w:bookmarkEnd w:id="2"/>
    </w:p>
    <w:p w:rsidR="00D022E9" w:rsidRDefault="00D022E9" w:rsidP="008D0FBA">
      <w:pPr>
        <w:pStyle w:val="af5"/>
        <w:rPr>
          <w:rFonts w:hint="eastAsia"/>
        </w:rPr>
      </w:pPr>
      <w:bookmarkStart w:id="3" w:name="_Toc97566039"/>
      <w:bookmarkStart w:id="4" w:name="_Toc97738900"/>
      <w:bookmarkStart w:id="5" w:name="_Toc489515530"/>
      <w:bookmarkStart w:id="6" w:name="_Toc489368766"/>
      <w:bookmarkStart w:id="7" w:name="_Toc490055224"/>
      <w:r w:rsidRPr="00D022E9">
        <w:rPr>
          <w:rFonts w:hint="eastAsia"/>
        </w:rPr>
        <w:t>根据《山东标准化协会关于下达2024年第二十批团体标准制修订计划的通知》（</w:t>
      </w:r>
      <w:proofErr w:type="gramStart"/>
      <w:r w:rsidRPr="00D022E9">
        <w:rPr>
          <w:rFonts w:hint="eastAsia"/>
        </w:rPr>
        <w:t>鲁标协</w:t>
      </w:r>
      <w:proofErr w:type="gramEnd"/>
      <w:r w:rsidRPr="00D022E9">
        <w:rPr>
          <w:rFonts w:hint="eastAsia"/>
        </w:rPr>
        <w:t>字[2024]186号）计划编号SDAS202410</w:t>
      </w:r>
      <w:r>
        <w:rPr>
          <w:rFonts w:hint="eastAsia"/>
        </w:rPr>
        <w:t>5</w:t>
      </w:r>
      <w:r w:rsidRPr="00D022E9">
        <w:rPr>
          <w:rFonts w:hint="eastAsia"/>
        </w:rPr>
        <w:t>的要求，由山东标准化协会归口，并由中车青岛四方机车车辆股份有限公司、胶州市交通运输局、胶州市发展和改革局、青岛上合城乡融合发展集团有限公司、中车城市交通规划设计研究院有限公司、中车智能交通工程技术有限公司、青岛城运控股集团轨道巴士有限公司、济南轨道交通集团有限公司共同起草。</w:t>
      </w:r>
    </w:p>
    <w:p w:rsidR="00471898" w:rsidRPr="008D0FBA" w:rsidRDefault="004D4DB2" w:rsidP="008D0FBA">
      <w:pPr>
        <w:pStyle w:val="af5"/>
        <w:numPr>
          <w:ilvl w:val="0"/>
          <w:numId w:val="12"/>
        </w:numPr>
        <w:ind w:firstLineChars="0"/>
        <w:rPr>
          <w:rFonts w:ascii="黑体" w:eastAsia="黑体" w:hAnsi="黑体"/>
        </w:rPr>
      </w:pPr>
      <w:bookmarkStart w:id="8" w:name="_Toc122002352"/>
      <w:bookmarkEnd w:id="3"/>
      <w:bookmarkEnd w:id="4"/>
      <w:bookmarkEnd w:id="5"/>
      <w:bookmarkEnd w:id="6"/>
      <w:bookmarkEnd w:id="7"/>
      <w:r w:rsidRPr="008D0FBA">
        <w:rPr>
          <w:rFonts w:ascii="黑体" w:eastAsia="黑体" w:hAnsi="黑体" w:hint="eastAsia"/>
        </w:rPr>
        <w:t>起草单位和主要起草人</w:t>
      </w:r>
      <w:bookmarkEnd w:id="8"/>
    </w:p>
    <w:p w:rsidR="00471898" w:rsidRPr="008D0FBA" w:rsidRDefault="004D4DB2" w:rsidP="008D0FBA">
      <w:pPr>
        <w:pStyle w:val="af6"/>
        <w:spacing w:line="560" w:lineRule="exact"/>
      </w:pPr>
      <w:bookmarkStart w:id="9" w:name="_Toc97738903"/>
      <w:bookmarkStart w:id="10" w:name="_Toc97566042"/>
      <w:r w:rsidRPr="008D0FBA">
        <w:rPr>
          <w:rFonts w:hint="eastAsia"/>
        </w:rPr>
        <w:t>1.标准起草单位</w:t>
      </w:r>
      <w:bookmarkEnd w:id="9"/>
      <w:bookmarkEnd w:id="10"/>
    </w:p>
    <w:p w:rsidR="00471898" w:rsidRPr="008D0FBA" w:rsidRDefault="00562417" w:rsidP="008D0FBA">
      <w:pPr>
        <w:pStyle w:val="af5"/>
      </w:pPr>
      <w:r w:rsidRPr="008D0FBA">
        <w:rPr>
          <w:rFonts w:hint="eastAsia"/>
        </w:rPr>
        <w:t>中车青岛四方机车车辆股份有限公司、胶州市交通运输局、胶州市发展和改革局、青岛上合城乡融合发展集团有限公司、中车城市交通规划设计研究院有限公司、中车智能交通工程技术有限公司、青岛城运控股集团轨道巴士有限公司、济南轨道交通集团有限公司。</w:t>
      </w:r>
    </w:p>
    <w:p w:rsidR="00471898" w:rsidRPr="008D0FBA" w:rsidRDefault="004D4DB2" w:rsidP="008D0FBA">
      <w:pPr>
        <w:pStyle w:val="af6"/>
        <w:numPr>
          <w:ilvl w:val="0"/>
          <w:numId w:val="4"/>
        </w:numPr>
        <w:spacing w:line="560" w:lineRule="exact"/>
        <w:ind w:firstLineChars="0"/>
      </w:pPr>
      <w:bookmarkStart w:id="11" w:name="_Toc97566043"/>
      <w:bookmarkStart w:id="12" w:name="_Toc97738904"/>
      <w:r w:rsidRPr="008D0FBA">
        <w:rPr>
          <w:rFonts w:hint="eastAsia"/>
        </w:rPr>
        <w:t>主要起草人</w:t>
      </w:r>
      <w:bookmarkEnd w:id="11"/>
      <w:bookmarkEnd w:id="12"/>
    </w:p>
    <w:p w:rsidR="00562417" w:rsidRPr="008D0FBA" w:rsidRDefault="00562417" w:rsidP="008D0FBA">
      <w:pPr>
        <w:pStyle w:val="af5"/>
      </w:pPr>
      <w:bookmarkStart w:id="13" w:name="_Toc122002353"/>
      <w:r w:rsidRPr="008D0FBA">
        <w:rPr>
          <w:rFonts w:hint="eastAsia"/>
        </w:rPr>
        <w:t>刘玉文、杨廷志、孙照岚、肖婵娟、李克雷、汪科成、巩巧琴、杨建学、赵秀林、张伟、陆东浩、杨进胜、周洋、李纲、李雪松、肖方奇、邵文杰、韩金。</w:t>
      </w:r>
    </w:p>
    <w:p w:rsidR="00471898" w:rsidRPr="008D0FBA" w:rsidRDefault="004D4DB2" w:rsidP="008D0FBA">
      <w:pPr>
        <w:pStyle w:val="af5"/>
        <w:rPr>
          <w:rFonts w:ascii="黑体" w:eastAsia="黑体" w:hAnsi="黑体"/>
        </w:rPr>
      </w:pPr>
      <w:r w:rsidRPr="008D0FBA">
        <w:rPr>
          <w:rFonts w:ascii="黑体" w:eastAsia="黑体" w:hAnsi="黑体" w:hint="eastAsia"/>
        </w:rPr>
        <w:t>（三）起草单位和主要起草</w:t>
      </w:r>
      <w:proofErr w:type="gramStart"/>
      <w:r w:rsidRPr="008D0FBA">
        <w:rPr>
          <w:rFonts w:ascii="黑体" w:eastAsia="黑体" w:hAnsi="黑体" w:hint="eastAsia"/>
        </w:rPr>
        <w:t>人任务</w:t>
      </w:r>
      <w:proofErr w:type="gramEnd"/>
      <w:r w:rsidRPr="008D0FBA">
        <w:rPr>
          <w:rFonts w:ascii="黑体" w:eastAsia="黑体" w:hAnsi="黑体" w:hint="eastAsia"/>
        </w:rPr>
        <w:t>分工</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3685"/>
        <w:gridCol w:w="2886"/>
      </w:tblGrid>
      <w:tr w:rsidR="00562417" w:rsidRPr="008D0FBA" w:rsidTr="00562417">
        <w:trPr>
          <w:trHeight w:val="382"/>
        </w:trPr>
        <w:tc>
          <w:tcPr>
            <w:tcW w:w="479" w:type="pct"/>
            <w:vAlign w:val="center"/>
          </w:tcPr>
          <w:p w:rsidR="00562417" w:rsidRPr="008D0FBA" w:rsidRDefault="00562417" w:rsidP="008D0FBA">
            <w:pPr>
              <w:adjustRightInd w:val="0"/>
              <w:snapToGrid w:val="0"/>
              <w:jc w:val="center"/>
              <w:rPr>
                <w:rFonts w:ascii="宋体" w:eastAsia="宋体" w:hAnsi="宋体"/>
                <w:b/>
                <w:bCs/>
                <w:sz w:val="24"/>
                <w:szCs w:val="24"/>
              </w:rPr>
            </w:pPr>
            <w:r w:rsidRPr="008D0FBA">
              <w:rPr>
                <w:rFonts w:ascii="宋体" w:eastAsia="宋体" w:hAnsi="宋体" w:hint="eastAsia"/>
                <w:b/>
                <w:bCs/>
                <w:sz w:val="24"/>
                <w:szCs w:val="24"/>
              </w:rPr>
              <w:t>序号</w:t>
            </w:r>
          </w:p>
        </w:tc>
        <w:tc>
          <w:tcPr>
            <w:tcW w:w="665" w:type="pct"/>
            <w:vAlign w:val="center"/>
          </w:tcPr>
          <w:p w:rsidR="00562417" w:rsidRPr="008D0FBA" w:rsidRDefault="00562417" w:rsidP="008D0FBA">
            <w:pPr>
              <w:adjustRightInd w:val="0"/>
              <w:snapToGrid w:val="0"/>
              <w:jc w:val="center"/>
              <w:rPr>
                <w:rFonts w:ascii="宋体" w:eastAsia="宋体" w:hAnsi="宋体"/>
                <w:b/>
                <w:bCs/>
                <w:sz w:val="24"/>
                <w:szCs w:val="24"/>
              </w:rPr>
            </w:pPr>
            <w:r w:rsidRPr="008D0FBA">
              <w:rPr>
                <w:rFonts w:ascii="宋体" w:eastAsia="宋体" w:hAnsi="宋体" w:hint="eastAsia"/>
                <w:b/>
                <w:bCs/>
                <w:sz w:val="24"/>
                <w:szCs w:val="24"/>
              </w:rPr>
              <w:t>姓名</w:t>
            </w:r>
          </w:p>
        </w:tc>
        <w:tc>
          <w:tcPr>
            <w:tcW w:w="2162" w:type="pct"/>
            <w:vAlign w:val="center"/>
          </w:tcPr>
          <w:p w:rsidR="00562417" w:rsidRPr="008D0FBA" w:rsidRDefault="00562417" w:rsidP="008D0FBA">
            <w:pPr>
              <w:adjustRightInd w:val="0"/>
              <w:snapToGrid w:val="0"/>
              <w:jc w:val="center"/>
              <w:rPr>
                <w:rFonts w:ascii="宋体" w:eastAsia="宋体" w:hAnsi="宋体"/>
                <w:b/>
                <w:bCs/>
                <w:sz w:val="24"/>
                <w:szCs w:val="24"/>
              </w:rPr>
            </w:pPr>
            <w:r w:rsidRPr="008D0FBA">
              <w:rPr>
                <w:rFonts w:ascii="宋体" w:eastAsia="宋体" w:hAnsi="宋体" w:hint="eastAsia"/>
                <w:b/>
                <w:bCs/>
                <w:sz w:val="24"/>
                <w:szCs w:val="24"/>
              </w:rPr>
              <w:t>工作单位</w:t>
            </w:r>
          </w:p>
        </w:tc>
        <w:tc>
          <w:tcPr>
            <w:tcW w:w="1693" w:type="pct"/>
            <w:vAlign w:val="center"/>
          </w:tcPr>
          <w:p w:rsidR="00562417" w:rsidRPr="008D0FBA" w:rsidRDefault="00562417" w:rsidP="008D0FBA">
            <w:pPr>
              <w:adjustRightInd w:val="0"/>
              <w:snapToGrid w:val="0"/>
              <w:jc w:val="center"/>
              <w:rPr>
                <w:rFonts w:ascii="宋体" w:eastAsia="宋体" w:hAnsi="宋体"/>
                <w:b/>
                <w:bCs/>
                <w:sz w:val="24"/>
                <w:szCs w:val="24"/>
              </w:rPr>
            </w:pPr>
            <w:r w:rsidRPr="008D0FBA">
              <w:rPr>
                <w:rFonts w:ascii="宋体" w:eastAsia="宋体" w:hAnsi="宋体" w:hint="eastAsia"/>
                <w:b/>
                <w:bCs/>
                <w:sz w:val="24"/>
                <w:szCs w:val="24"/>
              </w:rPr>
              <w:t>任务分工</w:t>
            </w:r>
          </w:p>
        </w:tc>
      </w:tr>
      <w:tr w:rsidR="00562417" w:rsidRPr="008D0FBA" w:rsidTr="00562417">
        <w:trPr>
          <w:trHeight w:val="635"/>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1</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刘玉文</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中车青岛四方机车车辆股份有限公司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标准主要发起人和组织者，负责标准框架内容搭建、构思</w:t>
            </w:r>
          </w:p>
        </w:tc>
      </w:tr>
      <w:tr w:rsidR="00562417" w:rsidRPr="008D0FBA" w:rsidTr="00562417">
        <w:trPr>
          <w:trHeight w:val="635"/>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2</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杨廷志</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中车青岛四方机车车辆股份有限公司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标准项目主要负责人及组织者</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3</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孙照岚</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中车青岛四方机车车辆股份有限公司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标准主要发起人和组织者</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4</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巩巧琴</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中车青岛四方机车车辆股份有限公司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标准编制工作策划组织实施</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lastRenderedPageBreak/>
              <w:t>5</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肖婵娟</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中车青岛四方机车车辆股份有限公司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6</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李克雷</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中车青岛四方机车车辆股份有限公司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7</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汪科成</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中车青岛四方机车车辆股份有限公司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8</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杨建学</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中车青岛四方机车车辆股份有限公司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9</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赵秀林</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中车青岛四方机车车辆股份有限公司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10</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张伟</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中车青岛四方机车车辆股份有限公司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11</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陆东浩</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中车青岛四方机车车辆股份有限公司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12</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杨进胜</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胶州市交通运输局</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13</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周洋</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胶州市发展和</w:t>
            </w:r>
            <w:proofErr w:type="gramStart"/>
            <w:r w:rsidRPr="008D0FBA">
              <w:rPr>
                <w:rFonts w:ascii="宋体" w:eastAsia="宋体" w:hAnsi="宋体" w:hint="eastAsia"/>
                <w:bCs/>
                <w:sz w:val="24"/>
                <w:szCs w:val="24"/>
              </w:rPr>
              <w:t>改革局</w:t>
            </w:r>
            <w:proofErr w:type="gramEnd"/>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14</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李纲</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青岛上合城乡融合发展集团有限公司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15</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李雪松</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中车城市交通规划设计研究院有限公司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16</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肖方奇</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中车智能交通工程技术有限公司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17</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邵文杰</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青岛城运控股集团轨道巴士有限公司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r w:rsidR="00562417" w:rsidRPr="008D0FBA" w:rsidTr="00562417">
        <w:trPr>
          <w:trHeight w:val="557"/>
        </w:trPr>
        <w:tc>
          <w:tcPr>
            <w:tcW w:w="479"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18</w:t>
            </w:r>
          </w:p>
        </w:tc>
        <w:tc>
          <w:tcPr>
            <w:tcW w:w="665" w:type="pct"/>
            <w:vAlign w:val="center"/>
          </w:tcPr>
          <w:p w:rsidR="00562417" w:rsidRPr="008D0FBA" w:rsidRDefault="00562417" w:rsidP="008D0FBA">
            <w:pPr>
              <w:adjustRightInd w:val="0"/>
              <w:snapToGrid w:val="0"/>
              <w:jc w:val="center"/>
              <w:rPr>
                <w:rFonts w:ascii="宋体" w:eastAsia="宋体" w:hAnsi="宋体"/>
                <w:bCs/>
                <w:sz w:val="24"/>
                <w:szCs w:val="24"/>
              </w:rPr>
            </w:pPr>
            <w:r w:rsidRPr="008D0FBA">
              <w:rPr>
                <w:rFonts w:ascii="宋体" w:eastAsia="宋体" w:hAnsi="宋体" w:hint="eastAsia"/>
                <w:bCs/>
                <w:sz w:val="24"/>
                <w:szCs w:val="24"/>
              </w:rPr>
              <w:t>韩金</w:t>
            </w:r>
          </w:p>
        </w:tc>
        <w:tc>
          <w:tcPr>
            <w:tcW w:w="2162"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济南轨道交通集团有限公司</w:t>
            </w:r>
          </w:p>
        </w:tc>
        <w:tc>
          <w:tcPr>
            <w:tcW w:w="1693" w:type="pct"/>
            <w:vAlign w:val="center"/>
          </w:tcPr>
          <w:p w:rsidR="00562417" w:rsidRPr="008D0FBA" w:rsidRDefault="00562417" w:rsidP="008D0FBA">
            <w:pPr>
              <w:adjustRightInd w:val="0"/>
              <w:snapToGrid w:val="0"/>
              <w:rPr>
                <w:rFonts w:ascii="宋体" w:eastAsia="宋体" w:hAnsi="宋体"/>
                <w:bCs/>
                <w:sz w:val="24"/>
                <w:szCs w:val="24"/>
              </w:rPr>
            </w:pPr>
            <w:r w:rsidRPr="008D0FBA">
              <w:rPr>
                <w:rFonts w:ascii="宋体" w:eastAsia="宋体" w:hAnsi="宋体" w:hint="eastAsia"/>
                <w:bCs/>
                <w:sz w:val="24"/>
                <w:szCs w:val="24"/>
              </w:rPr>
              <w:t>参与标准编写</w:t>
            </w:r>
          </w:p>
        </w:tc>
      </w:tr>
    </w:tbl>
    <w:p w:rsidR="00471898" w:rsidRPr="008D0FBA" w:rsidRDefault="004D4DB2" w:rsidP="008D0FBA">
      <w:pPr>
        <w:pStyle w:val="af5"/>
        <w:rPr>
          <w:rFonts w:ascii="黑体" w:eastAsia="黑体" w:hAnsi="黑体" w:cs="Times New Roman"/>
        </w:rPr>
      </w:pPr>
      <w:bookmarkStart w:id="14" w:name="_Toc122002354"/>
      <w:bookmarkStart w:id="15" w:name="_Toc97738906"/>
      <w:r w:rsidRPr="008D0FBA">
        <w:rPr>
          <w:rFonts w:ascii="黑体" w:eastAsia="黑体" w:hAnsi="黑体" w:hint="eastAsia"/>
        </w:rPr>
        <w:t>（四）起草过程</w:t>
      </w:r>
      <w:bookmarkEnd w:id="14"/>
      <w:bookmarkEnd w:id="15"/>
    </w:p>
    <w:p w:rsidR="00471898" w:rsidRPr="00D022E9" w:rsidRDefault="001A3CA2" w:rsidP="008D0FBA">
      <w:pPr>
        <w:pStyle w:val="af6"/>
        <w:spacing w:line="560" w:lineRule="exact"/>
      </w:pPr>
      <w:r w:rsidRPr="00D022E9">
        <w:rPr>
          <w:rFonts w:hint="eastAsia"/>
        </w:rPr>
        <w:t>1.</w:t>
      </w:r>
      <w:r w:rsidR="004D4DB2" w:rsidRPr="00D022E9">
        <w:rPr>
          <w:rFonts w:hint="eastAsia"/>
        </w:rPr>
        <w:t>预研阶段</w:t>
      </w:r>
    </w:p>
    <w:p w:rsidR="00D022E9" w:rsidRDefault="00D022E9" w:rsidP="008D0FBA">
      <w:pPr>
        <w:pStyle w:val="af5"/>
        <w:rPr>
          <w:rFonts w:hint="eastAsia"/>
        </w:rPr>
      </w:pPr>
      <w:r w:rsidRPr="00D022E9">
        <w:rPr>
          <w:rFonts w:hint="eastAsia"/>
        </w:rPr>
        <w:t>2023年11月，项目组对行业管理部门、主机厂、系统制造商、检测机构等相关方进行了调研，梳理了各方对电子导向快轨通用技术条件的使用需求。并查阅和搜集文献、标准、管理规范和检测方法等相关资料，进行分析对比研究。依据工作组参与的人员的专业、技能、人数明确了任务和分工，积极开展标准的研究、调研、起草、试验、分析等工作。</w:t>
      </w:r>
    </w:p>
    <w:p w:rsidR="00D022E9" w:rsidRDefault="00D022E9" w:rsidP="008D0FBA">
      <w:pPr>
        <w:pStyle w:val="af5"/>
        <w:rPr>
          <w:rFonts w:hint="eastAsia"/>
          <w:highlight w:val="yellow"/>
        </w:rPr>
      </w:pPr>
    </w:p>
    <w:p w:rsidR="00D022E9" w:rsidRDefault="00D022E9" w:rsidP="008D0FBA">
      <w:pPr>
        <w:pStyle w:val="af5"/>
        <w:rPr>
          <w:rFonts w:hint="eastAsia"/>
          <w:highlight w:val="yellow"/>
        </w:rPr>
      </w:pPr>
    </w:p>
    <w:p w:rsidR="00D022E9" w:rsidRPr="008D0FBA" w:rsidRDefault="00D022E9" w:rsidP="008D0FBA">
      <w:pPr>
        <w:pStyle w:val="af5"/>
        <w:rPr>
          <w:highlight w:val="yellow"/>
        </w:rPr>
      </w:pPr>
    </w:p>
    <w:p w:rsidR="00471898" w:rsidRPr="00D022E9" w:rsidRDefault="001A3CA2" w:rsidP="008D0FBA">
      <w:pPr>
        <w:pStyle w:val="af6"/>
        <w:spacing w:line="560" w:lineRule="exact"/>
      </w:pPr>
      <w:r w:rsidRPr="00D022E9">
        <w:rPr>
          <w:rFonts w:hint="eastAsia"/>
        </w:rPr>
        <w:t>2.</w:t>
      </w:r>
      <w:r w:rsidR="004D4DB2" w:rsidRPr="00D022E9">
        <w:rPr>
          <w:rFonts w:hint="eastAsia"/>
        </w:rPr>
        <w:t>起草阶段</w:t>
      </w:r>
    </w:p>
    <w:p w:rsidR="00D022E9" w:rsidRDefault="00D022E9" w:rsidP="00D022E9">
      <w:pPr>
        <w:pStyle w:val="af5"/>
        <w:rPr>
          <w:rFonts w:hint="eastAsia"/>
        </w:rPr>
      </w:pPr>
      <w:r>
        <w:rPr>
          <w:rFonts w:hint="eastAsia"/>
        </w:rPr>
        <w:t>（1）标准计划下达后，在归口单位指导下，</w:t>
      </w:r>
      <w:r w:rsidRPr="00D022E9">
        <w:rPr>
          <w:rFonts w:hint="eastAsia"/>
        </w:rPr>
        <w:t>中车青岛四方机车车辆股份有限公司、胶州市交通运输局、胶州市发展和改革局、青岛上合城乡融合发展集团有限公司、中车城市交通规划设计研究院有限公司、中车智能交通工程技术有限公司、青岛城运控股集团轨道巴士有限公司、济南轨道交通集团有限公司</w:t>
      </w:r>
      <w:r>
        <w:rPr>
          <w:rFonts w:hint="eastAsia"/>
        </w:rPr>
        <w:t>等单位成立了标准起草组，对电子导向快</w:t>
      </w:r>
      <w:proofErr w:type="gramStart"/>
      <w:r>
        <w:rPr>
          <w:rFonts w:hint="eastAsia"/>
        </w:rPr>
        <w:t>轨车辆</w:t>
      </w:r>
      <w:proofErr w:type="gramEnd"/>
      <w:r>
        <w:rPr>
          <w:rFonts w:hint="eastAsia"/>
        </w:rPr>
        <w:t xml:space="preserve"> </w:t>
      </w:r>
      <w:r>
        <w:rPr>
          <w:rFonts w:hint="eastAsia"/>
        </w:rPr>
        <w:t>通用技术条件</w:t>
      </w:r>
      <w:r>
        <w:rPr>
          <w:rFonts w:hint="eastAsia"/>
        </w:rPr>
        <w:t>的技术要求、试验要求、检验规则等进行了调研，并查阅和搜集文献、标准、检测方法等相关资料，进行分析对比研究，形成了本文件的草案稿。</w:t>
      </w:r>
    </w:p>
    <w:p w:rsidR="00D022E9" w:rsidRDefault="00D022E9" w:rsidP="00D022E9">
      <w:pPr>
        <w:pStyle w:val="af5"/>
        <w:rPr>
          <w:rFonts w:hint="eastAsia"/>
          <w:highlight w:val="yellow"/>
        </w:rPr>
      </w:pPr>
      <w:r>
        <w:rPr>
          <w:rFonts w:hint="eastAsia"/>
        </w:rPr>
        <w:t>（2）标准起草组对前期工作和标准草案深入讨论研究后，2024年7月形成了本文件的征求意见稿并发送山东省标准化协会，由山东省标准化协会进行意见征集。</w:t>
      </w:r>
    </w:p>
    <w:p w:rsidR="00471898" w:rsidRDefault="004D4DB2" w:rsidP="008D0FBA">
      <w:pPr>
        <w:spacing w:line="560" w:lineRule="exact"/>
        <w:ind w:firstLineChars="200" w:firstLine="480"/>
        <w:outlineLvl w:val="0"/>
        <w:rPr>
          <w:rFonts w:ascii="黑体" w:eastAsia="黑体" w:hAnsi="黑体" w:cs="黑体" w:hint="eastAsia"/>
          <w:bCs/>
          <w:sz w:val="24"/>
          <w:szCs w:val="24"/>
        </w:rPr>
      </w:pPr>
      <w:bookmarkStart w:id="16" w:name="_Toc122002355"/>
      <w:r w:rsidRPr="008D0FBA">
        <w:rPr>
          <w:rFonts w:ascii="黑体" w:eastAsia="黑体" w:hAnsi="黑体" w:cs="黑体" w:hint="eastAsia"/>
          <w:bCs/>
          <w:sz w:val="24"/>
          <w:szCs w:val="24"/>
        </w:rPr>
        <w:t>二、标准制定的目的和意义</w:t>
      </w:r>
      <w:bookmarkEnd w:id="16"/>
    </w:p>
    <w:p w:rsidR="00D022E9" w:rsidRPr="00D022E9" w:rsidRDefault="00D022E9" w:rsidP="00D022E9">
      <w:pPr>
        <w:spacing w:line="560" w:lineRule="exact"/>
        <w:ind w:firstLineChars="200" w:firstLine="480"/>
        <w:outlineLvl w:val="0"/>
        <w:rPr>
          <w:rFonts w:asciiTheme="minorEastAsia" w:hAnsiTheme="minorEastAsia" w:cs="黑体" w:hint="eastAsia"/>
          <w:bCs/>
          <w:sz w:val="24"/>
          <w:szCs w:val="24"/>
        </w:rPr>
      </w:pPr>
      <w:r w:rsidRPr="00D022E9">
        <w:rPr>
          <w:rFonts w:asciiTheme="minorEastAsia" w:hAnsiTheme="minorEastAsia" w:cs="黑体" w:hint="eastAsia"/>
          <w:bCs/>
          <w:sz w:val="24"/>
          <w:szCs w:val="24"/>
        </w:rPr>
        <w:t>电子导向快</w:t>
      </w:r>
      <w:proofErr w:type="gramStart"/>
      <w:r w:rsidRPr="00D022E9">
        <w:rPr>
          <w:rFonts w:asciiTheme="minorEastAsia" w:hAnsiTheme="minorEastAsia" w:cs="黑体" w:hint="eastAsia"/>
          <w:bCs/>
          <w:sz w:val="24"/>
          <w:szCs w:val="24"/>
        </w:rPr>
        <w:t>轨车辆</w:t>
      </w:r>
      <w:proofErr w:type="gramEnd"/>
      <w:r w:rsidRPr="00D022E9">
        <w:rPr>
          <w:rFonts w:asciiTheme="minorEastAsia" w:hAnsiTheme="minorEastAsia" w:cs="黑体" w:hint="eastAsia"/>
          <w:bCs/>
          <w:sz w:val="24"/>
          <w:szCs w:val="24"/>
        </w:rPr>
        <w:t>与传统车辆存在较大差异，其突出特点是为实现更小的转弯半径而采用全轮转向方式，且由于电子导向快</w:t>
      </w:r>
      <w:proofErr w:type="gramStart"/>
      <w:r w:rsidRPr="00D022E9">
        <w:rPr>
          <w:rFonts w:asciiTheme="minorEastAsia" w:hAnsiTheme="minorEastAsia" w:cs="黑体" w:hint="eastAsia"/>
          <w:bCs/>
          <w:sz w:val="24"/>
          <w:szCs w:val="24"/>
        </w:rPr>
        <w:t>轨车辆</w:t>
      </w:r>
      <w:proofErr w:type="gramEnd"/>
      <w:r w:rsidRPr="00D022E9">
        <w:rPr>
          <w:rFonts w:asciiTheme="minorEastAsia" w:hAnsiTheme="minorEastAsia" w:cs="黑体" w:hint="eastAsia"/>
          <w:bCs/>
          <w:sz w:val="24"/>
          <w:szCs w:val="24"/>
        </w:rPr>
        <w:t>具有车身较长、车重大、多节车厢之间夹角大等特点，其走行系统与单箱车辆存在较大差异。</w:t>
      </w:r>
    </w:p>
    <w:p w:rsidR="00D022E9" w:rsidRPr="00D022E9" w:rsidRDefault="00D022E9" w:rsidP="00D022E9">
      <w:pPr>
        <w:spacing w:line="560" w:lineRule="exact"/>
        <w:ind w:firstLineChars="200" w:firstLine="480"/>
        <w:outlineLvl w:val="0"/>
        <w:rPr>
          <w:rFonts w:asciiTheme="minorEastAsia" w:hAnsiTheme="minorEastAsia" w:cs="黑体" w:hint="eastAsia"/>
          <w:bCs/>
          <w:sz w:val="24"/>
          <w:szCs w:val="24"/>
        </w:rPr>
      </w:pPr>
      <w:r w:rsidRPr="00D022E9">
        <w:rPr>
          <w:rFonts w:asciiTheme="minorEastAsia" w:hAnsiTheme="minorEastAsia" w:cs="黑体" w:hint="eastAsia"/>
          <w:bCs/>
          <w:sz w:val="24"/>
          <w:szCs w:val="24"/>
        </w:rPr>
        <w:t>电子导向快</w:t>
      </w:r>
      <w:proofErr w:type="gramStart"/>
      <w:r w:rsidRPr="00D022E9">
        <w:rPr>
          <w:rFonts w:asciiTheme="minorEastAsia" w:hAnsiTheme="minorEastAsia" w:cs="黑体" w:hint="eastAsia"/>
          <w:bCs/>
          <w:sz w:val="24"/>
          <w:szCs w:val="24"/>
        </w:rPr>
        <w:t>轨车辆</w:t>
      </w:r>
      <w:proofErr w:type="gramEnd"/>
      <w:r w:rsidRPr="00D022E9">
        <w:rPr>
          <w:rFonts w:asciiTheme="minorEastAsia" w:hAnsiTheme="minorEastAsia" w:cs="黑体" w:hint="eastAsia"/>
          <w:bCs/>
          <w:sz w:val="24"/>
          <w:szCs w:val="24"/>
        </w:rPr>
        <w:t>是城市轨道交通运营模式与先进汽车技术相融合的产品，相比较传统城市轨道交通，还应考虑城市道路交通中司机的开车习惯。但是受车辆车身结构、长度、车重和轴重、城市道路弯道信息等因素影响，电子导向快</w:t>
      </w:r>
      <w:proofErr w:type="gramStart"/>
      <w:r w:rsidRPr="00D022E9">
        <w:rPr>
          <w:rFonts w:asciiTheme="minorEastAsia" w:hAnsiTheme="minorEastAsia" w:cs="黑体" w:hint="eastAsia"/>
          <w:bCs/>
          <w:sz w:val="24"/>
          <w:szCs w:val="24"/>
        </w:rPr>
        <w:t>轨车辆</w:t>
      </w:r>
      <w:proofErr w:type="gramEnd"/>
      <w:r w:rsidRPr="00D022E9">
        <w:rPr>
          <w:rFonts w:asciiTheme="minorEastAsia" w:hAnsiTheme="minorEastAsia" w:cs="黑体" w:hint="eastAsia"/>
          <w:bCs/>
          <w:sz w:val="24"/>
          <w:szCs w:val="24"/>
        </w:rPr>
        <w:t>要具有乘坐舒适、转弯半径小等特点，因此采用全轮转向车桥和空气悬挂系统成为解决此问题行之有效的办法。</w:t>
      </w:r>
    </w:p>
    <w:p w:rsidR="00D022E9" w:rsidRPr="00D022E9" w:rsidRDefault="00D022E9" w:rsidP="00D022E9">
      <w:pPr>
        <w:spacing w:line="560" w:lineRule="exact"/>
        <w:ind w:firstLineChars="200" w:firstLine="480"/>
        <w:outlineLvl w:val="0"/>
        <w:rPr>
          <w:rFonts w:asciiTheme="minorEastAsia" w:hAnsiTheme="minorEastAsia" w:cs="黑体"/>
          <w:bCs/>
          <w:sz w:val="24"/>
          <w:szCs w:val="24"/>
        </w:rPr>
      </w:pPr>
      <w:r w:rsidRPr="00D022E9">
        <w:rPr>
          <w:rFonts w:asciiTheme="minorEastAsia" w:hAnsiTheme="minorEastAsia" w:cs="黑体" w:hint="eastAsia"/>
          <w:bCs/>
          <w:sz w:val="24"/>
          <w:szCs w:val="24"/>
        </w:rPr>
        <w:t>但当前电子导向快</w:t>
      </w:r>
      <w:proofErr w:type="gramStart"/>
      <w:r w:rsidRPr="00D022E9">
        <w:rPr>
          <w:rFonts w:asciiTheme="minorEastAsia" w:hAnsiTheme="minorEastAsia" w:cs="黑体" w:hint="eastAsia"/>
          <w:bCs/>
          <w:sz w:val="24"/>
          <w:szCs w:val="24"/>
        </w:rPr>
        <w:t>轨车辆</w:t>
      </w:r>
      <w:proofErr w:type="gramEnd"/>
      <w:r w:rsidRPr="00D022E9">
        <w:rPr>
          <w:rFonts w:asciiTheme="minorEastAsia" w:hAnsiTheme="minorEastAsia" w:cs="黑体" w:hint="eastAsia"/>
          <w:bCs/>
          <w:sz w:val="24"/>
          <w:szCs w:val="24"/>
        </w:rPr>
        <w:t>的研发处于初期阶段，但各厂家在具体的技术细节上存在一定差异，需要统一的标准对车辆研发和检验进行规范。</w:t>
      </w:r>
    </w:p>
    <w:p w:rsidR="002F7312" w:rsidRPr="008D0FBA" w:rsidRDefault="002F7312" w:rsidP="008D0FBA">
      <w:pPr>
        <w:pStyle w:val="af5"/>
      </w:pPr>
      <w:r w:rsidRPr="008D0FBA">
        <w:rPr>
          <w:rFonts w:hint="eastAsia"/>
        </w:rPr>
        <w:t>电子导向快</w:t>
      </w:r>
      <w:proofErr w:type="gramStart"/>
      <w:r w:rsidRPr="008D0FBA">
        <w:rPr>
          <w:rFonts w:hint="eastAsia"/>
        </w:rPr>
        <w:t>轨车辆</w:t>
      </w:r>
      <w:proofErr w:type="gramEnd"/>
      <w:r w:rsidRPr="008D0FBA">
        <w:rPr>
          <w:rFonts w:hint="eastAsia"/>
        </w:rPr>
        <w:t>是中小运量城市轨道交通领域的全新尝试，在车辆技术</w:t>
      </w:r>
      <w:r w:rsidRPr="008D0FBA">
        <w:rPr>
          <w:rFonts w:hint="eastAsia"/>
        </w:rPr>
        <w:lastRenderedPageBreak/>
        <w:t>方面的全新突破，在使用场景方面的全新探索，以“车辆+机电+维保+检修+数字”模式，进一步为交通装备可持续发展的奠定基础。</w:t>
      </w:r>
    </w:p>
    <w:p w:rsidR="002F7312" w:rsidRPr="008D0FBA" w:rsidRDefault="002F7312" w:rsidP="008D0FBA">
      <w:pPr>
        <w:pStyle w:val="af5"/>
      </w:pPr>
      <w:r w:rsidRPr="008D0FBA">
        <w:rPr>
          <w:rFonts w:hint="eastAsia"/>
        </w:rPr>
        <w:t>电子导向快</w:t>
      </w:r>
      <w:proofErr w:type="gramStart"/>
      <w:r w:rsidRPr="008D0FBA">
        <w:rPr>
          <w:rFonts w:hint="eastAsia"/>
        </w:rPr>
        <w:t>轨车辆</w:t>
      </w:r>
      <w:proofErr w:type="gramEnd"/>
      <w:r w:rsidRPr="008D0FBA">
        <w:rPr>
          <w:rFonts w:hint="eastAsia"/>
        </w:rPr>
        <w:t>支持外部环境在-25℃</w:t>
      </w:r>
      <w:r w:rsidR="00D022E9">
        <w:rPr>
          <w:rFonts w:ascii="Times New Roman" w:hAnsi="Times New Roman" w:cs="Times New Roman"/>
        </w:rPr>
        <w:t>~</w:t>
      </w:r>
      <w:r w:rsidRPr="008D0FBA">
        <w:rPr>
          <w:rFonts w:hint="eastAsia"/>
        </w:rPr>
        <w:t>+45℃，最大坡道70‰，最小平曲线半径为R15的线路使用，车辆使用更广泛；支持最大运营速度为70km/h，并具有良好的启停加、减速度，车辆使用更高效；车体强度、防火性能、动力学性能等方面设计标准多引用于轨道交通车辆，满足道路车辆运营要求，项点更全面、指标更严格，车辆使用更安全；采用动力电池供电形式，相比其他道路交通，车辆使用更节能，更环保；采用“自动驾驶+全轴转向控制”导向控制、智能运维等先进技术等，车辆使用更智能。该车是安全、可靠、舒适的</w:t>
      </w:r>
      <w:r w:rsidR="007222FD" w:rsidRPr="008D0FBA">
        <w:rPr>
          <w:rFonts w:hint="eastAsia"/>
        </w:rPr>
        <w:t>代表性产品，为城市中小运量交通模式提供有效的解决方案</w:t>
      </w:r>
      <w:r w:rsidRPr="008D0FBA">
        <w:rPr>
          <w:rFonts w:hint="eastAsia"/>
        </w:rPr>
        <w:t>。</w:t>
      </w:r>
    </w:p>
    <w:p w:rsidR="00471898" w:rsidRPr="008D0FBA" w:rsidRDefault="002F7312" w:rsidP="008D0FBA">
      <w:pPr>
        <w:pStyle w:val="af5"/>
      </w:pPr>
      <w:r w:rsidRPr="008D0FBA">
        <w:rPr>
          <w:rFonts w:hint="eastAsia"/>
        </w:rPr>
        <w:t>然而，电子导向快</w:t>
      </w:r>
      <w:proofErr w:type="gramStart"/>
      <w:r w:rsidRPr="008D0FBA">
        <w:rPr>
          <w:rFonts w:hint="eastAsia"/>
        </w:rPr>
        <w:t>轨车辆</w:t>
      </w:r>
      <w:proofErr w:type="gramEnd"/>
      <w:r w:rsidRPr="008D0FBA">
        <w:rPr>
          <w:rFonts w:hint="eastAsia"/>
        </w:rPr>
        <w:t>作为全新领域车型，在标准体系构架方面存在缺失，缺少相应的技术标准支撑。</w:t>
      </w:r>
      <w:r w:rsidR="007222FD" w:rsidRPr="008D0FBA">
        <w:rPr>
          <w:rFonts w:hint="eastAsia"/>
        </w:rPr>
        <w:t>编制</w:t>
      </w:r>
      <w:r w:rsidRPr="008D0FBA">
        <w:rPr>
          <w:rFonts w:hint="eastAsia"/>
        </w:rPr>
        <w:t>电子导向快</w:t>
      </w:r>
      <w:proofErr w:type="gramStart"/>
      <w:r w:rsidRPr="008D0FBA">
        <w:rPr>
          <w:rFonts w:hint="eastAsia"/>
        </w:rPr>
        <w:t>轨车辆</w:t>
      </w:r>
      <w:proofErr w:type="gramEnd"/>
      <w:r w:rsidRPr="008D0FBA">
        <w:rPr>
          <w:rFonts w:hint="eastAsia"/>
        </w:rPr>
        <w:t>标准，</w:t>
      </w:r>
      <w:r w:rsidR="007222FD" w:rsidRPr="008D0FBA">
        <w:rPr>
          <w:rFonts w:hint="eastAsia"/>
        </w:rPr>
        <w:t>规范</w:t>
      </w:r>
      <w:r w:rsidRPr="008D0FBA">
        <w:rPr>
          <w:rFonts w:hint="eastAsia"/>
        </w:rPr>
        <w:t>电子导向快</w:t>
      </w:r>
      <w:proofErr w:type="gramStart"/>
      <w:r w:rsidRPr="008D0FBA">
        <w:rPr>
          <w:rFonts w:hint="eastAsia"/>
        </w:rPr>
        <w:t>轨车辆</w:t>
      </w:r>
      <w:proofErr w:type="gramEnd"/>
      <w:r w:rsidRPr="008D0FBA">
        <w:rPr>
          <w:rFonts w:hint="eastAsia"/>
        </w:rPr>
        <w:t>的设计、制造与试验</w:t>
      </w:r>
      <w:r w:rsidR="007222FD" w:rsidRPr="008D0FBA">
        <w:rPr>
          <w:rFonts w:hint="eastAsia"/>
        </w:rPr>
        <w:t>要求</w:t>
      </w:r>
      <w:r w:rsidRPr="008D0FBA">
        <w:rPr>
          <w:rFonts w:hint="eastAsia"/>
        </w:rPr>
        <w:t>，形成统一、</w:t>
      </w:r>
      <w:r w:rsidR="007222FD" w:rsidRPr="008D0FBA">
        <w:rPr>
          <w:rFonts w:hint="eastAsia"/>
        </w:rPr>
        <w:t>完善、</w:t>
      </w:r>
      <w:r w:rsidRPr="008D0FBA">
        <w:rPr>
          <w:rFonts w:hint="eastAsia"/>
        </w:rPr>
        <w:t>合理的技术条件，有利于后续电子导向快</w:t>
      </w:r>
      <w:proofErr w:type="gramStart"/>
      <w:r w:rsidRPr="008D0FBA">
        <w:rPr>
          <w:rFonts w:hint="eastAsia"/>
        </w:rPr>
        <w:t>轨车辆</w:t>
      </w:r>
      <w:proofErr w:type="gramEnd"/>
      <w:r w:rsidRPr="008D0FBA">
        <w:rPr>
          <w:rFonts w:hint="eastAsia"/>
        </w:rPr>
        <w:t>的工程化与产业化推进。</w:t>
      </w:r>
    </w:p>
    <w:p w:rsidR="00471898" w:rsidRPr="008D0FBA" w:rsidRDefault="004D4DB2" w:rsidP="008D0FBA">
      <w:pPr>
        <w:spacing w:line="560" w:lineRule="exact"/>
        <w:ind w:firstLineChars="200" w:firstLine="480"/>
        <w:outlineLvl w:val="0"/>
        <w:rPr>
          <w:rFonts w:ascii="黑体" w:eastAsia="黑体" w:hAnsi="黑体" w:cs="黑体"/>
          <w:bCs/>
          <w:sz w:val="24"/>
          <w:szCs w:val="24"/>
        </w:rPr>
      </w:pPr>
      <w:bookmarkStart w:id="17" w:name="_Toc122002356"/>
      <w:r w:rsidRPr="008D0FBA">
        <w:rPr>
          <w:rFonts w:ascii="黑体" w:eastAsia="黑体" w:hAnsi="黑体" w:cs="黑体" w:hint="eastAsia"/>
          <w:bCs/>
          <w:sz w:val="24"/>
          <w:szCs w:val="24"/>
        </w:rPr>
        <w:t>三、标准编制原则、主要技术内容和确定依据</w:t>
      </w:r>
      <w:bookmarkEnd w:id="17"/>
    </w:p>
    <w:p w:rsidR="00471898" w:rsidRPr="008D0FBA" w:rsidRDefault="004D4DB2" w:rsidP="008D0FBA">
      <w:pPr>
        <w:spacing w:line="560" w:lineRule="exact"/>
        <w:ind w:firstLineChars="200" w:firstLine="480"/>
        <w:jc w:val="left"/>
        <w:outlineLvl w:val="0"/>
        <w:rPr>
          <w:rFonts w:ascii="黑体" w:eastAsia="黑体" w:hAnsi="黑体" w:cs="楷体_GB2312"/>
          <w:sz w:val="24"/>
          <w:szCs w:val="24"/>
        </w:rPr>
      </w:pPr>
      <w:bookmarkStart w:id="18" w:name="_Toc122002357"/>
      <w:r w:rsidRPr="008D0FBA">
        <w:rPr>
          <w:rFonts w:ascii="黑体" w:eastAsia="黑体" w:hAnsi="黑体" w:cs="楷体_GB2312" w:hint="eastAsia"/>
          <w:sz w:val="24"/>
          <w:szCs w:val="24"/>
        </w:rPr>
        <w:t>（一）标准编制原则</w:t>
      </w:r>
      <w:bookmarkEnd w:id="18"/>
    </w:p>
    <w:p w:rsidR="00471898" w:rsidRPr="008D0FBA" w:rsidRDefault="004D4DB2" w:rsidP="008D0FBA">
      <w:pPr>
        <w:pStyle w:val="af5"/>
      </w:pPr>
      <w:r w:rsidRPr="008D0FBA">
        <w:rPr>
          <w:rFonts w:hint="eastAsia"/>
        </w:rPr>
        <w:t xml:space="preserve"> 查阅参考文献，分析相关标准，制定标准方案并提出改进意见。在本标准起草过程中，依照GB/T 1.1-2000《标准化工作导则第1部分标准化的结构和编写规则》和GB/T 1.2-2002《标准化工作导则第2部分标准中规范性技术要是内容的确定方法》的规定编写。</w:t>
      </w:r>
    </w:p>
    <w:p w:rsidR="00471898" w:rsidRPr="008D0FBA" w:rsidRDefault="004D4DB2" w:rsidP="008D0FBA">
      <w:pPr>
        <w:spacing w:line="560" w:lineRule="exact"/>
        <w:ind w:firstLineChars="200" w:firstLine="480"/>
        <w:jc w:val="left"/>
        <w:outlineLvl w:val="0"/>
        <w:rPr>
          <w:rFonts w:ascii="黑体" w:eastAsia="黑体" w:hAnsi="黑体" w:cs="楷体_GB2312"/>
          <w:sz w:val="24"/>
          <w:szCs w:val="24"/>
        </w:rPr>
      </w:pPr>
      <w:bookmarkStart w:id="19" w:name="_Toc122002358"/>
      <w:r w:rsidRPr="008D0FBA">
        <w:rPr>
          <w:rFonts w:ascii="黑体" w:eastAsia="黑体" w:hAnsi="黑体" w:cs="楷体_GB2312" w:hint="eastAsia"/>
          <w:sz w:val="24"/>
          <w:szCs w:val="24"/>
        </w:rPr>
        <w:t>（二）主要技术内容</w:t>
      </w:r>
      <w:bookmarkEnd w:id="19"/>
    </w:p>
    <w:p w:rsidR="00471898" w:rsidRPr="008D0FBA" w:rsidRDefault="004D4DB2" w:rsidP="008D0FBA">
      <w:pPr>
        <w:spacing w:line="560" w:lineRule="exact"/>
        <w:ind w:firstLineChars="200" w:firstLine="480"/>
        <w:rPr>
          <w:rFonts w:ascii="黑体" w:eastAsia="黑体" w:hAnsi="黑体" w:cs="仿宋_GB2312"/>
          <w:bCs/>
          <w:sz w:val="24"/>
          <w:szCs w:val="24"/>
        </w:rPr>
      </w:pPr>
      <w:bookmarkStart w:id="20" w:name="_Toc97566070"/>
      <w:bookmarkStart w:id="21" w:name="_Toc97738929"/>
      <w:r w:rsidRPr="008D0FBA">
        <w:rPr>
          <w:rFonts w:ascii="黑体" w:eastAsia="黑体" w:hAnsi="黑体" w:cs="仿宋_GB2312" w:hint="eastAsia"/>
          <w:bCs/>
          <w:sz w:val="24"/>
          <w:szCs w:val="24"/>
        </w:rPr>
        <w:t>1.标准的主要框架</w:t>
      </w:r>
      <w:bookmarkEnd w:id="20"/>
      <w:bookmarkEnd w:id="21"/>
    </w:p>
    <w:p w:rsidR="00471898" w:rsidRPr="008D0FBA" w:rsidRDefault="004D4DB2" w:rsidP="008D0FBA">
      <w:pPr>
        <w:pStyle w:val="af5"/>
      </w:pPr>
      <w:r w:rsidRPr="008D0FBA">
        <w:rPr>
          <w:rFonts w:hint="eastAsia"/>
        </w:rPr>
        <w:t>本文件规定了电子导向快</w:t>
      </w:r>
      <w:proofErr w:type="gramStart"/>
      <w:r w:rsidRPr="008D0FBA">
        <w:rPr>
          <w:rFonts w:hint="eastAsia"/>
        </w:rPr>
        <w:t>轨车辆</w:t>
      </w:r>
      <w:proofErr w:type="gramEnd"/>
      <w:r w:rsidRPr="008D0FBA">
        <w:rPr>
          <w:rFonts w:hint="eastAsia"/>
        </w:rPr>
        <w:t>的</w:t>
      </w:r>
      <w:bookmarkStart w:id="22" w:name="OLE_LINK4"/>
      <w:r w:rsidRPr="008D0FBA">
        <w:rPr>
          <w:rFonts w:hint="eastAsia"/>
        </w:rPr>
        <w:t>使用条件、技术规格、基本要求、车体及车辆连接、司机室、客室、空调系统、走行系统、制动系统、牵引及辅助供</w:t>
      </w:r>
      <w:r w:rsidRPr="008D0FBA">
        <w:rPr>
          <w:rFonts w:hint="eastAsia"/>
        </w:rPr>
        <w:lastRenderedPageBreak/>
        <w:t>电系统、照明系统、自动驾驶系统、列车控制与管理系统、</w:t>
      </w:r>
      <w:proofErr w:type="gramStart"/>
      <w:r w:rsidRPr="008D0FBA">
        <w:rPr>
          <w:rFonts w:hint="eastAsia"/>
        </w:rPr>
        <w:t>全轴转向</w:t>
      </w:r>
      <w:proofErr w:type="gramEnd"/>
      <w:r w:rsidRPr="008D0FBA">
        <w:rPr>
          <w:rFonts w:hint="eastAsia"/>
        </w:rPr>
        <w:t>控制系统、通信广播与信息显示、试验与验收、标志、运输与质量保证期限等</w:t>
      </w:r>
      <w:bookmarkEnd w:id="22"/>
      <w:r w:rsidRPr="008D0FBA">
        <w:rPr>
          <w:rFonts w:hint="eastAsia"/>
        </w:rPr>
        <w:t>。本文件适用于最高运行速度70km/h的电子导向快轨车辆。</w:t>
      </w:r>
    </w:p>
    <w:p w:rsidR="00471898" w:rsidRPr="008D0FBA" w:rsidRDefault="004D4DB2" w:rsidP="008D0FBA">
      <w:pPr>
        <w:spacing w:line="560" w:lineRule="exact"/>
        <w:ind w:firstLineChars="200" w:firstLine="480"/>
        <w:rPr>
          <w:rFonts w:ascii="黑体" w:eastAsia="黑体" w:hAnsi="黑体" w:cs="仿宋_GB2312"/>
          <w:bCs/>
          <w:sz w:val="24"/>
          <w:szCs w:val="24"/>
        </w:rPr>
      </w:pPr>
      <w:bookmarkStart w:id="23" w:name="_Toc97738931"/>
      <w:bookmarkStart w:id="24" w:name="_Toc97566072"/>
      <w:r w:rsidRPr="008D0FBA">
        <w:rPr>
          <w:rFonts w:ascii="黑体" w:eastAsia="黑体" w:hAnsi="黑体" w:cs="仿宋_GB2312" w:hint="eastAsia"/>
          <w:bCs/>
          <w:sz w:val="24"/>
          <w:szCs w:val="24"/>
        </w:rPr>
        <w:t>2.标准的主要内容</w:t>
      </w:r>
      <w:bookmarkEnd w:id="23"/>
      <w:bookmarkEnd w:id="24"/>
    </w:p>
    <w:p w:rsidR="00471898" w:rsidRPr="008D0FBA" w:rsidRDefault="004D4DB2" w:rsidP="008D0FBA">
      <w:pPr>
        <w:pStyle w:val="af5"/>
      </w:pPr>
      <w:bookmarkStart w:id="25" w:name="_Toc97566075"/>
      <w:bookmarkStart w:id="26" w:name="_Toc97738934"/>
      <w:r w:rsidRPr="008D0FBA">
        <w:rPr>
          <w:rFonts w:hint="eastAsia"/>
        </w:rPr>
        <w:t>使用条件、技术规格、基本要求、车体及车辆连接、司机室、客室、空调系统、走行系统、制动系统、牵引及辅助供电系统、照明系统、自动驾驶系统、列车控制与管理系统、</w:t>
      </w:r>
      <w:proofErr w:type="gramStart"/>
      <w:r w:rsidRPr="008D0FBA">
        <w:rPr>
          <w:rFonts w:hint="eastAsia"/>
        </w:rPr>
        <w:t>全轴转向</w:t>
      </w:r>
      <w:proofErr w:type="gramEnd"/>
      <w:r w:rsidRPr="008D0FBA">
        <w:rPr>
          <w:rFonts w:hint="eastAsia"/>
        </w:rPr>
        <w:t>控制系统、通信广播与信息显示、试验与验收、标志、运输与质量保证期限等</w:t>
      </w:r>
      <w:r w:rsidR="00CE20E9" w:rsidRPr="008D0FBA">
        <w:rPr>
          <w:rFonts w:hint="eastAsia"/>
        </w:rPr>
        <w:t>。</w:t>
      </w:r>
    </w:p>
    <w:p w:rsidR="001A3CA2" w:rsidRPr="008D0FBA" w:rsidRDefault="001A3CA2" w:rsidP="008D0FBA">
      <w:pPr>
        <w:pStyle w:val="af5"/>
      </w:pPr>
      <w:r w:rsidRPr="008D0FBA">
        <w:rPr>
          <w:rFonts w:hint="eastAsia"/>
        </w:rPr>
        <w:t>本文件的关键技术指标包括：</w:t>
      </w:r>
    </w:p>
    <w:p w:rsidR="001A3CA2" w:rsidRPr="008D0FBA" w:rsidRDefault="001A3CA2" w:rsidP="008D0FBA">
      <w:pPr>
        <w:pStyle w:val="af5"/>
      </w:pPr>
      <w:r w:rsidRPr="008D0FBA">
        <w:rPr>
          <w:rFonts w:hint="eastAsia"/>
        </w:rPr>
        <w:t>a）牵引性能指标，车辆速度从0加速到40km/h，不应小于0.95m/s2；车辆速度从0加速到70km/h，不应小于0.7m/s2。是根据牵引计算确定而来。</w:t>
      </w:r>
    </w:p>
    <w:p w:rsidR="001A3CA2" w:rsidRPr="008D0FBA" w:rsidRDefault="001A3CA2" w:rsidP="008D0FBA">
      <w:pPr>
        <w:pStyle w:val="af5"/>
      </w:pPr>
      <w:r w:rsidRPr="008D0FBA">
        <w:rPr>
          <w:rFonts w:hint="eastAsia"/>
        </w:rPr>
        <w:t>b）车辆应具有的故障运行能力：</w:t>
      </w:r>
    </w:p>
    <w:p w:rsidR="001A3CA2" w:rsidRPr="008D0FBA" w:rsidRDefault="001A3CA2" w:rsidP="008D0FBA">
      <w:pPr>
        <w:pStyle w:val="af5"/>
      </w:pPr>
      <w:r w:rsidRPr="008D0FBA">
        <w:rPr>
          <w:rFonts w:hint="eastAsia"/>
        </w:rPr>
        <w:t>1）在损失1/4动力的情况下，车辆可运行至终点站后退出服务。</w:t>
      </w:r>
    </w:p>
    <w:p w:rsidR="001A3CA2" w:rsidRPr="008D0FBA" w:rsidRDefault="001A3CA2" w:rsidP="008D0FBA">
      <w:pPr>
        <w:pStyle w:val="af5"/>
      </w:pPr>
      <w:r w:rsidRPr="008D0FBA">
        <w:rPr>
          <w:rFonts w:hint="eastAsia"/>
        </w:rPr>
        <w:t>2）在损失1/2动力的情况下，车辆在AW0载荷工况下，能在70‰坡道上启动，能维持运行至车辆段。</w:t>
      </w:r>
    </w:p>
    <w:p w:rsidR="001A3CA2" w:rsidRPr="008D0FBA" w:rsidRDefault="001A3CA2" w:rsidP="008D0FBA">
      <w:pPr>
        <w:pStyle w:val="af5"/>
      </w:pPr>
      <w:r w:rsidRPr="008D0FBA">
        <w:rPr>
          <w:rFonts w:hint="eastAsia"/>
        </w:rPr>
        <w:t>3）车辆牵引系统故障时不会引起其它车辆部件及设备的故障和损坏。是根据试验以及仿真研究来确定的。</w:t>
      </w:r>
    </w:p>
    <w:p w:rsidR="001A3CA2" w:rsidRPr="008D0FBA" w:rsidRDefault="001A3CA2" w:rsidP="008D0FBA">
      <w:pPr>
        <w:pStyle w:val="af5"/>
      </w:pPr>
      <w:r w:rsidRPr="008D0FBA">
        <w:rPr>
          <w:rFonts w:hint="eastAsia"/>
        </w:rPr>
        <w:t>c）噪声限值，是根据跨座式单轨（胶轮），以及有轨电车（运行环境）等综合确定，同时通过噪声分析，确定指标。</w:t>
      </w:r>
    </w:p>
    <w:p w:rsidR="001A3CA2" w:rsidRPr="008D0FBA" w:rsidRDefault="001A3CA2" w:rsidP="008D0FBA">
      <w:pPr>
        <w:pStyle w:val="af5"/>
      </w:pPr>
      <w:r w:rsidRPr="008D0FBA">
        <w:rPr>
          <w:rFonts w:hint="eastAsia"/>
        </w:rPr>
        <w:t>d）铰接装置能承受的力，150kN纵向拉伸力，200kN纵向压缩力，以及40kN垂向作用力。纵向拉伸力和纵向压缩力是根据车辆在超员载荷、坡道救援、最大牵引加速度、最大制动减速度为前提，所计算的最大牵引力和最大制动力来确定；垂向作用力是根据AW3人员载荷、铰接盘自重以及垂向冲击载荷等计算来确定。</w:t>
      </w:r>
    </w:p>
    <w:p w:rsidR="00471898" w:rsidRPr="008D0FBA" w:rsidRDefault="004D4DB2" w:rsidP="008D0FBA">
      <w:pPr>
        <w:spacing w:line="560" w:lineRule="exact"/>
        <w:ind w:firstLineChars="200" w:firstLine="480"/>
        <w:jc w:val="left"/>
        <w:outlineLvl w:val="0"/>
        <w:rPr>
          <w:rFonts w:ascii="黑体" w:eastAsia="黑体" w:hAnsi="黑体" w:cs="楷体_GB2312"/>
          <w:sz w:val="24"/>
          <w:szCs w:val="24"/>
        </w:rPr>
      </w:pPr>
      <w:bookmarkStart w:id="27" w:name="_Toc122002359"/>
      <w:bookmarkEnd w:id="25"/>
      <w:bookmarkEnd w:id="26"/>
      <w:r w:rsidRPr="008D0FBA">
        <w:rPr>
          <w:rFonts w:ascii="黑体" w:eastAsia="黑体" w:hAnsi="黑体" w:cs="楷体_GB2312" w:hint="eastAsia"/>
          <w:sz w:val="24"/>
          <w:szCs w:val="24"/>
        </w:rPr>
        <w:lastRenderedPageBreak/>
        <w:t>（三）确定依据</w:t>
      </w:r>
      <w:bookmarkEnd w:id="27"/>
    </w:p>
    <w:p w:rsidR="00471898" w:rsidRPr="008D0FBA" w:rsidRDefault="004D4DB2" w:rsidP="008D0FBA">
      <w:pPr>
        <w:spacing w:line="560" w:lineRule="exact"/>
        <w:ind w:firstLineChars="200" w:firstLine="480"/>
        <w:rPr>
          <w:rFonts w:ascii="黑体" w:eastAsia="黑体" w:hAnsi="黑体"/>
          <w:sz w:val="24"/>
          <w:szCs w:val="24"/>
        </w:rPr>
      </w:pPr>
      <w:bookmarkStart w:id="28" w:name="_Toc97566086"/>
      <w:bookmarkStart w:id="29" w:name="_Toc97738945"/>
      <w:r w:rsidRPr="008D0FBA">
        <w:rPr>
          <w:rFonts w:ascii="黑体" w:eastAsia="黑体" w:hAnsi="黑体" w:hint="eastAsia"/>
          <w:sz w:val="24"/>
          <w:szCs w:val="24"/>
        </w:rPr>
        <w:t>1.相关标准和技术文献</w:t>
      </w:r>
      <w:bookmarkEnd w:id="28"/>
      <w:bookmarkEnd w:id="29"/>
    </w:p>
    <w:p w:rsidR="00471898" w:rsidRPr="008D0FBA" w:rsidRDefault="004D4DB2" w:rsidP="008D0FBA">
      <w:pPr>
        <w:pStyle w:val="af5"/>
      </w:pPr>
      <w:bookmarkStart w:id="30" w:name="_Toc97566099"/>
      <w:bookmarkStart w:id="31" w:name="_Toc97738960"/>
      <w:r w:rsidRPr="008D0FBA">
        <w:rPr>
          <w:rFonts w:hint="eastAsia"/>
        </w:rPr>
        <w:t>GB/T 4208  外壳防护等级（IP代码）</w:t>
      </w:r>
    </w:p>
    <w:p w:rsidR="00471898" w:rsidRPr="008D0FBA" w:rsidRDefault="004D4DB2" w:rsidP="008D0FBA">
      <w:pPr>
        <w:pStyle w:val="af5"/>
      </w:pPr>
      <w:r w:rsidRPr="008D0FBA">
        <w:rPr>
          <w:rFonts w:hint="eastAsia"/>
        </w:rPr>
        <w:t>GB 4351.1  手提式灭火器第1部分：性能和结构要求</w:t>
      </w:r>
    </w:p>
    <w:p w:rsidR="00471898" w:rsidRPr="008D0FBA" w:rsidRDefault="004D4DB2" w:rsidP="008D0FBA">
      <w:pPr>
        <w:pStyle w:val="af5"/>
      </w:pPr>
      <w:r w:rsidRPr="008D0FBA">
        <w:rPr>
          <w:rFonts w:hint="eastAsia"/>
        </w:rPr>
        <w:t>GB 4785  汽车及挂车外部照明和光信号装置的安装规定</w:t>
      </w:r>
    </w:p>
    <w:p w:rsidR="00471898" w:rsidRPr="008D0FBA" w:rsidRDefault="004D4DB2" w:rsidP="008D0FBA">
      <w:pPr>
        <w:pStyle w:val="af5"/>
      </w:pPr>
      <w:r w:rsidRPr="008D0FBA">
        <w:rPr>
          <w:rFonts w:hint="eastAsia"/>
        </w:rPr>
        <w:t>GB/T 4970  汽车平顺性试验方法</w:t>
      </w:r>
    </w:p>
    <w:p w:rsidR="00471898" w:rsidRPr="008D0FBA" w:rsidRDefault="004D4DB2" w:rsidP="008D0FBA">
      <w:pPr>
        <w:pStyle w:val="af5"/>
      </w:pPr>
      <w:r w:rsidRPr="008D0FBA">
        <w:rPr>
          <w:rFonts w:hint="eastAsia"/>
        </w:rPr>
        <w:t>GB/T 5599  机车车辆动力学性能评定及试验鉴定规范</w:t>
      </w:r>
    </w:p>
    <w:p w:rsidR="00471898" w:rsidRPr="008D0FBA" w:rsidRDefault="004D4DB2" w:rsidP="008D0FBA">
      <w:pPr>
        <w:pStyle w:val="af5"/>
      </w:pPr>
      <w:r w:rsidRPr="008D0FBA">
        <w:rPr>
          <w:rFonts w:hint="eastAsia"/>
        </w:rPr>
        <w:t>GB 9656  机动车玻璃安全技术规范</w:t>
      </w:r>
    </w:p>
    <w:p w:rsidR="00471898" w:rsidRPr="008D0FBA" w:rsidRDefault="004D4DB2" w:rsidP="008D0FBA">
      <w:pPr>
        <w:pStyle w:val="af5"/>
      </w:pPr>
      <w:r w:rsidRPr="008D0FBA">
        <w:rPr>
          <w:rFonts w:hint="eastAsia"/>
        </w:rPr>
        <w:t>GB/T 13594  机动车和挂车防抱制动性能和试验方法</w:t>
      </w:r>
    </w:p>
    <w:p w:rsidR="00471898" w:rsidRPr="008D0FBA" w:rsidRDefault="004D4DB2" w:rsidP="008D0FBA">
      <w:pPr>
        <w:pStyle w:val="af5"/>
      </w:pPr>
      <w:r w:rsidRPr="008D0FBA">
        <w:rPr>
          <w:rFonts w:hint="eastAsia"/>
        </w:rPr>
        <w:t>GB 14681.2  机车船舶用电加温玻璃　第2部分：</w:t>
      </w:r>
      <w:proofErr w:type="gramStart"/>
      <w:r w:rsidRPr="008D0FBA">
        <w:rPr>
          <w:rFonts w:hint="eastAsia"/>
        </w:rPr>
        <w:t>机车电</w:t>
      </w:r>
      <w:proofErr w:type="gramEnd"/>
      <w:r w:rsidRPr="008D0FBA">
        <w:rPr>
          <w:rFonts w:hint="eastAsia"/>
        </w:rPr>
        <w:t>加温玻璃</w:t>
      </w:r>
    </w:p>
    <w:p w:rsidR="00471898" w:rsidRPr="008D0FBA" w:rsidRDefault="004D4DB2" w:rsidP="008D0FBA">
      <w:pPr>
        <w:pStyle w:val="af5"/>
      </w:pPr>
      <w:r w:rsidRPr="008D0FBA">
        <w:rPr>
          <w:rFonts w:hint="eastAsia"/>
        </w:rPr>
        <w:t>GB/T 14894  城市轨道交通车辆 组装后的检查与试验规则</w:t>
      </w:r>
    </w:p>
    <w:p w:rsidR="00471898" w:rsidRPr="008D0FBA" w:rsidRDefault="004D4DB2" w:rsidP="008D0FBA">
      <w:pPr>
        <w:pStyle w:val="af5"/>
      </w:pPr>
      <w:r w:rsidRPr="008D0FBA">
        <w:rPr>
          <w:rFonts w:hint="eastAsia"/>
        </w:rPr>
        <w:t>GB 15742  机动车用喇叭的性能及试验方法</w:t>
      </w:r>
    </w:p>
    <w:p w:rsidR="00471898" w:rsidRPr="008D0FBA" w:rsidRDefault="004D4DB2" w:rsidP="008D0FBA">
      <w:pPr>
        <w:pStyle w:val="af5"/>
      </w:pPr>
      <w:r w:rsidRPr="008D0FBA">
        <w:rPr>
          <w:rFonts w:hint="eastAsia"/>
        </w:rPr>
        <w:t>GB 16311  道路交通标线质量要求和检测方法</w:t>
      </w:r>
    </w:p>
    <w:p w:rsidR="00471898" w:rsidRPr="008D0FBA" w:rsidRDefault="004D4DB2" w:rsidP="008D0FBA">
      <w:pPr>
        <w:pStyle w:val="af5"/>
      </w:pPr>
      <w:r w:rsidRPr="008D0FBA">
        <w:rPr>
          <w:rFonts w:hint="eastAsia"/>
        </w:rPr>
        <w:t>GB 17578  客车上部结构强度要求及试验方法</w:t>
      </w:r>
    </w:p>
    <w:p w:rsidR="00471898" w:rsidRPr="008D0FBA" w:rsidRDefault="004D4DB2" w:rsidP="008D0FBA">
      <w:pPr>
        <w:pStyle w:val="af5"/>
      </w:pPr>
      <w:r w:rsidRPr="008D0FBA">
        <w:rPr>
          <w:rFonts w:hint="eastAsia"/>
        </w:rPr>
        <w:t>GB 18045  铁路车辆用安全玻璃</w:t>
      </w:r>
    </w:p>
    <w:p w:rsidR="00471898" w:rsidRPr="008D0FBA" w:rsidRDefault="004D4DB2" w:rsidP="008D0FBA">
      <w:pPr>
        <w:pStyle w:val="af5"/>
      </w:pPr>
      <w:r w:rsidRPr="008D0FBA">
        <w:rPr>
          <w:rFonts w:hint="eastAsia"/>
        </w:rPr>
        <w:t>GB/T 18488.1  电动汽车用驱动电机系统 第1部分：技术条件</w:t>
      </w:r>
    </w:p>
    <w:p w:rsidR="00471898" w:rsidRPr="008D0FBA" w:rsidRDefault="004D4DB2" w:rsidP="008D0FBA">
      <w:pPr>
        <w:pStyle w:val="af5"/>
      </w:pPr>
      <w:r w:rsidRPr="008D0FBA">
        <w:rPr>
          <w:rFonts w:hint="eastAsia"/>
        </w:rPr>
        <w:t>GB/T 18488.2  电动汽车用驱动电机系统 第2部分：试验方法</w:t>
      </w:r>
    </w:p>
    <w:p w:rsidR="00471898" w:rsidRPr="008D0FBA" w:rsidRDefault="004D4DB2" w:rsidP="008D0FBA">
      <w:pPr>
        <w:pStyle w:val="af5"/>
      </w:pPr>
      <w:r w:rsidRPr="008D0FBA">
        <w:rPr>
          <w:rFonts w:hint="eastAsia"/>
        </w:rPr>
        <w:t>GB/T 21413.1  轨道交通 机车车辆电气设备 第1部分：一般使用条件和通用规则</w:t>
      </w:r>
    </w:p>
    <w:p w:rsidR="00471898" w:rsidRPr="008D0FBA" w:rsidRDefault="004D4DB2" w:rsidP="008D0FBA">
      <w:pPr>
        <w:pStyle w:val="af5"/>
      </w:pPr>
      <w:r w:rsidRPr="008D0FBA">
        <w:rPr>
          <w:rFonts w:hint="eastAsia"/>
        </w:rPr>
        <w:t>GB/T 21413.2  轨道交通 机车车辆电气设备 第2部分：电工器件通用规则</w:t>
      </w:r>
    </w:p>
    <w:p w:rsidR="00471898" w:rsidRPr="008D0FBA" w:rsidRDefault="004D4DB2" w:rsidP="008D0FBA">
      <w:pPr>
        <w:pStyle w:val="af5"/>
      </w:pPr>
      <w:r w:rsidRPr="008D0FBA">
        <w:rPr>
          <w:rFonts w:hint="eastAsia"/>
        </w:rPr>
        <w:t>GB/T 23431  城市轻轨交通铰接车辆通用技术条件</w:t>
      </w:r>
    </w:p>
    <w:p w:rsidR="00471898" w:rsidRPr="008D0FBA" w:rsidRDefault="004D4DB2" w:rsidP="008D0FBA">
      <w:pPr>
        <w:pStyle w:val="af5"/>
      </w:pPr>
      <w:r w:rsidRPr="008D0FBA">
        <w:rPr>
          <w:rFonts w:hint="eastAsia"/>
        </w:rPr>
        <w:t>GB/T 24338.4  轨道交通 电磁兼容 第3-2部分：机车车辆 设备</w:t>
      </w:r>
    </w:p>
    <w:p w:rsidR="00471898" w:rsidRPr="008D0FBA" w:rsidRDefault="004D4DB2" w:rsidP="008D0FBA">
      <w:pPr>
        <w:pStyle w:val="af5"/>
      </w:pPr>
      <w:r w:rsidRPr="008D0FBA">
        <w:rPr>
          <w:rFonts w:hint="eastAsia"/>
        </w:rPr>
        <w:t>GB/T 21563  轨道交通 机车车辆设备 冲击和振动试验</w:t>
      </w:r>
    </w:p>
    <w:p w:rsidR="00471898" w:rsidRPr="008D0FBA" w:rsidRDefault="004D4DB2" w:rsidP="008D0FBA">
      <w:pPr>
        <w:pStyle w:val="af5"/>
      </w:pPr>
      <w:r w:rsidRPr="008D0FBA">
        <w:rPr>
          <w:rFonts w:hint="eastAsia"/>
        </w:rPr>
        <w:lastRenderedPageBreak/>
        <w:t>GB/T 34571  轨道交通 机车车辆布线规则</w:t>
      </w:r>
    </w:p>
    <w:p w:rsidR="00471898" w:rsidRPr="008D0FBA" w:rsidRDefault="004D4DB2" w:rsidP="008D0FBA">
      <w:pPr>
        <w:pStyle w:val="af5"/>
      </w:pPr>
      <w:r w:rsidRPr="008D0FBA">
        <w:rPr>
          <w:rFonts w:hint="eastAsia"/>
        </w:rPr>
        <w:t>GB 38032  电动客车安全要求</w:t>
      </w:r>
    </w:p>
    <w:p w:rsidR="00471898" w:rsidRPr="008D0FBA" w:rsidRDefault="004D4DB2" w:rsidP="008D0FBA">
      <w:pPr>
        <w:pStyle w:val="af5"/>
      </w:pPr>
      <w:r w:rsidRPr="008D0FBA">
        <w:rPr>
          <w:rFonts w:hint="eastAsia"/>
        </w:rPr>
        <w:t>CJJ 37  城市道路工程设计规范</w:t>
      </w:r>
    </w:p>
    <w:p w:rsidR="00471898" w:rsidRPr="008D0FBA" w:rsidRDefault="004D4DB2" w:rsidP="008D0FBA">
      <w:pPr>
        <w:pStyle w:val="af5"/>
      </w:pPr>
      <w:r w:rsidRPr="008D0FBA">
        <w:rPr>
          <w:rFonts w:hint="eastAsia"/>
        </w:rPr>
        <w:t>JT/T 280  路面标线涂料</w:t>
      </w:r>
    </w:p>
    <w:p w:rsidR="00471898" w:rsidRPr="008D0FBA" w:rsidRDefault="004D4DB2" w:rsidP="008D0FBA">
      <w:pPr>
        <w:pStyle w:val="af5"/>
      </w:pPr>
      <w:r w:rsidRPr="008D0FBA">
        <w:rPr>
          <w:rFonts w:hint="eastAsia"/>
        </w:rPr>
        <w:t>TB/T 1451  机车、动车组前窗玻璃</w:t>
      </w:r>
    </w:p>
    <w:p w:rsidR="00471898" w:rsidRPr="008D0FBA" w:rsidRDefault="004D4DB2" w:rsidP="008D0FBA">
      <w:pPr>
        <w:pStyle w:val="af5"/>
      </w:pPr>
      <w:r w:rsidRPr="008D0FBA">
        <w:rPr>
          <w:rFonts w:hint="eastAsia"/>
        </w:rPr>
        <w:t>ISO 3381  轨道交通 声学 有轨车辆内部噪音的测量</w:t>
      </w:r>
    </w:p>
    <w:p w:rsidR="00471898" w:rsidRPr="008D0FBA" w:rsidRDefault="004D4DB2" w:rsidP="008D0FBA">
      <w:pPr>
        <w:pStyle w:val="af5"/>
      </w:pPr>
      <w:r w:rsidRPr="008D0FBA">
        <w:rPr>
          <w:rFonts w:hint="eastAsia"/>
        </w:rPr>
        <w:t>ISO 3095  声学 轨道交通 轨道车辆发出的噪音测量</w:t>
      </w:r>
    </w:p>
    <w:p w:rsidR="00471898" w:rsidRPr="008D0FBA" w:rsidRDefault="004D4DB2" w:rsidP="008D0FBA">
      <w:pPr>
        <w:pStyle w:val="af5"/>
      </w:pPr>
      <w:r w:rsidRPr="008D0FBA">
        <w:rPr>
          <w:rFonts w:hint="eastAsia"/>
        </w:rPr>
        <w:t>EN 14752  铁路设施 铁路车辆的车体侧门系统</w:t>
      </w:r>
    </w:p>
    <w:p w:rsidR="00471898" w:rsidRPr="008D0FBA" w:rsidRDefault="004D4DB2" w:rsidP="008D0FBA">
      <w:pPr>
        <w:pStyle w:val="af5"/>
      </w:pPr>
      <w:r w:rsidRPr="008D0FBA">
        <w:rPr>
          <w:rFonts w:hint="eastAsia"/>
        </w:rPr>
        <w:t>EN 15085（所有部分）  轨道应用 轨道车辆和车辆部件的焊接认证体系</w:t>
      </w:r>
    </w:p>
    <w:p w:rsidR="00471898" w:rsidRPr="008D0FBA" w:rsidRDefault="004D4DB2" w:rsidP="008D0FBA">
      <w:pPr>
        <w:pStyle w:val="af5"/>
      </w:pPr>
      <w:r w:rsidRPr="008D0FBA">
        <w:rPr>
          <w:rFonts w:hint="eastAsia"/>
        </w:rPr>
        <w:t>EN 50264-3-1  铁路设施 具有特殊防火性能的铁路机车车辆动力和控制电缆 第2-1部分：小尺寸的交联弹性绝缘电缆 单芯电缆</w:t>
      </w:r>
    </w:p>
    <w:p w:rsidR="00471898" w:rsidRPr="008D0FBA" w:rsidRDefault="004D4DB2" w:rsidP="008D0FBA">
      <w:pPr>
        <w:pStyle w:val="af5"/>
      </w:pPr>
      <w:r w:rsidRPr="008D0FBA">
        <w:rPr>
          <w:rFonts w:hint="eastAsia"/>
        </w:rPr>
        <w:t>EN 50264-3-2  铁路设施 具有特殊防火性能的铁路机车车辆动力和控制电缆 第2-1部分：小尺寸的交联弹性绝缘电缆 多芯电缆</w:t>
      </w:r>
    </w:p>
    <w:p w:rsidR="00471898" w:rsidRPr="008D0FBA" w:rsidRDefault="004D4DB2" w:rsidP="008D0FBA">
      <w:pPr>
        <w:pStyle w:val="af5"/>
      </w:pPr>
      <w:r w:rsidRPr="008D0FBA">
        <w:rPr>
          <w:rFonts w:hint="eastAsia"/>
        </w:rPr>
        <w:t>EN 50306-4  铁路设施-具有特殊燃烧性能的薄壁型铁道机车车辆电缆 第4部分：标准壁厚护套的多芯及多线对电缆</w:t>
      </w:r>
    </w:p>
    <w:p w:rsidR="00471898" w:rsidRPr="008D0FBA" w:rsidRDefault="004D4DB2" w:rsidP="008D0FBA">
      <w:pPr>
        <w:spacing w:line="560" w:lineRule="exact"/>
        <w:ind w:firstLineChars="200" w:firstLine="480"/>
        <w:rPr>
          <w:rFonts w:ascii="黑体" w:eastAsia="黑体" w:hAnsi="黑体" w:cs="仿宋_GB2312"/>
          <w:bCs/>
          <w:sz w:val="24"/>
          <w:szCs w:val="24"/>
        </w:rPr>
      </w:pPr>
      <w:bookmarkStart w:id="32" w:name="_Toc97566107"/>
      <w:bookmarkStart w:id="33" w:name="_Toc97738968"/>
      <w:bookmarkStart w:id="34" w:name="_Toc97566109"/>
      <w:bookmarkStart w:id="35" w:name="_Toc97738970"/>
      <w:bookmarkEnd w:id="30"/>
      <w:bookmarkEnd w:id="31"/>
      <w:bookmarkEnd w:id="32"/>
      <w:bookmarkEnd w:id="33"/>
      <w:r w:rsidRPr="008D0FBA">
        <w:rPr>
          <w:rFonts w:ascii="黑体" w:eastAsia="黑体" w:hAnsi="黑体" w:cs="仿宋_GB2312" w:hint="eastAsia"/>
          <w:bCs/>
          <w:sz w:val="24"/>
          <w:szCs w:val="24"/>
        </w:rPr>
        <w:t>2.调研成果</w:t>
      </w:r>
      <w:bookmarkEnd w:id="34"/>
      <w:bookmarkEnd w:id="35"/>
    </w:p>
    <w:p w:rsidR="00471898" w:rsidRPr="008D0FBA" w:rsidRDefault="004D4DB2" w:rsidP="008D0FBA">
      <w:pPr>
        <w:pStyle w:val="af5"/>
      </w:pPr>
      <w:r w:rsidRPr="008D0FBA">
        <w:rPr>
          <w:rFonts w:hint="eastAsia"/>
        </w:rPr>
        <w:t>在标准编制过程中，标准制定小组与业内专家、技术能手、学者教授展开了多次技术交流，把</w:t>
      </w:r>
      <w:proofErr w:type="gramStart"/>
      <w:r w:rsidRPr="008D0FBA">
        <w:rPr>
          <w:rFonts w:hint="eastAsia"/>
        </w:rPr>
        <w:t>控标准</w:t>
      </w:r>
      <w:proofErr w:type="gramEnd"/>
      <w:r w:rsidRPr="008D0FBA">
        <w:rPr>
          <w:rFonts w:hint="eastAsia"/>
        </w:rPr>
        <w:t>制定方向。并通过样车试制、现场试验等方式对技术指标以及试验方法进行了验证，根据查阅资料、试验验证、经验交流的结果进行总结归纳，得到了最符合要求的调研资料，为标准的制定打下了扎实的基础。</w:t>
      </w:r>
    </w:p>
    <w:p w:rsidR="00471898" w:rsidRPr="008D0FBA" w:rsidRDefault="004D4DB2" w:rsidP="008D0FBA">
      <w:pPr>
        <w:spacing w:line="560" w:lineRule="exact"/>
        <w:ind w:firstLineChars="200" w:firstLine="480"/>
        <w:outlineLvl w:val="0"/>
        <w:rPr>
          <w:rFonts w:ascii="黑体" w:eastAsia="黑体" w:hAnsi="黑体" w:cs="黑体"/>
          <w:bCs/>
          <w:sz w:val="24"/>
          <w:szCs w:val="24"/>
        </w:rPr>
      </w:pPr>
      <w:bookmarkStart w:id="36" w:name="_Toc122002360"/>
      <w:r w:rsidRPr="008D0FBA">
        <w:rPr>
          <w:rFonts w:ascii="黑体" w:eastAsia="黑体" w:hAnsi="黑体" w:cs="黑体" w:hint="eastAsia"/>
          <w:bCs/>
          <w:sz w:val="24"/>
          <w:szCs w:val="24"/>
        </w:rPr>
        <w:t>四、与现行相关法律、行政法规和其他标准的关系</w:t>
      </w:r>
      <w:bookmarkEnd w:id="36"/>
    </w:p>
    <w:p w:rsidR="00471898" w:rsidRPr="008D0FBA" w:rsidRDefault="004D4DB2" w:rsidP="008D0FBA">
      <w:pPr>
        <w:pStyle w:val="af5"/>
      </w:pPr>
      <w:bookmarkStart w:id="37" w:name="_Toc97738973"/>
      <w:bookmarkStart w:id="38" w:name="_Toc97566112"/>
      <w:r w:rsidRPr="008D0FBA">
        <w:rPr>
          <w:rFonts w:hint="eastAsia"/>
        </w:rPr>
        <w:t>本文件符合现行法律、法规和强制性国家标准的规定，与其他相关强制性标准无冲突。</w:t>
      </w:r>
      <w:bookmarkEnd w:id="37"/>
      <w:bookmarkEnd w:id="38"/>
    </w:p>
    <w:p w:rsidR="00471898" w:rsidRPr="008D0FBA" w:rsidRDefault="004D4DB2" w:rsidP="008D0FBA">
      <w:pPr>
        <w:spacing w:line="560" w:lineRule="exact"/>
        <w:ind w:firstLineChars="200" w:firstLine="480"/>
        <w:jc w:val="left"/>
        <w:outlineLvl w:val="0"/>
        <w:rPr>
          <w:rFonts w:ascii="黑体" w:eastAsia="黑体" w:hAnsi="黑体" w:cs="黑体"/>
          <w:bCs/>
          <w:sz w:val="24"/>
          <w:szCs w:val="24"/>
        </w:rPr>
      </w:pPr>
      <w:bookmarkStart w:id="39" w:name="_Toc122002361"/>
      <w:r w:rsidRPr="008D0FBA">
        <w:rPr>
          <w:rFonts w:ascii="黑体" w:eastAsia="黑体" w:hAnsi="黑体" w:cs="黑体" w:hint="eastAsia"/>
          <w:bCs/>
          <w:sz w:val="24"/>
          <w:szCs w:val="24"/>
        </w:rPr>
        <w:lastRenderedPageBreak/>
        <w:t>五、重大分歧意见的处理过程、处理意见及其依据</w:t>
      </w:r>
      <w:bookmarkEnd w:id="39"/>
    </w:p>
    <w:p w:rsidR="00471898" w:rsidRPr="008D0FBA" w:rsidRDefault="004D4DB2" w:rsidP="008D0FBA">
      <w:pPr>
        <w:spacing w:line="560" w:lineRule="exact"/>
        <w:ind w:firstLineChars="200" w:firstLine="480"/>
        <w:rPr>
          <w:rFonts w:asciiTheme="minorEastAsia" w:hAnsiTheme="minorEastAsia"/>
          <w:sz w:val="24"/>
          <w:szCs w:val="24"/>
        </w:rPr>
      </w:pPr>
      <w:bookmarkStart w:id="40" w:name="_Toc97738975"/>
      <w:bookmarkStart w:id="41" w:name="_Toc97566114"/>
      <w:r w:rsidRPr="008D0FBA">
        <w:rPr>
          <w:rFonts w:asciiTheme="minorEastAsia" w:hAnsiTheme="minorEastAsia" w:hint="eastAsia"/>
          <w:sz w:val="24"/>
          <w:szCs w:val="24"/>
        </w:rPr>
        <w:t>无。</w:t>
      </w:r>
      <w:bookmarkEnd w:id="40"/>
      <w:bookmarkEnd w:id="41"/>
    </w:p>
    <w:p w:rsidR="00471898" w:rsidRPr="008D0FBA" w:rsidRDefault="004D4DB2" w:rsidP="008D0FBA">
      <w:pPr>
        <w:spacing w:line="560" w:lineRule="exact"/>
        <w:ind w:firstLineChars="200" w:firstLine="480"/>
        <w:jc w:val="left"/>
        <w:outlineLvl w:val="0"/>
        <w:rPr>
          <w:rFonts w:ascii="黑体" w:eastAsia="黑体" w:hAnsi="黑体" w:cs="黑体"/>
          <w:bCs/>
          <w:sz w:val="24"/>
          <w:szCs w:val="24"/>
        </w:rPr>
      </w:pPr>
      <w:bookmarkStart w:id="42" w:name="_Toc122002363"/>
      <w:r w:rsidRPr="008D0FBA">
        <w:rPr>
          <w:rFonts w:ascii="黑体" w:eastAsia="黑体" w:hAnsi="黑体" w:cs="黑体" w:hint="eastAsia"/>
          <w:bCs/>
          <w:sz w:val="24"/>
          <w:szCs w:val="24"/>
        </w:rPr>
        <w:t>六、其他需要说明的内容</w:t>
      </w:r>
      <w:bookmarkEnd w:id="42"/>
    </w:p>
    <w:p w:rsidR="00471898" w:rsidRPr="008D0FBA" w:rsidRDefault="004D4DB2" w:rsidP="008D0FBA">
      <w:pPr>
        <w:spacing w:line="560" w:lineRule="exact"/>
        <w:ind w:firstLineChars="200" w:firstLine="480"/>
        <w:rPr>
          <w:rFonts w:ascii="宋体" w:eastAsia="宋体" w:hAnsi="宋体"/>
          <w:sz w:val="24"/>
          <w:szCs w:val="24"/>
        </w:rPr>
      </w:pPr>
      <w:bookmarkStart w:id="43" w:name="_Toc97566121"/>
      <w:bookmarkStart w:id="44" w:name="_Toc97738979"/>
      <w:r w:rsidRPr="008D0FBA">
        <w:rPr>
          <w:rFonts w:ascii="宋体" w:eastAsia="宋体" w:hAnsi="宋体" w:hint="eastAsia"/>
          <w:sz w:val="24"/>
          <w:szCs w:val="24"/>
        </w:rPr>
        <w:t>无。</w:t>
      </w:r>
      <w:bookmarkEnd w:id="43"/>
      <w:bookmarkEnd w:id="44"/>
    </w:p>
    <w:p w:rsidR="00471898" w:rsidRPr="008D0FBA" w:rsidRDefault="00471898" w:rsidP="008D0FBA">
      <w:pPr>
        <w:pStyle w:val="Default"/>
        <w:spacing w:line="560" w:lineRule="exact"/>
        <w:rPr>
          <w:lang w:eastAsia="zh-CN" w:bidi="ar-SA"/>
        </w:rPr>
      </w:pPr>
    </w:p>
    <w:p w:rsidR="00471898" w:rsidRPr="008D0FBA" w:rsidRDefault="00471898" w:rsidP="008D0FBA">
      <w:pPr>
        <w:pStyle w:val="Default"/>
        <w:spacing w:line="560" w:lineRule="exact"/>
        <w:rPr>
          <w:lang w:eastAsia="zh-CN" w:bidi="ar-SA"/>
        </w:rPr>
      </w:pPr>
    </w:p>
    <w:p w:rsidR="00471898" w:rsidRPr="008D0FBA" w:rsidRDefault="00471898" w:rsidP="008D0FBA">
      <w:pPr>
        <w:pStyle w:val="Default"/>
        <w:spacing w:line="560" w:lineRule="exact"/>
        <w:rPr>
          <w:lang w:eastAsia="zh-CN" w:bidi="ar-SA"/>
        </w:rPr>
      </w:pPr>
    </w:p>
    <w:p w:rsidR="00471898" w:rsidRPr="008D0FBA" w:rsidRDefault="00471898" w:rsidP="008D0FBA">
      <w:pPr>
        <w:pStyle w:val="Default"/>
        <w:spacing w:line="560" w:lineRule="exact"/>
        <w:rPr>
          <w:lang w:eastAsia="zh-CN" w:bidi="ar-SA"/>
        </w:rPr>
      </w:pPr>
    </w:p>
    <w:p w:rsidR="00471898" w:rsidRPr="008D0FBA" w:rsidRDefault="00471898" w:rsidP="008D0FBA">
      <w:pPr>
        <w:pStyle w:val="Default"/>
        <w:spacing w:line="560" w:lineRule="exact"/>
        <w:rPr>
          <w:lang w:eastAsia="zh-CN" w:bidi="ar-SA"/>
        </w:rPr>
      </w:pPr>
    </w:p>
    <w:p w:rsidR="00471898" w:rsidRPr="008D0FBA" w:rsidRDefault="004D4DB2" w:rsidP="008D0FBA">
      <w:pPr>
        <w:spacing w:line="560" w:lineRule="exact"/>
        <w:ind w:right="140"/>
        <w:jc w:val="right"/>
        <w:rPr>
          <w:rFonts w:ascii="宋体" w:eastAsia="宋体" w:hAnsi="宋体" w:cs="仿宋_GB2312"/>
          <w:sz w:val="24"/>
          <w:szCs w:val="24"/>
        </w:rPr>
      </w:pPr>
      <w:r w:rsidRPr="008D0FBA">
        <w:rPr>
          <w:rFonts w:ascii="宋体" w:eastAsia="宋体" w:hAnsi="宋体" w:cs="仿宋_GB2312" w:hint="eastAsia"/>
          <w:sz w:val="24"/>
          <w:szCs w:val="24"/>
        </w:rPr>
        <w:t>标准起草小组</w:t>
      </w:r>
    </w:p>
    <w:p w:rsidR="00471898" w:rsidRPr="008D0FBA" w:rsidRDefault="004D4DB2" w:rsidP="008D0FBA">
      <w:pPr>
        <w:spacing w:line="560" w:lineRule="exact"/>
        <w:jc w:val="right"/>
        <w:rPr>
          <w:rFonts w:ascii="宋体" w:eastAsia="宋体" w:hAnsi="宋体" w:cs="仿宋_GB2312"/>
          <w:sz w:val="24"/>
          <w:szCs w:val="24"/>
        </w:rPr>
      </w:pPr>
      <w:r w:rsidRPr="008D0FBA">
        <w:rPr>
          <w:rFonts w:ascii="宋体" w:eastAsia="宋体" w:hAnsi="宋体" w:cs="仿宋_GB2312" w:hint="eastAsia"/>
          <w:sz w:val="24"/>
          <w:szCs w:val="24"/>
        </w:rPr>
        <w:t xml:space="preserve"> 20</w:t>
      </w:r>
      <w:r w:rsidR="005261D9" w:rsidRPr="008D0FBA">
        <w:rPr>
          <w:rFonts w:ascii="宋体" w:eastAsia="宋体" w:hAnsi="宋体" w:cs="仿宋_GB2312" w:hint="eastAsia"/>
          <w:sz w:val="24"/>
          <w:szCs w:val="24"/>
        </w:rPr>
        <w:t>24</w:t>
      </w:r>
      <w:r w:rsidRPr="008D0FBA">
        <w:rPr>
          <w:rFonts w:ascii="宋体" w:eastAsia="宋体" w:hAnsi="宋体" w:cs="仿宋_GB2312" w:hint="eastAsia"/>
          <w:sz w:val="24"/>
          <w:szCs w:val="24"/>
        </w:rPr>
        <w:t>年</w:t>
      </w:r>
      <w:r w:rsidR="00795BE1">
        <w:rPr>
          <w:rFonts w:ascii="宋体" w:eastAsia="宋体" w:hAnsi="宋体" w:cs="仿宋_GB2312" w:hint="eastAsia"/>
          <w:sz w:val="24"/>
          <w:szCs w:val="24"/>
        </w:rPr>
        <w:t>6</w:t>
      </w:r>
      <w:r w:rsidRPr="008D0FBA">
        <w:rPr>
          <w:rFonts w:ascii="宋体" w:eastAsia="宋体" w:hAnsi="宋体" w:cs="仿宋_GB2312" w:hint="eastAsia"/>
          <w:sz w:val="24"/>
          <w:szCs w:val="24"/>
        </w:rPr>
        <w:t>月</w:t>
      </w:r>
      <w:r w:rsidR="005261D9" w:rsidRPr="008D0FBA">
        <w:rPr>
          <w:rFonts w:ascii="宋体" w:eastAsia="宋体" w:hAnsi="宋体" w:cs="仿宋_GB2312" w:hint="eastAsia"/>
          <w:sz w:val="24"/>
          <w:szCs w:val="24"/>
        </w:rPr>
        <w:t>31</w:t>
      </w:r>
      <w:r w:rsidRPr="008D0FBA">
        <w:rPr>
          <w:rFonts w:ascii="宋体" w:eastAsia="宋体" w:hAnsi="宋体" w:cs="仿宋_GB2312" w:hint="eastAsia"/>
          <w:sz w:val="24"/>
          <w:szCs w:val="24"/>
        </w:rPr>
        <w:t>日</w:t>
      </w:r>
    </w:p>
    <w:sectPr w:rsidR="00471898" w:rsidRPr="008D0FBA">
      <w:footerReference w:type="default" r:id="rId14"/>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3F0" w:rsidRDefault="004D4DB2">
      <w:r>
        <w:separator/>
      </w:r>
    </w:p>
  </w:endnote>
  <w:endnote w:type="continuationSeparator" w:id="0">
    <w:p w:rsidR="005F23F0" w:rsidRDefault="004D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85095C25-0DDF-4C2B-ADDD-D8FC1B0960CC}"/>
  </w:font>
  <w:font w:name="Calibri">
    <w:panose1 w:val="020F0502020204030204"/>
    <w:charset w:val="00"/>
    <w:family w:val="swiss"/>
    <w:pitch w:val="variable"/>
    <w:sig w:usb0="E00002FF" w:usb1="4000ACFF" w:usb2="00000001" w:usb3="00000000" w:csb0="0000019F" w:csb1="00000000"/>
    <w:embedRegular r:id="rId2" w:subsetted="1" w:fontKey="{43E287B6-ECD4-4984-84F0-4C6DA281DF64}"/>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00000" w:usb2="00000000" w:usb3="00000000" w:csb0="00040000" w:csb1="00000000"/>
    <w:embedRegular r:id="rId3" w:subsetted="1" w:fontKey="{935E78E8-A338-42D2-B2C8-75C60CD36FD9}"/>
  </w:font>
  <w:font w:name="仿宋_GB2312">
    <w:altName w:val="仿宋"/>
    <w:charset w:val="86"/>
    <w:family w:val="modern"/>
    <w:pitch w:val="default"/>
    <w:sig w:usb0="00000001" w:usb1="080E0000" w:usb2="00000000" w:usb3="00000000" w:csb0="00040000" w:csb1="00000000"/>
    <w:embedRegular r:id="rId4" w:subsetted="1" w:fontKey="{FDC3BA0A-AD49-4185-B01F-4EFF31E377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98" w:rsidRDefault="004D4DB2">
    <w:pPr>
      <w:pStyle w:val="ad"/>
      <w:jc w:val="center"/>
    </w:pPr>
    <w:r>
      <w:fldChar w:fldCharType="begin"/>
    </w:r>
    <w:r>
      <w:instrText>PAGE   \* MERGEFORMAT</w:instrText>
    </w:r>
    <w:r>
      <w:fldChar w:fldCharType="separate"/>
    </w:r>
    <w:r>
      <w:rPr>
        <w:lang w:val="zh-CN"/>
      </w:rPr>
      <w:t>2</w:t>
    </w:r>
    <w:r>
      <w:fldChar w:fldCharType="end"/>
    </w:r>
  </w:p>
  <w:p w:rsidR="00471898" w:rsidRDefault="00471898">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98" w:rsidRDefault="00471898">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98" w:rsidRDefault="0047189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98" w:rsidRDefault="004D4DB2">
    <w:pPr>
      <w:pStyle w:val="ad"/>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302260"/>
              <wp:effectExtent l="0" t="0" r="10795" b="15240"/>
              <wp:wrapNone/>
              <wp:docPr id="1" name="文本框 1"/>
              <wp:cNvGraphicFramePr/>
              <a:graphic xmlns:a="http://schemas.openxmlformats.org/drawingml/2006/main">
                <a:graphicData uri="http://schemas.microsoft.com/office/word/2010/wordprocessingShape">
                  <wps:wsp>
                    <wps:cNvSpPr txBox="1"/>
                    <wps:spPr>
                      <a:xfrm>
                        <a:off x="0" y="0"/>
                        <a:ext cx="116205" cy="302260"/>
                      </a:xfrm>
                      <a:prstGeom prst="rect">
                        <a:avLst/>
                      </a:prstGeom>
                      <a:noFill/>
                      <a:ln w="6350">
                        <a:noFill/>
                      </a:ln>
                    </wps:spPr>
                    <wps:txbx>
                      <w:txbxContent>
                        <w:sdt>
                          <w:sdtPr>
                            <w:id w:val="-757443851"/>
                          </w:sdtPr>
                          <w:sdtEndPr/>
                          <w:sdtContent>
                            <w:p w:rsidR="00471898" w:rsidRDefault="004D4DB2">
                              <w:pPr>
                                <w:pStyle w:val="ad"/>
                                <w:jc w:val="center"/>
                              </w:pPr>
                              <w:r>
                                <w:fldChar w:fldCharType="begin"/>
                              </w:r>
                              <w:r>
                                <w:instrText>PAGE   \* MERGEFORMAT</w:instrText>
                              </w:r>
                              <w:r>
                                <w:fldChar w:fldCharType="separate"/>
                              </w:r>
                              <w:r w:rsidR="006D4492" w:rsidRPr="006D4492">
                                <w:rPr>
                                  <w:noProof/>
                                  <w:lang w:val="zh-CN"/>
                                </w:rPr>
                                <w:t>1</w:t>
                              </w:r>
                              <w:r>
                                <w:fldChar w:fldCharType="end"/>
                              </w:r>
                            </w:p>
                          </w:sdtContent>
                        </w:sdt>
                        <w:p w:rsidR="00471898" w:rsidRDefault="0047189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15pt;height:2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" filled="f" stroked="f" strokeweight=".5pt">
              <v:textbox style="mso-fit-shape-to-text:t" inset="0,0,0,0">
                <w:txbxContent>
                  <w:sdt>
                    <w:sdtPr>
                      <w:id w:val="-757443851"/>
                    </w:sdtPr>
                    <w:sdtEndPr/>
                    <w:sdtContent>
                      <w:p w:rsidR="00471898" w:rsidRDefault="004D4DB2">
                        <w:pPr>
                          <w:pStyle w:val="ad"/>
                          <w:jc w:val="center"/>
                        </w:pPr>
                        <w:r>
                          <w:fldChar w:fldCharType="begin"/>
                        </w:r>
                        <w:r>
                          <w:instrText>PAGE   \* MERGEFORMAT</w:instrText>
                        </w:r>
                        <w:r>
                          <w:fldChar w:fldCharType="separate"/>
                        </w:r>
                        <w:r w:rsidR="006D4492" w:rsidRPr="006D4492">
                          <w:rPr>
                            <w:noProof/>
                            <w:lang w:val="zh-CN"/>
                          </w:rPr>
                          <w:t>1</w:t>
                        </w:r>
                        <w:r>
                          <w:fldChar w:fldCharType="end"/>
                        </w:r>
                      </w:p>
                    </w:sdtContent>
                  </w:sdt>
                  <w:p w:rsidR="00471898" w:rsidRDefault="00471898"/>
                </w:txbxContent>
              </v:textbox>
              <w10:wrap anchorx="margin"/>
            </v:shape>
          </w:pict>
        </mc:Fallback>
      </mc:AlternateContent>
    </w:r>
  </w:p>
  <w:p w:rsidR="00471898" w:rsidRDefault="00471898">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3F0" w:rsidRDefault="004D4DB2">
      <w:r>
        <w:separator/>
      </w:r>
    </w:p>
  </w:footnote>
  <w:footnote w:type="continuationSeparator" w:id="0">
    <w:p w:rsidR="005F23F0" w:rsidRDefault="004D4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AB9E9B"/>
    <w:multiLevelType w:val="singleLevel"/>
    <w:tmpl w:val="C0AB9E9B"/>
    <w:lvl w:ilvl="0">
      <w:start w:val="2"/>
      <w:numFmt w:val="decimal"/>
      <w:lvlText w:val="%1."/>
      <w:lvlJc w:val="left"/>
      <w:pPr>
        <w:tabs>
          <w:tab w:val="left" w:pos="312"/>
        </w:tabs>
      </w:pPr>
    </w:lvl>
  </w:abstractNum>
  <w:abstractNum w:abstractNumId="1">
    <w:nsid w:val="0A4C43FD"/>
    <w:multiLevelType w:val="hybridMultilevel"/>
    <w:tmpl w:val="6B725EC2"/>
    <w:lvl w:ilvl="0" w:tplc="725A66A6">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BDC1670"/>
    <w:multiLevelType w:val="multilevel"/>
    <w:tmpl w:val="0BDC1670"/>
    <w:lvl w:ilvl="0">
      <w:start w:val="1"/>
      <w:numFmt w:val="decimal"/>
      <w:pStyle w:val="a"/>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C9B51B2"/>
    <w:multiLevelType w:val="hybridMultilevel"/>
    <w:tmpl w:val="3AE02602"/>
    <w:lvl w:ilvl="0" w:tplc="9E7A5F3E">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F030A5"/>
    <w:multiLevelType w:val="singleLevel"/>
    <w:tmpl w:val="0CF030A5"/>
    <w:lvl w:ilvl="0">
      <w:start w:val="1"/>
      <w:numFmt w:val="decimal"/>
      <w:suff w:val="space"/>
      <w:lvlText w:val="%1."/>
      <w:lvlJc w:val="left"/>
    </w:lvl>
  </w:abstractNum>
  <w:abstractNum w:abstractNumId="5">
    <w:nsid w:val="44C50F90"/>
    <w:multiLevelType w:val="multilevel"/>
    <w:tmpl w:val="44C50F90"/>
    <w:lvl w:ilvl="0">
      <w:start w:val="1"/>
      <w:numFmt w:val="lowerLetter"/>
      <w:pStyle w:val="a0"/>
      <w:lvlText w:val="%1)"/>
      <w:lvlJc w:val="left"/>
      <w:pPr>
        <w:tabs>
          <w:tab w:val="left" w:pos="851"/>
        </w:tabs>
        <w:ind w:left="851" w:hanging="426"/>
      </w:pPr>
      <w:rPr>
        <w:rFonts w:ascii="宋体" w:eastAsia="宋体" w:hAnsi="Times New Roman" w:hint="eastAsia"/>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6">
    <w:nsid w:val="565F3685"/>
    <w:multiLevelType w:val="singleLevel"/>
    <w:tmpl w:val="8710E914"/>
    <w:lvl w:ilvl="0">
      <w:start w:val="2"/>
      <w:numFmt w:val="decimal"/>
      <w:lvlText w:val="%1."/>
      <w:lvlJc w:val="left"/>
      <w:pPr>
        <w:tabs>
          <w:tab w:val="num" w:pos="312"/>
        </w:tabs>
        <w:ind w:left="0" w:firstLine="0"/>
      </w:pPr>
      <w:rPr>
        <w:rFonts w:hint="eastAsia"/>
      </w:rPr>
    </w:lvl>
  </w:abstractNum>
  <w:abstractNum w:abstractNumId="7">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3"/>
      <w:suff w:val="nothing"/>
      <w:lvlText w:val="%1%2　"/>
      <w:lvlJc w:val="left"/>
      <w:pPr>
        <w:ind w:left="0" w:firstLine="0"/>
      </w:pPr>
      <w:rPr>
        <w:rFonts w:ascii="黑体" w:eastAsia="黑体" w:hint="eastAsia"/>
        <w:b w:val="0"/>
        <w:i w:val="0"/>
        <w:sz w:val="21"/>
      </w:rPr>
    </w:lvl>
    <w:lvl w:ilvl="2">
      <w:start w:val="1"/>
      <w:numFmt w:val="decimal"/>
      <w:pStyle w:val="a4"/>
      <w:suff w:val="nothing"/>
      <w:lvlText w:val="%1%2.%3　"/>
      <w:lvlJc w:val="left"/>
      <w:pPr>
        <w:ind w:left="170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5"/>
      <w:suff w:val="nothing"/>
      <w:lvlText w:val="%1%2.%3.%4　"/>
      <w:lvlJc w:val="left"/>
      <w:pPr>
        <w:ind w:left="1560" w:firstLine="0"/>
      </w:pPr>
      <w:rPr>
        <w:rFonts w:ascii="黑体" w:eastAsia="黑体" w:hint="eastAsia"/>
        <w:b w:val="0"/>
        <w:i w:val="0"/>
        <w:sz w:val="21"/>
      </w:rPr>
    </w:lvl>
    <w:lvl w:ilvl="4">
      <w:start w:val="1"/>
      <w:numFmt w:val="decimal"/>
      <w:suff w:val="nothing"/>
      <w:lvlText w:val="%1%2.%3.%4.%5　"/>
      <w:lvlJc w:val="left"/>
      <w:pPr>
        <w:ind w:left="567"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6"/>
  </w:num>
  <w:num w:numId="7">
    <w:abstractNumId w:val="6"/>
    <w:lvlOverride w:ilvl="0">
      <w:startOverride w:val="1"/>
    </w:lvlOverride>
  </w:num>
  <w:num w:numId="8">
    <w:abstractNumId w:val="6"/>
  </w:num>
  <w:num w:numId="9">
    <w:abstractNumId w:val="6"/>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TrueTypeFonts/>
  <w:saveSubsetFonts/>
  <w:bordersDoNotSurroundHeader/>
  <w:bordersDoNotSurroundFooter/>
  <w:proofState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B42FF3"/>
    <w:rsid w:val="00000EB4"/>
    <w:rsid w:val="000062B7"/>
    <w:rsid w:val="000064CD"/>
    <w:rsid w:val="00007799"/>
    <w:rsid w:val="0001305C"/>
    <w:rsid w:val="00013245"/>
    <w:rsid w:val="00023714"/>
    <w:rsid w:val="000303C1"/>
    <w:rsid w:val="00033A2F"/>
    <w:rsid w:val="00035165"/>
    <w:rsid w:val="00037F0B"/>
    <w:rsid w:val="000420D8"/>
    <w:rsid w:val="00051069"/>
    <w:rsid w:val="00070CC2"/>
    <w:rsid w:val="000721AA"/>
    <w:rsid w:val="00073125"/>
    <w:rsid w:val="00082316"/>
    <w:rsid w:val="00086D00"/>
    <w:rsid w:val="000955D5"/>
    <w:rsid w:val="000A04D3"/>
    <w:rsid w:val="000A17AA"/>
    <w:rsid w:val="000A3E00"/>
    <w:rsid w:val="000A54AC"/>
    <w:rsid w:val="000B0B6B"/>
    <w:rsid w:val="000B28B7"/>
    <w:rsid w:val="000B727B"/>
    <w:rsid w:val="000C42A9"/>
    <w:rsid w:val="000C549E"/>
    <w:rsid w:val="000D1FE4"/>
    <w:rsid w:val="000E3FC3"/>
    <w:rsid w:val="000E4AC7"/>
    <w:rsid w:val="000E59EF"/>
    <w:rsid w:val="000F00C1"/>
    <w:rsid w:val="000F24C2"/>
    <w:rsid w:val="000F4788"/>
    <w:rsid w:val="000F607B"/>
    <w:rsid w:val="000F7C3B"/>
    <w:rsid w:val="00103BC2"/>
    <w:rsid w:val="00106491"/>
    <w:rsid w:val="00113A6B"/>
    <w:rsid w:val="00114E7E"/>
    <w:rsid w:val="00115407"/>
    <w:rsid w:val="001237A7"/>
    <w:rsid w:val="0012459C"/>
    <w:rsid w:val="0012526B"/>
    <w:rsid w:val="00130516"/>
    <w:rsid w:val="00136F8A"/>
    <w:rsid w:val="001403CC"/>
    <w:rsid w:val="00155EE7"/>
    <w:rsid w:val="00160686"/>
    <w:rsid w:val="00164D98"/>
    <w:rsid w:val="0017124B"/>
    <w:rsid w:val="00172718"/>
    <w:rsid w:val="001851E5"/>
    <w:rsid w:val="0019030F"/>
    <w:rsid w:val="0019416C"/>
    <w:rsid w:val="001964CE"/>
    <w:rsid w:val="001A0B8C"/>
    <w:rsid w:val="001A155E"/>
    <w:rsid w:val="001A3CA2"/>
    <w:rsid w:val="001A436A"/>
    <w:rsid w:val="001B3B4C"/>
    <w:rsid w:val="001B6579"/>
    <w:rsid w:val="001B6FDA"/>
    <w:rsid w:val="001B75BF"/>
    <w:rsid w:val="001C090B"/>
    <w:rsid w:val="001C43FD"/>
    <w:rsid w:val="001D0664"/>
    <w:rsid w:val="001D0BDC"/>
    <w:rsid w:val="001D708A"/>
    <w:rsid w:val="001D73BE"/>
    <w:rsid w:val="001E2541"/>
    <w:rsid w:val="001E25E1"/>
    <w:rsid w:val="001E50E0"/>
    <w:rsid w:val="00200ED7"/>
    <w:rsid w:val="00201D34"/>
    <w:rsid w:val="002029E8"/>
    <w:rsid w:val="0020362F"/>
    <w:rsid w:val="002136A7"/>
    <w:rsid w:val="0021593F"/>
    <w:rsid w:val="00220F71"/>
    <w:rsid w:val="002225AE"/>
    <w:rsid w:val="00222BA4"/>
    <w:rsid w:val="0022367F"/>
    <w:rsid w:val="00237FE1"/>
    <w:rsid w:val="002407A1"/>
    <w:rsid w:val="00240A3C"/>
    <w:rsid w:val="00240C58"/>
    <w:rsid w:val="002410F1"/>
    <w:rsid w:val="00244F03"/>
    <w:rsid w:val="002478CC"/>
    <w:rsid w:val="002605BC"/>
    <w:rsid w:val="0026165D"/>
    <w:rsid w:val="00262B0C"/>
    <w:rsid w:val="00263396"/>
    <w:rsid w:val="002638FA"/>
    <w:rsid w:val="0026483E"/>
    <w:rsid w:val="00273DD4"/>
    <w:rsid w:val="00274DA9"/>
    <w:rsid w:val="00276387"/>
    <w:rsid w:val="002844DC"/>
    <w:rsid w:val="00284C0A"/>
    <w:rsid w:val="0028536F"/>
    <w:rsid w:val="00286B59"/>
    <w:rsid w:val="002A03F4"/>
    <w:rsid w:val="002A3ACE"/>
    <w:rsid w:val="002A7E10"/>
    <w:rsid w:val="002B4E19"/>
    <w:rsid w:val="002B7AE0"/>
    <w:rsid w:val="002C0465"/>
    <w:rsid w:val="002C0E9E"/>
    <w:rsid w:val="002C325E"/>
    <w:rsid w:val="002D02D6"/>
    <w:rsid w:val="002E3D34"/>
    <w:rsid w:val="002F240B"/>
    <w:rsid w:val="002F7312"/>
    <w:rsid w:val="00304590"/>
    <w:rsid w:val="00311542"/>
    <w:rsid w:val="00311DA3"/>
    <w:rsid w:val="00320B4E"/>
    <w:rsid w:val="00326112"/>
    <w:rsid w:val="00327B36"/>
    <w:rsid w:val="00330AC5"/>
    <w:rsid w:val="00332A17"/>
    <w:rsid w:val="00336267"/>
    <w:rsid w:val="00337C46"/>
    <w:rsid w:val="003467D5"/>
    <w:rsid w:val="003648C8"/>
    <w:rsid w:val="0037613E"/>
    <w:rsid w:val="00380232"/>
    <w:rsid w:val="00385EF1"/>
    <w:rsid w:val="0039369D"/>
    <w:rsid w:val="003A09B7"/>
    <w:rsid w:val="003A09C4"/>
    <w:rsid w:val="003A401C"/>
    <w:rsid w:val="003A4A0A"/>
    <w:rsid w:val="003A5F3A"/>
    <w:rsid w:val="003B0F8B"/>
    <w:rsid w:val="003B11F2"/>
    <w:rsid w:val="003B72F8"/>
    <w:rsid w:val="003B7E74"/>
    <w:rsid w:val="003C182E"/>
    <w:rsid w:val="003C4131"/>
    <w:rsid w:val="003C5BEA"/>
    <w:rsid w:val="003D5B47"/>
    <w:rsid w:val="003D6078"/>
    <w:rsid w:val="003D7419"/>
    <w:rsid w:val="003E4667"/>
    <w:rsid w:val="003E774D"/>
    <w:rsid w:val="003F1397"/>
    <w:rsid w:val="003F70F6"/>
    <w:rsid w:val="004058FC"/>
    <w:rsid w:val="00411C90"/>
    <w:rsid w:val="00412EBC"/>
    <w:rsid w:val="00413C8B"/>
    <w:rsid w:val="00415C9D"/>
    <w:rsid w:val="004170CD"/>
    <w:rsid w:val="00417C53"/>
    <w:rsid w:val="00417F45"/>
    <w:rsid w:val="00422953"/>
    <w:rsid w:val="00425F7C"/>
    <w:rsid w:val="00427DD6"/>
    <w:rsid w:val="004347A1"/>
    <w:rsid w:val="004464BB"/>
    <w:rsid w:val="00454A26"/>
    <w:rsid w:val="00455609"/>
    <w:rsid w:val="00457980"/>
    <w:rsid w:val="0046220E"/>
    <w:rsid w:val="00462231"/>
    <w:rsid w:val="00471898"/>
    <w:rsid w:val="004756A8"/>
    <w:rsid w:val="00484FC8"/>
    <w:rsid w:val="00485976"/>
    <w:rsid w:val="00491B10"/>
    <w:rsid w:val="00497186"/>
    <w:rsid w:val="004A268A"/>
    <w:rsid w:val="004A6271"/>
    <w:rsid w:val="004A7EF5"/>
    <w:rsid w:val="004C1769"/>
    <w:rsid w:val="004C5ED5"/>
    <w:rsid w:val="004C69C7"/>
    <w:rsid w:val="004C6F7A"/>
    <w:rsid w:val="004C77E5"/>
    <w:rsid w:val="004D0D00"/>
    <w:rsid w:val="004D4081"/>
    <w:rsid w:val="004D4DB2"/>
    <w:rsid w:val="004E080C"/>
    <w:rsid w:val="004E7883"/>
    <w:rsid w:val="004F04B4"/>
    <w:rsid w:val="005004AF"/>
    <w:rsid w:val="00504F95"/>
    <w:rsid w:val="00510EEF"/>
    <w:rsid w:val="0051446A"/>
    <w:rsid w:val="00515D49"/>
    <w:rsid w:val="0051771F"/>
    <w:rsid w:val="0052192F"/>
    <w:rsid w:val="005244E8"/>
    <w:rsid w:val="0052452A"/>
    <w:rsid w:val="00525BB7"/>
    <w:rsid w:val="005261D9"/>
    <w:rsid w:val="00534CF7"/>
    <w:rsid w:val="00535D6D"/>
    <w:rsid w:val="00540967"/>
    <w:rsid w:val="00541FEA"/>
    <w:rsid w:val="00543F21"/>
    <w:rsid w:val="0054512F"/>
    <w:rsid w:val="005506EF"/>
    <w:rsid w:val="00557888"/>
    <w:rsid w:val="00557D74"/>
    <w:rsid w:val="0056096C"/>
    <w:rsid w:val="00562417"/>
    <w:rsid w:val="005639F9"/>
    <w:rsid w:val="005678F0"/>
    <w:rsid w:val="005720D5"/>
    <w:rsid w:val="00577361"/>
    <w:rsid w:val="00581412"/>
    <w:rsid w:val="005918E4"/>
    <w:rsid w:val="00591E0B"/>
    <w:rsid w:val="005A405D"/>
    <w:rsid w:val="005A7578"/>
    <w:rsid w:val="005B2355"/>
    <w:rsid w:val="005B6FE8"/>
    <w:rsid w:val="005C4080"/>
    <w:rsid w:val="005C61A9"/>
    <w:rsid w:val="005D15EE"/>
    <w:rsid w:val="005D1D83"/>
    <w:rsid w:val="005D2574"/>
    <w:rsid w:val="005D6327"/>
    <w:rsid w:val="005E24C0"/>
    <w:rsid w:val="005E4D64"/>
    <w:rsid w:val="005F23F0"/>
    <w:rsid w:val="005F380E"/>
    <w:rsid w:val="00601903"/>
    <w:rsid w:val="00612C9C"/>
    <w:rsid w:val="00613BC8"/>
    <w:rsid w:val="006140D6"/>
    <w:rsid w:val="00620CFE"/>
    <w:rsid w:val="00620F1E"/>
    <w:rsid w:val="00625377"/>
    <w:rsid w:val="00625B35"/>
    <w:rsid w:val="00626D46"/>
    <w:rsid w:val="006276A4"/>
    <w:rsid w:val="00633304"/>
    <w:rsid w:val="00634778"/>
    <w:rsid w:val="0064284E"/>
    <w:rsid w:val="00642850"/>
    <w:rsid w:val="0064715B"/>
    <w:rsid w:val="00653DBD"/>
    <w:rsid w:val="00653E54"/>
    <w:rsid w:val="00654E73"/>
    <w:rsid w:val="00656596"/>
    <w:rsid w:val="0065670B"/>
    <w:rsid w:val="006573F0"/>
    <w:rsid w:val="00662EA7"/>
    <w:rsid w:val="006631A3"/>
    <w:rsid w:val="0066503E"/>
    <w:rsid w:val="00665243"/>
    <w:rsid w:val="00665290"/>
    <w:rsid w:val="0066533B"/>
    <w:rsid w:val="006679A3"/>
    <w:rsid w:val="00670EDF"/>
    <w:rsid w:val="006719B3"/>
    <w:rsid w:val="00673325"/>
    <w:rsid w:val="00673906"/>
    <w:rsid w:val="00677609"/>
    <w:rsid w:val="006A4C29"/>
    <w:rsid w:val="006C03D2"/>
    <w:rsid w:val="006C1A52"/>
    <w:rsid w:val="006C47A6"/>
    <w:rsid w:val="006D0256"/>
    <w:rsid w:val="006D2F9C"/>
    <w:rsid w:val="006D4492"/>
    <w:rsid w:val="006E08CA"/>
    <w:rsid w:val="006E7DA7"/>
    <w:rsid w:val="006F59CC"/>
    <w:rsid w:val="006F723D"/>
    <w:rsid w:val="00704941"/>
    <w:rsid w:val="00710308"/>
    <w:rsid w:val="007127B0"/>
    <w:rsid w:val="00713AA0"/>
    <w:rsid w:val="0072152F"/>
    <w:rsid w:val="007218AF"/>
    <w:rsid w:val="00721ABA"/>
    <w:rsid w:val="007222FD"/>
    <w:rsid w:val="00722AC4"/>
    <w:rsid w:val="00724AD2"/>
    <w:rsid w:val="007415E1"/>
    <w:rsid w:val="007443CE"/>
    <w:rsid w:val="0075381F"/>
    <w:rsid w:val="00757BFC"/>
    <w:rsid w:val="0076329F"/>
    <w:rsid w:val="00763574"/>
    <w:rsid w:val="00764458"/>
    <w:rsid w:val="00775ACF"/>
    <w:rsid w:val="00776041"/>
    <w:rsid w:val="0078089E"/>
    <w:rsid w:val="00782442"/>
    <w:rsid w:val="00787675"/>
    <w:rsid w:val="00795BE1"/>
    <w:rsid w:val="007A2566"/>
    <w:rsid w:val="007A2712"/>
    <w:rsid w:val="007A29EC"/>
    <w:rsid w:val="007A36BA"/>
    <w:rsid w:val="007A6464"/>
    <w:rsid w:val="007B01E3"/>
    <w:rsid w:val="007B03AA"/>
    <w:rsid w:val="007B0B01"/>
    <w:rsid w:val="007B679A"/>
    <w:rsid w:val="007C1E47"/>
    <w:rsid w:val="007C44AE"/>
    <w:rsid w:val="007C5B7F"/>
    <w:rsid w:val="007C75C6"/>
    <w:rsid w:val="007C7657"/>
    <w:rsid w:val="007D18AF"/>
    <w:rsid w:val="007D1A42"/>
    <w:rsid w:val="007D2D63"/>
    <w:rsid w:val="007D3BDD"/>
    <w:rsid w:val="007D43B6"/>
    <w:rsid w:val="007D5650"/>
    <w:rsid w:val="007D5AF7"/>
    <w:rsid w:val="007E015C"/>
    <w:rsid w:val="007E05F8"/>
    <w:rsid w:val="007E73C1"/>
    <w:rsid w:val="007F26F7"/>
    <w:rsid w:val="007F6433"/>
    <w:rsid w:val="007F6669"/>
    <w:rsid w:val="00813DB7"/>
    <w:rsid w:val="008172F4"/>
    <w:rsid w:val="008178EF"/>
    <w:rsid w:val="00831540"/>
    <w:rsid w:val="008426E8"/>
    <w:rsid w:val="0084302E"/>
    <w:rsid w:val="00843F0A"/>
    <w:rsid w:val="00846A2A"/>
    <w:rsid w:val="008471CB"/>
    <w:rsid w:val="008529C5"/>
    <w:rsid w:val="00852AFD"/>
    <w:rsid w:val="00853CD4"/>
    <w:rsid w:val="00857C5A"/>
    <w:rsid w:val="008601F4"/>
    <w:rsid w:val="00861A3C"/>
    <w:rsid w:val="0086615B"/>
    <w:rsid w:val="00867793"/>
    <w:rsid w:val="008749A0"/>
    <w:rsid w:val="00874C8D"/>
    <w:rsid w:val="00877ED7"/>
    <w:rsid w:val="00877F03"/>
    <w:rsid w:val="00881131"/>
    <w:rsid w:val="00890A15"/>
    <w:rsid w:val="00892AA8"/>
    <w:rsid w:val="008A0C96"/>
    <w:rsid w:val="008B7F3E"/>
    <w:rsid w:val="008C0278"/>
    <w:rsid w:val="008C136A"/>
    <w:rsid w:val="008C168C"/>
    <w:rsid w:val="008C67E0"/>
    <w:rsid w:val="008D0DB1"/>
    <w:rsid w:val="008D0FBA"/>
    <w:rsid w:val="008D696C"/>
    <w:rsid w:val="008E4784"/>
    <w:rsid w:val="008E6F21"/>
    <w:rsid w:val="008E7DC5"/>
    <w:rsid w:val="009149F6"/>
    <w:rsid w:val="00915ECF"/>
    <w:rsid w:val="009245E4"/>
    <w:rsid w:val="00932174"/>
    <w:rsid w:val="00934C3F"/>
    <w:rsid w:val="00935102"/>
    <w:rsid w:val="0093695A"/>
    <w:rsid w:val="00940740"/>
    <w:rsid w:val="0094671B"/>
    <w:rsid w:val="00950109"/>
    <w:rsid w:val="00950758"/>
    <w:rsid w:val="00954780"/>
    <w:rsid w:val="00971B3B"/>
    <w:rsid w:val="00980B94"/>
    <w:rsid w:val="00981BF3"/>
    <w:rsid w:val="009827C1"/>
    <w:rsid w:val="009930BB"/>
    <w:rsid w:val="00996F85"/>
    <w:rsid w:val="00997E40"/>
    <w:rsid w:val="009A02F8"/>
    <w:rsid w:val="009A1547"/>
    <w:rsid w:val="009C07DC"/>
    <w:rsid w:val="009C42E5"/>
    <w:rsid w:val="009C49E6"/>
    <w:rsid w:val="009D09D6"/>
    <w:rsid w:val="009D0D89"/>
    <w:rsid w:val="009D1BD0"/>
    <w:rsid w:val="009D7C17"/>
    <w:rsid w:val="009E0473"/>
    <w:rsid w:val="009E1186"/>
    <w:rsid w:val="009E54FE"/>
    <w:rsid w:val="009F7D60"/>
    <w:rsid w:val="00A010C6"/>
    <w:rsid w:val="00A01A08"/>
    <w:rsid w:val="00A039A4"/>
    <w:rsid w:val="00A06024"/>
    <w:rsid w:val="00A062ED"/>
    <w:rsid w:val="00A10A05"/>
    <w:rsid w:val="00A10CD5"/>
    <w:rsid w:val="00A14E27"/>
    <w:rsid w:val="00A15C1F"/>
    <w:rsid w:val="00A15EDD"/>
    <w:rsid w:val="00A15FCC"/>
    <w:rsid w:val="00A30428"/>
    <w:rsid w:val="00A32131"/>
    <w:rsid w:val="00A3232B"/>
    <w:rsid w:val="00A32992"/>
    <w:rsid w:val="00A34BE9"/>
    <w:rsid w:val="00A364A6"/>
    <w:rsid w:val="00A40F56"/>
    <w:rsid w:val="00A4251F"/>
    <w:rsid w:val="00A43A95"/>
    <w:rsid w:val="00A43FD4"/>
    <w:rsid w:val="00A458DF"/>
    <w:rsid w:val="00A4734D"/>
    <w:rsid w:val="00A527C0"/>
    <w:rsid w:val="00A6606A"/>
    <w:rsid w:val="00A70194"/>
    <w:rsid w:val="00A70C25"/>
    <w:rsid w:val="00A74C6C"/>
    <w:rsid w:val="00A75BFD"/>
    <w:rsid w:val="00A81083"/>
    <w:rsid w:val="00A824EF"/>
    <w:rsid w:val="00A91E0C"/>
    <w:rsid w:val="00A9500E"/>
    <w:rsid w:val="00A97723"/>
    <w:rsid w:val="00AA1CE0"/>
    <w:rsid w:val="00AA58FE"/>
    <w:rsid w:val="00AA7474"/>
    <w:rsid w:val="00AB0230"/>
    <w:rsid w:val="00AB216A"/>
    <w:rsid w:val="00AB5576"/>
    <w:rsid w:val="00AB63D6"/>
    <w:rsid w:val="00AC13CB"/>
    <w:rsid w:val="00AC14DC"/>
    <w:rsid w:val="00AC66B7"/>
    <w:rsid w:val="00AC70DB"/>
    <w:rsid w:val="00AD0C9D"/>
    <w:rsid w:val="00AD1341"/>
    <w:rsid w:val="00AD50B6"/>
    <w:rsid w:val="00AE2C28"/>
    <w:rsid w:val="00AE61D2"/>
    <w:rsid w:val="00AF4EAF"/>
    <w:rsid w:val="00B072CF"/>
    <w:rsid w:val="00B07585"/>
    <w:rsid w:val="00B102B1"/>
    <w:rsid w:val="00B11BC5"/>
    <w:rsid w:val="00B168BF"/>
    <w:rsid w:val="00B21B08"/>
    <w:rsid w:val="00B37792"/>
    <w:rsid w:val="00B424E6"/>
    <w:rsid w:val="00B42FF3"/>
    <w:rsid w:val="00B43619"/>
    <w:rsid w:val="00B4385F"/>
    <w:rsid w:val="00B46047"/>
    <w:rsid w:val="00B507FE"/>
    <w:rsid w:val="00B51FBA"/>
    <w:rsid w:val="00B553DD"/>
    <w:rsid w:val="00B653DF"/>
    <w:rsid w:val="00B871B8"/>
    <w:rsid w:val="00B95ADC"/>
    <w:rsid w:val="00B95DCE"/>
    <w:rsid w:val="00B97E2C"/>
    <w:rsid w:val="00BA0F5C"/>
    <w:rsid w:val="00BA5CFB"/>
    <w:rsid w:val="00BC20D7"/>
    <w:rsid w:val="00BC4131"/>
    <w:rsid w:val="00BC4BE6"/>
    <w:rsid w:val="00BC77D0"/>
    <w:rsid w:val="00BD294A"/>
    <w:rsid w:val="00BD3C92"/>
    <w:rsid w:val="00BD5A86"/>
    <w:rsid w:val="00BD6765"/>
    <w:rsid w:val="00BD76C5"/>
    <w:rsid w:val="00BE1629"/>
    <w:rsid w:val="00BE1B83"/>
    <w:rsid w:val="00BE3A5C"/>
    <w:rsid w:val="00BE56F7"/>
    <w:rsid w:val="00BE67FE"/>
    <w:rsid w:val="00BF5835"/>
    <w:rsid w:val="00C070CB"/>
    <w:rsid w:val="00C073EF"/>
    <w:rsid w:val="00C17627"/>
    <w:rsid w:val="00C17878"/>
    <w:rsid w:val="00C258DE"/>
    <w:rsid w:val="00C305F7"/>
    <w:rsid w:val="00C3069D"/>
    <w:rsid w:val="00C30D08"/>
    <w:rsid w:val="00C360C1"/>
    <w:rsid w:val="00C46E2F"/>
    <w:rsid w:val="00C500BA"/>
    <w:rsid w:val="00C50112"/>
    <w:rsid w:val="00C50387"/>
    <w:rsid w:val="00C5306B"/>
    <w:rsid w:val="00C53633"/>
    <w:rsid w:val="00C54F79"/>
    <w:rsid w:val="00C60CDA"/>
    <w:rsid w:val="00C65432"/>
    <w:rsid w:val="00C669F2"/>
    <w:rsid w:val="00C67BB7"/>
    <w:rsid w:val="00C73F78"/>
    <w:rsid w:val="00C82424"/>
    <w:rsid w:val="00C8301C"/>
    <w:rsid w:val="00C91960"/>
    <w:rsid w:val="00C96A70"/>
    <w:rsid w:val="00CA0AA6"/>
    <w:rsid w:val="00CB2C9C"/>
    <w:rsid w:val="00CB6B73"/>
    <w:rsid w:val="00CD2464"/>
    <w:rsid w:val="00CD4DC8"/>
    <w:rsid w:val="00CD6351"/>
    <w:rsid w:val="00CE077B"/>
    <w:rsid w:val="00CE0EDC"/>
    <w:rsid w:val="00CE0FC2"/>
    <w:rsid w:val="00CE20E9"/>
    <w:rsid w:val="00CE4D4A"/>
    <w:rsid w:val="00CE64BB"/>
    <w:rsid w:val="00CF5809"/>
    <w:rsid w:val="00D022E9"/>
    <w:rsid w:val="00D02F23"/>
    <w:rsid w:val="00D11D6B"/>
    <w:rsid w:val="00D15455"/>
    <w:rsid w:val="00D24803"/>
    <w:rsid w:val="00D31B8E"/>
    <w:rsid w:val="00D328D2"/>
    <w:rsid w:val="00D42FE6"/>
    <w:rsid w:val="00D528D8"/>
    <w:rsid w:val="00D55C45"/>
    <w:rsid w:val="00D70A18"/>
    <w:rsid w:val="00D76048"/>
    <w:rsid w:val="00D800A7"/>
    <w:rsid w:val="00D82D25"/>
    <w:rsid w:val="00D87D52"/>
    <w:rsid w:val="00D91466"/>
    <w:rsid w:val="00D92B66"/>
    <w:rsid w:val="00D92ED7"/>
    <w:rsid w:val="00D97F8C"/>
    <w:rsid w:val="00DA2CFB"/>
    <w:rsid w:val="00DA3461"/>
    <w:rsid w:val="00DA4D67"/>
    <w:rsid w:val="00DA6868"/>
    <w:rsid w:val="00DB27E2"/>
    <w:rsid w:val="00DB342F"/>
    <w:rsid w:val="00DC3B20"/>
    <w:rsid w:val="00DC5827"/>
    <w:rsid w:val="00DC6FBF"/>
    <w:rsid w:val="00DE1CDD"/>
    <w:rsid w:val="00DE5397"/>
    <w:rsid w:val="00DF0E84"/>
    <w:rsid w:val="00DF4485"/>
    <w:rsid w:val="00E01957"/>
    <w:rsid w:val="00E04D9A"/>
    <w:rsid w:val="00E122DD"/>
    <w:rsid w:val="00E1756F"/>
    <w:rsid w:val="00E176D5"/>
    <w:rsid w:val="00E20CC3"/>
    <w:rsid w:val="00E210A1"/>
    <w:rsid w:val="00E26F00"/>
    <w:rsid w:val="00E27F02"/>
    <w:rsid w:val="00E31ECB"/>
    <w:rsid w:val="00E477DE"/>
    <w:rsid w:val="00E564DB"/>
    <w:rsid w:val="00E57086"/>
    <w:rsid w:val="00E6167A"/>
    <w:rsid w:val="00E63DF5"/>
    <w:rsid w:val="00E64EE5"/>
    <w:rsid w:val="00E67CB9"/>
    <w:rsid w:val="00E7049F"/>
    <w:rsid w:val="00E92966"/>
    <w:rsid w:val="00E9728A"/>
    <w:rsid w:val="00EA4F07"/>
    <w:rsid w:val="00EA7EEC"/>
    <w:rsid w:val="00EB2898"/>
    <w:rsid w:val="00EB54FC"/>
    <w:rsid w:val="00EC742B"/>
    <w:rsid w:val="00ED025A"/>
    <w:rsid w:val="00ED0699"/>
    <w:rsid w:val="00ED3ED3"/>
    <w:rsid w:val="00EE0345"/>
    <w:rsid w:val="00F37F43"/>
    <w:rsid w:val="00F44C7A"/>
    <w:rsid w:val="00F54091"/>
    <w:rsid w:val="00F56044"/>
    <w:rsid w:val="00F6103A"/>
    <w:rsid w:val="00F62A42"/>
    <w:rsid w:val="00F63A1F"/>
    <w:rsid w:val="00F813DD"/>
    <w:rsid w:val="00F83236"/>
    <w:rsid w:val="00F95F09"/>
    <w:rsid w:val="00FA0AD3"/>
    <w:rsid w:val="00FA2468"/>
    <w:rsid w:val="00FA30A2"/>
    <w:rsid w:val="00FA41AC"/>
    <w:rsid w:val="00FA574E"/>
    <w:rsid w:val="00FB04E9"/>
    <w:rsid w:val="00FC40A9"/>
    <w:rsid w:val="00FD4545"/>
    <w:rsid w:val="00FE0041"/>
    <w:rsid w:val="00FE747C"/>
    <w:rsid w:val="00FF2E6F"/>
    <w:rsid w:val="012A6BDB"/>
    <w:rsid w:val="01873192"/>
    <w:rsid w:val="020F7B7E"/>
    <w:rsid w:val="025008C3"/>
    <w:rsid w:val="02FE031F"/>
    <w:rsid w:val="030B2A3C"/>
    <w:rsid w:val="04335DA6"/>
    <w:rsid w:val="04846602"/>
    <w:rsid w:val="056F2E0E"/>
    <w:rsid w:val="05D47115"/>
    <w:rsid w:val="05E24721"/>
    <w:rsid w:val="061439B5"/>
    <w:rsid w:val="06B64A6C"/>
    <w:rsid w:val="076F2318"/>
    <w:rsid w:val="076F5347"/>
    <w:rsid w:val="07C66F31"/>
    <w:rsid w:val="080C26D6"/>
    <w:rsid w:val="08122176"/>
    <w:rsid w:val="08253C58"/>
    <w:rsid w:val="083B347B"/>
    <w:rsid w:val="08955281"/>
    <w:rsid w:val="093525C0"/>
    <w:rsid w:val="0A222B45"/>
    <w:rsid w:val="0A786C09"/>
    <w:rsid w:val="0BE34556"/>
    <w:rsid w:val="0BE61950"/>
    <w:rsid w:val="0C4072B2"/>
    <w:rsid w:val="0CA5180B"/>
    <w:rsid w:val="0CB67574"/>
    <w:rsid w:val="0CC55A09"/>
    <w:rsid w:val="0D4032E2"/>
    <w:rsid w:val="0D9F625A"/>
    <w:rsid w:val="0DB25F8E"/>
    <w:rsid w:val="0E2449B2"/>
    <w:rsid w:val="0F072309"/>
    <w:rsid w:val="0F31382A"/>
    <w:rsid w:val="0F4A0448"/>
    <w:rsid w:val="0FAC4915"/>
    <w:rsid w:val="10883DFE"/>
    <w:rsid w:val="10EA3C90"/>
    <w:rsid w:val="111B6540"/>
    <w:rsid w:val="111F7DDE"/>
    <w:rsid w:val="112453F4"/>
    <w:rsid w:val="115B4B8E"/>
    <w:rsid w:val="12011292"/>
    <w:rsid w:val="137B5074"/>
    <w:rsid w:val="13C06F2A"/>
    <w:rsid w:val="144B2C98"/>
    <w:rsid w:val="15CD620A"/>
    <w:rsid w:val="17550823"/>
    <w:rsid w:val="178564C1"/>
    <w:rsid w:val="19371A3D"/>
    <w:rsid w:val="19632832"/>
    <w:rsid w:val="1ABC044C"/>
    <w:rsid w:val="1AEE0821"/>
    <w:rsid w:val="1B4D5548"/>
    <w:rsid w:val="1B9273FE"/>
    <w:rsid w:val="1C512E16"/>
    <w:rsid w:val="1CF739BD"/>
    <w:rsid w:val="1D2E2504"/>
    <w:rsid w:val="1DB00010"/>
    <w:rsid w:val="1F285233"/>
    <w:rsid w:val="1F751511"/>
    <w:rsid w:val="1FB02549"/>
    <w:rsid w:val="20B87907"/>
    <w:rsid w:val="21417338"/>
    <w:rsid w:val="216E5861"/>
    <w:rsid w:val="221548E5"/>
    <w:rsid w:val="22C00CF5"/>
    <w:rsid w:val="22E36792"/>
    <w:rsid w:val="231352C9"/>
    <w:rsid w:val="23470252"/>
    <w:rsid w:val="241D1E1D"/>
    <w:rsid w:val="242B6C86"/>
    <w:rsid w:val="245C4A4D"/>
    <w:rsid w:val="24C22B02"/>
    <w:rsid w:val="25237319"/>
    <w:rsid w:val="2641214D"/>
    <w:rsid w:val="266B71CA"/>
    <w:rsid w:val="268F2EB8"/>
    <w:rsid w:val="285A5748"/>
    <w:rsid w:val="28A40771"/>
    <w:rsid w:val="297445E7"/>
    <w:rsid w:val="298E38FB"/>
    <w:rsid w:val="29AF66CA"/>
    <w:rsid w:val="29B33362"/>
    <w:rsid w:val="2BB05DAB"/>
    <w:rsid w:val="2BBE7D9C"/>
    <w:rsid w:val="2BC2163A"/>
    <w:rsid w:val="2BC82EC1"/>
    <w:rsid w:val="2C9254B0"/>
    <w:rsid w:val="2CA945A8"/>
    <w:rsid w:val="2E422F06"/>
    <w:rsid w:val="2F176141"/>
    <w:rsid w:val="2F324D29"/>
    <w:rsid w:val="2F880DEC"/>
    <w:rsid w:val="2FC8743B"/>
    <w:rsid w:val="2FE57FED"/>
    <w:rsid w:val="2FE73D65"/>
    <w:rsid w:val="304302CF"/>
    <w:rsid w:val="30C23E8A"/>
    <w:rsid w:val="31C61758"/>
    <w:rsid w:val="32195D2C"/>
    <w:rsid w:val="32BD6FFF"/>
    <w:rsid w:val="32E77BD8"/>
    <w:rsid w:val="334E7C57"/>
    <w:rsid w:val="3361798A"/>
    <w:rsid w:val="33925D96"/>
    <w:rsid w:val="341D5FA7"/>
    <w:rsid w:val="34A445DE"/>
    <w:rsid w:val="34CC177B"/>
    <w:rsid w:val="35C83CF1"/>
    <w:rsid w:val="35CF507F"/>
    <w:rsid w:val="36CC5A63"/>
    <w:rsid w:val="370E607B"/>
    <w:rsid w:val="37A442EA"/>
    <w:rsid w:val="3801798E"/>
    <w:rsid w:val="382A0C93"/>
    <w:rsid w:val="38B7004D"/>
    <w:rsid w:val="38F1355F"/>
    <w:rsid w:val="391B05DB"/>
    <w:rsid w:val="393B0C7E"/>
    <w:rsid w:val="3A1514CF"/>
    <w:rsid w:val="3A2B2AA0"/>
    <w:rsid w:val="3A451DB4"/>
    <w:rsid w:val="3A976388"/>
    <w:rsid w:val="3B385475"/>
    <w:rsid w:val="3BBD1E1E"/>
    <w:rsid w:val="3CF96E86"/>
    <w:rsid w:val="3D0D2931"/>
    <w:rsid w:val="3D477BF1"/>
    <w:rsid w:val="3D632551"/>
    <w:rsid w:val="3DCE3E6E"/>
    <w:rsid w:val="3EF566CC"/>
    <w:rsid w:val="40566CDA"/>
    <w:rsid w:val="40643508"/>
    <w:rsid w:val="4070745F"/>
    <w:rsid w:val="419B050B"/>
    <w:rsid w:val="429733C9"/>
    <w:rsid w:val="431C567C"/>
    <w:rsid w:val="447A4D50"/>
    <w:rsid w:val="448636F5"/>
    <w:rsid w:val="45763769"/>
    <w:rsid w:val="461940F5"/>
    <w:rsid w:val="463E3B5B"/>
    <w:rsid w:val="470D1EAB"/>
    <w:rsid w:val="476B0980"/>
    <w:rsid w:val="47721D0E"/>
    <w:rsid w:val="47AA14A8"/>
    <w:rsid w:val="47C3256A"/>
    <w:rsid w:val="492E7EB7"/>
    <w:rsid w:val="493E459E"/>
    <w:rsid w:val="494E2307"/>
    <w:rsid w:val="495B3AE6"/>
    <w:rsid w:val="49EB5DA8"/>
    <w:rsid w:val="4A0F5F3A"/>
    <w:rsid w:val="4A9B332A"/>
    <w:rsid w:val="4AA743C5"/>
    <w:rsid w:val="4C001FDF"/>
    <w:rsid w:val="4C29168E"/>
    <w:rsid w:val="4C885B30"/>
    <w:rsid w:val="4CF431C6"/>
    <w:rsid w:val="4CF44062"/>
    <w:rsid w:val="4D1F46E6"/>
    <w:rsid w:val="4DA20F70"/>
    <w:rsid w:val="4DDC6134"/>
    <w:rsid w:val="4E275F83"/>
    <w:rsid w:val="4E3C4E24"/>
    <w:rsid w:val="4ED11A10"/>
    <w:rsid w:val="4F7238FF"/>
    <w:rsid w:val="50BE7D72"/>
    <w:rsid w:val="50CB4079"/>
    <w:rsid w:val="50DA53F4"/>
    <w:rsid w:val="51CE2237"/>
    <w:rsid w:val="524E5126"/>
    <w:rsid w:val="52631FDA"/>
    <w:rsid w:val="53394028"/>
    <w:rsid w:val="536C61AC"/>
    <w:rsid w:val="54680721"/>
    <w:rsid w:val="54ED0C26"/>
    <w:rsid w:val="564725B8"/>
    <w:rsid w:val="568F468B"/>
    <w:rsid w:val="56FC33A3"/>
    <w:rsid w:val="572239E5"/>
    <w:rsid w:val="578F2469"/>
    <w:rsid w:val="57A23F4A"/>
    <w:rsid w:val="58631C3B"/>
    <w:rsid w:val="59C7413C"/>
    <w:rsid w:val="59CA59DA"/>
    <w:rsid w:val="5AAE0E58"/>
    <w:rsid w:val="5AB63D48"/>
    <w:rsid w:val="5AD85ED5"/>
    <w:rsid w:val="5B1A047F"/>
    <w:rsid w:val="5BBE50CA"/>
    <w:rsid w:val="5C4A4BB0"/>
    <w:rsid w:val="5CB32755"/>
    <w:rsid w:val="5CEE378D"/>
    <w:rsid w:val="5D041203"/>
    <w:rsid w:val="5D670BAB"/>
    <w:rsid w:val="5E1C257C"/>
    <w:rsid w:val="5E1D5719"/>
    <w:rsid w:val="5E9D546B"/>
    <w:rsid w:val="5EFF1B68"/>
    <w:rsid w:val="5F110A92"/>
    <w:rsid w:val="5F2C67EF"/>
    <w:rsid w:val="5F7A755A"/>
    <w:rsid w:val="5F990328"/>
    <w:rsid w:val="5FA10F8B"/>
    <w:rsid w:val="5FB23198"/>
    <w:rsid w:val="5FFE1F39"/>
    <w:rsid w:val="60082DB8"/>
    <w:rsid w:val="606F1089"/>
    <w:rsid w:val="607E307A"/>
    <w:rsid w:val="60806DF2"/>
    <w:rsid w:val="60F375C4"/>
    <w:rsid w:val="61201B0E"/>
    <w:rsid w:val="61A7531F"/>
    <w:rsid w:val="61ED04B8"/>
    <w:rsid w:val="621243C2"/>
    <w:rsid w:val="622F287E"/>
    <w:rsid w:val="62917095"/>
    <w:rsid w:val="62AC0373"/>
    <w:rsid w:val="631B72A6"/>
    <w:rsid w:val="63464323"/>
    <w:rsid w:val="638219C0"/>
    <w:rsid w:val="65085608"/>
    <w:rsid w:val="652A37D1"/>
    <w:rsid w:val="65562818"/>
    <w:rsid w:val="663568D1"/>
    <w:rsid w:val="67546AF2"/>
    <w:rsid w:val="67580AC9"/>
    <w:rsid w:val="67753429"/>
    <w:rsid w:val="678B127F"/>
    <w:rsid w:val="67CB1EAB"/>
    <w:rsid w:val="6817628E"/>
    <w:rsid w:val="68A51AEC"/>
    <w:rsid w:val="68FB5BB0"/>
    <w:rsid w:val="69B813AB"/>
    <w:rsid w:val="6A2A6D77"/>
    <w:rsid w:val="6A3A6264"/>
    <w:rsid w:val="6A845731"/>
    <w:rsid w:val="6BDA7CFF"/>
    <w:rsid w:val="6C1D408F"/>
    <w:rsid w:val="6CB2651D"/>
    <w:rsid w:val="6D8F2D6B"/>
    <w:rsid w:val="6E1A0886"/>
    <w:rsid w:val="6E3B6A4F"/>
    <w:rsid w:val="6E843F52"/>
    <w:rsid w:val="709A7A5C"/>
    <w:rsid w:val="709F1517"/>
    <w:rsid w:val="71641E18"/>
    <w:rsid w:val="72FF44EF"/>
    <w:rsid w:val="73927111"/>
    <w:rsid w:val="74382DEA"/>
    <w:rsid w:val="74E4399C"/>
    <w:rsid w:val="75436915"/>
    <w:rsid w:val="75581C94"/>
    <w:rsid w:val="755D0646"/>
    <w:rsid w:val="75D02172"/>
    <w:rsid w:val="762F0C47"/>
    <w:rsid w:val="76A258BD"/>
    <w:rsid w:val="76CC46E8"/>
    <w:rsid w:val="77F9775E"/>
    <w:rsid w:val="780B56E4"/>
    <w:rsid w:val="7831514A"/>
    <w:rsid w:val="78A23952"/>
    <w:rsid w:val="78F817C4"/>
    <w:rsid w:val="799C2A97"/>
    <w:rsid w:val="7C2A04AD"/>
    <w:rsid w:val="7C4E5B9F"/>
    <w:rsid w:val="7CE704CD"/>
    <w:rsid w:val="7CF6426C"/>
    <w:rsid w:val="7D05661B"/>
    <w:rsid w:val="7D5176F5"/>
    <w:rsid w:val="7E922736"/>
    <w:rsid w:val="7E9D51FA"/>
    <w:rsid w:val="7EB51F05"/>
    <w:rsid w:val="7ED44A81"/>
    <w:rsid w:val="7F016EF9"/>
    <w:rsid w:val="7F076C05"/>
    <w:rsid w:val="7F435763"/>
    <w:rsid w:val="7F45772D"/>
    <w:rsid w:val="7F710522"/>
    <w:rsid w:val="7F89761A"/>
    <w:rsid w:val="7FBF303C"/>
    <w:rsid w:val="7FE50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Char"/>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Char"/>
    <w:autoRedefine/>
    <w:uiPriority w:val="9"/>
    <w:semiHidden/>
    <w:unhideWhenUsed/>
    <w:qFormat/>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
    <w:name w:val="toc 7"/>
    <w:basedOn w:val="a6"/>
    <w:next w:val="a6"/>
    <w:uiPriority w:val="39"/>
    <w:unhideWhenUsed/>
    <w:qFormat/>
    <w:pPr>
      <w:ind w:leftChars="1200" w:left="2520"/>
    </w:pPr>
  </w:style>
  <w:style w:type="paragraph" w:styleId="aa">
    <w:name w:val="annotation text"/>
    <w:basedOn w:val="a6"/>
    <w:link w:val="Char"/>
    <w:autoRedefine/>
    <w:uiPriority w:val="99"/>
    <w:semiHidden/>
    <w:unhideWhenUsed/>
    <w:qFormat/>
    <w:pPr>
      <w:jc w:val="left"/>
    </w:pPr>
  </w:style>
  <w:style w:type="paragraph" w:styleId="5">
    <w:name w:val="toc 5"/>
    <w:basedOn w:val="a6"/>
    <w:next w:val="a6"/>
    <w:autoRedefine/>
    <w:uiPriority w:val="39"/>
    <w:unhideWhenUsed/>
    <w:qFormat/>
    <w:pPr>
      <w:ind w:leftChars="800" w:left="1680"/>
    </w:pPr>
  </w:style>
  <w:style w:type="paragraph" w:styleId="30">
    <w:name w:val="toc 3"/>
    <w:basedOn w:val="a6"/>
    <w:next w:val="a6"/>
    <w:uiPriority w:val="39"/>
    <w:unhideWhenUsed/>
    <w:qFormat/>
    <w:pPr>
      <w:widowControl/>
      <w:spacing w:after="100" w:line="276" w:lineRule="auto"/>
      <w:ind w:left="440"/>
      <w:jc w:val="left"/>
    </w:pPr>
    <w:rPr>
      <w:kern w:val="0"/>
      <w:sz w:val="22"/>
    </w:rPr>
  </w:style>
  <w:style w:type="paragraph" w:styleId="8">
    <w:name w:val="toc 8"/>
    <w:basedOn w:val="a6"/>
    <w:next w:val="a6"/>
    <w:autoRedefine/>
    <w:uiPriority w:val="39"/>
    <w:unhideWhenUsed/>
    <w:qFormat/>
    <w:pPr>
      <w:ind w:leftChars="1400" w:left="2940"/>
    </w:pPr>
  </w:style>
  <w:style w:type="paragraph" w:styleId="ab">
    <w:name w:val="Date"/>
    <w:basedOn w:val="a6"/>
    <w:next w:val="a6"/>
    <w:link w:val="Char0"/>
    <w:autoRedefine/>
    <w:uiPriority w:val="99"/>
    <w:semiHidden/>
    <w:unhideWhenUsed/>
    <w:qFormat/>
    <w:pPr>
      <w:ind w:leftChars="2500" w:left="100"/>
    </w:pPr>
  </w:style>
  <w:style w:type="paragraph" w:styleId="ac">
    <w:name w:val="Balloon Text"/>
    <w:basedOn w:val="a6"/>
    <w:link w:val="Char1"/>
    <w:autoRedefine/>
    <w:uiPriority w:val="99"/>
    <w:semiHidden/>
    <w:unhideWhenUsed/>
    <w:qFormat/>
    <w:rPr>
      <w:sz w:val="18"/>
      <w:szCs w:val="18"/>
    </w:rPr>
  </w:style>
  <w:style w:type="paragraph" w:styleId="ad">
    <w:name w:val="footer"/>
    <w:basedOn w:val="a6"/>
    <w:link w:val="Char2"/>
    <w:autoRedefine/>
    <w:uiPriority w:val="99"/>
    <w:unhideWhenUsed/>
    <w:qFormat/>
    <w:pPr>
      <w:tabs>
        <w:tab w:val="center" w:pos="4153"/>
        <w:tab w:val="right" w:pos="8306"/>
      </w:tabs>
      <w:snapToGrid w:val="0"/>
      <w:jc w:val="left"/>
    </w:pPr>
    <w:rPr>
      <w:sz w:val="18"/>
      <w:szCs w:val="18"/>
    </w:rPr>
  </w:style>
  <w:style w:type="paragraph" w:styleId="ae">
    <w:name w:val="header"/>
    <w:basedOn w:val="a6"/>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autoRedefine/>
    <w:uiPriority w:val="39"/>
    <w:unhideWhenUsed/>
    <w:qFormat/>
    <w:pPr>
      <w:widowControl/>
      <w:tabs>
        <w:tab w:val="left" w:pos="835"/>
        <w:tab w:val="right" w:leader="dot" w:pos="8296"/>
      </w:tabs>
      <w:spacing w:after="100" w:line="276" w:lineRule="auto"/>
      <w:jc w:val="center"/>
    </w:pPr>
    <w:rPr>
      <w:rFonts w:ascii="黑体" w:eastAsia="黑体" w:hAnsi="黑体" w:cs="宋体"/>
      <w:kern w:val="0"/>
      <w:sz w:val="40"/>
      <w:szCs w:val="32"/>
    </w:rPr>
  </w:style>
  <w:style w:type="paragraph" w:styleId="4">
    <w:name w:val="toc 4"/>
    <w:basedOn w:val="a6"/>
    <w:next w:val="a6"/>
    <w:autoRedefine/>
    <w:uiPriority w:val="39"/>
    <w:unhideWhenUsed/>
    <w:qFormat/>
    <w:pPr>
      <w:ind w:leftChars="600" w:left="1260"/>
    </w:pPr>
  </w:style>
  <w:style w:type="paragraph" w:styleId="6">
    <w:name w:val="toc 6"/>
    <w:basedOn w:val="a6"/>
    <w:next w:val="a6"/>
    <w:autoRedefine/>
    <w:uiPriority w:val="39"/>
    <w:unhideWhenUsed/>
    <w:qFormat/>
    <w:pPr>
      <w:ind w:leftChars="1000" w:left="2100"/>
    </w:pPr>
  </w:style>
  <w:style w:type="paragraph" w:styleId="20">
    <w:name w:val="toc 2"/>
    <w:basedOn w:val="a6"/>
    <w:next w:val="a6"/>
    <w:autoRedefine/>
    <w:uiPriority w:val="39"/>
    <w:unhideWhenUsed/>
    <w:qFormat/>
    <w:pPr>
      <w:widowControl/>
      <w:spacing w:after="100" w:line="276" w:lineRule="auto"/>
      <w:ind w:left="220"/>
      <w:jc w:val="left"/>
    </w:pPr>
    <w:rPr>
      <w:kern w:val="0"/>
      <w:sz w:val="22"/>
    </w:rPr>
  </w:style>
  <w:style w:type="paragraph" w:styleId="9">
    <w:name w:val="toc 9"/>
    <w:basedOn w:val="a6"/>
    <w:next w:val="a6"/>
    <w:autoRedefine/>
    <w:uiPriority w:val="39"/>
    <w:unhideWhenUsed/>
    <w:qFormat/>
    <w:pPr>
      <w:ind w:leftChars="1600" w:left="3360"/>
    </w:pPr>
  </w:style>
  <w:style w:type="paragraph" w:styleId="af">
    <w:name w:val="annotation subject"/>
    <w:basedOn w:val="aa"/>
    <w:next w:val="aa"/>
    <w:link w:val="Char4"/>
    <w:autoRedefine/>
    <w:uiPriority w:val="99"/>
    <w:semiHidden/>
    <w:unhideWhenUsed/>
    <w:qFormat/>
    <w:rPr>
      <w:b/>
      <w:bCs/>
    </w:rPr>
  </w:style>
  <w:style w:type="table" w:styleId="af0">
    <w:name w:val="Table Grid"/>
    <w:basedOn w:val="a8"/>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autoRedefine/>
    <w:rPr>
      <w:color w:val="800080"/>
      <w:u w:val="single"/>
    </w:rPr>
  </w:style>
  <w:style w:type="character" w:styleId="af2">
    <w:name w:val="Emphasis"/>
    <w:basedOn w:val="a7"/>
    <w:uiPriority w:val="20"/>
    <w:qFormat/>
    <w:rPr>
      <w:i/>
      <w:iCs/>
    </w:rPr>
  </w:style>
  <w:style w:type="character" w:styleId="af3">
    <w:name w:val="Hyperlink"/>
    <w:basedOn w:val="a7"/>
    <w:autoRedefine/>
    <w:uiPriority w:val="99"/>
    <w:unhideWhenUsed/>
    <w:qFormat/>
    <w:rPr>
      <w:color w:val="0000FF" w:themeColor="hyperlink"/>
      <w:u w:val="single"/>
    </w:rPr>
  </w:style>
  <w:style w:type="character" w:styleId="af4">
    <w:name w:val="annotation reference"/>
    <w:basedOn w:val="a7"/>
    <w:autoRedefine/>
    <w:uiPriority w:val="99"/>
    <w:semiHidden/>
    <w:unhideWhenUsed/>
    <w:qFormat/>
    <w:rPr>
      <w:sz w:val="21"/>
      <w:szCs w:val="21"/>
    </w:rPr>
  </w:style>
  <w:style w:type="paragraph" w:customStyle="1" w:styleId="Default">
    <w:name w:val="Default"/>
    <w:basedOn w:val="a6"/>
    <w:autoRedefine/>
    <w:uiPriority w:val="99"/>
    <w:qFormat/>
    <w:pPr>
      <w:autoSpaceDE w:val="0"/>
      <w:autoSpaceDN w:val="0"/>
    </w:pPr>
    <w:rPr>
      <w:rFonts w:ascii="Times New Roman" w:eastAsia="宋体" w:hAnsi="Times New Roman" w:cs="Times New Roman"/>
      <w:color w:val="000000"/>
      <w:sz w:val="24"/>
      <w:szCs w:val="24"/>
      <w:lang w:eastAsia="en-US" w:bidi="en-US"/>
    </w:rPr>
  </w:style>
  <w:style w:type="character" w:customStyle="1" w:styleId="3Char">
    <w:name w:val="标题 3 Char"/>
    <w:basedOn w:val="a7"/>
    <w:link w:val="3"/>
    <w:uiPriority w:val="9"/>
    <w:semiHidden/>
    <w:qFormat/>
    <w:rPr>
      <w:b/>
      <w:bCs/>
      <w:sz w:val="32"/>
      <w:szCs w:val="32"/>
    </w:rPr>
  </w:style>
  <w:style w:type="character" w:customStyle="1" w:styleId="Char3">
    <w:name w:val="页眉 Char"/>
    <w:basedOn w:val="a7"/>
    <w:link w:val="ae"/>
    <w:uiPriority w:val="99"/>
    <w:qFormat/>
    <w:rPr>
      <w:sz w:val="18"/>
      <w:szCs w:val="18"/>
    </w:rPr>
  </w:style>
  <w:style w:type="character" w:customStyle="1" w:styleId="Char2">
    <w:name w:val="页脚 Char"/>
    <w:basedOn w:val="a7"/>
    <w:link w:val="ad"/>
    <w:autoRedefine/>
    <w:uiPriority w:val="99"/>
    <w:qFormat/>
    <w:rPr>
      <w:sz w:val="18"/>
      <w:szCs w:val="18"/>
    </w:rPr>
  </w:style>
  <w:style w:type="character" w:customStyle="1" w:styleId="Char0">
    <w:name w:val="日期 Char"/>
    <w:basedOn w:val="a7"/>
    <w:link w:val="ab"/>
    <w:autoRedefine/>
    <w:uiPriority w:val="99"/>
    <w:semiHidden/>
    <w:qFormat/>
  </w:style>
  <w:style w:type="paragraph" w:styleId="af5">
    <w:name w:val="List Paragraph"/>
    <w:basedOn w:val="a6"/>
    <w:autoRedefine/>
    <w:uiPriority w:val="99"/>
    <w:qFormat/>
    <w:rsid w:val="008D0FBA"/>
    <w:pPr>
      <w:adjustRightInd w:val="0"/>
      <w:snapToGrid w:val="0"/>
      <w:spacing w:line="560" w:lineRule="exact"/>
      <w:ind w:firstLineChars="200" w:firstLine="480"/>
    </w:pPr>
    <w:rPr>
      <w:rFonts w:asciiTheme="minorEastAsia" w:hAnsiTheme="minorEastAsia" w:cs="楷体_GB2312"/>
      <w:sz w:val="24"/>
      <w:szCs w:val="24"/>
    </w:rPr>
  </w:style>
  <w:style w:type="character" w:customStyle="1" w:styleId="1Char">
    <w:name w:val="标题 1 Char"/>
    <w:basedOn w:val="a7"/>
    <w:link w:val="1"/>
    <w:uiPriority w:val="9"/>
    <w:qFormat/>
    <w:rPr>
      <w:b/>
      <w:bCs/>
      <w:kern w:val="44"/>
      <w:sz w:val="44"/>
      <w:szCs w:val="44"/>
    </w:rPr>
  </w:style>
  <w:style w:type="paragraph" w:customStyle="1" w:styleId="TOC1">
    <w:name w:val="TOC 标题1"/>
    <w:basedOn w:val="1"/>
    <w:next w:val="a6"/>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7"/>
    <w:link w:val="ac"/>
    <w:autoRedefine/>
    <w:uiPriority w:val="99"/>
    <w:semiHidden/>
    <w:qFormat/>
    <w:rPr>
      <w:sz w:val="18"/>
      <w:szCs w:val="18"/>
    </w:rPr>
  </w:style>
  <w:style w:type="character" w:customStyle="1" w:styleId="Char">
    <w:name w:val="批注文字 Char"/>
    <w:basedOn w:val="a7"/>
    <w:link w:val="aa"/>
    <w:autoRedefine/>
    <w:uiPriority w:val="99"/>
    <w:semiHidden/>
    <w:qFormat/>
  </w:style>
  <w:style w:type="character" w:customStyle="1" w:styleId="Char4">
    <w:name w:val="批注主题 Char"/>
    <w:basedOn w:val="Char"/>
    <w:link w:val="af"/>
    <w:autoRedefine/>
    <w:uiPriority w:val="99"/>
    <w:semiHidden/>
    <w:qFormat/>
    <w:rPr>
      <w:b/>
      <w:bCs/>
    </w:rPr>
  </w:style>
  <w:style w:type="character" w:customStyle="1" w:styleId="2Char">
    <w:name w:val="标题 2 Char"/>
    <w:basedOn w:val="a7"/>
    <w:link w:val="2"/>
    <w:uiPriority w:val="9"/>
    <w:semiHidden/>
    <w:qFormat/>
    <w:rPr>
      <w:rFonts w:asciiTheme="majorHAnsi" w:eastAsiaTheme="majorEastAsia" w:hAnsiTheme="majorHAnsi" w:cstheme="majorBidi"/>
      <w:b/>
      <w:bCs/>
      <w:sz w:val="32"/>
      <w:szCs w:val="32"/>
    </w:rPr>
  </w:style>
  <w:style w:type="paragraph" w:customStyle="1" w:styleId="af6">
    <w:name w:val="标准文件_段"/>
    <w:link w:val="Char5"/>
    <w:autoRedefine/>
    <w:qFormat/>
    <w:rsid w:val="001A3CA2"/>
    <w:pPr>
      <w:autoSpaceDE w:val="0"/>
      <w:autoSpaceDN w:val="0"/>
      <w:spacing w:line="360" w:lineRule="auto"/>
      <w:ind w:firstLineChars="200" w:firstLine="480"/>
      <w:jc w:val="both"/>
    </w:pPr>
    <w:rPr>
      <w:rFonts w:ascii="黑体" w:eastAsia="黑体" w:hAnsi="黑体" w:cs="楷体_GB2312"/>
      <w:sz w:val="24"/>
      <w:szCs w:val="24"/>
    </w:rPr>
  </w:style>
  <w:style w:type="paragraph" w:customStyle="1" w:styleId="a5">
    <w:name w:val="标准文件_二级条标题"/>
    <w:next w:val="af6"/>
    <w:autoRedefine/>
    <w:qFormat/>
    <w:pPr>
      <w:widowControl w:val="0"/>
      <w:numPr>
        <w:ilvl w:val="3"/>
        <w:numId w:val="1"/>
      </w:numPr>
      <w:spacing w:beforeLines="50" w:afterLines="50"/>
      <w:ind w:left="0"/>
      <w:jc w:val="both"/>
      <w:outlineLvl w:val="2"/>
    </w:pPr>
    <w:rPr>
      <w:rFonts w:ascii="黑体" w:eastAsia="黑体"/>
      <w:sz w:val="21"/>
    </w:rPr>
  </w:style>
  <w:style w:type="character" w:customStyle="1" w:styleId="Char5">
    <w:name w:val="标准文件_段 Char"/>
    <w:link w:val="af6"/>
    <w:autoRedefine/>
    <w:qFormat/>
    <w:rsid w:val="001A3CA2"/>
    <w:rPr>
      <w:rFonts w:ascii="黑体" w:eastAsia="黑体" w:hAnsi="黑体" w:cs="楷体_GB2312"/>
      <w:sz w:val="24"/>
      <w:szCs w:val="24"/>
    </w:rPr>
  </w:style>
  <w:style w:type="paragraph" w:customStyle="1" w:styleId="a1">
    <w:name w:val="标准文件_数字编号列项（二级）"/>
    <w:autoRedefine/>
    <w:pPr>
      <w:numPr>
        <w:ilvl w:val="1"/>
        <w:numId w:val="2"/>
      </w:numPr>
      <w:jc w:val="both"/>
    </w:pPr>
    <w:rPr>
      <w:rFonts w:ascii="宋体"/>
      <w:sz w:val="21"/>
    </w:rPr>
  </w:style>
  <w:style w:type="paragraph" w:customStyle="1" w:styleId="a2">
    <w:name w:val="标准文件_编号列项（三级）"/>
    <w:autoRedefine/>
    <w:pPr>
      <w:numPr>
        <w:ilvl w:val="2"/>
        <w:numId w:val="2"/>
      </w:numPr>
    </w:pPr>
    <w:rPr>
      <w:rFonts w:ascii="宋体"/>
      <w:sz w:val="21"/>
    </w:rPr>
  </w:style>
  <w:style w:type="paragraph" w:customStyle="1" w:styleId="a0">
    <w:name w:val="标准文件_字母编号列项（一级）"/>
    <w:qFormat/>
    <w:pPr>
      <w:numPr>
        <w:numId w:val="2"/>
      </w:numPr>
      <w:jc w:val="both"/>
    </w:pPr>
    <w:rPr>
      <w:rFonts w:ascii="宋体"/>
      <w:sz w:val="21"/>
    </w:rPr>
  </w:style>
  <w:style w:type="character" w:customStyle="1" w:styleId="text-value">
    <w:name w:val="text-value"/>
    <w:basedOn w:val="a7"/>
    <w:autoRedefine/>
    <w:qFormat/>
  </w:style>
  <w:style w:type="paragraph" w:customStyle="1" w:styleId="af7">
    <w:name w:val="标准文件_参考文献标题"/>
    <w:basedOn w:val="a6"/>
    <w:next w:val="a6"/>
    <w:autoRedefine/>
    <w:pPr>
      <w:widowControl/>
      <w:shd w:val="clear" w:color="FFFFFF" w:fill="FFFFFF"/>
      <w:spacing w:beforeLines="40" w:before="40" w:afterLines="50" w:after="50"/>
      <w:jc w:val="center"/>
      <w:outlineLvl w:val="0"/>
    </w:pPr>
    <w:rPr>
      <w:rFonts w:ascii="黑体" w:eastAsia="黑体" w:hAnsi="Calibri" w:cs="Times New Roman"/>
      <w:kern w:val="0"/>
      <w:szCs w:val="21"/>
    </w:rPr>
  </w:style>
  <w:style w:type="paragraph" w:customStyle="1" w:styleId="a">
    <w:name w:val="标准文件_方框数字列项"/>
    <w:basedOn w:val="af6"/>
    <w:autoRedefine/>
    <w:qFormat/>
    <w:pPr>
      <w:numPr>
        <w:numId w:val="3"/>
      </w:numPr>
      <w:ind w:firstLineChars="0" w:firstLine="0"/>
    </w:pPr>
  </w:style>
  <w:style w:type="paragraph" w:customStyle="1" w:styleId="af8">
    <w:name w:val="段"/>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4">
    <w:name w:val="标准文件_一级条标题"/>
    <w:basedOn w:val="a3"/>
    <w:next w:val="af6"/>
    <w:autoRedefine/>
    <w:qFormat/>
    <w:pPr>
      <w:numPr>
        <w:ilvl w:val="2"/>
      </w:numPr>
      <w:spacing w:beforeLines="50" w:before="50" w:afterLines="50" w:after="50"/>
      <w:outlineLvl w:val="1"/>
    </w:pPr>
  </w:style>
  <w:style w:type="paragraph" w:customStyle="1" w:styleId="a3">
    <w:name w:val="标准文件_章标题"/>
    <w:next w:val="af6"/>
    <w:qFormat/>
    <w:pPr>
      <w:numPr>
        <w:ilvl w:val="1"/>
        <w:numId w:val="1"/>
      </w:numPr>
      <w:spacing w:beforeLines="100" w:before="100" w:afterLines="100" w:after="100"/>
      <w:jc w:val="both"/>
      <w:outlineLvl w:val="0"/>
    </w:pPr>
    <w:rPr>
      <w:rFonts w:ascii="黑体"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Char"/>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Char"/>
    <w:autoRedefine/>
    <w:uiPriority w:val="9"/>
    <w:semiHidden/>
    <w:unhideWhenUsed/>
    <w:qFormat/>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
    <w:name w:val="toc 7"/>
    <w:basedOn w:val="a6"/>
    <w:next w:val="a6"/>
    <w:uiPriority w:val="39"/>
    <w:unhideWhenUsed/>
    <w:qFormat/>
    <w:pPr>
      <w:ind w:leftChars="1200" w:left="2520"/>
    </w:pPr>
  </w:style>
  <w:style w:type="paragraph" w:styleId="aa">
    <w:name w:val="annotation text"/>
    <w:basedOn w:val="a6"/>
    <w:link w:val="Char"/>
    <w:autoRedefine/>
    <w:uiPriority w:val="99"/>
    <w:semiHidden/>
    <w:unhideWhenUsed/>
    <w:qFormat/>
    <w:pPr>
      <w:jc w:val="left"/>
    </w:pPr>
  </w:style>
  <w:style w:type="paragraph" w:styleId="5">
    <w:name w:val="toc 5"/>
    <w:basedOn w:val="a6"/>
    <w:next w:val="a6"/>
    <w:autoRedefine/>
    <w:uiPriority w:val="39"/>
    <w:unhideWhenUsed/>
    <w:qFormat/>
    <w:pPr>
      <w:ind w:leftChars="800" w:left="1680"/>
    </w:pPr>
  </w:style>
  <w:style w:type="paragraph" w:styleId="30">
    <w:name w:val="toc 3"/>
    <w:basedOn w:val="a6"/>
    <w:next w:val="a6"/>
    <w:uiPriority w:val="39"/>
    <w:unhideWhenUsed/>
    <w:qFormat/>
    <w:pPr>
      <w:widowControl/>
      <w:spacing w:after="100" w:line="276" w:lineRule="auto"/>
      <w:ind w:left="440"/>
      <w:jc w:val="left"/>
    </w:pPr>
    <w:rPr>
      <w:kern w:val="0"/>
      <w:sz w:val="22"/>
    </w:rPr>
  </w:style>
  <w:style w:type="paragraph" w:styleId="8">
    <w:name w:val="toc 8"/>
    <w:basedOn w:val="a6"/>
    <w:next w:val="a6"/>
    <w:autoRedefine/>
    <w:uiPriority w:val="39"/>
    <w:unhideWhenUsed/>
    <w:qFormat/>
    <w:pPr>
      <w:ind w:leftChars="1400" w:left="2940"/>
    </w:pPr>
  </w:style>
  <w:style w:type="paragraph" w:styleId="ab">
    <w:name w:val="Date"/>
    <w:basedOn w:val="a6"/>
    <w:next w:val="a6"/>
    <w:link w:val="Char0"/>
    <w:autoRedefine/>
    <w:uiPriority w:val="99"/>
    <w:semiHidden/>
    <w:unhideWhenUsed/>
    <w:qFormat/>
    <w:pPr>
      <w:ind w:leftChars="2500" w:left="100"/>
    </w:pPr>
  </w:style>
  <w:style w:type="paragraph" w:styleId="ac">
    <w:name w:val="Balloon Text"/>
    <w:basedOn w:val="a6"/>
    <w:link w:val="Char1"/>
    <w:autoRedefine/>
    <w:uiPriority w:val="99"/>
    <w:semiHidden/>
    <w:unhideWhenUsed/>
    <w:qFormat/>
    <w:rPr>
      <w:sz w:val="18"/>
      <w:szCs w:val="18"/>
    </w:rPr>
  </w:style>
  <w:style w:type="paragraph" w:styleId="ad">
    <w:name w:val="footer"/>
    <w:basedOn w:val="a6"/>
    <w:link w:val="Char2"/>
    <w:autoRedefine/>
    <w:uiPriority w:val="99"/>
    <w:unhideWhenUsed/>
    <w:qFormat/>
    <w:pPr>
      <w:tabs>
        <w:tab w:val="center" w:pos="4153"/>
        <w:tab w:val="right" w:pos="8306"/>
      </w:tabs>
      <w:snapToGrid w:val="0"/>
      <w:jc w:val="left"/>
    </w:pPr>
    <w:rPr>
      <w:sz w:val="18"/>
      <w:szCs w:val="18"/>
    </w:rPr>
  </w:style>
  <w:style w:type="paragraph" w:styleId="ae">
    <w:name w:val="header"/>
    <w:basedOn w:val="a6"/>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autoRedefine/>
    <w:uiPriority w:val="39"/>
    <w:unhideWhenUsed/>
    <w:qFormat/>
    <w:pPr>
      <w:widowControl/>
      <w:tabs>
        <w:tab w:val="left" w:pos="835"/>
        <w:tab w:val="right" w:leader="dot" w:pos="8296"/>
      </w:tabs>
      <w:spacing w:after="100" w:line="276" w:lineRule="auto"/>
      <w:jc w:val="center"/>
    </w:pPr>
    <w:rPr>
      <w:rFonts w:ascii="黑体" w:eastAsia="黑体" w:hAnsi="黑体" w:cs="宋体"/>
      <w:kern w:val="0"/>
      <w:sz w:val="40"/>
      <w:szCs w:val="32"/>
    </w:rPr>
  </w:style>
  <w:style w:type="paragraph" w:styleId="4">
    <w:name w:val="toc 4"/>
    <w:basedOn w:val="a6"/>
    <w:next w:val="a6"/>
    <w:autoRedefine/>
    <w:uiPriority w:val="39"/>
    <w:unhideWhenUsed/>
    <w:qFormat/>
    <w:pPr>
      <w:ind w:leftChars="600" w:left="1260"/>
    </w:pPr>
  </w:style>
  <w:style w:type="paragraph" w:styleId="6">
    <w:name w:val="toc 6"/>
    <w:basedOn w:val="a6"/>
    <w:next w:val="a6"/>
    <w:autoRedefine/>
    <w:uiPriority w:val="39"/>
    <w:unhideWhenUsed/>
    <w:qFormat/>
    <w:pPr>
      <w:ind w:leftChars="1000" w:left="2100"/>
    </w:pPr>
  </w:style>
  <w:style w:type="paragraph" w:styleId="20">
    <w:name w:val="toc 2"/>
    <w:basedOn w:val="a6"/>
    <w:next w:val="a6"/>
    <w:autoRedefine/>
    <w:uiPriority w:val="39"/>
    <w:unhideWhenUsed/>
    <w:qFormat/>
    <w:pPr>
      <w:widowControl/>
      <w:spacing w:after="100" w:line="276" w:lineRule="auto"/>
      <w:ind w:left="220"/>
      <w:jc w:val="left"/>
    </w:pPr>
    <w:rPr>
      <w:kern w:val="0"/>
      <w:sz w:val="22"/>
    </w:rPr>
  </w:style>
  <w:style w:type="paragraph" w:styleId="9">
    <w:name w:val="toc 9"/>
    <w:basedOn w:val="a6"/>
    <w:next w:val="a6"/>
    <w:autoRedefine/>
    <w:uiPriority w:val="39"/>
    <w:unhideWhenUsed/>
    <w:qFormat/>
    <w:pPr>
      <w:ind w:leftChars="1600" w:left="3360"/>
    </w:pPr>
  </w:style>
  <w:style w:type="paragraph" w:styleId="af">
    <w:name w:val="annotation subject"/>
    <w:basedOn w:val="aa"/>
    <w:next w:val="aa"/>
    <w:link w:val="Char4"/>
    <w:autoRedefine/>
    <w:uiPriority w:val="99"/>
    <w:semiHidden/>
    <w:unhideWhenUsed/>
    <w:qFormat/>
    <w:rPr>
      <w:b/>
      <w:bCs/>
    </w:rPr>
  </w:style>
  <w:style w:type="table" w:styleId="af0">
    <w:name w:val="Table Grid"/>
    <w:basedOn w:val="a8"/>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autoRedefine/>
    <w:rPr>
      <w:color w:val="800080"/>
      <w:u w:val="single"/>
    </w:rPr>
  </w:style>
  <w:style w:type="character" w:styleId="af2">
    <w:name w:val="Emphasis"/>
    <w:basedOn w:val="a7"/>
    <w:uiPriority w:val="20"/>
    <w:qFormat/>
    <w:rPr>
      <w:i/>
      <w:iCs/>
    </w:rPr>
  </w:style>
  <w:style w:type="character" w:styleId="af3">
    <w:name w:val="Hyperlink"/>
    <w:basedOn w:val="a7"/>
    <w:autoRedefine/>
    <w:uiPriority w:val="99"/>
    <w:unhideWhenUsed/>
    <w:qFormat/>
    <w:rPr>
      <w:color w:val="0000FF" w:themeColor="hyperlink"/>
      <w:u w:val="single"/>
    </w:rPr>
  </w:style>
  <w:style w:type="character" w:styleId="af4">
    <w:name w:val="annotation reference"/>
    <w:basedOn w:val="a7"/>
    <w:autoRedefine/>
    <w:uiPriority w:val="99"/>
    <w:semiHidden/>
    <w:unhideWhenUsed/>
    <w:qFormat/>
    <w:rPr>
      <w:sz w:val="21"/>
      <w:szCs w:val="21"/>
    </w:rPr>
  </w:style>
  <w:style w:type="paragraph" w:customStyle="1" w:styleId="Default">
    <w:name w:val="Default"/>
    <w:basedOn w:val="a6"/>
    <w:autoRedefine/>
    <w:uiPriority w:val="99"/>
    <w:qFormat/>
    <w:pPr>
      <w:autoSpaceDE w:val="0"/>
      <w:autoSpaceDN w:val="0"/>
    </w:pPr>
    <w:rPr>
      <w:rFonts w:ascii="Times New Roman" w:eastAsia="宋体" w:hAnsi="Times New Roman" w:cs="Times New Roman"/>
      <w:color w:val="000000"/>
      <w:sz w:val="24"/>
      <w:szCs w:val="24"/>
      <w:lang w:eastAsia="en-US" w:bidi="en-US"/>
    </w:rPr>
  </w:style>
  <w:style w:type="character" w:customStyle="1" w:styleId="3Char">
    <w:name w:val="标题 3 Char"/>
    <w:basedOn w:val="a7"/>
    <w:link w:val="3"/>
    <w:uiPriority w:val="9"/>
    <w:semiHidden/>
    <w:qFormat/>
    <w:rPr>
      <w:b/>
      <w:bCs/>
      <w:sz w:val="32"/>
      <w:szCs w:val="32"/>
    </w:rPr>
  </w:style>
  <w:style w:type="character" w:customStyle="1" w:styleId="Char3">
    <w:name w:val="页眉 Char"/>
    <w:basedOn w:val="a7"/>
    <w:link w:val="ae"/>
    <w:uiPriority w:val="99"/>
    <w:qFormat/>
    <w:rPr>
      <w:sz w:val="18"/>
      <w:szCs w:val="18"/>
    </w:rPr>
  </w:style>
  <w:style w:type="character" w:customStyle="1" w:styleId="Char2">
    <w:name w:val="页脚 Char"/>
    <w:basedOn w:val="a7"/>
    <w:link w:val="ad"/>
    <w:autoRedefine/>
    <w:uiPriority w:val="99"/>
    <w:qFormat/>
    <w:rPr>
      <w:sz w:val="18"/>
      <w:szCs w:val="18"/>
    </w:rPr>
  </w:style>
  <w:style w:type="character" w:customStyle="1" w:styleId="Char0">
    <w:name w:val="日期 Char"/>
    <w:basedOn w:val="a7"/>
    <w:link w:val="ab"/>
    <w:autoRedefine/>
    <w:uiPriority w:val="99"/>
    <w:semiHidden/>
    <w:qFormat/>
  </w:style>
  <w:style w:type="paragraph" w:styleId="af5">
    <w:name w:val="List Paragraph"/>
    <w:basedOn w:val="a6"/>
    <w:autoRedefine/>
    <w:uiPriority w:val="99"/>
    <w:qFormat/>
    <w:rsid w:val="008D0FBA"/>
    <w:pPr>
      <w:adjustRightInd w:val="0"/>
      <w:snapToGrid w:val="0"/>
      <w:spacing w:line="560" w:lineRule="exact"/>
      <w:ind w:firstLineChars="200" w:firstLine="480"/>
    </w:pPr>
    <w:rPr>
      <w:rFonts w:asciiTheme="minorEastAsia" w:hAnsiTheme="minorEastAsia" w:cs="楷体_GB2312"/>
      <w:sz w:val="24"/>
      <w:szCs w:val="24"/>
    </w:rPr>
  </w:style>
  <w:style w:type="character" w:customStyle="1" w:styleId="1Char">
    <w:name w:val="标题 1 Char"/>
    <w:basedOn w:val="a7"/>
    <w:link w:val="1"/>
    <w:uiPriority w:val="9"/>
    <w:qFormat/>
    <w:rPr>
      <w:b/>
      <w:bCs/>
      <w:kern w:val="44"/>
      <w:sz w:val="44"/>
      <w:szCs w:val="44"/>
    </w:rPr>
  </w:style>
  <w:style w:type="paragraph" w:customStyle="1" w:styleId="TOC1">
    <w:name w:val="TOC 标题1"/>
    <w:basedOn w:val="1"/>
    <w:next w:val="a6"/>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7"/>
    <w:link w:val="ac"/>
    <w:autoRedefine/>
    <w:uiPriority w:val="99"/>
    <w:semiHidden/>
    <w:qFormat/>
    <w:rPr>
      <w:sz w:val="18"/>
      <w:szCs w:val="18"/>
    </w:rPr>
  </w:style>
  <w:style w:type="character" w:customStyle="1" w:styleId="Char">
    <w:name w:val="批注文字 Char"/>
    <w:basedOn w:val="a7"/>
    <w:link w:val="aa"/>
    <w:autoRedefine/>
    <w:uiPriority w:val="99"/>
    <w:semiHidden/>
    <w:qFormat/>
  </w:style>
  <w:style w:type="character" w:customStyle="1" w:styleId="Char4">
    <w:name w:val="批注主题 Char"/>
    <w:basedOn w:val="Char"/>
    <w:link w:val="af"/>
    <w:autoRedefine/>
    <w:uiPriority w:val="99"/>
    <w:semiHidden/>
    <w:qFormat/>
    <w:rPr>
      <w:b/>
      <w:bCs/>
    </w:rPr>
  </w:style>
  <w:style w:type="character" w:customStyle="1" w:styleId="2Char">
    <w:name w:val="标题 2 Char"/>
    <w:basedOn w:val="a7"/>
    <w:link w:val="2"/>
    <w:uiPriority w:val="9"/>
    <w:semiHidden/>
    <w:qFormat/>
    <w:rPr>
      <w:rFonts w:asciiTheme="majorHAnsi" w:eastAsiaTheme="majorEastAsia" w:hAnsiTheme="majorHAnsi" w:cstheme="majorBidi"/>
      <w:b/>
      <w:bCs/>
      <w:sz w:val="32"/>
      <w:szCs w:val="32"/>
    </w:rPr>
  </w:style>
  <w:style w:type="paragraph" w:customStyle="1" w:styleId="af6">
    <w:name w:val="标准文件_段"/>
    <w:link w:val="Char5"/>
    <w:autoRedefine/>
    <w:qFormat/>
    <w:rsid w:val="001A3CA2"/>
    <w:pPr>
      <w:autoSpaceDE w:val="0"/>
      <w:autoSpaceDN w:val="0"/>
      <w:spacing w:line="360" w:lineRule="auto"/>
      <w:ind w:firstLineChars="200" w:firstLine="480"/>
      <w:jc w:val="both"/>
    </w:pPr>
    <w:rPr>
      <w:rFonts w:ascii="黑体" w:eastAsia="黑体" w:hAnsi="黑体" w:cs="楷体_GB2312"/>
      <w:sz w:val="24"/>
      <w:szCs w:val="24"/>
    </w:rPr>
  </w:style>
  <w:style w:type="paragraph" w:customStyle="1" w:styleId="a5">
    <w:name w:val="标准文件_二级条标题"/>
    <w:next w:val="af6"/>
    <w:autoRedefine/>
    <w:qFormat/>
    <w:pPr>
      <w:widowControl w:val="0"/>
      <w:numPr>
        <w:ilvl w:val="3"/>
        <w:numId w:val="1"/>
      </w:numPr>
      <w:spacing w:beforeLines="50" w:afterLines="50"/>
      <w:ind w:left="0"/>
      <w:jc w:val="both"/>
      <w:outlineLvl w:val="2"/>
    </w:pPr>
    <w:rPr>
      <w:rFonts w:ascii="黑体" w:eastAsia="黑体"/>
      <w:sz w:val="21"/>
    </w:rPr>
  </w:style>
  <w:style w:type="character" w:customStyle="1" w:styleId="Char5">
    <w:name w:val="标准文件_段 Char"/>
    <w:link w:val="af6"/>
    <w:autoRedefine/>
    <w:qFormat/>
    <w:rsid w:val="001A3CA2"/>
    <w:rPr>
      <w:rFonts w:ascii="黑体" w:eastAsia="黑体" w:hAnsi="黑体" w:cs="楷体_GB2312"/>
      <w:sz w:val="24"/>
      <w:szCs w:val="24"/>
    </w:rPr>
  </w:style>
  <w:style w:type="paragraph" w:customStyle="1" w:styleId="a1">
    <w:name w:val="标准文件_数字编号列项（二级）"/>
    <w:autoRedefine/>
    <w:pPr>
      <w:numPr>
        <w:ilvl w:val="1"/>
        <w:numId w:val="2"/>
      </w:numPr>
      <w:jc w:val="both"/>
    </w:pPr>
    <w:rPr>
      <w:rFonts w:ascii="宋体"/>
      <w:sz w:val="21"/>
    </w:rPr>
  </w:style>
  <w:style w:type="paragraph" w:customStyle="1" w:styleId="a2">
    <w:name w:val="标准文件_编号列项（三级）"/>
    <w:autoRedefine/>
    <w:pPr>
      <w:numPr>
        <w:ilvl w:val="2"/>
        <w:numId w:val="2"/>
      </w:numPr>
    </w:pPr>
    <w:rPr>
      <w:rFonts w:ascii="宋体"/>
      <w:sz w:val="21"/>
    </w:rPr>
  </w:style>
  <w:style w:type="paragraph" w:customStyle="1" w:styleId="a0">
    <w:name w:val="标准文件_字母编号列项（一级）"/>
    <w:qFormat/>
    <w:pPr>
      <w:numPr>
        <w:numId w:val="2"/>
      </w:numPr>
      <w:jc w:val="both"/>
    </w:pPr>
    <w:rPr>
      <w:rFonts w:ascii="宋体"/>
      <w:sz w:val="21"/>
    </w:rPr>
  </w:style>
  <w:style w:type="character" w:customStyle="1" w:styleId="text-value">
    <w:name w:val="text-value"/>
    <w:basedOn w:val="a7"/>
    <w:autoRedefine/>
    <w:qFormat/>
  </w:style>
  <w:style w:type="paragraph" w:customStyle="1" w:styleId="af7">
    <w:name w:val="标准文件_参考文献标题"/>
    <w:basedOn w:val="a6"/>
    <w:next w:val="a6"/>
    <w:autoRedefine/>
    <w:pPr>
      <w:widowControl/>
      <w:shd w:val="clear" w:color="FFFFFF" w:fill="FFFFFF"/>
      <w:spacing w:beforeLines="40" w:before="40" w:afterLines="50" w:after="50"/>
      <w:jc w:val="center"/>
      <w:outlineLvl w:val="0"/>
    </w:pPr>
    <w:rPr>
      <w:rFonts w:ascii="黑体" w:eastAsia="黑体" w:hAnsi="Calibri" w:cs="Times New Roman"/>
      <w:kern w:val="0"/>
      <w:szCs w:val="21"/>
    </w:rPr>
  </w:style>
  <w:style w:type="paragraph" w:customStyle="1" w:styleId="a">
    <w:name w:val="标准文件_方框数字列项"/>
    <w:basedOn w:val="af6"/>
    <w:autoRedefine/>
    <w:qFormat/>
    <w:pPr>
      <w:numPr>
        <w:numId w:val="3"/>
      </w:numPr>
      <w:ind w:firstLineChars="0" w:firstLine="0"/>
    </w:pPr>
  </w:style>
  <w:style w:type="paragraph" w:customStyle="1" w:styleId="af8">
    <w:name w:val="段"/>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4">
    <w:name w:val="标准文件_一级条标题"/>
    <w:basedOn w:val="a3"/>
    <w:next w:val="af6"/>
    <w:autoRedefine/>
    <w:qFormat/>
    <w:pPr>
      <w:numPr>
        <w:ilvl w:val="2"/>
      </w:numPr>
      <w:spacing w:beforeLines="50" w:before="50" w:afterLines="50" w:after="50"/>
      <w:outlineLvl w:val="1"/>
    </w:pPr>
  </w:style>
  <w:style w:type="paragraph" w:customStyle="1" w:styleId="a3">
    <w:name w:val="标准文件_章标题"/>
    <w:next w:val="af6"/>
    <w:qFormat/>
    <w:pPr>
      <w:numPr>
        <w:ilvl w:val="1"/>
        <w:numId w:val="1"/>
      </w:numPr>
      <w:spacing w:beforeLines="100" w:before="100" w:afterLines="100" w:after="100"/>
      <w:jc w:val="both"/>
      <w:outlineLvl w:val="0"/>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137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8B30F-4226-4DB9-93B8-BF3AD532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JonMMx 2000</cp:lastModifiedBy>
  <cp:revision>6</cp:revision>
  <cp:lastPrinted>2022-12-16T05:17:00Z</cp:lastPrinted>
  <dcterms:created xsi:type="dcterms:W3CDTF">2024-07-10T02:49:00Z</dcterms:created>
  <dcterms:modified xsi:type="dcterms:W3CDTF">2024-07-10T07:02:00Z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3A48ED11839E4BFBBB7B5399F545E5B2</vt:lpwstr>
  </property>
</Properties>
</file>