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eastAsia="zh-CN"/>
        </w:rPr>
        <w:t>石油天然气工业油气井套管或油管用铁镍基及镍基合金无缝管</w:t>
      </w:r>
      <w:r>
        <w:rPr>
          <w:rFonts w:ascii="Times New Roman" w:hAnsi="Times New Roman" w:eastAsia="黑体" w:cs="Times New Roman"/>
          <w:b/>
          <w:kern w:val="0"/>
          <w:sz w:val="36"/>
          <w:szCs w:val="36"/>
        </w:rPr>
        <w:t>》</w:t>
      </w:r>
    </w:p>
    <w:p>
      <w:pPr>
        <w:spacing w:line="72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sz w:val="28"/>
          <w:szCs w:val="28"/>
        </w:rPr>
        <w:t>浙江久立特材科技股份有限公司、冶金工业规划研究院</w:t>
      </w:r>
      <w:r>
        <w:rPr>
          <w:rFonts w:ascii="Times New Roman" w:hAnsi="Times New Roman" w:eastAsia="仿宋_GB2312" w:cs="Times New Roman"/>
          <w:sz w:val="28"/>
          <w:szCs w:val="28"/>
        </w:rPr>
        <w:t>等单位共同参与起草，计划于20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四</w:t>
      </w:r>
      <w:r>
        <w:rPr>
          <w:rFonts w:ascii="Times New Roman" w:hAnsi="Times New Roman" w:eastAsia="仿宋_GB2312" w:cs="Times New Roman"/>
          <w:sz w:val="28"/>
          <w:szCs w:val="28"/>
        </w:rPr>
        <w:t>季度前完成《</w:t>
      </w:r>
      <w:r>
        <w:rPr>
          <w:rFonts w:hint="eastAsia" w:ascii="Times New Roman" w:hAnsi="Times New Roman" w:eastAsia="仿宋_GB2312" w:cs="Times New Roman"/>
          <w:sz w:val="28"/>
          <w:szCs w:val="28"/>
          <w:lang w:eastAsia="zh-CN"/>
        </w:rPr>
        <w:t>石油天然气工业油气井套管或油管用铁镍基及镍基合金无缝管</w:t>
      </w:r>
      <w:r>
        <w:rPr>
          <w:rFonts w:ascii="Times New Roman" w:hAnsi="Times New Roman" w:eastAsia="仿宋_GB2312" w:cs="Times New Roman"/>
          <w:sz w:val="28"/>
          <w:szCs w:val="28"/>
        </w:rPr>
        <w:t>》标准的制定工作。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二、制定</w:t>
      </w:r>
      <w:r>
        <w:rPr>
          <w:rFonts w:hint="eastAsia" w:ascii="Times New Roman" w:hAnsi="Times New Roman" w:eastAsia="黑体" w:cs="Times New Roman"/>
          <w:bCs/>
        </w:rPr>
        <w:t>本文件</w:t>
      </w:r>
      <w:r>
        <w:rPr>
          <w:rFonts w:ascii="Times New Roman" w:hAnsi="Times New Roman" w:eastAsia="黑体" w:cs="Times New Roman"/>
          <w:bCs/>
        </w:rPr>
        <w:t>的目的和意义</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镍基合金油井管制造工序复杂、生产难度大、品质要求严格。合金含量极高，其中 Ni、MO、Cr 等合金含量高达 80%，一般的超级双相不锈钢中合金含量则不会超过 40%；制造工艺复杂，G3 镍基合金由于高温变形抗力大，靠穿孔工艺根本“穿不动”，只能通过在中间打孔以后一根一根“挤出来”；材料强度突出，镍基合金为单相奥氏体组织，成型之初的强度仅有 200Mpa 左右，而高酸性气田用油井管一般都要求强度在 760MPa 以上，G3 镍基合金就是通过“硬生生”的冷轧工艺极好地提高了自身的材料强度，从而满足高酸性油气田的特殊需求；抗腐蚀性能优异，在 150℃以下，无论二氧化碳和硫化氢的分压有多高，氯离子浓度有多大，G3 镍基合金油井管长期使用后仍然光亮如新；生产要求严格，井深高达 5000m 以上的天然气井，从地面到井底，每一根油套管都是通过特殊螺纹连接，而 G3 镍基合金在加工的过程中，特别容易“粘刀”极易损坏加工用刀具，加工效率不及常规钢铁产品 的 5%。另外，5000 多米的井深，通常会有 20-30°的“狗腿度”，如何保证天然气不泄漏，对特殊螺纹的密封性能也就提出了特别高的要求。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目前，在标准供给领域，</w:t>
      </w:r>
      <w:r>
        <w:rPr>
          <w:rFonts w:hint="eastAsia" w:ascii="Times New Roman" w:hAnsi="Times New Roman" w:eastAsia="仿宋_GB2312" w:cs="Times New Roman"/>
          <w:sz w:val="28"/>
          <w:szCs w:val="28"/>
          <w:lang w:eastAsia="zh-CN"/>
        </w:rPr>
        <w:t>GB/T 15007</w:t>
      </w:r>
      <w:r>
        <w:rPr>
          <w:rFonts w:hint="eastAsia" w:ascii="Times New Roman" w:hAnsi="Times New Roman" w:eastAsia="仿宋_GB2312" w:cs="Times New Roman"/>
          <w:sz w:val="28"/>
          <w:szCs w:val="28"/>
          <w:lang w:val="en-US" w:eastAsia="zh-CN"/>
        </w:rPr>
        <w:t xml:space="preserve"> 、GB/T 19830、GB/T 37614</w:t>
      </w:r>
      <w:r>
        <w:rPr>
          <w:rFonts w:hint="eastAsia" w:ascii="Times New Roman" w:hAnsi="Times New Roman" w:eastAsia="仿宋_GB2312" w:cs="Times New Roman"/>
          <w:sz w:val="28"/>
          <w:szCs w:val="28"/>
        </w:rPr>
        <w:t>为相关产品生产应用提供指导，同时不能满足专用领域使用要求。本文件的制定填补了镍基合金</w:t>
      </w:r>
      <w:bookmarkStart w:id="0" w:name="_GoBack"/>
      <w:bookmarkEnd w:id="0"/>
      <w:r>
        <w:rPr>
          <w:rFonts w:hint="eastAsia" w:ascii="Times New Roman" w:hAnsi="Times New Roman" w:eastAsia="仿宋_GB2312" w:cs="Times New Roman"/>
          <w:sz w:val="28"/>
          <w:szCs w:val="28"/>
        </w:rPr>
        <w:t>油井管标准的空白，使钢管的设计、制造和检测有标准可循。</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pPr>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4</w:t>
      </w:r>
      <w:r>
        <w:rPr>
          <w:rFonts w:hint="eastAsia" w:ascii="Times New Roman" w:hAnsi="Times New Roman" w:eastAsia="仿宋_GB2312" w:cs="Times New Roman"/>
          <w:sz w:val="28"/>
          <w:szCs w:val="28"/>
        </w:rPr>
        <w:t>月，团标委正式下达立项计划，组成了标准起草组，提出了标准编制计划和任务分工，并开始标准编制工作。</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5- 2024年3</w:t>
      </w:r>
      <w:r>
        <w:rPr>
          <w:rFonts w:ascii="Times New Roman" w:hAnsi="Times New Roman" w:eastAsia="仿宋_GB2312" w:cs="Times New Roman"/>
          <w:sz w:val="28"/>
          <w:szCs w:val="28"/>
        </w:rPr>
        <w:t>月：进行了起草标准的调研、问题分析和相关资料收集等准备工作，完成了标准制定提纲、标准草案。</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月：召开标准启动会，围绕标准草案进行了讨论，并按照与会意见和建议进行了修改</w:t>
      </w:r>
      <w:r>
        <w:rPr>
          <w:rFonts w:hint="eastAsia" w:ascii="Times New Roman" w:hAnsi="Times New Roman" w:eastAsia="仿宋_GB2312" w:cs="Times New Roman"/>
          <w:color w:val="auto"/>
          <w:sz w:val="28"/>
          <w:szCs w:val="28"/>
        </w:rPr>
        <w:t>。</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月：完成征求意见处理、形成标准送审稿</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月：完成该标准审定会和标准报批稿，上报</w:t>
      </w:r>
      <w:r>
        <w:rPr>
          <w:rFonts w:hint="eastAsia" w:ascii="Times New Roman" w:hAnsi="Times New Roman" w:eastAsia="仿宋_GB2312" w:cs="Times New Roman"/>
          <w:sz w:val="28"/>
          <w:szCs w:val="28"/>
        </w:rPr>
        <w:t>中国特钢企业协会</w:t>
      </w:r>
      <w:r>
        <w:rPr>
          <w:rFonts w:ascii="Times New Roman" w:hAnsi="Times New Roman" w:eastAsia="仿宋_GB2312" w:cs="Times New Roman"/>
          <w:sz w:val="28"/>
          <w:szCs w:val="28"/>
        </w:rPr>
        <w:t>审批</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月：完成该标准发布、实施。</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镍基合金油井管的制造技术长期以来被国外少数钢铁制造商所垄断。国外主要供应商为美国特钢、德国曼内斯曼以及日本住友。2006 年，宝钢在国内率先开展 G3 镍基合金油井管的国产化攻关工作，经过课题组成员的共同努力，产品于 2007 年 7 月首次试制成功，并于 2009 年 6 月首次在中石化普光气田成功下井，打破了该领域长期被国外厂商垄断的局面。久立“3000 吨镍基合金油井管”项目 2011 年投产后，成为了国内第二家具备镍基合金油井管生产能力的企业，目前产品市场占有率高，质量优异，具备牵头制定标准的行业影响力和技术实力。久立镍基合金管成功供货于中石化西南局元坝气田高含H2S、CO2的天然气井以及中国石化中原油田普光气田（毛坝区块、大湾区块）高含H2S、CO2天然气井。</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在油井管需求持续增加的情况下，特殊油气井开采用的镍基合金油井管随着高酸性油气田开采数量的上升，其需求量也将不断增加，未来国内该领域市场进口替代步伐也将逐步加快。</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本文件</w:t>
      </w:r>
      <w:r>
        <w:rPr>
          <w:rFonts w:ascii="Times New Roman" w:hAnsi="Times New Roman" w:eastAsia="仿宋_GB2312" w:cs="Times New Roman"/>
          <w:sz w:val="28"/>
          <w:szCs w:val="28"/>
        </w:rPr>
        <w:t>充分考虑</w:t>
      </w:r>
      <w:r>
        <w:rPr>
          <w:rFonts w:hint="eastAsia" w:ascii="Times New Roman" w:hAnsi="Times New Roman" w:eastAsia="仿宋_GB2312" w:cs="Times New Roman"/>
          <w:sz w:val="28"/>
          <w:szCs w:val="28"/>
          <w:lang w:eastAsia="zh-CN"/>
        </w:rPr>
        <w:t>石油天然气工业油气井套管或油管用铁镍基及镍基合金无缝管</w:t>
      </w:r>
      <w:r>
        <w:rPr>
          <w:rFonts w:hint="eastAsia" w:ascii="Times New Roman" w:hAnsi="Times New Roman" w:eastAsia="仿宋_GB2312" w:cs="Times New Roman"/>
          <w:sz w:val="28"/>
          <w:szCs w:val="28"/>
        </w:rPr>
        <w:t>产品</w:t>
      </w:r>
      <w:r>
        <w:rPr>
          <w:rFonts w:ascii="Times New Roman" w:hAnsi="Times New Roman" w:eastAsia="仿宋_GB2312" w:cs="Times New Roman"/>
          <w:sz w:val="28"/>
          <w:szCs w:val="28"/>
        </w:rPr>
        <w:t>的高质量需求，联合</w:t>
      </w:r>
      <w:r>
        <w:rPr>
          <w:rFonts w:hint="eastAsia" w:ascii="Times New Roman" w:hAnsi="Times New Roman" w:eastAsia="仿宋_GB2312" w:cs="Times New Roman"/>
          <w:sz w:val="28"/>
          <w:szCs w:val="28"/>
        </w:rPr>
        <w:t>下游</w:t>
      </w:r>
      <w:r>
        <w:rPr>
          <w:rFonts w:ascii="Times New Roman" w:hAnsi="Times New Roman" w:eastAsia="仿宋_GB2312" w:cs="Times New Roman"/>
          <w:sz w:val="28"/>
          <w:szCs w:val="28"/>
        </w:rPr>
        <w:t>企业协同攻关，采用标准化手段助力</w:t>
      </w:r>
      <w:r>
        <w:rPr>
          <w:rFonts w:hint="eastAsia" w:ascii="Times New Roman" w:hAnsi="Times New Roman" w:eastAsia="仿宋_GB2312" w:cs="Times New Roman"/>
          <w:sz w:val="28"/>
          <w:szCs w:val="28"/>
          <w:lang w:eastAsia="zh-CN"/>
        </w:rPr>
        <w:t>石油天然气工业油气井套管或油管用铁镍基及镍基合金无缝管</w:t>
      </w:r>
      <w:r>
        <w:rPr>
          <w:rFonts w:ascii="Times New Roman" w:hAnsi="Times New Roman" w:eastAsia="仿宋_GB2312" w:cs="Times New Roman"/>
          <w:sz w:val="28"/>
          <w:szCs w:val="28"/>
        </w:rPr>
        <w:t>高质量发展，展现</w:t>
      </w:r>
      <w:r>
        <w:rPr>
          <w:rFonts w:hint="eastAsia" w:ascii="Times New Roman" w:hAnsi="Times New Roman" w:eastAsia="仿宋_GB2312" w:cs="Times New Roman"/>
          <w:sz w:val="28"/>
          <w:szCs w:val="28"/>
        </w:rPr>
        <w:t>我国</w:t>
      </w:r>
      <w:r>
        <w:rPr>
          <w:rFonts w:hint="eastAsia" w:ascii="Times New Roman" w:hAnsi="Times New Roman" w:eastAsia="仿宋_GB2312" w:cs="Times New Roman"/>
          <w:sz w:val="28"/>
          <w:szCs w:val="28"/>
          <w:lang w:val="en-US" w:eastAsia="zh-CN"/>
        </w:rPr>
        <w:t>油井管制造用材</w:t>
      </w:r>
      <w:r>
        <w:rPr>
          <w:rFonts w:hint="eastAsia" w:ascii="Times New Roman" w:hAnsi="Times New Roman" w:eastAsia="仿宋_GB2312" w:cs="Times New Roman"/>
          <w:sz w:val="28"/>
          <w:szCs w:val="28"/>
        </w:rPr>
        <w:t>先进技术</w:t>
      </w:r>
      <w:r>
        <w:rPr>
          <w:rFonts w:ascii="Times New Roman" w:hAnsi="Times New Roman" w:eastAsia="仿宋_GB2312" w:cs="Times New Roman"/>
          <w:sz w:val="28"/>
          <w:szCs w:val="28"/>
        </w:rPr>
        <w:t>水平。</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以满足</w:t>
      </w:r>
      <w:r>
        <w:rPr>
          <w:rFonts w:hint="eastAsia" w:ascii="Times New Roman" w:hAnsi="Times New Roman" w:eastAsia="仿宋_GB2312" w:cs="Times New Roman"/>
          <w:sz w:val="28"/>
          <w:szCs w:val="28"/>
          <w:lang w:eastAsia="zh-CN"/>
        </w:rPr>
        <w:t>油井</w:t>
      </w:r>
      <w:r>
        <w:rPr>
          <w:rFonts w:hint="eastAsia" w:ascii="Times New Roman" w:hAnsi="Times New Roman" w:eastAsia="仿宋_GB2312" w:cs="Times New Roman"/>
          <w:sz w:val="28"/>
          <w:szCs w:val="28"/>
        </w:rPr>
        <w:t>行业对</w:t>
      </w:r>
      <w:r>
        <w:rPr>
          <w:rFonts w:hint="eastAsia" w:ascii="Times New Roman" w:hAnsi="Times New Roman" w:eastAsia="仿宋_GB2312" w:cs="Times New Roman"/>
          <w:sz w:val="28"/>
          <w:szCs w:val="28"/>
          <w:lang w:eastAsia="zh-CN"/>
        </w:rPr>
        <w:t>镍基合金无缝钢管</w:t>
      </w:r>
      <w:r>
        <w:rPr>
          <w:rFonts w:hint="eastAsia" w:ascii="Times New Roman" w:hAnsi="Times New Roman" w:eastAsia="仿宋_GB2312" w:cs="Times New Roman"/>
          <w:sz w:val="28"/>
          <w:szCs w:val="28"/>
        </w:rPr>
        <w:t>发展趋势要求</w:t>
      </w:r>
      <w:r>
        <w:rPr>
          <w:rFonts w:ascii="Times New Roman" w:hAnsi="Times New Roman" w:eastAsia="仿宋_GB2312" w:cs="Times New Roman"/>
          <w:sz w:val="28"/>
          <w:szCs w:val="28"/>
        </w:rPr>
        <w:t>为前提，充分提高标准的市场适应能力，填补标准领域空白；通过对下游用钢行业的研究，了解</w:t>
      </w:r>
      <w:r>
        <w:rPr>
          <w:rFonts w:hint="eastAsia" w:ascii="Times New Roman" w:hAnsi="Times New Roman" w:eastAsia="仿宋_GB2312" w:cs="Times New Roman"/>
          <w:sz w:val="28"/>
          <w:szCs w:val="28"/>
        </w:rPr>
        <w:t>产品的</w:t>
      </w:r>
      <w:r>
        <w:rPr>
          <w:rFonts w:ascii="Times New Roman" w:hAnsi="Times New Roman" w:eastAsia="仿宋_GB2312" w:cs="Times New Roman"/>
          <w:sz w:val="28"/>
          <w:szCs w:val="28"/>
        </w:rPr>
        <w:t>实际需求，确定各项技术指标，满足下游行业</w:t>
      </w:r>
      <w:r>
        <w:rPr>
          <w:rFonts w:hint="eastAsia" w:ascii="Times New Roman" w:hAnsi="Times New Roman" w:eastAsia="仿宋_GB2312" w:cs="Times New Roman"/>
          <w:sz w:val="28"/>
          <w:szCs w:val="28"/>
        </w:rPr>
        <w:t>生产需要</w:t>
      </w:r>
      <w:r>
        <w:rPr>
          <w:rFonts w:ascii="Times New Roman" w:hAnsi="Times New Roman" w:eastAsia="仿宋_GB2312" w:cs="Times New Roman"/>
          <w:sz w:val="28"/>
          <w:szCs w:val="28"/>
        </w:rPr>
        <w:t>，建立彼此之间的联系，扩大影响力。</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石油天然气工业油气井套管或油管用铁镍基及镍基合金无缝管</w:t>
      </w:r>
      <w:r>
        <w:rPr>
          <w:rFonts w:ascii="Times New Roman" w:hAnsi="Times New Roman" w:eastAsia="仿宋_GB2312" w:cs="Times New Roman"/>
          <w:sz w:val="28"/>
          <w:szCs w:val="28"/>
        </w:rPr>
        <w:t>》标准的设计与编制主要以问题与需求为导向，切实从</w:t>
      </w:r>
      <w:r>
        <w:rPr>
          <w:rFonts w:hint="eastAsia" w:ascii="Times New Roman" w:hAnsi="Times New Roman" w:eastAsia="仿宋_GB2312" w:cs="Times New Roman"/>
          <w:sz w:val="28"/>
          <w:szCs w:val="28"/>
          <w:lang w:eastAsia="zh-CN"/>
        </w:rPr>
        <w:t>油井管</w:t>
      </w:r>
      <w:r>
        <w:rPr>
          <w:rFonts w:hint="eastAsia" w:ascii="Times New Roman" w:hAnsi="Times New Roman" w:eastAsia="仿宋_GB2312" w:cs="Times New Roman"/>
          <w:sz w:val="28"/>
          <w:szCs w:val="28"/>
          <w:lang w:val="en-US" w:eastAsia="zh-CN"/>
        </w:rPr>
        <w:t>制造</w:t>
      </w:r>
      <w:r>
        <w:rPr>
          <w:rFonts w:ascii="Times New Roman" w:hAnsi="Times New Roman" w:eastAsia="仿宋_GB2312" w:cs="Times New Roman"/>
          <w:sz w:val="28"/>
          <w:szCs w:val="28"/>
        </w:rPr>
        <w:t>需要出发，进一步确定</w:t>
      </w:r>
      <w:r>
        <w:rPr>
          <w:rFonts w:hint="eastAsia" w:ascii="Times New Roman" w:hAnsi="Times New Roman" w:eastAsia="仿宋_GB2312" w:cs="Times New Roman"/>
          <w:sz w:val="28"/>
          <w:szCs w:val="28"/>
          <w:lang w:val="en-US" w:eastAsia="zh-CN"/>
        </w:rPr>
        <w:t>尺寸精度、</w:t>
      </w:r>
      <w:r>
        <w:rPr>
          <w:rFonts w:hint="eastAsia" w:ascii="Times New Roman" w:hAnsi="Times New Roman" w:eastAsia="仿宋_GB2312" w:cs="Times New Roman"/>
          <w:sz w:val="28"/>
          <w:szCs w:val="28"/>
        </w:rPr>
        <w:t>化学成分控制指标、力学性能等技术指标</w:t>
      </w:r>
      <w:r>
        <w:rPr>
          <w:rFonts w:ascii="Times New Roman" w:hAnsi="Times New Roman" w:eastAsia="仿宋_GB2312" w:cs="Times New Roman"/>
          <w:sz w:val="28"/>
          <w:szCs w:val="28"/>
        </w:rPr>
        <w:t>要求，强化细分领域标准的指导意义。通过制定满足市场创新需要，并具有科学、合理、全面、可操作性的标准，助力</w:t>
      </w:r>
      <w:r>
        <w:rPr>
          <w:rFonts w:hint="eastAsia" w:ascii="Times New Roman" w:hAnsi="Times New Roman" w:eastAsia="仿宋_GB2312" w:cs="Times New Roman"/>
          <w:sz w:val="28"/>
          <w:szCs w:val="28"/>
          <w:lang w:eastAsia="zh-CN"/>
        </w:rPr>
        <w:t>石油天然气工业油气井套管或油管用铁镍基及镍基合金无缝管</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高质量供给，提升作业</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安全性</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可靠性。</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在参考</w:t>
      </w:r>
      <w:r>
        <w:rPr>
          <w:rFonts w:hint="eastAsia" w:ascii="Times New Roman" w:hAnsi="Times New Roman" w:eastAsia="仿宋_GB2312" w:cs="Times New Roman"/>
          <w:sz w:val="28"/>
          <w:szCs w:val="28"/>
          <w:lang w:eastAsia="zh-CN"/>
        </w:rPr>
        <w:t>GB/T 15007</w:t>
      </w:r>
      <w:r>
        <w:rPr>
          <w:rFonts w:hint="eastAsia" w:ascii="Times New Roman" w:hAnsi="Times New Roman" w:eastAsia="仿宋_GB2312" w:cs="Times New Roman"/>
          <w:sz w:val="28"/>
          <w:szCs w:val="28"/>
          <w:lang w:val="en-US" w:eastAsia="zh-CN"/>
        </w:rPr>
        <w:t xml:space="preserve"> 、GB/T 19830、GB/T 37614</w:t>
      </w:r>
      <w:r>
        <w:rPr>
          <w:rFonts w:ascii="Times New Roman" w:hAnsi="Times New Roman" w:eastAsia="仿宋_GB2312" w:cs="Times New Roman"/>
          <w:sz w:val="28"/>
          <w:szCs w:val="28"/>
        </w:rPr>
        <w:t>的基础上，结合实</w:t>
      </w:r>
      <w:r>
        <w:rPr>
          <w:rFonts w:ascii="Times New Roman" w:hAnsi="Times New Roman" w:eastAsia="仿宋_GB2312" w:cs="Times New Roman"/>
          <w:sz w:val="28"/>
          <w:szCs w:val="28"/>
          <w:highlight w:val="none"/>
        </w:rPr>
        <w:t>际生产的特殊需要，对</w:t>
      </w:r>
      <w:r>
        <w:rPr>
          <w:rFonts w:hint="eastAsia" w:ascii="Times New Roman" w:hAnsi="Times New Roman" w:eastAsia="仿宋_GB2312" w:cs="Times New Roman"/>
          <w:sz w:val="28"/>
          <w:szCs w:val="28"/>
          <w:highlight w:val="none"/>
        </w:rPr>
        <w:t>各牌号钢种成分范围和性能要求</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冶炼方法、低倍组织、非金属夹杂物、晶粒度</w:t>
      </w:r>
      <w:r>
        <w:rPr>
          <w:rFonts w:hint="eastAsia" w:ascii="Times New Roman" w:hAnsi="Times New Roman" w:eastAsia="仿宋_GB2312" w:cs="Times New Roman"/>
          <w:sz w:val="28"/>
          <w:szCs w:val="28"/>
          <w:highlight w:val="none"/>
        </w:rPr>
        <w:t>等</w:t>
      </w:r>
      <w:r>
        <w:rPr>
          <w:rFonts w:ascii="Times New Roman" w:hAnsi="Times New Roman" w:eastAsia="仿宋_GB2312" w:cs="Times New Roman"/>
          <w:sz w:val="28"/>
          <w:szCs w:val="28"/>
          <w:highlight w:val="none"/>
        </w:rPr>
        <w:t>技术</w:t>
      </w:r>
      <w:r>
        <w:rPr>
          <w:rFonts w:ascii="Times New Roman" w:hAnsi="Times New Roman" w:eastAsia="仿宋_GB2312" w:cs="Times New Roman"/>
          <w:sz w:val="28"/>
          <w:szCs w:val="28"/>
        </w:rPr>
        <w:t>指标进行了</w:t>
      </w:r>
      <w:r>
        <w:rPr>
          <w:rFonts w:hint="eastAsia" w:ascii="Times New Roman" w:hAnsi="Times New Roman" w:eastAsia="仿宋_GB2312" w:cs="Times New Roman"/>
          <w:sz w:val="28"/>
          <w:szCs w:val="28"/>
          <w:lang w:val="en-US" w:eastAsia="zh-CN"/>
        </w:rPr>
        <w:t>规定</w:t>
      </w:r>
      <w:r>
        <w:rPr>
          <w:rFonts w:ascii="Times New Roman" w:hAnsi="Times New Roman" w:eastAsia="仿宋_GB2312" w:cs="Times New Roman"/>
          <w:sz w:val="28"/>
          <w:szCs w:val="28"/>
        </w:rPr>
        <w:t>，增强了原料生产制造商与下游行业的联系，使标准更具有针对性和实用性。</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包含以下部分</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　术语和定义</w:t>
      </w:r>
      <w:r>
        <w:rPr>
          <w:rFonts w:hint="eastAsia" w:ascii="Times New Roman" w:hAnsi="Times New Roman" w:eastAsia="仿宋_GB2312" w:cs="Times New Roman"/>
          <w:sz w:val="28"/>
          <w:szCs w:val="28"/>
        </w:rPr>
        <w:tab/>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　订货内容</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　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　试验方法</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　检验规则</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　包装、标志及质量证明书</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标准技术内容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本文件规定了石油天然气工业油气井套管或油管用铁镍基及镍基合金无缝管的订货内容、尺寸、外形、重量及允许偏差、技术要求、试验方法、检验规则、包装、标志和质量证明书。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本文件适用于H2S分压大于0.0003MPa的服役条件下石油天然气工业油气井套管或油管用铁镍基及镍基合金无缝管（以下简称“管材”），也适用于与合金管配套使用的接箍坯料、接箍材料、短节和附件材料等。</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按</w:t>
      </w:r>
      <w:r>
        <w:rPr>
          <w:rFonts w:hint="eastAsia" w:ascii="Times New Roman" w:hAnsi="Times New Roman" w:eastAsia="仿宋_GB2312" w:cs="Times New Roman"/>
          <w:sz w:val="28"/>
          <w:szCs w:val="28"/>
        </w:rPr>
        <w:t>GB/T 1.1-2020《标准化工作导则 第1部分：标准化文件的结构和起草规则》</w:t>
      </w:r>
      <w:r>
        <w:rPr>
          <w:rFonts w:ascii="Times New Roman" w:hAnsi="Times New Roman" w:eastAsia="仿宋_GB2312" w:cs="Times New Roman"/>
          <w:sz w:val="28"/>
          <w:szCs w:val="28"/>
        </w:rPr>
        <w:t>的有关规定。</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GB/T 19830-2017 </w:t>
      </w:r>
      <w:r>
        <w:rPr>
          <w:rFonts w:hint="eastAsia" w:ascii="Times New Roman" w:hAnsi="Times New Roman" w:eastAsia="仿宋_GB2312" w:cs="Times New Roman"/>
          <w:sz w:val="28"/>
          <w:szCs w:val="28"/>
          <w:lang w:val="en-US" w:eastAsia="zh-CN"/>
        </w:rPr>
        <w:t>界定</w:t>
      </w:r>
      <w:r>
        <w:rPr>
          <w:rFonts w:hint="eastAsia" w:ascii="Times New Roman" w:hAnsi="Times New Roman" w:eastAsia="仿宋_GB2312" w:cs="Times New Roman"/>
          <w:sz w:val="28"/>
          <w:szCs w:val="28"/>
        </w:rPr>
        <w:t>的术语和定义适用于本文件。</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 xml:space="preserve">4. </w:t>
      </w:r>
      <w:r>
        <w:rPr>
          <w:rFonts w:hint="eastAsia" w:ascii="Times New Roman" w:hAnsi="Times New Roman" w:eastAsia="仿宋_GB2312" w:cs="Times New Roman"/>
          <w:sz w:val="28"/>
          <w:szCs w:val="28"/>
          <w:highlight w:val="none"/>
          <w:lang w:val="en-US" w:eastAsia="zh-CN"/>
        </w:rPr>
        <w:t>分类及代号</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 xml:space="preserve">5. </w:t>
      </w:r>
      <w:r>
        <w:rPr>
          <w:rFonts w:ascii="Times New Roman" w:hAnsi="Times New Roman" w:eastAsia="仿宋_GB2312" w:cs="Times New Roman"/>
          <w:sz w:val="28"/>
          <w:szCs w:val="28"/>
          <w:highlight w:val="none"/>
        </w:rPr>
        <w:t>订货内容</w:t>
      </w:r>
    </w:p>
    <w:p>
      <w:pPr>
        <w:spacing w:line="560" w:lineRule="exact"/>
        <w:ind w:firstLine="560"/>
        <w:contextualSpacing/>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本章节对订货的合同或订单内容提出要求，应包含：</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a)</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本文件编号；</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b)</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产品名称；</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c)</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材料牌号和钢级；</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d)</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尺寸规格；</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e)</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订货重量或数量；</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f)</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交货状态；</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其他特殊要求。</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w:t>
      </w:r>
      <w:r>
        <w:rPr>
          <w:rFonts w:ascii="Times New Roman" w:hAnsi="Times New Roman" w:eastAsia="仿宋_GB2312" w:cs="Times New Roman"/>
          <w:sz w:val="28"/>
          <w:szCs w:val="28"/>
          <w:highlight w:val="none"/>
        </w:rPr>
        <w:t>. 尺寸、外形、重量</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外径、壁厚和重量</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随着钢管制造和检验能力的大幅度提高，钢管制造企业有能力生产性能更加优良的钢管，本章节参照规定“钢管的尺寸、外形、重量及允许偏差应符合GB/T19830的规定</w:t>
      </w:r>
      <w:r>
        <w:rPr>
          <w:rFonts w:hint="eastAsia" w:ascii="Times New Roman" w:hAnsi="Times New Roman" w:eastAsia="仿宋_GB2312" w:cs="Times New Roman"/>
          <w:sz w:val="28"/>
          <w:szCs w:val="28"/>
          <w:highlight w:val="none"/>
          <w:lang w:val="en-US" w:eastAsia="zh-CN"/>
        </w:rPr>
        <w:t>细化了不同管径产品外径、壁厚允许偏差及重量要求。</w:t>
      </w:r>
    </w:p>
    <w:tbl>
      <w:tblPr>
        <w:tblStyle w:val="14"/>
        <w:tblW w:w="4999" w:type="pct"/>
        <w:jc w:val="center"/>
        <w:tblLayout w:type="autofit"/>
        <w:tblCellMar>
          <w:top w:w="0" w:type="dxa"/>
          <w:left w:w="108" w:type="dxa"/>
          <w:bottom w:w="0" w:type="dxa"/>
          <w:right w:w="108" w:type="dxa"/>
        </w:tblCellMar>
      </w:tblPr>
      <w:tblGrid>
        <w:gridCol w:w="1181"/>
        <w:gridCol w:w="1116"/>
        <w:gridCol w:w="1116"/>
        <w:gridCol w:w="1165"/>
        <w:gridCol w:w="1092"/>
        <w:gridCol w:w="1388"/>
        <w:gridCol w:w="1462"/>
      </w:tblGrid>
      <w:tr>
        <w:tblPrEx>
          <w:tblCellMar>
            <w:top w:w="0" w:type="dxa"/>
            <w:left w:w="108" w:type="dxa"/>
            <w:bottom w:w="0" w:type="dxa"/>
            <w:right w:w="108" w:type="dxa"/>
          </w:tblCellMar>
        </w:tblPrEx>
        <w:trPr>
          <w:trHeight w:val="280" w:hRule="atLeast"/>
          <w:jc w:val="center"/>
        </w:trPr>
        <w:tc>
          <w:tcPr>
            <w:tcW w:w="69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外径 D/mm</w:t>
            </w:r>
          </w:p>
        </w:tc>
        <w:tc>
          <w:tcPr>
            <w:tcW w:w="4300" w:type="pct"/>
            <w:gridSpan w:val="6"/>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偏差</w:t>
            </w:r>
          </w:p>
        </w:tc>
      </w:tr>
      <w:tr>
        <w:tblPrEx>
          <w:tblCellMar>
            <w:top w:w="0" w:type="dxa"/>
            <w:left w:w="108" w:type="dxa"/>
            <w:bottom w:w="0" w:type="dxa"/>
            <w:right w:w="108" w:type="dxa"/>
          </w:tblCellMar>
        </w:tblPrEx>
        <w:trPr>
          <w:trHeight w:val="280" w:hRule="atLeast"/>
          <w:jc w:val="center"/>
        </w:trPr>
        <w:tc>
          <w:tcPr>
            <w:tcW w:w="69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283" w:type="pct"/>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外径a/mm</w:t>
            </w:r>
          </w:p>
        </w:tc>
        <w:tc>
          <w:tcPr>
            <w:tcW w:w="1335" w:type="pct"/>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壁厚/mm</w:t>
            </w:r>
          </w:p>
        </w:tc>
        <w:tc>
          <w:tcPr>
            <w:tcW w:w="1681" w:type="pct"/>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重量b/kg</w:t>
            </w:r>
          </w:p>
        </w:tc>
      </w:tr>
      <w:tr>
        <w:tblPrEx>
          <w:tblCellMar>
            <w:top w:w="0" w:type="dxa"/>
            <w:left w:w="108" w:type="dxa"/>
            <w:bottom w:w="0" w:type="dxa"/>
            <w:right w:w="108" w:type="dxa"/>
          </w:tblCellMar>
        </w:tblPrEx>
        <w:trPr>
          <w:trHeight w:val="280" w:hRule="atLeast"/>
          <w:jc w:val="center"/>
        </w:trPr>
        <w:tc>
          <w:tcPr>
            <w:tcW w:w="69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5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SA</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689"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SA</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SA</w:t>
            </w:r>
          </w:p>
        </w:tc>
        <w:tc>
          <w:tcPr>
            <w:tcW w:w="8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r>
      <w:tr>
        <w:tblPrEx>
          <w:tblCellMar>
            <w:top w:w="0" w:type="dxa"/>
            <w:left w:w="108" w:type="dxa"/>
            <w:bottom w:w="0" w:type="dxa"/>
            <w:right w:w="108" w:type="dxa"/>
          </w:tblCellMar>
        </w:tblPrEx>
        <w:trPr>
          <w:trHeight w:val="640" w:hRule="atLeast"/>
          <w:jc w:val="center"/>
        </w:trPr>
        <w:tc>
          <w:tcPr>
            <w:tcW w:w="699"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＜114.3</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±0.79</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±0.79</w:t>
            </w:r>
          </w:p>
        </w:tc>
        <w:tc>
          <w:tcPr>
            <w:tcW w:w="689" w:type="pct"/>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≥-12.5%S</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≥-10%S</w:t>
            </w:r>
          </w:p>
        </w:tc>
        <w:tc>
          <w:tcPr>
            <w:tcW w:w="1681" w:type="pct"/>
            <w:gridSpan w:val="2"/>
            <w:vMerge w:val="restart"/>
            <w:tcBorders>
              <w:top w:val="single" w:color="000000" w:sz="4" w:space="0"/>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-3.5%w～+6.5%w</w:t>
            </w:r>
          </w:p>
        </w:tc>
      </w:tr>
      <w:tr>
        <w:tblPrEx>
          <w:tblCellMar>
            <w:top w:w="0" w:type="dxa"/>
            <w:left w:w="108" w:type="dxa"/>
            <w:bottom w:w="0" w:type="dxa"/>
            <w:right w:w="108" w:type="dxa"/>
          </w:tblCellMar>
        </w:tblPrEx>
        <w:trPr>
          <w:trHeight w:val="620" w:hRule="atLeast"/>
          <w:jc w:val="center"/>
        </w:trPr>
        <w:tc>
          <w:tcPr>
            <w:tcW w:w="699"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≥114.3</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-0.5～+1%D</w:t>
            </w:r>
          </w:p>
        </w:tc>
        <w:tc>
          <w:tcPr>
            <w:tcW w:w="62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-0.5～+1%D</w:t>
            </w:r>
          </w:p>
        </w:tc>
        <w:tc>
          <w:tcPr>
            <w:tcW w:w="689"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≥-12.5%S</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≥-10%S</w:t>
            </w:r>
          </w:p>
        </w:tc>
        <w:tc>
          <w:tcPr>
            <w:tcW w:w="1681" w:type="pct"/>
            <w:gridSpan w:val="2"/>
            <w:vMerge w:val="continue"/>
            <w:tcBorders>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r>
      <w:tr>
        <w:tblPrEx>
          <w:tblCellMar>
            <w:top w:w="0" w:type="dxa"/>
            <w:left w:w="108" w:type="dxa"/>
            <w:bottom w:w="0" w:type="dxa"/>
            <w:right w:w="108" w:type="dxa"/>
          </w:tblCellMar>
        </w:tblPrEx>
        <w:trPr>
          <w:trHeight w:val="28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left"/>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a 不圆度包含在外径公差中。</w:t>
            </w:r>
          </w:p>
        </w:tc>
      </w:tr>
      <w:tr>
        <w:tblPrEx>
          <w:tblCellMar>
            <w:top w:w="0" w:type="dxa"/>
            <w:left w:w="108" w:type="dxa"/>
            <w:bottom w:w="0" w:type="dxa"/>
            <w:right w:w="108" w:type="dxa"/>
          </w:tblCellMar>
        </w:tblPrEx>
        <w:trPr>
          <w:trHeight w:val="28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left"/>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b 指单根管的重量偏差。订单中每18吨的偏差不超过-1.75%。w为单根管材理论重量。</w:t>
            </w:r>
          </w:p>
        </w:tc>
      </w:tr>
    </w:tbl>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2长度</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参照</w:t>
      </w:r>
      <w:r>
        <w:rPr>
          <w:rFonts w:hint="eastAsia" w:ascii="Times New Roman" w:hAnsi="Times New Roman" w:eastAsia="仿宋_GB2312" w:cs="Times New Roman"/>
          <w:sz w:val="28"/>
          <w:szCs w:val="28"/>
          <w:highlight w:val="none"/>
        </w:rPr>
        <w:t>GB/T19830</w:t>
      </w:r>
      <w:r>
        <w:rPr>
          <w:rFonts w:hint="eastAsia" w:ascii="Times New Roman" w:hAnsi="Times New Roman" w:eastAsia="仿宋_GB2312" w:cs="Times New Roman"/>
          <w:sz w:val="28"/>
          <w:szCs w:val="28"/>
          <w:highlight w:val="none"/>
          <w:lang w:val="en-US" w:eastAsia="zh-CN"/>
        </w:rPr>
        <w:t>附录 C27分套管、油管、短节给出长度规定，并规定定尺偏差和倍尺长度切口余量。</w:t>
      </w:r>
    </w:p>
    <w:tbl>
      <w:tblPr>
        <w:tblStyle w:val="14"/>
        <w:tblW w:w="8959" w:type="dxa"/>
        <w:jc w:val="center"/>
        <w:tblLayout w:type="fixed"/>
        <w:tblCellMar>
          <w:top w:w="0" w:type="dxa"/>
          <w:left w:w="108" w:type="dxa"/>
          <w:bottom w:w="0" w:type="dxa"/>
          <w:right w:w="108" w:type="dxa"/>
        </w:tblCellMar>
      </w:tblPr>
      <w:tblGrid>
        <w:gridCol w:w="1817"/>
        <w:gridCol w:w="1998"/>
        <w:gridCol w:w="1634"/>
        <w:gridCol w:w="1773"/>
        <w:gridCol w:w="1737"/>
      </w:tblGrid>
      <w:tr>
        <w:tblPrEx>
          <w:tblCellMar>
            <w:top w:w="0" w:type="dxa"/>
            <w:left w:w="108" w:type="dxa"/>
            <w:bottom w:w="0" w:type="dxa"/>
            <w:right w:w="108" w:type="dxa"/>
          </w:tblCellMar>
        </w:tblPrEx>
        <w:trPr>
          <w:trHeight w:val="280"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管材</w:t>
            </w:r>
          </w:p>
        </w:tc>
        <w:tc>
          <w:tcPr>
            <w:tcW w:w="1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范围1（R1）</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范围2（R2）</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范围3（R3）</w:t>
            </w:r>
          </w:p>
        </w:tc>
      </w:tr>
      <w:tr>
        <w:tblPrEx>
          <w:tblCellMar>
            <w:top w:w="0" w:type="dxa"/>
            <w:left w:w="108" w:type="dxa"/>
            <w:bottom w:w="0" w:type="dxa"/>
            <w:right w:w="108" w:type="dxa"/>
          </w:tblCellMar>
        </w:tblPrEx>
        <w:trPr>
          <w:trHeight w:val="280" w:hRule="atLeast"/>
          <w:jc w:val="center"/>
        </w:trPr>
        <w:tc>
          <w:tcPr>
            <w:tcW w:w="18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套管和油管</w:t>
            </w:r>
          </w:p>
        </w:tc>
        <w:tc>
          <w:tcPr>
            <w:tcW w:w="199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总长度范围</w:t>
            </w:r>
          </w:p>
        </w:tc>
        <w:tc>
          <w:tcPr>
            <w:tcW w:w="163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4.88～7.62</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7.62～10.36</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10.36～14.63</w:t>
            </w:r>
          </w:p>
        </w:tc>
      </w:tr>
      <w:tr>
        <w:tblPrEx>
          <w:tblCellMar>
            <w:top w:w="0" w:type="dxa"/>
            <w:left w:w="108" w:type="dxa"/>
            <w:bottom w:w="0" w:type="dxa"/>
            <w:right w:w="108" w:type="dxa"/>
          </w:tblCellMar>
        </w:tblPrEx>
        <w:trPr>
          <w:trHeight w:val="1040" w:hRule="atLeast"/>
          <w:jc w:val="center"/>
        </w:trPr>
        <w:tc>
          <w:tcPr>
            <w:tcW w:w="181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998"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每18吨管材，长度最大允许变化量</w:t>
            </w:r>
          </w:p>
        </w:tc>
        <w:tc>
          <w:tcPr>
            <w:tcW w:w="5144" w:type="dxa"/>
            <w:gridSpan w:val="3"/>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1.52</w:t>
            </w:r>
          </w:p>
        </w:tc>
      </w:tr>
      <w:tr>
        <w:tblPrEx>
          <w:tblCellMar>
            <w:top w:w="0" w:type="dxa"/>
            <w:left w:w="108" w:type="dxa"/>
            <w:bottom w:w="0" w:type="dxa"/>
            <w:right w:w="108" w:type="dxa"/>
          </w:tblCellMar>
        </w:tblPrEx>
        <w:trPr>
          <w:trHeight w:val="450" w:hRule="atLeast"/>
          <w:jc w:val="center"/>
        </w:trPr>
        <w:tc>
          <w:tcPr>
            <w:tcW w:w="18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短节</w:t>
            </w:r>
          </w:p>
        </w:tc>
        <w:tc>
          <w:tcPr>
            <w:tcW w:w="199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长度a</w:t>
            </w:r>
          </w:p>
        </w:tc>
        <w:tc>
          <w:tcPr>
            <w:tcW w:w="5144" w:type="dxa"/>
            <w:gridSpan w:val="3"/>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0.61、0.91、1.22、1.83、2.44、3.05、3.66</w:t>
            </w:r>
          </w:p>
        </w:tc>
      </w:tr>
      <w:tr>
        <w:tblPrEx>
          <w:tblCellMar>
            <w:top w:w="0" w:type="dxa"/>
            <w:left w:w="108" w:type="dxa"/>
            <w:bottom w:w="0" w:type="dxa"/>
            <w:right w:w="108" w:type="dxa"/>
          </w:tblCellMar>
        </w:tblPrEx>
        <w:trPr>
          <w:trHeight w:val="422" w:hRule="atLeast"/>
          <w:jc w:val="center"/>
        </w:trPr>
        <w:tc>
          <w:tcPr>
            <w:tcW w:w="181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199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公差</w:t>
            </w:r>
          </w:p>
        </w:tc>
        <w:tc>
          <w:tcPr>
            <w:tcW w:w="5144" w:type="dxa"/>
            <w:gridSpan w:val="3"/>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±0.076</w:t>
            </w:r>
          </w:p>
        </w:tc>
      </w:tr>
      <w:tr>
        <w:tblPrEx>
          <w:tblCellMar>
            <w:top w:w="0" w:type="dxa"/>
            <w:left w:w="108" w:type="dxa"/>
            <w:bottom w:w="0" w:type="dxa"/>
            <w:right w:w="108" w:type="dxa"/>
          </w:tblCellMar>
        </w:tblPrEx>
        <w:trPr>
          <w:trHeight w:val="412" w:hRule="atLeast"/>
          <w:jc w:val="center"/>
        </w:trPr>
        <w:tc>
          <w:tcPr>
            <w:tcW w:w="3815"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接箍毛坯</w:t>
            </w:r>
          </w:p>
        </w:tc>
        <w:tc>
          <w:tcPr>
            <w:tcW w:w="5144" w:type="dxa"/>
            <w:gridSpan w:val="3"/>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按协议</w:t>
            </w:r>
          </w:p>
        </w:tc>
      </w:tr>
      <w:tr>
        <w:tblPrEx>
          <w:tblCellMar>
            <w:top w:w="0" w:type="dxa"/>
            <w:left w:w="108" w:type="dxa"/>
            <w:bottom w:w="0" w:type="dxa"/>
            <w:right w:w="108" w:type="dxa"/>
          </w:tblCellMar>
        </w:tblPrEx>
        <w:trPr>
          <w:trHeight w:val="440" w:hRule="atLeast"/>
          <w:jc w:val="center"/>
        </w:trPr>
        <w:tc>
          <w:tcPr>
            <w:tcW w:w="8959" w:type="dxa"/>
            <w:gridSpan w:val="5"/>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a 经供需双方协商，0.91的短节可代替0.61供货，也可供应表2以外尺寸的短节。</w:t>
            </w:r>
          </w:p>
        </w:tc>
      </w:tr>
    </w:tbl>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 xml:space="preserve">.3 </w:t>
      </w:r>
      <w:r>
        <w:rPr>
          <w:rFonts w:hint="eastAsia" w:ascii="Times New Roman" w:hAnsi="Times New Roman" w:eastAsia="仿宋_GB2312" w:cs="Times New Roman"/>
          <w:sz w:val="28"/>
          <w:szCs w:val="28"/>
          <w:highlight w:val="none"/>
          <w:lang w:val="en-US" w:eastAsia="zh-CN"/>
        </w:rPr>
        <w:t>弯曲度</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参照GB/T19830</w:t>
      </w:r>
      <w:r>
        <w:rPr>
          <w:rFonts w:hint="eastAsia" w:ascii="Times New Roman" w:hAnsi="Times New Roman" w:eastAsia="仿宋_GB2312" w:cs="Times New Roman"/>
          <w:sz w:val="28"/>
          <w:szCs w:val="28"/>
          <w:highlight w:val="none"/>
          <w:lang w:val="en-US" w:eastAsia="zh-CN"/>
        </w:rPr>
        <w:t>直度</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每端弯曲度要求覆盖修改为1.52m。</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6</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4通径</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参照</w:t>
      </w:r>
      <w:r>
        <w:rPr>
          <w:rFonts w:hint="eastAsia" w:ascii="Times New Roman" w:hAnsi="Times New Roman" w:eastAsia="仿宋_GB2312" w:cs="Times New Roman"/>
          <w:sz w:val="28"/>
          <w:szCs w:val="28"/>
          <w:highlight w:val="none"/>
        </w:rPr>
        <w:t>GB/T19830</w:t>
      </w:r>
      <w:r>
        <w:rPr>
          <w:rFonts w:hint="eastAsia" w:ascii="Times New Roman" w:hAnsi="Times New Roman" w:eastAsia="仿宋_GB2312" w:cs="Times New Roman"/>
          <w:sz w:val="28"/>
          <w:szCs w:val="28"/>
          <w:highlight w:val="none"/>
          <w:lang w:val="en-US" w:eastAsia="zh-CN"/>
        </w:rPr>
        <w:t>附录 C28指标。</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技术要求</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 xml:space="preserve"> 牌号及化学成分</w:t>
      </w:r>
    </w:p>
    <w:p>
      <w:pPr>
        <w:spacing w:line="560" w:lineRule="exact"/>
        <w:ind w:firstLine="560"/>
        <w:contextualSpacing/>
        <w:rPr>
          <w:rFonts w:hint="default" w:ascii="Times New Roman" w:hAnsi="Times New Roman" w:eastAsia="仿宋_GB2312" w:cs="Times New Roman"/>
          <w:sz w:val="28"/>
          <w:szCs w:val="28"/>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28"/>
          <w:szCs w:val="28"/>
          <w:highlight w:val="none"/>
          <w:lang w:val="en-US" w:eastAsia="zh-CN"/>
        </w:rPr>
        <w:t>本章节参考GB/T 15007 选取常用油井管用合金牌号，加严S指标，调整部分指标，满足客户采购需要。</w:t>
      </w:r>
    </w:p>
    <w:p>
      <w:pPr>
        <w:spacing w:line="560" w:lineRule="exact"/>
        <w:ind w:firstLine="560"/>
        <w:contextualSpacing/>
        <w:rPr>
          <w:rFonts w:hint="eastAsia" w:ascii="Times New Roman" w:hAnsi="Times New Roman" w:eastAsia="仿宋_GB2312" w:cs="Times New Roman"/>
          <w:sz w:val="28"/>
          <w:szCs w:val="28"/>
          <w:highlight w:val="none"/>
        </w:rPr>
      </w:pPr>
    </w:p>
    <w:tbl>
      <w:tblPr>
        <w:tblStyle w:val="14"/>
        <w:tblW w:w="155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4"/>
        <w:gridCol w:w="839"/>
        <w:gridCol w:w="839"/>
        <w:gridCol w:w="839"/>
        <w:gridCol w:w="865"/>
        <w:gridCol w:w="820"/>
        <w:gridCol w:w="820"/>
        <w:gridCol w:w="840"/>
        <w:gridCol w:w="785"/>
        <w:gridCol w:w="567"/>
        <w:gridCol w:w="709"/>
        <w:gridCol w:w="850"/>
        <w:gridCol w:w="851"/>
        <w:gridCol w:w="850"/>
        <w:gridCol w:w="709"/>
        <w:gridCol w:w="719"/>
        <w:gridCol w:w="691"/>
        <w:gridCol w:w="709"/>
        <w:gridCol w:w="915"/>
        <w:gridCol w:w="15"/>
        <w:gridCol w:w="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2" w:hRule="atLeast"/>
          <w:tblHeader/>
          <w:jc w:val="center"/>
        </w:trPr>
        <w:tc>
          <w:tcPr>
            <w:tcW w:w="364" w:type="dxa"/>
            <w:vMerge w:val="restart"/>
            <w:tcBorders>
              <w:top w:val="single" w:color="auto" w:sz="12" w:space="0"/>
              <w:bottom w:val="single" w:color="auto" w:sz="6"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序号</w:t>
            </w:r>
          </w:p>
        </w:tc>
        <w:tc>
          <w:tcPr>
            <w:tcW w:w="839" w:type="dxa"/>
            <w:vMerge w:val="restart"/>
            <w:tcBorders>
              <w:top w:val="single" w:color="auto" w:sz="12"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组别</w:t>
            </w:r>
          </w:p>
        </w:tc>
        <w:tc>
          <w:tcPr>
            <w:tcW w:w="839" w:type="dxa"/>
            <w:vMerge w:val="restart"/>
            <w:tcBorders>
              <w:top w:val="single" w:color="auto" w:sz="12" w:space="0"/>
              <w:bottom w:val="single" w:color="auto" w:sz="6"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统一数字代号</w:t>
            </w:r>
          </w:p>
        </w:tc>
        <w:tc>
          <w:tcPr>
            <w:tcW w:w="839" w:type="dxa"/>
            <w:vMerge w:val="restart"/>
            <w:tcBorders>
              <w:top w:val="single" w:color="auto" w:sz="12" w:space="0"/>
              <w:bottom w:val="single" w:color="auto" w:sz="6"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牌号</w:t>
            </w:r>
          </w:p>
        </w:tc>
        <w:tc>
          <w:tcPr>
            <w:tcW w:w="12681" w:type="dxa"/>
            <w:gridSpan w:val="17"/>
            <w:tcBorders>
              <w:top w:val="single" w:color="auto" w:sz="12" w:space="0"/>
              <w:bottom w:val="single" w:color="auto" w:sz="6"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化学成分（质量分数）/%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 w:hRule="atLeast"/>
          <w:tblHeader/>
          <w:jc w:val="center"/>
        </w:trPr>
        <w:tc>
          <w:tcPr>
            <w:tcW w:w="364" w:type="dxa"/>
            <w:vMerge w:val="continue"/>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vMerge w:val="continue"/>
            <w:tcBorders>
              <w:bottom w:val="single" w:color="auto" w:sz="12" w:space="0"/>
            </w:tcBorders>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vMerge w:val="continue"/>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vMerge w:val="continue"/>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65"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w:t>
            </w:r>
          </w:p>
        </w:tc>
        <w:tc>
          <w:tcPr>
            <w:tcW w:w="820"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Cr</w:t>
            </w:r>
          </w:p>
        </w:tc>
        <w:tc>
          <w:tcPr>
            <w:tcW w:w="820"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Ni</w:t>
            </w:r>
          </w:p>
        </w:tc>
        <w:tc>
          <w:tcPr>
            <w:tcW w:w="840"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Fe</w:t>
            </w:r>
          </w:p>
        </w:tc>
        <w:tc>
          <w:tcPr>
            <w:tcW w:w="785"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Mo</w:t>
            </w:r>
          </w:p>
        </w:tc>
        <w:tc>
          <w:tcPr>
            <w:tcW w:w="567" w:type="dxa"/>
            <w:tcBorders>
              <w:top w:val="single" w:color="auto" w:sz="6" w:space="0"/>
              <w:bottom w:val="single" w:color="auto" w:sz="12" w:space="0"/>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w:t>
            </w:r>
          </w:p>
        </w:tc>
        <w:tc>
          <w:tcPr>
            <w:tcW w:w="709" w:type="dxa"/>
            <w:tcBorders>
              <w:top w:val="single" w:color="auto" w:sz="6" w:space="0"/>
              <w:left w:val="single" w:color="auto" w:sz="4"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Cu</w:t>
            </w:r>
          </w:p>
        </w:tc>
        <w:tc>
          <w:tcPr>
            <w:tcW w:w="850"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Al</w:t>
            </w:r>
          </w:p>
        </w:tc>
        <w:tc>
          <w:tcPr>
            <w:tcW w:w="851"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Ti</w:t>
            </w:r>
          </w:p>
        </w:tc>
        <w:tc>
          <w:tcPr>
            <w:tcW w:w="850"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Nb</w:t>
            </w:r>
          </w:p>
        </w:tc>
        <w:tc>
          <w:tcPr>
            <w:tcW w:w="709" w:type="dxa"/>
            <w:tcBorders>
              <w:top w:val="single" w:color="auto" w:sz="6" w:space="0"/>
              <w:bottom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Co</w:t>
            </w:r>
          </w:p>
        </w:tc>
        <w:tc>
          <w:tcPr>
            <w:tcW w:w="719" w:type="dxa"/>
            <w:tcBorders>
              <w:top w:val="single" w:color="auto" w:sz="6" w:space="0"/>
              <w:bottom w:val="single" w:color="auto" w:sz="12" w:space="0"/>
              <w:right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Si</w:t>
            </w:r>
          </w:p>
        </w:tc>
        <w:tc>
          <w:tcPr>
            <w:tcW w:w="691" w:type="dxa"/>
            <w:tcBorders>
              <w:left w:val="single" w:color="auto" w:sz="12"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Mn</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P</w:t>
            </w:r>
          </w:p>
        </w:tc>
        <w:tc>
          <w:tcPr>
            <w:tcW w:w="930" w:type="dxa"/>
            <w:gridSpan w:val="2"/>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S</w:t>
            </w:r>
          </w:p>
        </w:tc>
        <w:tc>
          <w:tcPr>
            <w:tcW w:w="966"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839" w:type="dxa"/>
            <w:vMerge w:val="restart"/>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H08028</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NS1404</w:t>
            </w:r>
          </w:p>
        </w:tc>
        <w:tc>
          <w:tcPr>
            <w:tcW w:w="86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≤0.030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26.0～28.0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30.0～32.5</w:t>
            </w:r>
          </w:p>
        </w:tc>
        <w:tc>
          <w:tcPr>
            <w:tcW w:w="84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余量</w:t>
            </w:r>
          </w:p>
        </w:tc>
        <w:tc>
          <w:tcPr>
            <w:tcW w:w="78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3.0～4.0</w:t>
            </w:r>
          </w:p>
        </w:tc>
        <w:tc>
          <w:tcPr>
            <w:tcW w:w="567"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0.6～1.4</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1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69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≤2.50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≤0.030</w:t>
            </w:r>
          </w:p>
        </w:tc>
        <w:tc>
          <w:tcPr>
            <w:tcW w:w="930" w:type="dxa"/>
            <w:gridSpan w:val="2"/>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≤0.015</w:t>
            </w:r>
          </w:p>
        </w:tc>
        <w:tc>
          <w:tcPr>
            <w:tcW w:w="966"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839" w:type="dxa"/>
            <w:vMerge w:val="continue"/>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H08535</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NS1405</w:t>
            </w:r>
          </w:p>
        </w:tc>
        <w:tc>
          <w:tcPr>
            <w:tcW w:w="86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≤0.030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24.0～27.0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30.0～36.5</w:t>
            </w:r>
          </w:p>
        </w:tc>
        <w:tc>
          <w:tcPr>
            <w:tcW w:w="84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余量</w:t>
            </w:r>
          </w:p>
        </w:tc>
        <w:tc>
          <w:tcPr>
            <w:tcW w:w="78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2.5～4.0</w:t>
            </w:r>
          </w:p>
        </w:tc>
        <w:tc>
          <w:tcPr>
            <w:tcW w:w="567"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≤1.50</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1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≤0.50</w:t>
            </w:r>
          </w:p>
        </w:tc>
        <w:tc>
          <w:tcPr>
            <w:tcW w:w="69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≤0.030</w:t>
            </w:r>
          </w:p>
        </w:tc>
        <w:tc>
          <w:tcPr>
            <w:tcW w:w="930" w:type="dxa"/>
            <w:gridSpan w:val="2"/>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≤0.015</w:t>
            </w:r>
          </w:p>
        </w:tc>
        <w:tc>
          <w:tcPr>
            <w:tcW w:w="966"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spacing w:line="260" w:lineRule="exact"/>
              <w:ind w:firstLine="0" w:firstLineChars="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839" w:type="dxa"/>
            <w:vMerge w:val="restart"/>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H08825</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NS1402</w:t>
            </w:r>
          </w:p>
        </w:tc>
        <w:tc>
          <w:tcPr>
            <w:tcW w:w="86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≤0.05</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19.5～23.5</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38.0～46.0</w:t>
            </w:r>
          </w:p>
        </w:tc>
        <w:tc>
          <w:tcPr>
            <w:tcW w:w="84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≥22.0</w:t>
            </w:r>
          </w:p>
        </w:tc>
        <w:tc>
          <w:tcPr>
            <w:tcW w:w="78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2.5～3.5</w:t>
            </w:r>
          </w:p>
        </w:tc>
        <w:tc>
          <w:tcPr>
            <w:tcW w:w="567"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1.5～3.0</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≤0.20</w:t>
            </w:r>
          </w:p>
        </w:tc>
        <w:tc>
          <w:tcPr>
            <w:tcW w:w="85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0.60～1.20</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1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≤0.50</w:t>
            </w:r>
          </w:p>
        </w:tc>
        <w:tc>
          <w:tcPr>
            <w:tcW w:w="69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≤0.030</w:t>
            </w:r>
          </w:p>
        </w:tc>
        <w:tc>
          <w:tcPr>
            <w:tcW w:w="930" w:type="dxa"/>
            <w:gridSpan w:val="2"/>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≤0.015</w:t>
            </w:r>
          </w:p>
        </w:tc>
        <w:tc>
          <w:tcPr>
            <w:tcW w:w="966"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839" w:type="dxa"/>
            <w:vMerge w:val="continue"/>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H06985</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NS3403</w:t>
            </w:r>
          </w:p>
        </w:tc>
        <w:tc>
          <w:tcPr>
            <w:tcW w:w="86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≤0.015</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21.0～23.5</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余量</w:t>
            </w:r>
          </w:p>
        </w:tc>
        <w:tc>
          <w:tcPr>
            <w:tcW w:w="84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18.0～21.0</w:t>
            </w:r>
          </w:p>
        </w:tc>
        <w:tc>
          <w:tcPr>
            <w:tcW w:w="78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6.0～8.0</w:t>
            </w:r>
          </w:p>
        </w:tc>
        <w:tc>
          <w:tcPr>
            <w:tcW w:w="567"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≤1.5</w:t>
            </w:r>
          </w:p>
        </w:tc>
        <w:tc>
          <w:tcPr>
            <w:tcW w:w="709"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1.5～2.5</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(Nb+Ta)≤0.50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≤5.00</w:t>
            </w:r>
          </w:p>
        </w:tc>
        <w:tc>
          <w:tcPr>
            <w:tcW w:w="71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69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highlight w:val="yellow"/>
                <w:lang w:val="zh-TW"/>
              </w:rPr>
              <w:t>≤0.030</w:t>
            </w:r>
          </w:p>
        </w:tc>
        <w:tc>
          <w:tcPr>
            <w:tcW w:w="930" w:type="dxa"/>
            <w:gridSpan w:val="2"/>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≤0.015</w:t>
            </w:r>
          </w:p>
        </w:tc>
        <w:tc>
          <w:tcPr>
            <w:tcW w:w="966" w:type="dxa"/>
            <w:tcBorders>
              <w:left w:val="single" w:color="auto" w:sz="4" w:space="0"/>
            </w:tcBorders>
            <w:shd w:val="clear" w:color="auto" w:fill="auto"/>
            <w:vAlign w:val="center"/>
          </w:tcPr>
          <w:p>
            <w:pPr>
              <w:spacing w:line="260" w:lineRule="exact"/>
              <w:ind w:firstLine="0" w:firstLineChars="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Nb为Nb+Ta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839" w:type="dxa"/>
            <w:vMerge w:val="continue"/>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H06625</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NS3306</w:t>
            </w:r>
          </w:p>
        </w:tc>
        <w:tc>
          <w:tcPr>
            <w:tcW w:w="86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≤0.10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20.0～23.0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≥58.0</w:t>
            </w:r>
          </w:p>
        </w:tc>
        <w:tc>
          <w:tcPr>
            <w:tcW w:w="84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≤5.0</w:t>
            </w:r>
          </w:p>
        </w:tc>
        <w:tc>
          <w:tcPr>
            <w:tcW w:w="78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8.0～10.0</w:t>
            </w:r>
          </w:p>
        </w:tc>
        <w:tc>
          <w:tcPr>
            <w:tcW w:w="567"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≤0.40</w:t>
            </w:r>
          </w:p>
        </w:tc>
        <w:tc>
          <w:tcPr>
            <w:tcW w:w="85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≤0.40</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3.15～4.15</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71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≤0.50</w:t>
            </w:r>
          </w:p>
        </w:tc>
        <w:tc>
          <w:tcPr>
            <w:tcW w:w="69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≤0.50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≤0.015</w:t>
            </w:r>
          </w:p>
        </w:tc>
        <w:tc>
          <w:tcPr>
            <w:tcW w:w="930" w:type="dxa"/>
            <w:gridSpan w:val="2"/>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≤0.015</w:t>
            </w:r>
          </w:p>
        </w:tc>
        <w:tc>
          <w:tcPr>
            <w:tcW w:w="966"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64"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839" w:type="dxa"/>
            <w:vMerge w:val="continue"/>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H10276</w:t>
            </w:r>
          </w:p>
        </w:tc>
        <w:tc>
          <w:tcPr>
            <w:tcW w:w="83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NS3304</w:t>
            </w:r>
          </w:p>
        </w:tc>
        <w:tc>
          <w:tcPr>
            <w:tcW w:w="86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≤0.010</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14.5～16.5</w:t>
            </w:r>
          </w:p>
        </w:tc>
        <w:tc>
          <w:tcPr>
            <w:tcW w:w="82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余量</w:t>
            </w:r>
          </w:p>
        </w:tc>
        <w:tc>
          <w:tcPr>
            <w:tcW w:w="84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4.0～7.0</w:t>
            </w:r>
          </w:p>
        </w:tc>
        <w:tc>
          <w:tcPr>
            <w:tcW w:w="785"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15.0～17.0</w:t>
            </w:r>
          </w:p>
        </w:tc>
        <w:tc>
          <w:tcPr>
            <w:tcW w:w="567"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3.0～4.5</w:t>
            </w:r>
          </w:p>
        </w:tc>
        <w:tc>
          <w:tcPr>
            <w:tcW w:w="709" w:type="dxa"/>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850"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≤2.50</w:t>
            </w:r>
          </w:p>
        </w:tc>
        <w:tc>
          <w:tcPr>
            <w:tcW w:w="71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≤0.08</w:t>
            </w:r>
          </w:p>
        </w:tc>
        <w:tc>
          <w:tcPr>
            <w:tcW w:w="691"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w:t>
            </w:r>
          </w:p>
        </w:tc>
        <w:tc>
          <w:tcPr>
            <w:tcW w:w="709" w:type="dxa"/>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≤0.030</w:t>
            </w:r>
          </w:p>
        </w:tc>
        <w:tc>
          <w:tcPr>
            <w:tcW w:w="915" w:type="dxa"/>
            <w:tcBorders>
              <w:righ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≤0.015</w:t>
            </w:r>
          </w:p>
        </w:tc>
        <w:tc>
          <w:tcPr>
            <w:tcW w:w="981" w:type="dxa"/>
            <w:gridSpan w:val="2"/>
            <w:tcBorders>
              <w:left w:val="single" w:color="auto" w:sz="4" w:space="0"/>
            </w:tcBorders>
            <w:shd w:val="clear" w:color="auto" w:fill="auto"/>
            <w:vAlign w:val="center"/>
          </w:tcPr>
          <w:p>
            <w:pPr>
              <w:spacing w:line="260" w:lineRule="exact"/>
              <w:ind w:firstLine="0" w:firstLineChars="0"/>
              <w:jc w:val="center"/>
              <w:rPr>
                <w:rFonts w:hint="eastAsia" w:asciiTheme="minorEastAsia" w:hAnsiTheme="minorEastAsia" w:eastAsiaTheme="minorEastAsia" w:cstheme="minorEastAsia"/>
                <w:sz w:val="18"/>
                <w:szCs w:val="18"/>
                <w:highlight w:val="yellow"/>
                <w:lang w:val="zh-TW"/>
              </w:rPr>
            </w:pPr>
            <w:r>
              <w:rPr>
                <w:rFonts w:hint="eastAsia" w:asciiTheme="minorEastAsia" w:hAnsiTheme="minorEastAsia" w:eastAsiaTheme="minorEastAsia" w:cstheme="minorEastAsia"/>
                <w:sz w:val="18"/>
                <w:szCs w:val="18"/>
                <w:highlight w:val="yellow"/>
                <w:lang w:val="zh-TW"/>
              </w:rPr>
              <w:t>V≤0.35</w:t>
            </w:r>
          </w:p>
        </w:tc>
      </w:tr>
    </w:tbl>
    <w:p>
      <w:pPr>
        <w:spacing w:line="560" w:lineRule="exact"/>
        <w:ind w:firstLine="560"/>
        <w:contextualSpacing/>
        <w:rPr>
          <w:rFonts w:hint="default" w:ascii="Times New Roman" w:hAnsi="Times New Roman" w:eastAsia="仿宋_GB2312" w:cs="Times New Roman"/>
          <w:sz w:val="28"/>
          <w:szCs w:val="28"/>
          <w:highlight w:val="none"/>
          <w:lang w:val="en-US" w:eastAsia="zh-CN"/>
        </w:rPr>
        <w:sectPr>
          <w:pgSz w:w="16838" w:h="11906" w:orient="landscape"/>
          <w:pgMar w:top="1800" w:right="1440" w:bottom="1800" w:left="1440" w:header="851" w:footer="992" w:gutter="0"/>
          <w:cols w:space="425" w:num="1"/>
          <w:docGrid w:type="lines" w:linePitch="312" w:charSpace="0"/>
        </w:sectPr>
      </w:pP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lang w:val="en-US" w:eastAsia="zh-CN"/>
        </w:rPr>
        <w:t>制造</w:t>
      </w:r>
      <w:r>
        <w:rPr>
          <w:rFonts w:hint="eastAsia" w:ascii="Times New Roman" w:hAnsi="Times New Roman" w:eastAsia="仿宋_GB2312" w:cs="Times New Roman"/>
          <w:sz w:val="28"/>
          <w:szCs w:val="28"/>
          <w:highlight w:val="none"/>
        </w:rPr>
        <w:t>方法</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对冶炼、管坯、无缝管制造给出细化规定。</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7.3交货状态</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规定“合金管应按冷作硬化态交货，代号“CH”。”</w:t>
      </w:r>
    </w:p>
    <w:p>
      <w:pPr>
        <w:spacing w:line="560" w:lineRule="exact"/>
        <w:ind w:firstLine="560"/>
        <w:contextualSpacing/>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7.4 力学性能</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7.4.1</w:t>
      </w: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参考GB/T 37614加严提出屈服强度、抗拉强度、断后伸长率、平均硬度指标以保证管材服役性能和加工要求。</w:t>
      </w:r>
    </w:p>
    <w:tbl>
      <w:tblPr>
        <w:tblStyle w:val="14"/>
        <w:tblW w:w="9571" w:type="dxa"/>
        <w:jc w:val="center"/>
        <w:tblLayout w:type="fixed"/>
        <w:tblCellMar>
          <w:top w:w="0" w:type="dxa"/>
          <w:left w:w="108" w:type="dxa"/>
          <w:bottom w:w="0" w:type="dxa"/>
          <w:right w:w="108" w:type="dxa"/>
        </w:tblCellMar>
      </w:tblPr>
      <w:tblGrid>
        <w:gridCol w:w="1035"/>
        <w:gridCol w:w="958"/>
        <w:gridCol w:w="958"/>
        <w:gridCol w:w="660"/>
        <w:gridCol w:w="730"/>
        <w:gridCol w:w="890"/>
        <w:gridCol w:w="1000"/>
        <w:gridCol w:w="1225"/>
        <w:gridCol w:w="945"/>
        <w:gridCol w:w="1170"/>
      </w:tblGrid>
      <w:tr>
        <w:tblPrEx>
          <w:tblCellMar>
            <w:top w:w="0" w:type="dxa"/>
            <w:left w:w="108" w:type="dxa"/>
            <w:bottom w:w="0" w:type="dxa"/>
            <w:right w:w="108" w:type="dxa"/>
          </w:tblCellMar>
        </w:tblPrEx>
        <w:trPr>
          <w:trHeight w:val="540" w:hRule="atLeast"/>
          <w:jc w:val="center"/>
        </w:trPr>
        <w:tc>
          <w:tcPr>
            <w:tcW w:w="1035" w:type="dxa"/>
            <w:vMerge w:val="restart"/>
            <w:tcBorders>
              <w:top w:val="single" w:color="000000" w:sz="4" w:space="0"/>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组别</w:t>
            </w: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统一数字代号</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材料牌号</w:t>
            </w:r>
          </w:p>
        </w:tc>
        <w:tc>
          <w:tcPr>
            <w:tcW w:w="6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钢级</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交货状态</w:t>
            </w:r>
          </w:p>
        </w:tc>
        <w:tc>
          <w:tcPr>
            <w:tcW w:w="18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屈服强度b Rp0.2/MPa</w:t>
            </w:r>
          </w:p>
        </w:tc>
        <w:tc>
          <w:tcPr>
            <w:tcW w:w="1225"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抗拉强度Rm/MPa</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断后伸长率a A/%</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平均硬度值/HRC</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最小值</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最大值</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最小值</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最小值</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最大值</w:t>
            </w:r>
          </w:p>
        </w:tc>
      </w:tr>
      <w:tr>
        <w:tblPrEx>
          <w:tblCellMar>
            <w:top w:w="0" w:type="dxa"/>
            <w:left w:w="108" w:type="dxa"/>
            <w:bottom w:w="0" w:type="dxa"/>
            <w:right w:w="108" w:type="dxa"/>
          </w:tblCellMar>
        </w:tblPrEx>
        <w:trPr>
          <w:trHeight w:val="280" w:hRule="atLeast"/>
          <w:jc w:val="center"/>
        </w:trPr>
        <w:tc>
          <w:tcPr>
            <w:tcW w:w="1035" w:type="dxa"/>
            <w:vMerge w:val="restart"/>
            <w:tcBorders>
              <w:top w:val="single" w:color="000000" w:sz="4" w:space="0"/>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w:t>
            </w: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H08028</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NS1404</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33</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1000</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H08535</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NS1405</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33</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1000</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restart"/>
            <w:tcBorders>
              <w:top w:val="single" w:color="000000" w:sz="4" w:space="0"/>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2</w:t>
            </w: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H08825</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NS1402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1000</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H06985</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NS3403</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1034</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37</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restart"/>
            <w:tcBorders>
              <w:top w:val="single" w:color="000000" w:sz="4" w:space="0"/>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H06625</w:t>
            </w:r>
          </w:p>
        </w:tc>
        <w:tc>
          <w:tcPr>
            <w:tcW w:w="958" w:type="dxa"/>
            <w:vMerge w:val="restart"/>
            <w:tcBorders>
              <w:top w:val="single" w:color="000000" w:sz="4" w:space="0"/>
              <w:left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NS3306</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left w:val="single" w:color="000000"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1034</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37</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H10276</w:t>
            </w:r>
          </w:p>
        </w:tc>
        <w:tc>
          <w:tcPr>
            <w:tcW w:w="958" w:type="dxa"/>
            <w:vMerge w:val="restart"/>
            <w:tcBorders>
              <w:top w:val="single" w:color="000000" w:sz="4" w:space="0"/>
              <w:left w:val="single" w:color="auto"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NS3304</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793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35</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auto"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125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1034</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896</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37</w:t>
            </w:r>
          </w:p>
        </w:tc>
      </w:tr>
      <w:tr>
        <w:tblPrEx>
          <w:tblCellMar>
            <w:top w:w="0" w:type="dxa"/>
            <w:left w:w="108" w:type="dxa"/>
            <w:bottom w:w="0" w:type="dxa"/>
            <w:right w:w="108" w:type="dxa"/>
          </w:tblCellMar>
        </w:tblPrEx>
        <w:trPr>
          <w:trHeight w:val="280" w:hRule="atLeast"/>
          <w:jc w:val="center"/>
        </w:trPr>
        <w:tc>
          <w:tcPr>
            <w:tcW w:w="1035" w:type="dxa"/>
            <w:vMerge w:val="continue"/>
            <w:tcBorders>
              <w:left w:val="single" w:color="000000" w:sz="4" w:space="0"/>
              <w:bottom w:val="single" w:color="auto"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958" w:type="dxa"/>
            <w:vMerge w:val="continue"/>
            <w:tcBorders>
              <w:top w:val="single" w:color="000000" w:sz="4" w:space="0"/>
              <w:left w:val="single" w:color="auto" w:sz="4" w:space="0"/>
              <w:bottom w:val="single" w:color="000000" w:sz="4" w:space="0"/>
              <w:right w:val="single" w:color="000000" w:sz="4" w:space="0"/>
            </w:tcBorders>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140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CH</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965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1103</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1000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9</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38</w:t>
            </w:r>
          </w:p>
        </w:tc>
      </w:tr>
      <w:tr>
        <w:tblPrEx>
          <w:tblCellMar>
            <w:top w:w="0" w:type="dxa"/>
            <w:left w:w="108" w:type="dxa"/>
            <w:bottom w:w="0" w:type="dxa"/>
            <w:right w:w="108" w:type="dxa"/>
          </w:tblCellMar>
        </w:tblPrEx>
        <w:trPr>
          <w:trHeight w:val="280" w:hRule="atLeast"/>
          <w:jc w:val="center"/>
        </w:trPr>
        <w:tc>
          <w:tcPr>
            <w:tcW w:w="9571" w:type="dxa"/>
            <w:gridSpan w:val="10"/>
            <w:tcBorders>
              <w:top w:val="single" w:color="auto" w:sz="4" w:space="0"/>
              <w:left w:val="single" w:color="auto" w:sz="4" w:space="0"/>
              <w:bottom w:val="single" w:color="auto" w:sz="4" w:space="0"/>
              <w:right w:val="single" w:color="000000" w:sz="4" w:space="0"/>
            </w:tcBorders>
            <w:noWrap/>
            <w:vAlign w:val="center"/>
          </w:tcPr>
          <w:p>
            <w:pPr>
              <w:spacing w:line="260" w:lineRule="exact"/>
              <w:ind w:firstLine="0" w:firstLineChars="0"/>
              <w:jc w:val="left"/>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 xml:space="preserve">a </w:t>
            </w:r>
            <w:r>
              <w:rPr>
                <w:rFonts w:hint="eastAsia" w:asciiTheme="minorEastAsia" w:hAnsiTheme="minorEastAsia" w:eastAsiaTheme="minorEastAsia" w:cstheme="minorEastAsia"/>
                <w:sz w:val="18"/>
                <w:szCs w:val="18"/>
                <w:lang w:val="zh-TW"/>
              </w:rPr>
              <w:object>
                <v:shape id="_x0000_i1025" o:spt="75" type="#_x0000_t75" style="height:28.8pt;width:59.4pt;" o:ole="t" filled="f" o:preferrelative="t" stroked="f" coordsize="21600,21600">
                  <v:path/>
                  <v:fill on="f" focussize="0,0"/>
                  <v:stroke on="f" joinstyle="miter"/>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Theme="minorEastAsia" w:hAnsiTheme="minorEastAsia" w:eastAsiaTheme="minorEastAsia" w:cstheme="minorEastAsia"/>
                <w:sz w:val="18"/>
                <w:szCs w:val="18"/>
                <w:lang w:val="zh-TW"/>
              </w:rPr>
              <w:br w:type="textWrapping"/>
            </w:r>
            <w:r>
              <w:rPr>
                <w:rFonts w:hint="eastAsia" w:asciiTheme="minorEastAsia" w:hAnsiTheme="minorEastAsia" w:eastAsiaTheme="minorEastAsia" w:cstheme="minorEastAsia"/>
                <w:sz w:val="18"/>
                <w:szCs w:val="18"/>
                <w:lang w:val="zh-TW"/>
              </w:rPr>
              <w:t>式中：</w:t>
            </w:r>
          </w:p>
          <w:p>
            <w:pPr>
              <w:spacing w:line="260" w:lineRule="exact"/>
              <w:ind w:firstLine="0" w:firstLineChars="0"/>
              <w:jc w:val="left"/>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A—标距为50.8 mm时的最小伸长率，以百分数表示；</w:t>
            </w:r>
            <w:r>
              <w:rPr>
                <w:rFonts w:hint="eastAsia" w:asciiTheme="minorEastAsia" w:hAnsiTheme="minorEastAsia" w:eastAsiaTheme="minorEastAsia" w:cstheme="minorEastAsia"/>
                <w:sz w:val="18"/>
                <w:szCs w:val="18"/>
                <w:lang w:val="zh-TW"/>
              </w:rPr>
              <w:br w:type="textWrapping"/>
            </w:r>
            <w:r>
              <w:rPr>
                <w:rFonts w:hint="eastAsia" w:asciiTheme="minorEastAsia" w:hAnsiTheme="minorEastAsia" w:eastAsiaTheme="minorEastAsia" w:cstheme="minorEastAsia"/>
                <w:sz w:val="18"/>
                <w:szCs w:val="18"/>
                <w:lang w:val="zh-TW"/>
              </w:rPr>
              <w:t>S—拉伸试样的横截面积，单位为平方毫米(mm2)，根据规定外径或试样的名义宽度和规定壁厚计算，圆整到最接近的10 mm2。S值取计算值或490 mm2 中较小者。</w:t>
            </w:r>
          </w:p>
        </w:tc>
      </w:tr>
      <w:tr>
        <w:tblPrEx>
          <w:tblCellMar>
            <w:top w:w="0" w:type="dxa"/>
            <w:left w:w="108" w:type="dxa"/>
            <w:bottom w:w="0" w:type="dxa"/>
            <w:right w:w="108" w:type="dxa"/>
          </w:tblCellMar>
        </w:tblPrEx>
        <w:trPr>
          <w:trHeight w:val="280" w:hRule="atLeast"/>
          <w:jc w:val="center"/>
        </w:trPr>
        <w:tc>
          <w:tcPr>
            <w:tcW w:w="9571" w:type="dxa"/>
            <w:gridSpan w:val="10"/>
            <w:tcBorders>
              <w:top w:val="single" w:color="auto" w:sz="4" w:space="0"/>
              <w:left w:val="single" w:color="auto" w:sz="4" w:space="0"/>
              <w:bottom w:val="single" w:color="auto" w:sz="4" w:space="0"/>
              <w:right w:val="single" w:color="000000" w:sz="4" w:space="0"/>
            </w:tcBorders>
            <w:noWrap/>
            <w:vAlign w:val="center"/>
          </w:tcPr>
          <w:p>
            <w:pPr>
              <w:spacing w:line="260" w:lineRule="exact"/>
              <w:ind w:firstLine="0" w:firstLineChars="0"/>
              <w:jc w:val="left"/>
              <w:rPr>
                <w:rFonts w:hint="eastAsia" w:asciiTheme="minorEastAsia" w:hAnsiTheme="minorEastAsia" w:eastAsiaTheme="minorEastAsia" w:cstheme="minorEastAsia"/>
                <w:sz w:val="18"/>
                <w:szCs w:val="18"/>
                <w:lang w:val="zh-TW"/>
              </w:rPr>
            </w:pPr>
            <w:r>
              <w:rPr>
                <w:rFonts w:hint="eastAsia" w:asciiTheme="minorEastAsia" w:hAnsiTheme="minorEastAsia" w:eastAsiaTheme="minorEastAsia" w:cstheme="minorEastAsia"/>
                <w:sz w:val="18"/>
                <w:szCs w:val="18"/>
                <w:lang w:val="zh-TW"/>
              </w:rPr>
              <w:t>b 经供需双方协商，可采用其他值。</w:t>
            </w:r>
          </w:p>
        </w:tc>
      </w:tr>
    </w:tbl>
    <w:p>
      <w:pPr>
        <w:spacing w:line="560" w:lineRule="exact"/>
        <w:ind w:firstLine="560"/>
        <w:contextualSpacing/>
        <w:rPr>
          <w:rFonts w:hint="default" w:ascii="Times New Roman" w:hAnsi="Times New Roman" w:eastAsia="仿宋_GB2312" w:cs="Times New Roman"/>
          <w:sz w:val="28"/>
          <w:szCs w:val="28"/>
          <w:highlight w:val="none"/>
          <w:lang w:val="en-US" w:eastAsia="zh-CN"/>
        </w:rPr>
      </w:pP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7.4.2 冲击性能</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为保证管材服役安全性，增加低温冲击要求。本章节给出接箍毛坯全尺寸试样最小吸收能量、油套管的全尺寸试样最小吸收能量计算公式和相关要求。</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7.4.3 压扁试验</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本章节给出完整性试验内容。</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7.4.4硬度</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本章节给出硬度试验方法，满足油井管采购测试要求。</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7.5晶间腐蚀</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参考用户采购技术规范，增加了晶间腐蚀要求。</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7.6硫化氢应力腐蚀开裂试验</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lang w:val="en-US" w:eastAsia="zh-CN"/>
        </w:rPr>
        <w:t>考虑井下服役环境，容易发生氢脆，增加相关检测。</w:t>
      </w:r>
    </w:p>
    <w:p>
      <w:pPr>
        <w:spacing w:line="560" w:lineRule="exact"/>
        <w:ind w:firstLine="560"/>
        <w:contextualSpacing/>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7.7 金相组织</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本章节考虑组织控制要求，新增钢管实际晶粒度显微组织检测及规定。要求“a) 显微组织中晶界处应无连续的析出相；b) 金属间相、氮化物和碳化物总含量应不超过1.0%；σ相应不超过0.5%。”</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7.8 非金属夹杂物</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w:t>
      </w:r>
      <w:r>
        <w:rPr>
          <w:rFonts w:hint="eastAsia" w:ascii="Times New Roman" w:hAnsi="Times New Roman" w:eastAsia="仿宋_GB2312" w:cs="Times New Roman"/>
          <w:sz w:val="28"/>
          <w:szCs w:val="28"/>
          <w:highlight w:val="none"/>
        </w:rPr>
        <w:t>章节</w:t>
      </w:r>
      <w:r>
        <w:rPr>
          <w:rFonts w:hint="eastAsia" w:ascii="Times New Roman" w:hAnsi="Times New Roman" w:eastAsia="仿宋_GB2312" w:cs="Times New Roman"/>
          <w:sz w:val="28"/>
          <w:szCs w:val="28"/>
          <w:highlight w:val="none"/>
          <w:lang w:val="en-US" w:eastAsia="zh-CN"/>
        </w:rPr>
        <w:t>考虑钢管纯净化要求，避免钢管在服役过程因夹杂物影响在氢元素聚集导致开裂，新增</w:t>
      </w:r>
      <w:r>
        <w:rPr>
          <w:rFonts w:hint="eastAsia" w:ascii="Times New Roman" w:hAnsi="Times New Roman" w:eastAsia="仿宋_GB2312" w:cs="Times New Roman"/>
          <w:sz w:val="28"/>
          <w:szCs w:val="28"/>
          <w:highlight w:val="none"/>
        </w:rPr>
        <w:t>非金属夹杂物</w:t>
      </w:r>
      <w:r>
        <w:rPr>
          <w:rFonts w:hint="eastAsia" w:ascii="Times New Roman" w:hAnsi="Times New Roman" w:eastAsia="仿宋_GB2312" w:cs="Times New Roman"/>
          <w:sz w:val="28"/>
          <w:szCs w:val="28"/>
          <w:highlight w:val="none"/>
          <w:lang w:val="en-US" w:eastAsia="zh-CN"/>
        </w:rPr>
        <w:t>控制</w:t>
      </w:r>
      <w:r>
        <w:rPr>
          <w:rFonts w:hint="eastAsia" w:ascii="Times New Roman" w:hAnsi="Times New Roman" w:eastAsia="仿宋_GB2312" w:cs="Times New Roman"/>
          <w:sz w:val="28"/>
          <w:szCs w:val="28"/>
          <w:highlight w:val="none"/>
        </w:rPr>
        <w:t>指标。</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7.</w:t>
      </w:r>
      <w:r>
        <w:rPr>
          <w:rFonts w:hint="eastAsia" w:ascii="Times New Roman" w:hAnsi="Times New Roman" w:eastAsia="仿宋_GB2312" w:cs="Times New Roman"/>
          <w:color w:val="auto"/>
          <w:sz w:val="28"/>
          <w:szCs w:val="28"/>
          <w:highlight w:val="none"/>
          <w:lang w:val="en-US" w:eastAsia="zh-CN"/>
        </w:rPr>
        <w:t>9贫Cr检验</w:t>
      </w:r>
    </w:p>
    <w:p>
      <w:pPr>
        <w:spacing w:line="560" w:lineRule="exact"/>
        <w:ind w:firstLine="560"/>
        <w:contextualSpacing/>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参照ISO 13680:2010 标准要求，对冷加工后的成品管采用 EDX 方法进行内外表面贫Cr检测是客户要求。</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7.11表面质量</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本</w:t>
      </w:r>
      <w:r>
        <w:rPr>
          <w:rFonts w:hint="eastAsia" w:ascii="Times New Roman" w:hAnsi="Times New Roman" w:eastAsia="仿宋_GB2312" w:cs="Times New Roman"/>
          <w:sz w:val="28"/>
          <w:szCs w:val="28"/>
          <w:highlight w:val="none"/>
        </w:rPr>
        <w:t>章节</w:t>
      </w:r>
      <w:r>
        <w:rPr>
          <w:rFonts w:hint="eastAsia" w:ascii="Times New Roman" w:hAnsi="Times New Roman" w:eastAsia="仿宋_GB2312" w:cs="Times New Roman"/>
          <w:sz w:val="28"/>
          <w:szCs w:val="28"/>
          <w:highlight w:val="none"/>
          <w:lang w:val="en-US" w:eastAsia="zh-CN"/>
        </w:rPr>
        <w:t>在参考GB/T 37614有关规定的基础上，细化表面质量要求。</w:t>
      </w:r>
    </w:p>
    <w:p>
      <w:pPr>
        <w:spacing w:line="560" w:lineRule="exact"/>
        <w:ind w:firstLine="560"/>
        <w:contextualSpacing/>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8. 试验方法</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w:t>
      </w:r>
      <w:r>
        <w:rPr>
          <w:rFonts w:ascii="Times New Roman" w:hAnsi="Times New Roman" w:eastAsia="仿宋_GB2312" w:cs="Times New Roman"/>
          <w:sz w:val="28"/>
          <w:szCs w:val="28"/>
          <w:highlight w:val="none"/>
        </w:rPr>
        <w:t xml:space="preserve">.1 </w:t>
      </w:r>
      <w:r>
        <w:rPr>
          <w:rFonts w:hint="eastAsia" w:ascii="Times New Roman" w:hAnsi="Times New Roman" w:eastAsia="仿宋_GB2312" w:cs="Times New Roman"/>
          <w:sz w:val="28"/>
          <w:szCs w:val="28"/>
          <w:highlight w:val="none"/>
        </w:rPr>
        <w:t>管材的化学成分分析方法按GB/T 38939或通用的方法进行，但仲裁分析时应按GB/T 223.11、GB/T 223.13、GB/T 223.16、GB/T 223.18、GB/T 223.21、GB/T 223.25、GB/T 223.26、GB/T 223.28、GB/T 223.36、GB/T 223.37、GB/T 223.40、GB/T 223.42、GB/T 223.43、GB/T 223.58、GB/T 223.59、GB/T 223.60、GB/T 223.62、GB/T 223.68、GB/T 223.72、GB/T 223.79、GB/T 223.85、GB/T 223.86、GB/T 223.9等方法进行。</w:t>
      </w:r>
    </w:p>
    <w:p>
      <w:p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lang w:val="en-US" w:eastAsia="zh-CN"/>
        </w:rPr>
        <w:t>钢管</w:t>
      </w:r>
      <w:r>
        <w:rPr>
          <w:rFonts w:hint="eastAsia" w:ascii="Times New Roman" w:hAnsi="Times New Roman" w:eastAsia="仿宋_GB2312" w:cs="Times New Roman"/>
          <w:sz w:val="28"/>
          <w:szCs w:val="28"/>
          <w:highlight w:val="none"/>
        </w:rPr>
        <w:t>的检验项目、取样数量、取样方法</w:t>
      </w:r>
      <w:r>
        <w:rPr>
          <w:rFonts w:hint="eastAsia" w:ascii="Times New Roman" w:hAnsi="Times New Roman" w:eastAsia="仿宋_GB2312" w:cs="Times New Roman"/>
          <w:sz w:val="28"/>
          <w:szCs w:val="28"/>
          <w:highlight w:val="none"/>
          <w:lang w:val="en-US" w:eastAsia="zh-CN"/>
        </w:rPr>
        <w:t>和</w:t>
      </w:r>
      <w:r>
        <w:rPr>
          <w:rFonts w:hint="eastAsia" w:ascii="Times New Roman" w:hAnsi="Times New Roman" w:eastAsia="仿宋_GB2312" w:cs="Times New Roman"/>
          <w:sz w:val="28"/>
          <w:szCs w:val="28"/>
          <w:highlight w:val="none"/>
        </w:rPr>
        <w:t>试验方法应符合</w:t>
      </w:r>
      <w:r>
        <w:rPr>
          <w:rFonts w:hint="eastAsia" w:ascii="Times New Roman" w:hAnsi="Times New Roman" w:eastAsia="仿宋_GB2312" w:cs="Times New Roman"/>
          <w:sz w:val="28"/>
          <w:szCs w:val="28"/>
          <w:highlight w:val="none"/>
          <w:lang w:val="en-US" w:eastAsia="zh-CN"/>
        </w:rPr>
        <w:t>下</w:t>
      </w:r>
      <w:r>
        <w:rPr>
          <w:rFonts w:hint="eastAsia" w:ascii="Times New Roman" w:hAnsi="Times New Roman" w:eastAsia="仿宋_GB2312" w:cs="Times New Roman"/>
          <w:sz w:val="28"/>
          <w:szCs w:val="28"/>
          <w:highlight w:val="none"/>
        </w:rPr>
        <w:t>表的规定。</w:t>
      </w:r>
    </w:p>
    <w:p>
      <w:pPr>
        <w:pStyle w:val="22"/>
        <w:jc w:val="center"/>
        <w:rPr>
          <w:rFonts w:hint="eastAsia" w:ascii="Times New Roman"/>
          <w:highlight w:val="none"/>
        </w:rPr>
      </w:pPr>
      <w:r>
        <w:rPr>
          <w:rFonts w:hint="eastAsia" w:ascii="Times New Roman"/>
          <w:highlight w:val="none"/>
        </w:rPr>
        <w:t>表</w:t>
      </w:r>
      <w:r>
        <w:rPr>
          <w:rFonts w:hint="eastAsia" w:ascii="Times New Roman"/>
          <w:highlight w:val="none"/>
          <w:lang w:val="en-US" w:eastAsia="zh-CN"/>
        </w:rPr>
        <w:t xml:space="preserve"> </w:t>
      </w:r>
      <w:r>
        <w:rPr>
          <w:rFonts w:hint="eastAsia" w:ascii="Times New Roman"/>
          <w:highlight w:val="none"/>
        </w:rPr>
        <w:t>检验项目、取样数量、取样方法及试验方法</w:t>
      </w:r>
    </w:p>
    <w:tbl>
      <w:tblPr>
        <w:tblStyle w:val="14"/>
        <w:tblW w:w="4998" w:type="pct"/>
        <w:jc w:val="center"/>
        <w:tblLayout w:type="autofit"/>
        <w:tblCellMar>
          <w:top w:w="0" w:type="dxa"/>
          <w:left w:w="108" w:type="dxa"/>
          <w:bottom w:w="0" w:type="dxa"/>
          <w:right w:w="108" w:type="dxa"/>
        </w:tblCellMar>
      </w:tblPr>
      <w:tblGrid>
        <w:gridCol w:w="514"/>
        <w:gridCol w:w="1853"/>
        <w:gridCol w:w="2151"/>
        <w:gridCol w:w="960"/>
        <w:gridCol w:w="3044"/>
      </w:tblGrid>
      <w:tr>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序号</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检验项目</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取样数量</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取样方法</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试验方法</w:t>
            </w:r>
          </w:p>
        </w:tc>
      </w:tr>
      <w:tr>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1</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成分分析</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20066</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8.1</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2</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拉伸试验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2975</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7.4.1、GB/T 228.1</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3</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硬度试验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2975</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7.4.2、GB/T 230.1</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4</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冲击试验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每批取2个试样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229</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7.4.3、GB/T 229</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5</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压扁试验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每批取2个试样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246</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7.4.4、GB/T 246</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6</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晶间腐蚀试验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每批取3个试样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4334</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4334</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7</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硫化氢应力腐蚀开裂试验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首次生产每种规格取1组试样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4157</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4157</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8</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晶粒度</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6394</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6394</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9</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显微组织检验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13298</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7.6.2、GB/T 13298</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10</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非金属夹杂物检验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10561</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7.6.3、GB/T 10561</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11</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贫铬试验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每批取1个试样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13298</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7.6.4、GB/T 13298</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12</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液压试验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逐根</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7.7、GB/T 241</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13</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超声检验</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逐根</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GB/T 5777-2019、GB/T 20490、GB/T 11344</w:t>
            </w:r>
          </w:p>
        </w:tc>
      </w:tr>
      <w:tr>
        <w:tblPrEx>
          <w:tblCellMar>
            <w:top w:w="0" w:type="dxa"/>
            <w:left w:w="108" w:type="dxa"/>
            <w:bottom w:w="0" w:type="dxa"/>
            <w:right w:w="108" w:type="dxa"/>
          </w:tblCellMar>
        </w:tblPrEx>
        <w:trPr>
          <w:trHeight w:val="28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default"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14</w:t>
            </w:r>
          </w:p>
        </w:tc>
        <w:tc>
          <w:tcPr>
            <w:tcW w:w="1018"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渗透检测</w:t>
            </w:r>
          </w:p>
        </w:tc>
        <w:tc>
          <w:tcPr>
            <w:tcW w:w="146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default" w:asciiTheme="minorEastAsia" w:hAnsiTheme="minorEastAsia" w:eastAsiaTheme="minorEastAsia" w:cstheme="minorEastAsia"/>
                <w:sz w:val="18"/>
                <w:szCs w:val="18"/>
                <w:lang w:val="zh-TW" w:eastAsia="zh-TW"/>
              </w:rPr>
              <w:t>仅修磨或机加工区域</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w:t>
            </w:r>
          </w:p>
        </w:tc>
        <w:tc>
          <w:tcPr>
            <w:tcW w:w="1402" w:type="pct"/>
            <w:tcBorders>
              <w:top w:val="single" w:color="000000" w:sz="4" w:space="0"/>
              <w:left w:val="single" w:color="000000" w:sz="4" w:space="0"/>
              <w:bottom w:val="single" w:color="000000" w:sz="4" w:space="0"/>
              <w:right w:val="single" w:color="000000" w:sz="4" w:space="0"/>
            </w:tcBorders>
            <w:noWrap/>
            <w:vAlign w:val="center"/>
          </w:tcPr>
          <w:p>
            <w:pPr>
              <w:spacing w:line="260" w:lineRule="exact"/>
              <w:ind w:firstLine="0" w:firstLineChars="0"/>
              <w:jc w:val="center"/>
              <w:rPr>
                <w:rFonts w:hint="eastAsia" w:asciiTheme="minorEastAsia" w:hAnsiTheme="minorEastAsia" w:eastAsiaTheme="minorEastAsia" w:cstheme="minorEastAsia"/>
                <w:sz w:val="18"/>
                <w:szCs w:val="18"/>
                <w:lang w:val="zh-TW" w:eastAsia="zh-TW"/>
              </w:rPr>
            </w:pPr>
            <w:r>
              <w:rPr>
                <w:rFonts w:hint="eastAsia" w:asciiTheme="minorEastAsia" w:hAnsiTheme="minorEastAsia" w:eastAsiaTheme="minorEastAsia" w:cstheme="minorEastAsia"/>
                <w:sz w:val="18"/>
                <w:szCs w:val="18"/>
                <w:lang w:val="zh-TW" w:eastAsia="zh-TW"/>
              </w:rPr>
              <w:t>NB/T 47013.5-2015</w:t>
            </w:r>
          </w:p>
        </w:tc>
      </w:tr>
    </w:tbl>
    <w:p>
      <w:pPr>
        <w:pStyle w:val="22"/>
        <w:jc w:val="center"/>
        <w:rPr>
          <w:rFonts w:hint="eastAsia" w:ascii="Times New Roman"/>
          <w:highlight w:val="none"/>
        </w:rPr>
      </w:pPr>
    </w:p>
    <w:p>
      <w:pPr>
        <w:pStyle w:val="22"/>
        <w:jc w:val="center"/>
        <w:rPr>
          <w:rFonts w:hint="eastAsia" w:ascii="Times New Roman"/>
          <w:highlight w:val="none"/>
        </w:rPr>
      </w:pPr>
    </w:p>
    <w:p>
      <w:pPr>
        <w:numPr>
          <w:ilvl w:val="0"/>
          <w:numId w:val="6"/>
        </w:numPr>
        <w:spacing w:line="560" w:lineRule="exact"/>
        <w:ind w:firstLine="560"/>
        <w:contextualSpacing/>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检验规则及包装、标志和质量证明书</w:t>
      </w:r>
    </w:p>
    <w:p>
      <w:pPr>
        <w:spacing w:line="560" w:lineRule="exact"/>
        <w:ind w:firstLine="560"/>
        <w:contextualSpacing/>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本章节</w:t>
      </w:r>
      <w:r>
        <w:rPr>
          <w:rFonts w:hint="eastAsia" w:ascii="Times New Roman" w:hAnsi="Times New Roman" w:eastAsia="仿宋_GB2312" w:cs="Times New Roman"/>
          <w:sz w:val="28"/>
          <w:szCs w:val="28"/>
          <w:highlight w:val="none"/>
        </w:rPr>
        <w:t>参照</w:t>
      </w:r>
      <w:r>
        <w:rPr>
          <w:rFonts w:hint="eastAsia" w:ascii="Times New Roman" w:hAnsi="Times New Roman" w:eastAsia="仿宋_GB2312" w:cs="Times New Roman"/>
          <w:sz w:val="28"/>
          <w:szCs w:val="28"/>
          <w:highlight w:val="none"/>
          <w:lang w:val="en-US" w:eastAsia="zh-CN"/>
        </w:rPr>
        <w:t>GB/T 37614</w:t>
      </w:r>
      <w:r>
        <w:rPr>
          <w:rFonts w:hint="eastAsia" w:ascii="Times New Roman" w:hAnsi="Times New Roman" w:eastAsia="仿宋_GB2312" w:cs="Times New Roman"/>
          <w:sz w:val="28"/>
          <w:szCs w:val="28"/>
          <w:highlight w:val="none"/>
          <w:lang w:eastAsia="zh-CN"/>
        </w:rPr>
        <w:t>的有关规定</w:t>
      </w:r>
      <w:r>
        <w:rPr>
          <w:rFonts w:hint="eastAsia" w:ascii="Times New Roman" w:hAnsi="Times New Roman" w:eastAsia="仿宋_GB2312" w:cs="Times New Roman"/>
          <w:sz w:val="28"/>
          <w:szCs w:val="28"/>
          <w:highlight w:val="none"/>
        </w:rPr>
        <w:t>。</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石油天然气工业油气井套管或油管用铁镍基及镍基合金无缝管的订货内容、尺寸、外形、重量及允许偏差、技术要求、试验方法、检验规则、包装、标志和质量证明书。适用于H2S分压大于0.0003MPa的服役条件下油井管用镍基合金无缝管（以下简称“管材”），也适用于与合金管配套使用的接箍坯料、接箍材料、短节和附件材料等。</w:t>
      </w:r>
      <w:r>
        <w:rPr>
          <w:rFonts w:ascii="Times New Roman" w:hAnsi="Times New Roman" w:eastAsia="仿宋_GB2312" w:cs="Times New Roman"/>
          <w:sz w:val="28"/>
          <w:szCs w:val="28"/>
        </w:rPr>
        <w:t>同时，结合</w:t>
      </w:r>
      <w:r>
        <w:rPr>
          <w:rFonts w:hint="eastAsia" w:ascii="Times New Roman" w:hAnsi="Times New Roman" w:eastAsia="仿宋_GB2312" w:cs="Times New Roman"/>
          <w:sz w:val="28"/>
          <w:szCs w:val="28"/>
        </w:rPr>
        <w:t>下游对</w:t>
      </w:r>
      <w:r>
        <w:rPr>
          <w:rFonts w:hint="eastAsia" w:ascii="Times New Roman" w:hAnsi="Times New Roman" w:eastAsia="仿宋_GB2312" w:cs="Times New Roman"/>
          <w:sz w:val="28"/>
          <w:szCs w:val="28"/>
          <w:lang w:eastAsia="zh-CN"/>
        </w:rPr>
        <w:t>石油天然气工业油气井套管或油管用铁镍基及镍基合金无缝管</w:t>
      </w:r>
      <w:r>
        <w:rPr>
          <w:rFonts w:ascii="Times New Roman" w:hAnsi="Times New Roman" w:eastAsia="仿宋_GB2312" w:cs="Times New Roman"/>
          <w:sz w:val="28"/>
          <w:szCs w:val="28"/>
        </w:rPr>
        <w:t>的特殊需要，对技术参数进行了优化设计和补充，对下游行业的基础材料采购、加工和制造具有科学指导意义。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强化了上下游行业间的衔接和联系，为</w:t>
      </w:r>
      <w:r>
        <w:rPr>
          <w:rFonts w:hint="eastAsia" w:ascii="Times New Roman" w:hAnsi="Times New Roman" w:eastAsia="仿宋_GB2312" w:cs="Times New Roman"/>
          <w:sz w:val="28"/>
          <w:szCs w:val="28"/>
          <w:lang w:eastAsia="zh-CN"/>
        </w:rPr>
        <w:t>石油天然气工业油气井套管或油管用铁镍基及镍基合金无缝管</w:t>
      </w:r>
      <w:r>
        <w:rPr>
          <w:rFonts w:hint="eastAsia" w:ascii="Times New Roman" w:hAnsi="Times New Roman" w:eastAsia="仿宋_GB2312" w:cs="Times New Roman"/>
          <w:sz w:val="28"/>
          <w:szCs w:val="28"/>
        </w:rPr>
        <w:t>制造</w:t>
      </w:r>
      <w:r>
        <w:rPr>
          <w:rFonts w:ascii="Times New Roman" w:hAnsi="Times New Roman" w:eastAsia="仿宋_GB2312" w:cs="Times New Roman"/>
          <w:sz w:val="28"/>
          <w:szCs w:val="28"/>
        </w:rPr>
        <w:t>领域提供基础材料保障，有助于产业链的协同发展。</w:t>
      </w: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的实施，符合我国钢铁工业由高速度发展向高质量发展的整体趋势，能够为我国</w:t>
      </w:r>
      <w:r>
        <w:rPr>
          <w:rFonts w:hint="eastAsia" w:ascii="Times New Roman" w:hAnsi="Times New Roman" w:eastAsia="仿宋_GB2312" w:cs="Times New Roman"/>
          <w:sz w:val="28"/>
          <w:szCs w:val="28"/>
        </w:rPr>
        <w:t>钢铁产业</w:t>
      </w:r>
      <w:r>
        <w:rPr>
          <w:rFonts w:ascii="Times New Roman" w:hAnsi="Times New Roman" w:eastAsia="仿宋_GB2312" w:cs="Times New Roman"/>
          <w:sz w:val="28"/>
          <w:szCs w:val="28"/>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sz w:val="28"/>
          <w:szCs w:val="28"/>
        </w:rPr>
        <w:t>钢铁行业</w:t>
      </w:r>
      <w:r>
        <w:rPr>
          <w:rFonts w:ascii="Times New Roman" w:hAnsi="Times New Roman" w:eastAsia="仿宋_GB2312" w:cs="Times New Roman"/>
          <w:sz w:val="28"/>
          <w:szCs w:val="28"/>
        </w:rPr>
        <w:t>快速发展。</w:t>
      </w:r>
    </w:p>
    <w:p>
      <w:pPr>
        <w:spacing w:line="588" w:lineRule="exact"/>
        <w:ind w:firstLine="640" w:firstLineChars="0"/>
        <w:rPr>
          <w:rFonts w:ascii="Times New Roman" w:hAnsi="Times New Roman" w:eastAsia="黑体" w:cs="Times New Roman"/>
          <w:bCs/>
        </w:rPr>
      </w:pPr>
      <w:r>
        <w:rPr>
          <w:rFonts w:hint="eastAsia" w:ascii="Times New Roman" w:hAnsi="Times New Roman" w:eastAsia="黑体" w:cs="Times New Roman"/>
          <w:bCs/>
        </w:rPr>
        <w:t>七、</w:t>
      </w:r>
      <w:r>
        <w:rPr>
          <w:rFonts w:ascii="Times New Roman" w:hAnsi="Times New Roman" w:eastAsia="黑体" w:cs="Times New Roman"/>
          <w:bCs/>
        </w:rPr>
        <w:t>标准属性</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w:t>
      </w:r>
      <w:r>
        <w:rPr>
          <w:rFonts w:ascii="Times New Roman" w:hAnsi="Times New Roman" w:eastAsia="仿宋_GB2312" w:cs="Times New Roman"/>
          <w:sz w:val="28"/>
          <w:szCs w:val="28"/>
        </w:rPr>
        <w:t>属于钢铁行业团体标准。</w:t>
      </w:r>
    </w:p>
    <w:p>
      <w:pPr>
        <w:spacing w:line="560" w:lineRule="exact"/>
        <w:ind w:firstLine="0" w:firstLineChars="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石油天然气工业油气井套管或油管用铁镍基及镍基合金无缝管</w:t>
      </w:r>
      <w:r>
        <w:rPr>
          <w:rFonts w:ascii="Times New Roman" w:hAnsi="Times New Roman" w:eastAsia="仿宋_GB2312" w:cs="Times New Roman"/>
          <w:sz w:val="28"/>
          <w:szCs w:val="28"/>
        </w:rPr>
        <w:t>》标准编制工作组</w:t>
      </w:r>
    </w:p>
    <w:p>
      <w:pPr>
        <w:spacing w:line="560" w:lineRule="exact"/>
        <w:ind w:firstLine="4620" w:firstLineChars="1650"/>
        <w:contextualSpacing/>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7BB70"/>
    <w:multiLevelType w:val="singleLevel"/>
    <w:tmpl w:val="0A17BB70"/>
    <w:lvl w:ilvl="0" w:tentative="0">
      <w:start w:val="9"/>
      <w:numFmt w:val="decimal"/>
      <w:suff w:val="space"/>
      <w:lvlText w:val="%1."/>
      <w:lvlJc w:val="left"/>
    </w:lvl>
  </w:abstractNum>
  <w:abstractNum w:abstractNumId="1">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2">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87E7D"/>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42CD"/>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40EF"/>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194"/>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5CCB"/>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6BE6"/>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4D0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2F7DE9"/>
    <w:rsid w:val="094B5210"/>
    <w:rsid w:val="0A056D42"/>
    <w:rsid w:val="0A3E26FC"/>
    <w:rsid w:val="0AD9642E"/>
    <w:rsid w:val="0B52548A"/>
    <w:rsid w:val="0B8E390A"/>
    <w:rsid w:val="0B9F4D98"/>
    <w:rsid w:val="0BCD7581"/>
    <w:rsid w:val="0C050D8B"/>
    <w:rsid w:val="0C301086"/>
    <w:rsid w:val="0C355509"/>
    <w:rsid w:val="0C6467C6"/>
    <w:rsid w:val="0CFC55E5"/>
    <w:rsid w:val="0D2C574A"/>
    <w:rsid w:val="0D321A40"/>
    <w:rsid w:val="0F6D1551"/>
    <w:rsid w:val="10FB18C2"/>
    <w:rsid w:val="112334B2"/>
    <w:rsid w:val="11454BE8"/>
    <w:rsid w:val="11A80A94"/>
    <w:rsid w:val="134E3BB4"/>
    <w:rsid w:val="139410FF"/>
    <w:rsid w:val="13CA2C88"/>
    <w:rsid w:val="13DD0093"/>
    <w:rsid w:val="14A1364C"/>
    <w:rsid w:val="156C5DB0"/>
    <w:rsid w:val="158D359A"/>
    <w:rsid w:val="158E06CA"/>
    <w:rsid w:val="16AA5406"/>
    <w:rsid w:val="16F151C5"/>
    <w:rsid w:val="175C6F6A"/>
    <w:rsid w:val="188302E4"/>
    <w:rsid w:val="190A600E"/>
    <w:rsid w:val="19BB66E2"/>
    <w:rsid w:val="19DF121F"/>
    <w:rsid w:val="1A017313"/>
    <w:rsid w:val="1A0F4EFC"/>
    <w:rsid w:val="1AE05AFE"/>
    <w:rsid w:val="1C186AEB"/>
    <w:rsid w:val="1C5D3FA3"/>
    <w:rsid w:val="1CA60C48"/>
    <w:rsid w:val="1CA64CB7"/>
    <w:rsid w:val="1CC246D4"/>
    <w:rsid w:val="1CEB0F2C"/>
    <w:rsid w:val="1D433C58"/>
    <w:rsid w:val="1D827DF4"/>
    <w:rsid w:val="1D856F7B"/>
    <w:rsid w:val="1D8D13E7"/>
    <w:rsid w:val="1E5329A4"/>
    <w:rsid w:val="1E590BA1"/>
    <w:rsid w:val="1E8C53F8"/>
    <w:rsid w:val="1EA6157D"/>
    <w:rsid w:val="1EBF365E"/>
    <w:rsid w:val="1F290BD7"/>
    <w:rsid w:val="1FFF722C"/>
    <w:rsid w:val="21BF051C"/>
    <w:rsid w:val="220F1AA2"/>
    <w:rsid w:val="22592F43"/>
    <w:rsid w:val="2356208B"/>
    <w:rsid w:val="24351E83"/>
    <w:rsid w:val="24F51056"/>
    <w:rsid w:val="252817C0"/>
    <w:rsid w:val="25826007"/>
    <w:rsid w:val="26716FE8"/>
    <w:rsid w:val="268A4F91"/>
    <w:rsid w:val="273D640D"/>
    <w:rsid w:val="27F33BD1"/>
    <w:rsid w:val="28240F1D"/>
    <w:rsid w:val="290A162E"/>
    <w:rsid w:val="290D03AF"/>
    <w:rsid w:val="29E0762F"/>
    <w:rsid w:val="2A16263A"/>
    <w:rsid w:val="2A203897"/>
    <w:rsid w:val="2A5F3E2B"/>
    <w:rsid w:val="2AB85420"/>
    <w:rsid w:val="2AE658B3"/>
    <w:rsid w:val="2B4523C6"/>
    <w:rsid w:val="2C8E22B8"/>
    <w:rsid w:val="2C967788"/>
    <w:rsid w:val="2CFC2547"/>
    <w:rsid w:val="2D8812A4"/>
    <w:rsid w:val="2D8B22E9"/>
    <w:rsid w:val="2D9A7884"/>
    <w:rsid w:val="2DAF5414"/>
    <w:rsid w:val="2DBC4B62"/>
    <w:rsid w:val="2E992820"/>
    <w:rsid w:val="2F2C7D49"/>
    <w:rsid w:val="2FA70FC9"/>
    <w:rsid w:val="300E4E3D"/>
    <w:rsid w:val="314B6A1C"/>
    <w:rsid w:val="31717D48"/>
    <w:rsid w:val="31E50615"/>
    <w:rsid w:val="322C2919"/>
    <w:rsid w:val="327C421C"/>
    <w:rsid w:val="32A92346"/>
    <w:rsid w:val="32CF6089"/>
    <w:rsid w:val="32E064BC"/>
    <w:rsid w:val="335A778C"/>
    <w:rsid w:val="336C27C6"/>
    <w:rsid w:val="340D4DA1"/>
    <w:rsid w:val="34685552"/>
    <w:rsid w:val="34B03F5A"/>
    <w:rsid w:val="350767DC"/>
    <w:rsid w:val="350864AC"/>
    <w:rsid w:val="35C976E0"/>
    <w:rsid w:val="366E20FD"/>
    <w:rsid w:val="371645EB"/>
    <w:rsid w:val="388050CF"/>
    <w:rsid w:val="388741D3"/>
    <w:rsid w:val="39AA2F7F"/>
    <w:rsid w:val="3A1838AE"/>
    <w:rsid w:val="3AA045FD"/>
    <w:rsid w:val="3AC246FE"/>
    <w:rsid w:val="3BEA72C7"/>
    <w:rsid w:val="3CD3362E"/>
    <w:rsid w:val="3CEA0579"/>
    <w:rsid w:val="3D2E6B3B"/>
    <w:rsid w:val="3D845E3F"/>
    <w:rsid w:val="3DAE6772"/>
    <w:rsid w:val="3E64673C"/>
    <w:rsid w:val="3E860F10"/>
    <w:rsid w:val="3EE74EAA"/>
    <w:rsid w:val="3EFF0669"/>
    <w:rsid w:val="3FD46A12"/>
    <w:rsid w:val="401B3E09"/>
    <w:rsid w:val="402674E6"/>
    <w:rsid w:val="41C0188D"/>
    <w:rsid w:val="41C07145"/>
    <w:rsid w:val="420E74B0"/>
    <w:rsid w:val="421D6C07"/>
    <w:rsid w:val="422F7B7B"/>
    <w:rsid w:val="42F265E0"/>
    <w:rsid w:val="43FF7F26"/>
    <w:rsid w:val="44243511"/>
    <w:rsid w:val="45FF5777"/>
    <w:rsid w:val="462F5975"/>
    <w:rsid w:val="475D385C"/>
    <w:rsid w:val="47832184"/>
    <w:rsid w:val="47EC2027"/>
    <w:rsid w:val="48090121"/>
    <w:rsid w:val="48517835"/>
    <w:rsid w:val="491F66A5"/>
    <w:rsid w:val="49953679"/>
    <w:rsid w:val="4A0A33B3"/>
    <w:rsid w:val="4A0B4BD6"/>
    <w:rsid w:val="4A400C02"/>
    <w:rsid w:val="4B730712"/>
    <w:rsid w:val="4BFF46EB"/>
    <w:rsid w:val="4C2D1849"/>
    <w:rsid w:val="4D4D29C6"/>
    <w:rsid w:val="4DA931EB"/>
    <w:rsid w:val="4DE85105"/>
    <w:rsid w:val="4EF3144E"/>
    <w:rsid w:val="4FCD042A"/>
    <w:rsid w:val="4FD4695C"/>
    <w:rsid w:val="4FDD001E"/>
    <w:rsid w:val="50074DB1"/>
    <w:rsid w:val="50646E22"/>
    <w:rsid w:val="507B2078"/>
    <w:rsid w:val="50AF20B7"/>
    <w:rsid w:val="512122FA"/>
    <w:rsid w:val="516B5FDC"/>
    <w:rsid w:val="52C41A12"/>
    <w:rsid w:val="53080939"/>
    <w:rsid w:val="540C1746"/>
    <w:rsid w:val="547338C2"/>
    <w:rsid w:val="54A96125"/>
    <w:rsid w:val="54DD0834"/>
    <w:rsid w:val="54E678E0"/>
    <w:rsid w:val="54F9767B"/>
    <w:rsid w:val="550A22E3"/>
    <w:rsid w:val="552D2F4B"/>
    <w:rsid w:val="555A678D"/>
    <w:rsid w:val="557916B4"/>
    <w:rsid w:val="55FC2059"/>
    <w:rsid w:val="564E5574"/>
    <w:rsid w:val="56712946"/>
    <w:rsid w:val="56804E61"/>
    <w:rsid w:val="57522239"/>
    <w:rsid w:val="5768210B"/>
    <w:rsid w:val="57CA7597"/>
    <w:rsid w:val="583D4408"/>
    <w:rsid w:val="58462E6A"/>
    <w:rsid w:val="58515FAC"/>
    <w:rsid w:val="58AC11CA"/>
    <w:rsid w:val="591D17EE"/>
    <w:rsid w:val="593B07D8"/>
    <w:rsid w:val="5957590F"/>
    <w:rsid w:val="59C20CE0"/>
    <w:rsid w:val="59F07EB3"/>
    <w:rsid w:val="5ADE4D09"/>
    <w:rsid w:val="5AF410FB"/>
    <w:rsid w:val="5B7B1939"/>
    <w:rsid w:val="5BA65FC6"/>
    <w:rsid w:val="5BB753A7"/>
    <w:rsid w:val="5C114C5F"/>
    <w:rsid w:val="5CE34F37"/>
    <w:rsid w:val="5D5C411F"/>
    <w:rsid w:val="5D6E6A93"/>
    <w:rsid w:val="5D871A10"/>
    <w:rsid w:val="5E0349BC"/>
    <w:rsid w:val="5E2042D5"/>
    <w:rsid w:val="5E3462EB"/>
    <w:rsid w:val="5E442B56"/>
    <w:rsid w:val="5EB07780"/>
    <w:rsid w:val="5EDB3E71"/>
    <w:rsid w:val="5F7101A2"/>
    <w:rsid w:val="5FDD3307"/>
    <w:rsid w:val="60164E79"/>
    <w:rsid w:val="60F666A9"/>
    <w:rsid w:val="60F71D14"/>
    <w:rsid w:val="615D1744"/>
    <w:rsid w:val="619D5B4A"/>
    <w:rsid w:val="62332990"/>
    <w:rsid w:val="62FC2FFD"/>
    <w:rsid w:val="630C42D5"/>
    <w:rsid w:val="637B778C"/>
    <w:rsid w:val="63C20760"/>
    <w:rsid w:val="644F0457"/>
    <w:rsid w:val="64AF0BB7"/>
    <w:rsid w:val="64EB18ED"/>
    <w:rsid w:val="65C732D9"/>
    <w:rsid w:val="66511D7F"/>
    <w:rsid w:val="67245C40"/>
    <w:rsid w:val="67487E87"/>
    <w:rsid w:val="67A74229"/>
    <w:rsid w:val="67AF59F5"/>
    <w:rsid w:val="67FB7F37"/>
    <w:rsid w:val="6A4B1902"/>
    <w:rsid w:val="6AA74529"/>
    <w:rsid w:val="6AC137B3"/>
    <w:rsid w:val="6AEE6971"/>
    <w:rsid w:val="6AF36141"/>
    <w:rsid w:val="6B9C0A60"/>
    <w:rsid w:val="6C176058"/>
    <w:rsid w:val="6D091DAB"/>
    <w:rsid w:val="6D107649"/>
    <w:rsid w:val="6D1628D6"/>
    <w:rsid w:val="6D577891"/>
    <w:rsid w:val="6D6D5048"/>
    <w:rsid w:val="6DDC178D"/>
    <w:rsid w:val="6E476C55"/>
    <w:rsid w:val="6EC07D41"/>
    <w:rsid w:val="6EF8526B"/>
    <w:rsid w:val="6F712C50"/>
    <w:rsid w:val="6FC32EA6"/>
    <w:rsid w:val="6FCC398B"/>
    <w:rsid w:val="6FE56A35"/>
    <w:rsid w:val="72B30AD0"/>
    <w:rsid w:val="72C63BD8"/>
    <w:rsid w:val="72FC0F56"/>
    <w:rsid w:val="738E3645"/>
    <w:rsid w:val="73952D92"/>
    <w:rsid w:val="73DD4830"/>
    <w:rsid w:val="73E76502"/>
    <w:rsid w:val="743B0A5B"/>
    <w:rsid w:val="74480AA6"/>
    <w:rsid w:val="74C63258"/>
    <w:rsid w:val="75215BE8"/>
    <w:rsid w:val="76202410"/>
    <w:rsid w:val="76BD7651"/>
    <w:rsid w:val="77E72D1B"/>
    <w:rsid w:val="781227C7"/>
    <w:rsid w:val="78895FA2"/>
    <w:rsid w:val="78CA240C"/>
    <w:rsid w:val="798E03C5"/>
    <w:rsid w:val="799B6611"/>
    <w:rsid w:val="79AB6234"/>
    <w:rsid w:val="7A261261"/>
    <w:rsid w:val="7AD76D1F"/>
    <w:rsid w:val="7B4F5E0F"/>
    <w:rsid w:val="7CA1240F"/>
    <w:rsid w:val="7D1B66DC"/>
    <w:rsid w:val="7D8C6A5C"/>
    <w:rsid w:val="7DBC62B5"/>
    <w:rsid w:val="7DEF58B3"/>
    <w:rsid w:val="7DFA1E09"/>
    <w:rsid w:val="7E061B8F"/>
    <w:rsid w:val="7E3317DD"/>
    <w:rsid w:val="7FD7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2"/>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unhideWhenUsed/>
    <w:qFormat/>
    <w:uiPriority w:val="0"/>
    <w:pPr>
      <w:jc w:val="left"/>
    </w:pPr>
  </w:style>
  <w:style w:type="paragraph" w:styleId="5">
    <w:name w:val="Date"/>
    <w:basedOn w:val="1"/>
    <w:next w:val="1"/>
    <w:link w:val="65"/>
    <w:qFormat/>
    <w:uiPriority w:val="0"/>
    <w:pPr>
      <w:ind w:left="100" w:leftChars="2500"/>
    </w:pPr>
  </w:style>
  <w:style w:type="paragraph" w:styleId="6">
    <w:name w:val="Body Text Indent 2"/>
    <w:basedOn w:val="1"/>
    <w:link w:val="48"/>
    <w:autoRedefine/>
    <w:qFormat/>
    <w:uiPriority w:val="0"/>
    <w:pPr>
      <w:ind w:firstLine="480" w:firstLineChars="0"/>
    </w:pPr>
    <w:rPr>
      <w:rFonts w:ascii="Times New Roman" w:hAnsi="Times New Roman" w:eastAsia="宋体" w:cs="Times New Roman"/>
      <w:b/>
      <w:sz w:val="24"/>
      <w:szCs w:val="20"/>
    </w:rPr>
  </w:style>
  <w:style w:type="paragraph" w:styleId="7">
    <w:name w:val="endnote text"/>
    <w:basedOn w:val="1"/>
    <w:link w:val="57"/>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8">
    <w:name w:val="Balloon Text"/>
    <w:basedOn w:val="1"/>
    <w:link w:val="42"/>
    <w:semiHidden/>
    <w:unhideWhenUsed/>
    <w:qFormat/>
    <w:uiPriority w:val="0"/>
    <w:pPr>
      <w:spacing w:line="240" w:lineRule="auto"/>
    </w:pPr>
    <w:rPr>
      <w:sz w:val="18"/>
      <w:szCs w:val="18"/>
    </w:rPr>
  </w:style>
  <w:style w:type="paragraph" w:styleId="9">
    <w:name w:val="footer"/>
    <w:basedOn w:val="1"/>
    <w:link w:val="25"/>
    <w:unhideWhenUsed/>
    <w:qFormat/>
    <w:uiPriority w:val="0"/>
    <w:pPr>
      <w:tabs>
        <w:tab w:val="center" w:pos="4153"/>
        <w:tab w:val="right" w:pos="8306"/>
      </w:tabs>
      <w:snapToGrid w:val="0"/>
      <w:spacing w:line="240" w:lineRule="auto"/>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semiHidden/>
    <w:qFormat/>
    <w:uiPriority w:val="0"/>
    <w:pPr>
      <w:tabs>
        <w:tab w:val="right" w:leader="dot" w:pos="9242"/>
      </w:tabs>
      <w:spacing w:beforeLines="25" w:afterLines="25"/>
      <w:jc w:val="left"/>
    </w:pPr>
    <w:rPr>
      <w:rFonts w:ascii="宋体"/>
      <w:szCs w:val="21"/>
    </w:rPr>
  </w:style>
  <w:style w:type="paragraph" w:styleId="12">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3">
    <w:name w:val="Normal (Web)"/>
    <w:basedOn w:val="1"/>
    <w:qFormat/>
    <w:uiPriority w:val="99"/>
    <w:pPr>
      <w:spacing w:beforeAutospacing="1" w:afterAutospacing="1"/>
      <w:jc w:val="left"/>
    </w:pPr>
    <w:rPr>
      <w:rFonts w:cs="Times New Roman"/>
      <w:kern w:val="0"/>
      <w:sz w:val="24"/>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ndnote reference"/>
    <w:basedOn w:val="16"/>
    <w:autoRedefine/>
    <w:qFormat/>
    <w:uiPriority w:val="0"/>
    <w:rPr>
      <w:vertAlign w:val="superscript"/>
    </w:rPr>
  </w:style>
  <w:style w:type="character" w:styleId="18">
    <w:name w:val="Hyperlink"/>
    <w:basedOn w:val="16"/>
    <w:autoRedefine/>
    <w:unhideWhenUsed/>
    <w:qFormat/>
    <w:uiPriority w:val="99"/>
    <w:rPr>
      <w:color w:val="0000FF"/>
      <w:u w:val="single"/>
    </w:rPr>
  </w:style>
  <w:style w:type="character" w:styleId="19">
    <w:name w:val="annotation reference"/>
    <w:basedOn w:val="16"/>
    <w:autoRedefine/>
    <w:semiHidden/>
    <w:qFormat/>
    <w:uiPriority w:val="99"/>
    <w:rPr>
      <w:rFonts w:cs="Times New Roman"/>
      <w:sz w:val="21"/>
    </w:rPr>
  </w:style>
  <w:style w:type="character" w:styleId="20">
    <w:name w:val="footnote reference"/>
    <w:basedOn w:val="16"/>
    <w:autoRedefine/>
    <w:qFormat/>
    <w:uiPriority w:val="0"/>
    <w:rPr>
      <w:vertAlign w:val="superscript"/>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autoRedefine/>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Char"/>
    <w:basedOn w:val="16"/>
    <w:link w:val="10"/>
    <w:autoRedefine/>
    <w:qFormat/>
    <w:uiPriority w:val="0"/>
    <w:rPr>
      <w:rFonts w:eastAsia="仿宋" w:asciiTheme="minorHAnsi" w:hAnsiTheme="minorHAnsi" w:cstheme="minorBidi"/>
      <w:kern w:val="2"/>
      <w:sz w:val="18"/>
      <w:szCs w:val="18"/>
    </w:rPr>
  </w:style>
  <w:style w:type="character" w:customStyle="1" w:styleId="25">
    <w:name w:val="页脚 Char"/>
    <w:basedOn w:val="16"/>
    <w:link w:val="9"/>
    <w:autoRedefine/>
    <w:qFormat/>
    <w:uiPriority w:val="0"/>
    <w:rPr>
      <w:rFonts w:eastAsia="仿宋" w:asciiTheme="minorHAnsi" w:hAnsiTheme="minorHAnsi" w:cstheme="minorBidi"/>
      <w:kern w:val="2"/>
      <w:sz w:val="18"/>
      <w:szCs w:val="18"/>
    </w:rPr>
  </w:style>
  <w:style w:type="paragraph" w:styleId="26">
    <w:name w:val="List Paragraph"/>
    <w:basedOn w:val="1"/>
    <w:autoRedefine/>
    <w:unhideWhenUsed/>
    <w:qFormat/>
    <w:uiPriority w:val="34"/>
    <w:pPr>
      <w:ind w:firstLine="420"/>
    </w:pPr>
  </w:style>
  <w:style w:type="paragraph" w:customStyle="1" w:styleId="27">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autoRedefine/>
    <w:qFormat/>
    <w:locked/>
    <w:uiPriority w:val="0"/>
    <w:rPr>
      <w:rFonts w:ascii="宋体"/>
      <w:sz w:val="21"/>
    </w:rPr>
  </w:style>
  <w:style w:type="character" w:customStyle="1" w:styleId="31">
    <w:name w:val="一级条标题 Char"/>
    <w:link w:val="32"/>
    <w:autoRedefine/>
    <w:qFormat/>
    <w:locked/>
    <w:uiPriority w:val="99"/>
    <w:rPr>
      <w:rFonts w:ascii="黑体" w:eastAsia="黑体"/>
      <w:sz w:val="22"/>
    </w:rPr>
  </w:style>
  <w:style w:type="paragraph" w:customStyle="1" w:styleId="32">
    <w:name w:val="一级条标题"/>
    <w:next w:val="22"/>
    <w:link w:val="31"/>
    <w:autoRedefine/>
    <w:qFormat/>
    <w:uiPriority w:val="99"/>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autoRedefine/>
    <w:qFormat/>
    <w:uiPriority w:val="0"/>
    <w:pPr>
      <w:outlineLvl w:val="5"/>
    </w:pPr>
  </w:style>
  <w:style w:type="paragraph" w:customStyle="1" w:styleId="34">
    <w:name w:val="三级条标题"/>
    <w:basedOn w:val="35"/>
    <w:next w:val="22"/>
    <w:autoRedefine/>
    <w:qFormat/>
    <w:uiPriority w:val="0"/>
    <w:pPr>
      <w:outlineLvl w:val="4"/>
    </w:pPr>
  </w:style>
  <w:style w:type="paragraph" w:customStyle="1" w:styleId="35">
    <w:name w:val="二级条标题"/>
    <w:basedOn w:val="32"/>
    <w:next w:val="22"/>
    <w:autoRedefine/>
    <w:qFormat/>
    <w:uiPriority w:val="0"/>
    <w:pPr>
      <w:spacing w:before="50" w:after="50"/>
      <w:outlineLvl w:val="3"/>
    </w:pPr>
  </w:style>
  <w:style w:type="paragraph" w:customStyle="1" w:styleId="36">
    <w:name w:val="五级条标题"/>
    <w:basedOn w:val="33"/>
    <w:next w:val="22"/>
    <w:autoRedefine/>
    <w:qFormat/>
    <w:uiPriority w:val="0"/>
    <w:pPr>
      <w:outlineLvl w:val="6"/>
    </w:pPr>
  </w:style>
  <w:style w:type="paragraph" w:customStyle="1" w:styleId="37">
    <w:name w:val="正文表标题"/>
    <w:next w:val="22"/>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autoRedefine/>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autoRedefine/>
    <w:qFormat/>
    <w:locked/>
    <w:uiPriority w:val="99"/>
    <w:rPr>
      <w:rFonts w:ascii="黑体" w:eastAsia="黑体"/>
      <w:sz w:val="21"/>
    </w:rPr>
  </w:style>
  <w:style w:type="character" w:customStyle="1" w:styleId="42">
    <w:name w:val="批注框文本 Char"/>
    <w:basedOn w:val="16"/>
    <w:link w:val="8"/>
    <w:autoRedefine/>
    <w:semiHidden/>
    <w:qFormat/>
    <w:uiPriority w:val="0"/>
    <w:rPr>
      <w:rFonts w:eastAsia="仿宋" w:asciiTheme="minorHAnsi" w:hAnsiTheme="minorHAnsi" w:cstheme="minorBidi"/>
      <w:kern w:val="2"/>
      <w:sz w:val="18"/>
      <w:szCs w:val="18"/>
    </w:rPr>
  </w:style>
  <w:style w:type="paragraph" w:customStyle="1" w:styleId="43">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autoRedefine/>
    <w:semiHidden/>
    <w:qFormat/>
    <w:uiPriority w:val="9"/>
    <w:rPr>
      <w:rFonts w:asciiTheme="majorHAnsi" w:hAnsiTheme="majorHAnsi" w:eastAsiaTheme="majorEastAsia" w:cstheme="majorBidi"/>
      <w:b/>
      <w:bCs/>
      <w:kern w:val="2"/>
      <w:sz w:val="32"/>
      <w:szCs w:val="32"/>
    </w:rPr>
  </w:style>
  <w:style w:type="character" w:customStyle="1" w:styleId="45">
    <w:name w:val="标题 2 Char"/>
    <w:basedOn w:val="16"/>
    <w:link w:val="2"/>
    <w:autoRedefine/>
    <w:qFormat/>
    <w:uiPriority w:val="0"/>
    <w:rPr>
      <w:rFonts w:ascii="Arial" w:hAnsi="Arial" w:eastAsia="黑体"/>
      <w:b/>
      <w:bCs/>
      <w:kern w:val="2"/>
      <w:sz w:val="32"/>
      <w:szCs w:val="32"/>
    </w:rPr>
  </w:style>
  <w:style w:type="paragraph" w:customStyle="1" w:styleId="46">
    <w:name w:val="Char Char Char Char"/>
    <w:basedOn w:val="1"/>
    <w:autoRedefine/>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Char"/>
    <w:basedOn w:val="16"/>
    <w:link w:val="6"/>
    <w:autoRedefine/>
    <w:qFormat/>
    <w:uiPriority w:val="0"/>
    <w:rPr>
      <w:b/>
      <w:kern w:val="2"/>
      <w:sz w:val="24"/>
    </w:rPr>
  </w:style>
  <w:style w:type="table" w:customStyle="1" w:styleId="49">
    <w:name w:val="网格型1"/>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一级无"/>
    <w:basedOn w:val="32"/>
    <w:autoRedefine/>
    <w:qFormat/>
    <w:uiPriority w:val="0"/>
    <w:pPr>
      <w:spacing w:beforeLines="0" w:afterLines="0"/>
      <w:ind w:left="210"/>
    </w:pPr>
    <w:rPr>
      <w:rFonts w:ascii="宋体" w:eastAsia="宋体"/>
      <w:sz w:val="21"/>
      <w:szCs w:val="21"/>
    </w:rPr>
  </w:style>
  <w:style w:type="paragraph" w:customStyle="1" w:styleId="51">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Char"/>
    <w:basedOn w:val="16"/>
    <w:link w:val="3"/>
    <w:autoRedefine/>
    <w:semiHidden/>
    <w:qFormat/>
    <w:uiPriority w:val="0"/>
    <w:rPr>
      <w:kern w:val="2"/>
      <w:sz w:val="21"/>
      <w:szCs w:val="24"/>
      <w:shd w:val="clear" w:color="auto" w:fill="000080"/>
    </w:rPr>
  </w:style>
  <w:style w:type="paragraph" w:customStyle="1" w:styleId="53">
    <w:name w:val="二级无"/>
    <w:basedOn w:val="35"/>
    <w:autoRedefine/>
    <w:qFormat/>
    <w:uiPriority w:val="0"/>
    <w:pPr>
      <w:spacing w:beforeLines="0" w:afterLines="0"/>
    </w:pPr>
    <w:rPr>
      <w:rFonts w:ascii="宋体" w:eastAsia="宋体"/>
      <w:sz w:val="21"/>
      <w:szCs w:val="21"/>
    </w:rPr>
  </w:style>
  <w:style w:type="paragraph" w:customStyle="1" w:styleId="54">
    <w:name w:val="三级无"/>
    <w:basedOn w:val="1"/>
    <w:autoRedefine/>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autoRedefine/>
    <w:semiHidden/>
    <w:qFormat/>
    <w:uiPriority w:val="99"/>
    <w:rPr>
      <w:rFonts w:eastAsia="仿宋" w:asciiTheme="minorHAnsi" w:hAnsiTheme="minorHAnsi" w:cstheme="minorBidi"/>
      <w:kern w:val="2"/>
      <w:sz w:val="32"/>
      <w:szCs w:val="22"/>
    </w:rPr>
  </w:style>
  <w:style w:type="character" w:customStyle="1" w:styleId="57">
    <w:name w:val="尾注文本 Char"/>
    <w:basedOn w:val="16"/>
    <w:link w:val="7"/>
    <w:autoRedefine/>
    <w:qFormat/>
    <w:uiPriority w:val="0"/>
    <w:rPr>
      <w:kern w:val="2"/>
      <w:sz w:val="21"/>
      <w:szCs w:val="24"/>
    </w:rPr>
  </w:style>
  <w:style w:type="character" w:customStyle="1" w:styleId="58">
    <w:name w:val="脚注文本 字符"/>
    <w:basedOn w:val="16"/>
    <w:autoRedefine/>
    <w:semiHidden/>
    <w:qFormat/>
    <w:uiPriority w:val="99"/>
    <w:rPr>
      <w:rFonts w:eastAsia="仿宋" w:asciiTheme="minorHAnsi" w:hAnsiTheme="minorHAnsi" w:cstheme="minorBidi"/>
      <w:kern w:val="2"/>
      <w:sz w:val="18"/>
      <w:szCs w:val="18"/>
    </w:rPr>
  </w:style>
  <w:style w:type="character" w:customStyle="1" w:styleId="59">
    <w:name w:val="脚注文本 Char"/>
    <w:basedOn w:val="16"/>
    <w:link w:val="12"/>
    <w:autoRedefine/>
    <w:qFormat/>
    <w:uiPriority w:val="0"/>
    <w:rPr>
      <w:kern w:val="2"/>
      <w:sz w:val="18"/>
      <w:szCs w:val="18"/>
    </w:rPr>
  </w:style>
  <w:style w:type="table" w:customStyle="1" w:styleId="60">
    <w:name w:val="网格型2"/>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3"/>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6"/>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
    <w:name w:val="日期 Char"/>
    <w:basedOn w:val="16"/>
    <w:link w:val="5"/>
    <w:autoRedefine/>
    <w:qFormat/>
    <w:uiPriority w:val="0"/>
    <w:rPr>
      <w:rFonts w:eastAsia="仿宋" w:asciiTheme="minorHAnsi" w:hAnsiTheme="minorHAnsi" w:cstheme="minorBidi"/>
      <w:kern w:val="2"/>
      <w:sz w:val="32"/>
      <w:szCs w:val="22"/>
    </w:rPr>
  </w:style>
  <w:style w:type="table" w:customStyle="1" w:styleId="66">
    <w:name w:val="网格型7"/>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4"/>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8">
    <w:name w:val="Other|1"/>
    <w:basedOn w:val="1"/>
    <w:autoRedefine/>
    <w:qFormat/>
    <w:uiPriority w:val="0"/>
    <w:pPr>
      <w:spacing w:line="348" w:lineRule="auto"/>
    </w:pPr>
    <w:rPr>
      <w:rFonts w:ascii="宋体" w:hAnsi="宋体" w:eastAsia="宋体" w:cs="宋体"/>
      <w:sz w:val="19"/>
      <w:szCs w:val="19"/>
      <w:lang w:val="zh-CN" w:bidi="zh-CN"/>
    </w:rPr>
  </w:style>
  <w:style w:type="paragraph" w:customStyle="1" w:styleId="69">
    <w:name w:val="Table Paragraph"/>
    <w:basedOn w:val="1"/>
    <w:autoRedefine/>
    <w:qFormat/>
    <w:uiPriority w:val="1"/>
    <w:pPr>
      <w:jc w:val="center"/>
    </w:pPr>
    <w:rPr>
      <w:rFonts w:ascii="Times New Roman" w:hAnsi="Times New Roman" w:eastAsia="Times New Roman" w:cs="Times New Roman"/>
    </w:rPr>
  </w:style>
  <w:style w:type="paragraph" w:customStyle="1" w:styleId="70">
    <w:name w:val="Abstract first para"/>
    <w:basedOn w:val="1"/>
    <w:autoRedefine/>
    <w:qFormat/>
    <w:uiPriority w:val="0"/>
    <w:rPr>
      <w:i/>
      <w:sz w:val="24"/>
    </w:rPr>
  </w:style>
  <w:style w:type="paragraph" w:customStyle="1" w:styleId="71">
    <w:name w:val="Table Text"/>
    <w:basedOn w:val="1"/>
    <w:autoRedefine/>
    <w:semiHidden/>
    <w:qFormat/>
    <w:uiPriority w:val="0"/>
    <w:rPr>
      <w:rFonts w:ascii="宋体" w:hAnsi="宋体" w:cs="宋体"/>
      <w:sz w:val="28"/>
      <w:szCs w:val="28"/>
      <w:lang w:eastAsia="en-US"/>
    </w:rPr>
  </w:style>
  <w:style w:type="character" w:customStyle="1" w:styleId="72">
    <w:name w:val="font2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4890-885B-4E8C-A75E-D5FCE98425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4844</Words>
  <Characters>6321</Characters>
  <Lines>40</Lines>
  <Paragraphs>11</Paragraphs>
  <TotalTime>1977</TotalTime>
  <ScaleCrop>false</ScaleCrop>
  <LinksUpToDate>false</LinksUpToDate>
  <CharactersWithSpaces>6484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Feeling</cp:lastModifiedBy>
  <cp:lastPrinted>2018-08-29T11:18:00Z</cp:lastPrinted>
  <dcterms:modified xsi:type="dcterms:W3CDTF">2024-06-05T14:53:41Z</dcterms:modified>
  <cp:revision>1701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2CAAD4D50BE04ED2857810F1071BA369</vt:lpwstr>
  </property>
</Properties>
</file>