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61</w:t>
            </w:r>
            <w:r>
              <w:rPr>
                <w:rFonts w:ascii="黑体" w:hAnsi="黑体" w:eastAsia="黑体"/>
                <w:sz w:val="21"/>
                <w:szCs w:val="21"/>
              </w:rP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玉竹打顶及后期管理技术规程</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regulations for topping and cultivation management in later</w:t>
      </w:r>
      <w:r>
        <w:rPr>
          <w:rFonts w:hint="eastAsia" w:ascii="黑体" w:hAnsi="黑体" w:eastAsia="黑体"/>
          <w:szCs w:val="28"/>
          <w:lang w:val="en-US" w:eastAsia="zh-CN"/>
        </w:rPr>
        <w:t xml:space="preserve"> stage</w:t>
      </w:r>
      <w:r>
        <w:rPr>
          <w:rFonts w:ascii="黑体" w:hAnsi="黑体" w:eastAsia="黑体"/>
          <w:szCs w:val="28"/>
        </w:rPr>
        <w:t xml:space="preserve"> </w:t>
      </w:r>
      <w:r>
        <w:rPr>
          <w:rFonts w:hint="eastAsia" w:ascii="黑体" w:hAnsi="黑体" w:eastAsia="黑体"/>
          <w:szCs w:val="28"/>
        </w:rPr>
        <w:t>of</w:t>
      </w:r>
      <w:r>
        <w:rPr>
          <w:rFonts w:ascii="黑体" w:hAnsi="黑体" w:eastAsia="黑体"/>
          <w:szCs w:val="28"/>
        </w:rPr>
        <w:t xml:space="preserve"> </w:t>
      </w:r>
      <w:r>
        <w:rPr>
          <w:rFonts w:ascii="黑体" w:hAnsi="黑体" w:eastAsia="黑体"/>
          <w:i/>
          <w:szCs w:val="28"/>
        </w:rPr>
        <w:t>P</w:t>
      </w:r>
      <w:r>
        <w:rPr>
          <w:rFonts w:hint="eastAsia" w:ascii="黑体" w:hAnsi="黑体" w:eastAsia="黑体"/>
          <w:i/>
          <w:szCs w:val="28"/>
          <w:lang w:val="en-US" w:eastAsia="zh-CN"/>
        </w:rPr>
        <w:t>olygonatum</w:t>
      </w:r>
      <w:r>
        <w:rPr>
          <w:rFonts w:ascii="黑体" w:hAnsi="黑体" w:eastAsia="黑体"/>
          <w:i/>
          <w:szCs w:val="28"/>
        </w:rPr>
        <w:t xml:space="preserve"> </w:t>
      </w:r>
      <w:r>
        <w:rPr>
          <w:rFonts w:hint="eastAsia" w:ascii="黑体" w:hAnsi="黑体" w:eastAsia="黑体"/>
          <w:i/>
          <w:szCs w:val="28"/>
          <w:lang w:val="en-US" w:eastAsia="zh-CN"/>
        </w:rPr>
        <w:t>odoratum</w:t>
      </w:r>
      <w:r>
        <w:rPr>
          <w:rFonts w:ascii="黑体" w:hAnsi="黑体" w:eastAsia="黑体"/>
          <w:szCs w:val="28"/>
        </w:rPr>
        <w:t xml:space="preserve"> </w:t>
      </w:r>
      <w:r>
        <w:rPr>
          <w:rFonts w:hint="eastAsia" w:ascii="黑体" w:hAnsi="黑体" w:eastAsia="黑体"/>
          <w:szCs w:val="28"/>
        </w:rPr>
        <w:t>(Mill.) Druce</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广西标准化协会</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20" w:name="BookMark1"/>
      <w:bookmarkStart w:id="21" w:name="_Toc166143231"/>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_Toc31470 </w:instrText>
      </w:r>
      <w:r>
        <w:fldChar w:fldCharType="separate"/>
      </w:r>
      <w:r>
        <w:rPr>
          <w:spacing w:val="320"/>
        </w:rPr>
        <w:t>前</w:t>
      </w:r>
      <w:r>
        <w:t>言</w:t>
      </w:r>
      <w:r>
        <w:tab/>
      </w:r>
      <w:r>
        <w:fldChar w:fldCharType="begin"/>
      </w:r>
      <w:r>
        <w:instrText xml:space="preserve"> PAGEREF _Toc31470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_Toc17883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_Toc17883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_Toc26011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_Toc26011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_Toc16057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_Toc16057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_Toc7281 </w:instrText>
      </w:r>
      <w:r>
        <w:fldChar w:fldCharType="separate"/>
      </w:r>
      <w:r>
        <w:rPr>
          <w:rFonts w:hint="eastAsia" w:ascii="黑体" w:eastAsia="黑体"/>
          <w:i w:val="0"/>
        </w:rPr>
        <w:t xml:space="preserve">4 </w:t>
      </w:r>
      <w:r>
        <w:rPr>
          <w:rFonts w:hint="eastAsia"/>
          <w:lang w:eastAsia="zh-CN"/>
        </w:rPr>
        <w:t>打顶技术</w:t>
      </w:r>
      <w:r>
        <w:tab/>
      </w:r>
      <w:r>
        <w:fldChar w:fldCharType="begin"/>
      </w:r>
      <w:r>
        <w:instrText xml:space="preserve"> PAGEREF _Toc7281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_Toc20863 </w:instrText>
      </w:r>
      <w:r>
        <w:fldChar w:fldCharType="separate"/>
      </w:r>
      <w:r>
        <w:rPr>
          <w:rFonts w:hint="eastAsia" w:ascii="黑体" w:eastAsia="黑体"/>
          <w:i w:val="0"/>
        </w:rPr>
        <w:t xml:space="preserve">5 </w:t>
      </w:r>
      <w:r>
        <w:rPr>
          <w:rFonts w:hint="eastAsia"/>
        </w:rPr>
        <w:t>打顶后期田间</w:t>
      </w:r>
      <w:r>
        <w:rPr>
          <w:rFonts w:hint="eastAsia"/>
          <w:lang w:eastAsia="zh-CN"/>
        </w:rPr>
        <w:t>管理</w:t>
      </w:r>
      <w:r>
        <w:tab/>
      </w:r>
      <w:r>
        <w:fldChar w:fldCharType="begin"/>
      </w:r>
      <w:r>
        <w:instrText xml:space="preserve"> PAGEREF _Toc20863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_Toc27494 </w:instrText>
      </w:r>
      <w:r>
        <w:fldChar w:fldCharType="separate"/>
      </w:r>
      <w:r>
        <w:rPr>
          <w:rFonts w:hint="eastAsia" w:ascii="黑体" w:eastAsia="黑体"/>
          <w:i w:val="0"/>
        </w:rPr>
        <w:t xml:space="preserve">6 </w:t>
      </w:r>
      <w:r>
        <w:rPr>
          <w:rFonts w:hint="eastAsia"/>
          <w:lang w:eastAsia="zh-CN"/>
        </w:rPr>
        <w:t>病虫害防治</w:t>
      </w:r>
      <w:r>
        <w:tab/>
      </w:r>
      <w:r>
        <w:fldChar w:fldCharType="begin"/>
      </w:r>
      <w:r>
        <w:instrText xml:space="preserve"> PAGEREF _Toc27494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_Toc18286 </w:instrText>
      </w:r>
      <w:r>
        <w:fldChar w:fldCharType="separate"/>
      </w:r>
      <w:r>
        <w:rPr>
          <w:rFonts w:hint="eastAsia" w:ascii="黑体" w:eastAsia="黑体"/>
          <w:i w:val="0"/>
        </w:rPr>
        <w:t xml:space="preserve">7 </w:t>
      </w:r>
      <w:r>
        <w:rPr>
          <w:rFonts w:hint="eastAsia"/>
          <w:lang w:eastAsia="zh-CN"/>
        </w:rPr>
        <w:t>采收与初加工</w:t>
      </w:r>
      <w:r>
        <w:tab/>
      </w:r>
      <w:r>
        <w:fldChar w:fldCharType="begin"/>
      </w:r>
      <w:r>
        <w:instrText xml:space="preserve"> PAGEREF _Toc18286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_Toc30538 </w:instrText>
      </w:r>
      <w:r>
        <w:fldChar w:fldCharType="separate"/>
      </w:r>
      <w:r>
        <w:rPr>
          <w:rFonts w:hint="eastAsia" w:ascii="黑体" w:eastAsia="黑体"/>
          <w:i w:val="0"/>
        </w:rPr>
        <w:t xml:space="preserve">8 </w:t>
      </w:r>
      <w:r>
        <w:rPr>
          <w:rFonts w:hint="eastAsia"/>
          <w:lang w:eastAsia="zh-CN"/>
        </w:rPr>
        <w:t>生产档案</w:t>
      </w:r>
      <w:r>
        <w:tab/>
      </w:r>
      <w:r>
        <w:fldChar w:fldCharType="begin"/>
      </w:r>
      <w:r>
        <w:instrText xml:space="preserve"> PAGEREF _Toc30538 \h </w:instrText>
      </w:r>
      <w:r>
        <w:fldChar w:fldCharType="separate"/>
      </w:r>
      <w:r>
        <w:t>2</w:t>
      </w:r>
      <w:r>
        <w:fldChar w:fldCharType="end"/>
      </w:r>
      <w:r>
        <w:fldChar w:fldCharType="end"/>
      </w:r>
    </w:p>
    <w:p>
      <w:pPr>
        <w:pStyle w:val="94"/>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0"/>
    <w:p>
      <w:pPr>
        <w:pStyle w:val="92"/>
        <w:spacing w:after="360"/>
      </w:pPr>
      <w:bookmarkStart w:id="22" w:name="_Toc31470"/>
      <w:bookmarkStart w:id="23" w:name="BookMark2"/>
      <w:r>
        <w:rPr>
          <w:spacing w:val="320"/>
        </w:rPr>
        <w:t>前</w:t>
      </w:r>
      <w:r>
        <w:t>言</w:t>
      </w:r>
      <w:bookmarkEnd w:id="21"/>
      <w:bookmarkEnd w:id="22"/>
    </w:p>
    <w:p>
      <w:pPr>
        <w:pStyle w:val="59"/>
        <w:ind w:firstLine="420"/>
      </w:pPr>
      <w:r>
        <w:rPr>
          <w:rFonts w:hint="eastAsia"/>
        </w:rPr>
        <w:t>本文件参照GB/T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rPr>
          <w:rFonts w:hint="eastAsia"/>
        </w:rPr>
      </w:pPr>
      <w:r>
        <w:rPr>
          <w:rFonts w:hint="eastAsia"/>
        </w:rPr>
        <w:t>本文件由广西壮族自治区中国科学院广西植物研究所提出。</w:t>
      </w:r>
    </w:p>
    <w:p>
      <w:pPr>
        <w:pStyle w:val="59"/>
        <w:ind w:firstLine="420"/>
        <w:rPr>
          <w:rFonts w:hint="eastAsia" w:hAnsi="宋体"/>
          <w:szCs w:val="21"/>
        </w:rPr>
      </w:pPr>
      <w:r>
        <w:rPr>
          <w:rFonts w:hint="eastAsia" w:hAnsi="宋体"/>
          <w:szCs w:val="21"/>
        </w:rPr>
        <w:t>本文件由广西中药材产业协会归口</w:t>
      </w:r>
      <w:r>
        <w:rPr>
          <w:rFonts w:hint="eastAsia"/>
        </w:rPr>
        <w:t>并宣贯。</w:t>
      </w:r>
      <w:bookmarkStart w:id="57" w:name="_GoBack"/>
      <w:bookmarkEnd w:id="57"/>
    </w:p>
    <w:p>
      <w:pPr>
        <w:pStyle w:val="59"/>
        <w:ind w:firstLine="420"/>
        <w:rPr>
          <w:rFonts w:hint="eastAsia" w:hAnsi="宋体"/>
          <w:szCs w:val="21"/>
        </w:rPr>
      </w:pPr>
      <w:r>
        <w:rPr>
          <w:rFonts w:hint="eastAsia"/>
        </w:rPr>
        <w:t>本文件起草单位：</w:t>
      </w:r>
      <w:r>
        <w:rPr>
          <w:rFonts w:hint="eastAsia" w:hAnsi="宋体"/>
          <w:szCs w:val="21"/>
        </w:rPr>
        <w:t>广西壮族自治区中国科学院广西植物研究所，桂林聚晖生态农林开发有限公司、广州采芝林药业有限公司。</w:t>
      </w:r>
    </w:p>
    <w:p>
      <w:pPr>
        <w:pStyle w:val="59"/>
        <w:ind w:firstLine="420"/>
      </w:pPr>
      <w:r>
        <w:rPr>
          <w:rFonts w:hint="eastAsia"/>
        </w:rPr>
        <w:t>本文件主要起草人：</w:t>
      </w:r>
      <w:r>
        <w:rPr>
          <w:rFonts w:cstheme="minorBidi"/>
          <w:kern w:val="2"/>
          <w:szCs w:val="21"/>
        </w:rPr>
        <w:t>黄夕洋、李虹</w:t>
      </w:r>
      <w:r>
        <w:rPr>
          <w:rFonts w:hint="eastAsia" w:cstheme="minorBidi"/>
          <w:kern w:val="2"/>
          <w:szCs w:val="21"/>
        </w:rPr>
        <w:t>、蒋艳梅</w:t>
      </w:r>
      <w:r>
        <w:rPr>
          <w:rFonts w:cstheme="minorBidi"/>
          <w:kern w:val="2"/>
          <w:szCs w:val="21"/>
        </w:rPr>
        <w:t>、</w:t>
      </w:r>
      <w:r>
        <w:rPr>
          <w:rFonts w:hint="eastAsia" w:cstheme="minorBidi"/>
          <w:kern w:val="2"/>
          <w:szCs w:val="21"/>
        </w:rPr>
        <w:t>唐辉</w:t>
      </w:r>
      <w:r>
        <w:rPr>
          <w:rFonts w:cstheme="minorBidi"/>
          <w:kern w:val="2"/>
          <w:szCs w:val="21"/>
        </w:rPr>
        <w:t>、</w:t>
      </w:r>
      <w:r>
        <w:rPr>
          <w:rFonts w:hint="eastAsia" w:cstheme="minorBidi"/>
          <w:kern w:val="2"/>
          <w:szCs w:val="21"/>
        </w:rPr>
        <w:t>孔箭</w:t>
      </w:r>
      <w:r>
        <w:rPr>
          <w:rFonts w:hint="eastAsia" w:cstheme="minorBidi"/>
          <w:kern w:val="2"/>
          <w:szCs w:val="21"/>
          <w:lang w:eastAsia="zh-CN"/>
        </w:rPr>
        <w:t>、</w:t>
      </w:r>
      <w:r>
        <w:rPr>
          <w:rFonts w:hint="eastAsia" w:cstheme="minorBidi"/>
          <w:kern w:val="2"/>
          <w:szCs w:val="21"/>
        </w:rPr>
        <w:t>郑玉梅</w:t>
      </w:r>
      <w:r>
        <w:rPr>
          <w:rFonts w:cstheme="minorBidi"/>
          <w:kern w:val="2"/>
          <w:szCs w:val="21"/>
        </w:rPr>
        <w:t>、</w:t>
      </w:r>
      <w:r>
        <w:rPr>
          <w:rFonts w:hint="eastAsia" w:cstheme="minorBidi"/>
          <w:kern w:val="2"/>
          <w:szCs w:val="21"/>
        </w:rPr>
        <w:t>唐华义</w:t>
      </w:r>
      <w:r>
        <w:rPr>
          <w:rFonts w:cstheme="minorBidi"/>
          <w:kern w:val="2"/>
          <w:szCs w:val="21"/>
        </w:rPr>
        <w:t>、</w:t>
      </w:r>
      <w:r>
        <w:rPr>
          <w:rFonts w:hint="eastAsia" w:cstheme="minorBidi"/>
          <w:kern w:val="2"/>
          <w:szCs w:val="21"/>
        </w:rPr>
        <w:t>吴超</w:t>
      </w:r>
      <w:r>
        <w:rPr>
          <w:rFonts w:hint="eastAsia" w:cstheme="minorBidi"/>
          <w:kern w:val="2"/>
          <w:szCs w:val="21"/>
          <w:lang w:val="en-US" w:eastAsia="zh-CN"/>
        </w:rPr>
        <w:t>、蒋昊洋、覃信梅、袁媛、吴梦莹</w:t>
      </w:r>
      <w:r>
        <w:rPr>
          <w:rFonts w:hint="eastAsia"/>
        </w:rPr>
        <w:t>。</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84FEF729A99B4E97B0A30B9DDBD2A6B2"/>
        </w:placeholder>
      </w:sdtPr>
      <w:sdtContent>
        <w:p>
          <w:pPr>
            <w:pStyle w:val="180"/>
            <w:spacing w:before="240" w:beforeLines="100" w:after="528" w:afterLines="220"/>
          </w:pPr>
          <w:bookmarkStart w:id="25" w:name="NEW_STAND_NAME"/>
          <w:r>
            <w:rPr>
              <w:rFonts w:hint="eastAsia"/>
            </w:rPr>
            <w:t>玉竹打顶及后期管理技术规程</w:t>
          </w:r>
        </w:p>
      </w:sdtContent>
    </w:sdt>
    <w:bookmarkEnd w:id="25"/>
    <w:p>
      <w:pPr>
        <w:pStyle w:val="107"/>
        <w:spacing w:before="240" w:after="240"/>
      </w:pPr>
      <w:bookmarkStart w:id="26" w:name="_Toc26718930"/>
      <w:bookmarkStart w:id="27" w:name="_Toc26986530"/>
      <w:bookmarkStart w:id="28" w:name="_Toc24884218"/>
      <w:bookmarkStart w:id="29" w:name="_Toc24884211"/>
      <w:bookmarkStart w:id="30" w:name="_Toc17233325"/>
      <w:bookmarkStart w:id="31" w:name="_Toc166143232"/>
      <w:bookmarkStart w:id="32" w:name="_Toc17883"/>
      <w:bookmarkStart w:id="33" w:name="_Toc26648465"/>
      <w:bookmarkStart w:id="34" w:name="_Toc17233333"/>
      <w:bookmarkStart w:id="35" w:name="_Toc26986771"/>
      <w:r>
        <w:rPr>
          <w:rFonts w:hint="eastAsia"/>
        </w:rPr>
        <w:t>范围</w:t>
      </w:r>
      <w:bookmarkEnd w:id="26"/>
      <w:bookmarkEnd w:id="27"/>
      <w:bookmarkEnd w:id="28"/>
      <w:bookmarkEnd w:id="29"/>
      <w:bookmarkEnd w:id="30"/>
      <w:bookmarkEnd w:id="31"/>
      <w:bookmarkEnd w:id="32"/>
      <w:bookmarkEnd w:id="33"/>
      <w:bookmarkEnd w:id="34"/>
      <w:bookmarkEnd w:id="35"/>
    </w:p>
    <w:p>
      <w:pPr>
        <w:pStyle w:val="59"/>
        <w:ind w:firstLine="420"/>
      </w:pPr>
      <w:bookmarkStart w:id="36" w:name="_Toc26648466"/>
      <w:bookmarkStart w:id="37" w:name="_Toc17233326"/>
      <w:bookmarkStart w:id="38" w:name="_Toc24884219"/>
      <w:bookmarkStart w:id="39" w:name="_Toc24884212"/>
      <w:bookmarkStart w:id="40" w:name="_Toc17233334"/>
      <w:r>
        <w:rPr>
          <w:rFonts w:hint="eastAsia"/>
        </w:rPr>
        <w:t>本文件规定了</w:t>
      </w:r>
      <w:r>
        <w:rPr>
          <w:rFonts w:hint="eastAsia"/>
          <w:lang w:eastAsia="zh-CN"/>
        </w:rPr>
        <w:t>玉竹</w:t>
      </w:r>
      <w:r>
        <w:rPr>
          <w:rFonts w:hint="eastAsia"/>
        </w:rPr>
        <w:t>打顶及后期管理技术的要求，描述了相应的打顶</w:t>
      </w:r>
      <w:r>
        <w:rPr>
          <w:rFonts w:hint="eastAsia"/>
          <w:lang w:val="en-US" w:eastAsia="zh-CN"/>
        </w:rPr>
        <w:t>技术、打顶后期田间管理</w:t>
      </w:r>
      <w:r>
        <w:rPr>
          <w:rFonts w:hint="eastAsia"/>
        </w:rPr>
        <w:t>、病虫害防治、采收与初加工、生产档案。</w:t>
      </w:r>
    </w:p>
    <w:p>
      <w:pPr>
        <w:pStyle w:val="59"/>
        <w:ind w:firstLine="420"/>
      </w:pPr>
      <w:r>
        <w:rPr>
          <w:rFonts w:hint="eastAsia"/>
        </w:rPr>
        <w:t>本文件适用于玉竹的打顶及后期</w:t>
      </w:r>
      <w:r>
        <w:rPr>
          <w:rFonts w:hint="eastAsia"/>
          <w:lang w:eastAsia="zh-CN"/>
        </w:rPr>
        <w:t>种植</w:t>
      </w:r>
      <w:r>
        <w:rPr>
          <w:rFonts w:hint="eastAsia"/>
        </w:rPr>
        <w:t>管理生产。</w:t>
      </w:r>
    </w:p>
    <w:p>
      <w:pPr>
        <w:pStyle w:val="107"/>
        <w:spacing w:before="240" w:after="240"/>
      </w:pPr>
      <w:bookmarkStart w:id="41" w:name="_Toc166143233"/>
      <w:bookmarkStart w:id="42" w:name="_Toc26718931"/>
      <w:bookmarkStart w:id="43" w:name="_Toc26011"/>
      <w:bookmarkStart w:id="44" w:name="_Toc26986531"/>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4337F1AC20284BEAB821B93414D70D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t>GB/T 8321(所有部分) 农药合理使用准则</w:t>
      </w:r>
    </w:p>
    <w:p>
      <w:pPr>
        <w:pStyle w:val="59"/>
        <w:ind w:firstLine="420"/>
      </w:pPr>
      <w:r>
        <w:rPr>
          <w:rFonts w:hint="eastAsia"/>
          <w:lang w:val="en-US" w:eastAsia="zh-CN"/>
        </w:rPr>
        <w:t>T</w:t>
      </w:r>
      <w:r>
        <w:t>/</w:t>
      </w:r>
      <w:r>
        <w:rPr>
          <w:rFonts w:hint="eastAsia"/>
          <w:lang w:val="en-US" w:eastAsia="zh-CN"/>
        </w:rPr>
        <w:t>GXAS</w:t>
      </w:r>
      <w:r>
        <w:t xml:space="preserve"> 4</w:t>
      </w:r>
      <w:r>
        <w:rPr>
          <w:rFonts w:hint="eastAsia"/>
          <w:lang w:val="en-US" w:eastAsia="zh-CN"/>
        </w:rPr>
        <w:t>43-2023</w:t>
      </w:r>
      <w:r>
        <w:t xml:space="preserve"> </w:t>
      </w:r>
      <w:r>
        <w:rPr>
          <w:rFonts w:hint="eastAsia"/>
        </w:rPr>
        <w:t>桂北地区玉竹林下栽培技术规程</w:t>
      </w:r>
    </w:p>
    <w:p>
      <w:pPr>
        <w:pStyle w:val="107"/>
        <w:spacing w:before="240" w:after="240"/>
      </w:pPr>
      <w:bookmarkStart w:id="46" w:name="_Toc16057"/>
      <w:bookmarkStart w:id="47" w:name="_Toc166143234"/>
      <w:r>
        <w:rPr>
          <w:rFonts w:hint="eastAsia"/>
          <w:szCs w:val="21"/>
        </w:rPr>
        <w:t>术语和定义</w:t>
      </w:r>
      <w:bookmarkEnd w:id="46"/>
      <w:bookmarkEnd w:id="47"/>
    </w:p>
    <w:sdt>
      <w:sdtPr>
        <w:id w:val="-1909835108"/>
        <w:placeholder>
          <w:docPart w:val="BDD11767B9014F0A983F18C66D25FF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8" w:name="_Toc26986532"/>
          <w:bookmarkEnd w:id="48"/>
          <w:r>
            <w:rPr>
              <w:rFonts w:ascii="宋体" w:hAnsi="Times New Roman" w:eastAsia="宋体" w:cs="Times New Roman"/>
              <w:sz w:val="21"/>
              <w:lang w:val="en-US" w:eastAsia="zh-CN" w:bidi="ar-SA"/>
            </w:rPr>
            <w:t>下列术语和定义适用于本文件。</w:t>
          </w:r>
        </w:p>
      </w:sdtContent>
    </w:sdt>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bookmarkStart w:id="49" w:name="_Toc166143235"/>
      <w:r>
        <w:rPr>
          <w:rFonts w:hint="eastAsia" w:ascii="黑体" w:hAnsi="黑体" w:eastAsia="黑体"/>
          <w:lang w:eastAsia="zh-CN"/>
        </w:rPr>
        <w:t>玉竹</w:t>
      </w:r>
      <w:r>
        <w:rPr>
          <w:rFonts w:hint="eastAsia" w:ascii="黑体" w:hAnsi="黑体" w:eastAsia="黑体"/>
        </w:rPr>
        <w:t xml:space="preserve"> </w:t>
      </w:r>
      <w:r>
        <w:rPr>
          <w:rFonts w:hint="eastAsia" w:ascii="黑体" w:hAnsi="黑体" w:eastAsia="黑体"/>
          <w:i/>
          <w:iCs/>
        </w:rPr>
        <w:t>Polygonatum odoratum</w:t>
      </w:r>
      <w:r>
        <w:rPr>
          <w:rFonts w:hint="eastAsia" w:ascii="黑体" w:hAnsi="黑体" w:eastAsia="黑体"/>
        </w:rPr>
        <w:t>(Mill.) Druce</w:t>
      </w:r>
    </w:p>
    <w:p>
      <w:pPr>
        <w:pStyle w:val="59"/>
        <w:ind w:firstLine="420"/>
      </w:pPr>
      <w:r>
        <w:rPr>
          <w:rFonts w:hint="eastAsia"/>
          <w:lang w:eastAsia="zh-CN"/>
        </w:rPr>
        <w:t>为《中华人民共和国药典》（</w:t>
      </w:r>
      <w:r>
        <w:rPr>
          <w:rFonts w:hint="eastAsia"/>
          <w:lang w:val="en-US" w:eastAsia="zh-CN"/>
        </w:rPr>
        <w:t>2020版</w:t>
      </w:r>
      <w:r>
        <w:rPr>
          <w:rFonts w:hint="eastAsia"/>
          <w:lang w:eastAsia="zh-CN"/>
        </w:rPr>
        <w:t>）中的百合科黄精属多年生草本植物</w:t>
      </w:r>
      <w:r>
        <w:rPr>
          <w:rFonts w:hint="eastAsia"/>
        </w:rPr>
        <w:t>。</w:t>
      </w:r>
    </w:p>
    <w:p>
      <w:pPr>
        <w:pStyle w:val="226"/>
        <w:keepNext w:val="0"/>
        <w:keepLines w:val="0"/>
        <w:pageBreakBefore w:val="0"/>
        <w:widowControl/>
        <w:kinsoku/>
        <w:wordWrap/>
        <w:overflowPunct/>
        <w:topLinePunct w:val="0"/>
        <w:autoSpaceDE/>
        <w:autoSpaceDN/>
        <w:bidi w:val="0"/>
        <w:adjustRightInd/>
        <w:snapToGrid/>
        <w:spacing w:before="157" w:beforeLines="50" w:after="157" w:afterLines="50"/>
        <w:ind w:left="0" w:hanging="420" w:hangingChars="200"/>
        <w:textAlignment w:val="auto"/>
        <w:rPr>
          <w:rFonts w:ascii="黑体" w:hAnsi="黑体" w:eastAsia="黑体"/>
        </w:rPr>
      </w:pPr>
      <w:r>
        <w:rPr>
          <w:rFonts w:hint="eastAsia" w:ascii="黑体" w:hAnsi="黑体" w:eastAsia="黑体"/>
          <w:lang w:eastAsia="zh-CN"/>
        </w:rPr>
        <w:t>打顶</w:t>
      </w:r>
      <w:r>
        <w:rPr>
          <w:rFonts w:hint="eastAsia" w:ascii="黑体" w:hAnsi="黑体" w:eastAsia="黑体"/>
          <w:lang w:val="en-US" w:eastAsia="zh-CN"/>
        </w:rPr>
        <w:t xml:space="preserve"> </w:t>
      </w:r>
      <w:r>
        <w:rPr>
          <w:rFonts w:hint="eastAsia" w:ascii="黑体" w:hAnsi="黑体" w:eastAsia="黑体"/>
        </w:rPr>
        <w:t>topping</w:t>
      </w:r>
    </w:p>
    <w:p>
      <w:pPr>
        <w:pStyle w:val="59"/>
        <w:ind w:firstLine="420"/>
        <w:rPr>
          <w:rFonts w:ascii="黑体" w:hAnsi="黑体" w:eastAsia="黑体"/>
        </w:rPr>
      </w:pPr>
      <w:r>
        <w:rPr>
          <w:rFonts w:hint="eastAsia"/>
        </w:rPr>
        <w:t>又称摘心、摘顶尖</w:t>
      </w:r>
      <w:r>
        <w:rPr>
          <w:rFonts w:hint="eastAsia"/>
          <w:lang w:eastAsia="zh-CN"/>
        </w:rPr>
        <w:t>，通过掐去植物顶尖或顶端，使之增产</w:t>
      </w:r>
      <w:r>
        <w:rPr>
          <w:rFonts w:hint="eastAsia"/>
        </w:rPr>
        <w:t>。</w:t>
      </w:r>
    </w:p>
    <w:bookmarkEnd w:id="49"/>
    <w:p>
      <w:pPr>
        <w:pStyle w:val="107"/>
        <w:spacing w:before="240" w:after="240"/>
      </w:pPr>
      <w:bookmarkStart w:id="50" w:name="_Toc7281"/>
      <w:r>
        <w:rPr>
          <w:rFonts w:hint="eastAsia"/>
          <w:lang w:eastAsia="zh-CN"/>
        </w:rPr>
        <w:t>打顶技术</w:t>
      </w:r>
      <w:bookmarkEnd w:id="50"/>
    </w:p>
    <w:p>
      <w:pPr>
        <w:pStyle w:val="108"/>
        <w:spacing w:before="120" w:after="120"/>
      </w:pPr>
      <w:r>
        <w:rPr>
          <w:rFonts w:hint="eastAsia"/>
          <w:lang w:eastAsia="zh-CN"/>
        </w:rPr>
        <w:t>打顶时间</w:t>
      </w:r>
    </w:p>
    <w:p>
      <w:pPr>
        <w:pStyle w:val="59"/>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rPr>
        <w:t>待种植1年后的玉竹萌芽出土后，若气温适宜可在约1～2周后的垂叶期进行打顶处理，或者选择3月至4月玉竹地上部植株生长大部分已达到垂叶期之后，统一进行打顶处理。</w:t>
      </w:r>
    </w:p>
    <w:p>
      <w:pPr>
        <w:pStyle w:val="108"/>
        <w:spacing w:before="120" w:after="120"/>
      </w:pPr>
      <w:r>
        <w:rPr>
          <w:rFonts w:hint="eastAsia"/>
          <w:lang w:eastAsia="zh-CN"/>
        </w:rPr>
        <w:t>打顶处理</w:t>
      </w:r>
    </w:p>
    <w:p>
      <w:pPr>
        <w:pStyle w:val="59"/>
        <w:ind w:firstLine="420"/>
        <w:rPr>
          <w:rFonts w:hint="eastAsia"/>
        </w:rPr>
      </w:pPr>
      <w:r>
        <w:rPr>
          <w:rFonts w:hint="eastAsia"/>
        </w:rPr>
        <w:t>将玉竹顶部的幼嫩茎叶采摘后，植株保留8张叶片以上且高度在60cm以上，可促进地下根状茎的生长和多糖含量的积累。</w:t>
      </w:r>
    </w:p>
    <w:p>
      <w:pPr>
        <w:pStyle w:val="108"/>
        <w:spacing w:before="120" w:after="120"/>
      </w:pPr>
      <w:r>
        <w:rPr>
          <w:rFonts w:hint="eastAsia"/>
          <w:lang w:eastAsia="zh-CN"/>
        </w:rPr>
        <w:t>幼嫩茎叶用途</w:t>
      </w:r>
    </w:p>
    <w:p>
      <w:pPr>
        <w:pStyle w:val="59"/>
        <w:ind w:firstLine="420"/>
        <w:rPr>
          <w:rFonts w:hint="eastAsia" w:eastAsia="宋体"/>
          <w:lang w:eastAsia="zh-CN"/>
        </w:rPr>
      </w:pPr>
      <w:r>
        <w:rPr>
          <w:rFonts w:hint="eastAsia"/>
        </w:rPr>
        <w:t>玉竹打顶采摘下来的幼嫩茎叶可作为新鲜蔬菜食用</w:t>
      </w:r>
      <w:r>
        <w:rPr>
          <w:rFonts w:hint="eastAsia"/>
          <w:lang w:eastAsia="zh-CN"/>
        </w:rPr>
        <w:t>。</w:t>
      </w:r>
    </w:p>
    <w:p>
      <w:pPr>
        <w:pStyle w:val="107"/>
        <w:spacing w:before="240" w:after="240"/>
      </w:pPr>
      <w:bookmarkStart w:id="51" w:name="_Toc166143236"/>
      <w:bookmarkStart w:id="52" w:name="_Toc20863"/>
      <w:r>
        <w:rPr>
          <w:rFonts w:hint="eastAsia"/>
        </w:rPr>
        <w:t>打顶后期田间</w:t>
      </w:r>
      <w:bookmarkEnd w:id="51"/>
      <w:r>
        <w:rPr>
          <w:rFonts w:hint="eastAsia"/>
          <w:lang w:eastAsia="zh-CN"/>
        </w:rPr>
        <w:t>管理</w:t>
      </w:r>
      <w:bookmarkEnd w:id="52"/>
    </w:p>
    <w:p>
      <w:pPr>
        <w:pStyle w:val="108"/>
        <w:spacing w:before="120" w:after="120"/>
      </w:pPr>
      <w:r>
        <w:rPr>
          <w:rFonts w:hint="eastAsia"/>
        </w:rPr>
        <w:t>清沟排涝</w:t>
      </w:r>
    </w:p>
    <w:p>
      <w:pPr>
        <w:pStyle w:val="59"/>
        <w:ind w:firstLine="420"/>
      </w:pPr>
      <w:r>
        <w:rPr>
          <w:rFonts w:hint="eastAsia"/>
        </w:rPr>
        <w:t>每年玉竹植株打顶后的4月～8月雨水较多，须及时注意清疏排水沟，不使土壤渍水。</w:t>
      </w:r>
    </w:p>
    <w:p>
      <w:pPr>
        <w:pStyle w:val="108"/>
        <w:spacing w:before="120" w:after="120"/>
      </w:pPr>
      <w:r>
        <w:rPr>
          <w:rFonts w:hint="eastAsia"/>
        </w:rPr>
        <w:t>松土除草</w:t>
      </w:r>
    </w:p>
    <w:p>
      <w:pPr>
        <w:pStyle w:val="59"/>
        <w:rPr>
          <w:rFonts w:hint="eastAsia"/>
        </w:rPr>
      </w:pPr>
      <w:r>
        <w:rPr>
          <w:rFonts w:hint="eastAsia"/>
        </w:rPr>
        <w:t>4月中旬至5月下旬，雨后结合除草浅耕1～2次，松土除草宜采用人工浅锄和拔除的方式，以免碰伤根状茎，不宜使用除草剂，避免伤及根系，保持土壤疏松，增强透气性；高温干旱季节，不宜松土除草，以增加土壤保水能力。</w:t>
      </w:r>
    </w:p>
    <w:p>
      <w:pPr>
        <w:pStyle w:val="108"/>
        <w:spacing w:before="120" w:after="120"/>
      </w:pPr>
      <w:r>
        <w:rPr>
          <w:rFonts w:hint="eastAsia"/>
        </w:rPr>
        <w:t>追肥</w:t>
      </w:r>
    </w:p>
    <w:p>
      <w:pPr>
        <w:pStyle w:val="59"/>
        <w:rPr>
          <w:rFonts w:hint="eastAsia"/>
        </w:rPr>
      </w:pPr>
      <w:r>
        <w:rPr>
          <w:rFonts w:hint="eastAsia"/>
        </w:rPr>
        <w:t>宜在玉竹花期、根茎膨大期、冬季各追肥一次。</w:t>
      </w:r>
    </w:p>
    <w:p>
      <w:pPr>
        <w:pStyle w:val="59"/>
        <w:rPr>
          <w:rFonts w:hint="eastAsia" w:eastAsia="宋体"/>
          <w:lang w:eastAsia="zh-CN"/>
        </w:rPr>
      </w:pPr>
      <w:r>
        <w:rPr>
          <w:rFonts w:hint="eastAsia"/>
        </w:rPr>
        <w:t>玉竹花期追肥以平衡复合肥为主，每亩撒施15 kg～20 kg。根状茎膨大期追肥以高钾复合肥为主，每亩撒施15 kg～20 kg。冬季追肥以生物有机肥为主，每亩沟施250 kg以上</w:t>
      </w:r>
      <w:r>
        <w:rPr>
          <w:rFonts w:hint="eastAsia"/>
          <w:lang w:eastAsia="zh-CN"/>
        </w:rPr>
        <w:t>。</w:t>
      </w:r>
    </w:p>
    <w:p>
      <w:pPr>
        <w:pStyle w:val="108"/>
        <w:spacing w:before="120" w:after="120"/>
      </w:pPr>
      <w:r>
        <w:rPr>
          <w:rFonts w:hint="eastAsia"/>
          <w:lang w:eastAsia="zh-CN"/>
        </w:rPr>
        <w:t>覆土</w:t>
      </w:r>
    </w:p>
    <w:p>
      <w:pPr>
        <w:pStyle w:val="59"/>
        <w:rPr>
          <w:rFonts w:hint="eastAsia" w:eastAsia="宋体"/>
          <w:lang w:eastAsia="zh-CN"/>
        </w:rPr>
      </w:pPr>
      <w:r>
        <w:rPr>
          <w:rFonts w:hint="eastAsia"/>
        </w:rPr>
        <w:t>玉竹根状茎分枝多，易裸露于地表遭受高温、干旱、冰冻等伤害或者变绿，影响外观和质量，宜在春季、秋冬季及时从畦沟取土进行覆土</w:t>
      </w:r>
      <w:r>
        <w:rPr>
          <w:rFonts w:hint="eastAsia"/>
          <w:lang w:eastAsia="zh-CN"/>
        </w:rPr>
        <w:t>。</w:t>
      </w:r>
    </w:p>
    <w:p>
      <w:pPr>
        <w:pStyle w:val="107"/>
        <w:spacing w:before="240" w:after="240"/>
      </w:pPr>
      <w:bookmarkStart w:id="53" w:name="_Toc27494"/>
      <w:r>
        <w:rPr>
          <w:rFonts w:hint="eastAsia"/>
          <w:lang w:eastAsia="zh-CN"/>
        </w:rPr>
        <w:t>病虫害防治</w:t>
      </w:r>
      <w:bookmarkEnd w:id="53"/>
    </w:p>
    <w:p>
      <w:pPr>
        <w:pStyle w:val="108"/>
        <w:spacing w:before="120" w:after="120"/>
      </w:pPr>
      <w:r>
        <w:rPr>
          <w:rFonts w:hint="eastAsia"/>
        </w:rPr>
        <w:t>主要病虫</w:t>
      </w:r>
      <w:r>
        <w:rPr>
          <w:rFonts w:hint="eastAsia"/>
          <w:lang w:eastAsia="zh-CN"/>
        </w:rPr>
        <w:t>害</w:t>
      </w:r>
    </w:p>
    <w:p>
      <w:pPr>
        <w:pStyle w:val="59"/>
        <w:ind w:firstLine="420"/>
      </w:pPr>
      <w:r>
        <w:rPr>
          <w:rFonts w:hint="eastAsia"/>
          <w:shd w:val="clear" w:color="auto" w:fill="FFFFFF"/>
        </w:rPr>
        <w:t>病害主要有锈病、灰霉病、根腐病、炭疽病等；虫害主要有蛴螬、地老虎、蚜虫、蜗牛等</w:t>
      </w:r>
      <w:r>
        <w:rPr>
          <w:shd w:val="clear" w:color="auto" w:fill="FFFFFF"/>
        </w:rPr>
        <w:t>。</w:t>
      </w:r>
    </w:p>
    <w:p>
      <w:pPr>
        <w:pStyle w:val="108"/>
        <w:spacing w:before="120" w:after="120"/>
      </w:pPr>
      <w:r>
        <w:rPr>
          <w:rFonts w:hint="eastAsia"/>
        </w:rPr>
        <w:t>防治原</w:t>
      </w:r>
      <w:r>
        <w:rPr>
          <w:rFonts w:hint="eastAsia"/>
          <w:lang w:eastAsia="zh-CN"/>
        </w:rPr>
        <w:t>则</w:t>
      </w:r>
    </w:p>
    <w:p>
      <w:pPr>
        <w:pStyle w:val="59"/>
        <w:ind w:firstLine="420"/>
      </w:pPr>
      <w:r>
        <w:rPr>
          <w:rFonts w:hint="eastAsia"/>
        </w:rPr>
        <w:t>按照“预防为主，综合防治”的方针，坚持以“农业防治、生物防治、物理防治为主，化学防治为辅”的无害化控制原则。</w:t>
      </w:r>
    </w:p>
    <w:p>
      <w:pPr>
        <w:pStyle w:val="108"/>
        <w:spacing w:before="120" w:after="120"/>
      </w:pPr>
      <w:r>
        <w:rPr>
          <w:rFonts w:hint="eastAsia"/>
          <w:lang w:eastAsia="zh-CN"/>
        </w:rPr>
        <w:t>农业防治、物理防治、生物防治、化学防治</w:t>
      </w:r>
    </w:p>
    <w:p>
      <w:pPr>
        <w:pStyle w:val="59"/>
        <w:ind w:firstLine="420"/>
        <w:rPr>
          <w:rFonts w:hint="eastAsia"/>
        </w:rPr>
      </w:pPr>
      <w:r>
        <w:rPr>
          <w:rFonts w:hint="eastAsia"/>
          <w:lang w:eastAsia="zh-CN"/>
        </w:rPr>
        <w:t>农业防治、物理防治、生物防治及</w:t>
      </w:r>
      <w:r>
        <w:rPr>
          <w:rFonts w:hint="eastAsia"/>
          <w:color w:val="000000" w:themeColor="text1"/>
          <w:lang w:eastAsia="zh-CN"/>
          <w14:textFill>
            <w14:solidFill>
              <w14:schemeClr w14:val="tx1"/>
            </w14:solidFill>
          </w14:textFill>
        </w:rPr>
        <w:t>锈病、灰霉病、根腐病、蛴螬、地老虎、蚜虫按照T/GXAS 443-2023的规定</w:t>
      </w:r>
      <w:r>
        <w:rPr>
          <w:rFonts w:hint="eastAsia"/>
        </w:rPr>
        <w:t>。</w:t>
      </w:r>
    </w:p>
    <w:p>
      <w:pPr>
        <w:pStyle w:val="108"/>
        <w:spacing w:before="120" w:after="120"/>
      </w:pPr>
      <w:r>
        <w:rPr>
          <w:rFonts w:hint="eastAsia"/>
          <w:color w:val="000000" w:themeColor="text1"/>
          <w:lang w:eastAsia="zh-CN"/>
          <w14:textFill>
            <w14:solidFill>
              <w14:schemeClr w14:val="tx1"/>
            </w14:solidFill>
          </w14:textFill>
        </w:rPr>
        <w:t>炭疽病</w:t>
      </w:r>
      <w:r>
        <w:rPr>
          <w:rFonts w:hint="eastAsia"/>
          <w:lang w:eastAsia="zh-CN"/>
        </w:rPr>
        <w:t>化学防治</w:t>
      </w:r>
    </w:p>
    <w:p>
      <w:pPr>
        <w:pStyle w:val="59"/>
      </w:pPr>
      <w:r>
        <w:rPr>
          <w:rFonts w:hint="eastAsia"/>
          <w:color w:val="000000" w:themeColor="text1"/>
          <w:lang w:eastAsia="zh-CN"/>
          <w14:textFill>
            <w14:solidFill>
              <w14:schemeClr w14:val="tx1"/>
            </w14:solidFill>
          </w14:textFill>
        </w:rPr>
        <w:t>主要危害</w:t>
      </w:r>
      <w:r>
        <w:rPr>
          <w:rFonts w:hint="eastAsia"/>
          <w:color w:val="000000" w:themeColor="text1"/>
          <w:highlight w:val="yellow"/>
          <w:lang w:val="en-US" w:eastAsia="zh-CN"/>
          <w14:textFill>
            <w14:solidFill>
              <w14:schemeClr w14:val="tx1"/>
            </w14:solidFill>
          </w14:textFill>
        </w:rPr>
        <w:t>......</w:t>
      </w:r>
      <w:r>
        <w:rPr>
          <w:rFonts w:hint="eastAsia"/>
          <w:w w:val="105"/>
        </w:rPr>
        <w:t>。可用</w:t>
      </w:r>
      <w:r>
        <w:rPr>
          <w:rFonts w:hint="eastAsia"/>
          <w:color w:val="000000" w:themeColor="text1"/>
          <w:highlight w:val="yellow"/>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进行喷施防治</w:t>
      </w:r>
    </w:p>
    <w:p>
      <w:pPr>
        <w:pStyle w:val="108"/>
        <w:spacing w:before="120" w:after="120"/>
      </w:pPr>
      <w:r>
        <w:rPr>
          <w:rFonts w:hint="eastAsia"/>
          <w:color w:val="000000" w:themeColor="text1"/>
          <w:lang w:eastAsia="zh-CN"/>
          <w14:textFill>
            <w14:solidFill>
              <w14:schemeClr w14:val="tx1"/>
            </w14:solidFill>
          </w14:textFill>
        </w:rPr>
        <w:t>蜗牛</w:t>
      </w:r>
      <w:r>
        <w:rPr>
          <w:rFonts w:hint="eastAsia"/>
          <w:lang w:eastAsia="zh-CN"/>
        </w:rPr>
        <w:t>化学防治</w:t>
      </w:r>
    </w:p>
    <w:p>
      <w:pPr>
        <w:pStyle w:val="59"/>
        <w:ind w:firstLine="420"/>
        <w:rPr>
          <w:rFonts w:hint="eastAsia" w:eastAsia="宋体"/>
          <w:shd w:val="clear" w:color="auto" w:fill="FFFFFF"/>
          <w:lang w:eastAsia="zh-CN"/>
        </w:rPr>
      </w:pPr>
      <w:r>
        <w:rPr>
          <w:rFonts w:hint="eastAsia"/>
          <w:color w:val="000000" w:themeColor="text1"/>
          <w:lang w:eastAsia="zh-CN"/>
          <w14:textFill>
            <w14:solidFill>
              <w14:schemeClr w14:val="tx1"/>
            </w14:solidFill>
          </w14:textFill>
        </w:rPr>
        <w:t>主要危害</w:t>
      </w:r>
      <w:r>
        <w:rPr>
          <w:rFonts w:hint="eastAsia"/>
          <w:color w:val="000000" w:themeColor="text1"/>
          <w:highlight w:val="yellow"/>
          <w:lang w:val="en-US" w:eastAsia="zh-CN"/>
          <w14:textFill>
            <w14:solidFill>
              <w14:schemeClr w14:val="tx1"/>
            </w14:solidFill>
          </w14:textFill>
        </w:rPr>
        <w:t>......</w:t>
      </w:r>
      <w:r>
        <w:rPr>
          <w:rFonts w:hint="eastAsia"/>
          <w:w w:val="105"/>
        </w:rPr>
        <w:t>。可用</w:t>
      </w:r>
      <w:r>
        <w:rPr>
          <w:rFonts w:hint="eastAsia"/>
          <w:color w:val="000000" w:themeColor="text1"/>
          <w:highlight w:val="yellow"/>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进行</w:t>
      </w:r>
      <w:r>
        <w:rPr>
          <w:rFonts w:hint="eastAsia"/>
          <w:color w:val="0000FF"/>
          <w:lang w:val="en-US" w:eastAsia="zh-CN"/>
        </w:rPr>
        <w:t>喷施/灌根？</w:t>
      </w:r>
      <w:r>
        <w:rPr>
          <w:rFonts w:hint="eastAsia"/>
          <w:color w:val="000000" w:themeColor="text1"/>
          <w:lang w:val="en-US" w:eastAsia="zh-CN"/>
          <w14:textFill>
            <w14:solidFill>
              <w14:schemeClr w14:val="tx1"/>
            </w14:solidFill>
          </w14:textFill>
        </w:rPr>
        <w:t>防治</w:t>
      </w:r>
      <w:r>
        <w:rPr>
          <w:rFonts w:hint="eastAsia"/>
          <w:shd w:val="clear" w:color="auto" w:fill="FFFFFF"/>
          <w:lang w:eastAsia="zh-CN"/>
        </w:rPr>
        <w:t>。</w:t>
      </w:r>
    </w:p>
    <w:p>
      <w:pPr>
        <w:pStyle w:val="107"/>
        <w:spacing w:before="240" w:after="240"/>
      </w:pPr>
      <w:bookmarkStart w:id="54" w:name="_Toc18286"/>
      <w:r>
        <w:rPr>
          <w:rFonts w:hint="eastAsia"/>
          <w:lang w:eastAsia="zh-CN"/>
        </w:rPr>
        <w:t>采收与初加工</w:t>
      </w:r>
      <w:bookmarkEnd w:id="54"/>
    </w:p>
    <w:p>
      <w:pPr>
        <w:pStyle w:val="108"/>
        <w:spacing w:before="120" w:after="120"/>
      </w:pPr>
      <w:r>
        <w:rPr>
          <w:rFonts w:hint="eastAsia"/>
        </w:rPr>
        <w:t>采收</w:t>
      </w:r>
      <w:r>
        <w:rPr>
          <w:rFonts w:hint="eastAsia"/>
          <w:lang w:eastAsia="zh-CN"/>
        </w:rPr>
        <w:t>时间</w:t>
      </w:r>
    </w:p>
    <w:p>
      <w:pPr>
        <w:pStyle w:val="59"/>
        <w:rPr>
          <w:rFonts w:hint="eastAsia" w:eastAsia="宋体"/>
          <w:lang w:eastAsia="zh-CN"/>
        </w:rPr>
      </w:pPr>
      <w:r>
        <w:rPr>
          <w:rFonts w:hint="eastAsia"/>
        </w:rPr>
        <w:t>种植3年，10月后选择晴天采收</w:t>
      </w:r>
      <w:r>
        <w:rPr>
          <w:rFonts w:hint="eastAsia"/>
          <w:lang w:eastAsia="zh-CN"/>
        </w:rPr>
        <w:t>。</w:t>
      </w:r>
    </w:p>
    <w:p>
      <w:pPr>
        <w:pStyle w:val="108"/>
        <w:spacing w:before="120" w:after="120"/>
      </w:pPr>
      <w:r>
        <w:rPr>
          <w:rFonts w:hint="eastAsia"/>
        </w:rPr>
        <w:t>采收</w:t>
      </w:r>
      <w:r>
        <w:rPr>
          <w:rFonts w:hint="eastAsia"/>
          <w:lang w:eastAsia="zh-CN"/>
        </w:rPr>
        <w:t>方法</w:t>
      </w:r>
    </w:p>
    <w:p>
      <w:pPr>
        <w:pStyle w:val="59"/>
      </w:pPr>
      <w:r>
        <w:rPr>
          <w:rFonts w:hint="eastAsia"/>
          <w:color w:val="000000" w:themeColor="text1"/>
          <w:lang w:eastAsia="zh-CN"/>
          <w14:textFill>
            <w14:solidFill>
              <w14:schemeClr w14:val="tx1"/>
            </w14:solidFill>
          </w14:textFill>
        </w:rPr>
        <w:t>待植株地上部分枯萎后，按栽种方向逐行挖出根状茎</w:t>
      </w:r>
      <w:r>
        <w:rPr>
          <w:rFonts w:hint="eastAsia"/>
          <w:w w:val="105"/>
        </w:rPr>
        <w:t>。</w:t>
      </w:r>
      <w:r>
        <w:rPr>
          <w:rFonts w:hint="eastAsia"/>
          <w:color w:val="000000" w:themeColor="text1"/>
          <w:lang w:eastAsia="zh-CN"/>
          <w14:textFill>
            <w14:solidFill>
              <w14:schemeClr w14:val="tx1"/>
            </w14:solidFill>
          </w14:textFill>
        </w:rPr>
        <w:t>采挖过程中注意防止根状茎损伤或折断。</w:t>
      </w:r>
    </w:p>
    <w:p>
      <w:pPr>
        <w:pStyle w:val="108"/>
        <w:spacing w:before="120" w:after="120"/>
      </w:pPr>
      <w:r>
        <w:rPr>
          <w:rFonts w:hint="eastAsia"/>
          <w:shd w:val="clear" w:color="auto" w:fill="FFFFFF"/>
        </w:rPr>
        <w:t>产地初</w:t>
      </w:r>
      <w:r>
        <w:rPr>
          <w:rFonts w:hint="eastAsia"/>
          <w:lang w:eastAsia="zh-CN"/>
        </w:rPr>
        <w:t>加工</w:t>
      </w:r>
    </w:p>
    <w:p>
      <w:pPr>
        <w:pStyle w:val="59"/>
      </w:pPr>
      <w:r>
        <w:rPr>
          <w:rFonts w:hint="eastAsia"/>
          <w:color w:val="000000" w:themeColor="text1"/>
          <w:lang w:eastAsia="zh-CN"/>
          <w14:textFill>
            <w14:solidFill>
              <w14:schemeClr w14:val="tx1"/>
            </w14:solidFill>
          </w14:textFill>
        </w:rPr>
        <w:t>玉竹根状茎洗净，去须根，可直接刨片成玉竹片，晒干或烘干待用。还可直接将玉竹根状茎晒干或烘干后搓揉成玉竹条待用。</w:t>
      </w:r>
    </w:p>
    <w:p>
      <w:pPr>
        <w:pStyle w:val="107"/>
        <w:spacing w:before="240" w:after="240"/>
      </w:pPr>
      <w:bookmarkStart w:id="55" w:name="_Toc30538"/>
      <w:r>
        <w:rPr>
          <w:rFonts w:hint="eastAsia"/>
          <w:lang w:eastAsia="zh-CN"/>
        </w:rPr>
        <w:t>生产档案</w:t>
      </w:r>
      <w:bookmarkEnd w:id="55"/>
    </w:p>
    <w:p>
      <w:pPr>
        <w:pStyle w:val="59"/>
        <w:ind w:firstLine="420"/>
        <w:rPr>
          <w:rFonts w:hint="eastAsia" w:eastAsia="宋体"/>
          <w:shd w:val="clear" w:color="auto" w:fill="FFFFFF"/>
          <w:lang w:eastAsia="zh-CN"/>
        </w:rPr>
      </w:pPr>
      <w:r>
        <w:rPr>
          <w:rFonts w:hint="eastAsia"/>
        </w:rPr>
        <w:t>按照《中药材生产质量管理规范》的规定执行</w:t>
      </w:r>
      <w:r>
        <w:rPr>
          <w:rFonts w:hint="eastAsia"/>
          <w:shd w:val="clear" w:color="auto" w:fill="FFFFFF"/>
          <w:lang w:eastAsia="zh-CN"/>
        </w:rPr>
        <w:t>。</w:t>
      </w:r>
    </w:p>
    <w:bookmarkEnd w:id="24"/>
    <w:p>
      <w:pPr>
        <w:pStyle w:val="59"/>
        <w:ind w:firstLine="0" w:firstLineChars="0"/>
        <w:jc w:val="center"/>
      </w:pPr>
      <w:bookmarkStart w:id="5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stretch>
                      <a:fillRect/>
                    </a:stretch>
                  </pic:blipFill>
                  <pic:spPr>
                    <a:xfrm>
                      <a:off x="0" y="0"/>
                      <a:ext cx="1485900" cy="317500"/>
                    </a:xfrm>
                    <a:prstGeom prst="rect">
                      <a:avLst/>
                    </a:prstGeom>
                  </pic:spPr>
                </pic:pic>
              </a:graphicData>
            </a:graphic>
          </wp:inline>
        </w:drawing>
      </w:r>
      <w:bookmarkEnd w:id="56"/>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1wHBKXZ8lUup6hXaiPIAdgFoqFI=" w:salt="4J07ZAwEkMxs1QF2DS19a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MDFhNjIzNTk2MTdjZjcwNjcwNjViYTBhNGZmYTEifQ=="/>
  </w:docVars>
  <w:rsids>
    <w:rsidRoot w:val="00544740"/>
    <w:rsid w:val="0000040A"/>
    <w:rsid w:val="00000A94"/>
    <w:rsid w:val="00001972"/>
    <w:rsid w:val="00001D4B"/>
    <w:rsid w:val="00001D9A"/>
    <w:rsid w:val="00007B3A"/>
    <w:rsid w:val="000107E0"/>
    <w:rsid w:val="00011FDE"/>
    <w:rsid w:val="00012FFD"/>
    <w:rsid w:val="00014162"/>
    <w:rsid w:val="00014340"/>
    <w:rsid w:val="00016A9C"/>
    <w:rsid w:val="00022184"/>
    <w:rsid w:val="00022762"/>
    <w:rsid w:val="000238E0"/>
    <w:rsid w:val="000249DB"/>
    <w:rsid w:val="0002595E"/>
    <w:rsid w:val="00025B74"/>
    <w:rsid w:val="000303C3"/>
    <w:rsid w:val="000331D3"/>
    <w:rsid w:val="000346A5"/>
    <w:rsid w:val="000359C3"/>
    <w:rsid w:val="00035A7D"/>
    <w:rsid w:val="000365ED"/>
    <w:rsid w:val="0004249A"/>
    <w:rsid w:val="00043282"/>
    <w:rsid w:val="00044286"/>
    <w:rsid w:val="000450DD"/>
    <w:rsid w:val="00047F28"/>
    <w:rsid w:val="000503AA"/>
    <w:rsid w:val="000506A1"/>
    <w:rsid w:val="000515DD"/>
    <w:rsid w:val="0005265A"/>
    <w:rsid w:val="000539DD"/>
    <w:rsid w:val="00053BD3"/>
    <w:rsid w:val="000556ED"/>
    <w:rsid w:val="00055FE2"/>
    <w:rsid w:val="0005616F"/>
    <w:rsid w:val="00056EF0"/>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DC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2B6"/>
    <w:rsid w:val="000F4050"/>
    <w:rsid w:val="000F4AEA"/>
    <w:rsid w:val="000F67E9"/>
    <w:rsid w:val="00103792"/>
    <w:rsid w:val="00104926"/>
    <w:rsid w:val="00113B1E"/>
    <w:rsid w:val="00114CF7"/>
    <w:rsid w:val="0011711C"/>
    <w:rsid w:val="00124E4F"/>
    <w:rsid w:val="00125BA8"/>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724"/>
    <w:rsid w:val="00250B25"/>
    <w:rsid w:val="00250BBE"/>
    <w:rsid w:val="002513F7"/>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408"/>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D12"/>
    <w:rsid w:val="003331E4"/>
    <w:rsid w:val="00336C64"/>
    <w:rsid w:val="00337162"/>
    <w:rsid w:val="0034194F"/>
    <w:rsid w:val="00344605"/>
    <w:rsid w:val="003474AA"/>
    <w:rsid w:val="00350D1D"/>
    <w:rsid w:val="00352C83"/>
    <w:rsid w:val="00352E66"/>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4110"/>
    <w:rsid w:val="003B4770"/>
    <w:rsid w:val="003B5BF0"/>
    <w:rsid w:val="003B60BF"/>
    <w:rsid w:val="003B6B04"/>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41E"/>
    <w:rsid w:val="00407D39"/>
    <w:rsid w:val="0041477A"/>
    <w:rsid w:val="004167A3"/>
    <w:rsid w:val="00432DAA"/>
    <w:rsid w:val="00434305"/>
    <w:rsid w:val="00435DF7"/>
    <w:rsid w:val="0044083F"/>
    <w:rsid w:val="00441A7C"/>
    <w:rsid w:val="00441AE7"/>
    <w:rsid w:val="00445574"/>
    <w:rsid w:val="004467FB"/>
    <w:rsid w:val="00452D6B"/>
    <w:rsid w:val="00454484"/>
    <w:rsid w:val="0045517B"/>
    <w:rsid w:val="004639DE"/>
    <w:rsid w:val="00463B77"/>
    <w:rsid w:val="00463C7B"/>
    <w:rsid w:val="004644A6"/>
    <w:rsid w:val="004659BD"/>
    <w:rsid w:val="00470775"/>
    <w:rsid w:val="004746B1"/>
    <w:rsid w:val="0047583F"/>
    <w:rsid w:val="00475DE8"/>
    <w:rsid w:val="00481C44"/>
    <w:rsid w:val="00484936"/>
    <w:rsid w:val="0048511B"/>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9B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AC9"/>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740"/>
    <w:rsid w:val="005479DA"/>
    <w:rsid w:val="00547BCC"/>
    <w:rsid w:val="0055013B"/>
    <w:rsid w:val="00551F6F"/>
    <w:rsid w:val="00555044"/>
    <w:rsid w:val="00561475"/>
    <w:rsid w:val="00562308"/>
    <w:rsid w:val="0056245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2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27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AB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F77"/>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66F"/>
    <w:rsid w:val="007B5A3D"/>
    <w:rsid w:val="007B5B95"/>
    <w:rsid w:val="007B6032"/>
    <w:rsid w:val="007B68EA"/>
    <w:rsid w:val="007B7453"/>
    <w:rsid w:val="007C2D89"/>
    <w:rsid w:val="007C4593"/>
    <w:rsid w:val="007C5309"/>
    <w:rsid w:val="007C6069"/>
    <w:rsid w:val="007D06C4"/>
    <w:rsid w:val="007D1352"/>
    <w:rsid w:val="007D2508"/>
    <w:rsid w:val="007D346A"/>
    <w:rsid w:val="007D433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63E"/>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9A5"/>
    <w:rsid w:val="008A57E6"/>
    <w:rsid w:val="008A6F81"/>
    <w:rsid w:val="008A769A"/>
    <w:rsid w:val="008B0C9C"/>
    <w:rsid w:val="008B166D"/>
    <w:rsid w:val="008B17F4"/>
    <w:rsid w:val="008B3615"/>
    <w:rsid w:val="008B4AC4"/>
    <w:rsid w:val="008B50C8"/>
    <w:rsid w:val="008B5281"/>
    <w:rsid w:val="008B7E05"/>
    <w:rsid w:val="008C1797"/>
    <w:rsid w:val="008C219C"/>
    <w:rsid w:val="008C3550"/>
    <w:rsid w:val="008C475E"/>
    <w:rsid w:val="008C619A"/>
    <w:rsid w:val="008D0CE8"/>
    <w:rsid w:val="008D192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171"/>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257"/>
    <w:rsid w:val="009273B3"/>
    <w:rsid w:val="009305B5"/>
    <w:rsid w:val="009378DD"/>
    <w:rsid w:val="009429D5"/>
    <w:rsid w:val="00942BF1"/>
    <w:rsid w:val="00945180"/>
    <w:rsid w:val="00945428"/>
    <w:rsid w:val="0094607B"/>
    <w:rsid w:val="009477F0"/>
    <w:rsid w:val="00951787"/>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1B6"/>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55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1F7"/>
    <w:rsid w:val="00AF47C5"/>
    <w:rsid w:val="00AF5398"/>
    <w:rsid w:val="00B049AF"/>
    <w:rsid w:val="00B07242"/>
    <w:rsid w:val="00B10534"/>
    <w:rsid w:val="00B10EDB"/>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43"/>
    <w:rsid w:val="00B440F4"/>
    <w:rsid w:val="00B447A5"/>
    <w:rsid w:val="00B4654C"/>
    <w:rsid w:val="00B47293"/>
    <w:rsid w:val="00B50E50"/>
    <w:rsid w:val="00B52120"/>
    <w:rsid w:val="00B54ABC"/>
    <w:rsid w:val="00B56FBE"/>
    <w:rsid w:val="00B60ACF"/>
    <w:rsid w:val="00B62B58"/>
    <w:rsid w:val="00B65149"/>
    <w:rsid w:val="00B65DF1"/>
    <w:rsid w:val="00B66567"/>
    <w:rsid w:val="00B66F52"/>
    <w:rsid w:val="00B66FE5"/>
    <w:rsid w:val="00B72880"/>
    <w:rsid w:val="00B758BF"/>
    <w:rsid w:val="00B76FA7"/>
    <w:rsid w:val="00B77EC8"/>
    <w:rsid w:val="00B827A6"/>
    <w:rsid w:val="00B831CE"/>
    <w:rsid w:val="00B86677"/>
    <w:rsid w:val="00B87131"/>
    <w:rsid w:val="00B939B1"/>
    <w:rsid w:val="00B96D40"/>
    <w:rsid w:val="00B97386"/>
    <w:rsid w:val="00BA0922"/>
    <w:rsid w:val="00BA263B"/>
    <w:rsid w:val="00BA42B2"/>
    <w:rsid w:val="00BA58D4"/>
    <w:rsid w:val="00BA5B9E"/>
    <w:rsid w:val="00BA7C9A"/>
    <w:rsid w:val="00BB5F8F"/>
    <w:rsid w:val="00BB657A"/>
    <w:rsid w:val="00BC1A4E"/>
    <w:rsid w:val="00BC5DC7"/>
    <w:rsid w:val="00BC616A"/>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41F"/>
    <w:rsid w:val="00C71372"/>
    <w:rsid w:val="00C72410"/>
    <w:rsid w:val="00C7287F"/>
    <w:rsid w:val="00C73F97"/>
    <w:rsid w:val="00C80CB8"/>
    <w:rsid w:val="00C819F8"/>
    <w:rsid w:val="00C8248C"/>
    <w:rsid w:val="00C84E33"/>
    <w:rsid w:val="00C86D6F"/>
    <w:rsid w:val="00C905FC"/>
    <w:rsid w:val="00C92D03"/>
    <w:rsid w:val="00C9319C"/>
    <w:rsid w:val="00C9435D"/>
    <w:rsid w:val="00C94DF2"/>
    <w:rsid w:val="00C95A00"/>
    <w:rsid w:val="00C96741"/>
    <w:rsid w:val="00CA2D1B"/>
    <w:rsid w:val="00CA375D"/>
    <w:rsid w:val="00CA662A"/>
    <w:rsid w:val="00CA7AFD"/>
    <w:rsid w:val="00CA7C3C"/>
    <w:rsid w:val="00CB0189"/>
    <w:rsid w:val="00CB0BA2"/>
    <w:rsid w:val="00CB1A42"/>
    <w:rsid w:val="00CB1B0C"/>
    <w:rsid w:val="00CB2C0B"/>
    <w:rsid w:val="00CB517D"/>
    <w:rsid w:val="00CB777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32D"/>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15"/>
    <w:rsid w:val="00D126F5"/>
    <w:rsid w:val="00D1489E"/>
    <w:rsid w:val="00D20737"/>
    <w:rsid w:val="00D21D2B"/>
    <w:rsid w:val="00D21E81"/>
    <w:rsid w:val="00D21EF6"/>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5F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2F4"/>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1D"/>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C0"/>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F9B"/>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7BA"/>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F1C"/>
    <w:rsid w:val="00FA1B6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231E7"/>
    <w:rsid w:val="0D2349D2"/>
    <w:rsid w:val="16B52C76"/>
    <w:rsid w:val="194D321D"/>
    <w:rsid w:val="22FD7853"/>
    <w:rsid w:val="249B1CF0"/>
    <w:rsid w:val="37CF580A"/>
    <w:rsid w:val="43FB7667"/>
    <w:rsid w:val="44E421C9"/>
    <w:rsid w:val="4B834FE9"/>
    <w:rsid w:val="4C641089"/>
    <w:rsid w:val="50597C57"/>
    <w:rsid w:val="50753B17"/>
    <w:rsid w:val="56226FF5"/>
    <w:rsid w:val="656071F2"/>
    <w:rsid w:val="6712448D"/>
    <w:rsid w:val="70A1177B"/>
    <w:rsid w:val="71D35F42"/>
    <w:rsid w:val="72F5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character" w:customStyle="1" w:styleId="233">
    <w:name w:val="批注文字 Char"/>
    <w:basedOn w:val="30"/>
    <w:link w:val="13"/>
    <w:semiHidden/>
    <w:uiPriority w:val="99"/>
    <w:rPr>
      <w:kern w:val="2"/>
      <w:sz w:val="21"/>
      <w:szCs w:val="21"/>
    </w:rPr>
  </w:style>
  <w:style w:type="character" w:customStyle="1" w:styleId="234">
    <w:name w:val="批注主题 Char"/>
    <w:basedOn w:val="233"/>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FEF729A99B4E97B0A30B9DDBD2A6B2"/>
        <w:style w:val=""/>
        <w:category>
          <w:name w:val="常规"/>
          <w:gallery w:val="placeholder"/>
        </w:category>
        <w:types>
          <w:type w:val="bbPlcHdr"/>
        </w:types>
        <w:behaviors>
          <w:behavior w:val="content"/>
        </w:behaviors>
        <w:description w:val=""/>
        <w:guid w:val="{47E9DD98-5B1F-4D34-98DF-87042650619D}"/>
      </w:docPartPr>
      <w:docPartBody>
        <w:p>
          <w:pPr>
            <w:pStyle w:val="5"/>
          </w:pPr>
          <w:r>
            <w:rPr>
              <w:rStyle w:val="4"/>
              <w:rFonts w:hint="eastAsia"/>
            </w:rPr>
            <w:t>单击或点击此处输入文字。</w:t>
          </w:r>
        </w:p>
      </w:docPartBody>
    </w:docPart>
    <w:docPart>
      <w:docPartPr>
        <w:name w:val="4337F1AC20284BEAB821B93414D70D9D"/>
        <w:style w:val=""/>
        <w:category>
          <w:name w:val="常规"/>
          <w:gallery w:val="placeholder"/>
        </w:category>
        <w:types>
          <w:type w:val="bbPlcHdr"/>
        </w:types>
        <w:behaviors>
          <w:behavior w:val="content"/>
        </w:behaviors>
        <w:description w:val=""/>
        <w:guid w:val="{98771CAC-58E8-4077-8359-53685AE8C3CD}"/>
      </w:docPartPr>
      <w:docPartBody>
        <w:p>
          <w:pPr>
            <w:pStyle w:val="6"/>
          </w:pPr>
          <w:r>
            <w:rPr>
              <w:rStyle w:val="4"/>
              <w:rFonts w:hint="eastAsia"/>
            </w:rPr>
            <w:t>选择一项。</w:t>
          </w:r>
        </w:p>
      </w:docPartBody>
    </w:docPart>
    <w:docPart>
      <w:docPartPr>
        <w:name w:val="BDD11767B9014F0A983F18C66D25FFA8"/>
        <w:style w:val=""/>
        <w:category>
          <w:name w:val="常规"/>
          <w:gallery w:val="placeholder"/>
        </w:category>
        <w:types>
          <w:type w:val="bbPlcHdr"/>
        </w:types>
        <w:behaviors>
          <w:behavior w:val="content"/>
        </w:behaviors>
        <w:description w:val=""/>
        <w:guid w:val="{75146CDB-7529-45BF-936C-4A088CF4174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35"/>
    <w:rsid w:val="00042F92"/>
    <w:rsid w:val="000F719D"/>
    <w:rsid w:val="0011202A"/>
    <w:rsid w:val="00174EDA"/>
    <w:rsid w:val="00271B3E"/>
    <w:rsid w:val="00343599"/>
    <w:rsid w:val="003770DF"/>
    <w:rsid w:val="004202C9"/>
    <w:rsid w:val="005F35C3"/>
    <w:rsid w:val="006A4926"/>
    <w:rsid w:val="007E7FB4"/>
    <w:rsid w:val="00B84235"/>
    <w:rsid w:val="00C179C9"/>
    <w:rsid w:val="00CA4CB8"/>
    <w:rsid w:val="00CC5D5B"/>
    <w:rsid w:val="00CF0926"/>
    <w:rsid w:val="00D41A94"/>
    <w:rsid w:val="00D606BD"/>
    <w:rsid w:val="00D85F6B"/>
    <w:rsid w:val="00EE30A5"/>
    <w:rsid w:val="00F1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FEF729A99B4E97B0A30B9DDBD2A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337F1AC20284BEAB821B93414D70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D11767B9014F0A983F18C66D25FFA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68BFC-127E-4A28-A487-2EFF9301923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1530</Words>
  <Characters>1772</Characters>
  <Lines>13</Lines>
  <Paragraphs>3</Paragraphs>
  <TotalTime>0</TotalTime>
  <ScaleCrop>false</ScaleCrop>
  <LinksUpToDate>false</LinksUpToDate>
  <CharactersWithSpaces>1834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2023-10-18T09:56:00Z</dcterms:created>
  <dc:creator>Administrator</dc:creator>
  <dc:description>&lt;config cover="true" show_menu="true" version="1.0.0" doctype="SDKXY"&gt;_x000d_
&lt;/config&gt;</dc:description>
  <cp:lastModifiedBy>Administrator</cp:lastModifiedBy>
  <cp:lastPrinted>2024-05-09T03:52:00Z</cp:lastPrinted>
  <dcterms:modified xsi:type="dcterms:W3CDTF">2024-07-09T00:52:09Z</dcterms:modified>
  <dc:title>团体标准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491F87EC7FD74D6F89AD57BD038296AD_12</vt:lpwstr>
  </property>
</Properties>
</file>