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7059" w14:textId="77777777" w:rsidR="005A7963" w:rsidRDefault="00000000">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77DBCBA3" w14:textId="77777777" w:rsidR="005A7963" w:rsidRDefault="00000000">
      <w:pPr>
        <w:pStyle w:val="af0"/>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46202D1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2018年，市场监管总局等八部门提出以企业标准自我声明公开为基础，建立实施企业标准“领跑者”制度。该制度通过调动第三方评估机构，针对消费品、装备制造和服务三个领域中的不同产品和服务类别，开展企业标准水平评估以及产品或服务质量评价，发布企业标准排行榜，确定企业标准“领跑者”，推动形成多方参与、持续提升、闭环反馈的动态调整机制，引导企业标准水平提升，引领产品和服务质量升级。</w:t>
      </w:r>
    </w:p>
    <w:p w14:paraId="5B6EB561" w14:textId="39D0C60C"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为切实发挥企业标准对质量提升的引领作用，支撑企业标准自我声明公开和企业标准“领跑者”制度工作的有序实施，解决石油、石化及相关工业用的钢制球阀企业标准“领跑者”评估工作无相关标准等问题，青田县市场监督管理局联合丽水市质量检验检测研究院、浙江瑞兴阀门有限公司，以及石油、石化及相关工业用的钢制球阀行业龙头企业共同研究制定《</w:t>
      </w:r>
      <w:r w:rsidR="00401A1C">
        <w:rPr>
          <w:rFonts w:ascii="仿宋_GB2312" w:eastAsia="仿宋_GB2312" w:hAnsi="Times New Roman" w:cs="Times New Roman" w:hint="eastAsia"/>
          <w:sz w:val="24"/>
          <w:szCs w:val="24"/>
          <w14:ligatures w14:val="none"/>
        </w:rPr>
        <w:t>质量分级及</w:t>
      </w:r>
      <w:r w:rsidR="00401A1C">
        <w:rPr>
          <w:rFonts w:ascii="仿宋_GB2312" w:eastAsia="仿宋_GB2312" w:hAnsi="Times New Roman" w:cs="Times New Roman"/>
          <w:sz w:val="24"/>
          <w:szCs w:val="24"/>
          <w14:ligatures w14:val="none"/>
        </w:rPr>
        <w:t>”</w:t>
      </w:r>
      <w:r w:rsidR="00401A1C">
        <w:rPr>
          <w:rFonts w:ascii="仿宋_GB2312" w:eastAsia="仿宋_GB2312" w:hAnsi="Times New Roman" w:cs="Times New Roman" w:hint="eastAsia"/>
          <w:sz w:val="24"/>
          <w:szCs w:val="24"/>
          <w14:ligatures w14:val="none"/>
        </w:rPr>
        <w:t>领跑者</w:t>
      </w:r>
      <w:r w:rsidR="00401A1C">
        <w:rPr>
          <w:rFonts w:ascii="仿宋_GB2312" w:eastAsia="仿宋_GB2312" w:hAnsi="Times New Roman" w:cs="Times New Roman"/>
          <w:sz w:val="24"/>
          <w:szCs w:val="24"/>
          <w14:ligatures w14:val="none"/>
        </w:rPr>
        <w:t>”</w:t>
      </w:r>
      <w:r w:rsidR="00401A1C">
        <w:rPr>
          <w:rFonts w:ascii="仿宋_GB2312" w:eastAsia="仿宋_GB2312" w:hAnsi="Times New Roman" w:cs="Times New Roman" w:hint="eastAsia"/>
          <w:sz w:val="24"/>
          <w:szCs w:val="24"/>
          <w14:ligatures w14:val="none"/>
        </w:rPr>
        <w:t>评价要求 石油、石化及相关工业用的钢制球阀</w:t>
      </w:r>
      <w:r>
        <w:rPr>
          <w:rFonts w:ascii="仿宋_GB2312" w:eastAsia="仿宋_GB2312" w:hAnsi="Times New Roman" w:cs="Times New Roman" w:hint="eastAsia"/>
          <w:sz w:val="24"/>
          <w:szCs w:val="24"/>
          <w14:ligatures w14:val="none"/>
        </w:rPr>
        <w:t>》，用以评估石油、石化及相关工业用的钢制球阀产品质量分级及第三方评估机构编制企业标准“排行榜”和“领跑者”评估方案并科学开展评估工作。预计该标准将通过高水平标准引领，促进行业发展质量全面提升，扩大优质产品和服务供给，有效增强市场主体竞争力。</w:t>
      </w:r>
    </w:p>
    <w:p w14:paraId="413124E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rPr>
        <w:t>石油、石化行业用钢制球阀是一种开关阀门，主要用于石油、石化行业介质的切断控制。满足气体、液体或腐蚀性气体，介质的流量、压力、温度、液位等参数远距离控制的需要。钢制球阀市场热度高涨,其应用场景得到跨越式发展的根本原因在于技术、安全、品种的革新。行业用户需求的爆发式增长极大丰富了钢制球阀的应用场景。一方面，钢制球阀的产业链中原料和供应商的进一步推动,有利于产业源端的重组升级,优化产业流程;另一方面钢制球阀技术、品质、品种的更新迭代,有利于产品的不断升级和质量改进,进一步满足用户的新需求,这些都有利于产业进一步发展。多方的推动使得钢制球阀应用得到爆发式发展。2016年，中国钢制球阀市场零售规模为556亿元，同比增长6.4%；2017年钢制球阀市场零售规模达到646.3亿元,同比增长16.2%。2018年我国</w:t>
      </w:r>
      <w:r>
        <w:rPr>
          <w:rFonts w:ascii="仿宋_GB2312" w:eastAsia="仿宋_GB2312" w:hAnsi="Times New Roman" w:cs="Times New Roman" w:hint="eastAsia"/>
          <w:sz w:val="24"/>
          <w:szCs w:val="24"/>
        </w:rPr>
        <w:lastRenderedPageBreak/>
        <w:t>钢制球阀市场零售规模达到723亿元，2018-2022年均复合增长率约为11.26%，2022年达到1108亿元</w:t>
      </w:r>
      <w:r>
        <w:rPr>
          <w:rFonts w:ascii="仿宋_GB2312" w:eastAsia="仿宋_GB2312" w:hAnsi="Times New Roman" w:cs="Times New Roman" w:hint="eastAsia"/>
          <w:sz w:val="24"/>
          <w:szCs w:val="24"/>
          <w14:ligatures w14:val="none"/>
        </w:rPr>
        <w:t>。</w:t>
      </w:r>
    </w:p>
    <w:p w14:paraId="15618385"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石油、石化及相关工业用的钢制球阀企业整体竞争能力不强、品牌美誉度不显、自主创新能力较弱、产品质量不合格现象时有发生，有待破局。通过制定质量分级领跑者团体标准，整合区域范围内龙头企业资源，制定具有先进性的团体标准。企业可以更加明确产品质量的要求，提高产品的生产质量和服务质量。同时，符合标准的产品在市场上更具有竞争力，能够更好地满足消费者的需求。通过质量分级领跑者标准的制定与发布，将带动区域内石油、石化及相关工业用的钢制球阀企业进行对标，从而提升公司整体产品质量水平。同时，可以扩大区域产业知名度助力提升产业整体竞争力。</w:t>
      </w:r>
    </w:p>
    <w:p w14:paraId="58FF3160"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rPr>
        <w:t>为切实发挥企业标准对质量提升的引领作用，支撑企业标准自我声明公开和企业标准“领跑者”制度工作的有序实施，解决钢制球阀企业标准“领跑者”评估工作无相关标准等问题，青田县各相关龙头企业拟联合有关检测机构、行业协会共同研究制定《“领跑者”标准评价要求 钢制球阀》，用以评估钢制球阀产品质量分级及第三方评估机构编制企业标准“排行榜”和“领跑者”评估方案并科学开展评估工作。预计该标准将通过高水平标准引领，促进行业发展质量全面提升，扩大优质产品和服务供给，有效增强市场主体竞争力。</w:t>
      </w:r>
    </w:p>
    <w:p w14:paraId="51160238" w14:textId="77777777" w:rsidR="005A7963" w:rsidRDefault="00000000">
      <w:pPr>
        <w:pStyle w:val="af0"/>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标准制定工作概况（任务来源、主要工作过程等）</w:t>
      </w:r>
    </w:p>
    <w:p w14:paraId="54601015" w14:textId="77777777" w:rsidR="005A7963" w:rsidRDefault="00000000">
      <w:pPr>
        <w:adjustRightInd/>
        <w:snapToGrid/>
        <w:spacing w:after="0" w:line="360" w:lineRule="auto"/>
        <w:ind w:left="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1、任务来源</w:t>
      </w:r>
    </w:p>
    <w:p w14:paraId="0455EB7F"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由</w:t>
      </w:r>
      <w:bookmarkStart w:id="0" w:name="_Hlk169595557"/>
      <w:r>
        <w:rPr>
          <w:rFonts w:ascii="仿宋_GB2312" w:eastAsia="仿宋_GB2312" w:hAnsi="Times New Roman" w:cs="Times New Roman" w:hint="eastAsia"/>
          <w:sz w:val="24"/>
          <w:szCs w:val="24"/>
          <w14:ligatures w14:val="none"/>
        </w:rPr>
        <w:t>丽水市质量检验检测研究院</w:t>
      </w:r>
      <w:bookmarkEnd w:id="0"/>
      <w:r>
        <w:rPr>
          <w:rFonts w:ascii="仿宋_GB2312" w:eastAsia="仿宋_GB2312" w:hAnsi="Times New Roman" w:cs="Times New Roman" w:hint="eastAsia"/>
          <w:sz w:val="24"/>
          <w:szCs w:val="24"/>
          <w14:ligatures w14:val="none"/>
        </w:rPr>
        <w:t>向浙江省计量与标准化学会提出立项申请，经学会论证通过并印发了</w:t>
      </w:r>
      <w:proofErr w:type="gramStart"/>
      <w:r>
        <w:rPr>
          <w:rFonts w:ascii="仿宋_GB2312" w:eastAsia="仿宋_GB2312" w:hAnsi="Times New Roman" w:cs="Times New Roman" w:hint="eastAsia"/>
          <w:sz w:val="24"/>
          <w:szCs w:val="24"/>
          <w14:ligatures w14:val="none"/>
        </w:rPr>
        <w:t>浙计标学发</w:t>
      </w:r>
      <w:proofErr w:type="gramEnd"/>
      <w:r>
        <w:rPr>
          <w:rFonts w:ascii="仿宋_GB2312" w:eastAsia="仿宋_GB2312" w:hAnsi="Times New Roman" w:cs="Times New Roman" w:hint="eastAsia"/>
          <w:sz w:val="24"/>
          <w:szCs w:val="24"/>
          <w14:ligatures w14:val="none"/>
        </w:rPr>
        <w:t>[2024]056号文件</w:t>
      </w:r>
      <w:proofErr w:type="gramStart"/>
      <w:r>
        <w:rPr>
          <w:rFonts w:ascii="仿宋_GB2312" w:eastAsia="仿宋_GB2312" w:hAnsi="Times New Roman" w:cs="Times New Roman" w:hint="eastAsia"/>
          <w:sz w:val="24"/>
          <w:szCs w:val="24"/>
          <w14:ligatures w14:val="none"/>
        </w:rPr>
        <w:t>“</w:t>
      </w:r>
      <w:proofErr w:type="gramEnd"/>
      <w:r>
        <w:rPr>
          <w:rFonts w:ascii="仿宋_GB2312" w:eastAsia="仿宋_GB2312" w:hAnsi="Times New Roman" w:cs="Times New Roman" w:hint="eastAsia"/>
          <w:sz w:val="24"/>
          <w:szCs w:val="24"/>
          <w14:ligatures w14:val="none"/>
        </w:rPr>
        <w:t>关于《质量分级及“领跑者”评价要求 烧结钕铁硼永磁材料》等14项团体标准立项的函</w:t>
      </w:r>
      <w:proofErr w:type="gramStart"/>
      <w:r>
        <w:rPr>
          <w:rFonts w:ascii="仿宋_GB2312" w:eastAsia="仿宋_GB2312" w:hAnsi="Times New Roman" w:cs="Times New Roman" w:hint="eastAsia"/>
          <w:sz w:val="24"/>
          <w:szCs w:val="24"/>
          <w14:ligatures w14:val="none"/>
        </w:rPr>
        <w:t>”</w:t>
      </w:r>
      <w:proofErr w:type="gramEnd"/>
      <w:r>
        <w:rPr>
          <w:rFonts w:ascii="仿宋_GB2312" w:eastAsia="仿宋_GB2312" w:hAnsi="Times New Roman" w:cs="Times New Roman" w:hint="eastAsia"/>
          <w:sz w:val="24"/>
          <w:szCs w:val="24"/>
          <w14:ligatures w14:val="none"/>
        </w:rPr>
        <w:t>，项目名称：《质量分级及“领跑者”评价要求 石油、石化及相关工业用的钢制球阀》。</w:t>
      </w:r>
    </w:p>
    <w:p w14:paraId="6F380FE5"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2、主要工作过程</w:t>
      </w:r>
    </w:p>
    <w:p w14:paraId="54C6BD33"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2.1  前期准备工作</w:t>
      </w:r>
    </w:p>
    <w:p w14:paraId="675534DA"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按照浙江省计量与标准化学会团体标准工作组构成要求，组建标准研制工作组，明确标准研制重点和提纲，明确各参与单位或人员职责分工、研制计划、时间进度安排等情况。</w:t>
      </w:r>
    </w:p>
    <w:p w14:paraId="4AD97B8B"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lastRenderedPageBreak/>
        <w:t>2.1.1 企业现场调研</w:t>
      </w:r>
    </w:p>
    <w:p w14:paraId="14655000"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对企业进行现场调研，对浙江省计量与标准化学会团体标准立项相关资料进行收集整理。</w:t>
      </w:r>
    </w:p>
    <w:p w14:paraId="0DBAD4F0"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2.1.2 成立标准工作组</w:t>
      </w:r>
    </w:p>
    <w:p w14:paraId="5387B2DC"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根据下达的浙江省计量与标准化学会团体标准《质量分级及"领跑者"评价要求 石油、石化及相关工业用的钢制球阀》制订计划，丽水市质量检验检测研究院召集标准同行、标准化机构、行业协会、行业龙头企业等相关方成立了标准工作组，明确了各参与单位及人员的职责分工。</w:t>
      </w:r>
    </w:p>
    <w:p w14:paraId="17E57A31"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2.1.3 明确研制重点</w:t>
      </w:r>
    </w:p>
    <w:p w14:paraId="598D5C3A"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《质量分级及"领跑者"评价要求 石油、石化及相关工业用的钢制球阀》标准研制的重点包括：标准名称、标准适用范围、术语和定义、基本要求、评价指标及要求、评价方法及等级划分以及相应的检验检测方法。</w:t>
      </w:r>
    </w:p>
    <w:p w14:paraId="1F18004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2.1.4 研制计划及时间安排</w:t>
      </w:r>
    </w:p>
    <w:p w14:paraId="76CF6A26"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第一阶段： 2024年3月底前成立工作小组，学习、研究国内外相关标准，确定标准改进的路线和方向，明确指标。完成《质量分级及"领跑者"评价要求 石油、石化及相关工业用的钢制球阀》“立项建议书”和“标准草案”的撰写，完成项目申报立项。</w:t>
      </w:r>
    </w:p>
    <w:p w14:paraId="0E28232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第二阶段：收到答辩通知，准备答辩材料，进行项目立项答辩论证会，通过后完成立项。</w:t>
      </w:r>
    </w:p>
    <w:p w14:paraId="34D93FA6"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第三阶段：立项论证会后两周内，向各有关单位发送征求意见稿，并完成各单位意见的征集。</w:t>
      </w:r>
    </w:p>
    <w:p w14:paraId="0D6B8ACA"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第四阶段：征求意见完成后一个月内，召开标准评审会，邀请同行业专家、代表、认证公司代表、标准主要起草人等人员参加。</w:t>
      </w:r>
    </w:p>
    <w:p w14:paraId="71B825CC"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第五阶段：评审会后两周内，完善标准，形成最终稿，并且发布实施。</w:t>
      </w:r>
    </w:p>
    <w:p w14:paraId="408EE8B6"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2.2  标准草案研制</w:t>
      </w:r>
    </w:p>
    <w:p w14:paraId="458273A5"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2.2.1  型式试验内规定的</w:t>
      </w:r>
      <w:proofErr w:type="gramStart"/>
      <w:r>
        <w:rPr>
          <w:rFonts w:ascii="仿宋_GB2312" w:eastAsia="仿宋_GB2312" w:hAnsi="Times New Roman" w:cs="Times New Roman" w:hint="eastAsia"/>
          <w:sz w:val="24"/>
          <w:szCs w:val="24"/>
          <w14:ligatures w14:val="none"/>
        </w:rPr>
        <w:t>全技术</w:t>
      </w:r>
      <w:proofErr w:type="gramEnd"/>
      <w:r>
        <w:rPr>
          <w:rFonts w:ascii="仿宋_GB2312" w:eastAsia="仿宋_GB2312" w:hAnsi="Times New Roman" w:cs="Times New Roman" w:hint="eastAsia"/>
          <w:sz w:val="24"/>
          <w:szCs w:val="24"/>
          <w14:ligatures w14:val="none"/>
        </w:rPr>
        <w:t>指标先进性情况</w:t>
      </w:r>
    </w:p>
    <w:p w14:paraId="389B5F80"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本标准（草案）基本确定了标准的先进性；充分考虑了浙江省计量与标准化学会团体标准制订框架要求、编制理念和定位要求等，全面体现了标准的先进性。</w:t>
      </w:r>
    </w:p>
    <w:p w14:paraId="3BAB942E"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lastRenderedPageBreak/>
        <w:t>标准工作组根据浙江省计量与标准化学会团体标准的编制理念，以GB/T 12237—2021《石油、石化及相关工业用的钢制球阀》、JB/T 8864—2018《阀门气动装置 技术条件》等标准为基础，参考T/ZZB 0050—2016《石油、石化及相关工业用的钢制球阀》标准，对</w:t>
      </w:r>
      <w:proofErr w:type="gramStart"/>
      <w:r>
        <w:rPr>
          <w:rFonts w:ascii="仿宋_GB2312" w:eastAsia="仿宋_GB2312" w:hAnsi="Times New Roman" w:cs="Times New Roman" w:hint="eastAsia"/>
          <w:sz w:val="24"/>
          <w:szCs w:val="24"/>
          <w14:ligatures w14:val="none"/>
        </w:rPr>
        <w:t>标国内</w:t>
      </w:r>
      <w:proofErr w:type="gramEnd"/>
      <w:r>
        <w:rPr>
          <w:rFonts w:ascii="仿宋_GB2312" w:eastAsia="仿宋_GB2312" w:hAnsi="Times New Roman" w:cs="Times New Roman" w:hint="eastAsia"/>
          <w:sz w:val="24"/>
          <w:szCs w:val="24"/>
          <w14:ligatures w14:val="none"/>
        </w:rPr>
        <w:t>先进同行技术要求和水平，项目的设置覆盖了GB/T 12237—2021《石油、石化及相关工业用的钢制球阀》的技术要求，并高于国家标准；同时从行业的发展和产品应用领域的变化要求，从产品使用的稳定性及便利性出发，真正体现了浙江省计量与标准化学会团体标准先进性的理念。</w:t>
      </w:r>
    </w:p>
    <w:p w14:paraId="40608B04"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2.2.2  按照浙江省计量与标准化学会团体标准制订框架要求，及浙江省计量与标准化学会团体标准编制理念和定位要求研制标准草案情况。</w:t>
      </w:r>
    </w:p>
    <w:p w14:paraId="52C1FE48"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按照浙江省计量与标准化学会团体标准制订框架要求，标准草案在术语和定义、基本要求、评价指标分类、评价指标体系框架、评价方法及等级划分等各个方面进行了全方位的阐述。以国家标准为基础，对</w:t>
      </w:r>
      <w:proofErr w:type="gramStart"/>
      <w:r>
        <w:rPr>
          <w:rFonts w:ascii="仿宋_GB2312" w:eastAsia="仿宋_GB2312" w:hAnsi="Times New Roman" w:cs="Times New Roman" w:hint="eastAsia"/>
          <w:sz w:val="24"/>
          <w:szCs w:val="24"/>
          <w14:ligatures w14:val="none"/>
        </w:rPr>
        <w:t>标国际</w:t>
      </w:r>
      <w:proofErr w:type="gramEnd"/>
      <w:r>
        <w:rPr>
          <w:rFonts w:ascii="仿宋_GB2312" w:eastAsia="仿宋_GB2312" w:hAnsi="Times New Roman" w:cs="Times New Roman" w:hint="eastAsia"/>
          <w:sz w:val="24"/>
          <w:szCs w:val="24"/>
          <w14:ligatures w14:val="none"/>
        </w:rPr>
        <w:t>先进标准及标杆企业，力求体现最先进的浙江工艺，用高质量来保障品牌生命，成为石油、石化及相关工业用的钢制球阀这一细分的标杆和领跑者。</w:t>
      </w:r>
    </w:p>
    <w:p w14:paraId="7744E439"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28F45745"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2024年6月19日在杭州召开了标准立项论证会，提出以下意见：</w:t>
      </w:r>
    </w:p>
    <w:p w14:paraId="40C4AF95" w14:textId="77777777" w:rsidR="005A7963" w:rsidRDefault="00000000">
      <w:pPr>
        <w:pStyle w:val="af0"/>
        <w:numPr>
          <w:ilvl w:val="0"/>
          <w:numId w:val="3"/>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标准的主要技术内容的科学性、合理性、可行性</w:t>
      </w:r>
    </w:p>
    <w:p w14:paraId="5490C5D6" w14:textId="77777777" w:rsidR="005A7963" w:rsidRDefault="00000000">
      <w:pPr>
        <w:pStyle w:val="af0"/>
        <w:numPr>
          <w:ilvl w:val="0"/>
          <w:numId w:val="4"/>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该标准任务来源明确，立项材料齐全，符合立项要求。</w:t>
      </w:r>
    </w:p>
    <w:p w14:paraId="5102935C" w14:textId="77777777" w:rsidR="005A7963" w:rsidRDefault="00000000">
      <w:pPr>
        <w:pStyle w:val="af0"/>
        <w:numPr>
          <w:ilvl w:val="0"/>
          <w:numId w:val="4"/>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该标准的编写格式符合GB/T 1.1-2020《标准化工作导则部分：标准化文件的结构和起草规则》的要求。</w:t>
      </w:r>
    </w:p>
    <w:p w14:paraId="6ADC0A7C" w14:textId="77777777" w:rsidR="005A7963" w:rsidRDefault="00000000">
      <w:pPr>
        <w:pStyle w:val="af0"/>
        <w:numPr>
          <w:ilvl w:val="0"/>
          <w:numId w:val="4"/>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该标准依据《国家标准化发展要》《扩大内需战略规划纲要(2022-2035年)》等文件强调推进实施企业标准“领跑者”制度</w:t>
      </w:r>
      <w:proofErr w:type="gramStart"/>
      <w:r>
        <w:rPr>
          <w:rFonts w:ascii="仿宋_GB2312" w:eastAsia="仿宋_GB2312" w:hAnsi="Times New Roman" w:cs="Times New Roman" w:hint="eastAsia"/>
          <w:sz w:val="24"/>
          <w:szCs w:val="24"/>
        </w:rPr>
        <w:t>展研制</w:t>
      </w:r>
      <w:proofErr w:type="gramEnd"/>
      <w:r>
        <w:rPr>
          <w:rFonts w:ascii="仿宋_GB2312" w:eastAsia="仿宋_GB2312" w:hAnsi="Times New Roman" w:cs="Times New Roman" w:hint="eastAsia"/>
          <w:sz w:val="24"/>
          <w:szCs w:val="24"/>
        </w:rPr>
        <w:t>工作。该标准的研制预计该标准将通过高水平标准引领，促进行业发展质量全面提升，扩大优质产品和服务供给，有效增强市场主体竞争力。</w:t>
      </w:r>
    </w:p>
    <w:p w14:paraId="168B1DA0" w14:textId="77777777" w:rsidR="005A7963" w:rsidRDefault="00000000">
      <w:pPr>
        <w:adjustRightInd/>
        <w:snapToGrid/>
        <w:spacing w:after="0" w:line="360" w:lineRule="auto"/>
        <w:ind w:left="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二、其他意见和建议</w:t>
      </w:r>
    </w:p>
    <w:p w14:paraId="71FC5039" w14:textId="77777777" w:rsidR="005A7963" w:rsidRDefault="00000000">
      <w:pPr>
        <w:pStyle w:val="af0"/>
        <w:adjustRightInd/>
        <w:snapToGrid/>
        <w:spacing w:after="0" w:line="360" w:lineRule="auto"/>
        <w:ind w:left="480" w:firstLineChars="0" w:firstLine="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1.进一步完善指标评价体系，修改创新性指标；</w:t>
      </w:r>
    </w:p>
    <w:p w14:paraId="779E9762" w14:textId="77777777" w:rsidR="005A7963" w:rsidRDefault="00000000">
      <w:pPr>
        <w:pStyle w:val="af0"/>
        <w:adjustRightInd/>
        <w:snapToGrid/>
        <w:spacing w:after="0" w:line="360" w:lineRule="auto"/>
        <w:ind w:left="480" w:firstLineChars="0" w:firstLine="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2.建议按照T/CAS 700—2023;T/CSTE 0321—2023《质量分级 及“领跑者”评价标准编制通则》修改完善标准文本；</w:t>
      </w:r>
    </w:p>
    <w:p w14:paraId="1A229466" w14:textId="77777777" w:rsidR="005A7963" w:rsidRDefault="00000000">
      <w:pPr>
        <w:pStyle w:val="af0"/>
        <w:adjustRightInd/>
        <w:snapToGrid/>
        <w:spacing w:after="0" w:line="360" w:lineRule="auto"/>
        <w:ind w:left="480" w:firstLineChars="0" w:firstLine="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3.补充该产品所涉及企业标准分析情况、指标选择依据及等级 划分的验证情况。</w:t>
      </w:r>
    </w:p>
    <w:p w14:paraId="3BA3C208"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征求意见（根据版次调整）</w:t>
      </w:r>
    </w:p>
    <w:p w14:paraId="1457707F"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专家评审（根据版次调整）</w:t>
      </w:r>
    </w:p>
    <w:p w14:paraId="7983657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标准报批（根据版次调整）</w:t>
      </w:r>
    </w:p>
    <w:p w14:paraId="40D88250" w14:textId="77777777" w:rsidR="005A7963" w:rsidRDefault="00000000">
      <w:pPr>
        <w:pStyle w:val="af0"/>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14:paraId="4D0C091C"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14:paraId="61C64D0A"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w:t>
      </w:r>
      <w:proofErr w:type="gramStart"/>
      <w:r>
        <w:rPr>
          <w:rFonts w:ascii="仿宋_GB2312" w:eastAsia="仿宋_GB2312" w:hAnsi="Times New Roman" w:cs="Times New Roman" w:hint="eastAsia"/>
          <w:sz w:val="24"/>
          <w:szCs w:val="24"/>
        </w:rPr>
        <w:t>规</w:t>
      </w:r>
      <w:proofErr w:type="gramEnd"/>
      <w:r>
        <w:rPr>
          <w:rFonts w:ascii="仿宋_GB2312" w:eastAsia="仿宋_GB2312" w:hAnsi="Times New Roman" w:cs="Times New Roman" w:hint="eastAsia"/>
          <w:sz w:val="24"/>
          <w:szCs w:val="24"/>
        </w:rPr>
        <w:t>性、必要性、先进性、经济性、可操作性”的原则，尽可能与国际通行标准接轨，注重标准的可操作性，本标准严格按照GB/T 1.1—2020《标准化工作导则  第1部分：标准化文件的结构和起草规则》的规定进行编写和表述。</w:t>
      </w:r>
    </w:p>
    <w:p w14:paraId="0F86589F"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14:paraId="3002730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对标现行有效国家标准：</w:t>
      </w:r>
      <w:bookmarkStart w:id="1" w:name="_Hlk170896628"/>
      <w:r>
        <w:rPr>
          <w:rFonts w:ascii="仿宋_GB2312" w:eastAsia="仿宋_GB2312" w:hAnsi="Times New Roman" w:cs="Times New Roman" w:hint="eastAsia"/>
          <w:sz w:val="24"/>
          <w:szCs w:val="24"/>
        </w:rPr>
        <w:t>GB/T 12237—2021《石油、石化及相关工业用的钢制球阀》、JB/T 8864—2018《阀门气动装置 技术条件》等标准和T/ZZB 0050—2016《</w:t>
      </w:r>
      <w:r>
        <w:rPr>
          <w:rFonts w:ascii="仿宋_GB2312" w:eastAsia="仿宋_GB2312" w:hAnsi="宋体" w:hint="eastAsia"/>
          <w:sz w:val="24"/>
        </w:rPr>
        <w:t>石油、石化及相关工业用的钢制球阀</w:t>
      </w:r>
      <w:r>
        <w:rPr>
          <w:rFonts w:ascii="仿宋_GB2312" w:eastAsia="仿宋_GB2312" w:hAnsi="Times New Roman" w:cs="Times New Roman" w:hint="eastAsia"/>
          <w:sz w:val="24"/>
          <w:szCs w:val="24"/>
        </w:rPr>
        <w:t>》“浙江制造”标准</w:t>
      </w:r>
      <w:bookmarkEnd w:id="1"/>
      <w:r>
        <w:rPr>
          <w:rFonts w:ascii="仿宋_GB2312" w:eastAsia="仿宋_GB2312" w:hAnsi="Times New Roman" w:cs="Times New Roman" w:hint="eastAsia"/>
          <w:sz w:val="24"/>
          <w:szCs w:val="24"/>
        </w:rPr>
        <w:t>等。</w:t>
      </w:r>
    </w:p>
    <w:p w14:paraId="69038DE9" w14:textId="77777777" w:rsidR="005A7963" w:rsidRDefault="00000000">
      <w:pPr>
        <w:pStyle w:val="af0"/>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4868109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标准主要内容包括范围、规范性引用文件、术语和定义、基本要求、评价指标及要求、评价方法及等级划分共五个方面对标准进行编制。主要内容及确定依据如下：</w:t>
      </w:r>
    </w:p>
    <w:p w14:paraId="5B514EBD"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本文件规定了石油、石化及相关工业用的钢制球阀“领跑者”标准评价的术语和定义、基本要求、评价指标及要求、评价方法及等级划分。各章节主要内容如下：</w:t>
      </w:r>
    </w:p>
    <w:p w14:paraId="5946995A"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0475F2BB"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GB/T 12237—2021、JB/T 8864—2018界定的术语和定义适用于本文件。</w:t>
      </w:r>
    </w:p>
    <w:p w14:paraId="3BEDAC0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基本要求</w:t>
      </w:r>
    </w:p>
    <w:p w14:paraId="27ED55F2"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2.1近三年，生产企业无较大及以上环境、安全、质量事故</w:t>
      </w:r>
    </w:p>
    <w:p w14:paraId="5706F0BE"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2.2企业应未列入国家信用信息严重失信主体相关名录。</w:t>
      </w:r>
    </w:p>
    <w:p w14:paraId="404E7BF8"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2.3企业可根据GB/T 19001、GB/T 24001、GB/T 45001建立并运行相应质量、环境和职业健康安全鼓励企业根据自身运营情况建立更高水平的相关管理体系。</w:t>
      </w:r>
    </w:p>
    <w:p w14:paraId="1DF6B5DB"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评价指标及要求</w:t>
      </w:r>
    </w:p>
    <w:p w14:paraId="1CAB6774"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3.1评价指标分类</w:t>
      </w:r>
    </w:p>
    <w:p w14:paraId="76AC9F42"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3.1.1本文件中所包括的指标分为基础指标、核心指标和创新性指标。</w:t>
      </w:r>
    </w:p>
    <w:p w14:paraId="5766AA2D"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3.1.2基础指标包括低压气体密封试验、阀体化学成分分析、阀体标志检查、铭牌内容检查、无损检测、壳体试验。</w:t>
      </w:r>
    </w:p>
    <w:p w14:paraId="189B5C4A"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3.1.3核心指标包括高压密封试验、阀体壁厚测量、阀杆硬度测量、导静电试验、耐火试验和阀体材质力学性能。</w:t>
      </w:r>
    </w:p>
    <w:p w14:paraId="1B30317E"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3.1.4核心指标分为先进水平、平均水平和基准水平三个等级，先进水平相当于企业标准排行榜5星级水平；平均水平相当于企业标准排行榜中4星级水平；基准水平相当于企业标准排行榜中3星级水平。</w:t>
      </w:r>
    </w:p>
    <w:p w14:paraId="22E76181"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3.1.5创新性指标包括逸散性试验和带载开关试验。鼓励根据条件成熟情况适时增加与产品性能和消费者关注的相关创新性指标。</w:t>
      </w:r>
    </w:p>
    <w:p w14:paraId="21944438"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2.3评价指标体系框架</w:t>
      </w:r>
    </w:p>
    <w:p w14:paraId="5009CE37"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加强质量分级与“领跑者”评价指标体系，石油、石化及相关工业用的钢制球阀“领跑者”标准评价指标体系框架见表1。</w:t>
      </w:r>
    </w:p>
    <w:p w14:paraId="233904D3" w14:textId="77777777" w:rsidR="005A7963" w:rsidRDefault="00000000">
      <w:pPr>
        <w:pStyle w:val="af1"/>
        <w:spacing w:before="156" w:after="156"/>
        <w:rPr>
          <w14:ligatures w14:val="none"/>
        </w:rPr>
      </w:pPr>
      <w:r>
        <w:rPr>
          <w:rFonts w:hint="eastAsia"/>
          <w14:ligatures w14:val="none"/>
        </w:rPr>
        <w:t>表1 石油、石化及相关工业用的钢制球阀体系框架</w:t>
      </w:r>
    </w:p>
    <w:tbl>
      <w:tblPr>
        <w:tblW w:w="5000" w:type="pct"/>
        <w:tblLayout w:type="fixed"/>
        <w:tblCellMar>
          <w:left w:w="0" w:type="dxa"/>
          <w:right w:w="0" w:type="dxa"/>
        </w:tblCellMar>
        <w:tblLook w:val="04A0" w:firstRow="1" w:lastRow="0" w:firstColumn="1" w:lastColumn="0" w:noHBand="0" w:noVBand="1"/>
      </w:tblPr>
      <w:tblGrid>
        <w:gridCol w:w="449"/>
        <w:gridCol w:w="424"/>
        <w:gridCol w:w="922"/>
        <w:gridCol w:w="1062"/>
        <w:gridCol w:w="1335"/>
        <w:gridCol w:w="1524"/>
        <w:gridCol w:w="1531"/>
        <w:gridCol w:w="1275"/>
      </w:tblGrid>
      <w:tr w:rsidR="005A7963" w14:paraId="5DCBDD06" w14:textId="77777777">
        <w:trPr>
          <w:trHeight w:val="320"/>
        </w:trPr>
        <w:tc>
          <w:tcPr>
            <w:tcW w:w="263" w:type="pct"/>
            <w:vMerge w:val="restar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D7ADB42" w14:textId="77777777" w:rsidR="005A7963" w:rsidRDefault="00000000">
            <w:pPr>
              <w:pStyle w:val="ae"/>
            </w:pPr>
            <w:r>
              <w:rPr>
                <w:rFonts w:ascii="Times New Roman" w:hAnsi="Times New Roman"/>
                <w:color w:val="000000"/>
                <w:sz w:val="20"/>
                <w:szCs w:val="20"/>
              </w:rPr>
              <w:t>序号</w:t>
            </w:r>
          </w:p>
        </w:tc>
        <w:tc>
          <w:tcPr>
            <w:tcW w:w="248" w:type="pct"/>
            <w:vMerge w:val="restar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D3A4D31" w14:textId="77777777" w:rsidR="005A7963" w:rsidRDefault="00000000">
            <w:pPr>
              <w:pStyle w:val="ae"/>
            </w:pPr>
            <w:r>
              <w:rPr>
                <w:rFonts w:ascii="Times New Roman" w:hAnsi="Times New Roman"/>
                <w:color w:val="000000"/>
                <w:sz w:val="20"/>
                <w:szCs w:val="20"/>
              </w:rPr>
              <w:t>指标类型</w:t>
            </w:r>
          </w:p>
        </w:tc>
        <w:tc>
          <w:tcPr>
            <w:tcW w:w="541" w:type="pct"/>
            <w:vMerge w:val="restar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0B01EF3" w14:textId="77777777" w:rsidR="005A7963" w:rsidRDefault="00000000">
            <w:pPr>
              <w:pStyle w:val="ae"/>
            </w:pPr>
            <w:r>
              <w:rPr>
                <w:rFonts w:ascii="Times New Roman" w:hAnsi="Times New Roman"/>
                <w:color w:val="000000"/>
                <w:sz w:val="20"/>
                <w:szCs w:val="20"/>
              </w:rPr>
              <w:t>评价指标</w:t>
            </w:r>
          </w:p>
        </w:tc>
        <w:tc>
          <w:tcPr>
            <w:tcW w:w="623" w:type="pct"/>
            <w:vMerge w:val="restar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FA03B6E" w14:textId="77777777" w:rsidR="005A7963" w:rsidRDefault="00000000">
            <w:pPr>
              <w:pStyle w:val="ae"/>
            </w:pPr>
            <w:r>
              <w:rPr>
                <w:rFonts w:ascii="Times New Roman" w:hAnsi="Times New Roman"/>
                <w:color w:val="000000"/>
                <w:sz w:val="20"/>
                <w:szCs w:val="20"/>
              </w:rPr>
              <w:t>指标来源</w:t>
            </w:r>
          </w:p>
        </w:tc>
        <w:tc>
          <w:tcPr>
            <w:tcW w:w="2575" w:type="pct"/>
            <w:gridSpan w:val="3"/>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11494B3" w14:textId="77777777" w:rsidR="005A7963" w:rsidRDefault="00000000">
            <w:pPr>
              <w:pStyle w:val="ae"/>
            </w:pPr>
            <w:r>
              <w:rPr>
                <w:rFonts w:ascii="Times New Roman" w:hAnsi="Times New Roman"/>
                <w:color w:val="000000"/>
                <w:sz w:val="20"/>
                <w:szCs w:val="20"/>
              </w:rPr>
              <w:t>指标水平分级</w:t>
            </w:r>
          </w:p>
        </w:tc>
        <w:tc>
          <w:tcPr>
            <w:tcW w:w="748" w:type="pct"/>
            <w:vMerge w:val="restar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D99512C" w14:textId="77777777" w:rsidR="005A7963" w:rsidRDefault="00000000">
            <w:pPr>
              <w:pStyle w:val="ae"/>
            </w:pPr>
            <w:r>
              <w:rPr>
                <w:rFonts w:ascii="Times New Roman" w:hAnsi="Times New Roman"/>
                <w:color w:val="000000"/>
                <w:sz w:val="20"/>
                <w:szCs w:val="20"/>
              </w:rPr>
              <w:t>判定依据</w:t>
            </w:r>
            <w:r>
              <w:rPr>
                <w:rFonts w:ascii="Times New Roman" w:hAnsi="Times New Roman"/>
                <w:color w:val="000000"/>
                <w:sz w:val="20"/>
                <w:szCs w:val="20"/>
              </w:rPr>
              <w:t>/</w:t>
            </w:r>
            <w:r>
              <w:rPr>
                <w:rFonts w:ascii="Times New Roman" w:hAnsi="Times New Roman"/>
                <w:color w:val="000000"/>
                <w:sz w:val="20"/>
                <w:szCs w:val="20"/>
              </w:rPr>
              <w:t>方法</w:t>
            </w:r>
          </w:p>
        </w:tc>
      </w:tr>
      <w:tr w:rsidR="005A7963" w14:paraId="51C1FE72" w14:textId="77777777">
        <w:trPr>
          <w:trHeight w:val="320"/>
        </w:trPr>
        <w:tc>
          <w:tcPr>
            <w:tcW w:w="263"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0EB196D" w14:textId="77777777" w:rsidR="005A7963" w:rsidRDefault="005A7963">
            <w:pPr>
              <w:rPr>
                <w:rFonts w:ascii="宋体"/>
                <w:sz w:val="24"/>
                <w:szCs w:val="24"/>
              </w:rPr>
            </w:pP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63B5A2B" w14:textId="77777777" w:rsidR="005A7963" w:rsidRDefault="005A7963">
            <w:pPr>
              <w:rPr>
                <w:rFonts w:ascii="宋体"/>
                <w:sz w:val="24"/>
                <w:szCs w:val="24"/>
              </w:rPr>
            </w:pPr>
          </w:p>
        </w:tc>
        <w:tc>
          <w:tcPr>
            <w:tcW w:w="541"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DFEE8EE" w14:textId="77777777" w:rsidR="005A7963" w:rsidRDefault="005A7963">
            <w:pPr>
              <w:rPr>
                <w:rFonts w:ascii="宋体"/>
                <w:sz w:val="24"/>
                <w:szCs w:val="24"/>
              </w:rPr>
            </w:pPr>
          </w:p>
        </w:tc>
        <w:tc>
          <w:tcPr>
            <w:tcW w:w="623"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73ACCFA" w14:textId="77777777" w:rsidR="005A7963" w:rsidRDefault="005A7963">
            <w:pPr>
              <w:rPr>
                <w:rFonts w:ascii="宋体"/>
                <w:sz w:val="24"/>
                <w:szCs w:val="24"/>
              </w:rPr>
            </w:pP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5D6567C" w14:textId="77777777" w:rsidR="005A7963" w:rsidRDefault="00000000">
            <w:pPr>
              <w:pStyle w:val="ae"/>
            </w:pPr>
            <w:r>
              <w:rPr>
                <w:rFonts w:ascii="Times New Roman" w:hAnsi="Times New Roman"/>
                <w:color w:val="000000"/>
                <w:sz w:val="20"/>
                <w:szCs w:val="20"/>
              </w:rPr>
              <w:t>先进水平（</w:t>
            </w:r>
            <w:r>
              <w:rPr>
                <w:rFonts w:ascii="Times New Roman" w:hAnsi="Times New Roman"/>
                <w:color w:val="000000"/>
                <w:sz w:val="20"/>
                <w:szCs w:val="20"/>
              </w:rPr>
              <w:t>5</w:t>
            </w:r>
            <w:r>
              <w:rPr>
                <w:rFonts w:ascii="Times New Roman" w:hAnsi="Times New Roman"/>
                <w:color w:val="000000"/>
                <w:sz w:val="20"/>
                <w:szCs w:val="20"/>
              </w:rPr>
              <w:t>星级）</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AC08758" w14:textId="77777777" w:rsidR="005A7963" w:rsidRDefault="00000000">
            <w:pPr>
              <w:pStyle w:val="ae"/>
            </w:pPr>
            <w:r>
              <w:rPr>
                <w:rFonts w:ascii="Times New Roman" w:hAnsi="Times New Roman"/>
                <w:color w:val="000000"/>
                <w:sz w:val="20"/>
                <w:szCs w:val="20"/>
              </w:rPr>
              <w:t>平均水平（</w:t>
            </w:r>
            <w:r>
              <w:rPr>
                <w:rFonts w:ascii="Times New Roman" w:hAnsi="Times New Roman"/>
                <w:color w:val="000000"/>
                <w:sz w:val="20"/>
                <w:szCs w:val="20"/>
              </w:rPr>
              <w:t>4</w:t>
            </w:r>
            <w:r>
              <w:rPr>
                <w:rFonts w:ascii="Times New Roman" w:hAnsi="Times New Roman"/>
                <w:color w:val="000000"/>
                <w:sz w:val="20"/>
                <w:szCs w:val="20"/>
              </w:rPr>
              <w:t>星级）</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71532EE" w14:textId="77777777" w:rsidR="005A7963" w:rsidRDefault="00000000">
            <w:pPr>
              <w:pStyle w:val="ae"/>
            </w:pPr>
            <w:r>
              <w:rPr>
                <w:rFonts w:ascii="Times New Roman" w:hAnsi="Times New Roman"/>
                <w:color w:val="000000"/>
                <w:sz w:val="20"/>
                <w:szCs w:val="20"/>
              </w:rPr>
              <w:t>基准水平（</w:t>
            </w:r>
            <w:r>
              <w:rPr>
                <w:rFonts w:ascii="Times New Roman" w:hAnsi="Times New Roman"/>
                <w:color w:val="000000"/>
                <w:sz w:val="20"/>
                <w:szCs w:val="20"/>
              </w:rPr>
              <w:t>3</w:t>
            </w:r>
            <w:r>
              <w:rPr>
                <w:rFonts w:ascii="Times New Roman" w:hAnsi="Times New Roman"/>
                <w:color w:val="000000"/>
                <w:sz w:val="20"/>
                <w:szCs w:val="20"/>
              </w:rPr>
              <w:t>星级）</w:t>
            </w:r>
          </w:p>
        </w:tc>
        <w:tc>
          <w:tcPr>
            <w:tcW w:w="7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34FA6E1" w14:textId="77777777" w:rsidR="005A7963" w:rsidRDefault="005A7963">
            <w:pPr>
              <w:rPr>
                <w:rFonts w:ascii="宋体"/>
                <w:sz w:val="24"/>
                <w:szCs w:val="24"/>
              </w:rPr>
            </w:pPr>
          </w:p>
        </w:tc>
      </w:tr>
      <w:tr w:rsidR="005A7963" w14:paraId="29253D05" w14:textId="77777777">
        <w:trPr>
          <w:trHeight w:val="50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A4B4D3C" w14:textId="77777777" w:rsidR="005A7963" w:rsidRDefault="00000000">
            <w:pPr>
              <w:pStyle w:val="ae"/>
            </w:pPr>
            <w:r>
              <w:rPr>
                <w:rFonts w:ascii="Times New Roman" w:hAnsi="Times New Roman"/>
                <w:color w:val="000000"/>
                <w:sz w:val="20"/>
                <w:szCs w:val="20"/>
              </w:rPr>
              <w:t>1</w:t>
            </w:r>
          </w:p>
        </w:tc>
        <w:tc>
          <w:tcPr>
            <w:tcW w:w="248" w:type="pct"/>
            <w:vMerge w:val="restar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5DEA6E6" w14:textId="77777777" w:rsidR="005A7963" w:rsidRDefault="00000000">
            <w:pPr>
              <w:pStyle w:val="ae"/>
            </w:pPr>
            <w:r>
              <w:rPr>
                <w:rFonts w:ascii="Times New Roman" w:hAnsi="Times New Roman"/>
                <w:color w:val="000000"/>
                <w:sz w:val="20"/>
                <w:szCs w:val="20"/>
              </w:rPr>
              <w:t>基础指标</w:t>
            </w: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9B5B6EC" w14:textId="77777777" w:rsidR="005A7963" w:rsidRDefault="00000000">
            <w:pPr>
              <w:pStyle w:val="ae"/>
            </w:pPr>
            <w:r>
              <w:rPr>
                <w:rFonts w:ascii="宋体" w:eastAsia="宋体" w:hAnsi="宋体" w:cs="宋体" w:hint="eastAsia"/>
                <w:color w:val="000000"/>
                <w:sz w:val="20"/>
                <w:szCs w:val="20"/>
              </w:rPr>
              <w:t>低压气体密封试验</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B374EC2" w14:textId="77777777" w:rsidR="005A7963" w:rsidRDefault="00000000">
            <w:pPr>
              <w:pStyle w:val="ae"/>
            </w:pPr>
            <w:r>
              <w:rPr>
                <w:rFonts w:ascii="宋体" w:eastAsia="宋体" w:hAnsi="宋体" w:cs="宋体" w:hint="eastAsia"/>
                <w:color w:val="000000"/>
                <w:sz w:val="20"/>
                <w:szCs w:val="20"/>
              </w:rPr>
              <w:t>GB/T 12237—2021 </w:t>
            </w:r>
          </w:p>
        </w:tc>
        <w:tc>
          <w:tcPr>
            <w:tcW w:w="2575" w:type="pct"/>
            <w:gridSpan w:val="3"/>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3D525D9" w14:textId="77777777" w:rsidR="005A7963" w:rsidRDefault="00000000">
            <w:pPr>
              <w:pStyle w:val="ae"/>
            </w:pPr>
            <w:r>
              <w:rPr>
                <w:rFonts w:ascii="宋体" w:eastAsia="宋体" w:hAnsi="宋体" w:cs="宋体" w:hint="eastAsia"/>
                <w:color w:val="000000"/>
                <w:sz w:val="20"/>
                <w:szCs w:val="20"/>
              </w:rPr>
              <w:t>按GB/T 12237的规定进行测定。</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319A03E"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11974993" w14:textId="77777777">
        <w:trPr>
          <w:trHeight w:val="50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4A2C222" w14:textId="77777777" w:rsidR="005A7963" w:rsidRDefault="00000000">
            <w:pPr>
              <w:pStyle w:val="ae"/>
            </w:pPr>
            <w:r>
              <w:rPr>
                <w:rFonts w:ascii="Times New Roman" w:hAnsi="Times New Roman"/>
                <w:color w:val="000000"/>
                <w:sz w:val="20"/>
                <w:szCs w:val="20"/>
              </w:rPr>
              <w:t>2</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2FE599C"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32C0858C" w14:textId="77777777" w:rsidR="005A7963" w:rsidRDefault="00000000">
            <w:pPr>
              <w:pStyle w:val="ae"/>
            </w:pPr>
            <w:r>
              <w:rPr>
                <w:rFonts w:ascii="宋体" w:eastAsia="宋体" w:hAnsi="宋体" w:cs="宋体" w:hint="eastAsia"/>
                <w:color w:val="000000"/>
                <w:sz w:val="20"/>
                <w:szCs w:val="20"/>
              </w:rPr>
              <w:t>阀体化学成分分析</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ED01777" w14:textId="77777777" w:rsidR="005A7963" w:rsidRDefault="00000000">
            <w:pPr>
              <w:pStyle w:val="ae"/>
            </w:pPr>
            <w:r>
              <w:rPr>
                <w:rFonts w:ascii="宋体" w:eastAsia="宋体" w:hAnsi="宋体" w:cs="宋体" w:hint="eastAsia"/>
                <w:color w:val="000000"/>
                <w:sz w:val="20"/>
                <w:szCs w:val="20"/>
              </w:rPr>
              <w:t>GB/T 12237—2021 </w:t>
            </w:r>
          </w:p>
        </w:tc>
        <w:tc>
          <w:tcPr>
            <w:tcW w:w="2575" w:type="pct"/>
            <w:gridSpan w:val="3"/>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3020EE46" w14:textId="77777777" w:rsidR="005A7963" w:rsidRDefault="00000000">
            <w:pPr>
              <w:pStyle w:val="ae"/>
            </w:pPr>
            <w:r>
              <w:rPr>
                <w:rFonts w:ascii="宋体" w:eastAsia="宋体" w:hAnsi="宋体" w:cs="宋体" w:hint="eastAsia"/>
                <w:color w:val="000000"/>
                <w:sz w:val="20"/>
                <w:szCs w:val="20"/>
              </w:rPr>
              <w:t>按GB/T 12237的规定进行测定。</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A61B630"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5665AA01" w14:textId="77777777">
        <w:trPr>
          <w:trHeight w:val="36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3EE42DF" w14:textId="77777777" w:rsidR="005A7963" w:rsidRDefault="00000000">
            <w:pPr>
              <w:pStyle w:val="ae"/>
            </w:pPr>
            <w:r>
              <w:rPr>
                <w:rFonts w:ascii="Times New Roman" w:hAnsi="Times New Roman"/>
                <w:color w:val="000000"/>
                <w:sz w:val="20"/>
                <w:szCs w:val="20"/>
              </w:rPr>
              <w:t>3</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688673D"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9ED5D50" w14:textId="77777777" w:rsidR="005A7963" w:rsidRDefault="00000000">
            <w:pPr>
              <w:pStyle w:val="ae"/>
            </w:pPr>
            <w:r>
              <w:rPr>
                <w:rFonts w:ascii="宋体" w:eastAsia="宋体" w:hAnsi="宋体" w:cs="宋体" w:hint="eastAsia"/>
                <w:color w:val="000000"/>
                <w:sz w:val="20"/>
                <w:szCs w:val="20"/>
              </w:rPr>
              <w:t>阀体标志检查</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2218AD8" w14:textId="77777777" w:rsidR="005A7963" w:rsidRDefault="00000000">
            <w:pPr>
              <w:pStyle w:val="ae"/>
            </w:pPr>
            <w:r>
              <w:rPr>
                <w:rFonts w:ascii="宋体" w:eastAsia="宋体" w:hAnsi="宋体" w:cs="宋体" w:hint="eastAsia"/>
                <w:color w:val="000000"/>
                <w:sz w:val="20"/>
                <w:szCs w:val="20"/>
              </w:rPr>
              <w:t>GB/T 12237—2021 </w:t>
            </w:r>
          </w:p>
        </w:tc>
        <w:tc>
          <w:tcPr>
            <w:tcW w:w="2575" w:type="pct"/>
            <w:gridSpan w:val="3"/>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BD876EF" w14:textId="77777777" w:rsidR="005A7963" w:rsidRDefault="00000000">
            <w:pPr>
              <w:pStyle w:val="ae"/>
            </w:pPr>
            <w:r>
              <w:rPr>
                <w:rFonts w:ascii="宋体" w:eastAsia="宋体" w:hAnsi="宋体" w:cs="宋体" w:hint="eastAsia"/>
                <w:color w:val="000000"/>
                <w:sz w:val="20"/>
                <w:szCs w:val="20"/>
              </w:rPr>
              <w:t>按GB/T 12237中8.2的规定进行测定。</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A57690C"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3A613887" w14:textId="77777777">
        <w:trPr>
          <w:trHeight w:val="36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537CE7E" w14:textId="77777777" w:rsidR="005A7963" w:rsidRDefault="00000000">
            <w:pPr>
              <w:pStyle w:val="ae"/>
            </w:pPr>
            <w:r>
              <w:rPr>
                <w:rFonts w:ascii="Times New Roman" w:hAnsi="Times New Roman"/>
                <w:color w:val="000000"/>
                <w:sz w:val="20"/>
                <w:szCs w:val="20"/>
              </w:rPr>
              <w:lastRenderedPageBreak/>
              <w:t>4</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8F9815B"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36E441C6" w14:textId="77777777" w:rsidR="005A7963" w:rsidRDefault="00000000">
            <w:pPr>
              <w:pStyle w:val="ae"/>
            </w:pPr>
            <w:r>
              <w:rPr>
                <w:rFonts w:ascii="宋体" w:eastAsia="宋体" w:hAnsi="宋体" w:cs="宋体" w:hint="eastAsia"/>
                <w:color w:val="000000"/>
                <w:sz w:val="20"/>
                <w:szCs w:val="20"/>
              </w:rPr>
              <w:t>铭牌内容检查</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6DBC07DE" w14:textId="77777777" w:rsidR="005A7963" w:rsidRDefault="00000000">
            <w:pPr>
              <w:pStyle w:val="ae"/>
            </w:pPr>
            <w:r>
              <w:rPr>
                <w:rFonts w:ascii="宋体" w:eastAsia="宋体" w:hAnsi="宋体" w:cs="宋体" w:hint="eastAsia"/>
                <w:color w:val="000000"/>
                <w:sz w:val="20"/>
                <w:szCs w:val="20"/>
              </w:rPr>
              <w:t>GB/T 12237—2021 </w:t>
            </w:r>
          </w:p>
        </w:tc>
        <w:tc>
          <w:tcPr>
            <w:tcW w:w="2575" w:type="pct"/>
            <w:gridSpan w:val="3"/>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6186BFAA" w14:textId="77777777" w:rsidR="005A7963" w:rsidRDefault="00000000">
            <w:pPr>
              <w:pStyle w:val="ae"/>
            </w:pPr>
            <w:r>
              <w:rPr>
                <w:rFonts w:ascii="宋体" w:eastAsia="宋体" w:hAnsi="宋体" w:cs="宋体" w:hint="eastAsia"/>
                <w:color w:val="000000"/>
                <w:sz w:val="20"/>
                <w:szCs w:val="20"/>
              </w:rPr>
              <w:t>按GB/T 12237中8.3的规定进行测定。</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973CBE1"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5A3B2855" w14:textId="77777777">
        <w:trPr>
          <w:trHeight w:val="36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3EC258F4" w14:textId="77777777" w:rsidR="005A7963" w:rsidRDefault="00000000">
            <w:pPr>
              <w:pStyle w:val="ae"/>
            </w:pPr>
            <w:r>
              <w:rPr>
                <w:rFonts w:ascii="宋体" w:eastAsia="宋体" w:hAnsi="宋体" w:cs="宋体" w:hint="eastAsia"/>
                <w:color w:val="000000"/>
                <w:sz w:val="20"/>
                <w:szCs w:val="20"/>
              </w:rPr>
              <w:t>5</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0DB4E2D"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3852DD67" w14:textId="77777777" w:rsidR="005A7963" w:rsidRDefault="00000000">
            <w:pPr>
              <w:pStyle w:val="ae"/>
            </w:pPr>
            <w:r>
              <w:rPr>
                <w:rFonts w:ascii="宋体" w:eastAsia="宋体" w:hAnsi="宋体" w:cs="宋体" w:hint="eastAsia"/>
                <w:color w:val="000000"/>
                <w:sz w:val="20"/>
                <w:szCs w:val="20"/>
              </w:rPr>
              <w:t>无损检测</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E049614" w14:textId="77777777" w:rsidR="005A7963" w:rsidRDefault="00000000">
            <w:pPr>
              <w:pStyle w:val="ae"/>
            </w:pPr>
            <w:r>
              <w:rPr>
                <w:rFonts w:ascii="宋体" w:eastAsia="宋体" w:hAnsi="宋体" w:cs="宋体" w:hint="eastAsia"/>
                <w:color w:val="000000"/>
                <w:sz w:val="20"/>
                <w:szCs w:val="20"/>
              </w:rPr>
              <w:t>GB/T 12237—2021 </w:t>
            </w: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0FE590D" w14:textId="77777777" w:rsidR="005A7963" w:rsidRDefault="00000000">
            <w:pPr>
              <w:pStyle w:val="ae"/>
            </w:pPr>
            <w:r>
              <w:rPr>
                <w:rFonts w:ascii="宋体" w:eastAsia="宋体" w:hAnsi="宋体" w:cs="宋体" w:hint="eastAsia"/>
                <w:color w:val="000000"/>
                <w:sz w:val="20"/>
                <w:szCs w:val="20"/>
              </w:rPr>
              <w:t>T/ZZB 0050中5.3.1进行</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68AB351E" w14:textId="77777777" w:rsidR="005A7963" w:rsidRDefault="00000000">
            <w:pPr>
              <w:pStyle w:val="ae"/>
            </w:pPr>
            <w:r>
              <w:rPr>
                <w:rFonts w:ascii="宋体" w:eastAsia="宋体" w:hAnsi="宋体" w:cs="宋体" w:hint="eastAsia"/>
                <w:color w:val="000000"/>
                <w:sz w:val="20"/>
                <w:szCs w:val="20"/>
              </w:rPr>
              <w:t>符合GB/T20801.5的要求</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B21A13C" w14:textId="77777777" w:rsidR="005A7963" w:rsidRDefault="00000000">
            <w:pPr>
              <w:pStyle w:val="ae"/>
            </w:pPr>
            <w:r>
              <w:rPr>
                <w:rFonts w:ascii="宋体" w:eastAsia="宋体" w:hAnsi="宋体" w:cs="宋体" w:hint="eastAsia"/>
                <w:color w:val="000000"/>
                <w:sz w:val="20"/>
                <w:szCs w:val="20"/>
              </w:rPr>
              <w:t>符合GB/T20801.5的要求</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4332C67"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7A1A0664" w14:textId="77777777">
        <w:trPr>
          <w:trHeight w:val="1538"/>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A873892" w14:textId="77777777" w:rsidR="005A7963" w:rsidRDefault="00000000">
            <w:pPr>
              <w:pStyle w:val="ae"/>
            </w:pPr>
            <w:r>
              <w:rPr>
                <w:rFonts w:ascii="宋体" w:eastAsia="宋体" w:hAnsi="宋体" w:cs="宋体" w:hint="eastAsia"/>
                <w:color w:val="000000"/>
                <w:sz w:val="20"/>
                <w:szCs w:val="20"/>
              </w:rPr>
              <w:t>6</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091FDE7"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BC637A0" w14:textId="77777777" w:rsidR="005A7963" w:rsidRDefault="00000000">
            <w:pPr>
              <w:pStyle w:val="ae"/>
            </w:pPr>
            <w:r>
              <w:rPr>
                <w:rFonts w:ascii="宋体" w:eastAsia="宋体" w:hAnsi="宋体" w:cs="宋体" w:hint="eastAsia"/>
                <w:color w:val="000000"/>
                <w:sz w:val="20"/>
                <w:szCs w:val="20"/>
              </w:rPr>
              <w:t>壳体试验</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E50AB27" w14:textId="77777777" w:rsidR="005A7963" w:rsidRDefault="00000000">
            <w:pPr>
              <w:pStyle w:val="ae"/>
            </w:pPr>
            <w:r>
              <w:rPr>
                <w:rFonts w:ascii="宋体" w:eastAsia="宋体" w:hAnsi="宋体" w:cs="宋体" w:hint="eastAsia"/>
                <w:color w:val="000000"/>
                <w:sz w:val="20"/>
                <w:szCs w:val="20"/>
              </w:rPr>
              <w:t>GB/T 12237—2021 </w:t>
            </w: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7C2A939" w14:textId="77777777" w:rsidR="005A7963" w:rsidRDefault="00000000">
            <w:pPr>
              <w:pStyle w:val="ae"/>
            </w:pPr>
            <w:r>
              <w:rPr>
                <w:rFonts w:ascii="宋体" w:eastAsia="宋体" w:hAnsi="宋体" w:cs="宋体" w:hint="eastAsia"/>
                <w:color w:val="000000"/>
                <w:sz w:val="20"/>
                <w:szCs w:val="20"/>
              </w:rPr>
              <w:t>5min</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1E2B013" w14:textId="77777777" w:rsidR="005A7963" w:rsidRDefault="00000000">
            <w:pPr>
              <w:pStyle w:val="ae"/>
            </w:pPr>
            <w:r>
              <w:rPr>
                <w:rFonts w:ascii="宋体" w:eastAsia="宋体" w:hAnsi="宋体" w:cs="宋体" w:hint="eastAsia"/>
                <w:color w:val="000000"/>
                <w:sz w:val="20"/>
                <w:szCs w:val="20"/>
              </w:rPr>
              <w:t>3min</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0897D81" w14:textId="77777777" w:rsidR="005A7963" w:rsidRDefault="00000000">
            <w:pPr>
              <w:pStyle w:val="ae"/>
            </w:pPr>
            <w:r>
              <w:rPr>
                <w:rFonts w:ascii="宋体" w:eastAsia="宋体" w:hAnsi="宋体" w:cs="宋体" w:hint="eastAsia"/>
                <w:color w:val="000000"/>
                <w:sz w:val="20"/>
                <w:szCs w:val="20"/>
              </w:rPr>
              <w:t>2min</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5A084F9" w14:textId="77777777" w:rsidR="005A7963" w:rsidRDefault="00000000">
            <w:pPr>
              <w:pStyle w:val="ae"/>
            </w:pPr>
            <w:r>
              <w:rPr>
                <w:rFonts w:ascii="宋体" w:eastAsia="宋体" w:hAnsi="宋体" w:cs="宋体" w:hint="eastAsia"/>
                <w:color w:val="000000"/>
                <w:sz w:val="20"/>
                <w:szCs w:val="20"/>
              </w:rPr>
              <w:t>按GB/T 12237—2021中7.1.1的规定进行测定。</w:t>
            </w:r>
          </w:p>
        </w:tc>
      </w:tr>
      <w:tr w:rsidR="005A7963" w14:paraId="5D4C2120" w14:textId="77777777">
        <w:trPr>
          <w:trHeight w:val="50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3742489" w14:textId="77777777" w:rsidR="005A7963" w:rsidRDefault="00000000">
            <w:pPr>
              <w:pStyle w:val="ae"/>
            </w:pPr>
            <w:r>
              <w:rPr>
                <w:rFonts w:ascii="宋体" w:eastAsia="宋体" w:hAnsi="宋体" w:cs="宋体" w:hint="eastAsia"/>
                <w:color w:val="000000"/>
                <w:sz w:val="20"/>
                <w:szCs w:val="20"/>
              </w:rPr>
              <w:t xml:space="preserve">7 </w:t>
            </w:r>
          </w:p>
        </w:tc>
        <w:tc>
          <w:tcPr>
            <w:tcW w:w="248" w:type="pct"/>
            <w:vMerge w:val="restar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9AA7F80" w14:textId="77777777" w:rsidR="005A7963" w:rsidRDefault="00000000">
            <w:pPr>
              <w:pStyle w:val="ae"/>
            </w:pPr>
            <w:r>
              <w:rPr>
                <w:rFonts w:ascii="Times New Roman" w:hAnsi="Times New Roman"/>
                <w:color w:val="000000"/>
                <w:sz w:val="20"/>
                <w:szCs w:val="20"/>
              </w:rPr>
              <w:t>核心指标</w:t>
            </w: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CEA2247" w14:textId="77777777" w:rsidR="005A7963" w:rsidRDefault="00000000">
            <w:pPr>
              <w:pStyle w:val="ae"/>
            </w:pPr>
            <w:r>
              <w:rPr>
                <w:rFonts w:ascii="宋体" w:eastAsia="宋体" w:hAnsi="宋体" w:cs="宋体" w:hint="eastAsia"/>
                <w:color w:val="000000"/>
                <w:sz w:val="20"/>
                <w:szCs w:val="20"/>
              </w:rPr>
              <w:t>高压密封试验</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D31A9EE" w14:textId="77777777" w:rsidR="005A7963" w:rsidRDefault="00000000">
            <w:pPr>
              <w:pStyle w:val="ae"/>
            </w:pPr>
            <w:r>
              <w:rPr>
                <w:rFonts w:ascii="宋体" w:eastAsia="宋体" w:hAnsi="宋体" w:cs="宋体" w:hint="eastAsia"/>
                <w:color w:val="000000"/>
                <w:sz w:val="20"/>
                <w:szCs w:val="20"/>
              </w:rPr>
              <w:t>GB/T 12237—2021 </w:t>
            </w: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550C26A" w14:textId="77777777" w:rsidR="005A7963" w:rsidRDefault="00000000">
            <w:pPr>
              <w:pStyle w:val="ae"/>
            </w:pPr>
            <w:r>
              <w:rPr>
                <w:rFonts w:ascii="宋体" w:eastAsia="宋体" w:hAnsi="宋体" w:cs="宋体" w:hint="eastAsia"/>
                <w:color w:val="000000"/>
                <w:sz w:val="20"/>
                <w:szCs w:val="20"/>
              </w:rPr>
              <w:t>T/ZZB 0050中表6进行</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63F23C4" w14:textId="77777777" w:rsidR="005A7963" w:rsidRDefault="00000000">
            <w:pPr>
              <w:pStyle w:val="ae"/>
            </w:pPr>
            <w:r>
              <w:rPr>
                <w:rFonts w:ascii="宋体" w:eastAsia="宋体" w:hAnsi="宋体" w:cs="宋体" w:hint="eastAsia"/>
                <w:color w:val="000000"/>
                <w:sz w:val="20"/>
                <w:szCs w:val="20"/>
              </w:rPr>
              <w:t>16滴/min（水）20气泡/min（气）</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F4BE613" w14:textId="77777777" w:rsidR="005A7963" w:rsidRDefault="00000000">
            <w:pPr>
              <w:pStyle w:val="ae"/>
            </w:pPr>
            <w:r>
              <w:rPr>
                <w:rFonts w:ascii="宋体" w:eastAsia="宋体" w:hAnsi="宋体" w:cs="宋体" w:hint="eastAsia"/>
                <w:color w:val="000000"/>
                <w:sz w:val="20"/>
                <w:szCs w:val="20"/>
              </w:rPr>
              <w:t>20滴/min（水）40气泡/min（气）</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DC658DF"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77A9F337" w14:textId="77777777">
        <w:trPr>
          <w:trHeight w:val="50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C9FB8B8" w14:textId="77777777" w:rsidR="005A7963" w:rsidRDefault="00000000">
            <w:pPr>
              <w:pStyle w:val="ae"/>
            </w:pPr>
            <w:r>
              <w:rPr>
                <w:rFonts w:ascii="宋体" w:eastAsia="宋体" w:hAnsi="宋体" w:cs="宋体" w:hint="eastAsia"/>
                <w:color w:val="000000"/>
                <w:sz w:val="20"/>
                <w:szCs w:val="20"/>
              </w:rPr>
              <w:t xml:space="preserve">8 </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67E3A7F"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396D0D5" w14:textId="77777777" w:rsidR="005A7963" w:rsidRDefault="00000000">
            <w:pPr>
              <w:pStyle w:val="ae"/>
            </w:pPr>
            <w:r>
              <w:rPr>
                <w:rFonts w:ascii="宋体" w:eastAsia="宋体" w:hAnsi="宋体" w:cs="宋体" w:hint="eastAsia"/>
                <w:color w:val="000000"/>
                <w:sz w:val="20"/>
                <w:szCs w:val="20"/>
              </w:rPr>
              <w:t>阀体壁厚测量</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BD66C25" w14:textId="77777777" w:rsidR="005A7963" w:rsidRDefault="00000000">
            <w:pPr>
              <w:pStyle w:val="ae"/>
            </w:pPr>
            <w:r>
              <w:rPr>
                <w:rFonts w:ascii="宋体" w:eastAsia="宋体" w:hAnsi="宋体" w:cs="宋体" w:hint="eastAsia"/>
                <w:color w:val="000000"/>
                <w:sz w:val="20"/>
                <w:szCs w:val="20"/>
              </w:rPr>
              <w:t>GB/T 12237—2021 </w:t>
            </w: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BFFAF71" w14:textId="77777777" w:rsidR="005A7963" w:rsidRDefault="00000000">
            <w:pPr>
              <w:pStyle w:val="ae"/>
            </w:pPr>
            <w:r>
              <w:rPr>
                <w:rFonts w:ascii="宋体" w:eastAsia="宋体" w:hAnsi="宋体" w:cs="宋体" w:hint="eastAsia"/>
                <w:color w:val="000000"/>
                <w:sz w:val="20"/>
                <w:szCs w:val="20"/>
              </w:rPr>
              <w:t>T/ZZB 0050中5.2.6.3进行</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AFA6063" w14:textId="77777777" w:rsidR="005A7963" w:rsidRDefault="00000000">
            <w:pPr>
              <w:pStyle w:val="ae"/>
            </w:pPr>
            <w:r>
              <w:rPr>
                <w:rFonts w:ascii="宋体" w:eastAsia="宋体" w:hAnsi="宋体" w:cs="宋体" w:hint="eastAsia"/>
                <w:color w:val="000000"/>
                <w:sz w:val="20"/>
                <w:szCs w:val="20"/>
              </w:rPr>
              <w:t>GB/T 12237—2021 中5.5.3进行</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625083BD" w14:textId="77777777" w:rsidR="005A7963" w:rsidRDefault="00000000">
            <w:pPr>
              <w:pStyle w:val="ae"/>
            </w:pPr>
            <w:r>
              <w:rPr>
                <w:rFonts w:ascii="宋体" w:eastAsia="宋体" w:hAnsi="宋体" w:cs="宋体" w:hint="eastAsia"/>
                <w:color w:val="000000"/>
                <w:sz w:val="20"/>
                <w:szCs w:val="20"/>
              </w:rPr>
              <w:t>GB/T 12237—2021 中5.5.3进行</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5DAD854"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0A08B8DC" w14:textId="77777777">
        <w:trPr>
          <w:trHeight w:val="50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DE489FA" w14:textId="77777777" w:rsidR="005A7963" w:rsidRDefault="00000000">
            <w:pPr>
              <w:pStyle w:val="ae"/>
            </w:pPr>
            <w:r>
              <w:rPr>
                <w:rFonts w:ascii="宋体" w:eastAsia="宋体" w:hAnsi="宋体" w:cs="宋体" w:hint="eastAsia"/>
                <w:color w:val="000000"/>
                <w:sz w:val="20"/>
                <w:szCs w:val="20"/>
              </w:rPr>
              <w:t xml:space="preserve">9 </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38E258B"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F432AA7" w14:textId="77777777" w:rsidR="005A7963" w:rsidRDefault="00000000">
            <w:pPr>
              <w:pStyle w:val="ae"/>
            </w:pPr>
            <w:r>
              <w:rPr>
                <w:rFonts w:ascii="宋体" w:eastAsia="宋体" w:hAnsi="宋体" w:cs="宋体" w:hint="eastAsia"/>
                <w:color w:val="000000"/>
                <w:sz w:val="20"/>
                <w:szCs w:val="20"/>
              </w:rPr>
              <w:t>阀杆硬度测量</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EC80463" w14:textId="77777777" w:rsidR="005A7963" w:rsidRDefault="00000000">
            <w:pPr>
              <w:pStyle w:val="ae"/>
            </w:pPr>
            <w:r>
              <w:rPr>
                <w:rFonts w:ascii="宋体" w:eastAsia="宋体" w:hAnsi="宋体" w:cs="宋体" w:hint="eastAsia"/>
                <w:color w:val="000000"/>
                <w:sz w:val="20"/>
                <w:szCs w:val="20"/>
              </w:rPr>
              <w:t>GB/T 12237—2021 </w:t>
            </w: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A5D1AE2" w14:textId="77777777" w:rsidR="005A7963" w:rsidRDefault="00000000">
            <w:pPr>
              <w:pStyle w:val="ae"/>
            </w:pPr>
            <w:r>
              <w:rPr>
                <w:rFonts w:ascii="宋体" w:eastAsia="宋体" w:hAnsi="宋体" w:cs="宋体" w:hint="eastAsia"/>
                <w:color w:val="000000"/>
                <w:sz w:val="20"/>
                <w:szCs w:val="20"/>
              </w:rPr>
              <w:t>T/ZZB 0050中5.5.4进行</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60DD56E5" w14:textId="77777777" w:rsidR="005A7963" w:rsidRDefault="00000000">
            <w:pPr>
              <w:pStyle w:val="ae"/>
            </w:pPr>
            <w:r>
              <w:rPr>
                <w:rFonts w:ascii="宋体" w:eastAsia="宋体" w:hAnsi="宋体" w:cs="宋体" w:hint="eastAsia"/>
                <w:color w:val="000000"/>
                <w:sz w:val="20"/>
                <w:szCs w:val="20"/>
              </w:rPr>
              <w:t>GB/T 12237—2021 中6.3进行</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65B86B4" w14:textId="77777777" w:rsidR="005A7963" w:rsidRDefault="00000000">
            <w:pPr>
              <w:pStyle w:val="ae"/>
            </w:pPr>
            <w:r>
              <w:rPr>
                <w:rFonts w:ascii="宋体" w:eastAsia="宋体" w:hAnsi="宋体" w:cs="宋体" w:hint="eastAsia"/>
                <w:color w:val="000000"/>
                <w:sz w:val="20"/>
                <w:szCs w:val="20"/>
              </w:rPr>
              <w:t>GB/T 12237—2021 中6.3进行</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04B765E"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7B38E324" w14:textId="77777777">
        <w:trPr>
          <w:trHeight w:val="36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BA8990E" w14:textId="77777777" w:rsidR="005A7963" w:rsidRDefault="00000000">
            <w:pPr>
              <w:pStyle w:val="ae"/>
            </w:pPr>
            <w:r>
              <w:rPr>
                <w:rFonts w:ascii="宋体" w:eastAsia="宋体" w:hAnsi="宋体" w:cs="宋体" w:hint="eastAsia"/>
                <w:color w:val="000000"/>
                <w:sz w:val="20"/>
                <w:szCs w:val="20"/>
              </w:rPr>
              <w:t xml:space="preserve">10 </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E046C5A"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6ABD905C" w14:textId="77777777" w:rsidR="005A7963" w:rsidRDefault="00000000">
            <w:pPr>
              <w:pStyle w:val="ae"/>
            </w:pPr>
            <w:r>
              <w:rPr>
                <w:rFonts w:ascii="宋体" w:eastAsia="宋体" w:hAnsi="宋体" w:cs="宋体" w:hint="eastAsia"/>
                <w:color w:val="000000"/>
                <w:sz w:val="20"/>
                <w:szCs w:val="20"/>
              </w:rPr>
              <w:t>导静电试验</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5580732" w14:textId="77777777" w:rsidR="005A7963" w:rsidRDefault="00000000">
            <w:pPr>
              <w:pStyle w:val="ae"/>
            </w:pPr>
            <w:r>
              <w:rPr>
                <w:rFonts w:ascii="宋体" w:eastAsia="宋体" w:hAnsi="宋体" w:cs="宋体" w:hint="eastAsia"/>
                <w:color w:val="000000"/>
                <w:sz w:val="20"/>
                <w:szCs w:val="20"/>
              </w:rPr>
              <w:t>GB/T 12237—2021 </w:t>
            </w: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D18C09D" w14:textId="77777777" w:rsidR="005A7963" w:rsidRDefault="00000000">
            <w:pPr>
              <w:pStyle w:val="ae"/>
            </w:pPr>
            <w:r>
              <w:rPr>
                <w:rFonts w:ascii="宋体" w:eastAsia="宋体" w:hAnsi="宋体" w:cs="宋体" w:hint="eastAsia"/>
                <w:color w:val="000000"/>
                <w:sz w:val="20"/>
                <w:szCs w:val="20"/>
              </w:rPr>
              <w:t>电阻值应不大于8Ω。</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9A20A65" w14:textId="77777777" w:rsidR="005A7963" w:rsidRDefault="00000000">
            <w:pPr>
              <w:pStyle w:val="ae"/>
            </w:pPr>
            <w:proofErr w:type="gramStart"/>
            <w:r>
              <w:rPr>
                <w:rFonts w:ascii="宋体" w:eastAsia="宋体" w:hAnsi="宋体" w:cs="宋体" w:hint="eastAsia"/>
                <w:color w:val="000000"/>
                <w:sz w:val="20"/>
                <w:szCs w:val="20"/>
              </w:rPr>
              <w:t>电路电阳应</w:t>
            </w:r>
            <w:proofErr w:type="gramEnd"/>
            <w:r>
              <w:rPr>
                <w:rFonts w:ascii="宋体" w:eastAsia="宋体" w:hAnsi="宋体" w:cs="宋体" w:hint="eastAsia"/>
                <w:color w:val="000000"/>
                <w:sz w:val="20"/>
                <w:szCs w:val="20"/>
              </w:rPr>
              <w:t>小于 10 Ω。</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3875A9D8" w14:textId="77777777" w:rsidR="005A7963" w:rsidRDefault="00000000">
            <w:pPr>
              <w:pStyle w:val="ae"/>
            </w:pPr>
            <w:proofErr w:type="gramStart"/>
            <w:r>
              <w:rPr>
                <w:rFonts w:ascii="宋体" w:eastAsia="宋体" w:hAnsi="宋体" w:cs="宋体" w:hint="eastAsia"/>
                <w:color w:val="000000"/>
                <w:sz w:val="20"/>
                <w:szCs w:val="20"/>
              </w:rPr>
              <w:t>电路电阳应</w:t>
            </w:r>
            <w:proofErr w:type="gramEnd"/>
            <w:r>
              <w:rPr>
                <w:rFonts w:ascii="宋体" w:eastAsia="宋体" w:hAnsi="宋体" w:cs="宋体" w:hint="eastAsia"/>
                <w:color w:val="000000"/>
                <w:sz w:val="20"/>
                <w:szCs w:val="20"/>
              </w:rPr>
              <w:t>小于 10 Ω。</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501A58E" w14:textId="77777777" w:rsidR="005A7963" w:rsidRDefault="00000000">
            <w:pPr>
              <w:pStyle w:val="ae"/>
            </w:pPr>
            <w:r>
              <w:rPr>
                <w:rFonts w:ascii="宋体" w:eastAsia="宋体" w:hAnsi="宋体" w:cs="宋体" w:hint="eastAsia"/>
                <w:color w:val="000000"/>
                <w:sz w:val="20"/>
                <w:szCs w:val="20"/>
              </w:rPr>
              <w:t>按GB/T 12237的规定进行测定。</w:t>
            </w:r>
          </w:p>
        </w:tc>
      </w:tr>
      <w:tr w:rsidR="005A7963" w14:paraId="70D7C5AA" w14:textId="77777777">
        <w:trPr>
          <w:trHeight w:val="36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06EE2E0" w14:textId="77777777" w:rsidR="005A7963" w:rsidRDefault="00000000">
            <w:pPr>
              <w:pStyle w:val="ae"/>
            </w:pPr>
            <w:r>
              <w:rPr>
                <w:rFonts w:ascii="宋体" w:eastAsia="宋体" w:hAnsi="宋体" w:cs="宋体" w:hint="eastAsia"/>
                <w:color w:val="000000"/>
                <w:sz w:val="20"/>
                <w:szCs w:val="20"/>
              </w:rPr>
              <w:t>11</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9027C86"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F6FEFA7" w14:textId="77777777" w:rsidR="005A7963" w:rsidRDefault="00000000">
            <w:pPr>
              <w:pStyle w:val="ae"/>
            </w:pPr>
            <w:r>
              <w:rPr>
                <w:rFonts w:ascii="宋体" w:eastAsia="宋体" w:hAnsi="宋体" w:cs="宋体" w:hint="eastAsia"/>
                <w:color w:val="000000"/>
                <w:sz w:val="20"/>
                <w:szCs w:val="20"/>
              </w:rPr>
              <w:t>耐火试验</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449C4BF" w14:textId="77777777" w:rsidR="005A7963" w:rsidRDefault="00000000">
            <w:pPr>
              <w:pStyle w:val="ae"/>
            </w:pPr>
            <w:r>
              <w:rPr>
                <w:rFonts w:ascii="宋体" w:eastAsia="宋体" w:hAnsi="宋体" w:cs="宋体" w:hint="eastAsia"/>
                <w:color w:val="000000"/>
                <w:sz w:val="20"/>
                <w:szCs w:val="20"/>
              </w:rPr>
              <w:t>GB/T 12237—2021 </w:t>
            </w:r>
          </w:p>
        </w:tc>
        <w:tc>
          <w:tcPr>
            <w:tcW w:w="2575" w:type="pct"/>
            <w:gridSpan w:val="3"/>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D0D763B" w14:textId="77777777" w:rsidR="005A7963" w:rsidRDefault="00000000">
            <w:pPr>
              <w:pStyle w:val="ae"/>
            </w:pPr>
            <w:r>
              <w:rPr>
                <w:rFonts w:ascii="宋体" w:eastAsia="宋体" w:hAnsi="宋体" w:cs="宋体" w:hint="eastAsia"/>
                <w:color w:val="000000"/>
                <w:sz w:val="20"/>
                <w:szCs w:val="20"/>
              </w:rPr>
              <w:t>球阀各处密封材料的选择应满足耐火性能并通过GB/T26479的耐火试验。</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87D7AAB" w14:textId="77777777" w:rsidR="005A7963" w:rsidRDefault="00000000">
            <w:pPr>
              <w:pStyle w:val="ae"/>
            </w:pPr>
            <w:r>
              <w:rPr>
                <w:rFonts w:ascii="宋体" w:eastAsia="宋体" w:hAnsi="宋体" w:cs="宋体" w:hint="eastAsia"/>
                <w:color w:val="000000"/>
                <w:sz w:val="20"/>
                <w:szCs w:val="20"/>
              </w:rPr>
              <w:t>按GB/T26479的规定进行测定。</w:t>
            </w:r>
          </w:p>
        </w:tc>
      </w:tr>
      <w:tr w:rsidR="005A7963" w14:paraId="3CA93DB5" w14:textId="77777777">
        <w:trPr>
          <w:trHeight w:val="120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0C6F8E8" w14:textId="77777777" w:rsidR="005A7963" w:rsidRDefault="00000000">
            <w:pPr>
              <w:pStyle w:val="ae"/>
            </w:pPr>
            <w:r>
              <w:rPr>
                <w:rFonts w:ascii="Times New Roman" w:hAnsi="Times New Roman"/>
                <w:color w:val="000000"/>
                <w:sz w:val="20"/>
                <w:szCs w:val="20"/>
              </w:rPr>
              <w:t>12</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C47905C"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3079D61D" w14:textId="77777777" w:rsidR="005A7963" w:rsidRDefault="00000000">
            <w:pPr>
              <w:pStyle w:val="ae"/>
            </w:pPr>
            <w:r>
              <w:rPr>
                <w:rFonts w:ascii="宋体" w:eastAsia="宋体" w:hAnsi="宋体" w:cs="宋体" w:hint="eastAsia"/>
                <w:color w:val="000000"/>
                <w:sz w:val="20"/>
                <w:szCs w:val="20"/>
              </w:rPr>
              <w:t>阀体材质力学性能</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D17F552" w14:textId="77777777" w:rsidR="005A7963" w:rsidRDefault="00000000">
            <w:pPr>
              <w:pStyle w:val="ae"/>
            </w:pPr>
            <w:r>
              <w:rPr>
                <w:rFonts w:ascii="宋体" w:eastAsia="宋体" w:hAnsi="宋体" w:cs="宋体" w:hint="eastAsia"/>
                <w:color w:val="000000"/>
                <w:sz w:val="20"/>
                <w:szCs w:val="20"/>
              </w:rPr>
              <w:t>GB/T 12237—2021 </w:t>
            </w: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B2B1C03" w14:textId="77777777" w:rsidR="005A7963" w:rsidRDefault="00000000">
            <w:pPr>
              <w:pStyle w:val="ae"/>
            </w:pPr>
            <w:r>
              <w:rPr>
                <w:rFonts w:ascii="宋体" w:eastAsia="宋体" w:hAnsi="宋体" w:cs="宋体" w:hint="eastAsia"/>
                <w:color w:val="000000"/>
                <w:sz w:val="20"/>
                <w:szCs w:val="20"/>
              </w:rPr>
              <w:t>球阀壳体(阀体、阀盖、固定球阀的底盖等)的金属材料应符合 GB/T 12224—2015 的要求。</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FDE7509" w14:textId="77777777" w:rsidR="005A7963" w:rsidRDefault="00000000">
            <w:pPr>
              <w:pStyle w:val="ae"/>
            </w:pPr>
            <w:r>
              <w:rPr>
                <w:rFonts w:ascii="宋体" w:eastAsia="宋体" w:hAnsi="宋体" w:cs="宋体" w:hint="eastAsia"/>
                <w:color w:val="000000"/>
                <w:sz w:val="20"/>
                <w:szCs w:val="20"/>
              </w:rPr>
              <w:t>符合有关材料标准的要求</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043C9ADD" w14:textId="77777777" w:rsidR="005A7963" w:rsidRDefault="00000000">
            <w:pPr>
              <w:pStyle w:val="ae"/>
            </w:pPr>
            <w:r>
              <w:rPr>
                <w:rFonts w:ascii="宋体" w:eastAsia="宋体" w:hAnsi="宋体" w:cs="宋体" w:hint="eastAsia"/>
                <w:color w:val="000000"/>
                <w:sz w:val="20"/>
                <w:szCs w:val="20"/>
              </w:rPr>
              <w:t>符合有关材料标准的要求</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40DB36E" w14:textId="77777777" w:rsidR="005A7963" w:rsidRDefault="00000000">
            <w:pPr>
              <w:pStyle w:val="ae"/>
            </w:pPr>
            <w:r>
              <w:rPr>
                <w:rFonts w:ascii="宋体" w:eastAsia="宋体" w:hAnsi="宋体" w:cs="宋体" w:hint="eastAsia"/>
                <w:color w:val="000000"/>
                <w:sz w:val="20"/>
                <w:szCs w:val="20"/>
              </w:rPr>
              <w:t>按</w:t>
            </w:r>
            <w:r>
              <w:rPr>
                <w:rFonts w:ascii="Times New Roman" w:hAnsi="Times New Roman"/>
                <w:color w:val="000000"/>
                <w:sz w:val="20"/>
                <w:szCs w:val="20"/>
              </w:rPr>
              <w:t>GB/T 228.1</w:t>
            </w:r>
            <w:r>
              <w:rPr>
                <w:rFonts w:ascii="宋体" w:eastAsia="宋体" w:hAnsi="宋体" w:cs="宋体" w:hint="eastAsia"/>
                <w:color w:val="000000"/>
                <w:sz w:val="20"/>
                <w:szCs w:val="20"/>
              </w:rPr>
              <w:t>的规定进行测定。</w:t>
            </w:r>
          </w:p>
        </w:tc>
      </w:tr>
      <w:tr w:rsidR="005A7963" w14:paraId="3E8F2663" w14:textId="77777777">
        <w:trPr>
          <w:trHeight w:val="60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3B10BD1" w14:textId="77777777" w:rsidR="005A7963" w:rsidRDefault="00000000">
            <w:pPr>
              <w:pStyle w:val="ae"/>
            </w:pPr>
            <w:r>
              <w:rPr>
                <w:rFonts w:ascii="宋体" w:eastAsia="宋体" w:hAnsi="宋体" w:cs="宋体" w:hint="eastAsia"/>
                <w:color w:val="000000"/>
                <w:sz w:val="20"/>
                <w:szCs w:val="20"/>
              </w:rPr>
              <w:t>13</w:t>
            </w:r>
          </w:p>
        </w:tc>
        <w:tc>
          <w:tcPr>
            <w:tcW w:w="248" w:type="pct"/>
            <w:vMerge w:val="restar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7A1F1A34" w14:textId="77777777" w:rsidR="005A7963" w:rsidRDefault="00000000">
            <w:pPr>
              <w:pStyle w:val="ae"/>
            </w:pPr>
            <w:r>
              <w:rPr>
                <w:rFonts w:ascii="Times New Roman" w:hAnsi="Times New Roman"/>
                <w:color w:val="000000"/>
                <w:sz w:val="20"/>
                <w:szCs w:val="20"/>
              </w:rPr>
              <w:t>创新指标</w:t>
            </w: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63D2F75" w14:textId="77777777" w:rsidR="005A7963" w:rsidRDefault="00000000">
            <w:pPr>
              <w:pStyle w:val="ae"/>
            </w:pPr>
            <w:r>
              <w:rPr>
                <w:rFonts w:ascii="宋体" w:eastAsia="宋体" w:hAnsi="宋体" w:cs="宋体" w:hint="eastAsia"/>
                <w:color w:val="000000"/>
                <w:sz w:val="20"/>
                <w:szCs w:val="20"/>
              </w:rPr>
              <w:t>逸散性试验</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4526B01" w14:textId="77777777" w:rsidR="005A7963" w:rsidRDefault="00000000">
            <w:pPr>
              <w:pStyle w:val="ae"/>
            </w:pPr>
            <w:r>
              <w:rPr>
                <w:rFonts w:ascii="宋体" w:eastAsia="宋体" w:hAnsi="宋体" w:cs="宋体" w:hint="eastAsia"/>
                <w:color w:val="000000"/>
                <w:sz w:val="20"/>
                <w:szCs w:val="20"/>
              </w:rPr>
              <w:t>T/ZZB 0050</w:t>
            </w:r>
          </w:p>
        </w:tc>
        <w:tc>
          <w:tcPr>
            <w:tcW w:w="78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8DFD47D" w14:textId="77777777" w:rsidR="005A7963" w:rsidRDefault="00000000">
            <w:pPr>
              <w:pStyle w:val="ae"/>
            </w:pPr>
            <w:r>
              <w:rPr>
                <w:rFonts w:ascii="宋体" w:eastAsia="宋体" w:hAnsi="宋体" w:cs="宋体" w:hint="eastAsia"/>
                <w:color w:val="000000"/>
                <w:sz w:val="20"/>
                <w:szCs w:val="20"/>
              </w:rPr>
              <w:t>最大允许泄漏量应满足GB/T 26481 A级的规定。</w:t>
            </w:r>
          </w:p>
        </w:tc>
        <w:tc>
          <w:tcPr>
            <w:tcW w:w="894"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DE7920F" w14:textId="77777777" w:rsidR="005A7963" w:rsidRDefault="00000000">
            <w:pPr>
              <w:pStyle w:val="ae"/>
            </w:pPr>
            <w:r>
              <w:rPr>
                <w:rFonts w:ascii="宋体" w:eastAsia="宋体" w:hAnsi="宋体" w:cs="宋体" w:hint="eastAsia"/>
                <w:color w:val="000000"/>
                <w:sz w:val="20"/>
                <w:szCs w:val="20"/>
              </w:rPr>
              <w:t>最大允许泄漏量应满足GB/T 26481 B级的规定。</w:t>
            </w:r>
          </w:p>
        </w:tc>
        <w:tc>
          <w:tcPr>
            <w:tcW w:w="896"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27DB0A57" w14:textId="77777777" w:rsidR="005A7963" w:rsidRDefault="00000000">
            <w:pPr>
              <w:pStyle w:val="ae"/>
            </w:pPr>
            <w:r>
              <w:rPr>
                <w:rFonts w:ascii="宋体" w:eastAsia="宋体" w:hAnsi="宋体" w:cs="宋体" w:hint="eastAsia"/>
                <w:color w:val="000000"/>
                <w:sz w:val="20"/>
                <w:szCs w:val="20"/>
              </w:rPr>
              <w:t>最大允许泄漏量应满足GB/T 26481 C级的规定。</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9286A9F" w14:textId="77777777" w:rsidR="005A7963" w:rsidRDefault="00000000">
            <w:pPr>
              <w:pStyle w:val="ae"/>
            </w:pPr>
            <w:r>
              <w:rPr>
                <w:rFonts w:ascii="宋体" w:eastAsia="宋体" w:hAnsi="宋体" w:cs="宋体" w:hint="eastAsia"/>
                <w:color w:val="000000"/>
                <w:sz w:val="20"/>
                <w:szCs w:val="20"/>
              </w:rPr>
              <w:t>按GB/T 26481—2022的规定进行测定。</w:t>
            </w:r>
          </w:p>
        </w:tc>
      </w:tr>
      <w:tr w:rsidR="005A7963" w14:paraId="11D78580" w14:textId="77777777">
        <w:trPr>
          <w:trHeight w:val="560"/>
        </w:trPr>
        <w:tc>
          <w:tcPr>
            <w:tcW w:w="26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4C06887" w14:textId="77777777" w:rsidR="005A7963" w:rsidRDefault="00000000">
            <w:pPr>
              <w:pStyle w:val="ae"/>
            </w:pPr>
            <w:r>
              <w:rPr>
                <w:rFonts w:ascii="宋体" w:eastAsia="宋体" w:hAnsi="宋体" w:cs="宋体" w:hint="eastAsia"/>
                <w:color w:val="000000"/>
                <w:sz w:val="20"/>
                <w:szCs w:val="20"/>
              </w:rPr>
              <w:t>14</w:t>
            </w:r>
          </w:p>
        </w:tc>
        <w:tc>
          <w:tcPr>
            <w:tcW w:w="248" w:type="pct"/>
            <w:vMerge/>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3476BE3D" w14:textId="77777777" w:rsidR="005A7963" w:rsidRDefault="005A7963">
            <w:pPr>
              <w:rPr>
                <w:rFonts w:ascii="宋体"/>
                <w:sz w:val="24"/>
                <w:szCs w:val="24"/>
              </w:rPr>
            </w:pPr>
          </w:p>
        </w:tc>
        <w:tc>
          <w:tcPr>
            <w:tcW w:w="541"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4A6CF0AB" w14:textId="77777777" w:rsidR="005A7963" w:rsidRDefault="00000000">
            <w:pPr>
              <w:pStyle w:val="ae"/>
            </w:pPr>
            <w:r>
              <w:rPr>
                <w:rFonts w:ascii="宋体" w:eastAsia="宋体" w:hAnsi="宋体" w:cs="宋体" w:hint="eastAsia"/>
                <w:color w:val="000000"/>
                <w:sz w:val="20"/>
                <w:szCs w:val="20"/>
              </w:rPr>
              <w:t>带载开关试验</w:t>
            </w:r>
          </w:p>
        </w:tc>
        <w:tc>
          <w:tcPr>
            <w:tcW w:w="623"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5059A70A" w14:textId="77777777" w:rsidR="005A7963" w:rsidRDefault="00000000">
            <w:pPr>
              <w:pStyle w:val="ae"/>
            </w:pPr>
            <w:r>
              <w:rPr>
                <w:rFonts w:ascii="宋体" w:eastAsia="宋体" w:hAnsi="宋体" w:cs="宋体" w:hint="eastAsia"/>
                <w:color w:val="000000"/>
                <w:sz w:val="20"/>
                <w:szCs w:val="20"/>
              </w:rPr>
              <w:t>T/ZZB 0050</w:t>
            </w:r>
          </w:p>
        </w:tc>
        <w:tc>
          <w:tcPr>
            <w:tcW w:w="2575" w:type="pct"/>
            <w:gridSpan w:val="3"/>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1A69F916" w14:textId="77777777" w:rsidR="005A7963" w:rsidRDefault="00000000">
            <w:pPr>
              <w:pStyle w:val="ae"/>
            </w:pPr>
            <w:r>
              <w:rPr>
                <w:rFonts w:ascii="宋体" w:eastAsia="宋体" w:hAnsi="宋体" w:cs="宋体" w:hint="eastAsia"/>
                <w:color w:val="000000"/>
                <w:sz w:val="20"/>
                <w:szCs w:val="20"/>
              </w:rPr>
              <w:t>在正常载荷情况下,开关三次。试验压力应是球阀在常温下的最大允许工作压力或订货合同规定的试验压力。</w:t>
            </w:r>
          </w:p>
        </w:tc>
        <w:tc>
          <w:tcPr>
            <w:tcW w:w="748" w:type="pct"/>
            <w:tcBorders>
              <w:top w:val="single" w:sz="8" w:space="0" w:color="080000"/>
              <w:left w:val="single" w:sz="8" w:space="0" w:color="080000"/>
              <w:bottom w:val="single" w:sz="4" w:space="0" w:color="080000"/>
              <w:right w:val="single" w:sz="4" w:space="0" w:color="080000"/>
            </w:tcBorders>
            <w:shd w:val="clear" w:color="auto" w:fill="auto"/>
            <w:tcMar>
              <w:left w:w="108" w:type="dxa"/>
              <w:right w:w="108" w:type="dxa"/>
            </w:tcMar>
            <w:vAlign w:val="center"/>
          </w:tcPr>
          <w:p w14:paraId="6E857B49" w14:textId="77777777" w:rsidR="005A7963" w:rsidRDefault="00000000">
            <w:pPr>
              <w:pStyle w:val="ae"/>
            </w:pPr>
            <w:r>
              <w:rPr>
                <w:rFonts w:ascii="宋体" w:eastAsia="宋体" w:hAnsi="宋体" w:cs="宋体" w:hint="eastAsia"/>
                <w:color w:val="000000"/>
                <w:sz w:val="20"/>
                <w:szCs w:val="20"/>
              </w:rPr>
              <w:t>按T/ZZB 0050的规定进行测定。</w:t>
            </w:r>
          </w:p>
        </w:tc>
      </w:tr>
    </w:tbl>
    <w:p w14:paraId="14293B39" w14:textId="77777777" w:rsidR="005A7963" w:rsidRDefault="005A7963"/>
    <w:p w14:paraId="0CD1A445"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14:paraId="6197A522"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评价结果划分为一级、二级和三级，各等级所对应的划分依据见表2。达到三级要求及以上的企业标准并按照有关要求进行自我声明公开后均可进入石油、石化及相关工业用的钢制球阀企业标准排行榜。达到</w:t>
      </w:r>
      <w:proofErr w:type="gramStart"/>
      <w:r>
        <w:rPr>
          <w:rFonts w:ascii="仿宋_GB2312" w:eastAsia="仿宋_GB2312" w:hAnsi="Times New Roman" w:cs="Times New Roman" w:hint="eastAsia"/>
          <w:sz w:val="24"/>
          <w:szCs w:val="24"/>
        </w:rPr>
        <w:t>一级要求</w:t>
      </w:r>
      <w:proofErr w:type="gramEnd"/>
      <w:r>
        <w:rPr>
          <w:rFonts w:ascii="仿宋_GB2312" w:eastAsia="仿宋_GB2312" w:hAnsi="Times New Roman" w:cs="Times New Roman" w:hint="eastAsia"/>
          <w:sz w:val="24"/>
          <w:szCs w:val="24"/>
        </w:rPr>
        <w:t>的企业标准</w:t>
      </w:r>
      <w:proofErr w:type="gramStart"/>
      <w:r>
        <w:rPr>
          <w:rFonts w:ascii="仿宋_GB2312" w:eastAsia="仿宋_GB2312" w:hAnsi="Times New Roman" w:cs="Times New Roman" w:hint="eastAsia"/>
          <w:sz w:val="24"/>
          <w:szCs w:val="24"/>
        </w:rPr>
        <w:t>且按照</w:t>
      </w:r>
      <w:proofErr w:type="gramEnd"/>
      <w:r>
        <w:rPr>
          <w:rFonts w:ascii="仿宋_GB2312" w:eastAsia="仿宋_GB2312" w:hAnsi="Times New Roman" w:cs="Times New Roman" w:hint="eastAsia"/>
          <w:sz w:val="24"/>
          <w:szCs w:val="24"/>
        </w:rPr>
        <w:t>有关要求进行自我声明公开后，其标准和符合标准的产品可以直接进入石油、石化及相关工业用的钢制球阀企业标准“领跑者”候选名单。</w:t>
      </w:r>
    </w:p>
    <w:p w14:paraId="11A700CA" w14:textId="77777777" w:rsidR="005A7963" w:rsidRDefault="00000000">
      <w:pPr>
        <w:pStyle w:val="af1"/>
        <w:adjustRightInd w:val="0"/>
        <w:snapToGrid w:val="0"/>
        <w:spacing w:before="156" w:after="156"/>
        <w:ind w:firstLine="440"/>
        <w:rPr>
          <w:rFonts w:hAnsi="宋体"/>
          <w:color w:val="000000"/>
          <w:szCs w:val="21"/>
        </w:rPr>
      </w:pPr>
      <w:r>
        <w:rPr>
          <w:rFonts w:hint="eastAsia"/>
        </w:rPr>
        <w:t>表2</w:t>
      </w:r>
      <w:r>
        <w:rPr>
          <w:rFonts w:hAnsi="宋体"/>
          <w:color w:val="000000"/>
          <w:szCs w:val="21"/>
        </w:rPr>
        <w:t>指标评价要求及等级划分</w:t>
      </w:r>
    </w:p>
    <w:tbl>
      <w:tblPr>
        <w:tblStyle w:val="a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65"/>
        <w:gridCol w:w="1665"/>
        <w:gridCol w:w="1665"/>
        <w:gridCol w:w="1665"/>
        <w:gridCol w:w="1666"/>
      </w:tblGrid>
      <w:tr w:rsidR="005A7963" w14:paraId="3410B3A7" w14:textId="77777777">
        <w:trPr>
          <w:trHeight w:val="376"/>
          <w:tblHeader/>
          <w:jc w:val="center"/>
        </w:trPr>
        <w:tc>
          <w:tcPr>
            <w:tcW w:w="1866" w:type="dxa"/>
            <w:tcBorders>
              <w:top w:val="single" w:sz="8" w:space="0" w:color="auto"/>
              <w:bottom w:val="single" w:sz="8" w:space="0" w:color="auto"/>
            </w:tcBorders>
            <w:shd w:val="clear" w:color="auto" w:fill="auto"/>
            <w:vAlign w:val="center"/>
          </w:tcPr>
          <w:p w14:paraId="4ED60D63" w14:textId="77777777" w:rsidR="005A7963" w:rsidRDefault="00000000">
            <w:pPr>
              <w:pStyle w:val="af4"/>
            </w:pPr>
            <w:r>
              <w:rPr>
                <w:rFonts w:hint="eastAsia"/>
              </w:rPr>
              <w:t>评价等级</w:t>
            </w:r>
          </w:p>
        </w:tc>
        <w:tc>
          <w:tcPr>
            <w:tcW w:w="7468" w:type="dxa"/>
            <w:gridSpan w:val="4"/>
            <w:tcBorders>
              <w:top w:val="single" w:sz="8" w:space="0" w:color="auto"/>
              <w:bottom w:val="single" w:sz="8" w:space="0" w:color="auto"/>
            </w:tcBorders>
            <w:shd w:val="clear" w:color="auto" w:fill="auto"/>
            <w:vAlign w:val="center"/>
          </w:tcPr>
          <w:p w14:paraId="04CC7E2A" w14:textId="77777777" w:rsidR="005A7963" w:rsidRDefault="00000000">
            <w:pPr>
              <w:pStyle w:val="af4"/>
            </w:pPr>
            <w:r>
              <w:rPr>
                <w:rFonts w:hint="eastAsia"/>
              </w:rPr>
              <w:t>满足条件</w:t>
            </w:r>
          </w:p>
        </w:tc>
      </w:tr>
      <w:tr w:rsidR="005A7963" w14:paraId="72B129BA" w14:textId="77777777">
        <w:trPr>
          <w:trHeight w:val="567"/>
          <w:jc w:val="center"/>
        </w:trPr>
        <w:tc>
          <w:tcPr>
            <w:tcW w:w="1866" w:type="dxa"/>
            <w:tcBorders>
              <w:top w:val="single" w:sz="8" w:space="0" w:color="auto"/>
            </w:tcBorders>
            <w:shd w:val="clear" w:color="auto" w:fill="auto"/>
            <w:vAlign w:val="center"/>
          </w:tcPr>
          <w:p w14:paraId="7FC8CF74" w14:textId="77777777" w:rsidR="005A7963" w:rsidRDefault="00000000">
            <w:pPr>
              <w:pStyle w:val="af4"/>
            </w:pPr>
            <w:r>
              <w:rPr>
                <w:rFonts w:hint="eastAsia"/>
              </w:rPr>
              <w:t>领跑者水平</w:t>
            </w:r>
          </w:p>
        </w:tc>
        <w:tc>
          <w:tcPr>
            <w:tcW w:w="1867" w:type="dxa"/>
            <w:tcBorders>
              <w:top w:val="single" w:sz="8" w:space="0" w:color="auto"/>
            </w:tcBorders>
            <w:shd w:val="clear" w:color="auto" w:fill="auto"/>
            <w:vAlign w:val="center"/>
          </w:tcPr>
          <w:p w14:paraId="55CB8169" w14:textId="77777777" w:rsidR="005A7963" w:rsidRDefault="00000000">
            <w:pPr>
              <w:pStyle w:val="af4"/>
            </w:pPr>
            <w:r>
              <w:rPr>
                <w:rFonts w:hint="eastAsia"/>
              </w:rPr>
              <w:t>基本要求</w:t>
            </w:r>
          </w:p>
        </w:tc>
        <w:tc>
          <w:tcPr>
            <w:tcW w:w="1867" w:type="dxa"/>
            <w:tcBorders>
              <w:top w:val="single" w:sz="8" w:space="0" w:color="auto"/>
            </w:tcBorders>
            <w:shd w:val="clear" w:color="auto" w:fill="auto"/>
            <w:vAlign w:val="center"/>
          </w:tcPr>
          <w:p w14:paraId="7B30851D" w14:textId="77777777" w:rsidR="005A7963" w:rsidRDefault="00000000">
            <w:pPr>
              <w:pStyle w:val="af4"/>
            </w:pPr>
            <w:r>
              <w:rPr>
                <w:rFonts w:hint="eastAsia"/>
              </w:rPr>
              <w:t>基础指标要求</w:t>
            </w:r>
          </w:p>
        </w:tc>
        <w:tc>
          <w:tcPr>
            <w:tcW w:w="1867" w:type="dxa"/>
            <w:tcBorders>
              <w:top w:val="single" w:sz="8" w:space="0" w:color="auto"/>
            </w:tcBorders>
            <w:shd w:val="clear" w:color="auto" w:fill="auto"/>
            <w:vAlign w:val="center"/>
          </w:tcPr>
          <w:p w14:paraId="0F6F9FED" w14:textId="77777777" w:rsidR="005A7963" w:rsidRDefault="00000000">
            <w:pPr>
              <w:pStyle w:val="af4"/>
            </w:pPr>
            <w:r>
              <w:rPr>
                <w:rFonts w:hint="eastAsia"/>
              </w:rPr>
              <w:t>核心指标</w:t>
            </w:r>
          </w:p>
          <w:p w14:paraId="4856FA46" w14:textId="77777777" w:rsidR="005A7963" w:rsidRDefault="00000000">
            <w:pPr>
              <w:pStyle w:val="af4"/>
            </w:pPr>
            <w:r>
              <w:rPr>
                <w:rFonts w:hint="eastAsia"/>
              </w:rPr>
              <w:t>先进水平要求</w:t>
            </w:r>
          </w:p>
        </w:tc>
        <w:tc>
          <w:tcPr>
            <w:tcW w:w="1867" w:type="dxa"/>
            <w:tcBorders>
              <w:top w:val="single" w:sz="8" w:space="0" w:color="auto"/>
            </w:tcBorders>
            <w:shd w:val="clear" w:color="auto" w:fill="auto"/>
            <w:vAlign w:val="center"/>
          </w:tcPr>
          <w:p w14:paraId="4BCC2B97" w14:textId="77777777" w:rsidR="005A7963" w:rsidRDefault="00000000">
            <w:pPr>
              <w:pStyle w:val="af4"/>
            </w:pPr>
            <w:r>
              <w:rPr>
                <w:rFonts w:hint="eastAsia"/>
              </w:rPr>
              <w:t>创新性指标要求</w:t>
            </w:r>
          </w:p>
        </w:tc>
      </w:tr>
      <w:tr w:rsidR="005A7963" w14:paraId="0A1864F6" w14:textId="77777777">
        <w:trPr>
          <w:trHeight w:val="567"/>
          <w:jc w:val="center"/>
        </w:trPr>
        <w:tc>
          <w:tcPr>
            <w:tcW w:w="1866" w:type="dxa"/>
            <w:shd w:val="clear" w:color="auto" w:fill="auto"/>
            <w:vAlign w:val="center"/>
          </w:tcPr>
          <w:p w14:paraId="119AB7AA" w14:textId="77777777" w:rsidR="005A7963" w:rsidRDefault="00000000">
            <w:pPr>
              <w:pStyle w:val="af4"/>
            </w:pPr>
            <w:r>
              <w:rPr>
                <w:rFonts w:hint="eastAsia"/>
              </w:rPr>
              <w:t>优质水平</w:t>
            </w:r>
          </w:p>
        </w:tc>
        <w:tc>
          <w:tcPr>
            <w:tcW w:w="1867" w:type="dxa"/>
            <w:shd w:val="clear" w:color="auto" w:fill="auto"/>
            <w:vAlign w:val="center"/>
          </w:tcPr>
          <w:p w14:paraId="7784A83B" w14:textId="77777777" w:rsidR="005A7963" w:rsidRDefault="00000000">
            <w:pPr>
              <w:pStyle w:val="af4"/>
            </w:pPr>
            <w:r>
              <w:rPr>
                <w:rFonts w:hint="eastAsia"/>
              </w:rPr>
              <w:t>基本要求</w:t>
            </w:r>
          </w:p>
        </w:tc>
        <w:tc>
          <w:tcPr>
            <w:tcW w:w="1867" w:type="dxa"/>
            <w:shd w:val="clear" w:color="auto" w:fill="auto"/>
            <w:vAlign w:val="center"/>
          </w:tcPr>
          <w:p w14:paraId="3736D778" w14:textId="77777777" w:rsidR="005A7963" w:rsidRDefault="00000000">
            <w:pPr>
              <w:pStyle w:val="af4"/>
            </w:pPr>
            <w:r>
              <w:rPr>
                <w:rFonts w:hint="eastAsia"/>
              </w:rPr>
              <w:t>基础指标要求</w:t>
            </w:r>
          </w:p>
        </w:tc>
        <w:tc>
          <w:tcPr>
            <w:tcW w:w="1867" w:type="dxa"/>
            <w:shd w:val="clear" w:color="auto" w:fill="auto"/>
            <w:vAlign w:val="center"/>
          </w:tcPr>
          <w:p w14:paraId="4DF4F022" w14:textId="77777777" w:rsidR="005A7963" w:rsidRDefault="00000000">
            <w:pPr>
              <w:pStyle w:val="af4"/>
            </w:pPr>
            <w:r>
              <w:rPr>
                <w:rFonts w:hint="eastAsia"/>
              </w:rPr>
              <w:t>核心指标</w:t>
            </w:r>
          </w:p>
          <w:p w14:paraId="48AD2483" w14:textId="77777777" w:rsidR="005A7963" w:rsidRDefault="00000000">
            <w:pPr>
              <w:pStyle w:val="af4"/>
            </w:pPr>
            <w:r>
              <w:rPr>
                <w:rFonts w:hint="eastAsia"/>
              </w:rPr>
              <w:t>平均水平要求</w:t>
            </w:r>
          </w:p>
        </w:tc>
        <w:tc>
          <w:tcPr>
            <w:tcW w:w="1867" w:type="dxa"/>
            <w:shd w:val="clear" w:color="auto" w:fill="auto"/>
            <w:vAlign w:val="center"/>
          </w:tcPr>
          <w:p w14:paraId="355E9F77" w14:textId="77777777" w:rsidR="005A7963" w:rsidRDefault="00000000">
            <w:pPr>
              <w:pStyle w:val="af4"/>
            </w:pPr>
            <w:r>
              <w:rPr>
                <w:rFonts w:hint="eastAsia"/>
              </w:rPr>
              <w:t>—</w:t>
            </w:r>
          </w:p>
        </w:tc>
      </w:tr>
      <w:tr w:rsidR="005A7963" w14:paraId="546DE157" w14:textId="77777777">
        <w:trPr>
          <w:trHeight w:val="567"/>
          <w:jc w:val="center"/>
        </w:trPr>
        <w:tc>
          <w:tcPr>
            <w:tcW w:w="1866" w:type="dxa"/>
            <w:shd w:val="clear" w:color="auto" w:fill="auto"/>
            <w:vAlign w:val="center"/>
          </w:tcPr>
          <w:p w14:paraId="64E5E4D7" w14:textId="77777777" w:rsidR="005A7963" w:rsidRDefault="00000000">
            <w:pPr>
              <w:pStyle w:val="af4"/>
            </w:pPr>
            <w:r>
              <w:rPr>
                <w:rFonts w:hint="eastAsia"/>
              </w:rPr>
              <w:t>达标水平</w:t>
            </w:r>
          </w:p>
        </w:tc>
        <w:tc>
          <w:tcPr>
            <w:tcW w:w="1867" w:type="dxa"/>
            <w:shd w:val="clear" w:color="auto" w:fill="auto"/>
            <w:vAlign w:val="center"/>
          </w:tcPr>
          <w:p w14:paraId="62890424" w14:textId="77777777" w:rsidR="005A7963" w:rsidRDefault="00000000">
            <w:pPr>
              <w:pStyle w:val="af4"/>
            </w:pPr>
            <w:r>
              <w:rPr>
                <w:rFonts w:hint="eastAsia"/>
              </w:rPr>
              <w:t>基本要求</w:t>
            </w:r>
          </w:p>
        </w:tc>
        <w:tc>
          <w:tcPr>
            <w:tcW w:w="1867" w:type="dxa"/>
            <w:shd w:val="clear" w:color="auto" w:fill="auto"/>
            <w:vAlign w:val="center"/>
          </w:tcPr>
          <w:p w14:paraId="3D70B278" w14:textId="77777777" w:rsidR="005A7963" w:rsidRDefault="00000000">
            <w:pPr>
              <w:pStyle w:val="af4"/>
            </w:pPr>
            <w:r>
              <w:rPr>
                <w:rFonts w:hint="eastAsia"/>
              </w:rPr>
              <w:t>基础指标要求</w:t>
            </w:r>
          </w:p>
        </w:tc>
        <w:tc>
          <w:tcPr>
            <w:tcW w:w="1867" w:type="dxa"/>
            <w:shd w:val="clear" w:color="auto" w:fill="auto"/>
            <w:vAlign w:val="center"/>
          </w:tcPr>
          <w:p w14:paraId="277B73D2" w14:textId="77777777" w:rsidR="005A7963" w:rsidRDefault="00000000">
            <w:pPr>
              <w:pStyle w:val="af4"/>
            </w:pPr>
            <w:r>
              <w:rPr>
                <w:rFonts w:hint="eastAsia"/>
              </w:rPr>
              <w:t>核心指标</w:t>
            </w:r>
          </w:p>
          <w:p w14:paraId="46170B0B" w14:textId="77777777" w:rsidR="005A7963" w:rsidRDefault="00000000">
            <w:pPr>
              <w:pStyle w:val="af4"/>
            </w:pPr>
            <w:r>
              <w:rPr>
                <w:rFonts w:hint="eastAsia"/>
              </w:rPr>
              <w:t>基准水平要求</w:t>
            </w:r>
          </w:p>
        </w:tc>
        <w:tc>
          <w:tcPr>
            <w:tcW w:w="1867" w:type="dxa"/>
            <w:shd w:val="clear" w:color="auto" w:fill="auto"/>
            <w:vAlign w:val="center"/>
          </w:tcPr>
          <w:p w14:paraId="7D0F70F8" w14:textId="77777777" w:rsidR="005A7963" w:rsidRDefault="00000000">
            <w:pPr>
              <w:pStyle w:val="af4"/>
            </w:pPr>
            <w:r>
              <w:rPr>
                <w:rFonts w:hint="eastAsia"/>
              </w:rPr>
              <w:t>—</w:t>
            </w:r>
          </w:p>
        </w:tc>
      </w:tr>
    </w:tbl>
    <w:p w14:paraId="166A9B34" w14:textId="77777777" w:rsidR="005A7963" w:rsidRDefault="005A7963">
      <w:pPr>
        <w:adjustRightInd/>
        <w:snapToGrid/>
        <w:spacing w:after="0" w:line="360" w:lineRule="auto"/>
        <w:jc w:val="both"/>
        <w:rPr>
          <w:rFonts w:ascii="仿宋_GB2312" w:eastAsia="仿宋_GB2312" w:hAnsi="Times New Roman" w:cs="Times New Roman"/>
          <w:sz w:val="24"/>
          <w:szCs w:val="24"/>
        </w:rPr>
      </w:pPr>
    </w:p>
    <w:p w14:paraId="12D0D024" w14:textId="77777777" w:rsidR="005A7963"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6FCDBC08"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目前没有相关的石油、石化及相关工业用的钢制球阀相关的质量分级及领跑</w:t>
      </w:r>
      <w:proofErr w:type="gramStart"/>
      <w:r>
        <w:rPr>
          <w:rFonts w:ascii="仿宋_GB2312" w:eastAsia="仿宋_GB2312" w:hAnsi="Times New Roman" w:cs="Times New Roman" w:hint="eastAsia"/>
          <w:sz w:val="24"/>
          <w:szCs w:val="24"/>
        </w:rPr>
        <w:t>者团标</w:t>
      </w:r>
      <w:proofErr w:type="gramEnd"/>
      <w:r>
        <w:rPr>
          <w:rFonts w:ascii="仿宋_GB2312" w:eastAsia="仿宋_GB2312" w:hAnsi="Times New Roman" w:cs="Times New Roman" w:hint="eastAsia"/>
          <w:sz w:val="24"/>
          <w:szCs w:val="24"/>
        </w:rPr>
        <w:t>。目前已有的相关标准包括：GB/T 12237—2021《石油、石化及相关工业用的钢制球阀》、JB/T 8864—2018《阀门气动装置 技术条件》等标准和T/ZZB 0050—2016《</w:t>
      </w:r>
      <w:r>
        <w:rPr>
          <w:rFonts w:ascii="仿宋_GB2312" w:eastAsia="仿宋_GB2312" w:hAnsi="宋体" w:hint="eastAsia"/>
          <w:sz w:val="24"/>
        </w:rPr>
        <w:t>石油、石化及相关工业用的钢制球阀</w:t>
      </w:r>
      <w:r>
        <w:rPr>
          <w:rFonts w:ascii="仿宋_GB2312" w:eastAsia="仿宋_GB2312" w:hAnsi="Times New Roman" w:cs="Times New Roman" w:hint="eastAsia"/>
          <w:sz w:val="24"/>
          <w:szCs w:val="24"/>
        </w:rPr>
        <w:t>》“浙江制造”标准。</w:t>
      </w:r>
    </w:p>
    <w:p w14:paraId="42B37FA2"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与上述标准相比，本标准根据TCAS 700-2023 TCSTE 0321—2023 《质量分级及“领跑者”评价标准编制通则》规定了“领跑者”标准评价要求石油、石化及相关工业用的钢制球阀的评价指标体系（包括基本要求、评价指标分类、评价指标体系框架）和评价方法及等级划分等内容。</w:t>
      </w:r>
    </w:p>
    <w:p w14:paraId="7B344616" w14:textId="62C6C373"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在指标对比情况方面，本次拟制定的</w:t>
      </w:r>
      <w:r w:rsidR="00401A1C">
        <w:rPr>
          <w:rFonts w:ascii="仿宋_GB2312" w:eastAsia="仿宋_GB2312" w:hAnsi="Times New Roman" w:cs="Times New Roman" w:hint="eastAsia"/>
          <w:sz w:val="24"/>
          <w:szCs w:val="24"/>
        </w:rPr>
        <w:t>质量分级及</w:t>
      </w:r>
      <w:proofErr w:type="gramStart"/>
      <w:r w:rsidR="00401A1C">
        <w:rPr>
          <w:rFonts w:ascii="仿宋_GB2312" w:eastAsia="仿宋_GB2312" w:hAnsi="Times New Roman" w:cs="Times New Roman"/>
          <w:sz w:val="24"/>
          <w:szCs w:val="24"/>
        </w:rPr>
        <w:t>”</w:t>
      </w:r>
      <w:proofErr w:type="gramEnd"/>
      <w:r w:rsidR="00401A1C">
        <w:rPr>
          <w:rFonts w:ascii="仿宋_GB2312" w:eastAsia="仿宋_GB2312" w:hAnsi="Times New Roman" w:cs="Times New Roman" w:hint="eastAsia"/>
          <w:sz w:val="24"/>
          <w:szCs w:val="24"/>
        </w:rPr>
        <w:t>领跑者</w:t>
      </w:r>
      <w:proofErr w:type="gramStart"/>
      <w:r w:rsidR="00401A1C">
        <w:rPr>
          <w:rFonts w:ascii="仿宋_GB2312" w:eastAsia="仿宋_GB2312" w:hAnsi="Times New Roman" w:cs="Times New Roman"/>
          <w:sz w:val="24"/>
          <w:szCs w:val="24"/>
        </w:rPr>
        <w:t>”</w:t>
      </w:r>
      <w:proofErr w:type="gramEnd"/>
      <w:r w:rsidR="00401A1C">
        <w:rPr>
          <w:rFonts w:ascii="仿宋_GB2312" w:eastAsia="仿宋_GB2312" w:hAnsi="Times New Roman" w:cs="Times New Roman" w:hint="eastAsia"/>
          <w:sz w:val="24"/>
          <w:szCs w:val="24"/>
        </w:rPr>
        <w:t>评价要求 石油、石化及相关工业用的钢制球阀</w:t>
      </w:r>
      <w:r>
        <w:rPr>
          <w:rFonts w:ascii="仿宋_GB2312" w:eastAsia="仿宋_GB2312" w:hAnsi="Times New Roman" w:cs="Times New Roman" w:hint="eastAsia"/>
          <w:sz w:val="24"/>
          <w:szCs w:val="24"/>
        </w:rPr>
        <w:t>团体标准将在GB/T 12237—2021《石油、石化及相关工业用的钢制球阀》、JB/T 8864—2018《阀门气动装置 技术条件》等标准的要求上，以“质量分级”的相关要求，将指标划分为基础指标、核心指标、创新性指标并针对核心指标提出更加严格的要求，针对创新性指标做出新的规定，见表1 评价指标体系。</w:t>
      </w:r>
    </w:p>
    <w:p w14:paraId="1F71AAD6" w14:textId="77777777" w:rsidR="005A7963"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lastRenderedPageBreak/>
        <w:t>与有关的现行法律、法规和国家、行业标准的关系</w:t>
      </w:r>
    </w:p>
    <w:p w14:paraId="66B39C7F"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w:t>
      </w:r>
      <w:proofErr w:type="gramStart"/>
      <w:r>
        <w:rPr>
          <w:rFonts w:ascii="仿宋_GB2312" w:eastAsia="仿宋_GB2312" w:hAnsi="Times New Roman" w:cs="Times New Roman" w:hint="eastAsia"/>
          <w:sz w:val="24"/>
          <w:szCs w:val="24"/>
        </w:rPr>
        <w:t>行标和</w:t>
      </w:r>
      <w:proofErr w:type="gramEnd"/>
      <w:r>
        <w:rPr>
          <w:rFonts w:ascii="仿宋_GB2312" w:eastAsia="仿宋_GB2312" w:hAnsi="Times New Roman" w:cs="Times New Roman" w:hint="eastAsia"/>
          <w:sz w:val="24"/>
          <w:szCs w:val="24"/>
        </w:rPr>
        <w:t>地标等推荐性标准的情况。</w:t>
      </w:r>
    </w:p>
    <w:p w14:paraId="13879C4A" w14:textId="77777777" w:rsidR="005A7963"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548388CA"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55239947" w14:textId="77777777" w:rsidR="005A7963"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标准编制过程中重大分歧意见的处理和依据</w:t>
      </w:r>
    </w:p>
    <w:p w14:paraId="51BC2836"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3A5F7D47" w14:textId="77777777" w:rsidR="005A7963"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7C55E894" w14:textId="77777777" w:rsidR="005A7963"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06C8632A" w14:textId="77777777" w:rsidR="005A7963" w:rsidRDefault="005A7963">
      <w:pPr>
        <w:adjustRightInd/>
        <w:snapToGrid/>
        <w:spacing w:after="0" w:line="360" w:lineRule="auto"/>
        <w:ind w:firstLineChars="200" w:firstLine="480"/>
        <w:jc w:val="both"/>
        <w:rPr>
          <w:rFonts w:ascii="仿宋_GB2312" w:eastAsia="仿宋_GB2312" w:hAnsi="Times New Roman" w:cs="Times New Roman"/>
          <w:sz w:val="24"/>
          <w:szCs w:val="24"/>
        </w:rPr>
      </w:pPr>
    </w:p>
    <w:p w14:paraId="5090FD3A" w14:textId="77777777" w:rsidR="005A7963" w:rsidRDefault="005A7963">
      <w:pPr>
        <w:adjustRightInd/>
        <w:snapToGrid/>
        <w:spacing w:after="0" w:line="360" w:lineRule="auto"/>
        <w:ind w:firstLineChars="200" w:firstLine="480"/>
        <w:jc w:val="both"/>
        <w:rPr>
          <w:rFonts w:ascii="仿宋_GB2312" w:eastAsia="仿宋_GB2312" w:hAnsi="Times New Roman" w:cs="Times New Roman"/>
          <w:sz w:val="24"/>
          <w:szCs w:val="24"/>
        </w:rPr>
      </w:pPr>
    </w:p>
    <w:p w14:paraId="654F7209" w14:textId="77777777" w:rsidR="005A7963" w:rsidRDefault="005A7963">
      <w:pPr>
        <w:adjustRightInd/>
        <w:snapToGrid/>
        <w:spacing w:after="0" w:line="360" w:lineRule="auto"/>
        <w:jc w:val="both"/>
        <w:rPr>
          <w:rFonts w:ascii="仿宋_GB2312" w:eastAsia="仿宋_GB2312" w:hAnsi="Times New Roman" w:cs="Times New Roman"/>
          <w:sz w:val="24"/>
          <w:szCs w:val="24"/>
          <w14:ligatures w14:val="none"/>
        </w:rPr>
      </w:pPr>
    </w:p>
    <w:sectPr w:rsidR="005A7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1A104" w14:textId="77777777" w:rsidR="003D26E0" w:rsidRDefault="003D26E0">
      <w:pPr>
        <w:spacing w:after="0"/>
      </w:pPr>
      <w:r>
        <w:separator/>
      </w:r>
    </w:p>
  </w:endnote>
  <w:endnote w:type="continuationSeparator" w:id="0">
    <w:p w14:paraId="17EFFB73" w14:textId="77777777" w:rsidR="003D26E0" w:rsidRDefault="003D26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C0D21" w14:textId="77777777" w:rsidR="003D26E0" w:rsidRDefault="003D26E0">
      <w:pPr>
        <w:spacing w:after="0"/>
      </w:pPr>
      <w:r>
        <w:separator/>
      </w:r>
    </w:p>
  </w:footnote>
  <w:footnote w:type="continuationSeparator" w:id="0">
    <w:p w14:paraId="1ECFBF74" w14:textId="77777777" w:rsidR="003D26E0" w:rsidRDefault="003D26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C0349"/>
    <w:multiLevelType w:val="multilevel"/>
    <w:tmpl w:val="65CC0349"/>
    <w:lvl w:ilvl="0">
      <w:start w:val="1"/>
      <w:numFmt w:val="japaneseCounting"/>
      <w:lvlText w:val="%1、"/>
      <w:lvlJc w:val="left"/>
      <w:pPr>
        <w:ind w:left="960" w:hanging="48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3FA15C2"/>
    <w:multiLevelType w:val="multilevel"/>
    <w:tmpl w:val="73FA15C2"/>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0729155">
    <w:abstractNumId w:val="1"/>
  </w:num>
  <w:num w:numId="2" w16cid:durableId="754205803">
    <w:abstractNumId w:val="3"/>
  </w:num>
  <w:num w:numId="3" w16cid:durableId="1907495073">
    <w:abstractNumId w:val="0"/>
  </w:num>
  <w:num w:numId="4" w16cid:durableId="1586769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DNiMmRlZTNlNmQzZmUyNzJkOThlNzRjOGE3YWUxNTAifQ=="/>
  </w:docVars>
  <w:rsids>
    <w:rsidRoot w:val="00781921"/>
    <w:rsid w:val="00084925"/>
    <w:rsid w:val="0017070C"/>
    <w:rsid w:val="00182970"/>
    <w:rsid w:val="001D033B"/>
    <w:rsid w:val="002C3C63"/>
    <w:rsid w:val="003450AB"/>
    <w:rsid w:val="003D26E0"/>
    <w:rsid w:val="00401A1C"/>
    <w:rsid w:val="00463A7D"/>
    <w:rsid w:val="004C62C0"/>
    <w:rsid w:val="005956C4"/>
    <w:rsid w:val="005967B5"/>
    <w:rsid w:val="005A7963"/>
    <w:rsid w:val="00682BAB"/>
    <w:rsid w:val="006A6783"/>
    <w:rsid w:val="006D2B1E"/>
    <w:rsid w:val="00742E90"/>
    <w:rsid w:val="00781921"/>
    <w:rsid w:val="007B0999"/>
    <w:rsid w:val="00801630"/>
    <w:rsid w:val="0082177A"/>
    <w:rsid w:val="00874586"/>
    <w:rsid w:val="008B1382"/>
    <w:rsid w:val="008B3420"/>
    <w:rsid w:val="00915044"/>
    <w:rsid w:val="00954CBC"/>
    <w:rsid w:val="00982882"/>
    <w:rsid w:val="009A5984"/>
    <w:rsid w:val="00A40E45"/>
    <w:rsid w:val="00B277FE"/>
    <w:rsid w:val="00B45809"/>
    <w:rsid w:val="00B63C9C"/>
    <w:rsid w:val="00BA30C0"/>
    <w:rsid w:val="00BD2052"/>
    <w:rsid w:val="00BE64F6"/>
    <w:rsid w:val="00C47D69"/>
    <w:rsid w:val="00C54D51"/>
    <w:rsid w:val="00CF0279"/>
    <w:rsid w:val="00D214D9"/>
    <w:rsid w:val="00D6212E"/>
    <w:rsid w:val="00D9619C"/>
    <w:rsid w:val="00DC02FA"/>
    <w:rsid w:val="00DE7789"/>
    <w:rsid w:val="00E33A46"/>
    <w:rsid w:val="00F07824"/>
    <w:rsid w:val="00F3165A"/>
    <w:rsid w:val="00FA29AB"/>
    <w:rsid w:val="0FDD5A09"/>
    <w:rsid w:val="320C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12288"/>
  <w15:docId w15:val="{1A033E76-49B1-4A56-9633-0D181D4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adjustRightInd w:val="0"/>
      <w:snapToGrid w:val="0"/>
      <w:spacing w:after="200"/>
    </w:pPr>
    <w:rPr>
      <w:rFonts w:ascii="Tahoma" w:eastAsia="微软雅黑" w:hAnsi="Tahoma" w:cstheme="minorBidi"/>
      <w:sz w:val="22"/>
      <w:szCs w:val="22"/>
      <w14:ligatures w14:val="standardContextual"/>
    </w:rPr>
  </w:style>
  <w:style w:type="paragraph" w:styleId="1">
    <w:name w:val="heading 1"/>
    <w:basedOn w:val="a6"/>
    <w:next w:val="a6"/>
    <w:link w:val="10"/>
    <w:autoRedefine/>
    <w:qFormat/>
    <w:pPr>
      <w:keepNext/>
      <w:keepLines/>
      <w:spacing w:line="360" w:lineRule="auto"/>
      <w:outlineLvl w:val="0"/>
    </w:pPr>
    <w:rPr>
      <w:b/>
      <w:bCs/>
      <w:kern w:val="44"/>
      <w:sz w:val="28"/>
      <w:szCs w:val="44"/>
    </w:rPr>
  </w:style>
  <w:style w:type="paragraph" w:styleId="2">
    <w:name w:val="heading 2"/>
    <w:basedOn w:val="a6"/>
    <w:next w:val="a6"/>
    <w:link w:val="20"/>
    <w:autoRedefine/>
    <w:uiPriority w:val="9"/>
    <w:unhideWhenUsed/>
    <w:qFormat/>
    <w:pPr>
      <w:keepNext/>
      <w:keepLines/>
      <w:spacing w:before="260" w:after="260" w:line="416" w:lineRule="auto"/>
      <w:outlineLvl w:val="1"/>
    </w:pPr>
    <w:rPr>
      <w:rFonts w:asciiTheme="majorHAnsi" w:hAnsiTheme="majorHAnsi" w:cstheme="majorBidi"/>
      <w:b/>
      <w:bCs/>
      <w:sz w:val="24"/>
      <w:szCs w:val="32"/>
    </w:rPr>
  </w:style>
  <w:style w:type="paragraph" w:styleId="3">
    <w:name w:val="heading 3"/>
    <w:basedOn w:val="a6"/>
    <w:next w:val="a6"/>
    <w:link w:val="30"/>
    <w:uiPriority w:val="9"/>
    <w:unhideWhenUsed/>
    <w:qFormat/>
    <w:pPr>
      <w:keepNext/>
      <w:keepLines/>
      <w:outlineLvl w:val="2"/>
    </w:pPr>
    <w:rPr>
      <w:rFonts w:eastAsia="宋体"/>
      <w:b/>
      <w:bCs/>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ab"/>
    <w:uiPriority w:val="99"/>
    <w:unhideWhenUsed/>
    <w:qFormat/>
    <w:pPr>
      <w:tabs>
        <w:tab w:val="center" w:pos="4153"/>
        <w:tab w:val="right" w:pos="8306"/>
      </w:tabs>
    </w:pPr>
    <w:rPr>
      <w:sz w:val="18"/>
      <w:szCs w:val="18"/>
    </w:rPr>
  </w:style>
  <w:style w:type="paragraph" w:styleId="ac">
    <w:name w:val="header"/>
    <w:basedOn w:val="a6"/>
    <w:link w:val="ad"/>
    <w:uiPriority w:val="99"/>
    <w:unhideWhenUsed/>
    <w:pPr>
      <w:tabs>
        <w:tab w:val="center" w:pos="4153"/>
        <w:tab w:val="right" w:pos="8306"/>
      </w:tabs>
      <w:jc w:val="center"/>
    </w:pPr>
    <w:rPr>
      <w:sz w:val="18"/>
      <w:szCs w:val="18"/>
    </w:rPr>
  </w:style>
  <w:style w:type="paragraph" w:styleId="ae">
    <w:name w:val="Normal (Web)"/>
    <w:basedOn w:val="a6"/>
    <w:uiPriority w:val="99"/>
    <w:semiHidden/>
    <w:unhideWhenUsed/>
    <w:pPr>
      <w:spacing w:beforeAutospacing="1" w:after="0" w:afterAutospacing="1"/>
    </w:pPr>
    <w:rPr>
      <w:rFonts w:cs="Times New Roman"/>
      <w:sz w:val="24"/>
    </w:rPr>
  </w:style>
  <w:style w:type="table" w:styleId="af">
    <w:name w:val="Table Grid"/>
    <w:basedOn w:val="a8"/>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b/>
      <w:bCs/>
      <w:kern w:val="44"/>
      <w:sz w:val="28"/>
      <w:szCs w:val="44"/>
    </w:rPr>
  </w:style>
  <w:style w:type="character" w:customStyle="1" w:styleId="30">
    <w:name w:val="标题 3 字符"/>
    <w:basedOn w:val="a7"/>
    <w:link w:val="3"/>
    <w:uiPriority w:val="9"/>
    <w:qFormat/>
    <w:rPr>
      <w:rFonts w:eastAsia="宋体"/>
      <w:b/>
      <w:bCs/>
      <w:szCs w:val="32"/>
    </w:rPr>
  </w:style>
  <w:style w:type="character" w:customStyle="1" w:styleId="20">
    <w:name w:val="标题 2 字符"/>
    <w:basedOn w:val="a7"/>
    <w:link w:val="2"/>
    <w:uiPriority w:val="9"/>
    <w:qFormat/>
    <w:rPr>
      <w:rFonts w:asciiTheme="majorHAnsi" w:hAnsiTheme="majorHAnsi" w:cstheme="majorBidi"/>
      <w:b/>
      <w:bCs/>
      <w:sz w:val="24"/>
      <w:szCs w:val="32"/>
    </w:rPr>
  </w:style>
  <w:style w:type="character" w:customStyle="1" w:styleId="ad">
    <w:name w:val="页眉 字符"/>
    <w:basedOn w:val="a7"/>
    <w:link w:val="ac"/>
    <w:uiPriority w:val="99"/>
    <w:rPr>
      <w:sz w:val="18"/>
      <w:szCs w:val="18"/>
    </w:rPr>
  </w:style>
  <w:style w:type="character" w:customStyle="1" w:styleId="ab">
    <w:name w:val="页脚 字符"/>
    <w:basedOn w:val="a7"/>
    <w:link w:val="aa"/>
    <w:uiPriority w:val="99"/>
    <w:qFormat/>
    <w:rPr>
      <w:sz w:val="18"/>
      <w:szCs w:val="18"/>
    </w:rPr>
  </w:style>
  <w:style w:type="paragraph" w:styleId="af0">
    <w:name w:val="List Paragraph"/>
    <w:basedOn w:val="a6"/>
    <w:uiPriority w:val="34"/>
    <w:qFormat/>
    <w:pPr>
      <w:ind w:firstLineChars="200" w:firstLine="420"/>
    </w:pPr>
  </w:style>
  <w:style w:type="paragraph" w:customStyle="1" w:styleId="af1">
    <w:name w:val="标准文件_正文表标题"/>
    <w:next w:val="a6"/>
    <w:qFormat/>
    <w:pPr>
      <w:tabs>
        <w:tab w:val="left" w:pos="0"/>
      </w:tabs>
      <w:spacing w:beforeLines="50" w:before="50" w:afterLines="50" w:after="50"/>
      <w:jc w:val="center"/>
    </w:pPr>
    <w:rPr>
      <w:rFonts w:ascii="黑体" w:eastAsia="黑体"/>
      <w:sz w:val="21"/>
      <w14:ligatures w14:val="standardContextual"/>
    </w:rPr>
  </w:style>
  <w:style w:type="paragraph" w:customStyle="1" w:styleId="a2">
    <w:name w:val="标准文件_二级条标题"/>
    <w:next w:val="a6"/>
    <w:pPr>
      <w:widowControl w:val="0"/>
      <w:numPr>
        <w:ilvl w:val="3"/>
        <w:numId w:val="1"/>
      </w:numPr>
      <w:spacing w:beforeLines="50" w:before="50" w:afterLines="50" w:after="50"/>
      <w:jc w:val="both"/>
      <w:outlineLvl w:val="2"/>
    </w:pPr>
    <w:rPr>
      <w:rFonts w:ascii="黑体" w:eastAsia="黑体"/>
      <w:sz w:val="21"/>
      <w14:ligatures w14:val="standardContextual"/>
    </w:rPr>
  </w:style>
  <w:style w:type="paragraph" w:customStyle="1" w:styleId="a3">
    <w:name w:val="标准文件_三级条标题"/>
    <w:basedOn w:val="a2"/>
    <w:next w:val="a6"/>
    <w:qFormat/>
    <w:pPr>
      <w:widowControl/>
      <w:numPr>
        <w:ilvl w:val="4"/>
      </w:numPr>
      <w:tabs>
        <w:tab w:val="left" w:pos="360"/>
      </w:tabs>
      <w:outlineLvl w:val="3"/>
    </w:pPr>
  </w:style>
  <w:style w:type="paragraph" w:customStyle="1" w:styleId="a4">
    <w:name w:val="标准文件_四级条标题"/>
    <w:next w:val="a6"/>
    <w:qFormat/>
    <w:pPr>
      <w:widowControl w:val="0"/>
      <w:numPr>
        <w:ilvl w:val="5"/>
        <w:numId w:val="1"/>
      </w:numPr>
      <w:tabs>
        <w:tab w:val="left" w:pos="360"/>
      </w:tabs>
      <w:spacing w:beforeLines="50" w:before="50" w:afterLines="50" w:after="50"/>
      <w:jc w:val="both"/>
      <w:outlineLvl w:val="4"/>
    </w:pPr>
    <w:rPr>
      <w:rFonts w:ascii="黑体" w:eastAsia="黑体"/>
      <w:sz w:val="21"/>
      <w14:ligatures w14:val="standardContextual"/>
    </w:rPr>
  </w:style>
  <w:style w:type="paragraph" w:customStyle="1" w:styleId="a5">
    <w:name w:val="标准文件_五级条标题"/>
    <w:next w:val="a6"/>
    <w:qFormat/>
    <w:pPr>
      <w:widowControl w:val="0"/>
      <w:numPr>
        <w:ilvl w:val="6"/>
        <w:numId w:val="1"/>
      </w:numPr>
      <w:tabs>
        <w:tab w:val="left" w:pos="360"/>
      </w:tabs>
      <w:spacing w:beforeLines="50" w:before="50" w:afterLines="50" w:after="50"/>
      <w:jc w:val="both"/>
      <w:outlineLvl w:val="5"/>
    </w:pPr>
    <w:rPr>
      <w:rFonts w:ascii="黑体" w:eastAsia="黑体"/>
      <w:sz w:val="21"/>
      <w14:ligatures w14:val="standardContextual"/>
    </w:rPr>
  </w:style>
  <w:style w:type="paragraph" w:customStyle="1" w:styleId="a0">
    <w:name w:val="标准文件_章标题"/>
    <w:next w:val="a6"/>
    <w:pPr>
      <w:numPr>
        <w:ilvl w:val="1"/>
        <w:numId w:val="1"/>
      </w:numPr>
      <w:spacing w:beforeLines="100" w:before="100" w:afterLines="100" w:after="100"/>
      <w:jc w:val="both"/>
      <w:outlineLvl w:val="0"/>
    </w:pPr>
    <w:rPr>
      <w:rFonts w:ascii="黑体" w:eastAsia="黑体"/>
      <w:sz w:val="21"/>
      <w14:ligatures w14:val="standardContextual"/>
    </w:rPr>
  </w:style>
  <w:style w:type="paragraph" w:customStyle="1" w:styleId="a1">
    <w:name w:val="标准文件_一级条标题"/>
    <w:basedOn w:val="a0"/>
    <w:next w:val="a6"/>
    <w:qFormat/>
    <w:pPr>
      <w:numPr>
        <w:ilvl w:val="2"/>
      </w:numPr>
      <w:tabs>
        <w:tab w:val="left" w:pos="360"/>
      </w:tabs>
      <w:spacing w:beforeLines="50" w:before="50" w:afterLines="50" w:after="50"/>
      <w:outlineLvl w:val="1"/>
    </w:pPr>
  </w:style>
  <w:style w:type="paragraph" w:customStyle="1" w:styleId="a">
    <w:name w:val="前言标题"/>
    <w:next w:val="a6"/>
    <w:qFormat/>
    <w:pPr>
      <w:numPr>
        <w:numId w:val="1"/>
      </w:numPr>
      <w:shd w:val="clear" w:color="FFFFFF" w:fill="FFFFFF"/>
      <w:tabs>
        <w:tab w:val="left" w:pos="360"/>
      </w:tabs>
      <w:spacing w:before="540" w:after="600"/>
      <w:jc w:val="center"/>
      <w:outlineLvl w:val="0"/>
    </w:pPr>
    <w:rPr>
      <w:rFonts w:ascii="黑体" w:eastAsia="黑体"/>
      <w:sz w:val="32"/>
      <w14:ligatures w14:val="standardContextual"/>
    </w:rPr>
  </w:style>
  <w:style w:type="paragraph" w:customStyle="1" w:styleId="af2">
    <w:name w:val="段"/>
    <w:basedOn w:val="a6"/>
    <w:qFormat/>
    <w:pPr>
      <w:autoSpaceDE w:val="0"/>
      <w:autoSpaceDN w:val="0"/>
      <w:adjustRightInd/>
      <w:snapToGrid/>
      <w:spacing w:after="0"/>
      <w:ind w:firstLineChars="200" w:firstLine="420"/>
      <w:jc w:val="both"/>
    </w:pPr>
    <w:rPr>
      <w:rFonts w:ascii="宋体" w:eastAsia="宋体" w:hAnsi="Times New Roman" w:cs="Times New Roman"/>
      <w:sz w:val="21"/>
      <w:szCs w:val="21"/>
    </w:rPr>
  </w:style>
  <w:style w:type="paragraph" w:customStyle="1" w:styleId="af3">
    <w:name w:val="标准文件_段"/>
    <w:link w:val="Char"/>
    <w:pPr>
      <w:autoSpaceDE w:val="0"/>
      <w:autoSpaceDN w:val="0"/>
      <w:ind w:firstLineChars="200" w:firstLine="200"/>
      <w:jc w:val="both"/>
    </w:pPr>
    <w:rPr>
      <w:rFonts w:ascii="宋体"/>
      <w:sz w:val="21"/>
      <w14:ligatures w14:val="standardContextual"/>
    </w:rPr>
  </w:style>
  <w:style w:type="character" w:customStyle="1" w:styleId="Char">
    <w:name w:val="标准文件_段 Char"/>
    <w:link w:val="af3"/>
    <w:rPr>
      <w:rFonts w:ascii="宋体" w:eastAsia="宋体" w:hAnsi="Times New Roman" w:cs="Times New Roman"/>
      <w:kern w:val="0"/>
      <w:szCs w:val="20"/>
    </w:rPr>
  </w:style>
  <w:style w:type="paragraph" w:customStyle="1" w:styleId="af4">
    <w:name w:val="标准文件_表格"/>
    <w:basedOn w:val="af3"/>
    <w:qFormat/>
    <w:pPr>
      <w:ind w:firstLineChars="0" w:firstLine="0"/>
      <w:jc w:val="center"/>
    </w:pPr>
    <w:rPr>
      <w:sz w:val="18"/>
    </w:rPr>
  </w:style>
  <w:style w:type="paragraph" w:customStyle="1" w:styleId="TableText">
    <w:name w:val="Table Text"/>
    <w:basedOn w:val="a6"/>
    <w:semiHidden/>
    <w:qFormat/>
    <w:rPr>
      <w:rFonts w:ascii="宋体" w:eastAsia="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琪 吴</dc:creator>
  <cp:lastModifiedBy>寅彬 刘</cp:lastModifiedBy>
  <cp:revision>11</cp:revision>
  <dcterms:created xsi:type="dcterms:W3CDTF">2024-06-17T07:51:00Z</dcterms:created>
  <dcterms:modified xsi:type="dcterms:W3CDTF">2024-07-03T05:59:00Z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59EB764F01FD496B8EE66A32D6F32B83_12</vt:lpwstr>
  </property>
</Properties>
</file>