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B3F" w:rsidRDefault="001A3DD3">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rsidR="00904B3F" w:rsidRDefault="001A3DD3">
      <w:pPr>
        <w:pStyle w:val="af1"/>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rsidR="00904B3F" w:rsidRDefault="001A3DD3">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为切实发挥企业标准对质量提升的引领作用，支撑企业标准自我声明公开和企业标准“领跑者”制度工作的有序实施，解决木质墙板企业标准“领跑者”评估工作无相关标准等问题，衢州市方圆林产品检验检测有限公司（浙江省木门产品质量检验中心）拟联合各相关龙头企业、行业协会共同研究制定《“领跑者”标准评价要求 饰面木质墙板》，用以评估饰面木质墙板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rsidR="00904B3F" w:rsidRDefault="001A3DD3">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江山市地处浙闽赣三省交界，是浙江省西南门户和钱江源头之一。江山是工业新城，产业基础扎实，发展势头强劲。江山是全省的老工业基地、首批20个工业强市建设试点县之一。江山市特色产业集群集聚发展，已形成时尚门业智能家居、智慧能源装备等特色产业和建材水泥等传统产业为主导的产业集群。其中，门业是江山首个百亿产业，拥有华东地区最大的国产原木集散交易中心，全市年产木门1600多万套，占国内木门市场的1/5，被授予“中国木门之都”；当前，衢州江山已形成集木材交易、加工、制造和综合利用为一体，以木门产品为主，全屋定制产品为辅，涵盖家具、生态板、木质饰面墙板等全产业链产品的完备体系。</w:t>
      </w:r>
    </w:p>
    <w:p w:rsidR="00904B3F" w:rsidRDefault="001A3DD3">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2021年江山市规上工业产值，时尚门业智能家居产业82.4亿元，增速22.8%。2022年1-10月规上工业产值，时尚门业智能家居产业71.1亿元，增速2.2%。</w:t>
      </w:r>
      <w:r>
        <w:rPr>
          <w:rFonts w:ascii="仿宋_GB2312" w:eastAsia="仿宋_GB2312" w:hAnsi="Times New Roman" w:cs="Times New Roman" w:hint="eastAsia"/>
          <w:sz w:val="24"/>
          <w:szCs w:val="24"/>
        </w:rPr>
        <w:lastRenderedPageBreak/>
        <w:t>全屋定制门店“跨界竞争”抢夺墙板市场的同时，也正在悄然重塑着消费者的购买习惯。据行业调研，当全屋定制门店同时提供墙板产品的选择时，超过48%的消费者会选择一并下单墙板、橱柜等产品。护墙板：又称墙裙，壁板。护墙装饰板是近年来发展起来的新型装饰墙体材料，护墙装饰板防火防潮，防蛀防白蚁，施工简单，快速组装，环保使用安全，装饰效果明显，维护保养方便等特点。受到越来越多消费者的青睐，而随着消费者代际转换、行业分散、跨界竞争等趋势，江山市全力打造江山时尚家居制造产业，其中饰面木质墙板的生产企业有89家，年产值近20亿元，已经逐渐兴起“木门+护墙板”的流通方式，饰面木质墙板占全屋定制产品25%左右，采用一站式整装采购模式，让每一位消费者享受便捷高效的家装采购过程，成为江山时尚家居制造新模式。</w:t>
      </w:r>
    </w:p>
    <w:p w:rsidR="00904B3F" w:rsidRDefault="001A3DD3" w:rsidP="007A07F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目前在“质量分级及领跑者管理信息平台”网站中无</w:t>
      </w:r>
      <w:r w:rsidR="00DB252F">
        <w:rPr>
          <w:rFonts w:ascii="仿宋_GB2312" w:eastAsia="仿宋_GB2312" w:hAnsi="Times New Roman" w:cs="Times New Roman" w:hint="eastAsia"/>
          <w:sz w:val="24"/>
          <w:szCs w:val="24"/>
        </w:rPr>
        <w:t>饰面木质</w:t>
      </w:r>
      <w:r>
        <w:rPr>
          <w:rFonts w:ascii="仿宋_GB2312" w:eastAsia="仿宋_GB2312" w:hAnsi="Times New Roman" w:cs="Times New Roman" w:hint="eastAsia"/>
          <w:sz w:val="24"/>
          <w:szCs w:val="24"/>
        </w:rPr>
        <w:t>墙板产品的质量分级及“领跑者”评价要求的标准。为了全国范围内</w:t>
      </w:r>
      <w:r w:rsidR="00DB252F">
        <w:rPr>
          <w:rFonts w:ascii="仿宋_GB2312" w:eastAsia="仿宋_GB2312" w:hAnsi="Times New Roman" w:cs="Times New Roman" w:hint="eastAsia"/>
          <w:sz w:val="24"/>
          <w:szCs w:val="24"/>
        </w:rPr>
        <w:t>饰面木质</w:t>
      </w:r>
      <w:r>
        <w:rPr>
          <w:rFonts w:ascii="仿宋_GB2312" w:eastAsia="仿宋_GB2312" w:hAnsi="Times New Roman" w:cs="Times New Roman" w:hint="eastAsia"/>
          <w:sz w:val="24"/>
          <w:szCs w:val="24"/>
        </w:rPr>
        <w:t>墙板生产企业有对照与评估的依据，作为以饰面木质墙板集群的衢州江山有义务和必要作为代表申请《“领跑者”标准评价要求 饰面木质墙板》团体标准。</w:t>
      </w:r>
      <w:r w:rsidR="003E2638" w:rsidRPr="003E2638">
        <w:rPr>
          <w:rFonts w:ascii="仿宋_GB2312" w:eastAsia="仿宋_GB2312" w:hAnsi="Times New Roman" w:cs="Times New Roman" w:hint="eastAsia"/>
          <w:sz w:val="24"/>
          <w:szCs w:val="24"/>
        </w:rPr>
        <w:t>通过制定统一的标准，可以规范饰面木质墙板的生产和销售行为，</w:t>
      </w:r>
      <w:r w:rsidR="003E2638">
        <w:rPr>
          <w:rFonts w:ascii="仿宋_GB2312" w:eastAsia="仿宋_GB2312" w:hAnsi="Times New Roman" w:cs="Times New Roman" w:hint="eastAsia"/>
          <w:sz w:val="24"/>
          <w:szCs w:val="24"/>
        </w:rPr>
        <w:t>提高产品质量，促进</w:t>
      </w:r>
      <w:r w:rsidR="00701184">
        <w:rPr>
          <w:rFonts w:ascii="仿宋_GB2312" w:eastAsia="仿宋_GB2312" w:hAnsi="Times New Roman" w:cs="Times New Roman" w:hint="eastAsia"/>
          <w:sz w:val="24"/>
          <w:szCs w:val="24"/>
        </w:rPr>
        <w:t>技术进步，</w:t>
      </w:r>
      <w:r w:rsidR="003E2638" w:rsidRPr="003E2638">
        <w:rPr>
          <w:rFonts w:ascii="仿宋_GB2312" w:eastAsia="仿宋_GB2312" w:hAnsi="Times New Roman" w:cs="Times New Roman" w:hint="eastAsia"/>
          <w:sz w:val="24"/>
          <w:szCs w:val="24"/>
        </w:rPr>
        <w:t>标准中包含</w:t>
      </w:r>
      <w:r w:rsidR="007A07F0">
        <w:rPr>
          <w:rFonts w:ascii="仿宋_GB2312" w:eastAsia="仿宋_GB2312" w:hAnsi="Times New Roman" w:cs="Times New Roman" w:hint="eastAsia"/>
          <w:sz w:val="24"/>
          <w:szCs w:val="24"/>
        </w:rPr>
        <w:t>了</w:t>
      </w:r>
      <w:r w:rsidR="003E2638" w:rsidRPr="003E2638">
        <w:rPr>
          <w:rFonts w:ascii="仿宋_GB2312" w:eastAsia="仿宋_GB2312" w:hAnsi="Times New Roman" w:cs="Times New Roman" w:hint="eastAsia"/>
          <w:sz w:val="24"/>
          <w:szCs w:val="24"/>
        </w:rPr>
        <w:t>对环保的要求，如环保指标、重金属等的控制等，有利于保护环境。通过标准的实施，可以推动饰面木质墙板行业的健康发展，提高行业的整体竞争力</w:t>
      </w:r>
      <w:r w:rsidR="007A07F0">
        <w:rPr>
          <w:rFonts w:ascii="仿宋_GB2312" w:eastAsia="仿宋_GB2312" w:hAnsi="Times New Roman" w:cs="Times New Roman" w:hint="eastAsia"/>
          <w:sz w:val="24"/>
          <w:szCs w:val="24"/>
        </w:rPr>
        <w:t>。</w:t>
      </w:r>
      <w:r w:rsidR="00E86F01">
        <w:rPr>
          <w:rFonts w:ascii="仿宋_GB2312" w:eastAsia="仿宋_GB2312" w:hAnsi="Times New Roman" w:cs="Times New Roman" w:hint="eastAsia"/>
          <w:sz w:val="24"/>
          <w:szCs w:val="24"/>
        </w:rPr>
        <w:t>这也是一次浙江省企业展现标准化能力、产品高质量水平的展现。</w:t>
      </w:r>
    </w:p>
    <w:p w:rsidR="00904B3F" w:rsidRDefault="001A3DD3">
      <w:pPr>
        <w:pStyle w:val="af1"/>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rsidR="00904B3F" w:rsidRDefault="001A3DD3" w:rsidP="003A2C8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由衢州市方圆林产品检验检测有限公司（浙江省木门产品质量检验中心）向浙江省计量与标准化学会提出立项申请，经学会论证通过并印发了</w:t>
      </w:r>
      <w:r w:rsidR="003A2C87" w:rsidRPr="003A2C87">
        <w:rPr>
          <w:rFonts w:ascii="仿宋_GB2312" w:eastAsia="仿宋_GB2312" w:hAnsi="Times New Roman" w:cs="Times New Roman" w:hint="eastAsia"/>
          <w:sz w:val="24"/>
          <w:szCs w:val="24"/>
        </w:rPr>
        <w:t>浙计标学发〔2024〕056号</w:t>
      </w:r>
      <w:r>
        <w:rPr>
          <w:rFonts w:ascii="仿宋_GB2312" w:eastAsia="仿宋_GB2312" w:hAnsi="Times New Roman" w:cs="Times New Roman" w:hint="eastAsia"/>
          <w:sz w:val="24"/>
          <w:szCs w:val="24"/>
        </w:rPr>
        <w:t>号文件“</w:t>
      </w:r>
      <w:r w:rsidR="003A2C87" w:rsidRPr="003A2C87">
        <w:rPr>
          <w:rFonts w:ascii="仿宋_GB2312" w:eastAsia="仿宋_GB2312" w:hAnsi="Times New Roman" w:cs="Times New Roman" w:hint="eastAsia"/>
          <w:sz w:val="24"/>
          <w:szCs w:val="24"/>
        </w:rPr>
        <w:t>关于《质量分级及“领跑者”评价要求烧结钕铁硼永磁材料》等 14项团体标准立项的函</w:t>
      </w:r>
      <w:r>
        <w:rPr>
          <w:rFonts w:ascii="仿宋_GB2312" w:eastAsia="仿宋_GB2312" w:hAnsi="Times New Roman" w:cs="Times New Roman" w:hint="eastAsia"/>
          <w:sz w:val="24"/>
          <w:szCs w:val="24"/>
        </w:rPr>
        <w:t>”，项目名称：《“领跑者”标准评价要求 墙板》。</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按照浙江省计量与标准化学会团体标准工作组构成要求，组建标准研制工作组，明确标准研制重点和提纲，明确各参与单位或人员职责分工、研制计划、时间进度安排等情况。</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根据XXX下达的浙江省计量与标准化学会团体标准《“领跑者”标准评价要求 饰面木质墙板》制订计划，衢州市方圆林产品检验检测有限公司（浙江省木门产品质量检验中心）召集标准同行、标准化机构、检测机构等相关方成立了标准工作组，明确了各参与单位及人员的职责分工。</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《“领跑者”标准评价要求 饰面木质墙板》标准研制的重点包括：标准名称、标准适用范围、基本要求、评价指标分类（基础指标、核心指标、创新性指标）、评价方法及等级划分以及相应的检验检测方法。</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 2024年3月底前成立工作小组，学习、研究国内外相关标准，确定标准改进的路线和方向，明确指标。完成《“领跑者”标准评价要求 饰面木质墙板》“立项建议书”和“标准草案”的撰写，完成项目申报立项。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第二阶段：收到答辩通知，准备答辩材料，进行项目答辩，通过后完成立项。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型式试验内规定的全技术指标先进性情况</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本标准（草案）基本确定了本标准的先进性；充分考虑了浙江省计量与标准化学会团体标准制订框架要求、编制理念和定位要求等，全面体现了标准的先进性。</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标准工作组根据浙江省计量与标准化学会团体标准的编制理念，以行业标准 LY/T 1697—2017《饰面木质墙板》、JC/T 2671—2022《室内装饰用木质护墙板》为基础，对标国内先进同行技术要求和水平，项目的设置覆盖了LY/T 1697—2017、JC/T 2671—2022《室内装饰用木质护墙板》的技术要求，并高于行业标准；同时从行业的发展和产品应用领域的变化要求，从产品使用的稳定性及便利性出发，真正体现了浙江省计量与标准化学会团体标准先进性的理念。</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标国际先进标准及标杆企业，力求体现最先进的浙江工艺，用高质量来保障品牌生命，成为饰面木质墙板这一细分的标杆和领跑者。</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rsidR="00910C37" w:rsidRDefault="00910C37" w:rsidP="00910C3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2024年6月19日，组织召开了《“领跑者”标准评价要求 饰面木质墙板》等浙江省计量与标准化学会14项团体标准的评审会，评审组专家通过对《“领跑者”标准评价要求 饰面木质墙板》送审稿进行逐条讨论。经讨论形成以下意见：</w:t>
      </w:r>
    </w:p>
    <w:p w:rsidR="00910C37" w:rsidRDefault="00910C37" w:rsidP="00910C3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1）根据墙板不同饰面材质对评价指标表进行分类设置；</w:t>
      </w:r>
    </w:p>
    <w:p w:rsidR="00910C37" w:rsidRDefault="00910C37" w:rsidP="00910C3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2）建议按照T/CAS 700-2023；T/CSTE 0321-2023《质量分级及“领跑者”评价标准编制通则》修改完善标准文本；</w:t>
      </w:r>
    </w:p>
    <w:p w:rsidR="00904B3F" w:rsidRDefault="00910C37" w:rsidP="00910C3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补充该产品所涉及企业标准分析情况、指标选择依据及等级划分的验证情况。</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1）意见征集情况：征求意见的单位数：X家；实际反馈意见的单位数：X家；其中，有建议或意见：X家；无意见：X 家。                           </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2）意见处理情况：共收集反馈意见：X项；其中，采纳：X项；部分采纳：X 项；未采纳：X 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根据评审专家提出的修改意见，经评审组集体讨论，通过评审，随后标准工作组对《“领跑者”标准评价要求 饰面木质墙板》（送审稿）以及《编制说明》（送审稿）进行了修改，形成《“领跑者”标准评价要求 饰面木质墙板》（报批稿）及《编制说明》（报批稿）。</w:t>
      </w:r>
    </w:p>
    <w:p w:rsidR="00904B3F" w:rsidRDefault="001A3DD3">
      <w:pPr>
        <w:pStyle w:val="af1"/>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标准编制遵循“合规性、必要性、先进性、经济性、可操作性”的原则，尽可能与国际通行标准接轨，注重标准的可操作性，本标准严格按照GB/T 1.1—2020《标准化工作导则  第1部分：标准化文件的结构和起草规则》的规定进行编写和表述。</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对标现行有效行业标准JC/T 2671-2022《室内装饰用木质护墙板》、LY/T 1697—2017《饰面木质墙板》，结合T/ZZB 3603-2023《室内定制饰面木质墙板》、GB 18580-2017《室内装饰装修材料 人造板及其制品中甲醛释放限量》、GB 18584—2001《室内装饰装修材料 木家具中有害物质限量》等。</w:t>
      </w:r>
    </w:p>
    <w:p w:rsidR="00904B3F" w:rsidRDefault="001A3DD3">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标准主要内容包括范围、规范性引用文件、术语和定义、评价指标体系、评价方法及等级划分共五个方面对标准进行编制。主要内容及确定依据如下：</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本文件规定了饰面木质墙板“领跑者”标准评价的术语和定义、评价指标体系和评价方法。各章节主要内容如下：</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JC/T 2671—2022、LY/T 1697—2017界定的术语和定义适用于本文件</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评价指标体系（包括基本要求、评价指标分类、评价指标体系框架）</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2.1 基本要求</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近三年，生产企业无较大及以上环境、安全、质量事故。</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企业应未列入国家信用信息严重失信主体相关名录。</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企业可根据GB/T 19001、GB/T 24001、GB/T 45001建立并运行相应质量、环境和职业健康安全管理体系，鼓励企业根据自身运营情况建立更高水平的相关管理体系。</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产品应为量产产品，饰面木质墙板领跑标准应满足国家强制性标准要求。</w:t>
      </w:r>
    </w:p>
    <w:p w:rsidR="00904B3F" w:rsidRPr="00E62708" w:rsidRDefault="001A3DD3" w:rsidP="00E62708">
      <w:pPr>
        <w:pStyle w:val="af1"/>
        <w:numPr>
          <w:ilvl w:val="1"/>
          <w:numId w:val="4"/>
        </w:numPr>
        <w:adjustRightInd/>
        <w:snapToGrid/>
        <w:spacing w:after="0" w:line="360" w:lineRule="auto"/>
        <w:ind w:firstLineChars="0"/>
        <w:jc w:val="both"/>
        <w:rPr>
          <w:rFonts w:ascii="仿宋_GB2312" w:eastAsia="仿宋_GB2312" w:hAnsi="Times New Roman" w:cs="Times New Roman"/>
          <w:sz w:val="24"/>
          <w:szCs w:val="24"/>
        </w:rPr>
      </w:pPr>
      <w:r w:rsidRPr="00E62708">
        <w:rPr>
          <w:rFonts w:ascii="仿宋_GB2312" w:eastAsia="仿宋_GB2312" w:hAnsi="Times New Roman" w:cs="Times New Roman" w:hint="eastAsia"/>
          <w:sz w:val="24"/>
          <w:szCs w:val="24"/>
        </w:rPr>
        <w:t>评价指标分类</w:t>
      </w:r>
    </w:p>
    <w:p w:rsidR="00E62708" w:rsidRDefault="001A3DD3" w:rsidP="00E6270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饰面木质墙板质量分级及“领跑者”评价指标体系包括基础指标、核心指标和创新性指标。</w:t>
      </w:r>
    </w:p>
    <w:p w:rsidR="00904B3F" w:rsidRPr="00E62708" w:rsidRDefault="001A3DD3" w:rsidP="00E6270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w:t>
      </w:r>
      <w:r w:rsidR="00E62708">
        <w:rPr>
          <w:rFonts w:ascii="仿宋_GB2312" w:eastAsia="仿宋_GB2312" w:hAnsi="Times New Roman" w:cs="Times New Roman" w:hint="eastAsia"/>
          <w:sz w:val="24"/>
          <w:szCs w:val="24"/>
        </w:rPr>
        <w:t xml:space="preserve"> </w:t>
      </w:r>
      <w:r w:rsidR="00E62708" w:rsidRPr="00BA569A">
        <w:rPr>
          <w:rFonts w:hint="eastAsia"/>
        </w:rPr>
        <w:t>基础指标包括</w:t>
      </w:r>
      <w:r w:rsidR="00E62708">
        <w:rPr>
          <w:rFonts w:hint="eastAsia"/>
        </w:rPr>
        <w:t>外观质量、规格尺寸及偏差、含水率、浸渍剥离、表面耐划痕</w:t>
      </w:r>
      <w:r w:rsidR="00E62708" w:rsidRPr="00BA569A">
        <w:rPr>
          <w:rFonts w:hint="eastAsia"/>
        </w:rPr>
        <w:t>。</w:t>
      </w:r>
    </w:p>
    <w:p w:rsidR="00E62708" w:rsidRPr="00BA569A" w:rsidRDefault="001A3DD3" w:rsidP="00E62708">
      <w:pPr>
        <w:pStyle w:val="af4"/>
        <w:numPr>
          <w:ilvl w:val="0"/>
          <w:numId w:val="0"/>
        </w:numPr>
        <w:spacing w:line="360" w:lineRule="auto"/>
        <w:ind w:firstLineChars="150" w:firstLine="360"/>
      </w:pPr>
      <w:r>
        <w:rPr>
          <w:rFonts w:ascii="仿宋_GB2312" w:eastAsia="仿宋_GB2312" w:hint="eastAsia"/>
          <w:sz w:val="24"/>
          <w:szCs w:val="24"/>
        </w:rPr>
        <w:t>2.2.3</w:t>
      </w:r>
      <w:r w:rsidR="00E62708" w:rsidRPr="00E62708">
        <w:rPr>
          <w:rFonts w:ascii="仿宋_GB2312" w:eastAsia="仿宋_GB2312" w:hint="eastAsia"/>
          <w:sz w:val="24"/>
          <w:szCs w:val="24"/>
        </w:rPr>
        <w:t>核心指标包括表面胶合强度、表面耐污染、耐光色牢度、表面耐干热、漆膜附着力、漆膜硬度。</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核心指标分为先进水平、平均水平和基准水平三个等级，先进水平相当于企业标准排行榜5星级水平；平均水平相当于企业标准排行榜中4星级水平；基准水平相当于企业标准排行榜中3星级水平。</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创新性指标包括甲醛释放量、重金属（可溶性铅、可溶性镉、可溶性铬、可溶性汞）。鼓励根据条件成熟情况适时增加与产品性能和消费者关注的相关创新性指标。</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2.3评价指标体系框架</w:t>
      </w:r>
    </w:p>
    <w:p w:rsidR="00557AED" w:rsidRDefault="001A3DD3" w:rsidP="00E86F01">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加强质量分级与“领跑者”评价指标体系，饰面木质墙板“领跑者”标准评价指标体系框架见表1</w:t>
      </w:r>
      <w:r w:rsidR="00E62708">
        <w:rPr>
          <w:rFonts w:ascii="仿宋_GB2312" w:eastAsia="仿宋_GB2312" w:hAnsi="Times New Roman" w:cs="Times New Roman" w:hint="eastAsia"/>
          <w:sz w:val="24"/>
          <w:szCs w:val="24"/>
        </w:rPr>
        <w:t>，表2</w:t>
      </w:r>
      <w:r>
        <w:rPr>
          <w:rFonts w:ascii="仿宋_GB2312" w:eastAsia="仿宋_GB2312" w:hAnsi="Times New Roman" w:cs="Times New Roman" w:hint="eastAsia"/>
          <w:sz w:val="24"/>
          <w:szCs w:val="24"/>
        </w:rPr>
        <w:t>。</w:t>
      </w:r>
    </w:p>
    <w:p w:rsidR="00FB6529" w:rsidRDefault="00FB6529" w:rsidP="00E86F01">
      <w:pPr>
        <w:adjustRightInd/>
        <w:snapToGrid/>
        <w:spacing w:after="0" w:line="360" w:lineRule="auto"/>
        <w:ind w:firstLineChars="200" w:firstLine="480"/>
        <w:jc w:val="both"/>
        <w:rPr>
          <w:rFonts w:ascii="仿宋_GB2312" w:eastAsia="仿宋_GB2312" w:hAnsi="Times New Roman" w:cs="Times New Roman"/>
          <w:sz w:val="24"/>
          <w:szCs w:val="24"/>
        </w:rPr>
      </w:pPr>
    </w:p>
    <w:p w:rsidR="00FB6529" w:rsidRDefault="00FB6529" w:rsidP="00E86F01">
      <w:pPr>
        <w:adjustRightInd/>
        <w:snapToGrid/>
        <w:spacing w:after="0" w:line="360" w:lineRule="auto"/>
        <w:ind w:firstLineChars="200" w:firstLine="480"/>
        <w:jc w:val="both"/>
        <w:rPr>
          <w:rFonts w:ascii="仿宋_GB2312" w:eastAsia="仿宋_GB2312" w:hAnsi="Times New Roman" w:cs="Times New Roman"/>
          <w:sz w:val="24"/>
          <w:szCs w:val="24"/>
        </w:rPr>
      </w:pPr>
    </w:p>
    <w:p w:rsidR="00FB6529" w:rsidRDefault="00FB6529" w:rsidP="00E86F01">
      <w:pPr>
        <w:adjustRightInd/>
        <w:snapToGrid/>
        <w:spacing w:after="0" w:line="360" w:lineRule="auto"/>
        <w:ind w:firstLineChars="200" w:firstLine="480"/>
        <w:jc w:val="both"/>
        <w:rPr>
          <w:rFonts w:ascii="仿宋_GB2312" w:eastAsia="仿宋_GB2312" w:hAnsi="Times New Roman" w:cs="Times New Roman"/>
          <w:sz w:val="24"/>
          <w:szCs w:val="24"/>
        </w:rPr>
      </w:pPr>
    </w:p>
    <w:p w:rsidR="00FB6529" w:rsidRDefault="00FB6529" w:rsidP="00E86F01">
      <w:pPr>
        <w:adjustRightInd/>
        <w:snapToGrid/>
        <w:spacing w:after="0" w:line="360" w:lineRule="auto"/>
        <w:ind w:firstLineChars="200" w:firstLine="480"/>
        <w:jc w:val="both"/>
        <w:rPr>
          <w:rFonts w:ascii="仿宋_GB2312" w:eastAsia="仿宋_GB2312" w:hAnsi="Times New Roman" w:cs="Times New Roman"/>
          <w:sz w:val="24"/>
          <w:szCs w:val="24"/>
        </w:rPr>
      </w:pPr>
    </w:p>
    <w:p w:rsidR="00FB6529" w:rsidRPr="00E86F01" w:rsidRDefault="00FB6529" w:rsidP="00E86F01">
      <w:pPr>
        <w:adjustRightInd/>
        <w:snapToGrid/>
        <w:spacing w:after="0" w:line="360" w:lineRule="auto"/>
        <w:ind w:firstLineChars="200" w:firstLine="480"/>
        <w:jc w:val="both"/>
        <w:rPr>
          <w:rFonts w:ascii="仿宋_GB2312" w:eastAsia="仿宋_GB2312" w:hAnsi="Times New Roman" w:cs="Times New Roman"/>
          <w:sz w:val="24"/>
          <w:szCs w:val="24"/>
        </w:rPr>
      </w:pPr>
    </w:p>
    <w:p w:rsidR="00557AED" w:rsidRDefault="00FB6529" w:rsidP="003D2E93">
      <w:pPr>
        <w:pStyle w:val="af3"/>
        <w:rPr>
          <w:rFonts w:hint="default"/>
        </w:rPr>
      </w:pPr>
      <w:r>
        <w:lastRenderedPageBreak/>
        <w:t>表</w:t>
      </w:r>
      <w:r>
        <w:t xml:space="preserve">1 </w:t>
      </w:r>
      <w:r w:rsidR="00557AED">
        <w:t>浸渍胶膜纸饰面木质墙板</w:t>
      </w:r>
      <w:r w:rsidR="00557AED" w:rsidRPr="00BA569A">
        <w:t>评价指标体系框架</w:t>
      </w:r>
    </w:p>
    <w:tbl>
      <w:tblPr>
        <w:tblW w:w="5000" w:type="pct"/>
        <w:tblLook w:val="04A0" w:firstRow="1" w:lastRow="0" w:firstColumn="1" w:lastColumn="0" w:noHBand="0" w:noVBand="1"/>
      </w:tblPr>
      <w:tblGrid>
        <w:gridCol w:w="719"/>
        <w:gridCol w:w="669"/>
        <w:gridCol w:w="1450"/>
        <w:gridCol w:w="1476"/>
        <w:gridCol w:w="704"/>
        <w:gridCol w:w="669"/>
        <w:gridCol w:w="654"/>
        <w:gridCol w:w="705"/>
        <w:gridCol w:w="1476"/>
      </w:tblGrid>
      <w:tr w:rsidR="00557AED" w:rsidRPr="008148F4" w:rsidTr="00E5683C">
        <w:trPr>
          <w:trHeight w:val="285"/>
        </w:trPr>
        <w:tc>
          <w:tcPr>
            <w:tcW w:w="4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序号</w:t>
            </w:r>
          </w:p>
        </w:tc>
        <w:tc>
          <w:tcPr>
            <w:tcW w:w="4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指标类型</w:t>
            </w:r>
          </w:p>
        </w:tc>
        <w:tc>
          <w:tcPr>
            <w:tcW w:w="903"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评价指标</w:t>
            </w:r>
          </w:p>
        </w:tc>
        <w:tc>
          <w:tcPr>
            <w:tcW w:w="6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指标来源</w:t>
            </w:r>
          </w:p>
        </w:tc>
        <w:tc>
          <w:tcPr>
            <w:tcW w:w="1811" w:type="pct"/>
            <w:gridSpan w:val="4"/>
            <w:tcBorders>
              <w:top w:val="single" w:sz="8" w:space="0" w:color="auto"/>
              <w:left w:val="nil"/>
              <w:bottom w:val="single" w:sz="8" w:space="0" w:color="auto"/>
              <w:right w:val="single" w:sz="8" w:space="0" w:color="000000"/>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指标水平分级</w:t>
            </w:r>
          </w:p>
        </w:tc>
        <w:tc>
          <w:tcPr>
            <w:tcW w:w="6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判定依据</w:t>
            </w:r>
            <w:r w:rsidRPr="008148F4">
              <w:rPr>
                <w:rFonts w:ascii="宋体" w:hAnsi="宋体" w:cs="宋体" w:hint="eastAsia"/>
                <w:color w:val="000000"/>
                <w:sz w:val="18"/>
                <w:szCs w:val="18"/>
              </w:rPr>
              <w:t>/</w:t>
            </w:r>
            <w:r w:rsidRPr="008148F4">
              <w:rPr>
                <w:rFonts w:ascii="宋体" w:hAnsi="宋体" w:cs="宋体" w:hint="eastAsia"/>
                <w:color w:val="000000"/>
                <w:sz w:val="18"/>
                <w:szCs w:val="18"/>
              </w:rPr>
              <w:t>方法</w:t>
            </w:r>
          </w:p>
        </w:tc>
      </w:tr>
      <w:tr w:rsidR="00557AED" w:rsidRPr="008148F4" w:rsidTr="00E5683C">
        <w:trPr>
          <w:trHeight w:val="285"/>
        </w:trPr>
        <w:tc>
          <w:tcPr>
            <w:tcW w:w="474" w:type="pct"/>
            <w:vMerge/>
            <w:tcBorders>
              <w:top w:val="single" w:sz="8" w:space="0" w:color="auto"/>
              <w:left w:val="single" w:sz="8" w:space="0" w:color="auto"/>
              <w:bottom w:val="single" w:sz="8" w:space="0" w:color="000000"/>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445" w:type="pct"/>
            <w:vMerge/>
            <w:tcBorders>
              <w:top w:val="single" w:sz="8" w:space="0" w:color="auto"/>
              <w:left w:val="single" w:sz="8" w:space="0" w:color="auto"/>
              <w:bottom w:val="single" w:sz="8" w:space="0" w:color="000000"/>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vMerge/>
            <w:tcBorders>
              <w:top w:val="single" w:sz="8" w:space="0" w:color="auto"/>
              <w:left w:val="single" w:sz="8" w:space="0" w:color="auto"/>
              <w:bottom w:val="single" w:sz="8" w:space="0" w:color="000000"/>
              <w:right w:val="single" w:sz="8" w:space="0" w:color="000000"/>
            </w:tcBorders>
            <w:vAlign w:val="center"/>
            <w:hideMark/>
          </w:tcPr>
          <w:p w:rsidR="00557AED" w:rsidRPr="008148F4" w:rsidRDefault="00557AED" w:rsidP="00E5683C">
            <w:pPr>
              <w:adjustRightInd/>
              <w:rPr>
                <w:rFonts w:ascii="宋体" w:hAnsi="宋体" w:cs="宋体"/>
                <w:color w:val="000000"/>
                <w:sz w:val="18"/>
                <w:szCs w:val="18"/>
              </w:rPr>
            </w:pPr>
          </w:p>
        </w:tc>
        <w:tc>
          <w:tcPr>
            <w:tcW w:w="683" w:type="pct"/>
            <w:vMerge/>
            <w:tcBorders>
              <w:top w:val="single" w:sz="8" w:space="0" w:color="auto"/>
              <w:left w:val="single" w:sz="8" w:space="0" w:color="auto"/>
              <w:bottom w:val="single" w:sz="8" w:space="0" w:color="000000"/>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先进水平</w:t>
            </w:r>
          </w:p>
        </w:tc>
        <w:tc>
          <w:tcPr>
            <w:tcW w:w="881"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平均水平</w:t>
            </w: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基准水平</w:t>
            </w:r>
          </w:p>
        </w:tc>
        <w:tc>
          <w:tcPr>
            <w:tcW w:w="683" w:type="pct"/>
            <w:vMerge/>
            <w:tcBorders>
              <w:top w:val="single" w:sz="8" w:space="0" w:color="auto"/>
              <w:left w:val="single" w:sz="8" w:space="0" w:color="auto"/>
              <w:bottom w:val="single" w:sz="8" w:space="0" w:color="000000"/>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1</w:t>
            </w:r>
          </w:p>
        </w:tc>
        <w:tc>
          <w:tcPr>
            <w:tcW w:w="445" w:type="pct"/>
            <w:vMerge w:val="restart"/>
            <w:tcBorders>
              <w:top w:val="nil"/>
              <w:left w:val="single" w:sz="8" w:space="0" w:color="auto"/>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基础指标</w:t>
            </w: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外观质量</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1811" w:type="pct"/>
            <w:gridSpan w:val="4"/>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符合</w:t>
            </w:r>
            <w:r w:rsidRPr="008148F4">
              <w:rPr>
                <w:rFonts w:ascii="宋体" w:hAnsi="宋体" w:cs="宋体" w:hint="eastAsia"/>
                <w:color w:val="000000"/>
                <w:sz w:val="18"/>
                <w:szCs w:val="18"/>
              </w:rPr>
              <w:t xml:space="preserve"> LY/T 1697-2017</w:t>
            </w:r>
            <w:r w:rsidRPr="008148F4">
              <w:rPr>
                <w:rFonts w:ascii="宋体" w:hAnsi="宋体" w:cs="宋体" w:hint="eastAsia"/>
                <w:color w:val="000000"/>
                <w:sz w:val="18"/>
                <w:szCs w:val="18"/>
              </w:rPr>
              <w:t>中</w:t>
            </w:r>
            <w:r w:rsidRPr="008148F4">
              <w:rPr>
                <w:rFonts w:ascii="宋体" w:hAnsi="宋体" w:cs="宋体" w:hint="eastAsia"/>
                <w:color w:val="000000"/>
                <w:sz w:val="18"/>
                <w:szCs w:val="18"/>
              </w:rPr>
              <w:t>5.1</w:t>
            </w:r>
            <w:r w:rsidRPr="008148F4">
              <w:rPr>
                <w:rFonts w:ascii="宋体" w:hAnsi="宋体" w:cs="宋体" w:hint="eastAsia"/>
                <w:color w:val="000000"/>
                <w:sz w:val="18"/>
                <w:szCs w:val="18"/>
              </w:rPr>
              <w:t>的要求</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r w:rsidRPr="008148F4">
              <w:rPr>
                <w:rFonts w:ascii="宋体" w:hAnsi="宋体" w:cs="宋体" w:hint="eastAsia"/>
                <w:color w:val="000000"/>
                <w:sz w:val="18"/>
                <w:szCs w:val="18"/>
              </w:rPr>
              <w:t>中</w:t>
            </w:r>
            <w:r w:rsidRPr="008148F4">
              <w:rPr>
                <w:rFonts w:ascii="宋体" w:hAnsi="宋体" w:cs="宋体" w:hint="eastAsia"/>
                <w:color w:val="000000"/>
                <w:sz w:val="18"/>
                <w:szCs w:val="18"/>
              </w:rPr>
              <w:t>5.1</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2</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规格尺寸及偏差</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1811" w:type="pct"/>
            <w:gridSpan w:val="4"/>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符合</w:t>
            </w:r>
            <w:r w:rsidRPr="008148F4">
              <w:rPr>
                <w:rFonts w:ascii="宋体" w:hAnsi="宋体" w:cs="宋体" w:hint="eastAsia"/>
                <w:color w:val="000000"/>
                <w:sz w:val="18"/>
                <w:szCs w:val="18"/>
              </w:rPr>
              <w:t xml:space="preserve"> LY/T 1697-2017</w:t>
            </w:r>
            <w:r w:rsidRPr="008148F4">
              <w:rPr>
                <w:rFonts w:ascii="宋体" w:hAnsi="宋体" w:cs="宋体" w:hint="eastAsia"/>
                <w:color w:val="000000"/>
                <w:sz w:val="18"/>
                <w:szCs w:val="18"/>
              </w:rPr>
              <w:t>中</w:t>
            </w:r>
            <w:r w:rsidRPr="008148F4">
              <w:rPr>
                <w:rFonts w:ascii="宋体" w:hAnsi="宋体" w:cs="宋体" w:hint="eastAsia"/>
                <w:color w:val="000000"/>
                <w:sz w:val="18"/>
                <w:szCs w:val="18"/>
              </w:rPr>
              <w:t>5.2</w:t>
            </w:r>
            <w:r w:rsidRPr="008148F4">
              <w:rPr>
                <w:rFonts w:ascii="宋体" w:hAnsi="宋体" w:cs="宋体" w:hint="eastAsia"/>
                <w:color w:val="000000"/>
                <w:sz w:val="18"/>
                <w:szCs w:val="18"/>
              </w:rPr>
              <w:t>的要求</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 xml:space="preserve"> LY/T 1697-2017</w:t>
            </w:r>
            <w:r w:rsidRPr="008148F4">
              <w:rPr>
                <w:rFonts w:ascii="宋体" w:hAnsi="宋体" w:cs="宋体" w:hint="eastAsia"/>
                <w:color w:val="000000"/>
                <w:sz w:val="18"/>
                <w:szCs w:val="18"/>
              </w:rPr>
              <w:t>中</w:t>
            </w:r>
            <w:r w:rsidRPr="008148F4">
              <w:rPr>
                <w:rFonts w:ascii="宋体" w:hAnsi="宋体" w:cs="宋体" w:hint="eastAsia"/>
                <w:color w:val="000000"/>
                <w:sz w:val="18"/>
                <w:szCs w:val="18"/>
              </w:rPr>
              <w:t>5.2</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3</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含水率</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1811" w:type="pct"/>
            <w:gridSpan w:val="4"/>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6</w:t>
            </w:r>
            <w:r w:rsidRPr="008148F4">
              <w:rPr>
                <w:rFonts w:ascii="宋体" w:hAnsi="宋体" w:cs="宋体" w:hint="eastAsia"/>
                <w:color w:val="000000"/>
                <w:sz w:val="18"/>
                <w:szCs w:val="18"/>
              </w:rPr>
              <w:t>～</w:t>
            </w:r>
            <w:r w:rsidRPr="008148F4">
              <w:rPr>
                <w:rFonts w:ascii="宋体" w:hAnsi="宋体" w:cs="宋体" w:hint="eastAsia"/>
                <w:color w:val="000000"/>
                <w:sz w:val="18"/>
                <w:szCs w:val="18"/>
              </w:rPr>
              <w:t>16</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GB/T17657</w:t>
            </w:r>
          </w:p>
        </w:tc>
      </w:tr>
      <w:tr w:rsidR="00557AED" w:rsidRPr="008148F4" w:rsidTr="00E5683C">
        <w:trPr>
          <w:trHeight w:val="82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4</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浸渍剥离</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1811" w:type="pct"/>
            <w:gridSpan w:val="4"/>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任一边的任一胶层开胶的累计长度不超过该胶层长度的</w:t>
            </w:r>
            <w:r w:rsidRPr="008148F4">
              <w:rPr>
                <w:rFonts w:ascii="宋体" w:hAnsi="宋体" w:cs="宋体" w:hint="eastAsia"/>
                <w:color w:val="000000"/>
                <w:sz w:val="18"/>
                <w:szCs w:val="18"/>
              </w:rPr>
              <w:t>1/3</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 xml:space="preserve">GB/T17657-2013 </w:t>
            </w:r>
            <w:r w:rsidRPr="008148F4">
              <w:rPr>
                <w:rFonts w:ascii="宋体" w:hAnsi="宋体" w:cs="宋体" w:hint="eastAsia"/>
                <w:color w:val="000000"/>
                <w:sz w:val="18"/>
                <w:szCs w:val="18"/>
              </w:rPr>
              <w:t>中</w:t>
            </w:r>
            <w:r w:rsidRPr="008148F4">
              <w:rPr>
                <w:rFonts w:ascii="宋体" w:hAnsi="宋体" w:cs="宋体" w:hint="eastAsia"/>
                <w:color w:val="000000"/>
                <w:sz w:val="18"/>
                <w:szCs w:val="18"/>
              </w:rPr>
              <w:t>4.19</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5</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表面耐划痕</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1811" w:type="pct"/>
            <w:gridSpan w:val="4"/>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1.5N</w:t>
            </w:r>
            <w:r w:rsidRPr="008148F4">
              <w:rPr>
                <w:rFonts w:ascii="宋体" w:hAnsi="宋体" w:cs="宋体" w:hint="eastAsia"/>
                <w:color w:val="000000"/>
                <w:sz w:val="18"/>
                <w:szCs w:val="18"/>
              </w:rPr>
              <w:t>表面无大于</w:t>
            </w:r>
            <w:r w:rsidRPr="008148F4">
              <w:rPr>
                <w:rFonts w:ascii="宋体" w:hAnsi="宋体" w:cs="宋体" w:hint="eastAsia"/>
                <w:color w:val="000000"/>
                <w:sz w:val="18"/>
                <w:szCs w:val="18"/>
              </w:rPr>
              <w:t>90%</w:t>
            </w:r>
            <w:r w:rsidRPr="008148F4">
              <w:rPr>
                <w:rFonts w:ascii="宋体" w:hAnsi="宋体" w:cs="宋体" w:hint="eastAsia"/>
                <w:color w:val="000000"/>
                <w:sz w:val="18"/>
                <w:szCs w:val="18"/>
              </w:rPr>
              <w:t>的连续划痕</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 xml:space="preserve">GB/T17657-2013 </w:t>
            </w:r>
            <w:r w:rsidRPr="008148F4">
              <w:rPr>
                <w:rFonts w:ascii="宋体" w:hAnsi="宋体" w:cs="宋体" w:hint="eastAsia"/>
                <w:color w:val="000000"/>
                <w:sz w:val="18"/>
                <w:szCs w:val="18"/>
              </w:rPr>
              <w:t>中</w:t>
            </w:r>
            <w:r w:rsidRPr="008148F4">
              <w:rPr>
                <w:rFonts w:ascii="宋体" w:hAnsi="宋体" w:cs="宋体" w:hint="eastAsia"/>
                <w:color w:val="000000"/>
                <w:sz w:val="18"/>
                <w:szCs w:val="18"/>
              </w:rPr>
              <w:t>4.39</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6</w:t>
            </w:r>
          </w:p>
        </w:tc>
        <w:tc>
          <w:tcPr>
            <w:tcW w:w="445" w:type="pct"/>
            <w:vMerge w:val="restart"/>
            <w:tcBorders>
              <w:top w:val="nil"/>
              <w:left w:val="single" w:sz="8" w:space="0" w:color="auto"/>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核心指标</w:t>
            </w: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表面胶合强度</w:t>
            </w:r>
            <w:r w:rsidRPr="008148F4">
              <w:rPr>
                <w:rFonts w:ascii="宋体" w:hAnsi="宋体" w:cs="宋体" w:hint="eastAsia"/>
                <w:color w:val="000000"/>
                <w:sz w:val="18"/>
                <w:szCs w:val="18"/>
              </w:rPr>
              <w:t xml:space="preserve"> MPa</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w:t>
            </w:r>
            <w:r w:rsidRPr="008148F4">
              <w:rPr>
                <w:rFonts w:ascii="宋体" w:hAnsi="宋体" w:cs="宋体" w:hint="eastAsia"/>
                <w:color w:val="000000"/>
                <w:sz w:val="18"/>
                <w:szCs w:val="18"/>
              </w:rPr>
              <w:t>0.80</w:t>
            </w:r>
          </w:p>
        </w:tc>
        <w:tc>
          <w:tcPr>
            <w:tcW w:w="881" w:type="pct"/>
            <w:gridSpan w:val="2"/>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w:t>
            </w:r>
            <w:r w:rsidRPr="008148F4">
              <w:rPr>
                <w:rFonts w:ascii="宋体" w:hAnsi="宋体" w:cs="宋体" w:hint="eastAsia"/>
                <w:color w:val="000000"/>
                <w:sz w:val="18"/>
                <w:szCs w:val="18"/>
              </w:rPr>
              <w:t>0.70</w:t>
            </w: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w:t>
            </w:r>
            <w:r w:rsidRPr="008148F4">
              <w:rPr>
                <w:rFonts w:ascii="宋体" w:hAnsi="宋体" w:cs="宋体" w:hint="eastAsia"/>
                <w:color w:val="000000"/>
                <w:sz w:val="18"/>
                <w:szCs w:val="18"/>
              </w:rPr>
              <w:t>0.60</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GB/T17657</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7</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表面耐污染</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1346" w:type="pct"/>
            <w:gridSpan w:val="3"/>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5</w:t>
            </w: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4</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GB/T17657</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8</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耐光色牢度</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910" w:type="pct"/>
            <w:gridSpan w:val="2"/>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≥灰度样卡</w:t>
            </w:r>
            <w:r w:rsidRPr="008148F4">
              <w:rPr>
                <w:rFonts w:ascii="宋体" w:hAnsi="宋体" w:cs="宋体" w:hint="eastAsia"/>
                <w:color w:val="000000"/>
                <w:sz w:val="18"/>
                <w:szCs w:val="18"/>
              </w:rPr>
              <w:t>5</w:t>
            </w:r>
            <w:r w:rsidRPr="008148F4">
              <w:rPr>
                <w:rFonts w:ascii="宋体" w:hAnsi="宋体" w:cs="宋体" w:hint="eastAsia"/>
                <w:color w:val="000000"/>
                <w:sz w:val="18"/>
                <w:szCs w:val="18"/>
              </w:rPr>
              <w:t>级</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灰度样卡</w:t>
            </w:r>
            <w:r w:rsidRPr="008148F4">
              <w:rPr>
                <w:rFonts w:ascii="宋体" w:hAnsi="宋体" w:cs="宋体" w:hint="eastAsia"/>
                <w:color w:val="000000"/>
                <w:sz w:val="18"/>
                <w:szCs w:val="18"/>
              </w:rPr>
              <w:t>4</w:t>
            </w:r>
            <w:r w:rsidRPr="008148F4">
              <w:rPr>
                <w:rFonts w:ascii="宋体" w:hAnsi="宋体" w:cs="宋体" w:hint="eastAsia"/>
                <w:color w:val="000000"/>
                <w:sz w:val="18"/>
                <w:szCs w:val="18"/>
              </w:rPr>
              <w:t>级</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 xml:space="preserve">GB/T17657-2013 </w:t>
            </w:r>
            <w:r w:rsidRPr="008148F4">
              <w:rPr>
                <w:rFonts w:ascii="宋体" w:hAnsi="宋体" w:cs="宋体" w:hint="eastAsia"/>
                <w:color w:val="000000"/>
                <w:sz w:val="18"/>
                <w:szCs w:val="18"/>
              </w:rPr>
              <w:t>中</w:t>
            </w:r>
            <w:r w:rsidRPr="008148F4">
              <w:rPr>
                <w:rFonts w:ascii="宋体" w:hAnsi="宋体" w:cs="宋体" w:hint="eastAsia"/>
                <w:color w:val="000000"/>
                <w:sz w:val="18"/>
                <w:szCs w:val="18"/>
              </w:rPr>
              <w:t>4.30</w:t>
            </w:r>
          </w:p>
        </w:tc>
      </w:tr>
      <w:tr w:rsidR="00557AED" w:rsidRPr="008148F4" w:rsidTr="00E5683C">
        <w:trPr>
          <w:trHeight w:val="465"/>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9</w:t>
            </w:r>
          </w:p>
        </w:tc>
        <w:tc>
          <w:tcPr>
            <w:tcW w:w="445" w:type="pct"/>
            <w:vMerge/>
            <w:tcBorders>
              <w:top w:val="nil"/>
              <w:left w:val="single" w:sz="8" w:space="0" w:color="auto"/>
              <w:bottom w:val="single" w:sz="8" w:space="0" w:color="auto"/>
              <w:right w:val="single" w:sz="8" w:space="0" w:color="auto"/>
            </w:tcBorders>
            <w:vAlign w:val="center"/>
            <w:hideMark/>
          </w:tcPr>
          <w:p w:rsidR="00557AED" w:rsidRPr="008148F4" w:rsidRDefault="00557AED" w:rsidP="00E5683C">
            <w:pPr>
              <w:adjustRightInd/>
              <w:rPr>
                <w:rFonts w:ascii="宋体" w:hAnsi="宋体" w:cs="宋体"/>
                <w:color w:val="000000"/>
                <w:sz w:val="18"/>
                <w:szCs w:val="18"/>
              </w:rPr>
            </w:pP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表面耐干热</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LY/T 1697-2017</w:t>
            </w:r>
          </w:p>
        </w:tc>
        <w:tc>
          <w:tcPr>
            <w:tcW w:w="910" w:type="pct"/>
            <w:gridSpan w:val="2"/>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5</w:t>
            </w:r>
            <w:r w:rsidRPr="008148F4">
              <w:rPr>
                <w:rFonts w:ascii="宋体" w:hAnsi="宋体" w:cs="宋体" w:hint="eastAsia"/>
                <w:color w:val="000000"/>
                <w:sz w:val="18"/>
                <w:szCs w:val="18"/>
              </w:rPr>
              <w:t>级</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4</w:t>
            </w:r>
            <w:r w:rsidRPr="008148F4">
              <w:rPr>
                <w:rFonts w:ascii="宋体" w:hAnsi="宋体" w:cs="宋体" w:hint="eastAsia"/>
                <w:color w:val="000000"/>
                <w:sz w:val="18"/>
                <w:szCs w:val="18"/>
              </w:rPr>
              <w:t>级</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 xml:space="preserve">GB/T17657-2013 </w:t>
            </w:r>
            <w:r w:rsidRPr="008148F4">
              <w:rPr>
                <w:rFonts w:ascii="宋体" w:hAnsi="宋体" w:cs="宋体" w:hint="eastAsia"/>
                <w:color w:val="000000"/>
                <w:sz w:val="18"/>
                <w:szCs w:val="18"/>
              </w:rPr>
              <w:t>中</w:t>
            </w:r>
            <w:r w:rsidRPr="008148F4">
              <w:rPr>
                <w:rFonts w:ascii="宋体" w:hAnsi="宋体" w:cs="宋体" w:hint="eastAsia"/>
                <w:color w:val="000000"/>
                <w:sz w:val="18"/>
                <w:szCs w:val="18"/>
              </w:rPr>
              <w:t>4.46</w:t>
            </w:r>
          </w:p>
        </w:tc>
      </w:tr>
      <w:tr w:rsidR="00557AED" w:rsidRPr="008148F4" w:rsidTr="00E5683C">
        <w:trPr>
          <w:trHeight w:val="690"/>
        </w:trPr>
        <w:tc>
          <w:tcPr>
            <w:tcW w:w="474" w:type="pct"/>
            <w:tcBorders>
              <w:top w:val="nil"/>
              <w:left w:val="single" w:sz="8" w:space="0" w:color="auto"/>
              <w:bottom w:val="single" w:sz="8" w:space="0" w:color="auto"/>
              <w:right w:val="single" w:sz="8" w:space="0" w:color="auto"/>
            </w:tcBorders>
            <w:shd w:val="clear" w:color="auto" w:fill="auto"/>
            <w:noWrap/>
            <w:vAlign w:val="center"/>
            <w:hideMark/>
          </w:tcPr>
          <w:p w:rsidR="00557AED" w:rsidRPr="008148F4" w:rsidRDefault="00557AED" w:rsidP="00E5683C">
            <w:pPr>
              <w:adjustRightInd/>
              <w:jc w:val="center"/>
              <w:rPr>
                <w:rFonts w:ascii="宋体" w:hAnsi="宋体" w:cs="宋体"/>
                <w:color w:val="000000"/>
                <w:sz w:val="18"/>
                <w:szCs w:val="18"/>
              </w:rPr>
            </w:pPr>
            <w:bookmarkStart w:id="0" w:name="RANGE!A12"/>
            <w:r w:rsidRPr="008148F4">
              <w:rPr>
                <w:rFonts w:ascii="宋体" w:hAnsi="宋体" w:cs="宋体" w:hint="eastAsia"/>
                <w:color w:val="000000"/>
                <w:sz w:val="18"/>
                <w:szCs w:val="18"/>
              </w:rPr>
              <w:t>10</w:t>
            </w:r>
            <w:bookmarkEnd w:id="0"/>
          </w:p>
        </w:tc>
        <w:tc>
          <w:tcPr>
            <w:tcW w:w="44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创新指标</w:t>
            </w:r>
          </w:p>
        </w:tc>
        <w:tc>
          <w:tcPr>
            <w:tcW w:w="903" w:type="pct"/>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甲醛释放量</w:t>
            </w:r>
            <w:r w:rsidRPr="008148F4">
              <w:rPr>
                <w:rFonts w:ascii="宋体" w:hAnsi="宋体" w:cs="宋体" w:hint="eastAsia"/>
                <w:color w:val="000000"/>
                <w:sz w:val="18"/>
                <w:szCs w:val="18"/>
              </w:rPr>
              <w:t>/(mg/m</w:t>
            </w:r>
            <w:r w:rsidRPr="008148F4">
              <w:rPr>
                <w:rFonts w:ascii="宋体" w:hAnsi="宋体" w:cs="宋体" w:hint="eastAsia"/>
                <w:color w:val="000000"/>
                <w:sz w:val="18"/>
                <w:szCs w:val="18"/>
                <w:vertAlign w:val="superscript"/>
              </w:rPr>
              <w:t>3</w:t>
            </w:r>
            <w:r w:rsidRPr="008148F4">
              <w:rPr>
                <w:rFonts w:ascii="宋体" w:hAnsi="宋体" w:cs="宋体" w:hint="eastAsia"/>
                <w:color w:val="000000"/>
                <w:sz w:val="18"/>
                <w:szCs w:val="18"/>
              </w:rPr>
              <w:t>)</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GB18580-2017</w:t>
            </w:r>
            <w:r w:rsidRPr="008148F4">
              <w:rPr>
                <w:rFonts w:ascii="宋体" w:hAnsi="宋体" w:cs="宋体" w:hint="eastAsia"/>
                <w:color w:val="000000"/>
                <w:sz w:val="18"/>
                <w:szCs w:val="18"/>
              </w:rPr>
              <w:t>、</w:t>
            </w:r>
            <w:r w:rsidRPr="008148F4">
              <w:rPr>
                <w:rFonts w:ascii="宋体" w:hAnsi="宋体" w:cs="宋体" w:hint="eastAsia"/>
                <w:color w:val="000000"/>
                <w:sz w:val="18"/>
                <w:szCs w:val="18"/>
              </w:rPr>
              <w:t>GB/T 39600-2021</w:t>
            </w: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w:t>
            </w:r>
            <w:r w:rsidRPr="008148F4">
              <w:rPr>
                <w:rFonts w:ascii="宋体" w:hAnsi="宋体" w:cs="宋体" w:hint="eastAsia"/>
                <w:color w:val="000000"/>
                <w:sz w:val="18"/>
                <w:szCs w:val="18"/>
              </w:rPr>
              <w:t>0.025</w:t>
            </w:r>
          </w:p>
        </w:tc>
        <w:tc>
          <w:tcPr>
            <w:tcW w:w="881" w:type="pct"/>
            <w:gridSpan w:val="2"/>
            <w:tcBorders>
              <w:top w:val="single" w:sz="8" w:space="0" w:color="auto"/>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w:t>
            </w:r>
            <w:r w:rsidRPr="008148F4">
              <w:rPr>
                <w:rFonts w:ascii="宋体" w:hAnsi="宋体" w:cs="宋体" w:hint="eastAsia"/>
                <w:color w:val="000000"/>
                <w:sz w:val="18"/>
                <w:szCs w:val="18"/>
              </w:rPr>
              <w:t>0.05</w:t>
            </w:r>
          </w:p>
        </w:tc>
        <w:tc>
          <w:tcPr>
            <w:tcW w:w="465"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w:t>
            </w:r>
            <w:r w:rsidRPr="008148F4">
              <w:rPr>
                <w:rFonts w:ascii="宋体" w:hAnsi="宋体" w:cs="宋体" w:hint="eastAsia"/>
                <w:color w:val="000000"/>
                <w:sz w:val="18"/>
                <w:szCs w:val="18"/>
              </w:rPr>
              <w:t>0.124</w:t>
            </w:r>
          </w:p>
        </w:tc>
        <w:tc>
          <w:tcPr>
            <w:tcW w:w="683" w:type="pct"/>
            <w:tcBorders>
              <w:top w:val="nil"/>
              <w:left w:val="nil"/>
              <w:bottom w:val="single" w:sz="8" w:space="0" w:color="auto"/>
              <w:right w:val="single" w:sz="8" w:space="0" w:color="auto"/>
            </w:tcBorders>
            <w:shd w:val="clear" w:color="auto" w:fill="auto"/>
            <w:vAlign w:val="center"/>
            <w:hideMark/>
          </w:tcPr>
          <w:p w:rsidR="00557AED" w:rsidRPr="008148F4" w:rsidRDefault="00557AED" w:rsidP="00E5683C">
            <w:pPr>
              <w:adjustRightInd/>
              <w:jc w:val="center"/>
              <w:rPr>
                <w:rFonts w:ascii="宋体" w:hAnsi="宋体" w:cs="宋体"/>
                <w:color w:val="000000"/>
                <w:sz w:val="18"/>
                <w:szCs w:val="18"/>
              </w:rPr>
            </w:pPr>
            <w:r w:rsidRPr="008148F4">
              <w:rPr>
                <w:rFonts w:ascii="宋体" w:hAnsi="宋体" w:cs="宋体" w:hint="eastAsia"/>
                <w:color w:val="000000"/>
                <w:sz w:val="18"/>
                <w:szCs w:val="18"/>
              </w:rPr>
              <w:t>GB18580</w:t>
            </w:r>
            <w:r w:rsidRPr="008148F4">
              <w:rPr>
                <w:rFonts w:ascii="宋体" w:hAnsi="宋体" w:cs="宋体" w:hint="eastAsia"/>
                <w:color w:val="000000"/>
                <w:sz w:val="18"/>
                <w:szCs w:val="18"/>
              </w:rPr>
              <w:t>、</w:t>
            </w:r>
            <w:r w:rsidRPr="008148F4">
              <w:rPr>
                <w:rFonts w:ascii="宋体" w:hAnsi="宋体" w:cs="宋体" w:hint="eastAsia"/>
                <w:color w:val="000000"/>
                <w:sz w:val="18"/>
                <w:szCs w:val="18"/>
              </w:rPr>
              <w:t>GB/T 39600</w:t>
            </w:r>
          </w:p>
        </w:tc>
      </w:tr>
    </w:tbl>
    <w:p w:rsidR="00557AED" w:rsidRDefault="00557AED" w:rsidP="00557AED">
      <w:pPr>
        <w:pStyle w:val="af5"/>
        <w:ind w:firstLine="420"/>
      </w:pPr>
    </w:p>
    <w:p w:rsidR="00557AED" w:rsidRPr="00EB0C38" w:rsidRDefault="00FB6529" w:rsidP="003D2E93">
      <w:pPr>
        <w:pStyle w:val="af3"/>
        <w:rPr>
          <w:rFonts w:hint="default"/>
        </w:rPr>
      </w:pPr>
      <w:r>
        <w:t>表</w:t>
      </w:r>
      <w:r>
        <w:t>2</w:t>
      </w:r>
      <w:r w:rsidR="00557AED">
        <w:t xml:space="preserve"> </w:t>
      </w:r>
      <w:r w:rsidR="00557AED">
        <w:t>实木墙板和实木复合墙板</w:t>
      </w:r>
      <w:r w:rsidR="00557AED" w:rsidRPr="00BA569A">
        <w:t>评价指标体系框架</w:t>
      </w:r>
    </w:p>
    <w:tbl>
      <w:tblPr>
        <w:tblW w:w="5000" w:type="pct"/>
        <w:tblLayout w:type="fixed"/>
        <w:tblLook w:val="04A0" w:firstRow="1" w:lastRow="0" w:firstColumn="1" w:lastColumn="0" w:noHBand="0" w:noVBand="1"/>
      </w:tblPr>
      <w:tblGrid>
        <w:gridCol w:w="641"/>
        <w:gridCol w:w="602"/>
        <w:gridCol w:w="850"/>
        <w:gridCol w:w="1079"/>
        <w:gridCol w:w="1314"/>
        <w:gridCol w:w="680"/>
        <w:gridCol w:w="1364"/>
        <w:gridCol w:w="680"/>
        <w:gridCol w:w="1312"/>
      </w:tblGrid>
      <w:tr w:rsidR="00557AED" w:rsidRPr="00EB0C38" w:rsidTr="00FB6529">
        <w:trPr>
          <w:trHeight w:val="285"/>
        </w:trPr>
        <w:tc>
          <w:tcPr>
            <w:tcW w:w="37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序号</w:t>
            </w:r>
          </w:p>
        </w:tc>
        <w:tc>
          <w:tcPr>
            <w:tcW w:w="35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指标类型</w:t>
            </w:r>
          </w:p>
        </w:tc>
        <w:tc>
          <w:tcPr>
            <w:tcW w:w="1132" w:type="pct"/>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评价指标</w:t>
            </w:r>
          </w:p>
        </w:tc>
        <w:tc>
          <w:tcPr>
            <w:tcW w:w="77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指标来源</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指标水平分级</w:t>
            </w:r>
          </w:p>
        </w:tc>
        <w:tc>
          <w:tcPr>
            <w:tcW w:w="77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判定依据</w:t>
            </w:r>
            <w:r w:rsidRPr="00EB0C38">
              <w:rPr>
                <w:rFonts w:ascii="宋体" w:hAnsi="宋体" w:cs="宋体" w:hint="eastAsia"/>
                <w:color w:val="000000"/>
                <w:sz w:val="18"/>
                <w:szCs w:val="18"/>
              </w:rPr>
              <w:t>/</w:t>
            </w:r>
            <w:r w:rsidRPr="00EB0C38">
              <w:rPr>
                <w:rFonts w:ascii="宋体" w:hAnsi="宋体" w:cs="宋体" w:hint="eastAsia"/>
                <w:color w:val="000000"/>
                <w:sz w:val="18"/>
                <w:szCs w:val="18"/>
              </w:rPr>
              <w:t>方法</w:t>
            </w:r>
          </w:p>
        </w:tc>
      </w:tr>
      <w:tr w:rsidR="00557AED" w:rsidRPr="00EB0C38" w:rsidTr="00FB6529">
        <w:trPr>
          <w:trHeight w:val="285"/>
        </w:trPr>
        <w:tc>
          <w:tcPr>
            <w:tcW w:w="376"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1132" w:type="pct"/>
            <w:gridSpan w:val="2"/>
            <w:vMerge/>
            <w:tcBorders>
              <w:top w:val="single" w:sz="8" w:space="0" w:color="auto"/>
              <w:left w:val="single" w:sz="8" w:space="0" w:color="auto"/>
              <w:bottom w:val="single" w:sz="8" w:space="0" w:color="auto"/>
              <w:right w:val="single" w:sz="8" w:space="0" w:color="000000"/>
            </w:tcBorders>
            <w:vAlign w:val="center"/>
            <w:hideMark/>
          </w:tcPr>
          <w:p w:rsidR="00557AED" w:rsidRPr="00EB0C38" w:rsidRDefault="00557AED" w:rsidP="00E5683C">
            <w:pPr>
              <w:adjustRightInd/>
              <w:rPr>
                <w:rFonts w:ascii="宋体" w:hAnsi="宋体" w:cs="宋体"/>
                <w:color w:val="000000"/>
                <w:sz w:val="18"/>
                <w:szCs w:val="18"/>
              </w:rPr>
            </w:pPr>
          </w:p>
        </w:tc>
        <w:tc>
          <w:tcPr>
            <w:tcW w:w="771"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先进水平</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平均水平</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基准水平</w:t>
            </w:r>
          </w:p>
        </w:tc>
        <w:tc>
          <w:tcPr>
            <w:tcW w:w="770"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1</w:t>
            </w:r>
          </w:p>
        </w:tc>
        <w:tc>
          <w:tcPr>
            <w:tcW w:w="35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基础指标</w:t>
            </w: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外观质量</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符合</w:t>
            </w:r>
            <w:r w:rsidRPr="00EB0C38">
              <w:rPr>
                <w:rFonts w:ascii="宋体" w:hAnsi="宋体" w:cs="宋体" w:hint="eastAsia"/>
                <w:color w:val="000000"/>
                <w:sz w:val="18"/>
                <w:szCs w:val="18"/>
              </w:rPr>
              <w:t xml:space="preserve"> LY/T 1697-2017</w:t>
            </w:r>
            <w:r w:rsidRPr="00EB0C38">
              <w:rPr>
                <w:rFonts w:ascii="宋体" w:hAnsi="宋体" w:cs="宋体" w:hint="eastAsia"/>
                <w:color w:val="000000"/>
                <w:sz w:val="18"/>
                <w:szCs w:val="18"/>
              </w:rPr>
              <w:t>中</w:t>
            </w:r>
            <w:r w:rsidRPr="00EB0C38">
              <w:rPr>
                <w:rFonts w:ascii="宋体" w:hAnsi="宋体" w:cs="宋体" w:hint="eastAsia"/>
                <w:color w:val="000000"/>
                <w:sz w:val="18"/>
                <w:szCs w:val="18"/>
              </w:rPr>
              <w:t>5.1</w:t>
            </w:r>
            <w:r w:rsidRPr="00EB0C38">
              <w:rPr>
                <w:rFonts w:ascii="宋体" w:hAnsi="宋体" w:cs="宋体" w:hint="eastAsia"/>
                <w:color w:val="000000"/>
                <w:sz w:val="18"/>
                <w:szCs w:val="18"/>
              </w:rPr>
              <w:t>的要求</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r w:rsidRPr="00EB0C38">
              <w:rPr>
                <w:rFonts w:ascii="宋体" w:hAnsi="宋体" w:cs="宋体" w:hint="eastAsia"/>
                <w:color w:val="000000"/>
                <w:sz w:val="18"/>
                <w:szCs w:val="18"/>
              </w:rPr>
              <w:t>中</w:t>
            </w:r>
            <w:r w:rsidRPr="00EB0C38">
              <w:rPr>
                <w:rFonts w:ascii="宋体" w:hAnsi="宋体" w:cs="宋体" w:hint="eastAsia"/>
                <w:color w:val="000000"/>
                <w:sz w:val="18"/>
                <w:szCs w:val="18"/>
              </w:rPr>
              <w:t>5.1</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2</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规格尺寸及偏差</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符合</w:t>
            </w:r>
            <w:r w:rsidRPr="00EB0C38">
              <w:rPr>
                <w:rFonts w:ascii="宋体" w:hAnsi="宋体" w:cs="宋体" w:hint="eastAsia"/>
                <w:color w:val="000000"/>
                <w:sz w:val="18"/>
                <w:szCs w:val="18"/>
              </w:rPr>
              <w:t xml:space="preserve"> LY/T 1697-2017</w:t>
            </w:r>
            <w:r w:rsidRPr="00EB0C38">
              <w:rPr>
                <w:rFonts w:ascii="宋体" w:hAnsi="宋体" w:cs="宋体" w:hint="eastAsia"/>
                <w:color w:val="000000"/>
                <w:sz w:val="18"/>
                <w:szCs w:val="18"/>
              </w:rPr>
              <w:t>中</w:t>
            </w:r>
            <w:r w:rsidRPr="00EB0C38">
              <w:rPr>
                <w:rFonts w:ascii="宋体" w:hAnsi="宋体" w:cs="宋体" w:hint="eastAsia"/>
                <w:color w:val="000000"/>
                <w:sz w:val="18"/>
                <w:szCs w:val="18"/>
              </w:rPr>
              <w:t>5.2</w:t>
            </w:r>
            <w:r w:rsidRPr="00EB0C38">
              <w:rPr>
                <w:rFonts w:ascii="宋体" w:hAnsi="宋体" w:cs="宋体" w:hint="eastAsia"/>
                <w:color w:val="000000"/>
                <w:sz w:val="18"/>
                <w:szCs w:val="18"/>
              </w:rPr>
              <w:t>的要求</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 xml:space="preserve"> LY/T 1697-2017</w:t>
            </w:r>
            <w:r w:rsidRPr="00EB0C38">
              <w:rPr>
                <w:rFonts w:ascii="宋体" w:hAnsi="宋体" w:cs="宋体" w:hint="eastAsia"/>
                <w:color w:val="000000"/>
                <w:sz w:val="18"/>
                <w:szCs w:val="18"/>
              </w:rPr>
              <w:t>中</w:t>
            </w:r>
            <w:r w:rsidRPr="00EB0C38">
              <w:rPr>
                <w:rFonts w:ascii="宋体" w:hAnsi="宋体" w:cs="宋体" w:hint="eastAsia"/>
                <w:color w:val="000000"/>
                <w:sz w:val="18"/>
                <w:szCs w:val="18"/>
              </w:rPr>
              <w:t>5.2</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lastRenderedPageBreak/>
              <w:t>3</w:t>
            </w:r>
          </w:p>
        </w:tc>
        <w:tc>
          <w:tcPr>
            <w:tcW w:w="35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rPr>
                <w:rFonts w:ascii="宋体" w:hAnsi="宋体" w:cs="宋体"/>
                <w:color w:val="000000"/>
                <w:sz w:val="18"/>
                <w:szCs w:val="18"/>
              </w:rPr>
            </w:pP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含水率</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6</w:t>
            </w:r>
            <w:r w:rsidRPr="00EB0C38">
              <w:rPr>
                <w:rFonts w:ascii="宋体" w:hAnsi="宋体" w:cs="宋体" w:hint="eastAsia"/>
                <w:color w:val="000000"/>
                <w:sz w:val="18"/>
                <w:szCs w:val="18"/>
              </w:rPr>
              <w:t>～</w:t>
            </w:r>
            <w:r w:rsidRPr="00EB0C38">
              <w:rPr>
                <w:rFonts w:ascii="宋体" w:hAnsi="宋体" w:cs="宋体" w:hint="eastAsia"/>
                <w:color w:val="000000"/>
                <w:sz w:val="18"/>
                <w:szCs w:val="18"/>
              </w:rPr>
              <w:t>16</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GB/T 17657</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4</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浸渍剥离</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任一边的任一胶层开胶的累计长度不超过该胶层长度的</w:t>
            </w:r>
            <w:r w:rsidRPr="00EB0C38">
              <w:rPr>
                <w:rFonts w:ascii="宋体" w:hAnsi="宋体" w:cs="宋体" w:hint="eastAsia"/>
                <w:color w:val="000000"/>
                <w:sz w:val="18"/>
                <w:szCs w:val="18"/>
              </w:rPr>
              <w:t>1/3</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 xml:space="preserve">GB/T17657-2013 </w:t>
            </w:r>
            <w:r w:rsidRPr="00EB0C38">
              <w:rPr>
                <w:rFonts w:ascii="宋体" w:hAnsi="宋体" w:cs="宋体" w:hint="eastAsia"/>
                <w:color w:val="000000"/>
                <w:sz w:val="18"/>
                <w:szCs w:val="18"/>
              </w:rPr>
              <w:t>中</w:t>
            </w:r>
            <w:r w:rsidRPr="00EB0C38">
              <w:rPr>
                <w:rFonts w:ascii="宋体" w:hAnsi="宋体" w:cs="宋体" w:hint="eastAsia"/>
                <w:color w:val="000000"/>
                <w:sz w:val="18"/>
                <w:szCs w:val="18"/>
              </w:rPr>
              <w:t>4.19</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5</w:t>
            </w:r>
          </w:p>
        </w:tc>
        <w:tc>
          <w:tcPr>
            <w:tcW w:w="35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7AED" w:rsidRPr="00EB0C38" w:rsidRDefault="00557AED" w:rsidP="00E5683C">
            <w:pPr>
              <w:adjustRightInd/>
              <w:jc w:val="center"/>
              <w:rPr>
                <w:rFonts w:ascii="宋体" w:hAnsi="宋体" w:cs="宋体"/>
                <w:color w:val="000000"/>
              </w:rPr>
            </w:pPr>
            <w:r w:rsidRPr="00EB0C38">
              <w:rPr>
                <w:rFonts w:ascii="宋体" w:hAnsi="宋体" w:cs="宋体" w:hint="eastAsia"/>
                <w:color w:val="000000"/>
              </w:rPr>
              <w:t>核心指标</w:t>
            </w: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漆膜附着力</w:t>
            </w:r>
            <w:r w:rsidRPr="00EB0C38">
              <w:rPr>
                <w:rFonts w:ascii="宋体" w:hAnsi="宋体" w:cs="宋体" w:hint="eastAsia"/>
                <w:color w:val="000000"/>
                <w:sz w:val="18"/>
                <w:szCs w:val="18"/>
              </w:rPr>
              <w:t>/</w:t>
            </w:r>
            <w:r w:rsidRPr="00EB0C38">
              <w:rPr>
                <w:rFonts w:ascii="宋体" w:hAnsi="宋体" w:cs="宋体" w:hint="eastAsia"/>
                <w:color w:val="000000"/>
                <w:sz w:val="18"/>
                <w:szCs w:val="18"/>
              </w:rPr>
              <w:t>级</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0</w:t>
            </w:r>
          </w:p>
        </w:tc>
        <w:tc>
          <w:tcPr>
            <w:tcW w:w="1199"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1</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 xml:space="preserve">GB/T17657-2013 </w:t>
            </w:r>
            <w:r w:rsidRPr="00EB0C38">
              <w:rPr>
                <w:rFonts w:ascii="宋体" w:hAnsi="宋体" w:cs="宋体" w:hint="eastAsia"/>
                <w:color w:val="000000"/>
                <w:sz w:val="18"/>
                <w:szCs w:val="18"/>
              </w:rPr>
              <w:t>中</w:t>
            </w:r>
            <w:r w:rsidRPr="00EB0C38">
              <w:rPr>
                <w:rFonts w:ascii="宋体" w:hAnsi="宋体" w:cs="宋体" w:hint="eastAsia"/>
                <w:color w:val="000000"/>
                <w:sz w:val="18"/>
                <w:szCs w:val="18"/>
              </w:rPr>
              <w:t>4.41</w:t>
            </w:r>
          </w:p>
        </w:tc>
      </w:tr>
      <w:tr w:rsidR="00557AED" w:rsidRPr="00EB0C38" w:rsidTr="00FB6529">
        <w:trPr>
          <w:trHeight w:val="783"/>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6</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rPr>
            </w:pP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漆膜硬度</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H</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HB</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2B</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 xml:space="preserve">GB/T17657-2013 </w:t>
            </w:r>
            <w:r w:rsidRPr="00EB0C38">
              <w:rPr>
                <w:rFonts w:ascii="宋体" w:hAnsi="宋体" w:cs="宋体" w:hint="eastAsia"/>
                <w:color w:val="000000"/>
                <w:sz w:val="18"/>
                <w:szCs w:val="18"/>
              </w:rPr>
              <w:t>中</w:t>
            </w:r>
            <w:r w:rsidRPr="00EB0C38">
              <w:rPr>
                <w:rFonts w:ascii="宋体" w:hAnsi="宋体" w:cs="宋体" w:hint="eastAsia"/>
                <w:color w:val="000000"/>
                <w:sz w:val="18"/>
                <w:szCs w:val="18"/>
              </w:rPr>
              <w:t>4.57</w:t>
            </w:r>
          </w:p>
        </w:tc>
      </w:tr>
      <w:tr w:rsidR="00557AED" w:rsidRPr="00EB0C38" w:rsidTr="00FB6529">
        <w:trPr>
          <w:trHeight w:val="733"/>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7</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rPr>
            </w:pP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表面耐污染</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LY/T 1697-2017</w:t>
            </w:r>
          </w:p>
        </w:tc>
        <w:tc>
          <w:tcPr>
            <w:tcW w:w="1199"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5</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4</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GB/T17657</w:t>
            </w:r>
          </w:p>
        </w:tc>
      </w:tr>
      <w:tr w:rsidR="00557AED" w:rsidRPr="00EB0C38" w:rsidTr="00FB6529">
        <w:trPr>
          <w:trHeight w:val="690"/>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8</w:t>
            </w:r>
          </w:p>
        </w:tc>
        <w:tc>
          <w:tcPr>
            <w:tcW w:w="35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创新指标</w:t>
            </w:r>
          </w:p>
        </w:tc>
        <w:tc>
          <w:tcPr>
            <w:tcW w:w="1132" w:type="pct"/>
            <w:gridSpan w:val="2"/>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甲醛释放量</w:t>
            </w:r>
            <w:r w:rsidRPr="00EB0C38">
              <w:rPr>
                <w:rFonts w:ascii="宋体" w:hAnsi="宋体" w:cs="宋体" w:hint="eastAsia"/>
                <w:color w:val="000000"/>
                <w:sz w:val="18"/>
                <w:szCs w:val="18"/>
              </w:rPr>
              <w:t>/(mg/m</w:t>
            </w:r>
            <w:r w:rsidRPr="00EB0C38">
              <w:rPr>
                <w:rFonts w:ascii="宋体" w:hAnsi="宋体" w:cs="宋体" w:hint="eastAsia"/>
                <w:color w:val="000000"/>
                <w:sz w:val="18"/>
                <w:szCs w:val="18"/>
                <w:vertAlign w:val="superscript"/>
              </w:rPr>
              <w:t>3</w:t>
            </w:r>
            <w:r w:rsidRPr="00EB0C38">
              <w:rPr>
                <w:rFonts w:ascii="宋体" w:hAnsi="宋体" w:cs="宋体" w:hint="eastAsia"/>
                <w:color w:val="000000"/>
                <w:sz w:val="18"/>
                <w:szCs w:val="18"/>
              </w:rPr>
              <w:t>)</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GB18580-2017</w:t>
            </w:r>
            <w:r w:rsidRPr="00EB0C38">
              <w:rPr>
                <w:rFonts w:ascii="宋体" w:hAnsi="宋体" w:cs="宋体" w:hint="eastAsia"/>
                <w:color w:val="000000"/>
                <w:sz w:val="18"/>
                <w:szCs w:val="18"/>
              </w:rPr>
              <w:t>、</w:t>
            </w:r>
            <w:r w:rsidRPr="00EB0C38">
              <w:rPr>
                <w:rFonts w:ascii="宋体" w:hAnsi="宋体" w:cs="宋体" w:hint="eastAsia"/>
                <w:color w:val="000000"/>
                <w:sz w:val="18"/>
                <w:szCs w:val="18"/>
              </w:rPr>
              <w:t>GB/T 39600-2021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0.025</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0.05</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0.124</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GB18580</w:t>
            </w:r>
            <w:r w:rsidRPr="00EB0C38">
              <w:rPr>
                <w:rFonts w:ascii="宋体" w:hAnsi="宋体" w:cs="宋体" w:hint="eastAsia"/>
                <w:color w:val="000000"/>
                <w:sz w:val="18"/>
                <w:szCs w:val="18"/>
              </w:rPr>
              <w:t>、</w:t>
            </w:r>
            <w:r w:rsidRPr="00EB0C38">
              <w:rPr>
                <w:rFonts w:ascii="宋体" w:hAnsi="宋体" w:cs="宋体" w:hint="eastAsia"/>
                <w:color w:val="000000"/>
                <w:sz w:val="18"/>
                <w:szCs w:val="18"/>
              </w:rPr>
              <w:t>GB/T 39600</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9</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49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重金属</w:t>
            </w:r>
            <w:r w:rsidRPr="00EB0C38">
              <w:rPr>
                <w:rFonts w:ascii="宋体" w:hAnsi="宋体" w:cs="宋体" w:hint="eastAsia"/>
                <w:color w:val="000000"/>
                <w:sz w:val="18"/>
                <w:szCs w:val="18"/>
              </w:rPr>
              <w:t>/</w:t>
            </w:r>
            <w:r w:rsidRPr="00EB0C38">
              <w:rPr>
                <w:rFonts w:ascii="宋体" w:hAnsi="宋体" w:cs="宋体" w:hint="eastAsia"/>
                <w:color w:val="000000"/>
                <w:sz w:val="18"/>
                <w:szCs w:val="18"/>
              </w:rPr>
              <w:t>（</w:t>
            </w:r>
            <w:r w:rsidRPr="00EB0C38">
              <w:rPr>
                <w:rFonts w:ascii="宋体" w:hAnsi="宋体" w:cs="宋体" w:hint="eastAsia"/>
                <w:color w:val="000000"/>
                <w:sz w:val="18"/>
                <w:szCs w:val="18"/>
              </w:rPr>
              <w:t>mg/kg</w:t>
            </w:r>
            <w:r w:rsidRPr="00EB0C38">
              <w:rPr>
                <w:rFonts w:ascii="宋体" w:hAnsi="宋体" w:cs="宋体" w:hint="eastAsia"/>
                <w:color w:val="000000"/>
                <w:sz w:val="18"/>
                <w:szCs w:val="18"/>
              </w:rPr>
              <w:t>）</w:t>
            </w:r>
          </w:p>
        </w:tc>
        <w:tc>
          <w:tcPr>
            <w:tcW w:w="633"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可溶性铅</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30</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60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90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10</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499"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633"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可溶性镉</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20</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50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75</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11</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499"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633"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可溶性铬</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25</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40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60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w:t>
            </w:r>
          </w:p>
        </w:tc>
      </w:tr>
      <w:tr w:rsidR="00557AED" w:rsidRPr="00EB0C38" w:rsidTr="00FB6529">
        <w:trPr>
          <w:trHeight w:val="465"/>
        </w:trPr>
        <w:tc>
          <w:tcPr>
            <w:tcW w:w="3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12</w:t>
            </w:r>
          </w:p>
        </w:tc>
        <w:tc>
          <w:tcPr>
            <w:tcW w:w="353"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499" w:type="pct"/>
            <w:vMerge/>
            <w:tcBorders>
              <w:top w:val="single" w:sz="8" w:space="0" w:color="auto"/>
              <w:left w:val="single" w:sz="8" w:space="0" w:color="auto"/>
              <w:bottom w:val="single" w:sz="8" w:space="0" w:color="auto"/>
              <w:right w:val="single" w:sz="8" w:space="0" w:color="auto"/>
            </w:tcBorders>
            <w:vAlign w:val="center"/>
            <w:hideMark/>
          </w:tcPr>
          <w:p w:rsidR="00557AED" w:rsidRPr="00EB0C38" w:rsidRDefault="00557AED" w:rsidP="00E5683C">
            <w:pPr>
              <w:adjustRightInd/>
              <w:rPr>
                <w:rFonts w:ascii="宋体" w:hAnsi="宋体" w:cs="宋体"/>
                <w:color w:val="000000"/>
                <w:sz w:val="18"/>
                <w:szCs w:val="18"/>
              </w:rPr>
            </w:pPr>
          </w:p>
        </w:tc>
        <w:tc>
          <w:tcPr>
            <w:tcW w:w="633"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可溶性汞</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25</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40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w:t>
            </w:r>
            <w:r w:rsidRPr="00EB0C38">
              <w:rPr>
                <w:rFonts w:ascii="宋体" w:hAnsi="宋体" w:cs="宋体" w:hint="eastAsia"/>
                <w:color w:val="000000"/>
                <w:sz w:val="18"/>
                <w:szCs w:val="18"/>
              </w:rPr>
              <w:t>60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rsidR="00557AED" w:rsidRPr="00EB0C38" w:rsidRDefault="00557AED" w:rsidP="00E5683C">
            <w:pPr>
              <w:adjustRightInd/>
              <w:jc w:val="center"/>
              <w:rPr>
                <w:rFonts w:ascii="宋体" w:hAnsi="宋体" w:cs="宋体"/>
                <w:color w:val="000000"/>
                <w:sz w:val="18"/>
                <w:szCs w:val="18"/>
              </w:rPr>
            </w:pPr>
            <w:r w:rsidRPr="00EB0C38">
              <w:rPr>
                <w:rFonts w:ascii="宋体" w:hAnsi="宋体" w:cs="宋体" w:hint="eastAsia"/>
                <w:color w:val="000000"/>
                <w:sz w:val="18"/>
                <w:szCs w:val="18"/>
              </w:rPr>
              <w:t>GB 18584</w:t>
            </w:r>
          </w:p>
        </w:tc>
      </w:tr>
      <w:tr w:rsidR="00557AED" w:rsidRPr="00EB0C38" w:rsidTr="00E5683C">
        <w:trPr>
          <w:trHeight w:val="46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rsidR="00557AED" w:rsidRPr="00EB0C38" w:rsidRDefault="00557AED" w:rsidP="00E5683C">
            <w:pPr>
              <w:adjustRightInd/>
              <w:rPr>
                <w:rFonts w:ascii="宋体" w:hAnsi="宋体" w:cs="宋体"/>
                <w:color w:val="000000"/>
                <w:sz w:val="18"/>
                <w:szCs w:val="18"/>
              </w:rPr>
            </w:pPr>
            <w:r>
              <w:rPr>
                <w:rFonts w:ascii="宋体" w:hAnsi="宋体" w:cs="宋体" w:hint="eastAsia"/>
                <w:color w:val="000000"/>
                <w:sz w:val="18"/>
                <w:szCs w:val="18"/>
              </w:rPr>
              <w:t>注：油饰、未涂饰的实木墙板和实木复合墙板不测漆膜硬度、漆膜附着力和表面耐污染。</w:t>
            </w:r>
          </w:p>
        </w:tc>
      </w:tr>
    </w:tbl>
    <w:p w:rsidR="00904B3F" w:rsidRPr="00557AED" w:rsidRDefault="00904B3F"/>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饰面木质墙板企业标准排行榜。达到一级要求的企业标准且按照有关要求进行自我声明公开后，其标准和符合标准的产品可以直接进入饰面木质墙板企业标准“领跑者”候选名单。</w:t>
      </w:r>
    </w:p>
    <w:p w:rsidR="00904B3F" w:rsidRDefault="00904B3F" w:rsidP="00F04EE9">
      <w:pPr>
        <w:adjustRightInd/>
        <w:snapToGrid/>
        <w:spacing w:after="0" w:line="360" w:lineRule="auto"/>
        <w:jc w:val="both"/>
        <w:rPr>
          <w:rFonts w:ascii="仿宋_GB2312" w:eastAsia="仿宋_GB2312" w:hAnsi="Times New Roman" w:cs="Times New Roman"/>
          <w:sz w:val="24"/>
          <w:szCs w:val="24"/>
        </w:rPr>
      </w:pPr>
    </w:p>
    <w:p w:rsidR="00FB6529" w:rsidRDefault="00FB6529" w:rsidP="00F04EE9">
      <w:pPr>
        <w:adjustRightInd/>
        <w:snapToGrid/>
        <w:spacing w:after="0" w:line="360" w:lineRule="auto"/>
        <w:jc w:val="both"/>
        <w:rPr>
          <w:rFonts w:ascii="仿宋_GB2312" w:eastAsia="仿宋_GB2312" w:hAnsi="Times New Roman" w:cs="Times New Roman"/>
          <w:sz w:val="24"/>
          <w:szCs w:val="24"/>
        </w:rPr>
      </w:pPr>
    </w:p>
    <w:p w:rsidR="00FB6529" w:rsidRDefault="00FB6529" w:rsidP="00F04EE9">
      <w:pPr>
        <w:adjustRightInd/>
        <w:snapToGrid/>
        <w:spacing w:after="0" w:line="360" w:lineRule="auto"/>
        <w:jc w:val="both"/>
        <w:rPr>
          <w:rFonts w:ascii="仿宋_GB2312" w:eastAsia="仿宋_GB2312" w:hAnsi="Times New Roman" w:cs="Times New Roman"/>
          <w:sz w:val="24"/>
          <w:szCs w:val="24"/>
        </w:rPr>
      </w:pPr>
    </w:p>
    <w:p w:rsidR="00904B3F" w:rsidRDefault="001A3DD3" w:rsidP="003D2E93">
      <w:pPr>
        <w:pStyle w:val="af3"/>
        <w:rPr>
          <w:rFonts w:hint="default"/>
        </w:rPr>
      </w:pPr>
      <w:r>
        <w:t>指标评价要求及等级划分</w:t>
      </w:r>
    </w:p>
    <w:tbl>
      <w:tblPr>
        <w:tblStyle w:val="af0"/>
        <w:tblW w:w="5000" w:type="pct"/>
        <w:jc w:val="center"/>
        <w:tblCellMar>
          <w:left w:w="0" w:type="dxa"/>
          <w:right w:w="0" w:type="dxa"/>
        </w:tblCellMar>
        <w:tblLook w:val="04A0" w:firstRow="1" w:lastRow="0" w:firstColumn="1" w:lastColumn="0" w:noHBand="0" w:noVBand="1"/>
      </w:tblPr>
      <w:tblGrid>
        <w:gridCol w:w="1716"/>
        <w:gridCol w:w="983"/>
        <w:gridCol w:w="1467"/>
        <w:gridCol w:w="2435"/>
        <w:gridCol w:w="1715"/>
      </w:tblGrid>
      <w:tr w:rsidR="00904B3F">
        <w:trPr>
          <w:trHeight w:val="376"/>
          <w:tblHeader/>
          <w:jc w:val="center"/>
        </w:trPr>
        <w:tc>
          <w:tcPr>
            <w:tcW w:w="103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评价等级</w:t>
            </w:r>
          </w:p>
        </w:tc>
        <w:tc>
          <w:tcPr>
            <w:tcW w:w="3968" w:type="pct"/>
            <w:gridSpan w:val="4"/>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满足条件</w:t>
            </w:r>
          </w:p>
        </w:tc>
      </w:tr>
      <w:tr w:rsidR="00904B3F">
        <w:trPr>
          <w:trHeight w:val="567"/>
          <w:jc w:val="center"/>
        </w:trPr>
        <w:tc>
          <w:tcPr>
            <w:tcW w:w="103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lastRenderedPageBreak/>
              <w:t>一级应同时满足</w:t>
            </w:r>
          </w:p>
        </w:tc>
        <w:tc>
          <w:tcPr>
            <w:tcW w:w="591"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基本要求</w:t>
            </w:r>
          </w:p>
        </w:tc>
        <w:tc>
          <w:tcPr>
            <w:tcW w:w="88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基础指标要求</w:t>
            </w:r>
          </w:p>
        </w:tc>
        <w:tc>
          <w:tcPr>
            <w:tcW w:w="1464"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核心指标先进水平要求</w:t>
            </w:r>
          </w:p>
        </w:tc>
        <w:tc>
          <w:tcPr>
            <w:tcW w:w="1031"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创新指标达到先进水平要求</w:t>
            </w:r>
          </w:p>
        </w:tc>
      </w:tr>
      <w:tr w:rsidR="00904B3F">
        <w:trPr>
          <w:trHeight w:val="567"/>
          <w:jc w:val="center"/>
        </w:trPr>
        <w:tc>
          <w:tcPr>
            <w:tcW w:w="103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二级应同时满足</w:t>
            </w:r>
          </w:p>
        </w:tc>
        <w:tc>
          <w:tcPr>
            <w:tcW w:w="591"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基本要求</w:t>
            </w:r>
          </w:p>
        </w:tc>
        <w:tc>
          <w:tcPr>
            <w:tcW w:w="88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基础指标要求</w:t>
            </w:r>
          </w:p>
        </w:tc>
        <w:tc>
          <w:tcPr>
            <w:tcW w:w="1464"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核心指标平均水平要求</w:t>
            </w:r>
          </w:p>
        </w:tc>
        <w:tc>
          <w:tcPr>
            <w:tcW w:w="1031"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创新指标达到平均水平要求</w:t>
            </w:r>
          </w:p>
        </w:tc>
      </w:tr>
      <w:tr w:rsidR="00904B3F">
        <w:trPr>
          <w:trHeight w:val="567"/>
          <w:jc w:val="center"/>
        </w:trPr>
        <w:tc>
          <w:tcPr>
            <w:tcW w:w="103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三级应同时满足</w:t>
            </w:r>
          </w:p>
        </w:tc>
        <w:tc>
          <w:tcPr>
            <w:tcW w:w="591"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基本要求</w:t>
            </w:r>
          </w:p>
        </w:tc>
        <w:tc>
          <w:tcPr>
            <w:tcW w:w="882"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基础指标要求</w:t>
            </w:r>
          </w:p>
        </w:tc>
        <w:tc>
          <w:tcPr>
            <w:tcW w:w="1464"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核心指标基准水平要求</w:t>
            </w:r>
          </w:p>
        </w:tc>
        <w:tc>
          <w:tcPr>
            <w:tcW w:w="1031" w:type="pct"/>
            <w:shd w:val="clear" w:color="auto" w:fill="auto"/>
            <w:vAlign w:val="center"/>
          </w:tcPr>
          <w:p w:rsidR="00904B3F" w:rsidRDefault="001A3DD3">
            <w:pPr>
              <w:pStyle w:val="af3"/>
              <w:widowControl w:val="0"/>
              <w:rPr>
                <w:rFonts w:eastAsia="宋体" w:hAnsi="宋体" w:cs="宋体" w:hint="default"/>
                <w:szCs w:val="18"/>
              </w:rPr>
            </w:pPr>
            <w:r>
              <w:rPr>
                <w:rFonts w:eastAsia="宋体" w:hAnsi="宋体" w:cs="宋体"/>
                <w:szCs w:val="18"/>
              </w:rPr>
              <w:t>创新指标达到基准水平要求</w:t>
            </w:r>
          </w:p>
        </w:tc>
      </w:tr>
    </w:tbl>
    <w:p w:rsidR="00904B3F" w:rsidRDefault="00904B3F">
      <w:pPr>
        <w:rPr>
          <w:rFonts w:ascii="Times New Roman" w:eastAsia="仿宋_GB2312" w:hAnsi="Times New Roman" w:cs="Times New Roman"/>
          <w:b/>
          <w:sz w:val="32"/>
          <w:szCs w:val="32"/>
        </w:rPr>
      </w:pPr>
    </w:p>
    <w:p w:rsidR="00904B3F" w:rsidRDefault="001A3DD3">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目前没有相关的饰面木质墙板相关的质量分级及领跑者团标。目前已有的相关标准包括：</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1、JC/T 2671-2022室内装饰用木质护墙板</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2、LY/T 1697-2017饰面木质墙板</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3、T/ZZB3603-2023室内定制饰面木质墙板</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4、GB 18580-2017室内装饰装修材料人造板及其制品中甲醛释放限量</w:t>
      </w:r>
    </w:p>
    <w:p w:rsidR="00904B3F" w:rsidRDefault="001A3DD3">
      <w:pPr>
        <w:adjustRightInd/>
        <w:snapToGrid/>
        <w:spacing w:after="0" w:line="360" w:lineRule="auto"/>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5、GB 18584—2001室内装饰装修材料木家具中有害物质限量</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与上述标准相比，本标准根据TCAS 700-2023 TCSTE 0321—2023 《质量分级及“领跑者”评价标准编制通则》规定了“领跑者”标准评价要求 饰面木质墙板的评价指标体系（包括基本要求、评价指标分类、评价指标体系框架）和评价方法及等级划分等内容。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在指标对比情况方面，本次拟制定的“领跑者”标准评价要求 饰面木质墙板团体标准将在JC/T 2671-2022室内装饰用木质护墙板、LY/T 1697-2017饰面木质墙板的要求上，结合T/ZZB 3603-2023室内定制饰面木质墙板、GB 18580-2017室内装饰装修材料 人造板及其制品中甲醛释放限量、GB 18584—2001 室内装饰装修材料 木家具中有害物质限量以“质量分级”的相关要求，将指标划分为基础指标、核心指标、创新性指标并针对核心指标提出更加严格的要求，针对创新性指标做出新的规定，见表1评价指标体系。</w:t>
      </w:r>
    </w:p>
    <w:p w:rsidR="00904B3F" w:rsidRDefault="001A3DD3">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本标准与相关法律、法规、规章、强制性标准无冲突，不存在标准低于相关国标、行标和地标等推荐性标准的情况。</w:t>
      </w:r>
    </w:p>
    <w:p w:rsidR="00904B3F" w:rsidRDefault="001A3DD3">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标准实施建议</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rsidR="00904B3F" w:rsidRDefault="001A3DD3">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rsidR="00904B3F" w:rsidRDefault="001A3DD3">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rsidR="00904B3F" w:rsidRDefault="001A3DD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sectPr w:rsidR="00904B3F" w:rsidSect="00904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C87" w:rsidRDefault="00162C87" w:rsidP="00904B3F">
      <w:pPr>
        <w:spacing w:after="0"/>
      </w:pPr>
      <w:r>
        <w:separator/>
      </w:r>
    </w:p>
  </w:endnote>
  <w:endnote w:type="continuationSeparator" w:id="0">
    <w:p w:rsidR="00162C87" w:rsidRDefault="00162C87" w:rsidP="00904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C87" w:rsidRDefault="00162C87">
      <w:pPr>
        <w:spacing w:after="0"/>
      </w:pPr>
      <w:r>
        <w:separator/>
      </w:r>
    </w:p>
  </w:footnote>
  <w:footnote w:type="continuationSeparator" w:id="0">
    <w:p w:rsidR="00162C87" w:rsidRDefault="00162C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57B1"/>
    <w:multiLevelType w:val="multilevel"/>
    <w:tmpl w:val="150B57B1"/>
    <w:lvl w:ilvl="0">
      <w:start w:val="1"/>
      <w:numFmt w:val="decimal"/>
      <w:pStyle w:val="a"/>
      <w:suff w:val="nothing"/>
      <w:lvlText w:val="表%1　"/>
      <w:lvlJc w:val="left"/>
      <w:pPr>
        <w:ind w:left="6947" w:firstLine="0"/>
      </w:pPr>
    </w:lvl>
    <w:lvl w:ilvl="1">
      <w:start w:val="1"/>
      <w:numFmt w:val="decimal"/>
      <w:lvlText w:val="%1.%2"/>
      <w:lvlJc w:val="left"/>
      <w:pPr>
        <w:tabs>
          <w:tab w:val="left" w:pos="7939"/>
        </w:tabs>
        <w:ind w:left="7939" w:hanging="567"/>
      </w:pPr>
    </w:lvl>
    <w:lvl w:ilvl="2">
      <w:start w:val="1"/>
      <w:numFmt w:val="decimal"/>
      <w:lvlText w:val="%1.%2.%3"/>
      <w:lvlJc w:val="left"/>
      <w:pPr>
        <w:tabs>
          <w:tab w:val="left" w:pos="8364"/>
        </w:tabs>
        <w:ind w:left="8364" w:hanging="567"/>
      </w:pPr>
    </w:lvl>
    <w:lvl w:ilvl="3">
      <w:start w:val="1"/>
      <w:numFmt w:val="decimal"/>
      <w:lvlText w:val="%1.%2.%3.%4"/>
      <w:lvlJc w:val="left"/>
      <w:pPr>
        <w:tabs>
          <w:tab w:val="left" w:pos="8931"/>
        </w:tabs>
        <w:ind w:left="8931" w:hanging="708"/>
      </w:pPr>
    </w:lvl>
    <w:lvl w:ilvl="4">
      <w:start w:val="1"/>
      <w:numFmt w:val="decimal"/>
      <w:lvlText w:val="%1.%2.%3.%4.%5"/>
      <w:lvlJc w:val="left"/>
      <w:pPr>
        <w:tabs>
          <w:tab w:val="left" w:pos="9498"/>
        </w:tabs>
        <w:ind w:left="9498" w:hanging="850"/>
      </w:pPr>
    </w:lvl>
    <w:lvl w:ilvl="5">
      <w:start w:val="1"/>
      <w:numFmt w:val="decimal"/>
      <w:lvlText w:val="%1.%2.%3.%4.%5.%6"/>
      <w:lvlJc w:val="left"/>
      <w:pPr>
        <w:tabs>
          <w:tab w:val="left" w:pos="10207"/>
        </w:tabs>
        <w:ind w:left="10207" w:hanging="1135"/>
      </w:pPr>
    </w:lvl>
    <w:lvl w:ilvl="6">
      <w:start w:val="1"/>
      <w:numFmt w:val="decimal"/>
      <w:lvlText w:val="%1.%2.%3.%4.%5.%6.%7"/>
      <w:lvlJc w:val="left"/>
      <w:pPr>
        <w:tabs>
          <w:tab w:val="left" w:pos="10774"/>
        </w:tabs>
        <w:ind w:left="10774" w:hanging="1276"/>
      </w:pPr>
    </w:lvl>
    <w:lvl w:ilvl="7">
      <w:start w:val="1"/>
      <w:numFmt w:val="decimal"/>
      <w:lvlText w:val="%1.%2.%3.%4.%5.%6.%7.%8"/>
      <w:lvlJc w:val="left"/>
      <w:pPr>
        <w:tabs>
          <w:tab w:val="left" w:pos="11341"/>
        </w:tabs>
        <w:ind w:left="11341" w:hanging="1418"/>
      </w:pPr>
    </w:lvl>
    <w:lvl w:ilvl="8">
      <w:start w:val="1"/>
      <w:numFmt w:val="decimal"/>
      <w:lvlText w:val="%1.%2.%3.%4.%5.%6.%7.%8.%9"/>
      <w:lvlJc w:val="left"/>
      <w:pPr>
        <w:tabs>
          <w:tab w:val="left" w:pos="12049"/>
        </w:tabs>
        <w:ind w:left="12049" w:hanging="1700"/>
      </w:pPr>
    </w:lvl>
  </w:abstractNum>
  <w:abstractNum w:abstractNumId="1" w15:restartNumberingAfterBreak="0">
    <w:nsid w:val="53DC5974"/>
    <w:multiLevelType w:val="multilevel"/>
    <w:tmpl w:val="0648409E"/>
    <w:lvl w:ilvl="0">
      <w:start w:val="2"/>
      <w:numFmt w:val="decimal"/>
      <w:lvlText w:val="%1."/>
      <w:lvlJc w:val="left"/>
      <w:pPr>
        <w:ind w:left="360" w:hanging="36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3."/>
      <w:lvlJc w:val="left"/>
      <w:pPr>
        <w:ind w:left="2520" w:hanging="1080"/>
      </w:pPr>
      <w:rPr>
        <w:rFonts w:hint="default"/>
      </w:rPr>
    </w:lvl>
    <w:lvl w:ilvl="4">
      <w:start w:val="1"/>
      <w:numFmt w:val="decimal"/>
      <w:lvlText w:val="%1.%2.%3.%3.%4."/>
      <w:lvlJc w:val="left"/>
      <w:pPr>
        <w:ind w:left="3360" w:hanging="1440"/>
      </w:pPr>
      <w:rPr>
        <w:rFonts w:hint="default"/>
      </w:rPr>
    </w:lvl>
    <w:lvl w:ilvl="5">
      <w:start w:val="1"/>
      <w:numFmt w:val="decimal"/>
      <w:lvlText w:val="%1.%2.%3.%3.%4.%5."/>
      <w:lvlJc w:val="left"/>
      <w:pPr>
        <w:ind w:left="3840" w:hanging="1440"/>
      </w:pPr>
      <w:rPr>
        <w:rFonts w:hint="default"/>
      </w:rPr>
    </w:lvl>
    <w:lvl w:ilvl="6">
      <w:start w:val="1"/>
      <w:numFmt w:val="decimal"/>
      <w:lvlText w:val="%1.%2.%3.%3.%4.%5.%6."/>
      <w:lvlJc w:val="left"/>
      <w:pPr>
        <w:ind w:left="4680" w:hanging="1800"/>
      </w:pPr>
      <w:rPr>
        <w:rFonts w:hint="default"/>
      </w:rPr>
    </w:lvl>
    <w:lvl w:ilvl="7">
      <w:start w:val="1"/>
      <w:numFmt w:val="decimal"/>
      <w:lvlText w:val="%1.%2.%3.%3.%4.%5.%6.%7."/>
      <w:lvlJc w:val="left"/>
      <w:pPr>
        <w:ind w:left="5160" w:hanging="1800"/>
      </w:pPr>
      <w:rPr>
        <w:rFonts w:hint="default"/>
      </w:rPr>
    </w:lvl>
    <w:lvl w:ilvl="8">
      <w:start w:val="1"/>
      <w:numFmt w:val="decimal"/>
      <w:lvlText w:val="%1.%2.%3.%3.%4.%5.%6.%7.%8."/>
      <w:lvlJc w:val="left"/>
      <w:pPr>
        <w:ind w:left="6000" w:hanging="2160"/>
      </w:pPr>
      <w:rPr>
        <w:rFonts w:hint="default"/>
      </w:rPr>
    </w:lvl>
  </w:abstractNum>
  <w:abstractNum w:abstractNumId="2" w15:restartNumberingAfterBreak="0">
    <w:nsid w:val="6CEA2025"/>
    <w:multiLevelType w:val="multilevel"/>
    <w:tmpl w:val="6CEA2025"/>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36309480">
    <w:abstractNumId w:val="0"/>
  </w:num>
  <w:num w:numId="2" w16cid:durableId="158078831">
    <w:abstractNumId w:val="3"/>
  </w:num>
  <w:num w:numId="3" w16cid:durableId="1280526133">
    <w:abstractNumId w:val="2"/>
  </w:num>
  <w:num w:numId="4" w16cid:durableId="1627924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M4ZTQ2YmY5NmQ3M2FiMjE1ZTc5ZTc5YWNkOWU5ZjcifQ=="/>
  </w:docVars>
  <w:rsids>
    <w:rsidRoot w:val="00337153"/>
    <w:rsid w:val="000F2A90"/>
    <w:rsid w:val="00162C87"/>
    <w:rsid w:val="00170FCE"/>
    <w:rsid w:val="00184265"/>
    <w:rsid w:val="001A3DD3"/>
    <w:rsid w:val="002142AE"/>
    <w:rsid w:val="002B682D"/>
    <w:rsid w:val="00333FC8"/>
    <w:rsid w:val="00337153"/>
    <w:rsid w:val="00345124"/>
    <w:rsid w:val="003A2C87"/>
    <w:rsid w:val="003D2E93"/>
    <w:rsid w:val="003E2638"/>
    <w:rsid w:val="00414E9D"/>
    <w:rsid w:val="00427B0E"/>
    <w:rsid w:val="004622ED"/>
    <w:rsid w:val="004A452C"/>
    <w:rsid w:val="00557AED"/>
    <w:rsid w:val="00585D9A"/>
    <w:rsid w:val="006910DC"/>
    <w:rsid w:val="006E3B7A"/>
    <w:rsid w:val="00701184"/>
    <w:rsid w:val="007A07F0"/>
    <w:rsid w:val="0089429F"/>
    <w:rsid w:val="00904B3F"/>
    <w:rsid w:val="00905FE7"/>
    <w:rsid w:val="00910C37"/>
    <w:rsid w:val="00953BCD"/>
    <w:rsid w:val="009707CC"/>
    <w:rsid w:val="00BB31BE"/>
    <w:rsid w:val="00BD5AA8"/>
    <w:rsid w:val="00C26915"/>
    <w:rsid w:val="00D27B3F"/>
    <w:rsid w:val="00D67AC7"/>
    <w:rsid w:val="00DB252F"/>
    <w:rsid w:val="00DB5ABB"/>
    <w:rsid w:val="00E55ECA"/>
    <w:rsid w:val="00E62708"/>
    <w:rsid w:val="00E86F01"/>
    <w:rsid w:val="00EB6EFC"/>
    <w:rsid w:val="00ED18A2"/>
    <w:rsid w:val="00F04EE9"/>
    <w:rsid w:val="00F43866"/>
    <w:rsid w:val="00F81BC4"/>
    <w:rsid w:val="00FB6529"/>
    <w:rsid w:val="09A80FE4"/>
    <w:rsid w:val="721075C3"/>
    <w:rsid w:val="7728448C"/>
    <w:rsid w:val="7F6A0D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78383"/>
  <w15:docId w15:val="{DE6AC0C7-C145-4EAE-BB41-D2FDE518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04B3F"/>
    <w:pPr>
      <w:adjustRightInd w:val="0"/>
      <w:snapToGrid w:val="0"/>
      <w:spacing w:after="200"/>
    </w:pPr>
    <w:rPr>
      <w:rFonts w:ascii="Tahoma" w:eastAsia="微软雅黑" w:hAnsi="Tahoma" w:cstheme="minorBidi"/>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w:basedOn w:val="a7"/>
    <w:semiHidden/>
    <w:qFormat/>
    <w:rsid w:val="00904B3F"/>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c">
    <w:name w:val="footer"/>
    <w:basedOn w:val="a7"/>
    <w:link w:val="ad"/>
    <w:uiPriority w:val="99"/>
    <w:unhideWhenUsed/>
    <w:qFormat/>
    <w:rsid w:val="00904B3F"/>
    <w:pPr>
      <w:tabs>
        <w:tab w:val="center" w:pos="4153"/>
        <w:tab w:val="right" w:pos="8306"/>
      </w:tabs>
    </w:pPr>
    <w:rPr>
      <w:sz w:val="18"/>
      <w:szCs w:val="18"/>
    </w:rPr>
  </w:style>
  <w:style w:type="paragraph" w:styleId="ae">
    <w:name w:val="header"/>
    <w:basedOn w:val="a7"/>
    <w:link w:val="af"/>
    <w:uiPriority w:val="99"/>
    <w:unhideWhenUsed/>
    <w:rsid w:val="00904B3F"/>
    <w:pPr>
      <w:pBdr>
        <w:bottom w:val="single" w:sz="6" w:space="1" w:color="auto"/>
      </w:pBdr>
      <w:tabs>
        <w:tab w:val="center" w:pos="4153"/>
        <w:tab w:val="right" w:pos="8306"/>
      </w:tabs>
      <w:jc w:val="center"/>
    </w:pPr>
    <w:rPr>
      <w:sz w:val="18"/>
      <w:szCs w:val="18"/>
    </w:rPr>
  </w:style>
  <w:style w:type="table" w:styleId="af0">
    <w:name w:val="Table Grid"/>
    <w:basedOn w:val="a9"/>
    <w:uiPriority w:val="59"/>
    <w:qFormat/>
    <w:rsid w:val="009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
    <w:name w:val="页眉 字符"/>
    <w:basedOn w:val="a8"/>
    <w:link w:val="ae"/>
    <w:uiPriority w:val="99"/>
    <w:qFormat/>
    <w:rsid w:val="00904B3F"/>
    <w:rPr>
      <w:sz w:val="18"/>
      <w:szCs w:val="18"/>
    </w:rPr>
  </w:style>
  <w:style w:type="character" w:customStyle="1" w:styleId="ad">
    <w:name w:val="页脚 字符"/>
    <w:basedOn w:val="a8"/>
    <w:link w:val="ac"/>
    <w:uiPriority w:val="99"/>
    <w:qFormat/>
    <w:rsid w:val="00904B3F"/>
    <w:rPr>
      <w:sz w:val="18"/>
      <w:szCs w:val="18"/>
    </w:rPr>
  </w:style>
  <w:style w:type="paragraph" w:styleId="af1">
    <w:name w:val="List Paragraph"/>
    <w:basedOn w:val="a7"/>
    <w:uiPriority w:val="34"/>
    <w:qFormat/>
    <w:rsid w:val="00904B3F"/>
    <w:pPr>
      <w:ind w:firstLineChars="200" w:firstLine="420"/>
    </w:pPr>
  </w:style>
  <w:style w:type="paragraph" w:customStyle="1" w:styleId="a">
    <w:name w:val="标准文件_正文表标题"/>
    <w:basedOn w:val="a7"/>
    <w:next w:val="a7"/>
    <w:qFormat/>
    <w:rsid w:val="00904B3F"/>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7"/>
    <w:uiPriority w:val="1"/>
    <w:qFormat/>
    <w:rsid w:val="00904B3F"/>
  </w:style>
  <w:style w:type="paragraph" w:customStyle="1" w:styleId="af2">
    <w:name w:val="段"/>
    <w:qFormat/>
    <w:rsid w:val="00904B3F"/>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3">
    <w:name w:val="标准文件_表格"/>
    <w:basedOn w:val="a7"/>
    <w:qFormat/>
    <w:rsid w:val="00904B3F"/>
    <w:pPr>
      <w:autoSpaceDE w:val="0"/>
      <w:autoSpaceDN w:val="0"/>
      <w:jc w:val="center"/>
    </w:pPr>
    <w:rPr>
      <w:rFonts w:ascii="宋体" w:hint="eastAsia"/>
      <w:sz w:val="18"/>
    </w:rPr>
  </w:style>
  <w:style w:type="paragraph" w:customStyle="1" w:styleId="a3">
    <w:name w:val="标准文件_二级条标题"/>
    <w:next w:val="a7"/>
    <w:rsid w:val="00E62708"/>
    <w:pPr>
      <w:widowControl w:val="0"/>
      <w:numPr>
        <w:ilvl w:val="3"/>
        <w:numId w:val="3"/>
      </w:numPr>
      <w:spacing w:beforeLines="50" w:afterLines="50"/>
      <w:jc w:val="both"/>
      <w:outlineLvl w:val="2"/>
    </w:pPr>
    <w:rPr>
      <w:rFonts w:ascii="黑体" w:eastAsia="黑体" w:hAnsi="Times New Roman"/>
      <w:sz w:val="21"/>
    </w:rPr>
  </w:style>
  <w:style w:type="paragraph" w:customStyle="1" w:styleId="a4">
    <w:name w:val="标准文件_三级条标题"/>
    <w:basedOn w:val="a3"/>
    <w:next w:val="a7"/>
    <w:rsid w:val="00E62708"/>
    <w:pPr>
      <w:widowControl/>
      <w:numPr>
        <w:ilvl w:val="4"/>
      </w:numPr>
      <w:outlineLvl w:val="3"/>
    </w:pPr>
  </w:style>
  <w:style w:type="paragraph" w:customStyle="1" w:styleId="a5">
    <w:name w:val="标准文件_四级条标题"/>
    <w:next w:val="a7"/>
    <w:qFormat/>
    <w:rsid w:val="00E62708"/>
    <w:pPr>
      <w:widowControl w:val="0"/>
      <w:numPr>
        <w:ilvl w:val="5"/>
        <w:numId w:val="3"/>
      </w:numPr>
      <w:spacing w:beforeLines="50" w:afterLines="50"/>
      <w:jc w:val="both"/>
      <w:outlineLvl w:val="4"/>
    </w:pPr>
    <w:rPr>
      <w:rFonts w:ascii="黑体" w:eastAsia="黑体" w:hAnsi="Times New Roman"/>
      <w:sz w:val="21"/>
    </w:rPr>
  </w:style>
  <w:style w:type="paragraph" w:customStyle="1" w:styleId="a6">
    <w:name w:val="标准文件_五级条标题"/>
    <w:next w:val="a7"/>
    <w:rsid w:val="00E62708"/>
    <w:pPr>
      <w:widowControl w:val="0"/>
      <w:numPr>
        <w:ilvl w:val="6"/>
        <w:numId w:val="3"/>
      </w:numPr>
      <w:spacing w:beforeLines="50" w:afterLines="50"/>
      <w:jc w:val="both"/>
      <w:outlineLvl w:val="5"/>
    </w:pPr>
    <w:rPr>
      <w:rFonts w:ascii="黑体" w:eastAsia="黑体" w:hAnsi="Times New Roman"/>
      <w:sz w:val="21"/>
    </w:rPr>
  </w:style>
  <w:style w:type="paragraph" w:customStyle="1" w:styleId="a1">
    <w:name w:val="标准文件_章标题"/>
    <w:next w:val="a7"/>
    <w:rsid w:val="00E62708"/>
    <w:pPr>
      <w:numPr>
        <w:ilvl w:val="1"/>
        <w:numId w:val="3"/>
      </w:numPr>
      <w:spacing w:beforeLines="100" w:afterLines="100"/>
      <w:jc w:val="both"/>
      <w:outlineLvl w:val="0"/>
    </w:pPr>
    <w:rPr>
      <w:rFonts w:ascii="黑体" w:eastAsia="黑体" w:hAnsi="Times New Roman"/>
      <w:sz w:val="21"/>
    </w:rPr>
  </w:style>
  <w:style w:type="paragraph" w:customStyle="1" w:styleId="a2">
    <w:name w:val="标准文件_一级条标题"/>
    <w:basedOn w:val="a1"/>
    <w:next w:val="a7"/>
    <w:rsid w:val="00E62708"/>
    <w:pPr>
      <w:numPr>
        <w:ilvl w:val="2"/>
      </w:numPr>
      <w:spacing w:beforeLines="50" w:afterLines="50"/>
      <w:outlineLvl w:val="1"/>
    </w:pPr>
  </w:style>
  <w:style w:type="paragraph" w:customStyle="1" w:styleId="a0">
    <w:name w:val="前言标题"/>
    <w:next w:val="a7"/>
    <w:rsid w:val="00E62708"/>
    <w:pPr>
      <w:numPr>
        <w:numId w:val="3"/>
      </w:numPr>
      <w:shd w:val="clear" w:color="FFFFFF" w:fill="FFFFFF"/>
      <w:spacing w:before="540" w:after="600"/>
      <w:jc w:val="center"/>
      <w:outlineLvl w:val="0"/>
    </w:pPr>
    <w:rPr>
      <w:rFonts w:ascii="黑体" w:eastAsia="黑体" w:hAnsi="Times New Roman"/>
      <w:sz w:val="32"/>
    </w:rPr>
  </w:style>
  <w:style w:type="paragraph" w:customStyle="1" w:styleId="af4">
    <w:name w:val="标准文件_二级无标题"/>
    <w:basedOn w:val="a3"/>
    <w:qFormat/>
    <w:rsid w:val="00E62708"/>
    <w:pPr>
      <w:spacing w:beforeLines="0" w:afterLines="0"/>
      <w:outlineLvl w:val="9"/>
    </w:pPr>
    <w:rPr>
      <w:rFonts w:ascii="宋体" w:eastAsia="宋体"/>
    </w:rPr>
  </w:style>
  <w:style w:type="paragraph" w:customStyle="1" w:styleId="af5">
    <w:name w:val="标准文件_段"/>
    <w:link w:val="Char"/>
    <w:rsid w:val="00557AED"/>
    <w:pPr>
      <w:autoSpaceDE w:val="0"/>
      <w:autoSpaceDN w:val="0"/>
      <w:ind w:firstLineChars="200" w:firstLine="200"/>
      <w:jc w:val="both"/>
    </w:pPr>
    <w:rPr>
      <w:rFonts w:ascii="宋体" w:hAnsi="Times New Roman"/>
      <w:sz w:val="21"/>
    </w:rPr>
  </w:style>
  <w:style w:type="character" w:customStyle="1" w:styleId="Char">
    <w:name w:val="标准文件_段 Char"/>
    <w:link w:val="af5"/>
    <w:rsid w:val="00557AED"/>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0891-CAFE-4CFE-A914-528EB407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Riven Xu</cp:lastModifiedBy>
  <cp:revision>9</cp:revision>
  <dcterms:created xsi:type="dcterms:W3CDTF">2024-06-18T06:12:00Z</dcterms:created>
  <dcterms:modified xsi:type="dcterms:W3CDTF">2024-07-04T08:10:00Z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