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2F35E" w14:textId="77777777" w:rsidR="00D04E96" w:rsidRDefault="00000000">
      <w:pPr>
        <w:jc w:val="center"/>
        <w:rPr>
          <w:rFonts w:ascii="方正小标宋简体" w:eastAsia="方正小标宋简体" w:hAnsi="Times New Roman" w:cs="Times New Roman"/>
          <w:sz w:val="32"/>
          <w:szCs w:val="32"/>
        </w:rPr>
      </w:pPr>
      <w:r>
        <w:rPr>
          <w:rFonts w:ascii="方正小标宋简体" w:eastAsia="方正小标宋简体" w:hAnsi="Times New Roman" w:cs="Times New Roman" w:hint="eastAsia"/>
          <w:sz w:val="32"/>
          <w:szCs w:val="32"/>
        </w:rPr>
        <w:t>浙江省计量与标准化学会团体标准编制说明</w:t>
      </w:r>
    </w:p>
    <w:p w14:paraId="133F1A11" w14:textId="77777777" w:rsidR="00D04E96" w:rsidRDefault="00000000">
      <w:pPr>
        <w:pStyle w:val="aa"/>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标准制定项目背景</w:t>
      </w:r>
    </w:p>
    <w:p w14:paraId="11013981" w14:textId="77777777" w:rsidR="00C54721" w:rsidRPr="00C54721" w:rsidRDefault="00C54721" w:rsidP="00C54721">
      <w:pPr>
        <w:adjustRightInd/>
        <w:snapToGrid/>
        <w:spacing w:after="0" w:line="360" w:lineRule="auto"/>
        <w:ind w:firstLineChars="200" w:firstLine="480"/>
        <w:rPr>
          <w:rFonts w:ascii="仿宋_GB2312" w:eastAsia="仿宋_GB2312" w:hAnsi="Times New Roman" w:cs="Times New Roman"/>
          <w:sz w:val="24"/>
          <w:szCs w:val="24"/>
        </w:rPr>
      </w:pPr>
      <w:r w:rsidRPr="00C54721">
        <w:rPr>
          <w:rFonts w:ascii="仿宋_GB2312" w:eastAsia="仿宋_GB2312" w:hAnsi="Times New Roman" w:cs="Times New Roman" w:hint="eastAsia"/>
          <w:sz w:val="24"/>
          <w:szCs w:val="24"/>
        </w:rPr>
        <w:t>国务院联合有关部委依据《中华人民共和国标准化法》和《消费品标准和质量提升规划(2016-2020年)》，实现以先进标准引领消费品质量提升，突出标准引领，创新质量供给，着力增品种、提品质、创品牌，不断满足人民群众日益增长的消费需求。全面实施企业产品和服务标准自我声明公开和监督制度，发布企业标准排行榜，引导消费者更多选择领跑者产品。</w:t>
      </w:r>
    </w:p>
    <w:p w14:paraId="7707BC5D" w14:textId="77777777" w:rsidR="00C54721" w:rsidRPr="00C54721" w:rsidRDefault="00C54721" w:rsidP="00C54721">
      <w:pPr>
        <w:adjustRightInd/>
        <w:snapToGrid/>
        <w:spacing w:after="0" w:line="360" w:lineRule="auto"/>
        <w:ind w:firstLineChars="200" w:firstLine="480"/>
        <w:rPr>
          <w:rFonts w:ascii="仿宋_GB2312" w:eastAsia="仿宋_GB2312" w:hAnsi="Times New Roman" w:cs="Times New Roman"/>
          <w:sz w:val="24"/>
          <w:szCs w:val="24"/>
        </w:rPr>
      </w:pPr>
      <w:r w:rsidRPr="00C54721">
        <w:rPr>
          <w:rFonts w:ascii="仿宋_GB2312" w:eastAsia="仿宋_GB2312" w:hAnsi="Times New Roman" w:cs="Times New Roman" w:hint="eastAsia"/>
          <w:sz w:val="24"/>
          <w:szCs w:val="24"/>
        </w:rPr>
        <w:t>国务院办公厅印发《贯彻实施〈深化标准化工作改革方案〉重点任务分工(2017-2018年)》，提出了深化标准化工作改革的12项具体任务措施，要求建立实施企业标准领跑者制度，发布企业标准排行榜，以先进标准引领产品和服务质量提升。</w:t>
      </w:r>
    </w:p>
    <w:p w14:paraId="7ED225F4" w14:textId="77777777" w:rsidR="00C54721" w:rsidRPr="00C54721" w:rsidRDefault="00C54721" w:rsidP="00C54721">
      <w:pPr>
        <w:adjustRightInd/>
        <w:snapToGrid/>
        <w:spacing w:after="0" w:line="360" w:lineRule="auto"/>
        <w:ind w:firstLineChars="200" w:firstLine="480"/>
        <w:rPr>
          <w:rFonts w:ascii="仿宋_GB2312" w:eastAsia="仿宋_GB2312" w:hAnsi="Times New Roman" w:cs="Times New Roman"/>
          <w:sz w:val="24"/>
          <w:szCs w:val="24"/>
        </w:rPr>
      </w:pPr>
      <w:r w:rsidRPr="00C54721">
        <w:rPr>
          <w:rFonts w:ascii="仿宋_GB2312" w:eastAsia="仿宋_GB2312" w:hAnsi="Times New Roman" w:cs="Times New Roman" w:hint="eastAsia"/>
          <w:sz w:val="24"/>
          <w:szCs w:val="24"/>
        </w:rPr>
        <w:t>中共中央国务院发布《关于开展质量提升行动的指导意见》，提出建立健全技术、专利、标准协同机制，开展对标达标活动，鼓励、引领企业主动制定和实施先进标准。全面实施企业标准自我声明公开和监督制度，实施企业标准领跑者制度。大力推进内外销产品“同线同标同质”工程，逐步消除国内外市场产品质量差距。</w:t>
      </w:r>
    </w:p>
    <w:p w14:paraId="7C4F313A" w14:textId="340B349B" w:rsidR="00D04E96" w:rsidRDefault="00C54721" w:rsidP="00C54721">
      <w:pPr>
        <w:adjustRightInd/>
        <w:snapToGrid/>
        <w:spacing w:after="0" w:line="360" w:lineRule="auto"/>
        <w:ind w:firstLineChars="200" w:firstLine="480"/>
        <w:rPr>
          <w:rFonts w:ascii="仿宋_GB2312" w:eastAsia="仿宋_GB2312" w:hAnsi="Times New Roman" w:cs="Times New Roman"/>
          <w:sz w:val="24"/>
          <w:szCs w:val="24"/>
        </w:rPr>
      </w:pPr>
      <w:r w:rsidRPr="00C54721">
        <w:rPr>
          <w:rFonts w:ascii="仿宋_GB2312" w:eastAsia="仿宋_GB2312" w:hAnsi="Times New Roman" w:cs="Times New Roman" w:hint="eastAsia"/>
          <w:sz w:val="24"/>
          <w:szCs w:val="24"/>
        </w:rPr>
        <w:t>市场监管总局等八部门发布《关于实施企业标准“领跑者”制度的意见》（国</w:t>
      </w:r>
      <w:proofErr w:type="gramStart"/>
      <w:r w:rsidRPr="00C54721">
        <w:rPr>
          <w:rFonts w:ascii="仿宋_GB2312" w:eastAsia="仿宋_GB2312" w:hAnsi="Times New Roman" w:cs="Times New Roman" w:hint="eastAsia"/>
          <w:sz w:val="24"/>
          <w:szCs w:val="24"/>
        </w:rPr>
        <w:t>市监标准</w:t>
      </w:r>
      <w:proofErr w:type="gramEnd"/>
      <w:r w:rsidRPr="00C54721">
        <w:rPr>
          <w:rFonts w:ascii="仿宋_GB2312" w:eastAsia="仿宋_GB2312" w:hAnsi="Times New Roman" w:cs="Times New Roman" w:hint="eastAsia"/>
          <w:sz w:val="24"/>
          <w:szCs w:val="24"/>
        </w:rPr>
        <w:t>[2018]84号），提出建立实施企业标准“领跑者”制度，发挥企业标准引领质量提升，促进消费升级和推动我国产业迈向全球价值链中高端的作用,更好地满足人民日益增长的美好生活需要</w:t>
      </w:r>
      <w:r>
        <w:rPr>
          <w:rFonts w:ascii="仿宋_GB2312" w:eastAsia="仿宋_GB2312" w:hAnsi="Times New Roman" w:cs="Times New Roman" w:hint="eastAsia"/>
          <w:sz w:val="24"/>
          <w:szCs w:val="24"/>
        </w:rPr>
        <w:t>。</w:t>
      </w:r>
    </w:p>
    <w:p w14:paraId="61D0E28C" w14:textId="77777777" w:rsidR="000C5F88" w:rsidRDefault="000C5F88" w:rsidP="000C5F88">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钕铁硼是目前磁性最高的永磁材料，具备高剩磁、高矫顽力、高磁能积等特点。其中内</w:t>
      </w:r>
      <w:proofErr w:type="gramStart"/>
      <w:r>
        <w:rPr>
          <w:rFonts w:ascii="仿宋_GB2312" w:eastAsia="仿宋_GB2312" w:hAnsi="Times New Roman" w:cs="Times New Roman" w:hint="eastAsia"/>
          <w:sz w:val="24"/>
          <w:szCs w:val="24"/>
        </w:rPr>
        <w:t>禀</w:t>
      </w:r>
      <w:proofErr w:type="gramEnd"/>
      <w:r>
        <w:rPr>
          <w:rFonts w:ascii="仿宋_GB2312" w:eastAsia="仿宋_GB2312" w:hAnsi="Times New Roman" w:cs="Times New Roman" w:hint="eastAsia"/>
          <w:sz w:val="24"/>
          <w:szCs w:val="24"/>
        </w:rPr>
        <w:t>矫顽力和最大磁能积之和大于60的烧结钕铁硼材料，称为高性能钕铁硼永磁材料。随着电动汽车、节能家电、无人机和风力发电机等产业迅速发展，对烧结钕铁硼永磁体的需求日益增加。2019-2021年，我国烧结钕铁硼产量呈现持续增长态势。2021年，中国烧结钕铁硼毛坯产量为20.71万吨，同比增长16%。2022年上半年，中国烧结钕铁硼</w:t>
      </w:r>
      <w:proofErr w:type="gramStart"/>
      <w:r>
        <w:rPr>
          <w:rFonts w:ascii="仿宋_GB2312" w:eastAsia="仿宋_GB2312" w:hAnsi="Times New Roman" w:cs="Times New Roman" w:hint="eastAsia"/>
          <w:sz w:val="24"/>
          <w:szCs w:val="24"/>
        </w:rPr>
        <w:t>毛坯超</w:t>
      </w:r>
      <w:proofErr w:type="gramEnd"/>
      <w:r>
        <w:rPr>
          <w:rFonts w:ascii="仿宋_GB2312" w:eastAsia="仿宋_GB2312" w:hAnsi="Times New Roman" w:cs="Times New Roman" w:hint="eastAsia"/>
          <w:sz w:val="24"/>
          <w:szCs w:val="24"/>
        </w:rPr>
        <w:t>11万吨，同比持续增长。2022年初步统计，烧结钕铁硼毛胚产量超23万吨。未来，新能源汽车、节能家电、节能电梯、机器人等智能装备、无人机等消费电子领域需求的持续扩张，叠加“双碳”政策的有力支撑，烧结钕铁硼永磁材料市场前景广阔。预</w:t>
      </w:r>
      <w:r>
        <w:rPr>
          <w:rFonts w:ascii="仿宋_GB2312" w:eastAsia="仿宋_GB2312" w:hAnsi="Times New Roman" w:cs="Times New Roman" w:hint="eastAsia"/>
          <w:sz w:val="24"/>
          <w:szCs w:val="24"/>
        </w:rPr>
        <w:lastRenderedPageBreak/>
        <w:t>计中国烧结钕铁</w:t>
      </w:r>
      <w:proofErr w:type="gramStart"/>
      <w:r>
        <w:rPr>
          <w:rFonts w:ascii="仿宋_GB2312" w:eastAsia="仿宋_GB2312" w:hAnsi="Times New Roman" w:cs="Times New Roman" w:hint="eastAsia"/>
          <w:sz w:val="24"/>
          <w:szCs w:val="24"/>
        </w:rPr>
        <w:t>硼行业</w:t>
      </w:r>
      <w:proofErr w:type="gramEnd"/>
      <w:r>
        <w:rPr>
          <w:rFonts w:ascii="仿宋_GB2312" w:eastAsia="仿宋_GB2312" w:hAnsi="Times New Roman" w:cs="Times New Roman" w:hint="eastAsia"/>
          <w:sz w:val="24"/>
          <w:szCs w:val="24"/>
        </w:rPr>
        <w:t>市场规模将会以12%的增长率增长，2025年市场规模将超过800亿元。</w:t>
      </w:r>
    </w:p>
    <w:p w14:paraId="258FFB70" w14:textId="77777777" w:rsidR="000C5F88" w:rsidRDefault="000C5F88" w:rsidP="000C5F88">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目前，中国的烧结钕铁</w:t>
      </w:r>
      <w:proofErr w:type="gramStart"/>
      <w:r>
        <w:rPr>
          <w:rFonts w:ascii="仿宋_GB2312" w:eastAsia="仿宋_GB2312" w:hAnsi="Times New Roman" w:cs="Times New Roman" w:hint="eastAsia"/>
          <w:sz w:val="24"/>
          <w:szCs w:val="24"/>
        </w:rPr>
        <w:t>硼产业</w:t>
      </w:r>
      <w:proofErr w:type="gramEnd"/>
      <w:r>
        <w:rPr>
          <w:rFonts w:ascii="仿宋_GB2312" w:eastAsia="仿宋_GB2312" w:hAnsi="Times New Roman" w:cs="Times New Roman" w:hint="eastAsia"/>
          <w:sz w:val="24"/>
          <w:szCs w:val="24"/>
        </w:rPr>
        <w:t>在国际竞争优势主要在制造环节，在品牌、技术环节未形成整体性突破。市场竞争仍然主要体现为成本价格的竞争，尚未形成良性发展，由于技术水平较低，产品质量低，技术附加值不高，在中低端产品市场具有一定的竞争力，但高端市场被国外垄断。通过设定高于行业平均水平的“领跑者”标准，激励企业不断进行技术创新，提升烧结钕铁硼永磁材料的性能，包括提高磁性能、优化材料的化学成分、改善生产工艺等，从而推动整个行业的技术进步和产业升级。该标准有助于引导企业生产更高质量的产品，确保产品在磁性能、稳定性等方面达到国际先进水平。这不仅提升了国内产品的市场竞争力，也有助于中国企业在全球市场上的品牌建设和市场份额的扩大。同时，“领跑者”标准往往代表了行业未来发展的趋势和方向，为企业指明了研发和改进的重点。这有助于企业提前布局，适应未来市场需求的变化，促进整个产业链向更加高效、环保、高性能的方向发展。</w:t>
      </w:r>
    </w:p>
    <w:p w14:paraId="4C95DE36" w14:textId="77777777" w:rsidR="00D04E96" w:rsidRDefault="00000000">
      <w:pPr>
        <w:pStyle w:val="aa"/>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标准制定工作概况（任务来源、主要工作过程等）</w:t>
      </w:r>
    </w:p>
    <w:p w14:paraId="2C7A967C"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1、任务来源</w:t>
      </w:r>
    </w:p>
    <w:p w14:paraId="75EBD6DB" w14:textId="7F39395D"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由</w:t>
      </w:r>
      <w:r w:rsidR="000C5F88">
        <w:rPr>
          <w:rFonts w:ascii="仿宋_GB2312" w:eastAsia="仿宋_GB2312" w:hAnsi="Times New Roman" w:cs="Times New Roman" w:hint="eastAsia"/>
          <w:sz w:val="24"/>
          <w:szCs w:val="24"/>
        </w:rPr>
        <w:t>中国质量认证中心有限公司</w:t>
      </w:r>
      <w:r>
        <w:rPr>
          <w:rFonts w:ascii="仿宋_GB2312" w:eastAsia="仿宋_GB2312" w:hAnsi="Times New Roman" w:cs="Times New Roman" w:hint="eastAsia"/>
          <w:sz w:val="24"/>
          <w:szCs w:val="24"/>
        </w:rPr>
        <w:t>向浙江省计量与标准化学会提出立项申请，经学会论证通过并印发了</w:t>
      </w:r>
      <w:proofErr w:type="gramStart"/>
      <w:r w:rsidR="009D1A9D">
        <w:rPr>
          <w:rFonts w:ascii="仿宋_GB2312" w:eastAsia="仿宋_GB2312" w:hAnsi="Times New Roman" w:cs="Times New Roman" w:hint="eastAsia"/>
          <w:sz w:val="24"/>
          <w:szCs w:val="24"/>
        </w:rPr>
        <w:t>浙计标学发</w:t>
      </w:r>
      <w:proofErr w:type="gramEnd"/>
      <w:r w:rsidR="009D1A9D">
        <w:rPr>
          <w:rFonts w:ascii="仿宋_GB2312" w:eastAsia="仿宋_GB2312" w:hAnsi="Times New Roman" w:cs="Times New Roman" w:hint="eastAsia"/>
          <w:sz w:val="24"/>
          <w:szCs w:val="24"/>
        </w:rPr>
        <w:t>〔2024〕056号文件</w:t>
      </w:r>
      <w:proofErr w:type="gramStart"/>
      <w:r w:rsidR="009D1A9D">
        <w:rPr>
          <w:rFonts w:ascii="仿宋_GB2312" w:eastAsia="仿宋_GB2312" w:hAnsi="Times New Roman" w:cs="Times New Roman" w:hint="eastAsia"/>
          <w:sz w:val="24"/>
          <w:szCs w:val="24"/>
        </w:rPr>
        <w:t>“</w:t>
      </w:r>
      <w:proofErr w:type="gramEnd"/>
      <w:r w:rsidR="009D1A9D">
        <w:rPr>
          <w:rFonts w:ascii="仿宋_GB2312" w:eastAsia="仿宋_GB2312" w:hAnsi="Times New Roman" w:cs="Times New Roman" w:hint="eastAsia"/>
          <w:sz w:val="24"/>
          <w:szCs w:val="24"/>
        </w:rPr>
        <w:t>关于《质量分级及“领跑者”评价要求 烧结钕铁硼永磁材料》等14项团体标准立项的函</w:t>
      </w:r>
      <w:proofErr w:type="gramStart"/>
      <w:r w:rsidR="009D1A9D">
        <w:rPr>
          <w:rFonts w:ascii="仿宋_GB2312" w:eastAsia="仿宋_GB2312" w:hAnsi="Times New Roman" w:cs="Times New Roman" w:hint="eastAsia"/>
          <w:sz w:val="24"/>
          <w:szCs w:val="24"/>
        </w:rPr>
        <w:t>”</w:t>
      </w:r>
      <w:proofErr w:type="gramEnd"/>
      <w:r>
        <w:rPr>
          <w:rFonts w:ascii="仿宋_GB2312" w:eastAsia="仿宋_GB2312" w:hAnsi="Times New Roman" w:cs="Times New Roman" w:hint="eastAsia"/>
          <w:sz w:val="24"/>
          <w:szCs w:val="24"/>
        </w:rPr>
        <w:t>，项目名称：《</w:t>
      </w:r>
      <w:r w:rsidR="009D1A9D">
        <w:rPr>
          <w:rFonts w:ascii="仿宋_GB2312" w:eastAsia="仿宋_GB2312" w:hAnsi="Times New Roman" w:cs="Times New Roman"/>
          <w:sz w:val="24"/>
          <w:szCs w:val="24"/>
        </w:rPr>
        <w:t>质量分级及</w:t>
      </w:r>
      <w:r w:rsidR="009D1A9D">
        <w:rPr>
          <w:rFonts w:ascii="仿宋_GB2312" w:eastAsia="仿宋_GB2312" w:hAnsi="Times New Roman" w:cs="Times New Roman"/>
          <w:sz w:val="24"/>
          <w:szCs w:val="24"/>
        </w:rPr>
        <w:t>“</w:t>
      </w:r>
      <w:r w:rsidR="009D1A9D">
        <w:rPr>
          <w:rFonts w:ascii="仿宋_GB2312" w:eastAsia="仿宋_GB2312" w:hAnsi="Times New Roman" w:cs="Times New Roman"/>
          <w:sz w:val="24"/>
          <w:szCs w:val="24"/>
        </w:rPr>
        <w:t>领跑者</w:t>
      </w:r>
      <w:r w:rsidR="009D1A9D">
        <w:rPr>
          <w:rFonts w:ascii="仿宋_GB2312" w:eastAsia="仿宋_GB2312" w:hAnsi="Times New Roman" w:cs="Times New Roman"/>
          <w:sz w:val="24"/>
          <w:szCs w:val="24"/>
        </w:rPr>
        <w:t>”</w:t>
      </w:r>
      <w:r w:rsidR="009D1A9D">
        <w:rPr>
          <w:rFonts w:ascii="仿宋_GB2312" w:eastAsia="仿宋_GB2312" w:hAnsi="Times New Roman" w:cs="Times New Roman"/>
          <w:sz w:val="24"/>
          <w:szCs w:val="24"/>
        </w:rPr>
        <w:t>评价要求 烧结钕铁硼永磁材料</w:t>
      </w:r>
      <w:r>
        <w:rPr>
          <w:rFonts w:ascii="仿宋_GB2312" w:eastAsia="仿宋_GB2312" w:hAnsi="Times New Roman" w:cs="Times New Roman" w:hint="eastAsia"/>
          <w:sz w:val="24"/>
          <w:szCs w:val="24"/>
        </w:rPr>
        <w:t>》。</w:t>
      </w:r>
    </w:p>
    <w:p w14:paraId="739E7828"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2、主要工作过程</w:t>
      </w:r>
    </w:p>
    <w:p w14:paraId="2174864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  前期准备工作</w:t>
      </w:r>
    </w:p>
    <w:p w14:paraId="0E4F188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按照浙江省计量与标准化学会团体标准工作组构成要求，组建标准研制工作组，明确标准研制重点和提纲，明确各参与单位或人员职责分工、研制计划、时间进度安排等情况。</w:t>
      </w:r>
    </w:p>
    <w:p w14:paraId="0B6B9269"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2.1.1 企业现场调研</w:t>
      </w:r>
    </w:p>
    <w:p w14:paraId="38DC8A8E"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对企业进行现场调研，对浙江省计量与标准化学会团体标准立项相关资料进行收集整理。</w:t>
      </w:r>
    </w:p>
    <w:p w14:paraId="7FBC3D34"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2.1.2 成立标准工作组</w:t>
      </w:r>
    </w:p>
    <w:p w14:paraId="7384E900" w14:textId="579A2126"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根据</w:t>
      </w:r>
      <w:bookmarkStart w:id="0" w:name="_Hlk170766924"/>
      <w:proofErr w:type="gramStart"/>
      <w:r w:rsidR="009D1A9D">
        <w:rPr>
          <w:rFonts w:ascii="仿宋_GB2312" w:eastAsia="仿宋_GB2312" w:hAnsi="Times New Roman" w:cs="Times New Roman" w:hint="eastAsia"/>
          <w:sz w:val="24"/>
          <w:szCs w:val="24"/>
        </w:rPr>
        <w:t>“</w:t>
      </w:r>
      <w:proofErr w:type="gramEnd"/>
      <w:r w:rsidR="009D1A9D">
        <w:rPr>
          <w:rFonts w:ascii="仿宋_GB2312" w:eastAsia="仿宋_GB2312" w:hAnsi="Times New Roman" w:cs="Times New Roman" w:hint="eastAsia"/>
          <w:sz w:val="24"/>
          <w:szCs w:val="24"/>
        </w:rPr>
        <w:t>关于《质量分级及“领跑者”评价要求 烧结钕铁硼永磁材料》等14项团体标准立项的函</w:t>
      </w:r>
      <w:proofErr w:type="gramStart"/>
      <w:r w:rsidR="009D1A9D">
        <w:rPr>
          <w:rFonts w:ascii="仿宋_GB2312" w:eastAsia="仿宋_GB2312" w:hAnsi="Times New Roman" w:cs="Times New Roman" w:hint="eastAsia"/>
          <w:sz w:val="24"/>
          <w:szCs w:val="24"/>
        </w:rPr>
        <w:t>”</w:t>
      </w:r>
      <w:bookmarkEnd w:id="0"/>
      <w:proofErr w:type="gramEnd"/>
      <w:r>
        <w:rPr>
          <w:rFonts w:ascii="仿宋_GB2312" w:eastAsia="仿宋_GB2312" w:hAnsi="Times New Roman" w:cs="Times New Roman" w:hint="eastAsia"/>
          <w:sz w:val="24"/>
          <w:szCs w:val="24"/>
        </w:rPr>
        <w:t>下达的浙江省计量与标准化学会团体标准《</w:t>
      </w:r>
      <w:r w:rsidR="009D1A9D">
        <w:rPr>
          <w:rFonts w:ascii="仿宋_GB2312" w:eastAsia="仿宋_GB2312" w:hAnsi="Times New Roman" w:cs="Times New Roman"/>
          <w:sz w:val="24"/>
          <w:szCs w:val="24"/>
        </w:rPr>
        <w:t>质量分级及</w:t>
      </w:r>
      <w:r w:rsidR="009D1A9D">
        <w:rPr>
          <w:rFonts w:ascii="仿宋_GB2312" w:eastAsia="仿宋_GB2312" w:hAnsi="Times New Roman" w:cs="Times New Roman"/>
          <w:sz w:val="24"/>
          <w:szCs w:val="24"/>
        </w:rPr>
        <w:t>“</w:t>
      </w:r>
      <w:r w:rsidR="009D1A9D">
        <w:rPr>
          <w:rFonts w:ascii="仿宋_GB2312" w:eastAsia="仿宋_GB2312" w:hAnsi="Times New Roman" w:cs="Times New Roman"/>
          <w:sz w:val="24"/>
          <w:szCs w:val="24"/>
        </w:rPr>
        <w:t>领跑者</w:t>
      </w:r>
      <w:r w:rsidR="009D1A9D">
        <w:rPr>
          <w:rFonts w:ascii="仿宋_GB2312" w:eastAsia="仿宋_GB2312" w:hAnsi="Times New Roman" w:cs="Times New Roman"/>
          <w:sz w:val="24"/>
          <w:szCs w:val="24"/>
        </w:rPr>
        <w:t>”</w:t>
      </w:r>
      <w:r w:rsidR="009D1A9D">
        <w:rPr>
          <w:rFonts w:ascii="仿宋_GB2312" w:eastAsia="仿宋_GB2312" w:hAnsi="Times New Roman" w:cs="Times New Roman"/>
          <w:sz w:val="24"/>
          <w:szCs w:val="24"/>
        </w:rPr>
        <w:t>评价要求 烧结钕铁硼永磁材料</w:t>
      </w:r>
      <w:r>
        <w:rPr>
          <w:rFonts w:ascii="仿宋_GB2312" w:eastAsia="仿宋_GB2312" w:hAnsi="Times New Roman" w:cs="Times New Roman" w:hint="eastAsia"/>
          <w:sz w:val="24"/>
          <w:szCs w:val="24"/>
        </w:rPr>
        <w:t>》制订计划，</w:t>
      </w:r>
      <w:r w:rsidR="000C5F88">
        <w:rPr>
          <w:rFonts w:ascii="仿宋_GB2312" w:eastAsia="仿宋_GB2312" w:hAnsi="Times New Roman" w:cs="Times New Roman" w:hint="eastAsia"/>
          <w:sz w:val="24"/>
          <w:szCs w:val="24"/>
        </w:rPr>
        <w:t>中国质量认证中心有限公司</w:t>
      </w:r>
      <w:r>
        <w:rPr>
          <w:rFonts w:ascii="仿宋_GB2312" w:eastAsia="仿宋_GB2312" w:hAnsi="Times New Roman" w:cs="Times New Roman" w:hint="eastAsia"/>
          <w:sz w:val="24"/>
          <w:szCs w:val="24"/>
        </w:rPr>
        <w:t>召集标准同行、标准化机构、检测机构等相关方成立了标准工作组，明确了各参与单位及人员的职责分工。</w:t>
      </w:r>
    </w:p>
    <w:p w14:paraId="4CEBA19B"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2.1.3 明确研制重点</w:t>
      </w:r>
    </w:p>
    <w:p w14:paraId="06A393D9" w14:textId="6BB31802"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sidR="009D1A9D">
        <w:rPr>
          <w:rFonts w:ascii="仿宋_GB2312" w:eastAsia="仿宋_GB2312" w:hAnsi="Times New Roman" w:cs="Times New Roman"/>
          <w:sz w:val="24"/>
          <w:szCs w:val="24"/>
        </w:rPr>
        <w:t>质量分级及</w:t>
      </w:r>
      <w:r w:rsidR="009D1A9D">
        <w:rPr>
          <w:rFonts w:ascii="仿宋_GB2312" w:eastAsia="仿宋_GB2312" w:hAnsi="Times New Roman" w:cs="Times New Roman"/>
          <w:sz w:val="24"/>
          <w:szCs w:val="24"/>
        </w:rPr>
        <w:t>“</w:t>
      </w:r>
      <w:r w:rsidR="009D1A9D">
        <w:rPr>
          <w:rFonts w:ascii="仿宋_GB2312" w:eastAsia="仿宋_GB2312" w:hAnsi="Times New Roman" w:cs="Times New Roman"/>
          <w:sz w:val="24"/>
          <w:szCs w:val="24"/>
        </w:rPr>
        <w:t>领跑者</w:t>
      </w:r>
      <w:r w:rsidR="009D1A9D">
        <w:rPr>
          <w:rFonts w:ascii="仿宋_GB2312" w:eastAsia="仿宋_GB2312" w:hAnsi="Times New Roman" w:cs="Times New Roman"/>
          <w:sz w:val="24"/>
          <w:szCs w:val="24"/>
        </w:rPr>
        <w:t>”</w:t>
      </w:r>
      <w:r w:rsidR="009D1A9D">
        <w:rPr>
          <w:rFonts w:ascii="仿宋_GB2312" w:eastAsia="仿宋_GB2312" w:hAnsi="Times New Roman" w:cs="Times New Roman"/>
          <w:sz w:val="24"/>
          <w:szCs w:val="24"/>
        </w:rPr>
        <w:t>评价要求 烧结钕铁硼永磁材料</w:t>
      </w:r>
      <w:r>
        <w:rPr>
          <w:rFonts w:ascii="仿宋_GB2312" w:eastAsia="仿宋_GB2312" w:hAnsi="Times New Roman" w:cs="Times New Roman" w:hint="eastAsia"/>
          <w:sz w:val="24"/>
          <w:szCs w:val="24"/>
        </w:rPr>
        <w:t>》标准研制的重点包括：标准名称、标准适用范围、基本要求、评价指标分类（基础指标、核心指标、创新性指标）、评价方法及等级划分以及相应的检验检测方法。</w:t>
      </w:r>
    </w:p>
    <w:p w14:paraId="4C6BABD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2.1.4 研制计划及时间安排</w:t>
      </w:r>
    </w:p>
    <w:p w14:paraId="59AB75C6" w14:textId="15478DE2"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第一阶段：2024年3月底前成立工作小组，学习、研究国内外相关标准，确定标准改进的路线和方向，明确指标。完成《</w:t>
      </w:r>
      <w:r w:rsidR="009D1A9D">
        <w:rPr>
          <w:rFonts w:ascii="仿宋_GB2312" w:eastAsia="仿宋_GB2312" w:hAnsi="Times New Roman" w:cs="Times New Roman"/>
          <w:sz w:val="24"/>
          <w:szCs w:val="24"/>
        </w:rPr>
        <w:t>质量分级及</w:t>
      </w:r>
      <w:r w:rsidR="009D1A9D">
        <w:rPr>
          <w:rFonts w:ascii="仿宋_GB2312" w:eastAsia="仿宋_GB2312" w:hAnsi="Times New Roman" w:cs="Times New Roman"/>
          <w:sz w:val="24"/>
          <w:szCs w:val="24"/>
        </w:rPr>
        <w:t>“</w:t>
      </w:r>
      <w:r w:rsidR="009D1A9D">
        <w:rPr>
          <w:rFonts w:ascii="仿宋_GB2312" w:eastAsia="仿宋_GB2312" w:hAnsi="Times New Roman" w:cs="Times New Roman"/>
          <w:sz w:val="24"/>
          <w:szCs w:val="24"/>
        </w:rPr>
        <w:t>领跑者</w:t>
      </w:r>
      <w:r w:rsidR="009D1A9D">
        <w:rPr>
          <w:rFonts w:ascii="仿宋_GB2312" w:eastAsia="仿宋_GB2312" w:hAnsi="Times New Roman" w:cs="Times New Roman"/>
          <w:sz w:val="24"/>
          <w:szCs w:val="24"/>
        </w:rPr>
        <w:t>”</w:t>
      </w:r>
      <w:r w:rsidR="009D1A9D">
        <w:rPr>
          <w:rFonts w:ascii="仿宋_GB2312" w:eastAsia="仿宋_GB2312" w:hAnsi="Times New Roman" w:cs="Times New Roman"/>
          <w:sz w:val="24"/>
          <w:szCs w:val="24"/>
        </w:rPr>
        <w:t>评价要求 烧结钕铁硼永磁材料</w:t>
      </w:r>
      <w:r>
        <w:rPr>
          <w:rFonts w:ascii="仿宋_GB2312" w:eastAsia="仿宋_GB2312" w:hAnsi="Times New Roman" w:cs="Times New Roman" w:hint="eastAsia"/>
          <w:sz w:val="24"/>
          <w:szCs w:val="24"/>
        </w:rPr>
        <w:t>》“立项建议书”和“标准草案”的撰写，完成项目申报立项。</w:t>
      </w:r>
    </w:p>
    <w:p w14:paraId="21D208A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第二阶段：收到答辩通知，准备答辩材料，进行项目答辩，通过后完成立项。</w:t>
      </w:r>
    </w:p>
    <w:p w14:paraId="11A2620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第三阶段：立项完成后一个月内，组织相关单位，召开标准的启动会，完成标准讨论，形成标准征求意见稿。</w:t>
      </w:r>
    </w:p>
    <w:p w14:paraId="1D96A5D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第四阶段：启动会后两周内，向各有关单位发送征求意见稿，并完成各单位意见的征集。</w:t>
      </w:r>
    </w:p>
    <w:p w14:paraId="37641A8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第五阶段：征求意见完成后一个月内，召开标准评审会，邀请同行业专家、代表、认证公司代表、标准主要起草人等人员参加。</w:t>
      </w:r>
    </w:p>
    <w:p w14:paraId="165A20C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第六阶段：评审会后两周内，完善标准，形成最终稿，并且发布实施。</w:t>
      </w:r>
    </w:p>
    <w:p w14:paraId="1AA76E0C"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  标准草案研制</w:t>
      </w:r>
    </w:p>
    <w:p w14:paraId="24358559"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2.2.1  型式试验内规定的</w:t>
      </w:r>
      <w:proofErr w:type="gramStart"/>
      <w:r>
        <w:rPr>
          <w:rFonts w:ascii="仿宋_GB2312" w:eastAsia="仿宋_GB2312" w:hAnsi="Times New Roman" w:cs="Times New Roman" w:hint="eastAsia"/>
          <w:sz w:val="24"/>
          <w:szCs w:val="24"/>
        </w:rPr>
        <w:t>全技术</w:t>
      </w:r>
      <w:proofErr w:type="gramEnd"/>
      <w:r>
        <w:rPr>
          <w:rFonts w:ascii="仿宋_GB2312" w:eastAsia="仿宋_GB2312" w:hAnsi="Times New Roman" w:cs="Times New Roman" w:hint="eastAsia"/>
          <w:sz w:val="24"/>
          <w:szCs w:val="24"/>
        </w:rPr>
        <w:t>指标先进性情况</w:t>
      </w:r>
    </w:p>
    <w:p w14:paraId="344969A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本标准（草案）基本确定了本标准的先进性；充分考虑了浙江省计量与标准化学会团体标准制订框架要求、编制理念和定位要求等，全面体现了标准的先进性。</w:t>
      </w:r>
    </w:p>
    <w:p w14:paraId="7F66AF43" w14:textId="405B1194"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标准工作组根据浙江省计量与标准化学会团体标准的编制理念，以</w:t>
      </w:r>
      <w:r w:rsidR="00595E54">
        <w:rPr>
          <w:rFonts w:ascii="仿宋_GB2312" w:eastAsia="仿宋_GB2312" w:hAnsi="Times New Roman" w:cs="Times New Roman" w:hint="eastAsia"/>
          <w:sz w:val="24"/>
          <w:szCs w:val="24"/>
        </w:rPr>
        <w:t>国家</w:t>
      </w:r>
      <w:r>
        <w:rPr>
          <w:rFonts w:ascii="仿宋_GB2312" w:eastAsia="仿宋_GB2312" w:hAnsi="Times New Roman" w:cs="Times New Roman" w:hint="eastAsia"/>
          <w:sz w:val="24"/>
          <w:szCs w:val="24"/>
        </w:rPr>
        <w:t xml:space="preserve">标准 </w:t>
      </w:r>
      <w:r w:rsidR="00595E54" w:rsidRPr="00595E54">
        <w:rPr>
          <w:rFonts w:ascii="仿宋_GB2312" w:eastAsia="仿宋_GB2312" w:hAnsi="Times New Roman" w:cs="Times New Roman" w:hint="eastAsia"/>
          <w:sz w:val="24"/>
          <w:szCs w:val="24"/>
        </w:rPr>
        <w:t>GB/T 13560—2017 《烧结钕铁硼永磁材料》</w:t>
      </w:r>
      <w:r w:rsidR="00144111">
        <w:rPr>
          <w:rFonts w:ascii="仿宋_GB2312" w:eastAsia="仿宋_GB2312" w:hAnsi="Times New Roman" w:cs="Times New Roman" w:hint="eastAsia"/>
          <w:sz w:val="24"/>
          <w:szCs w:val="24"/>
        </w:rPr>
        <w:t>等相关标准要求，</w:t>
      </w:r>
      <w:r>
        <w:rPr>
          <w:rFonts w:ascii="仿宋_GB2312" w:eastAsia="仿宋_GB2312" w:hAnsi="Times New Roman" w:cs="Times New Roman" w:hint="eastAsia"/>
          <w:sz w:val="24"/>
          <w:szCs w:val="24"/>
        </w:rPr>
        <w:t>对</w:t>
      </w:r>
      <w:proofErr w:type="gramStart"/>
      <w:r>
        <w:rPr>
          <w:rFonts w:ascii="仿宋_GB2312" w:eastAsia="仿宋_GB2312" w:hAnsi="Times New Roman" w:cs="Times New Roman" w:hint="eastAsia"/>
          <w:sz w:val="24"/>
          <w:szCs w:val="24"/>
        </w:rPr>
        <w:t>标国内</w:t>
      </w:r>
      <w:proofErr w:type="gramEnd"/>
      <w:r>
        <w:rPr>
          <w:rFonts w:ascii="仿宋_GB2312" w:eastAsia="仿宋_GB2312" w:hAnsi="Times New Roman" w:cs="Times New Roman" w:hint="eastAsia"/>
          <w:sz w:val="24"/>
          <w:szCs w:val="24"/>
        </w:rPr>
        <w:t>先进同行技术要求和水平，项目的设置覆盖了</w:t>
      </w:r>
      <w:r w:rsidR="00595E54" w:rsidRPr="00595E54">
        <w:rPr>
          <w:rFonts w:ascii="仿宋_GB2312" w:eastAsia="仿宋_GB2312" w:hAnsi="Times New Roman" w:cs="Times New Roman"/>
          <w:sz w:val="24"/>
          <w:szCs w:val="24"/>
        </w:rPr>
        <w:t>GB/T 13560</w:t>
      </w:r>
      <w:r w:rsidR="00595E54" w:rsidRPr="00595E54">
        <w:rPr>
          <w:rFonts w:ascii="仿宋_GB2312" w:eastAsia="仿宋_GB2312" w:hAnsi="Times New Roman" w:cs="Times New Roman"/>
          <w:sz w:val="24"/>
          <w:szCs w:val="24"/>
        </w:rPr>
        <w:t>—</w:t>
      </w:r>
      <w:r w:rsidR="00595E54" w:rsidRPr="00595E54">
        <w:rPr>
          <w:rFonts w:ascii="仿宋_GB2312" w:eastAsia="仿宋_GB2312" w:hAnsi="Times New Roman" w:cs="Times New Roman"/>
          <w:sz w:val="24"/>
          <w:szCs w:val="24"/>
        </w:rPr>
        <w:t>2017</w:t>
      </w:r>
      <w:r>
        <w:rPr>
          <w:rFonts w:ascii="仿宋_GB2312" w:eastAsia="仿宋_GB2312" w:hAnsi="Times New Roman" w:cs="Times New Roman" w:hint="eastAsia"/>
          <w:sz w:val="24"/>
          <w:szCs w:val="24"/>
        </w:rPr>
        <w:t>的技术要求，并高于</w:t>
      </w:r>
      <w:r>
        <w:rPr>
          <w:rFonts w:ascii="仿宋_GB2312" w:eastAsia="仿宋_GB2312" w:hAnsi="Times New Roman" w:cs="Times New Roman" w:hint="eastAsia"/>
          <w:sz w:val="24"/>
          <w:szCs w:val="24"/>
        </w:rPr>
        <w:lastRenderedPageBreak/>
        <w:t>行业标准；同时从行业的发展和产品应用领域的变化要求，从产品使用的稳定性及便利性出发，真正体现了浙江省计量与标准化学会团体标准先进性的理念。</w:t>
      </w:r>
    </w:p>
    <w:p w14:paraId="215E92C1"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2.2.2  按照浙江省计量与标准化学会团体标准制订框架要求，及浙江省计量与标准化学会团体标准编制理念和定位要求研制标准草案情况。</w:t>
      </w:r>
    </w:p>
    <w:p w14:paraId="4430C1DE" w14:textId="0FE982F6"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按照浙江省计量与标准化学会团体标准制订框架要求，标准草案在术语和定义、基本要求、评价指标分类、评价指标体系框架、评价方法及等级划分等各个方面进行了全方位的阐述。以</w:t>
      </w:r>
      <w:r w:rsidR="00595E54">
        <w:rPr>
          <w:rFonts w:ascii="仿宋_GB2312" w:eastAsia="仿宋_GB2312" w:hAnsi="Times New Roman" w:cs="Times New Roman" w:hint="eastAsia"/>
          <w:sz w:val="24"/>
          <w:szCs w:val="24"/>
        </w:rPr>
        <w:t>国家</w:t>
      </w:r>
      <w:r>
        <w:rPr>
          <w:rFonts w:ascii="仿宋_GB2312" w:eastAsia="仿宋_GB2312" w:hAnsi="Times New Roman" w:cs="Times New Roman" w:hint="eastAsia"/>
          <w:sz w:val="24"/>
          <w:szCs w:val="24"/>
        </w:rPr>
        <w:t>标准为基础，对</w:t>
      </w:r>
      <w:proofErr w:type="gramStart"/>
      <w:r>
        <w:rPr>
          <w:rFonts w:ascii="仿宋_GB2312" w:eastAsia="仿宋_GB2312" w:hAnsi="Times New Roman" w:cs="Times New Roman" w:hint="eastAsia"/>
          <w:sz w:val="24"/>
          <w:szCs w:val="24"/>
        </w:rPr>
        <w:t>标国际</w:t>
      </w:r>
      <w:proofErr w:type="gramEnd"/>
      <w:r>
        <w:rPr>
          <w:rFonts w:ascii="仿宋_GB2312" w:eastAsia="仿宋_GB2312" w:hAnsi="Times New Roman" w:cs="Times New Roman" w:hint="eastAsia"/>
          <w:sz w:val="24"/>
          <w:szCs w:val="24"/>
        </w:rPr>
        <w:t>先进标准及标杆企业，力求体现最先进的浙江工艺，用高质量来保障品牌生命，成为</w:t>
      </w:r>
      <w:r w:rsidR="00595E54" w:rsidRPr="00595E54">
        <w:rPr>
          <w:rFonts w:ascii="仿宋_GB2312" w:eastAsia="仿宋_GB2312" w:hAnsi="Times New Roman" w:cs="Times New Roman" w:hint="eastAsia"/>
          <w:sz w:val="24"/>
          <w:szCs w:val="24"/>
        </w:rPr>
        <w:t>烧结钕铁硼永磁材料</w:t>
      </w:r>
      <w:r>
        <w:rPr>
          <w:rFonts w:ascii="仿宋_GB2312" w:eastAsia="仿宋_GB2312" w:hAnsi="Times New Roman" w:cs="Times New Roman" w:hint="eastAsia"/>
          <w:sz w:val="24"/>
          <w:szCs w:val="24"/>
        </w:rPr>
        <w:t>这一细分的标杆和领跑者。</w:t>
      </w:r>
    </w:p>
    <w:p w14:paraId="1D8A2DA1"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2.2.3标准立项论证会讨论情况</w:t>
      </w:r>
    </w:p>
    <w:p w14:paraId="5905340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专家组对该标准提出的主要修改意见：</w:t>
      </w:r>
    </w:p>
    <w:p w14:paraId="45D6ADA2" w14:textId="77777777" w:rsidR="002D6198" w:rsidRDefault="002D6198" w:rsidP="002D619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sidRPr="000006A5">
        <w:rPr>
          <w:rFonts w:ascii="仿宋_GB2312" w:eastAsia="仿宋_GB2312" w:hAnsi="Times New Roman" w:cs="Times New Roman" w:hint="eastAsia"/>
          <w:sz w:val="24"/>
          <w:szCs w:val="24"/>
        </w:rPr>
        <w:t>基础指标需全面覆盖国家标准要求;</w:t>
      </w:r>
      <w:r>
        <w:rPr>
          <w:rFonts w:ascii="仿宋_GB2312" w:eastAsia="仿宋_GB2312" w:hAnsi="Times New Roman" w:cs="Times New Roman"/>
          <w:sz w:val="24"/>
          <w:szCs w:val="24"/>
        </w:rPr>
        <w:t xml:space="preserve"> </w:t>
      </w:r>
    </w:p>
    <w:p w14:paraId="57CFF74B" w14:textId="77777777" w:rsidR="002D6198" w:rsidRDefault="002D6198" w:rsidP="002D619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sidRPr="000006A5">
        <w:rPr>
          <w:rFonts w:ascii="仿宋_GB2312" w:eastAsia="仿宋_GB2312" w:hAnsi="Times New Roman" w:cs="Times New Roman" w:hint="eastAsia"/>
          <w:sz w:val="24"/>
          <w:szCs w:val="24"/>
        </w:rPr>
        <w:t>建议进一步提炼创新性指标</w:t>
      </w:r>
      <w:r>
        <w:rPr>
          <w:rFonts w:ascii="仿宋_GB2312" w:eastAsia="仿宋_GB2312" w:hAnsi="Times New Roman" w:cs="Times New Roman" w:hint="eastAsia"/>
          <w:sz w:val="24"/>
          <w:szCs w:val="24"/>
        </w:rPr>
        <w:t>；</w:t>
      </w:r>
    </w:p>
    <w:p w14:paraId="604ED11C" w14:textId="77777777" w:rsidR="002D6198" w:rsidRDefault="002D6198" w:rsidP="002D619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3） </w:t>
      </w:r>
      <w:r w:rsidRPr="000006A5">
        <w:rPr>
          <w:rFonts w:ascii="仿宋_GB2312" w:eastAsia="仿宋_GB2312" w:hAnsi="Times New Roman" w:cs="Times New Roman" w:hint="eastAsia"/>
          <w:sz w:val="24"/>
          <w:szCs w:val="24"/>
        </w:rPr>
        <w:t>建议按照T/CAS 700-2023;T/CSTE 0321-2023《质量分级及“领跑者”评价标准编制通则》修改完善标准文本</w:t>
      </w:r>
      <w:r>
        <w:rPr>
          <w:rFonts w:ascii="仿宋_GB2312" w:eastAsia="仿宋_GB2312" w:hAnsi="Times New Roman" w:cs="Times New Roman" w:hint="eastAsia"/>
          <w:sz w:val="24"/>
          <w:szCs w:val="24"/>
        </w:rPr>
        <w:t>；</w:t>
      </w:r>
    </w:p>
    <w:p w14:paraId="4AB90958" w14:textId="77777777" w:rsidR="002D6198" w:rsidRDefault="002D6198" w:rsidP="002D619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4）</w:t>
      </w:r>
      <w:r w:rsidRPr="000006A5">
        <w:rPr>
          <w:rFonts w:ascii="仿宋_GB2312" w:eastAsia="仿宋_GB2312" w:hAnsi="Times New Roman" w:cs="Times New Roman" w:hint="eastAsia"/>
          <w:sz w:val="24"/>
          <w:szCs w:val="24"/>
        </w:rPr>
        <w:t>补充该产品所涉及企业标准分析情况、指标选择依据及等级划分的验证情况</w:t>
      </w:r>
      <w:r>
        <w:rPr>
          <w:rFonts w:ascii="仿宋_GB2312" w:eastAsia="仿宋_GB2312" w:hAnsi="Times New Roman" w:cs="Times New Roman" w:hint="eastAsia"/>
          <w:sz w:val="24"/>
          <w:szCs w:val="24"/>
        </w:rPr>
        <w:t>。</w:t>
      </w:r>
    </w:p>
    <w:p w14:paraId="14147A0A"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2.2.4  征求意见</w:t>
      </w:r>
    </w:p>
    <w:p w14:paraId="709A8AF3"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1）意见征集情况：征求意见的单位数：X 家；实际反馈意见的单位数：X家； 其中，有建议或意见： X家；无意见： X  家。                           </w:t>
      </w:r>
    </w:p>
    <w:p w14:paraId="73D18AC1"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2）意见处理情况： 共收集反馈意见： X 项；其中，采纳： X  项；部分采纳：X  项；未采纳： X 项。</w:t>
      </w:r>
    </w:p>
    <w:p w14:paraId="48C4FF54"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2.2.5  专家评审</w:t>
      </w:r>
    </w:p>
    <w:p w14:paraId="4884250A" w14:textId="4F0225D6"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2024年</w:t>
      </w:r>
      <w:r w:rsidR="005B4930">
        <w:rPr>
          <w:rFonts w:ascii="仿宋_GB2312" w:eastAsia="仿宋_GB2312" w:hAnsi="Times New Roman" w:cs="Times New Roman" w:hint="eastAsia"/>
          <w:sz w:val="24"/>
          <w:szCs w:val="24"/>
        </w:rPr>
        <w:t>X</w:t>
      </w:r>
      <w:r>
        <w:rPr>
          <w:rFonts w:ascii="仿宋_GB2312" w:eastAsia="仿宋_GB2312" w:hAnsi="Times New Roman" w:cs="Times New Roman" w:hint="eastAsia"/>
          <w:sz w:val="24"/>
          <w:szCs w:val="24"/>
        </w:rPr>
        <w:t>月</w:t>
      </w:r>
      <w:r w:rsidR="005B4930">
        <w:rPr>
          <w:rFonts w:ascii="仿宋_GB2312" w:eastAsia="仿宋_GB2312" w:hAnsi="Times New Roman" w:cs="Times New Roman" w:hint="eastAsia"/>
          <w:sz w:val="24"/>
          <w:szCs w:val="24"/>
        </w:rPr>
        <w:t>XX</w:t>
      </w:r>
      <w:r>
        <w:rPr>
          <w:rFonts w:ascii="仿宋_GB2312" w:eastAsia="仿宋_GB2312" w:hAnsi="Times New Roman" w:cs="Times New Roman" w:hint="eastAsia"/>
          <w:sz w:val="24"/>
          <w:szCs w:val="24"/>
        </w:rPr>
        <w:t>日，组织召开了《</w:t>
      </w:r>
      <w:r w:rsidR="009D1A9D">
        <w:rPr>
          <w:rFonts w:ascii="仿宋_GB2312" w:eastAsia="仿宋_GB2312" w:hAnsi="Times New Roman" w:cs="Times New Roman"/>
          <w:sz w:val="24"/>
          <w:szCs w:val="24"/>
        </w:rPr>
        <w:t>质量分级及</w:t>
      </w:r>
      <w:r w:rsidR="009D1A9D">
        <w:rPr>
          <w:rFonts w:ascii="仿宋_GB2312" w:eastAsia="仿宋_GB2312" w:hAnsi="Times New Roman" w:cs="Times New Roman"/>
          <w:sz w:val="24"/>
          <w:szCs w:val="24"/>
        </w:rPr>
        <w:t>“</w:t>
      </w:r>
      <w:r w:rsidR="009D1A9D">
        <w:rPr>
          <w:rFonts w:ascii="仿宋_GB2312" w:eastAsia="仿宋_GB2312" w:hAnsi="Times New Roman" w:cs="Times New Roman"/>
          <w:sz w:val="24"/>
          <w:szCs w:val="24"/>
        </w:rPr>
        <w:t>领跑者</w:t>
      </w:r>
      <w:r w:rsidR="009D1A9D">
        <w:rPr>
          <w:rFonts w:ascii="仿宋_GB2312" w:eastAsia="仿宋_GB2312" w:hAnsi="Times New Roman" w:cs="Times New Roman"/>
          <w:sz w:val="24"/>
          <w:szCs w:val="24"/>
        </w:rPr>
        <w:t>”</w:t>
      </w:r>
      <w:r w:rsidR="009D1A9D">
        <w:rPr>
          <w:rFonts w:ascii="仿宋_GB2312" w:eastAsia="仿宋_GB2312" w:hAnsi="Times New Roman" w:cs="Times New Roman"/>
          <w:sz w:val="24"/>
          <w:szCs w:val="24"/>
        </w:rPr>
        <w:t>评价要求 烧结钕铁硼永磁材料</w:t>
      </w:r>
      <w:r>
        <w:rPr>
          <w:rFonts w:ascii="仿宋_GB2312" w:eastAsia="仿宋_GB2312" w:hAnsi="Times New Roman" w:cs="Times New Roman" w:hint="eastAsia"/>
          <w:sz w:val="24"/>
          <w:szCs w:val="24"/>
        </w:rPr>
        <w:t>》、《XXX》、《XXX》、《XXX》、《XXX》浙江省计量与标准化学会X</w:t>
      </w:r>
      <w:proofErr w:type="gramStart"/>
      <w:r>
        <w:rPr>
          <w:rFonts w:ascii="仿宋_GB2312" w:eastAsia="仿宋_GB2312" w:hAnsi="Times New Roman" w:cs="Times New Roman" w:hint="eastAsia"/>
          <w:sz w:val="24"/>
          <w:szCs w:val="24"/>
        </w:rPr>
        <w:t>项团体</w:t>
      </w:r>
      <w:proofErr w:type="gramEnd"/>
      <w:r>
        <w:rPr>
          <w:rFonts w:ascii="仿宋_GB2312" w:eastAsia="仿宋_GB2312" w:hAnsi="Times New Roman" w:cs="Times New Roman" w:hint="eastAsia"/>
          <w:sz w:val="24"/>
          <w:szCs w:val="24"/>
        </w:rPr>
        <w:t>标准的评审会，评审组专家通过对《</w:t>
      </w:r>
      <w:r w:rsidR="009D1A9D">
        <w:rPr>
          <w:rFonts w:ascii="仿宋_GB2312" w:eastAsia="仿宋_GB2312" w:hAnsi="Times New Roman" w:cs="Times New Roman"/>
          <w:sz w:val="24"/>
          <w:szCs w:val="24"/>
        </w:rPr>
        <w:t>质量分级及</w:t>
      </w:r>
      <w:r w:rsidR="009D1A9D">
        <w:rPr>
          <w:rFonts w:ascii="仿宋_GB2312" w:eastAsia="仿宋_GB2312" w:hAnsi="Times New Roman" w:cs="Times New Roman"/>
          <w:sz w:val="24"/>
          <w:szCs w:val="24"/>
        </w:rPr>
        <w:t>“</w:t>
      </w:r>
      <w:r w:rsidR="009D1A9D">
        <w:rPr>
          <w:rFonts w:ascii="仿宋_GB2312" w:eastAsia="仿宋_GB2312" w:hAnsi="Times New Roman" w:cs="Times New Roman"/>
          <w:sz w:val="24"/>
          <w:szCs w:val="24"/>
        </w:rPr>
        <w:t>领跑者</w:t>
      </w:r>
      <w:r w:rsidR="009D1A9D">
        <w:rPr>
          <w:rFonts w:ascii="仿宋_GB2312" w:eastAsia="仿宋_GB2312" w:hAnsi="Times New Roman" w:cs="Times New Roman"/>
          <w:sz w:val="24"/>
          <w:szCs w:val="24"/>
        </w:rPr>
        <w:t>”</w:t>
      </w:r>
      <w:r w:rsidR="009D1A9D">
        <w:rPr>
          <w:rFonts w:ascii="仿宋_GB2312" w:eastAsia="仿宋_GB2312" w:hAnsi="Times New Roman" w:cs="Times New Roman"/>
          <w:sz w:val="24"/>
          <w:szCs w:val="24"/>
        </w:rPr>
        <w:t>评价要求 烧结钕铁硼永磁材料</w:t>
      </w:r>
      <w:r>
        <w:rPr>
          <w:rFonts w:ascii="仿宋_GB2312" w:eastAsia="仿宋_GB2312" w:hAnsi="Times New Roman" w:cs="Times New Roman" w:hint="eastAsia"/>
          <w:sz w:val="24"/>
          <w:szCs w:val="24"/>
        </w:rPr>
        <w:t>》送审稿进行逐条讨论。经讨论形成以下意见：</w:t>
      </w:r>
    </w:p>
    <w:p w14:paraId="108DBD36"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p>
    <w:p w14:paraId="28A08C8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 ；</w:t>
      </w:r>
    </w:p>
    <w:p w14:paraId="323BA43B"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3）；</w:t>
      </w:r>
    </w:p>
    <w:p w14:paraId="35184413"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2.2.6  标准报批</w:t>
      </w:r>
    </w:p>
    <w:p w14:paraId="7EF8622B" w14:textId="6AB3F760"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根据评审专家提出的修改意见，经评审组集体讨论，通过评审，随后标准工作组对《</w:t>
      </w:r>
      <w:r w:rsidR="009D1A9D">
        <w:rPr>
          <w:rFonts w:ascii="仿宋_GB2312" w:eastAsia="仿宋_GB2312" w:hAnsi="Times New Roman" w:cs="Times New Roman"/>
          <w:sz w:val="24"/>
          <w:szCs w:val="24"/>
        </w:rPr>
        <w:t>质量分级及</w:t>
      </w:r>
      <w:r w:rsidR="009D1A9D">
        <w:rPr>
          <w:rFonts w:ascii="仿宋_GB2312" w:eastAsia="仿宋_GB2312" w:hAnsi="Times New Roman" w:cs="Times New Roman"/>
          <w:sz w:val="24"/>
          <w:szCs w:val="24"/>
        </w:rPr>
        <w:t>“</w:t>
      </w:r>
      <w:r w:rsidR="009D1A9D">
        <w:rPr>
          <w:rFonts w:ascii="仿宋_GB2312" w:eastAsia="仿宋_GB2312" w:hAnsi="Times New Roman" w:cs="Times New Roman"/>
          <w:sz w:val="24"/>
          <w:szCs w:val="24"/>
        </w:rPr>
        <w:t>领跑者</w:t>
      </w:r>
      <w:r w:rsidR="009D1A9D">
        <w:rPr>
          <w:rFonts w:ascii="仿宋_GB2312" w:eastAsia="仿宋_GB2312" w:hAnsi="Times New Roman" w:cs="Times New Roman"/>
          <w:sz w:val="24"/>
          <w:szCs w:val="24"/>
        </w:rPr>
        <w:t>”</w:t>
      </w:r>
      <w:r w:rsidR="009D1A9D">
        <w:rPr>
          <w:rFonts w:ascii="仿宋_GB2312" w:eastAsia="仿宋_GB2312" w:hAnsi="Times New Roman" w:cs="Times New Roman"/>
          <w:sz w:val="24"/>
          <w:szCs w:val="24"/>
        </w:rPr>
        <w:t>评价要求 烧结钕铁硼永磁材料</w:t>
      </w:r>
      <w:r>
        <w:rPr>
          <w:rFonts w:ascii="仿宋_GB2312" w:eastAsia="仿宋_GB2312" w:hAnsi="Times New Roman" w:cs="Times New Roman" w:hint="eastAsia"/>
          <w:sz w:val="24"/>
          <w:szCs w:val="24"/>
        </w:rPr>
        <w:t>》（送审稿）以及《编制说明》（送审稿）进行了修改，形成《</w:t>
      </w:r>
      <w:r w:rsidR="009D1A9D">
        <w:rPr>
          <w:rFonts w:ascii="仿宋_GB2312" w:eastAsia="仿宋_GB2312" w:hAnsi="Times New Roman" w:cs="Times New Roman"/>
          <w:sz w:val="24"/>
          <w:szCs w:val="24"/>
        </w:rPr>
        <w:t>质量分级及</w:t>
      </w:r>
      <w:r w:rsidR="009D1A9D">
        <w:rPr>
          <w:rFonts w:ascii="仿宋_GB2312" w:eastAsia="仿宋_GB2312" w:hAnsi="Times New Roman" w:cs="Times New Roman"/>
          <w:sz w:val="24"/>
          <w:szCs w:val="24"/>
        </w:rPr>
        <w:t>“</w:t>
      </w:r>
      <w:r w:rsidR="009D1A9D">
        <w:rPr>
          <w:rFonts w:ascii="仿宋_GB2312" w:eastAsia="仿宋_GB2312" w:hAnsi="Times New Roman" w:cs="Times New Roman"/>
          <w:sz w:val="24"/>
          <w:szCs w:val="24"/>
        </w:rPr>
        <w:t>领跑者</w:t>
      </w:r>
      <w:r w:rsidR="009D1A9D">
        <w:rPr>
          <w:rFonts w:ascii="仿宋_GB2312" w:eastAsia="仿宋_GB2312" w:hAnsi="Times New Roman" w:cs="Times New Roman"/>
          <w:sz w:val="24"/>
          <w:szCs w:val="24"/>
        </w:rPr>
        <w:t>”</w:t>
      </w:r>
      <w:r w:rsidR="009D1A9D">
        <w:rPr>
          <w:rFonts w:ascii="仿宋_GB2312" w:eastAsia="仿宋_GB2312" w:hAnsi="Times New Roman" w:cs="Times New Roman"/>
          <w:sz w:val="24"/>
          <w:szCs w:val="24"/>
        </w:rPr>
        <w:t>评价要求 烧结钕铁硼永磁材料</w:t>
      </w:r>
      <w:r>
        <w:rPr>
          <w:rFonts w:ascii="仿宋_GB2312" w:eastAsia="仿宋_GB2312" w:hAnsi="Times New Roman" w:cs="Times New Roman" w:hint="eastAsia"/>
          <w:sz w:val="24"/>
          <w:szCs w:val="24"/>
        </w:rPr>
        <w:t>》（报批稿）及《编制说明》（报批稿）。</w:t>
      </w:r>
    </w:p>
    <w:p w14:paraId="19DB0096" w14:textId="77777777" w:rsidR="00D04E96" w:rsidRDefault="00000000">
      <w:pPr>
        <w:pStyle w:val="aa"/>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标准编制的原则和依据</w:t>
      </w:r>
    </w:p>
    <w:p w14:paraId="01B242CD"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3.1编制原则</w:t>
      </w:r>
    </w:p>
    <w:p w14:paraId="2EB970D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标准编制遵循“合</w:t>
      </w:r>
      <w:proofErr w:type="gramStart"/>
      <w:r>
        <w:rPr>
          <w:rFonts w:ascii="仿宋_GB2312" w:eastAsia="仿宋_GB2312" w:hAnsi="Times New Roman" w:cs="Times New Roman" w:hint="eastAsia"/>
          <w:sz w:val="24"/>
          <w:szCs w:val="24"/>
        </w:rPr>
        <w:t>规</w:t>
      </w:r>
      <w:proofErr w:type="gramEnd"/>
      <w:r>
        <w:rPr>
          <w:rFonts w:ascii="仿宋_GB2312" w:eastAsia="仿宋_GB2312" w:hAnsi="Times New Roman" w:cs="Times New Roman" w:hint="eastAsia"/>
          <w:sz w:val="24"/>
          <w:szCs w:val="24"/>
        </w:rPr>
        <w:t>性、必要性、先进性、经济性、可操作性”的原则，尽可能与国际通行标准接轨，注重标准的可操作性，本标准严格按照GB/T 1.1—2020《标准化工作导则  第1部分：标准化文件的结构和起草规则》的规定进行编写和表述。</w:t>
      </w:r>
    </w:p>
    <w:p w14:paraId="1B29BA34"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3.2编制依据</w:t>
      </w:r>
    </w:p>
    <w:p w14:paraId="2AD910D1" w14:textId="305BA2FD"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对标现行有效</w:t>
      </w:r>
      <w:r w:rsidR="00595E54">
        <w:rPr>
          <w:rFonts w:ascii="仿宋_GB2312" w:eastAsia="仿宋_GB2312" w:hAnsi="Times New Roman" w:cs="Times New Roman" w:hint="eastAsia"/>
          <w:sz w:val="24"/>
          <w:szCs w:val="24"/>
        </w:rPr>
        <w:t>国家</w:t>
      </w:r>
      <w:r w:rsidR="003C5E32">
        <w:rPr>
          <w:rFonts w:ascii="仿宋_GB2312" w:eastAsia="仿宋_GB2312" w:hAnsi="Times New Roman" w:cs="Times New Roman" w:hint="eastAsia"/>
          <w:sz w:val="24"/>
          <w:szCs w:val="24"/>
        </w:rPr>
        <w:t>标准</w:t>
      </w:r>
      <w:r w:rsidR="00595E54" w:rsidRPr="00595E54">
        <w:rPr>
          <w:rFonts w:ascii="仿宋_GB2312" w:eastAsia="仿宋_GB2312" w:hAnsi="Times New Roman" w:cs="Times New Roman" w:hint="eastAsia"/>
          <w:sz w:val="24"/>
          <w:szCs w:val="24"/>
        </w:rPr>
        <w:t>GB/T 13560—2017 《烧结钕铁硼永磁材料》</w:t>
      </w:r>
      <w:r>
        <w:rPr>
          <w:rFonts w:ascii="仿宋_GB2312" w:eastAsia="仿宋_GB2312" w:hAnsi="Times New Roman" w:cs="Times New Roman" w:hint="eastAsia"/>
          <w:sz w:val="24"/>
          <w:szCs w:val="24"/>
        </w:rPr>
        <w:t>等</w:t>
      </w:r>
      <w:r w:rsidR="003C5E32">
        <w:rPr>
          <w:rFonts w:ascii="仿宋_GB2312" w:eastAsia="仿宋_GB2312" w:hAnsi="Times New Roman" w:cs="Times New Roman" w:hint="eastAsia"/>
          <w:sz w:val="24"/>
          <w:szCs w:val="24"/>
        </w:rPr>
        <w:t>。</w:t>
      </w:r>
    </w:p>
    <w:p w14:paraId="6466F70B"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标准的主要内容、技术论证与效果（如技术指标、参数、公式、性能要求、实验方法、检验规则等，修订标准时应增加新、旧标准水平的对比）</w:t>
      </w:r>
    </w:p>
    <w:p w14:paraId="5D204805" w14:textId="0A079F36"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标准主要内容包括范围、规范性引用文件、术语和定义、</w:t>
      </w:r>
      <w:r w:rsidR="009D1A9D">
        <w:rPr>
          <w:rFonts w:ascii="仿宋_GB2312" w:eastAsia="仿宋_GB2312" w:hAnsi="Times New Roman" w:cs="Times New Roman" w:hint="eastAsia"/>
          <w:sz w:val="24"/>
          <w:szCs w:val="24"/>
        </w:rPr>
        <w:t>基本要求、</w:t>
      </w:r>
      <w:r>
        <w:rPr>
          <w:rFonts w:ascii="仿宋_GB2312" w:eastAsia="仿宋_GB2312" w:hAnsi="Times New Roman" w:cs="Times New Roman" w:hint="eastAsia"/>
          <w:sz w:val="24"/>
          <w:szCs w:val="24"/>
        </w:rPr>
        <w:t>评价指标体系、评价方法及等级划分共五个方面对标准进行编制。主要内容及确定依据如下：</w:t>
      </w:r>
    </w:p>
    <w:p w14:paraId="3A77DEA7" w14:textId="684467D0"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本文件规定了</w:t>
      </w:r>
      <w:r w:rsidR="00595E54">
        <w:rPr>
          <w:rFonts w:ascii="仿宋_GB2312" w:eastAsia="仿宋_GB2312" w:hAnsi="Times New Roman" w:cs="Times New Roman" w:hint="eastAsia"/>
          <w:sz w:val="24"/>
          <w:szCs w:val="24"/>
        </w:rPr>
        <w:t>烧结钕铁硼永磁材料</w:t>
      </w:r>
      <w:r>
        <w:rPr>
          <w:rFonts w:ascii="仿宋_GB2312" w:eastAsia="仿宋_GB2312" w:hAnsi="Times New Roman" w:cs="Times New Roman" w:hint="eastAsia"/>
          <w:sz w:val="24"/>
          <w:szCs w:val="24"/>
        </w:rPr>
        <w:t>“领跑者”标准评价的术语和定义、评价指标体系和评价方法。各章节主要内容如下：</w:t>
      </w:r>
    </w:p>
    <w:p w14:paraId="23A589A8"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  术语和定义</w:t>
      </w:r>
    </w:p>
    <w:p w14:paraId="209EB578" w14:textId="2AE46DC6" w:rsidR="00D04E96" w:rsidRPr="003C5E32" w:rsidRDefault="003C5E32">
      <w:pPr>
        <w:adjustRightInd/>
        <w:snapToGrid/>
        <w:spacing w:after="0" w:line="360" w:lineRule="auto"/>
        <w:ind w:firstLineChars="200" w:firstLine="480"/>
        <w:jc w:val="both"/>
        <w:rPr>
          <w:rFonts w:ascii="仿宋_GB2312" w:eastAsia="仿宋_GB2312" w:hAnsi="Times New Roman" w:cs="Times New Roman"/>
          <w:sz w:val="24"/>
          <w:szCs w:val="24"/>
        </w:rPr>
      </w:pPr>
      <w:r w:rsidRPr="003C5E32">
        <w:rPr>
          <w:rFonts w:ascii="仿宋_GB2312" w:eastAsia="仿宋_GB2312" w:hAnsi="Times New Roman" w:cs="Times New Roman" w:hint="eastAsia"/>
          <w:sz w:val="24"/>
          <w:szCs w:val="24"/>
        </w:rPr>
        <w:t>本文件没有需要界定的术语和定义。</w:t>
      </w:r>
    </w:p>
    <w:p w14:paraId="592994A7" w14:textId="143897E5"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 基本要求</w:t>
      </w:r>
    </w:p>
    <w:p w14:paraId="2B38C254" w14:textId="5A27FB8A"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 近三年，生产企业无较大及以上环境、安全、质量事故。</w:t>
      </w:r>
    </w:p>
    <w:p w14:paraId="3B83ED6D" w14:textId="052B48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 企业应未列入国家信用信息严重失信主体相关名录。</w:t>
      </w:r>
    </w:p>
    <w:p w14:paraId="4F38516D" w14:textId="3A78AB92"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2.3 企业可根据GB/T 19001、GB/T 24001、GB/T 45001建立并运行相应质量、环境和职业健康安全管理体系，鼓励企业根据自身运营情况建立更高水平的相关管理体系。</w:t>
      </w:r>
    </w:p>
    <w:p w14:paraId="3E98B2D7" w14:textId="3171096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2.4</w:t>
      </w:r>
      <w:r w:rsidR="00595E54" w:rsidRPr="00595E54">
        <w:rPr>
          <w:rFonts w:ascii="仿宋_GB2312" w:eastAsia="仿宋_GB2312" w:hAnsi="Times New Roman" w:cs="Times New Roman" w:hint="eastAsia"/>
          <w:sz w:val="24"/>
          <w:szCs w:val="24"/>
        </w:rPr>
        <w:t>产品应为量产产品，烧结钕铁硼永磁材料领跑标准应满足国家强制性标准GB/T 13560—2017规定的要求</w:t>
      </w:r>
      <w:r>
        <w:rPr>
          <w:rFonts w:ascii="仿宋_GB2312" w:eastAsia="仿宋_GB2312" w:hAnsi="Times New Roman" w:cs="Times New Roman" w:hint="eastAsia"/>
          <w:sz w:val="24"/>
          <w:szCs w:val="24"/>
        </w:rPr>
        <w:t>。</w:t>
      </w:r>
    </w:p>
    <w:p w14:paraId="0C28CC77" w14:textId="2447A3C3" w:rsidR="009D1A9D" w:rsidRDefault="009D1A9D" w:rsidP="009D1A9D">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  评价指标体系（包括基本要求、评价指标分类、评价指标体系框架）</w:t>
      </w:r>
    </w:p>
    <w:p w14:paraId="0311BFB2" w14:textId="61EEF145" w:rsidR="00D04E96" w:rsidRDefault="009D1A9D">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 评价指标分类</w:t>
      </w:r>
    </w:p>
    <w:p w14:paraId="7DEF4B73" w14:textId="3E70F6E2" w:rsidR="003C5E32" w:rsidRPr="003C5E32" w:rsidRDefault="009D1A9D" w:rsidP="003C5E32">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003C5E32">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1</w:t>
      </w:r>
      <w:r w:rsidR="003C5E32">
        <w:rPr>
          <w:rFonts w:ascii="仿宋_GB2312" w:eastAsia="仿宋_GB2312" w:hAnsi="Times New Roman" w:cs="Times New Roman" w:hint="eastAsia"/>
          <w:sz w:val="24"/>
          <w:szCs w:val="24"/>
        </w:rPr>
        <w:t xml:space="preserve">.1 </w:t>
      </w:r>
      <w:r w:rsidR="003C5E32" w:rsidRPr="003C5E32">
        <w:rPr>
          <w:rFonts w:ascii="仿宋_GB2312" w:eastAsia="仿宋_GB2312" w:hAnsi="Times New Roman" w:cs="Times New Roman" w:hint="eastAsia"/>
          <w:sz w:val="24"/>
          <w:szCs w:val="24"/>
        </w:rPr>
        <w:t>本文件中所包括的指标分为基础指标、核心指标和创新性指标。</w:t>
      </w:r>
    </w:p>
    <w:p w14:paraId="121BBB53" w14:textId="0C337290" w:rsidR="00C479E8" w:rsidRPr="00C479E8" w:rsidRDefault="009D1A9D" w:rsidP="00C479E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003C5E32">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1</w:t>
      </w:r>
      <w:r w:rsidR="003C5E32">
        <w:rPr>
          <w:rFonts w:ascii="仿宋_GB2312" w:eastAsia="仿宋_GB2312" w:hAnsi="Times New Roman" w:cs="Times New Roman" w:hint="eastAsia"/>
          <w:sz w:val="24"/>
          <w:szCs w:val="24"/>
        </w:rPr>
        <w:t xml:space="preserve">.2 </w:t>
      </w:r>
      <w:r w:rsidR="00C479E8" w:rsidRPr="00C479E8">
        <w:rPr>
          <w:rFonts w:ascii="仿宋_GB2312" w:eastAsia="仿宋_GB2312" w:hAnsi="Times New Roman" w:cs="Times New Roman" w:hint="eastAsia"/>
          <w:sz w:val="24"/>
          <w:szCs w:val="24"/>
        </w:rPr>
        <w:t>基础指标包括</w:t>
      </w:r>
      <w:r w:rsidR="00B54251" w:rsidRPr="00B54251">
        <w:rPr>
          <w:rFonts w:ascii="仿宋_GB2312" w:eastAsia="仿宋_GB2312" w:hAnsi="Times New Roman" w:cs="Times New Roman" w:hint="eastAsia"/>
          <w:sz w:val="24"/>
          <w:szCs w:val="24"/>
        </w:rPr>
        <w:t>尺寸偏差、</w:t>
      </w:r>
      <w:proofErr w:type="gramStart"/>
      <w:r w:rsidR="00B54251" w:rsidRPr="00B54251">
        <w:rPr>
          <w:rFonts w:ascii="仿宋_GB2312" w:eastAsia="仿宋_GB2312" w:hAnsi="Times New Roman" w:cs="Times New Roman" w:hint="eastAsia"/>
          <w:sz w:val="24"/>
          <w:szCs w:val="24"/>
        </w:rPr>
        <w:t>型位偏差</w:t>
      </w:r>
      <w:proofErr w:type="gramEnd"/>
      <w:r w:rsidR="00B54251" w:rsidRPr="00B54251">
        <w:rPr>
          <w:rFonts w:ascii="仿宋_GB2312" w:eastAsia="仿宋_GB2312" w:hAnsi="Times New Roman" w:cs="Times New Roman" w:hint="eastAsia"/>
          <w:sz w:val="24"/>
          <w:szCs w:val="24"/>
        </w:rPr>
        <w:t>、机械性能、物理性能、方形度、磁性能、表面镀层、外观质量</w:t>
      </w:r>
      <w:r w:rsidR="00C479E8" w:rsidRPr="00C479E8">
        <w:rPr>
          <w:rFonts w:ascii="仿宋_GB2312" w:eastAsia="仿宋_GB2312" w:hAnsi="Times New Roman" w:cs="Times New Roman" w:hint="eastAsia"/>
          <w:sz w:val="24"/>
          <w:szCs w:val="24"/>
        </w:rPr>
        <w:t>。</w:t>
      </w:r>
    </w:p>
    <w:p w14:paraId="4CEE2968" w14:textId="1E6CDAA7" w:rsidR="00C479E8" w:rsidRPr="00C479E8" w:rsidRDefault="009D1A9D" w:rsidP="00C479E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00C479E8">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1</w:t>
      </w:r>
      <w:r w:rsidR="00C479E8">
        <w:rPr>
          <w:rFonts w:ascii="仿宋_GB2312" w:eastAsia="仿宋_GB2312" w:hAnsi="Times New Roman" w:cs="Times New Roman" w:hint="eastAsia"/>
          <w:sz w:val="24"/>
          <w:szCs w:val="24"/>
        </w:rPr>
        <w:t>.3</w:t>
      </w:r>
      <w:r w:rsidR="00C479E8" w:rsidRPr="00C479E8">
        <w:rPr>
          <w:rFonts w:ascii="仿宋_GB2312" w:eastAsia="仿宋_GB2312" w:hAnsi="Times New Roman" w:cs="Times New Roman" w:hint="eastAsia"/>
          <w:sz w:val="24"/>
          <w:szCs w:val="24"/>
        </w:rPr>
        <w:t>核心指标包括</w:t>
      </w:r>
      <w:r w:rsidR="00595E54" w:rsidRPr="00595E54">
        <w:rPr>
          <w:rFonts w:ascii="仿宋_GB2312" w:eastAsia="仿宋_GB2312" w:hAnsi="Times New Roman" w:cs="Times New Roman" w:hint="eastAsia"/>
          <w:sz w:val="24"/>
          <w:szCs w:val="24"/>
        </w:rPr>
        <w:t>抗压强度、抗拉强度、热传导率、热膨胀系数</w:t>
      </w:r>
      <w:r w:rsidR="00C479E8" w:rsidRPr="00C479E8">
        <w:rPr>
          <w:rFonts w:ascii="仿宋_GB2312" w:eastAsia="仿宋_GB2312" w:hAnsi="Times New Roman" w:cs="Times New Roman" w:hint="eastAsia"/>
          <w:sz w:val="24"/>
          <w:szCs w:val="24"/>
        </w:rPr>
        <w:t>。</w:t>
      </w:r>
    </w:p>
    <w:p w14:paraId="67B754D8" w14:textId="77FA170A" w:rsidR="00C479E8" w:rsidRPr="00C479E8" w:rsidRDefault="009D1A9D" w:rsidP="00C479E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00C479E8">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1</w:t>
      </w:r>
      <w:r w:rsidR="00C479E8">
        <w:rPr>
          <w:rFonts w:ascii="仿宋_GB2312" w:eastAsia="仿宋_GB2312" w:hAnsi="Times New Roman" w:cs="Times New Roman" w:hint="eastAsia"/>
          <w:sz w:val="24"/>
          <w:szCs w:val="24"/>
        </w:rPr>
        <w:t>.4</w:t>
      </w:r>
      <w:r w:rsidR="00C479E8" w:rsidRPr="00C479E8">
        <w:rPr>
          <w:rFonts w:ascii="仿宋_GB2312" w:eastAsia="仿宋_GB2312" w:hAnsi="Times New Roman" w:cs="Times New Roman" w:hint="eastAsia"/>
          <w:sz w:val="24"/>
          <w:szCs w:val="24"/>
        </w:rPr>
        <w:t>核心指标分为先进水平（领跑者水平）、平均水平（优质水平）和基准水平（达标水平）三个等级，先进水平相当于企业标准排行榜5星级水平；平均水平相当于企业标准排行榜中4星级水平；基准水平相当于企业标准排行榜中3星级水平。</w:t>
      </w:r>
    </w:p>
    <w:p w14:paraId="45B98C7A" w14:textId="3E8E57A7" w:rsidR="003C5E32" w:rsidRPr="003C5E32" w:rsidRDefault="009D1A9D" w:rsidP="00C479E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00C479E8">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1</w:t>
      </w:r>
      <w:r w:rsidR="00C479E8">
        <w:rPr>
          <w:rFonts w:ascii="仿宋_GB2312" w:eastAsia="仿宋_GB2312" w:hAnsi="Times New Roman" w:cs="Times New Roman" w:hint="eastAsia"/>
          <w:sz w:val="24"/>
          <w:szCs w:val="24"/>
        </w:rPr>
        <w:t>.5</w:t>
      </w:r>
      <w:r w:rsidR="00C479E8" w:rsidRPr="00C479E8">
        <w:rPr>
          <w:rFonts w:ascii="仿宋_GB2312" w:eastAsia="仿宋_GB2312" w:hAnsi="Times New Roman" w:cs="Times New Roman" w:hint="eastAsia"/>
          <w:sz w:val="24"/>
          <w:szCs w:val="24"/>
        </w:rPr>
        <w:t>创新性指标包括</w:t>
      </w:r>
      <w:r w:rsidR="00595E54" w:rsidRPr="00595E54">
        <w:rPr>
          <w:rFonts w:ascii="仿宋_GB2312" w:eastAsia="仿宋_GB2312" w:hAnsi="Times New Roman" w:cs="Times New Roman" w:hint="eastAsia"/>
          <w:sz w:val="24"/>
          <w:szCs w:val="24"/>
        </w:rPr>
        <w:t>有害物质限量</w:t>
      </w:r>
      <w:r w:rsidR="00C479E8" w:rsidRPr="00C479E8">
        <w:rPr>
          <w:rFonts w:ascii="仿宋_GB2312" w:eastAsia="仿宋_GB2312" w:hAnsi="Times New Roman" w:cs="Times New Roman" w:hint="eastAsia"/>
          <w:sz w:val="24"/>
          <w:szCs w:val="24"/>
        </w:rPr>
        <w:t>。鼓励根据条件成熟情况适时增加与产品性能和消费者关注的相关创新性指标</w:t>
      </w:r>
      <w:r w:rsidR="003C5E32" w:rsidRPr="003C5E32">
        <w:rPr>
          <w:rFonts w:ascii="仿宋_GB2312" w:eastAsia="仿宋_GB2312" w:hAnsi="Times New Roman" w:cs="Times New Roman" w:hint="eastAsia"/>
          <w:sz w:val="24"/>
          <w:szCs w:val="24"/>
        </w:rPr>
        <w:t>。</w:t>
      </w:r>
    </w:p>
    <w:p w14:paraId="5C8EB8D9" w14:textId="281E3273" w:rsidR="00D04E96" w:rsidRDefault="009D1A9D">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3.2评价指标体系框架</w:t>
      </w:r>
    </w:p>
    <w:p w14:paraId="6A5652B1" w14:textId="24F1CD1E"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加强质量分级与“领跑者”评价指标体系，</w:t>
      </w:r>
      <w:r w:rsidR="00595E54" w:rsidRPr="00595E54">
        <w:rPr>
          <w:rFonts w:ascii="仿宋_GB2312" w:eastAsia="仿宋_GB2312" w:hAnsi="Times New Roman" w:cs="Times New Roman" w:hint="eastAsia"/>
          <w:sz w:val="24"/>
          <w:szCs w:val="24"/>
        </w:rPr>
        <w:t>烧结钕铁硼永磁材料</w:t>
      </w:r>
      <w:r>
        <w:rPr>
          <w:rFonts w:ascii="仿宋_GB2312" w:eastAsia="仿宋_GB2312" w:hAnsi="Times New Roman" w:cs="Times New Roman" w:hint="eastAsia"/>
          <w:sz w:val="24"/>
          <w:szCs w:val="24"/>
        </w:rPr>
        <w:t>“领跑者”标准评价指标体系框架见表1。</w:t>
      </w:r>
    </w:p>
    <w:p w14:paraId="0CAF45CB" w14:textId="77777777" w:rsidR="00D04E96" w:rsidRDefault="00000000">
      <w:pPr>
        <w:pStyle w:val="a"/>
        <w:spacing w:before="156" w:after="156"/>
        <w:rPr>
          <w:rFonts w:hAnsi="宋体" w:hint="default"/>
          <w:color w:val="000000"/>
          <w:szCs w:val="21"/>
        </w:rPr>
      </w:pPr>
      <w:r>
        <w:rPr>
          <w:rFonts w:hAnsi="宋体"/>
          <w:color w:val="000000"/>
          <w:szCs w:val="21"/>
        </w:rPr>
        <w:t>评价指标体系框架</w:t>
      </w:r>
    </w:p>
    <w:tbl>
      <w:tblPr>
        <w:tblStyle w:val="a9"/>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5"/>
        <w:gridCol w:w="621"/>
        <w:gridCol w:w="736"/>
        <w:gridCol w:w="1215"/>
        <w:gridCol w:w="1077"/>
        <w:gridCol w:w="1044"/>
        <w:gridCol w:w="988"/>
        <w:gridCol w:w="988"/>
        <w:gridCol w:w="1332"/>
      </w:tblGrid>
      <w:tr w:rsidR="004D4938" w14:paraId="50465310" w14:textId="77777777" w:rsidTr="00EE37BD">
        <w:trPr>
          <w:trHeight w:val="407"/>
          <w:tblHeader/>
          <w:jc w:val="center"/>
        </w:trPr>
        <w:tc>
          <w:tcPr>
            <w:tcW w:w="172" w:type="pct"/>
            <w:vMerge w:val="restart"/>
            <w:tcBorders>
              <w:top w:val="single" w:sz="8" w:space="0" w:color="auto"/>
            </w:tcBorders>
            <w:shd w:val="clear" w:color="auto" w:fill="auto"/>
            <w:vAlign w:val="center"/>
          </w:tcPr>
          <w:p w14:paraId="41117F86" w14:textId="77777777" w:rsidR="004D4938" w:rsidRDefault="004D4938" w:rsidP="00EE37BD">
            <w:pPr>
              <w:pStyle w:val="ac"/>
            </w:pPr>
            <w:bookmarkStart w:id="1" w:name="_Hlk164190928"/>
            <w:r>
              <w:t>序号</w:t>
            </w:r>
          </w:p>
        </w:tc>
        <w:tc>
          <w:tcPr>
            <w:tcW w:w="375" w:type="pct"/>
            <w:vMerge w:val="restart"/>
            <w:tcBorders>
              <w:top w:val="single" w:sz="8" w:space="0" w:color="auto"/>
            </w:tcBorders>
            <w:shd w:val="clear" w:color="auto" w:fill="auto"/>
            <w:vAlign w:val="center"/>
          </w:tcPr>
          <w:p w14:paraId="57561723" w14:textId="77777777" w:rsidR="004D4938" w:rsidRDefault="004D4938" w:rsidP="00EE37BD">
            <w:pPr>
              <w:pStyle w:val="ac"/>
            </w:pPr>
            <w:r>
              <w:t>指标类型</w:t>
            </w:r>
          </w:p>
        </w:tc>
        <w:tc>
          <w:tcPr>
            <w:tcW w:w="1177" w:type="pct"/>
            <w:gridSpan w:val="2"/>
            <w:vMerge w:val="restart"/>
            <w:tcBorders>
              <w:top w:val="single" w:sz="8" w:space="0" w:color="auto"/>
            </w:tcBorders>
            <w:vAlign w:val="center"/>
          </w:tcPr>
          <w:p w14:paraId="1CC2834B" w14:textId="77777777" w:rsidR="004D4938" w:rsidRDefault="004D4938" w:rsidP="00EE37BD">
            <w:pPr>
              <w:pStyle w:val="ac"/>
            </w:pPr>
            <w:r>
              <w:t>评价指标</w:t>
            </w:r>
          </w:p>
        </w:tc>
        <w:tc>
          <w:tcPr>
            <w:tcW w:w="650" w:type="pct"/>
            <w:vMerge w:val="restart"/>
            <w:tcBorders>
              <w:top w:val="single" w:sz="8" w:space="0" w:color="auto"/>
            </w:tcBorders>
            <w:shd w:val="clear" w:color="auto" w:fill="auto"/>
            <w:vAlign w:val="center"/>
          </w:tcPr>
          <w:p w14:paraId="6D338519" w14:textId="77777777" w:rsidR="004D4938" w:rsidRDefault="004D4938" w:rsidP="00EE37BD">
            <w:pPr>
              <w:pStyle w:val="ac"/>
            </w:pPr>
            <w:r>
              <w:t>指标来源</w:t>
            </w:r>
          </w:p>
        </w:tc>
        <w:tc>
          <w:tcPr>
            <w:tcW w:w="1822" w:type="pct"/>
            <w:gridSpan w:val="3"/>
            <w:tcBorders>
              <w:top w:val="single" w:sz="8" w:space="0" w:color="auto"/>
              <w:bottom w:val="single" w:sz="8" w:space="0" w:color="auto"/>
            </w:tcBorders>
            <w:shd w:val="clear" w:color="auto" w:fill="auto"/>
            <w:vAlign w:val="center"/>
          </w:tcPr>
          <w:p w14:paraId="6C85FA67" w14:textId="77777777" w:rsidR="004D4938" w:rsidRDefault="004D4938" w:rsidP="00EE37BD">
            <w:pPr>
              <w:pStyle w:val="ac"/>
            </w:pPr>
            <w:r>
              <w:t>指标水平分级</w:t>
            </w:r>
          </w:p>
        </w:tc>
        <w:tc>
          <w:tcPr>
            <w:tcW w:w="804" w:type="pct"/>
            <w:vMerge w:val="restart"/>
            <w:tcBorders>
              <w:top w:val="single" w:sz="8" w:space="0" w:color="auto"/>
            </w:tcBorders>
            <w:shd w:val="clear" w:color="auto" w:fill="auto"/>
            <w:vAlign w:val="center"/>
          </w:tcPr>
          <w:p w14:paraId="6AE43807" w14:textId="77777777" w:rsidR="004D4938" w:rsidRDefault="004D4938" w:rsidP="00EE37BD">
            <w:pPr>
              <w:pStyle w:val="ac"/>
            </w:pPr>
            <w:r>
              <w:t>判定依据</w:t>
            </w:r>
            <w:r>
              <w:t>/</w:t>
            </w:r>
            <w:r>
              <w:t>方法</w:t>
            </w:r>
          </w:p>
        </w:tc>
      </w:tr>
      <w:tr w:rsidR="004D4938" w14:paraId="2080538A" w14:textId="77777777" w:rsidTr="00EE37BD">
        <w:trPr>
          <w:trHeight w:val="417"/>
          <w:tblHeader/>
          <w:jc w:val="center"/>
        </w:trPr>
        <w:tc>
          <w:tcPr>
            <w:tcW w:w="172" w:type="pct"/>
            <w:vMerge/>
            <w:tcBorders>
              <w:bottom w:val="single" w:sz="8" w:space="0" w:color="auto"/>
            </w:tcBorders>
            <w:shd w:val="clear" w:color="auto" w:fill="auto"/>
            <w:vAlign w:val="center"/>
          </w:tcPr>
          <w:p w14:paraId="34ED63A8" w14:textId="77777777" w:rsidR="004D4938" w:rsidRDefault="004D4938" w:rsidP="00EE37BD">
            <w:pPr>
              <w:pStyle w:val="ac"/>
            </w:pPr>
          </w:p>
        </w:tc>
        <w:tc>
          <w:tcPr>
            <w:tcW w:w="375" w:type="pct"/>
            <w:vMerge/>
            <w:tcBorders>
              <w:bottom w:val="single" w:sz="8" w:space="0" w:color="auto"/>
            </w:tcBorders>
            <w:shd w:val="clear" w:color="auto" w:fill="auto"/>
            <w:vAlign w:val="center"/>
          </w:tcPr>
          <w:p w14:paraId="1214EB84" w14:textId="77777777" w:rsidR="004D4938" w:rsidRDefault="004D4938" w:rsidP="00EE37BD">
            <w:pPr>
              <w:pStyle w:val="ac"/>
            </w:pPr>
          </w:p>
        </w:tc>
        <w:tc>
          <w:tcPr>
            <w:tcW w:w="1177" w:type="pct"/>
            <w:gridSpan w:val="2"/>
            <w:vMerge/>
            <w:tcBorders>
              <w:bottom w:val="single" w:sz="8" w:space="0" w:color="auto"/>
            </w:tcBorders>
            <w:vAlign w:val="center"/>
          </w:tcPr>
          <w:p w14:paraId="479BE55E" w14:textId="77777777" w:rsidR="004D4938" w:rsidRDefault="004D4938" w:rsidP="00EE37BD">
            <w:pPr>
              <w:pStyle w:val="ac"/>
            </w:pPr>
          </w:p>
        </w:tc>
        <w:tc>
          <w:tcPr>
            <w:tcW w:w="650" w:type="pct"/>
            <w:vMerge/>
            <w:tcBorders>
              <w:bottom w:val="single" w:sz="8" w:space="0" w:color="auto"/>
            </w:tcBorders>
            <w:shd w:val="clear" w:color="auto" w:fill="auto"/>
            <w:vAlign w:val="center"/>
          </w:tcPr>
          <w:p w14:paraId="42BB2CC0" w14:textId="77777777" w:rsidR="004D4938" w:rsidRDefault="004D4938" w:rsidP="00EE37BD">
            <w:pPr>
              <w:pStyle w:val="ac"/>
            </w:pPr>
          </w:p>
        </w:tc>
        <w:tc>
          <w:tcPr>
            <w:tcW w:w="630" w:type="pct"/>
            <w:tcBorders>
              <w:top w:val="single" w:sz="8" w:space="0" w:color="auto"/>
              <w:bottom w:val="single" w:sz="8" w:space="0" w:color="auto"/>
            </w:tcBorders>
            <w:shd w:val="clear" w:color="auto" w:fill="auto"/>
            <w:vAlign w:val="center"/>
          </w:tcPr>
          <w:p w14:paraId="21B0A748" w14:textId="77777777" w:rsidR="004D4938" w:rsidRDefault="004D4938" w:rsidP="00EE37BD">
            <w:pPr>
              <w:pStyle w:val="ac"/>
            </w:pPr>
            <w:r>
              <w:t>先进水平</w:t>
            </w:r>
          </w:p>
        </w:tc>
        <w:tc>
          <w:tcPr>
            <w:tcW w:w="596" w:type="pct"/>
            <w:tcBorders>
              <w:top w:val="single" w:sz="8" w:space="0" w:color="auto"/>
              <w:bottom w:val="single" w:sz="8" w:space="0" w:color="auto"/>
            </w:tcBorders>
            <w:shd w:val="clear" w:color="auto" w:fill="auto"/>
            <w:vAlign w:val="center"/>
          </w:tcPr>
          <w:p w14:paraId="110E2D5B" w14:textId="77777777" w:rsidR="004D4938" w:rsidRDefault="004D4938" w:rsidP="00EE37BD">
            <w:pPr>
              <w:pStyle w:val="ac"/>
            </w:pPr>
            <w:r>
              <w:t>平均水平</w:t>
            </w:r>
          </w:p>
        </w:tc>
        <w:tc>
          <w:tcPr>
            <w:tcW w:w="596" w:type="pct"/>
            <w:tcBorders>
              <w:top w:val="single" w:sz="8" w:space="0" w:color="auto"/>
              <w:bottom w:val="single" w:sz="8" w:space="0" w:color="auto"/>
            </w:tcBorders>
            <w:shd w:val="clear" w:color="auto" w:fill="auto"/>
            <w:vAlign w:val="center"/>
          </w:tcPr>
          <w:p w14:paraId="67EEB860" w14:textId="77777777" w:rsidR="004D4938" w:rsidRDefault="004D4938" w:rsidP="00EE37BD">
            <w:pPr>
              <w:pStyle w:val="ac"/>
            </w:pPr>
            <w:r>
              <w:t>基准水平</w:t>
            </w:r>
          </w:p>
        </w:tc>
        <w:tc>
          <w:tcPr>
            <w:tcW w:w="804" w:type="pct"/>
            <w:vMerge/>
            <w:tcBorders>
              <w:bottom w:val="single" w:sz="8" w:space="0" w:color="auto"/>
            </w:tcBorders>
            <w:shd w:val="clear" w:color="auto" w:fill="auto"/>
            <w:vAlign w:val="center"/>
          </w:tcPr>
          <w:p w14:paraId="4C241D2E" w14:textId="77777777" w:rsidR="004D4938" w:rsidRDefault="004D4938" w:rsidP="00EE37BD">
            <w:pPr>
              <w:pStyle w:val="ac"/>
            </w:pPr>
          </w:p>
        </w:tc>
      </w:tr>
      <w:tr w:rsidR="004D4938" w14:paraId="66777A09" w14:textId="77777777" w:rsidTr="00EE37BD">
        <w:trPr>
          <w:jc w:val="center"/>
        </w:trPr>
        <w:tc>
          <w:tcPr>
            <w:tcW w:w="172" w:type="pct"/>
            <w:tcBorders>
              <w:top w:val="single" w:sz="8" w:space="0" w:color="auto"/>
            </w:tcBorders>
            <w:shd w:val="clear" w:color="auto" w:fill="auto"/>
            <w:vAlign w:val="center"/>
          </w:tcPr>
          <w:p w14:paraId="7611A933" w14:textId="77777777" w:rsidR="004D4938" w:rsidRDefault="004D4938" w:rsidP="00EE37BD">
            <w:pPr>
              <w:pStyle w:val="ac"/>
            </w:pPr>
            <w:bookmarkStart w:id="2" w:name="_Hlk164191502"/>
            <w:r>
              <w:t>1</w:t>
            </w:r>
          </w:p>
        </w:tc>
        <w:tc>
          <w:tcPr>
            <w:tcW w:w="375" w:type="pct"/>
            <w:vMerge w:val="restart"/>
            <w:tcBorders>
              <w:top w:val="single" w:sz="8" w:space="0" w:color="auto"/>
            </w:tcBorders>
            <w:shd w:val="clear" w:color="auto" w:fill="auto"/>
            <w:vAlign w:val="center"/>
          </w:tcPr>
          <w:p w14:paraId="1E950217" w14:textId="77777777" w:rsidR="004D4938" w:rsidRDefault="004D4938" w:rsidP="00EE37BD">
            <w:pPr>
              <w:pStyle w:val="ac"/>
            </w:pPr>
            <w:r>
              <w:t>基础指标</w:t>
            </w:r>
          </w:p>
        </w:tc>
        <w:tc>
          <w:tcPr>
            <w:tcW w:w="1177" w:type="pct"/>
            <w:gridSpan w:val="2"/>
            <w:tcBorders>
              <w:top w:val="single" w:sz="8" w:space="0" w:color="auto"/>
            </w:tcBorders>
            <w:vAlign w:val="center"/>
          </w:tcPr>
          <w:p w14:paraId="557DE9DF" w14:textId="77777777" w:rsidR="004D4938" w:rsidRDefault="004D4938" w:rsidP="00EE37BD">
            <w:pPr>
              <w:pStyle w:val="ac"/>
            </w:pPr>
            <w:r>
              <w:t>尺寸偏差</w:t>
            </w:r>
          </w:p>
        </w:tc>
        <w:tc>
          <w:tcPr>
            <w:tcW w:w="650" w:type="pct"/>
            <w:tcBorders>
              <w:top w:val="single" w:sz="8" w:space="0" w:color="auto"/>
            </w:tcBorders>
            <w:shd w:val="clear" w:color="auto" w:fill="auto"/>
            <w:vAlign w:val="center"/>
          </w:tcPr>
          <w:p w14:paraId="5A81EEB8" w14:textId="77777777" w:rsidR="004D4938" w:rsidRDefault="004D4938" w:rsidP="00EE37BD">
            <w:pPr>
              <w:pStyle w:val="ac"/>
            </w:pPr>
            <w:r>
              <w:t>GB/T 13560</w:t>
            </w:r>
            <w:r>
              <w:t>—</w:t>
            </w:r>
            <w:r>
              <w:t>2017</w:t>
            </w:r>
          </w:p>
        </w:tc>
        <w:tc>
          <w:tcPr>
            <w:tcW w:w="1822" w:type="pct"/>
            <w:gridSpan w:val="3"/>
            <w:vMerge w:val="restart"/>
            <w:tcBorders>
              <w:top w:val="single" w:sz="8" w:space="0" w:color="auto"/>
            </w:tcBorders>
            <w:shd w:val="clear" w:color="auto" w:fill="auto"/>
            <w:vAlign w:val="center"/>
          </w:tcPr>
          <w:p w14:paraId="45AFF976" w14:textId="77777777" w:rsidR="004D4938" w:rsidRDefault="004D4938" w:rsidP="00EE37BD">
            <w:pPr>
              <w:pStyle w:val="ac"/>
            </w:pPr>
            <w:r>
              <w:t>符合标准要求</w:t>
            </w:r>
          </w:p>
        </w:tc>
        <w:tc>
          <w:tcPr>
            <w:tcW w:w="804" w:type="pct"/>
            <w:tcBorders>
              <w:top w:val="single" w:sz="8" w:space="0" w:color="auto"/>
            </w:tcBorders>
            <w:shd w:val="clear" w:color="auto" w:fill="auto"/>
            <w:vAlign w:val="center"/>
          </w:tcPr>
          <w:p w14:paraId="0B01FDEF" w14:textId="77777777" w:rsidR="004D4938" w:rsidRDefault="004D4938" w:rsidP="00EE37BD">
            <w:pPr>
              <w:pStyle w:val="ac"/>
            </w:pPr>
            <w:r>
              <w:t>GB/T 13560</w:t>
            </w:r>
            <w:r>
              <w:t>—</w:t>
            </w:r>
            <w:r>
              <w:t>2017</w:t>
            </w:r>
          </w:p>
        </w:tc>
      </w:tr>
      <w:bookmarkEnd w:id="2"/>
      <w:tr w:rsidR="004D4938" w14:paraId="705FBCA6" w14:textId="77777777" w:rsidTr="00EE37BD">
        <w:trPr>
          <w:jc w:val="center"/>
        </w:trPr>
        <w:tc>
          <w:tcPr>
            <w:tcW w:w="172" w:type="pct"/>
            <w:shd w:val="clear" w:color="auto" w:fill="auto"/>
            <w:vAlign w:val="center"/>
          </w:tcPr>
          <w:p w14:paraId="10919EAA" w14:textId="77777777" w:rsidR="004D4938" w:rsidRDefault="004D4938" w:rsidP="00EE37BD">
            <w:pPr>
              <w:pStyle w:val="ac"/>
            </w:pPr>
            <w:r>
              <w:t>2</w:t>
            </w:r>
          </w:p>
        </w:tc>
        <w:tc>
          <w:tcPr>
            <w:tcW w:w="375" w:type="pct"/>
            <w:vMerge/>
            <w:shd w:val="clear" w:color="auto" w:fill="auto"/>
            <w:vAlign w:val="center"/>
          </w:tcPr>
          <w:p w14:paraId="3D8088BE" w14:textId="77777777" w:rsidR="004D4938" w:rsidRDefault="004D4938" w:rsidP="00EE37BD">
            <w:pPr>
              <w:pStyle w:val="ac"/>
            </w:pPr>
          </w:p>
        </w:tc>
        <w:tc>
          <w:tcPr>
            <w:tcW w:w="1177" w:type="pct"/>
            <w:gridSpan w:val="2"/>
            <w:vAlign w:val="center"/>
          </w:tcPr>
          <w:p w14:paraId="070AC894" w14:textId="77777777" w:rsidR="004D4938" w:rsidRDefault="004D4938" w:rsidP="00EE37BD">
            <w:pPr>
              <w:pStyle w:val="ac"/>
            </w:pPr>
            <w:proofErr w:type="gramStart"/>
            <w:r>
              <w:t>型位偏差</w:t>
            </w:r>
            <w:proofErr w:type="gramEnd"/>
          </w:p>
        </w:tc>
        <w:tc>
          <w:tcPr>
            <w:tcW w:w="650" w:type="pct"/>
            <w:shd w:val="clear" w:color="auto" w:fill="auto"/>
            <w:vAlign w:val="center"/>
          </w:tcPr>
          <w:p w14:paraId="43BD8A4A" w14:textId="77777777" w:rsidR="004D4938" w:rsidRDefault="004D4938" w:rsidP="00EE37BD">
            <w:pPr>
              <w:pStyle w:val="ac"/>
            </w:pPr>
            <w:r>
              <w:t>GB/T 13560</w:t>
            </w:r>
            <w:r>
              <w:t>—</w:t>
            </w:r>
            <w:r>
              <w:t>2017</w:t>
            </w:r>
          </w:p>
        </w:tc>
        <w:tc>
          <w:tcPr>
            <w:tcW w:w="1822" w:type="pct"/>
            <w:gridSpan w:val="3"/>
            <w:vMerge/>
            <w:shd w:val="clear" w:color="auto" w:fill="auto"/>
            <w:vAlign w:val="center"/>
          </w:tcPr>
          <w:p w14:paraId="596F1F62" w14:textId="77777777" w:rsidR="004D4938" w:rsidRDefault="004D4938" w:rsidP="00EE37BD">
            <w:pPr>
              <w:pStyle w:val="ac"/>
            </w:pPr>
          </w:p>
        </w:tc>
        <w:tc>
          <w:tcPr>
            <w:tcW w:w="804" w:type="pct"/>
            <w:shd w:val="clear" w:color="auto" w:fill="auto"/>
            <w:vAlign w:val="center"/>
          </w:tcPr>
          <w:p w14:paraId="1713DF07" w14:textId="77777777" w:rsidR="004D4938" w:rsidRDefault="004D4938" w:rsidP="00EE37BD">
            <w:pPr>
              <w:pStyle w:val="ac"/>
            </w:pPr>
            <w:r>
              <w:t>GB/T 13560</w:t>
            </w:r>
            <w:r>
              <w:t>—</w:t>
            </w:r>
            <w:r>
              <w:t>2017</w:t>
            </w:r>
          </w:p>
        </w:tc>
      </w:tr>
      <w:tr w:rsidR="004D4938" w14:paraId="4AB15000" w14:textId="77777777" w:rsidTr="00EE37BD">
        <w:trPr>
          <w:jc w:val="center"/>
        </w:trPr>
        <w:tc>
          <w:tcPr>
            <w:tcW w:w="172" w:type="pct"/>
            <w:shd w:val="clear" w:color="auto" w:fill="auto"/>
            <w:vAlign w:val="center"/>
          </w:tcPr>
          <w:p w14:paraId="23D5137C" w14:textId="77777777" w:rsidR="004D4938" w:rsidRDefault="004D4938" w:rsidP="00EE37BD">
            <w:pPr>
              <w:pStyle w:val="ac"/>
            </w:pPr>
            <w:r>
              <w:t>3</w:t>
            </w:r>
          </w:p>
        </w:tc>
        <w:tc>
          <w:tcPr>
            <w:tcW w:w="375" w:type="pct"/>
            <w:vMerge/>
            <w:shd w:val="clear" w:color="auto" w:fill="auto"/>
            <w:vAlign w:val="center"/>
          </w:tcPr>
          <w:p w14:paraId="4059342B" w14:textId="77777777" w:rsidR="004D4938" w:rsidRDefault="004D4938" w:rsidP="00EE37BD">
            <w:pPr>
              <w:pStyle w:val="ac"/>
            </w:pPr>
          </w:p>
        </w:tc>
        <w:tc>
          <w:tcPr>
            <w:tcW w:w="1177" w:type="pct"/>
            <w:gridSpan w:val="2"/>
            <w:vAlign w:val="center"/>
          </w:tcPr>
          <w:p w14:paraId="39333156" w14:textId="77777777" w:rsidR="004D4938" w:rsidRDefault="004D4938" w:rsidP="00EE37BD">
            <w:pPr>
              <w:pStyle w:val="ac"/>
            </w:pPr>
            <w:r>
              <w:t>机械性能</w:t>
            </w:r>
          </w:p>
        </w:tc>
        <w:tc>
          <w:tcPr>
            <w:tcW w:w="650" w:type="pct"/>
            <w:shd w:val="clear" w:color="auto" w:fill="auto"/>
            <w:vAlign w:val="center"/>
          </w:tcPr>
          <w:p w14:paraId="7BF8704D" w14:textId="77777777" w:rsidR="004D4938" w:rsidRDefault="004D4938" w:rsidP="00EE37BD">
            <w:pPr>
              <w:pStyle w:val="ac"/>
            </w:pPr>
            <w:r>
              <w:t>GB/T 13560</w:t>
            </w:r>
            <w:r>
              <w:t>—</w:t>
            </w:r>
            <w:r>
              <w:t>2017</w:t>
            </w:r>
          </w:p>
        </w:tc>
        <w:tc>
          <w:tcPr>
            <w:tcW w:w="1822" w:type="pct"/>
            <w:gridSpan w:val="3"/>
            <w:vMerge/>
            <w:shd w:val="clear" w:color="auto" w:fill="auto"/>
            <w:vAlign w:val="center"/>
          </w:tcPr>
          <w:p w14:paraId="04F945CB" w14:textId="77777777" w:rsidR="004D4938" w:rsidRDefault="004D4938" w:rsidP="00EE37BD">
            <w:pPr>
              <w:pStyle w:val="ac"/>
            </w:pPr>
          </w:p>
        </w:tc>
        <w:tc>
          <w:tcPr>
            <w:tcW w:w="804" w:type="pct"/>
            <w:shd w:val="clear" w:color="auto" w:fill="auto"/>
            <w:vAlign w:val="center"/>
          </w:tcPr>
          <w:p w14:paraId="69F72E1F" w14:textId="77777777" w:rsidR="004D4938" w:rsidRDefault="004D4938" w:rsidP="00EE37BD">
            <w:pPr>
              <w:pStyle w:val="ac"/>
            </w:pPr>
            <w:r>
              <w:t>GB/T 13560</w:t>
            </w:r>
            <w:r>
              <w:t>—</w:t>
            </w:r>
            <w:r>
              <w:t>2017</w:t>
            </w:r>
          </w:p>
        </w:tc>
      </w:tr>
      <w:tr w:rsidR="004D4938" w14:paraId="23D80DEF" w14:textId="77777777" w:rsidTr="00EE37BD">
        <w:trPr>
          <w:jc w:val="center"/>
        </w:trPr>
        <w:tc>
          <w:tcPr>
            <w:tcW w:w="172" w:type="pct"/>
            <w:shd w:val="clear" w:color="auto" w:fill="auto"/>
            <w:vAlign w:val="center"/>
          </w:tcPr>
          <w:p w14:paraId="0F56E9B1" w14:textId="77777777" w:rsidR="004D4938" w:rsidRDefault="004D4938" w:rsidP="00EE37BD">
            <w:pPr>
              <w:pStyle w:val="ac"/>
            </w:pPr>
            <w:r>
              <w:t>4</w:t>
            </w:r>
          </w:p>
        </w:tc>
        <w:tc>
          <w:tcPr>
            <w:tcW w:w="375" w:type="pct"/>
            <w:vMerge/>
            <w:shd w:val="clear" w:color="auto" w:fill="auto"/>
            <w:vAlign w:val="center"/>
          </w:tcPr>
          <w:p w14:paraId="144FEF0A" w14:textId="77777777" w:rsidR="004D4938" w:rsidRDefault="004D4938" w:rsidP="00EE37BD">
            <w:pPr>
              <w:pStyle w:val="ac"/>
            </w:pPr>
          </w:p>
        </w:tc>
        <w:tc>
          <w:tcPr>
            <w:tcW w:w="1177" w:type="pct"/>
            <w:gridSpan w:val="2"/>
            <w:vAlign w:val="center"/>
          </w:tcPr>
          <w:p w14:paraId="59920DE6" w14:textId="77777777" w:rsidR="004D4938" w:rsidRDefault="004D4938" w:rsidP="00EE37BD">
            <w:pPr>
              <w:pStyle w:val="ac"/>
            </w:pPr>
            <w:r>
              <w:t>物理性能</w:t>
            </w:r>
          </w:p>
        </w:tc>
        <w:tc>
          <w:tcPr>
            <w:tcW w:w="650" w:type="pct"/>
            <w:shd w:val="clear" w:color="auto" w:fill="auto"/>
            <w:vAlign w:val="center"/>
          </w:tcPr>
          <w:p w14:paraId="532C2465" w14:textId="77777777" w:rsidR="004D4938" w:rsidRDefault="004D4938" w:rsidP="00EE37BD">
            <w:pPr>
              <w:pStyle w:val="ac"/>
            </w:pPr>
            <w:r>
              <w:t xml:space="preserve">GB/T </w:t>
            </w:r>
            <w:r>
              <w:lastRenderedPageBreak/>
              <w:t>13560</w:t>
            </w:r>
            <w:r>
              <w:t>—</w:t>
            </w:r>
            <w:r>
              <w:t>2017</w:t>
            </w:r>
          </w:p>
        </w:tc>
        <w:tc>
          <w:tcPr>
            <w:tcW w:w="1822" w:type="pct"/>
            <w:gridSpan w:val="3"/>
            <w:vMerge/>
            <w:shd w:val="clear" w:color="auto" w:fill="auto"/>
            <w:vAlign w:val="center"/>
          </w:tcPr>
          <w:p w14:paraId="5F7D097C" w14:textId="77777777" w:rsidR="004D4938" w:rsidRDefault="004D4938" w:rsidP="00EE37BD">
            <w:pPr>
              <w:pStyle w:val="ac"/>
            </w:pPr>
          </w:p>
        </w:tc>
        <w:tc>
          <w:tcPr>
            <w:tcW w:w="804" w:type="pct"/>
            <w:shd w:val="clear" w:color="auto" w:fill="auto"/>
            <w:vAlign w:val="center"/>
          </w:tcPr>
          <w:p w14:paraId="5AE1CF3C" w14:textId="77777777" w:rsidR="004D4938" w:rsidRDefault="004D4938" w:rsidP="00EE37BD">
            <w:pPr>
              <w:pStyle w:val="ac"/>
            </w:pPr>
            <w:r>
              <w:t>GB/T 13560</w:t>
            </w:r>
            <w:r>
              <w:t>—</w:t>
            </w:r>
            <w:r>
              <w:lastRenderedPageBreak/>
              <w:t>2017</w:t>
            </w:r>
          </w:p>
        </w:tc>
      </w:tr>
      <w:tr w:rsidR="004D4938" w14:paraId="49231265" w14:textId="77777777" w:rsidTr="00EE37BD">
        <w:trPr>
          <w:jc w:val="center"/>
        </w:trPr>
        <w:tc>
          <w:tcPr>
            <w:tcW w:w="172" w:type="pct"/>
            <w:shd w:val="clear" w:color="auto" w:fill="auto"/>
            <w:vAlign w:val="center"/>
          </w:tcPr>
          <w:p w14:paraId="329B5B33" w14:textId="77777777" w:rsidR="004D4938" w:rsidRDefault="004D4938" w:rsidP="00EE37BD">
            <w:pPr>
              <w:pStyle w:val="ac"/>
            </w:pPr>
            <w:r>
              <w:lastRenderedPageBreak/>
              <w:t>5</w:t>
            </w:r>
          </w:p>
        </w:tc>
        <w:tc>
          <w:tcPr>
            <w:tcW w:w="375" w:type="pct"/>
            <w:vMerge/>
            <w:shd w:val="clear" w:color="auto" w:fill="auto"/>
            <w:vAlign w:val="center"/>
          </w:tcPr>
          <w:p w14:paraId="0D06710C" w14:textId="77777777" w:rsidR="004D4938" w:rsidRDefault="004D4938" w:rsidP="00EE37BD">
            <w:pPr>
              <w:pStyle w:val="ac"/>
            </w:pPr>
          </w:p>
        </w:tc>
        <w:tc>
          <w:tcPr>
            <w:tcW w:w="1177" w:type="pct"/>
            <w:gridSpan w:val="2"/>
            <w:vAlign w:val="center"/>
          </w:tcPr>
          <w:p w14:paraId="4B2B91B5" w14:textId="77777777" w:rsidR="004D4938" w:rsidRDefault="004D4938" w:rsidP="00EE37BD">
            <w:pPr>
              <w:pStyle w:val="ac"/>
            </w:pPr>
            <w:r>
              <w:t>方形度</w:t>
            </w:r>
          </w:p>
        </w:tc>
        <w:tc>
          <w:tcPr>
            <w:tcW w:w="650" w:type="pct"/>
            <w:shd w:val="clear" w:color="auto" w:fill="auto"/>
            <w:vAlign w:val="center"/>
          </w:tcPr>
          <w:p w14:paraId="61819702" w14:textId="77777777" w:rsidR="004D4938" w:rsidRDefault="004D4938" w:rsidP="00EE37BD">
            <w:pPr>
              <w:pStyle w:val="ac"/>
            </w:pPr>
            <w:r>
              <w:t>GB/T 13560</w:t>
            </w:r>
            <w:r>
              <w:t>—</w:t>
            </w:r>
            <w:r>
              <w:t>2017</w:t>
            </w:r>
          </w:p>
        </w:tc>
        <w:tc>
          <w:tcPr>
            <w:tcW w:w="1822" w:type="pct"/>
            <w:gridSpan w:val="3"/>
            <w:vMerge/>
            <w:shd w:val="clear" w:color="auto" w:fill="auto"/>
            <w:vAlign w:val="center"/>
          </w:tcPr>
          <w:p w14:paraId="438B01CA" w14:textId="77777777" w:rsidR="004D4938" w:rsidRDefault="004D4938" w:rsidP="00EE37BD">
            <w:pPr>
              <w:pStyle w:val="ac"/>
            </w:pPr>
          </w:p>
        </w:tc>
        <w:tc>
          <w:tcPr>
            <w:tcW w:w="804" w:type="pct"/>
            <w:shd w:val="clear" w:color="auto" w:fill="auto"/>
            <w:vAlign w:val="center"/>
          </w:tcPr>
          <w:p w14:paraId="46D088F6" w14:textId="77777777" w:rsidR="004D4938" w:rsidRDefault="004D4938" w:rsidP="00EE37BD">
            <w:pPr>
              <w:pStyle w:val="ac"/>
            </w:pPr>
            <w:r>
              <w:t>GB/T 13560</w:t>
            </w:r>
            <w:r>
              <w:t>—</w:t>
            </w:r>
            <w:r>
              <w:t>2017</w:t>
            </w:r>
          </w:p>
        </w:tc>
      </w:tr>
      <w:tr w:rsidR="004D4938" w14:paraId="247AACE8" w14:textId="77777777" w:rsidTr="00EE37BD">
        <w:trPr>
          <w:jc w:val="center"/>
        </w:trPr>
        <w:tc>
          <w:tcPr>
            <w:tcW w:w="172" w:type="pct"/>
            <w:shd w:val="clear" w:color="auto" w:fill="auto"/>
            <w:vAlign w:val="center"/>
          </w:tcPr>
          <w:p w14:paraId="61857C0A" w14:textId="77777777" w:rsidR="004D4938" w:rsidRDefault="004D4938" w:rsidP="00EE37BD">
            <w:pPr>
              <w:pStyle w:val="ac"/>
            </w:pPr>
            <w:r>
              <w:t>6</w:t>
            </w:r>
          </w:p>
        </w:tc>
        <w:tc>
          <w:tcPr>
            <w:tcW w:w="375" w:type="pct"/>
            <w:vMerge/>
            <w:shd w:val="clear" w:color="auto" w:fill="auto"/>
            <w:vAlign w:val="center"/>
          </w:tcPr>
          <w:p w14:paraId="58F4732F" w14:textId="77777777" w:rsidR="004D4938" w:rsidRDefault="004D4938" w:rsidP="00EE37BD">
            <w:pPr>
              <w:pStyle w:val="ac"/>
            </w:pPr>
          </w:p>
        </w:tc>
        <w:tc>
          <w:tcPr>
            <w:tcW w:w="1177" w:type="pct"/>
            <w:gridSpan w:val="2"/>
            <w:vAlign w:val="center"/>
          </w:tcPr>
          <w:p w14:paraId="34F3ACF7" w14:textId="77777777" w:rsidR="004D4938" w:rsidRDefault="004D4938" w:rsidP="00EE37BD">
            <w:pPr>
              <w:pStyle w:val="ac"/>
            </w:pPr>
            <w:r>
              <w:t>磁性能</w:t>
            </w:r>
          </w:p>
        </w:tc>
        <w:tc>
          <w:tcPr>
            <w:tcW w:w="650" w:type="pct"/>
            <w:shd w:val="clear" w:color="auto" w:fill="auto"/>
            <w:vAlign w:val="center"/>
          </w:tcPr>
          <w:p w14:paraId="033F3FE0" w14:textId="77777777" w:rsidR="004D4938" w:rsidRDefault="004D4938" w:rsidP="00EE37BD">
            <w:pPr>
              <w:pStyle w:val="ac"/>
            </w:pPr>
            <w:r>
              <w:t>GB/T 13560</w:t>
            </w:r>
            <w:r>
              <w:t>—</w:t>
            </w:r>
            <w:r>
              <w:t>2017</w:t>
            </w:r>
          </w:p>
        </w:tc>
        <w:tc>
          <w:tcPr>
            <w:tcW w:w="1822" w:type="pct"/>
            <w:gridSpan w:val="3"/>
            <w:vMerge/>
            <w:shd w:val="clear" w:color="auto" w:fill="auto"/>
            <w:vAlign w:val="center"/>
          </w:tcPr>
          <w:p w14:paraId="2C821412" w14:textId="77777777" w:rsidR="004D4938" w:rsidRPr="001458FD" w:rsidRDefault="004D4938" w:rsidP="00EE37BD">
            <w:pPr>
              <w:pStyle w:val="ac"/>
            </w:pPr>
          </w:p>
        </w:tc>
        <w:tc>
          <w:tcPr>
            <w:tcW w:w="804" w:type="pct"/>
            <w:shd w:val="clear" w:color="auto" w:fill="auto"/>
            <w:vAlign w:val="center"/>
          </w:tcPr>
          <w:p w14:paraId="1548CA04" w14:textId="77777777" w:rsidR="004D4938" w:rsidRPr="001458FD" w:rsidRDefault="004D4938" w:rsidP="00EE37BD">
            <w:pPr>
              <w:pStyle w:val="ac"/>
            </w:pPr>
            <w:r>
              <w:t>GB/T 13560</w:t>
            </w:r>
            <w:r>
              <w:t>—</w:t>
            </w:r>
            <w:r>
              <w:t>2017</w:t>
            </w:r>
          </w:p>
        </w:tc>
      </w:tr>
      <w:tr w:rsidR="004D4938" w14:paraId="5E54BC27" w14:textId="77777777" w:rsidTr="00EE37BD">
        <w:trPr>
          <w:jc w:val="center"/>
        </w:trPr>
        <w:tc>
          <w:tcPr>
            <w:tcW w:w="172" w:type="pct"/>
            <w:shd w:val="clear" w:color="auto" w:fill="auto"/>
            <w:vAlign w:val="center"/>
          </w:tcPr>
          <w:p w14:paraId="114815A1" w14:textId="77777777" w:rsidR="004D4938" w:rsidRDefault="004D4938" w:rsidP="00EE37BD">
            <w:pPr>
              <w:pStyle w:val="ac"/>
            </w:pPr>
            <w:r>
              <w:t>7</w:t>
            </w:r>
          </w:p>
        </w:tc>
        <w:tc>
          <w:tcPr>
            <w:tcW w:w="375" w:type="pct"/>
            <w:vMerge/>
            <w:shd w:val="clear" w:color="auto" w:fill="auto"/>
            <w:vAlign w:val="center"/>
          </w:tcPr>
          <w:p w14:paraId="157270B2" w14:textId="77777777" w:rsidR="004D4938" w:rsidRDefault="004D4938" w:rsidP="00EE37BD">
            <w:pPr>
              <w:pStyle w:val="ac"/>
            </w:pPr>
          </w:p>
        </w:tc>
        <w:tc>
          <w:tcPr>
            <w:tcW w:w="1177" w:type="pct"/>
            <w:gridSpan w:val="2"/>
            <w:vAlign w:val="center"/>
          </w:tcPr>
          <w:p w14:paraId="625A20C6" w14:textId="77777777" w:rsidR="004D4938" w:rsidRDefault="004D4938" w:rsidP="00EE37BD">
            <w:pPr>
              <w:pStyle w:val="ac"/>
            </w:pPr>
            <w:r>
              <w:t>表面镀层</w:t>
            </w:r>
          </w:p>
        </w:tc>
        <w:tc>
          <w:tcPr>
            <w:tcW w:w="650" w:type="pct"/>
            <w:shd w:val="clear" w:color="auto" w:fill="auto"/>
            <w:vAlign w:val="center"/>
          </w:tcPr>
          <w:p w14:paraId="36A82A0A" w14:textId="77777777" w:rsidR="004D4938" w:rsidRDefault="004D4938" w:rsidP="00EE37BD">
            <w:pPr>
              <w:pStyle w:val="ac"/>
            </w:pPr>
            <w:r>
              <w:t>GB/T 13560</w:t>
            </w:r>
            <w:r>
              <w:t>—</w:t>
            </w:r>
            <w:r>
              <w:t>2017</w:t>
            </w:r>
          </w:p>
        </w:tc>
        <w:tc>
          <w:tcPr>
            <w:tcW w:w="1822" w:type="pct"/>
            <w:gridSpan w:val="3"/>
            <w:shd w:val="clear" w:color="auto" w:fill="auto"/>
            <w:vAlign w:val="center"/>
          </w:tcPr>
          <w:p w14:paraId="6C61A0DD" w14:textId="77777777" w:rsidR="004D4938" w:rsidRDefault="004D4938" w:rsidP="00EE37BD">
            <w:pPr>
              <w:pStyle w:val="ac"/>
            </w:pPr>
            <w:r w:rsidRPr="001458FD">
              <w:t>有防腐涂层</w:t>
            </w:r>
            <w:r w:rsidRPr="001458FD">
              <w:t>(</w:t>
            </w:r>
            <w:r w:rsidRPr="001458FD">
              <w:t>表面镀层</w:t>
            </w:r>
            <w:r w:rsidRPr="001458FD">
              <w:t>)</w:t>
            </w:r>
            <w:r w:rsidRPr="001458FD">
              <w:t>要求的产品防腐涂层</w:t>
            </w:r>
            <w:r w:rsidRPr="001458FD">
              <w:t>(</w:t>
            </w:r>
            <w:r w:rsidRPr="001458FD">
              <w:t>表面镀层</w:t>
            </w:r>
            <w:r w:rsidRPr="001458FD">
              <w:t>)</w:t>
            </w:r>
            <w:r w:rsidRPr="001458FD">
              <w:t>应满足</w:t>
            </w:r>
            <w:r w:rsidRPr="001458FD">
              <w:t>GB/T</w:t>
            </w:r>
            <w:r>
              <w:t xml:space="preserve"> </w:t>
            </w:r>
            <w:r w:rsidRPr="001458FD">
              <w:t>34491</w:t>
            </w:r>
            <w:r w:rsidRPr="001458FD">
              <w:t>要求</w:t>
            </w:r>
          </w:p>
        </w:tc>
        <w:tc>
          <w:tcPr>
            <w:tcW w:w="804" w:type="pct"/>
            <w:shd w:val="clear" w:color="auto" w:fill="auto"/>
            <w:vAlign w:val="center"/>
          </w:tcPr>
          <w:p w14:paraId="78653950" w14:textId="77777777" w:rsidR="004D4938" w:rsidRDefault="004D4938" w:rsidP="00EE37BD">
            <w:pPr>
              <w:pStyle w:val="ac"/>
            </w:pPr>
            <w:r w:rsidRPr="001458FD">
              <w:t>GB/T</w:t>
            </w:r>
            <w:r>
              <w:t xml:space="preserve"> </w:t>
            </w:r>
            <w:r w:rsidRPr="001458FD">
              <w:t>34491</w:t>
            </w:r>
          </w:p>
        </w:tc>
      </w:tr>
      <w:tr w:rsidR="004D4938" w14:paraId="7C544198" w14:textId="77777777" w:rsidTr="00EE37BD">
        <w:trPr>
          <w:jc w:val="center"/>
        </w:trPr>
        <w:tc>
          <w:tcPr>
            <w:tcW w:w="172" w:type="pct"/>
            <w:shd w:val="clear" w:color="auto" w:fill="auto"/>
            <w:vAlign w:val="center"/>
          </w:tcPr>
          <w:p w14:paraId="73C31B60" w14:textId="77777777" w:rsidR="004D4938" w:rsidRDefault="004D4938" w:rsidP="00EE37BD">
            <w:pPr>
              <w:pStyle w:val="ac"/>
            </w:pPr>
            <w:r>
              <w:t>8</w:t>
            </w:r>
          </w:p>
        </w:tc>
        <w:tc>
          <w:tcPr>
            <w:tcW w:w="375" w:type="pct"/>
            <w:vMerge/>
            <w:shd w:val="clear" w:color="auto" w:fill="auto"/>
            <w:vAlign w:val="center"/>
          </w:tcPr>
          <w:p w14:paraId="1EFE31B4" w14:textId="77777777" w:rsidR="004D4938" w:rsidRDefault="004D4938" w:rsidP="00EE37BD">
            <w:pPr>
              <w:pStyle w:val="ac"/>
            </w:pPr>
          </w:p>
        </w:tc>
        <w:tc>
          <w:tcPr>
            <w:tcW w:w="1177" w:type="pct"/>
            <w:gridSpan w:val="2"/>
            <w:vAlign w:val="center"/>
          </w:tcPr>
          <w:p w14:paraId="18C59BBD" w14:textId="77777777" w:rsidR="004D4938" w:rsidRDefault="004D4938" w:rsidP="00EE37BD">
            <w:pPr>
              <w:pStyle w:val="ac"/>
            </w:pPr>
            <w:r>
              <w:t>外观质量</w:t>
            </w:r>
          </w:p>
        </w:tc>
        <w:tc>
          <w:tcPr>
            <w:tcW w:w="650" w:type="pct"/>
            <w:shd w:val="clear" w:color="auto" w:fill="auto"/>
            <w:vAlign w:val="center"/>
          </w:tcPr>
          <w:p w14:paraId="6FF450DD" w14:textId="77777777" w:rsidR="004D4938" w:rsidRDefault="004D4938" w:rsidP="00EE37BD">
            <w:pPr>
              <w:pStyle w:val="ac"/>
            </w:pPr>
            <w:r>
              <w:t>GB/T 13560</w:t>
            </w:r>
            <w:r>
              <w:t>—</w:t>
            </w:r>
            <w:r>
              <w:t>2017</w:t>
            </w:r>
          </w:p>
        </w:tc>
        <w:tc>
          <w:tcPr>
            <w:tcW w:w="1822" w:type="pct"/>
            <w:gridSpan w:val="3"/>
            <w:shd w:val="clear" w:color="auto" w:fill="auto"/>
            <w:vAlign w:val="center"/>
          </w:tcPr>
          <w:p w14:paraId="0ACF18C3" w14:textId="77777777" w:rsidR="004D4938" w:rsidRDefault="004D4938" w:rsidP="00EE37BD">
            <w:pPr>
              <w:pStyle w:val="ac"/>
            </w:pPr>
            <w:r w:rsidRPr="001458FD">
              <w:t>产品表面不应有影响使用的裂纹、砂眼、夹杂和</w:t>
            </w:r>
            <w:proofErr w:type="gramStart"/>
            <w:r w:rsidRPr="001458FD">
              <w:t>边</w:t>
            </w:r>
            <w:proofErr w:type="gramEnd"/>
            <w:r w:rsidRPr="001458FD">
              <w:t>、角脱落等缺陷</w:t>
            </w:r>
          </w:p>
        </w:tc>
        <w:tc>
          <w:tcPr>
            <w:tcW w:w="804" w:type="pct"/>
            <w:shd w:val="clear" w:color="auto" w:fill="auto"/>
            <w:vAlign w:val="center"/>
          </w:tcPr>
          <w:p w14:paraId="45F5A8A9" w14:textId="77777777" w:rsidR="004D4938" w:rsidRDefault="004D4938" w:rsidP="00EE37BD">
            <w:pPr>
              <w:pStyle w:val="ac"/>
            </w:pPr>
            <w:r>
              <w:t>GB/T 13560</w:t>
            </w:r>
            <w:r>
              <w:t>—</w:t>
            </w:r>
            <w:r>
              <w:t>2017</w:t>
            </w:r>
          </w:p>
        </w:tc>
      </w:tr>
      <w:tr w:rsidR="004D4938" w14:paraId="5D266A69" w14:textId="77777777" w:rsidTr="00EE37BD">
        <w:trPr>
          <w:jc w:val="center"/>
        </w:trPr>
        <w:tc>
          <w:tcPr>
            <w:tcW w:w="172" w:type="pct"/>
            <w:shd w:val="clear" w:color="auto" w:fill="auto"/>
            <w:vAlign w:val="center"/>
          </w:tcPr>
          <w:p w14:paraId="47655B21" w14:textId="77777777" w:rsidR="004D4938" w:rsidRDefault="004D4938" w:rsidP="00EE37BD">
            <w:pPr>
              <w:pStyle w:val="ac"/>
            </w:pPr>
            <w:bookmarkStart w:id="3" w:name="_Hlk164191317"/>
            <w:r>
              <w:t>9</w:t>
            </w:r>
          </w:p>
        </w:tc>
        <w:tc>
          <w:tcPr>
            <w:tcW w:w="375" w:type="pct"/>
            <w:vMerge w:val="restart"/>
            <w:shd w:val="clear" w:color="auto" w:fill="auto"/>
            <w:vAlign w:val="center"/>
          </w:tcPr>
          <w:p w14:paraId="1665E505" w14:textId="77777777" w:rsidR="004D4938" w:rsidRDefault="004D4938" w:rsidP="00EE37BD">
            <w:pPr>
              <w:pStyle w:val="ac"/>
            </w:pPr>
            <w:r>
              <w:t>核心指标</w:t>
            </w:r>
          </w:p>
        </w:tc>
        <w:tc>
          <w:tcPr>
            <w:tcW w:w="1177" w:type="pct"/>
            <w:gridSpan w:val="2"/>
            <w:vAlign w:val="center"/>
          </w:tcPr>
          <w:p w14:paraId="5E0FB719" w14:textId="77777777" w:rsidR="004D4938" w:rsidRDefault="004D4938" w:rsidP="00EE37BD">
            <w:pPr>
              <w:pStyle w:val="ac"/>
            </w:pPr>
            <w:r>
              <w:t>抗压强度</w:t>
            </w:r>
          </w:p>
        </w:tc>
        <w:tc>
          <w:tcPr>
            <w:tcW w:w="650" w:type="pct"/>
            <w:shd w:val="clear" w:color="auto" w:fill="auto"/>
            <w:vAlign w:val="center"/>
          </w:tcPr>
          <w:p w14:paraId="1BF02276" w14:textId="77777777" w:rsidR="004D4938" w:rsidRDefault="004D4938" w:rsidP="00EE37BD">
            <w:pPr>
              <w:pStyle w:val="ac"/>
            </w:pPr>
            <w:r>
              <w:t>GB/T 13560</w:t>
            </w:r>
            <w:r>
              <w:t>—</w:t>
            </w:r>
            <w:r>
              <w:t>2017</w:t>
            </w:r>
          </w:p>
        </w:tc>
        <w:tc>
          <w:tcPr>
            <w:tcW w:w="630" w:type="pct"/>
            <w:shd w:val="clear" w:color="auto" w:fill="auto"/>
            <w:vAlign w:val="center"/>
          </w:tcPr>
          <w:p w14:paraId="6666BD51" w14:textId="77777777" w:rsidR="004D4938" w:rsidRDefault="004D4938" w:rsidP="00EE37BD">
            <w:pPr>
              <w:pStyle w:val="ac"/>
            </w:pPr>
            <w:r>
              <w:t>≥</w:t>
            </w:r>
            <w:r>
              <w:t>900 MPa</w:t>
            </w:r>
          </w:p>
        </w:tc>
        <w:tc>
          <w:tcPr>
            <w:tcW w:w="596" w:type="pct"/>
            <w:shd w:val="clear" w:color="auto" w:fill="auto"/>
            <w:vAlign w:val="center"/>
          </w:tcPr>
          <w:p w14:paraId="0E79ABF6" w14:textId="77777777" w:rsidR="004D4938" w:rsidRDefault="004D4938" w:rsidP="00EE37BD">
            <w:pPr>
              <w:pStyle w:val="ac"/>
            </w:pPr>
            <w:r>
              <w:t>≥</w:t>
            </w:r>
            <w:r>
              <w:t>1000 MPa</w:t>
            </w:r>
          </w:p>
        </w:tc>
        <w:tc>
          <w:tcPr>
            <w:tcW w:w="596" w:type="pct"/>
            <w:shd w:val="clear" w:color="auto" w:fill="auto"/>
            <w:vAlign w:val="center"/>
          </w:tcPr>
          <w:p w14:paraId="6CC6C68B" w14:textId="77777777" w:rsidR="004D4938" w:rsidRDefault="004D4938" w:rsidP="00EE37BD">
            <w:pPr>
              <w:pStyle w:val="ac"/>
            </w:pPr>
            <w:r>
              <w:t>≥</w:t>
            </w:r>
            <w:r>
              <w:t>1100 MPa</w:t>
            </w:r>
          </w:p>
        </w:tc>
        <w:tc>
          <w:tcPr>
            <w:tcW w:w="804" w:type="pct"/>
            <w:shd w:val="clear" w:color="auto" w:fill="auto"/>
            <w:vAlign w:val="center"/>
          </w:tcPr>
          <w:p w14:paraId="20BBBBF5" w14:textId="77777777" w:rsidR="004D4938" w:rsidRDefault="004D4938" w:rsidP="00EE37BD">
            <w:pPr>
              <w:pStyle w:val="ac"/>
            </w:pPr>
            <w:r>
              <w:t>GB/T 13560</w:t>
            </w:r>
            <w:r>
              <w:t>—</w:t>
            </w:r>
            <w:r>
              <w:t>2017</w:t>
            </w:r>
          </w:p>
        </w:tc>
      </w:tr>
      <w:tr w:rsidR="004D4938" w14:paraId="6E8C912D" w14:textId="77777777" w:rsidTr="00EE37BD">
        <w:trPr>
          <w:jc w:val="center"/>
        </w:trPr>
        <w:tc>
          <w:tcPr>
            <w:tcW w:w="172" w:type="pct"/>
            <w:shd w:val="clear" w:color="auto" w:fill="auto"/>
            <w:vAlign w:val="center"/>
          </w:tcPr>
          <w:p w14:paraId="25CD3821" w14:textId="77777777" w:rsidR="004D4938" w:rsidRDefault="004D4938" w:rsidP="00EE37BD">
            <w:pPr>
              <w:pStyle w:val="ac"/>
            </w:pPr>
            <w:r>
              <w:t>10</w:t>
            </w:r>
          </w:p>
        </w:tc>
        <w:tc>
          <w:tcPr>
            <w:tcW w:w="375" w:type="pct"/>
            <w:vMerge/>
            <w:shd w:val="clear" w:color="auto" w:fill="auto"/>
            <w:vAlign w:val="center"/>
          </w:tcPr>
          <w:p w14:paraId="4CEF18BD" w14:textId="77777777" w:rsidR="004D4938" w:rsidRDefault="004D4938" w:rsidP="00EE37BD">
            <w:pPr>
              <w:pStyle w:val="ac"/>
            </w:pPr>
          </w:p>
        </w:tc>
        <w:tc>
          <w:tcPr>
            <w:tcW w:w="1177" w:type="pct"/>
            <w:gridSpan w:val="2"/>
            <w:vAlign w:val="center"/>
          </w:tcPr>
          <w:p w14:paraId="0B94E0D5" w14:textId="77777777" w:rsidR="004D4938" w:rsidRDefault="004D4938" w:rsidP="00EE37BD">
            <w:pPr>
              <w:pStyle w:val="ac"/>
            </w:pPr>
            <w:r>
              <w:t>抗拉强度</w:t>
            </w:r>
          </w:p>
        </w:tc>
        <w:tc>
          <w:tcPr>
            <w:tcW w:w="650" w:type="pct"/>
            <w:shd w:val="clear" w:color="auto" w:fill="auto"/>
            <w:vAlign w:val="center"/>
          </w:tcPr>
          <w:p w14:paraId="6981FA82" w14:textId="77777777" w:rsidR="004D4938" w:rsidRDefault="004D4938" w:rsidP="00EE37BD">
            <w:pPr>
              <w:pStyle w:val="ac"/>
            </w:pPr>
            <w:r>
              <w:t>GB/T 13560</w:t>
            </w:r>
            <w:r>
              <w:t>—</w:t>
            </w:r>
            <w:r>
              <w:t>2017</w:t>
            </w:r>
          </w:p>
        </w:tc>
        <w:tc>
          <w:tcPr>
            <w:tcW w:w="630" w:type="pct"/>
            <w:shd w:val="clear" w:color="auto" w:fill="auto"/>
            <w:vAlign w:val="center"/>
          </w:tcPr>
          <w:p w14:paraId="3A7430BB" w14:textId="77777777" w:rsidR="004D4938" w:rsidRDefault="004D4938" w:rsidP="00EE37BD">
            <w:pPr>
              <w:pStyle w:val="ac"/>
            </w:pPr>
            <w:r>
              <w:t>≥</w:t>
            </w:r>
            <w:r>
              <w:t>80 MPa</w:t>
            </w:r>
          </w:p>
        </w:tc>
        <w:tc>
          <w:tcPr>
            <w:tcW w:w="596" w:type="pct"/>
            <w:shd w:val="clear" w:color="auto" w:fill="auto"/>
            <w:vAlign w:val="center"/>
          </w:tcPr>
          <w:p w14:paraId="167E582B" w14:textId="77777777" w:rsidR="004D4938" w:rsidRDefault="004D4938" w:rsidP="00EE37BD">
            <w:pPr>
              <w:pStyle w:val="ac"/>
            </w:pPr>
            <w:r>
              <w:t>≥</w:t>
            </w:r>
            <w:r>
              <w:t>85 MPa</w:t>
            </w:r>
          </w:p>
        </w:tc>
        <w:tc>
          <w:tcPr>
            <w:tcW w:w="596" w:type="pct"/>
            <w:shd w:val="clear" w:color="auto" w:fill="auto"/>
            <w:vAlign w:val="center"/>
          </w:tcPr>
          <w:p w14:paraId="0809221F" w14:textId="77777777" w:rsidR="004D4938" w:rsidRDefault="004D4938" w:rsidP="00EE37BD">
            <w:pPr>
              <w:pStyle w:val="ac"/>
            </w:pPr>
            <w:r>
              <w:t>≥</w:t>
            </w:r>
            <w:r>
              <w:t>90 MPa</w:t>
            </w:r>
          </w:p>
        </w:tc>
        <w:tc>
          <w:tcPr>
            <w:tcW w:w="804" w:type="pct"/>
            <w:shd w:val="clear" w:color="auto" w:fill="auto"/>
            <w:vAlign w:val="center"/>
          </w:tcPr>
          <w:p w14:paraId="616EB116" w14:textId="77777777" w:rsidR="004D4938" w:rsidRDefault="004D4938" w:rsidP="00EE37BD">
            <w:pPr>
              <w:pStyle w:val="ac"/>
            </w:pPr>
            <w:r>
              <w:t>GB/T 13560</w:t>
            </w:r>
            <w:r>
              <w:t>—</w:t>
            </w:r>
            <w:r>
              <w:t>2017</w:t>
            </w:r>
          </w:p>
        </w:tc>
      </w:tr>
      <w:tr w:rsidR="004D4938" w14:paraId="0E920826" w14:textId="77777777" w:rsidTr="00EE37BD">
        <w:trPr>
          <w:jc w:val="center"/>
        </w:trPr>
        <w:tc>
          <w:tcPr>
            <w:tcW w:w="172" w:type="pct"/>
            <w:shd w:val="clear" w:color="auto" w:fill="auto"/>
            <w:vAlign w:val="center"/>
          </w:tcPr>
          <w:p w14:paraId="21AA52AD" w14:textId="77777777" w:rsidR="004D4938" w:rsidRDefault="004D4938" w:rsidP="00EE37BD">
            <w:pPr>
              <w:pStyle w:val="ac"/>
            </w:pPr>
            <w:r>
              <w:t>11</w:t>
            </w:r>
          </w:p>
        </w:tc>
        <w:tc>
          <w:tcPr>
            <w:tcW w:w="375" w:type="pct"/>
            <w:vMerge/>
            <w:shd w:val="clear" w:color="auto" w:fill="auto"/>
            <w:vAlign w:val="center"/>
          </w:tcPr>
          <w:p w14:paraId="1E327CE8" w14:textId="77777777" w:rsidR="004D4938" w:rsidRDefault="004D4938" w:rsidP="00EE37BD">
            <w:pPr>
              <w:pStyle w:val="ac"/>
            </w:pPr>
          </w:p>
        </w:tc>
        <w:tc>
          <w:tcPr>
            <w:tcW w:w="1177" w:type="pct"/>
            <w:gridSpan w:val="2"/>
            <w:vAlign w:val="center"/>
          </w:tcPr>
          <w:p w14:paraId="11EEA3C1" w14:textId="77777777" w:rsidR="004D4938" w:rsidRDefault="004D4938" w:rsidP="00EE37BD">
            <w:pPr>
              <w:pStyle w:val="ac"/>
            </w:pPr>
            <w:r>
              <w:t>热传导率</w:t>
            </w:r>
          </w:p>
        </w:tc>
        <w:tc>
          <w:tcPr>
            <w:tcW w:w="650" w:type="pct"/>
            <w:shd w:val="clear" w:color="auto" w:fill="auto"/>
            <w:vAlign w:val="center"/>
          </w:tcPr>
          <w:p w14:paraId="0B0CE3EE" w14:textId="77777777" w:rsidR="004D4938" w:rsidRDefault="004D4938" w:rsidP="00EE37BD">
            <w:pPr>
              <w:pStyle w:val="ac"/>
            </w:pPr>
            <w:r>
              <w:t>GB/T 13560</w:t>
            </w:r>
            <w:r>
              <w:t>—</w:t>
            </w:r>
            <w:r>
              <w:t>2017</w:t>
            </w:r>
          </w:p>
        </w:tc>
        <w:tc>
          <w:tcPr>
            <w:tcW w:w="630" w:type="pct"/>
            <w:shd w:val="clear" w:color="auto" w:fill="auto"/>
            <w:vAlign w:val="center"/>
          </w:tcPr>
          <w:p w14:paraId="0890D983" w14:textId="77777777" w:rsidR="004D4938" w:rsidRDefault="004D4938" w:rsidP="00EE37BD">
            <w:pPr>
              <w:pStyle w:val="ac"/>
            </w:pPr>
            <w:r>
              <w:t>≥</w:t>
            </w:r>
            <w:r>
              <w:t>10 W/</w:t>
            </w:r>
            <w:r>
              <w:t>（</w:t>
            </w:r>
            <w:r>
              <w:t>m</w:t>
            </w:r>
            <w:r>
              <w:t>·</w:t>
            </w:r>
            <w:r>
              <w:t>K</w:t>
            </w:r>
            <w:r>
              <w:t>）</w:t>
            </w:r>
          </w:p>
        </w:tc>
        <w:tc>
          <w:tcPr>
            <w:tcW w:w="596" w:type="pct"/>
            <w:shd w:val="clear" w:color="auto" w:fill="auto"/>
            <w:vAlign w:val="center"/>
          </w:tcPr>
          <w:p w14:paraId="37F524F9" w14:textId="77777777" w:rsidR="004D4938" w:rsidRDefault="004D4938" w:rsidP="00EE37BD">
            <w:pPr>
              <w:pStyle w:val="ac"/>
            </w:pPr>
            <w:r>
              <w:t>≥</w:t>
            </w:r>
            <w:r>
              <w:t>9 W/</w:t>
            </w:r>
            <w:r>
              <w:t>（</w:t>
            </w:r>
            <w:r>
              <w:t>m</w:t>
            </w:r>
            <w:r>
              <w:t>·</w:t>
            </w:r>
            <w:r>
              <w:t>K</w:t>
            </w:r>
            <w:r>
              <w:t>）</w:t>
            </w:r>
          </w:p>
        </w:tc>
        <w:tc>
          <w:tcPr>
            <w:tcW w:w="596" w:type="pct"/>
            <w:shd w:val="clear" w:color="auto" w:fill="auto"/>
            <w:vAlign w:val="center"/>
          </w:tcPr>
          <w:p w14:paraId="529828A4" w14:textId="77777777" w:rsidR="004D4938" w:rsidRDefault="004D4938" w:rsidP="00EE37BD">
            <w:pPr>
              <w:pStyle w:val="ac"/>
            </w:pPr>
            <w:r>
              <w:t>≥</w:t>
            </w:r>
            <w:r>
              <w:t>8 W/</w:t>
            </w:r>
            <w:r>
              <w:t>（</w:t>
            </w:r>
            <w:r>
              <w:t>m</w:t>
            </w:r>
            <w:r>
              <w:t>·</w:t>
            </w:r>
            <w:r>
              <w:t>K</w:t>
            </w:r>
            <w:r>
              <w:t>）</w:t>
            </w:r>
          </w:p>
        </w:tc>
        <w:tc>
          <w:tcPr>
            <w:tcW w:w="804" w:type="pct"/>
            <w:shd w:val="clear" w:color="auto" w:fill="auto"/>
            <w:vAlign w:val="center"/>
          </w:tcPr>
          <w:p w14:paraId="325C00A8" w14:textId="77777777" w:rsidR="004D4938" w:rsidRDefault="004D4938" w:rsidP="00EE37BD">
            <w:pPr>
              <w:pStyle w:val="ac"/>
            </w:pPr>
            <w:r>
              <w:t>GB/T 13560</w:t>
            </w:r>
            <w:r>
              <w:t>—</w:t>
            </w:r>
            <w:r>
              <w:t>2017</w:t>
            </w:r>
          </w:p>
        </w:tc>
      </w:tr>
      <w:tr w:rsidR="004D4938" w14:paraId="7AEDABA4" w14:textId="77777777" w:rsidTr="00EE37BD">
        <w:trPr>
          <w:jc w:val="center"/>
        </w:trPr>
        <w:tc>
          <w:tcPr>
            <w:tcW w:w="172" w:type="pct"/>
            <w:shd w:val="clear" w:color="auto" w:fill="auto"/>
            <w:vAlign w:val="center"/>
          </w:tcPr>
          <w:p w14:paraId="134F487D" w14:textId="77777777" w:rsidR="004D4938" w:rsidRDefault="004D4938" w:rsidP="00EE37BD">
            <w:pPr>
              <w:pStyle w:val="ac"/>
            </w:pPr>
            <w:r>
              <w:t>8</w:t>
            </w:r>
          </w:p>
        </w:tc>
        <w:tc>
          <w:tcPr>
            <w:tcW w:w="375" w:type="pct"/>
            <w:vMerge/>
            <w:shd w:val="clear" w:color="auto" w:fill="auto"/>
            <w:vAlign w:val="center"/>
          </w:tcPr>
          <w:p w14:paraId="639C9D1A" w14:textId="77777777" w:rsidR="004D4938" w:rsidRDefault="004D4938" w:rsidP="00EE37BD">
            <w:pPr>
              <w:pStyle w:val="ac"/>
            </w:pPr>
          </w:p>
        </w:tc>
        <w:tc>
          <w:tcPr>
            <w:tcW w:w="1177" w:type="pct"/>
            <w:gridSpan w:val="2"/>
            <w:vAlign w:val="center"/>
          </w:tcPr>
          <w:p w14:paraId="0A43E968" w14:textId="77777777" w:rsidR="004D4938" w:rsidRDefault="004D4938" w:rsidP="00EE37BD">
            <w:pPr>
              <w:pStyle w:val="ac"/>
            </w:pPr>
            <w:r>
              <w:t>热膨胀系数</w:t>
            </w:r>
          </w:p>
        </w:tc>
        <w:tc>
          <w:tcPr>
            <w:tcW w:w="650" w:type="pct"/>
            <w:shd w:val="clear" w:color="auto" w:fill="auto"/>
            <w:vAlign w:val="center"/>
          </w:tcPr>
          <w:p w14:paraId="6A5DF107" w14:textId="77777777" w:rsidR="004D4938" w:rsidRDefault="004D4938" w:rsidP="00EE37BD">
            <w:pPr>
              <w:pStyle w:val="ac"/>
            </w:pPr>
            <w:r>
              <w:t>GB/T 13560</w:t>
            </w:r>
            <w:r>
              <w:t>—</w:t>
            </w:r>
            <w:r>
              <w:t>2017</w:t>
            </w:r>
          </w:p>
        </w:tc>
        <w:tc>
          <w:tcPr>
            <w:tcW w:w="630" w:type="pct"/>
            <w:shd w:val="clear" w:color="auto" w:fill="auto"/>
            <w:vAlign w:val="center"/>
          </w:tcPr>
          <w:p w14:paraId="30F486DD" w14:textId="77777777" w:rsidR="004D4938" w:rsidRDefault="004D4938" w:rsidP="00EE37BD">
            <w:pPr>
              <w:pStyle w:val="ac"/>
            </w:pPr>
            <w:r>
              <w:t>≥</w:t>
            </w:r>
            <w:r>
              <w:t>4</w:t>
            </w:r>
            <m:oMath>
              <m:r>
                <w:rPr>
                  <w:rFonts w:ascii="Cambria Math" w:hAnsi="Cambria Math"/>
                </w:rPr>
                <m:t>×</m:t>
              </m:r>
            </m:oMath>
            <w:r>
              <w:t>10</w:t>
            </w:r>
            <w:r>
              <w:rPr>
                <w:vertAlign w:val="superscript"/>
              </w:rPr>
              <w:t>-6</w:t>
            </w:r>
            <w:r>
              <w:t>/K</w:t>
            </w:r>
          </w:p>
        </w:tc>
        <w:tc>
          <w:tcPr>
            <w:tcW w:w="596" w:type="pct"/>
            <w:shd w:val="clear" w:color="auto" w:fill="auto"/>
            <w:vAlign w:val="center"/>
          </w:tcPr>
          <w:p w14:paraId="2FE6A6A6" w14:textId="77777777" w:rsidR="004D4938" w:rsidRDefault="004D4938" w:rsidP="00EE37BD">
            <w:pPr>
              <w:pStyle w:val="ac"/>
            </w:pPr>
            <w:r>
              <w:t>≥</w:t>
            </w:r>
            <w:r>
              <w:t>6</w:t>
            </w:r>
            <m:oMath>
              <m:r>
                <w:rPr>
                  <w:rFonts w:ascii="Cambria Math" w:hAnsi="Cambria Math"/>
                </w:rPr>
                <m:t>×</m:t>
              </m:r>
            </m:oMath>
            <w:r>
              <w:t>10</w:t>
            </w:r>
            <w:r>
              <w:rPr>
                <w:vertAlign w:val="superscript"/>
              </w:rPr>
              <w:t>-6</w:t>
            </w:r>
            <w:r>
              <w:t>/K</w:t>
            </w:r>
          </w:p>
        </w:tc>
        <w:tc>
          <w:tcPr>
            <w:tcW w:w="596" w:type="pct"/>
            <w:shd w:val="clear" w:color="auto" w:fill="auto"/>
            <w:vAlign w:val="center"/>
          </w:tcPr>
          <w:p w14:paraId="3E940A64" w14:textId="77777777" w:rsidR="004D4938" w:rsidRDefault="004D4938" w:rsidP="00EE37BD">
            <w:pPr>
              <w:pStyle w:val="ac"/>
            </w:pPr>
            <w:r>
              <w:t>≥</w:t>
            </w:r>
            <w:r>
              <w:t>8</w:t>
            </w:r>
            <m:oMath>
              <m:r>
                <w:rPr>
                  <w:rFonts w:ascii="Cambria Math" w:hAnsi="Cambria Math"/>
                </w:rPr>
                <m:t>×</m:t>
              </m:r>
            </m:oMath>
            <w:r>
              <w:t>10</w:t>
            </w:r>
            <w:r>
              <w:rPr>
                <w:vertAlign w:val="superscript"/>
              </w:rPr>
              <w:t>-6</w:t>
            </w:r>
            <w:r>
              <w:t>/K</w:t>
            </w:r>
          </w:p>
        </w:tc>
        <w:tc>
          <w:tcPr>
            <w:tcW w:w="804" w:type="pct"/>
            <w:shd w:val="clear" w:color="auto" w:fill="auto"/>
            <w:vAlign w:val="center"/>
          </w:tcPr>
          <w:p w14:paraId="505F813C" w14:textId="77777777" w:rsidR="004D4938" w:rsidRDefault="004D4938" w:rsidP="00EE37BD">
            <w:pPr>
              <w:pStyle w:val="ac"/>
            </w:pPr>
            <w:r>
              <w:t>GB/T 13560</w:t>
            </w:r>
            <w:r>
              <w:t>—</w:t>
            </w:r>
            <w:r>
              <w:t>2017</w:t>
            </w:r>
          </w:p>
        </w:tc>
      </w:tr>
      <w:bookmarkEnd w:id="3"/>
      <w:tr w:rsidR="004D4938" w14:paraId="6587FFB5" w14:textId="77777777" w:rsidTr="00EE37BD">
        <w:trPr>
          <w:trHeight w:val="35"/>
          <w:jc w:val="center"/>
        </w:trPr>
        <w:tc>
          <w:tcPr>
            <w:tcW w:w="172" w:type="pct"/>
            <w:vMerge w:val="restart"/>
            <w:shd w:val="clear" w:color="auto" w:fill="auto"/>
            <w:vAlign w:val="center"/>
          </w:tcPr>
          <w:p w14:paraId="0ADEB269" w14:textId="77777777" w:rsidR="004D4938" w:rsidRDefault="004D4938" w:rsidP="00EE37BD">
            <w:pPr>
              <w:pStyle w:val="ac"/>
            </w:pPr>
            <w:r>
              <w:t>12</w:t>
            </w:r>
          </w:p>
        </w:tc>
        <w:tc>
          <w:tcPr>
            <w:tcW w:w="375" w:type="pct"/>
            <w:vMerge w:val="restart"/>
            <w:shd w:val="clear" w:color="auto" w:fill="auto"/>
            <w:vAlign w:val="center"/>
          </w:tcPr>
          <w:p w14:paraId="1C6F1521" w14:textId="77777777" w:rsidR="004D4938" w:rsidRDefault="004D4938" w:rsidP="00EE37BD">
            <w:pPr>
              <w:pStyle w:val="ac"/>
            </w:pPr>
            <w:r>
              <w:t>创新性指标</w:t>
            </w:r>
          </w:p>
        </w:tc>
        <w:tc>
          <w:tcPr>
            <w:tcW w:w="444" w:type="pct"/>
            <w:vMerge w:val="restart"/>
            <w:vAlign w:val="center"/>
          </w:tcPr>
          <w:p w14:paraId="6C8A4231" w14:textId="77777777" w:rsidR="004D4938" w:rsidRDefault="004D4938" w:rsidP="00EE37BD">
            <w:pPr>
              <w:pStyle w:val="ac"/>
            </w:pPr>
            <w:r>
              <w:t>有害物质限量</w:t>
            </w:r>
          </w:p>
        </w:tc>
        <w:tc>
          <w:tcPr>
            <w:tcW w:w="733" w:type="pct"/>
            <w:vAlign w:val="center"/>
          </w:tcPr>
          <w:p w14:paraId="0F1A3C47" w14:textId="77777777" w:rsidR="004D4938" w:rsidRDefault="004D4938" w:rsidP="00EE37BD">
            <w:pPr>
              <w:pStyle w:val="ac"/>
            </w:pPr>
            <w:r>
              <w:rPr>
                <w:rFonts w:ascii="宋体#." w:eastAsia="宋体#." w:cs="宋体#."/>
                <w:szCs w:val="18"/>
              </w:rPr>
              <w:t>铅（Pb）</w:t>
            </w:r>
          </w:p>
        </w:tc>
        <w:tc>
          <w:tcPr>
            <w:tcW w:w="650" w:type="pct"/>
            <w:vMerge w:val="restart"/>
            <w:shd w:val="clear" w:color="auto" w:fill="auto"/>
            <w:vAlign w:val="center"/>
          </w:tcPr>
          <w:p w14:paraId="7C87279C" w14:textId="77777777" w:rsidR="004D4938" w:rsidRDefault="004D4938" w:rsidP="00EE37BD">
            <w:pPr>
              <w:pStyle w:val="ac"/>
            </w:pPr>
            <w:r>
              <w:t>SJ/T 11363</w:t>
            </w:r>
            <w:r>
              <w:t>—</w:t>
            </w:r>
            <w:r>
              <w:t>2006</w:t>
            </w:r>
          </w:p>
        </w:tc>
        <w:tc>
          <w:tcPr>
            <w:tcW w:w="1822" w:type="pct"/>
            <w:gridSpan w:val="3"/>
            <w:vMerge w:val="restart"/>
            <w:shd w:val="clear" w:color="auto" w:fill="auto"/>
            <w:vAlign w:val="center"/>
          </w:tcPr>
          <w:p w14:paraId="6807983C" w14:textId="77777777" w:rsidR="004D4938" w:rsidRDefault="004D4938" w:rsidP="00EE37BD">
            <w:pPr>
              <w:pStyle w:val="ac"/>
            </w:pPr>
            <w:r>
              <w:t>符合</w:t>
            </w:r>
            <w:r>
              <w:t>SJ/T 11363</w:t>
            </w:r>
            <w:r>
              <w:t>—</w:t>
            </w:r>
            <w:r>
              <w:t>2006</w:t>
            </w:r>
            <w:r>
              <w:t>的规定</w:t>
            </w:r>
          </w:p>
        </w:tc>
        <w:tc>
          <w:tcPr>
            <w:tcW w:w="804" w:type="pct"/>
            <w:vMerge w:val="restart"/>
            <w:shd w:val="clear" w:color="auto" w:fill="auto"/>
            <w:vAlign w:val="center"/>
          </w:tcPr>
          <w:p w14:paraId="06682CB6" w14:textId="77777777" w:rsidR="004D4938" w:rsidRDefault="004D4938" w:rsidP="00EE37BD">
            <w:pPr>
              <w:pStyle w:val="ac"/>
            </w:pPr>
            <w:r>
              <w:t>SJ/T 11363</w:t>
            </w:r>
            <w:r>
              <w:t>—</w:t>
            </w:r>
            <w:r>
              <w:t>2006</w:t>
            </w:r>
          </w:p>
        </w:tc>
      </w:tr>
      <w:tr w:rsidR="004D4938" w14:paraId="10E0119E" w14:textId="77777777" w:rsidTr="00EE37BD">
        <w:trPr>
          <w:trHeight w:val="42"/>
          <w:jc w:val="center"/>
        </w:trPr>
        <w:tc>
          <w:tcPr>
            <w:tcW w:w="172" w:type="pct"/>
            <w:vMerge/>
            <w:shd w:val="clear" w:color="auto" w:fill="auto"/>
            <w:vAlign w:val="center"/>
          </w:tcPr>
          <w:p w14:paraId="2D69A86F" w14:textId="77777777" w:rsidR="004D4938" w:rsidRDefault="004D4938" w:rsidP="00EE37BD">
            <w:pPr>
              <w:pStyle w:val="ac"/>
              <w:spacing w:after="0"/>
            </w:pPr>
          </w:p>
        </w:tc>
        <w:tc>
          <w:tcPr>
            <w:tcW w:w="375" w:type="pct"/>
            <w:vMerge/>
            <w:shd w:val="clear" w:color="auto" w:fill="auto"/>
            <w:vAlign w:val="center"/>
          </w:tcPr>
          <w:p w14:paraId="496F7075" w14:textId="77777777" w:rsidR="004D4938" w:rsidRDefault="004D4938" w:rsidP="00EE37BD">
            <w:pPr>
              <w:pStyle w:val="ac"/>
            </w:pPr>
          </w:p>
        </w:tc>
        <w:tc>
          <w:tcPr>
            <w:tcW w:w="444" w:type="pct"/>
            <w:vMerge/>
            <w:vAlign w:val="center"/>
          </w:tcPr>
          <w:p w14:paraId="533A12F1" w14:textId="77777777" w:rsidR="004D4938" w:rsidRDefault="004D4938" w:rsidP="00EE37BD">
            <w:pPr>
              <w:pStyle w:val="ac"/>
            </w:pPr>
          </w:p>
        </w:tc>
        <w:tc>
          <w:tcPr>
            <w:tcW w:w="733" w:type="pct"/>
            <w:vAlign w:val="center"/>
          </w:tcPr>
          <w:p w14:paraId="75F58A9A" w14:textId="77777777" w:rsidR="004D4938" w:rsidRDefault="004D4938" w:rsidP="00EE37BD">
            <w:pPr>
              <w:pStyle w:val="ac"/>
            </w:pPr>
            <w:r>
              <w:rPr>
                <w:rFonts w:ascii="宋体#." w:eastAsia="宋体#." w:cs="宋体#."/>
                <w:szCs w:val="18"/>
              </w:rPr>
              <w:t>镉（Cd）</w:t>
            </w:r>
          </w:p>
        </w:tc>
        <w:tc>
          <w:tcPr>
            <w:tcW w:w="650" w:type="pct"/>
            <w:vMerge/>
            <w:shd w:val="clear" w:color="auto" w:fill="auto"/>
            <w:vAlign w:val="center"/>
          </w:tcPr>
          <w:p w14:paraId="67D33B17" w14:textId="77777777" w:rsidR="004D4938" w:rsidRDefault="004D4938" w:rsidP="00EE37BD">
            <w:pPr>
              <w:pStyle w:val="ac"/>
            </w:pPr>
          </w:p>
        </w:tc>
        <w:tc>
          <w:tcPr>
            <w:tcW w:w="1822" w:type="pct"/>
            <w:gridSpan w:val="3"/>
            <w:vMerge/>
            <w:shd w:val="clear" w:color="auto" w:fill="auto"/>
            <w:vAlign w:val="center"/>
          </w:tcPr>
          <w:p w14:paraId="2D8ED904" w14:textId="77777777" w:rsidR="004D4938" w:rsidRDefault="004D4938" w:rsidP="00EE37BD">
            <w:pPr>
              <w:pStyle w:val="ac"/>
            </w:pPr>
          </w:p>
        </w:tc>
        <w:tc>
          <w:tcPr>
            <w:tcW w:w="804" w:type="pct"/>
            <w:vMerge/>
            <w:shd w:val="clear" w:color="auto" w:fill="auto"/>
            <w:vAlign w:val="center"/>
          </w:tcPr>
          <w:p w14:paraId="5C284B5D" w14:textId="77777777" w:rsidR="004D4938" w:rsidRDefault="004D4938" w:rsidP="00EE37BD">
            <w:pPr>
              <w:pStyle w:val="ac"/>
            </w:pPr>
          </w:p>
        </w:tc>
      </w:tr>
      <w:tr w:rsidR="004D4938" w14:paraId="25C92BB2" w14:textId="77777777" w:rsidTr="00EE37BD">
        <w:trPr>
          <w:trHeight w:val="33"/>
          <w:jc w:val="center"/>
        </w:trPr>
        <w:tc>
          <w:tcPr>
            <w:tcW w:w="172" w:type="pct"/>
            <w:vMerge/>
            <w:shd w:val="clear" w:color="auto" w:fill="auto"/>
            <w:vAlign w:val="center"/>
          </w:tcPr>
          <w:p w14:paraId="7F10A446" w14:textId="77777777" w:rsidR="004D4938" w:rsidRDefault="004D4938" w:rsidP="00EE37BD">
            <w:pPr>
              <w:pStyle w:val="ac"/>
              <w:spacing w:after="0"/>
            </w:pPr>
          </w:p>
        </w:tc>
        <w:tc>
          <w:tcPr>
            <w:tcW w:w="375" w:type="pct"/>
            <w:vMerge/>
            <w:shd w:val="clear" w:color="auto" w:fill="auto"/>
            <w:vAlign w:val="center"/>
          </w:tcPr>
          <w:p w14:paraId="3C7B1561" w14:textId="77777777" w:rsidR="004D4938" w:rsidRDefault="004D4938" w:rsidP="00EE37BD">
            <w:pPr>
              <w:pStyle w:val="ac"/>
            </w:pPr>
          </w:p>
        </w:tc>
        <w:tc>
          <w:tcPr>
            <w:tcW w:w="444" w:type="pct"/>
            <w:vMerge/>
            <w:vAlign w:val="center"/>
          </w:tcPr>
          <w:p w14:paraId="58EFFF21" w14:textId="77777777" w:rsidR="004D4938" w:rsidRDefault="004D4938" w:rsidP="00EE37BD">
            <w:pPr>
              <w:pStyle w:val="ac"/>
            </w:pPr>
          </w:p>
        </w:tc>
        <w:tc>
          <w:tcPr>
            <w:tcW w:w="733" w:type="pct"/>
            <w:vAlign w:val="center"/>
          </w:tcPr>
          <w:p w14:paraId="0A1B8D7A" w14:textId="77777777" w:rsidR="004D4938" w:rsidRDefault="004D4938" w:rsidP="00EE37BD">
            <w:pPr>
              <w:pStyle w:val="ac"/>
            </w:pPr>
            <w:r>
              <w:rPr>
                <w:rFonts w:ascii="宋体#." w:eastAsia="宋体#." w:cs="宋体#."/>
                <w:szCs w:val="18"/>
              </w:rPr>
              <w:t>汞（Hg）</w:t>
            </w:r>
          </w:p>
        </w:tc>
        <w:tc>
          <w:tcPr>
            <w:tcW w:w="650" w:type="pct"/>
            <w:vMerge/>
            <w:shd w:val="clear" w:color="auto" w:fill="auto"/>
            <w:vAlign w:val="center"/>
          </w:tcPr>
          <w:p w14:paraId="5E0F37CB" w14:textId="77777777" w:rsidR="004D4938" w:rsidRDefault="004D4938" w:rsidP="00EE37BD">
            <w:pPr>
              <w:pStyle w:val="ac"/>
            </w:pPr>
          </w:p>
        </w:tc>
        <w:tc>
          <w:tcPr>
            <w:tcW w:w="1822" w:type="pct"/>
            <w:gridSpan w:val="3"/>
            <w:vMerge/>
            <w:shd w:val="clear" w:color="auto" w:fill="auto"/>
            <w:vAlign w:val="center"/>
          </w:tcPr>
          <w:p w14:paraId="08DC429D" w14:textId="77777777" w:rsidR="004D4938" w:rsidRDefault="004D4938" w:rsidP="00EE37BD">
            <w:pPr>
              <w:pStyle w:val="ac"/>
            </w:pPr>
          </w:p>
        </w:tc>
        <w:tc>
          <w:tcPr>
            <w:tcW w:w="804" w:type="pct"/>
            <w:vMerge/>
            <w:shd w:val="clear" w:color="auto" w:fill="auto"/>
            <w:vAlign w:val="center"/>
          </w:tcPr>
          <w:p w14:paraId="04F428AD" w14:textId="77777777" w:rsidR="004D4938" w:rsidRDefault="004D4938" w:rsidP="00EE37BD">
            <w:pPr>
              <w:pStyle w:val="ac"/>
            </w:pPr>
          </w:p>
        </w:tc>
      </w:tr>
      <w:tr w:rsidR="004D4938" w14:paraId="45C28D87" w14:textId="77777777" w:rsidTr="00EE37BD">
        <w:trPr>
          <w:trHeight w:val="33"/>
          <w:jc w:val="center"/>
        </w:trPr>
        <w:tc>
          <w:tcPr>
            <w:tcW w:w="172" w:type="pct"/>
            <w:vMerge/>
            <w:shd w:val="clear" w:color="auto" w:fill="auto"/>
            <w:vAlign w:val="center"/>
          </w:tcPr>
          <w:p w14:paraId="319E2401" w14:textId="77777777" w:rsidR="004D4938" w:rsidRDefault="004D4938" w:rsidP="00EE37BD">
            <w:pPr>
              <w:pStyle w:val="ac"/>
              <w:spacing w:after="0"/>
            </w:pPr>
          </w:p>
        </w:tc>
        <w:tc>
          <w:tcPr>
            <w:tcW w:w="375" w:type="pct"/>
            <w:vMerge/>
            <w:shd w:val="clear" w:color="auto" w:fill="auto"/>
            <w:vAlign w:val="center"/>
          </w:tcPr>
          <w:p w14:paraId="1AD81A20" w14:textId="77777777" w:rsidR="004D4938" w:rsidRDefault="004D4938" w:rsidP="00EE37BD">
            <w:pPr>
              <w:pStyle w:val="ac"/>
            </w:pPr>
          </w:p>
        </w:tc>
        <w:tc>
          <w:tcPr>
            <w:tcW w:w="444" w:type="pct"/>
            <w:vMerge/>
            <w:vAlign w:val="center"/>
          </w:tcPr>
          <w:p w14:paraId="6F6EF658" w14:textId="77777777" w:rsidR="004D4938" w:rsidRDefault="004D4938" w:rsidP="00EE37BD">
            <w:pPr>
              <w:pStyle w:val="ac"/>
            </w:pPr>
          </w:p>
        </w:tc>
        <w:tc>
          <w:tcPr>
            <w:tcW w:w="733" w:type="pct"/>
            <w:vAlign w:val="center"/>
          </w:tcPr>
          <w:p w14:paraId="0EED7B11" w14:textId="77777777" w:rsidR="004D4938" w:rsidRDefault="004D4938" w:rsidP="00EE37BD">
            <w:pPr>
              <w:pStyle w:val="ac"/>
              <w:rPr>
                <w:rFonts w:ascii="宋体#." w:eastAsia="宋体#." w:cs="宋体#."/>
                <w:szCs w:val="18"/>
              </w:rPr>
            </w:pPr>
            <w:r>
              <w:rPr>
                <w:rFonts w:ascii="宋体#." w:eastAsia="宋体#." w:cs="宋体#."/>
                <w:szCs w:val="18"/>
              </w:rPr>
              <w:t>六价铬（Cr</w:t>
            </w:r>
            <w:r>
              <w:rPr>
                <w:rFonts w:ascii="宋体#." w:eastAsia="宋体#." w:cs="宋体#."/>
                <w:szCs w:val="18"/>
                <w:vertAlign w:val="superscript"/>
              </w:rPr>
              <w:t>6+</w:t>
            </w:r>
            <w:r>
              <w:rPr>
                <w:rFonts w:ascii="宋体#." w:eastAsia="宋体#." w:cs="宋体#."/>
                <w:szCs w:val="18"/>
              </w:rPr>
              <w:t>）</w:t>
            </w:r>
          </w:p>
        </w:tc>
        <w:tc>
          <w:tcPr>
            <w:tcW w:w="650" w:type="pct"/>
            <w:vMerge/>
            <w:shd w:val="clear" w:color="auto" w:fill="auto"/>
            <w:vAlign w:val="center"/>
          </w:tcPr>
          <w:p w14:paraId="479700A2" w14:textId="77777777" w:rsidR="004D4938" w:rsidRDefault="004D4938" w:rsidP="00EE37BD">
            <w:pPr>
              <w:pStyle w:val="ac"/>
            </w:pPr>
          </w:p>
        </w:tc>
        <w:tc>
          <w:tcPr>
            <w:tcW w:w="1822" w:type="pct"/>
            <w:gridSpan w:val="3"/>
            <w:vMerge/>
            <w:shd w:val="clear" w:color="auto" w:fill="auto"/>
            <w:vAlign w:val="center"/>
          </w:tcPr>
          <w:p w14:paraId="07002F4E" w14:textId="77777777" w:rsidR="004D4938" w:rsidRDefault="004D4938" w:rsidP="00EE37BD">
            <w:pPr>
              <w:pStyle w:val="ac"/>
              <w:rPr>
                <w:rFonts w:ascii="宋体#." w:eastAsia="宋体#." w:cs="宋体#."/>
                <w:szCs w:val="18"/>
              </w:rPr>
            </w:pPr>
          </w:p>
        </w:tc>
        <w:tc>
          <w:tcPr>
            <w:tcW w:w="804" w:type="pct"/>
            <w:vMerge/>
            <w:shd w:val="clear" w:color="auto" w:fill="auto"/>
            <w:vAlign w:val="center"/>
          </w:tcPr>
          <w:p w14:paraId="2D237EC1" w14:textId="77777777" w:rsidR="004D4938" w:rsidRDefault="004D4938" w:rsidP="00EE37BD">
            <w:pPr>
              <w:pStyle w:val="ac"/>
            </w:pPr>
          </w:p>
        </w:tc>
      </w:tr>
      <w:tr w:rsidR="004D4938" w14:paraId="2D8E5A01" w14:textId="77777777" w:rsidTr="00EE37BD">
        <w:trPr>
          <w:trHeight w:val="33"/>
          <w:jc w:val="center"/>
        </w:trPr>
        <w:tc>
          <w:tcPr>
            <w:tcW w:w="172" w:type="pct"/>
            <w:vMerge/>
            <w:shd w:val="clear" w:color="auto" w:fill="auto"/>
            <w:vAlign w:val="center"/>
          </w:tcPr>
          <w:p w14:paraId="53BC3E99" w14:textId="77777777" w:rsidR="004D4938" w:rsidRDefault="004D4938" w:rsidP="00EE37BD">
            <w:pPr>
              <w:pStyle w:val="ac"/>
              <w:spacing w:after="0"/>
            </w:pPr>
          </w:p>
        </w:tc>
        <w:tc>
          <w:tcPr>
            <w:tcW w:w="375" w:type="pct"/>
            <w:vMerge/>
            <w:shd w:val="clear" w:color="auto" w:fill="auto"/>
            <w:vAlign w:val="center"/>
          </w:tcPr>
          <w:p w14:paraId="77BA4327" w14:textId="77777777" w:rsidR="004D4938" w:rsidRDefault="004D4938" w:rsidP="00EE37BD">
            <w:pPr>
              <w:pStyle w:val="ac"/>
            </w:pPr>
          </w:p>
        </w:tc>
        <w:tc>
          <w:tcPr>
            <w:tcW w:w="444" w:type="pct"/>
            <w:vMerge/>
            <w:vAlign w:val="center"/>
          </w:tcPr>
          <w:p w14:paraId="3FAF2BA0" w14:textId="77777777" w:rsidR="004D4938" w:rsidRDefault="004D4938" w:rsidP="00EE37BD">
            <w:pPr>
              <w:pStyle w:val="ac"/>
            </w:pPr>
          </w:p>
        </w:tc>
        <w:tc>
          <w:tcPr>
            <w:tcW w:w="733" w:type="pct"/>
            <w:vAlign w:val="center"/>
          </w:tcPr>
          <w:p w14:paraId="3E2967BA" w14:textId="77777777" w:rsidR="004D4938" w:rsidRDefault="004D4938" w:rsidP="00EE37BD">
            <w:pPr>
              <w:pStyle w:val="ac"/>
              <w:rPr>
                <w:rFonts w:ascii="宋体#." w:eastAsia="宋体#." w:cs="宋体#."/>
                <w:szCs w:val="18"/>
              </w:rPr>
            </w:pPr>
            <w:r>
              <w:rPr>
                <w:rFonts w:ascii="宋体#." w:eastAsia="宋体#." w:cs="宋体#."/>
                <w:szCs w:val="18"/>
              </w:rPr>
              <w:t>多溴联苯（PBB）</w:t>
            </w:r>
          </w:p>
        </w:tc>
        <w:tc>
          <w:tcPr>
            <w:tcW w:w="650" w:type="pct"/>
            <w:vMerge/>
            <w:shd w:val="clear" w:color="auto" w:fill="auto"/>
            <w:vAlign w:val="center"/>
          </w:tcPr>
          <w:p w14:paraId="557D12CD" w14:textId="77777777" w:rsidR="004D4938" w:rsidRDefault="004D4938" w:rsidP="00EE37BD">
            <w:pPr>
              <w:pStyle w:val="ac"/>
            </w:pPr>
          </w:p>
        </w:tc>
        <w:tc>
          <w:tcPr>
            <w:tcW w:w="1822" w:type="pct"/>
            <w:gridSpan w:val="3"/>
            <w:vMerge/>
            <w:shd w:val="clear" w:color="auto" w:fill="auto"/>
            <w:vAlign w:val="center"/>
          </w:tcPr>
          <w:p w14:paraId="3A472035" w14:textId="77777777" w:rsidR="004D4938" w:rsidRDefault="004D4938" w:rsidP="00EE37BD">
            <w:pPr>
              <w:pStyle w:val="ac"/>
              <w:rPr>
                <w:rFonts w:ascii="宋体#." w:eastAsia="宋体#." w:cs="宋体#."/>
                <w:szCs w:val="18"/>
              </w:rPr>
            </w:pPr>
          </w:p>
        </w:tc>
        <w:tc>
          <w:tcPr>
            <w:tcW w:w="804" w:type="pct"/>
            <w:vMerge/>
            <w:shd w:val="clear" w:color="auto" w:fill="auto"/>
            <w:vAlign w:val="center"/>
          </w:tcPr>
          <w:p w14:paraId="55AB7402" w14:textId="77777777" w:rsidR="004D4938" w:rsidRDefault="004D4938" w:rsidP="00EE37BD">
            <w:pPr>
              <w:pStyle w:val="ac"/>
            </w:pPr>
          </w:p>
        </w:tc>
      </w:tr>
      <w:tr w:rsidR="004D4938" w14:paraId="399BEBF8" w14:textId="77777777" w:rsidTr="00EE37BD">
        <w:trPr>
          <w:trHeight w:val="33"/>
          <w:jc w:val="center"/>
        </w:trPr>
        <w:tc>
          <w:tcPr>
            <w:tcW w:w="172" w:type="pct"/>
            <w:vMerge/>
            <w:shd w:val="clear" w:color="auto" w:fill="auto"/>
            <w:vAlign w:val="center"/>
          </w:tcPr>
          <w:p w14:paraId="491F93B5" w14:textId="77777777" w:rsidR="004D4938" w:rsidRDefault="004D4938" w:rsidP="00EE37BD">
            <w:pPr>
              <w:pStyle w:val="ac"/>
            </w:pPr>
          </w:p>
        </w:tc>
        <w:tc>
          <w:tcPr>
            <w:tcW w:w="375" w:type="pct"/>
            <w:vMerge/>
            <w:shd w:val="clear" w:color="auto" w:fill="auto"/>
            <w:vAlign w:val="center"/>
          </w:tcPr>
          <w:p w14:paraId="5B725B32" w14:textId="77777777" w:rsidR="004D4938" w:rsidRDefault="004D4938" w:rsidP="00EE37BD">
            <w:pPr>
              <w:pStyle w:val="ac"/>
            </w:pPr>
          </w:p>
        </w:tc>
        <w:tc>
          <w:tcPr>
            <w:tcW w:w="444" w:type="pct"/>
            <w:vMerge/>
            <w:vAlign w:val="center"/>
          </w:tcPr>
          <w:p w14:paraId="4D218234" w14:textId="77777777" w:rsidR="004D4938" w:rsidRDefault="004D4938" w:rsidP="00EE37BD">
            <w:pPr>
              <w:pStyle w:val="ac"/>
            </w:pPr>
          </w:p>
        </w:tc>
        <w:tc>
          <w:tcPr>
            <w:tcW w:w="733" w:type="pct"/>
            <w:vAlign w:val="center"/>
          </w:tcPr>
          <w:p w14:paraId="198CD418" w14:textId="77777777" w:rsidR="004D4938" w:rsidRDefault="004D4938" w:rsidP="00EE37BD">
            <w:pPr>
              <w:pStyle w:val="ac"/>
              <w:rPr>
                <w:rFonts w:ascii="宋体#." w:eastAsia="宋体#." w:cs="宋体#."/>
                <w:szCs w:val="18"/>
              </w:rPr>
            </w:pPr>
            <w:r>
              <w:rPr>
                <w:rFonts w:ascii="宋体#." w:eastAsia="宋体#." w:cs="宋体#."/>
                <w:szCs w:val="18"/>
              </w:rPr>
              <w:t>多溴二苯醚（PBDE）</w:t>
            </w:r>
          </w:p>
        </w:tc>
        <w:tc>
          <w:tcPr>
            <w:tcW w:w="650" w:type="pct"/>
            <w:vMerge/>
            <w:shd w:val="clear" w:color="auto" w:fill="auto"/>
            <w:vAlign w:val="center"/>
          </w:tcPr>
          <w:p w14:paraId="4AB14FF8" w14:textId="77777777" w:rsidR="004D4938" w:rsidRDefault="004D4938" w:rsidP="00EE37BD">
            <w:pPr>
              <w:pStyle w:val="ac"/>
            </w:pPr>
          </w:p>
        </w:tc>
        <w:tc>
          <w:tcPr>
            <w:tcW w:w="1822" w:type="pct"/>
            <w:gridSpan w:val="3"/>
            <w:vMerge/>
            <w:shd w:val="clear" w:color="auto" w:fill="auto"/>
            <w:vAlign w:val="center"/>
          </w:tcPr>
          <w:p w14:paraId="0F55C03A" w14:textId="77777777" w:rsidR="004D4938" w:rsidRDefault="004D4938" w:rsidP="00EE37BD">
            <w:pPr>
              <w:pStyle w:val="ac"/>
              <w:rPr>
                <w:rFonts w:ascii="宋体#." w:eastAsia="宋体#." w:cs="宋体#."/>
                <w:szCs w:val="18"/>
              </w:rPr>
            </w:pPr>
          </w:p>
        </w:tc>
        <w:tc>
          <w:tcPr>
            <w:tcW w:w="804" w:type="pct"/>
            <w:vMerge/>
            <w:shd w:val="clear" w:color="auto" w:fill="auto"/>
            <w:vAlign w:val="center"/>
          </w:tcPr>
          <w:p w14:paraId="67BC3075" w14:textId="77777777" w:rsidR="004D4938" w:rsidRDefault="004D4938" w:rsidP="00EE37BD">
            <w:pPr>
              <w:pStyle w:val="ac"/>
            </w:pPr>
          </w:p>
        </w:tc>
      </w:tr>
      <w:bookmarkEnd w:id="1"/>
    </w:tbl>
    <w:p w14:paraId="77E7B4B9" w14:textId="77777777" w:rsidR="003C5E32" w:rsidRPr="004D4938" w:rsidRDefault="003C5E32" w:rsidP="003C5E32"/>
    <w:p w14:paraId="611C4D87"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  评价方法及等级划分</w:t>
      </w:r>
    </w:p>
    <w:p w14:paraId="15D7190D" w14:textId="2AE0FAC9" w:rsidR="00D04E96" w:rsidRDefault="00595E54">
      <w:pPr>
        <w:adjustRightInd/>
        <w:snapToGrid/>
        <w:spacing w:after="0" w:line="360" w:lineRule="auto"/>
        <w:ind w:firstLineChars="200" w:firstLine="480"/>
        <w:jc w:val="both"/>
        <w:rPr>
          <w:rFonts w:ascii="仿宋_GB2312" w:eastAsia="仿宋_GB2312" w:hAnsi="Times New Roman" w:cs="Times New Roman"/>
          <w:sz w:val="24"/>
          <w:szCs w:val="24"/>
        </w:rPr>
      </w:pPr>
      <w:r w:rsidRPr="00595E54">
        <w:rPr>
          <w:rFonts w:ascii="仿宋_GB2312" w:eastAsia="仿宋_GB2312" w:hAnsi="Times New Roman" w:cs="Times New Roman" w:hint="eastAsia"/>
          <w:sz w:val="24"/>
          <w:szCs w:val="24"/>
        </w:rPr>
        <w:t>评价结果划分为一级、二级和三级，各等级所对应的划分依据见表2。达到三级要求及以上的企业标准并按照有关要求进行自我声明公开后均可进入烧结钕铁硼永磁材料企业标准排行榜。达到</w:t>
      </w:r>
      <w:proofErr w:type="gramStart"/>
      <w:r w:rsidRPr="00595E54">
        <w:rPr>
          <w:rFonts w:ascii="仿宋_GB2312" w:eastAsia="仿宋_GB2312" w:hAnsi="Times New Roman" w:cs="Times New Roman" w:hint="eastAsia"/>
          <w:sz w:val="24"/>
          <w:szCs w:val="24"/>
        </w:rPr>
        <w:t>一级要求</w:t>
      </w:r>
      <w:proofErr w:type="gramEnd"/>
      <w:r w:rsidRPr="00595E54">
        <w:rPr>
          <w:rFonts w:ascii="仿宋_GB2312" w:eastAsia="仿宋_GB2312" w:hAnsi="Times New Roman" w:cs="Times New Roman" w:hint="eastAsia"/>
          <w:sz w:val="24"/>
          <w:szCs w:val="24"/>
        </w:rPr>
        <w:t>的企业标准</w:t>
      </w:r>
      <w:proofErr w:type="gramStart"/>
      <w:r w:rsidRPr="00595E54">
        <w:rPr>
          <w:rFonts w:ascii="仿宋_GB2312" w:eastAsia="仿宋_GB2312" w:hAnsi="Times New Roman" w:cs="Times New Roman" w:hint="eastAsia"/>
          <w:sz w:val="24"/>
          <w:szCs w:val="24"/>
        </w:rPr>
        <w:t>且按照</w:t>
      </w:r>
      <w:proofErr w:type="gramEnd"/>
      <w:r w:rsidRPr="00595E54">
        <w:rPr>
          <w:rFonts w:ascii="仿宋_GB2312" w:eastAsia="仿宋_GB2312" w:hAnsi="Times New Roman" w:cs="Times New Roman" w:hint="eastAsia"/>
          <w:sz w:val="24"/>
          <w:szCs w:val="24"/>
        </w:rPr>
        <w:t>有关要求进行</w:t>
      </w:r>
      <w:r w:rsidRPr="00595E54">
        <w:rPr>
          <w:rFonts w:ascii="仿宋_GB2312" w:eastAsia="仿宋_GB2312" w:hAnsi="Times New Roman" w:cs="Times New Roman" w:hint="eastAsia"/>
          <w:sz w:val="24"/>
          <w:szCs w:val="24"/>
        </w:rPr>
        <w:lastRenderedPageBreak/>
        <w:t>自我声明公开后，其标准和符合标准的产品可以直接进入烧结钕铁硼永磁材料企业标准“领跑者”候选名单</w:t>
      </w:r>
      <w:r>
        <w:rPr>
          <w:rFonts w:ascii="仿宋_GB2312" w:eastAsia="仿宋_GB2312" w:hAnsi="Times New Roman" w:cs="Times New Roman" w:hint="eastAsia"/>
          <w:sz w:val="24"/>
          <w:szCs w:val="24"/>
        </w:rPr>
        <w:t>。</w:t>
      </w:r>
    </w:p>
    <w:p w14:paraId="77E8B580" w14:textId="77777777" w:rsidR="00D04E96" w:rsidRDefault="00000000">
      <w:pPr>
        <w:pStyle w:val="a"/>
        <w:spacing w:before="156" w:after="156"/>
        <w:rPr>
          <w:rFonts w:hAnsi="宋体" w:hint="default"/>
          <w:color w:val="000000"/>
          <w:szCs w:val="21"/>
        </w:rPr>
      </w:pPr>
      <w:r>
        <w:rPr>
          <w:rFonts w:hAnsi="宋体"/>
          <w:color w:val="000000"/>
          <w:szCs w:val="21"/>
        </w:rPr>
        <w:t>指标评价要求及等级划分</w:t>
      </w:r>
    </w:p>
    <w:tbl>
      <w:tblPr>
        <w:tblStyle w:val="a9"/>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0"/>
        <w:gridCol w:w="979"/>
        <w:gridCol w:w="1462"/>
        <w:gridCol w:w="2426"/>
        <w:gridCol w:w="1709"/>
      </w:tblGrid>
      <w:tr w:rsidR="00D04E96" w14:paraId="345FABEE" w14:textId="77777777">
        <w:trPr>
          <w:trHeight w:val="376"/>
          <w:tblHeader/>
          <w:jc w:val="center"/>
        </w:trPr>
        <w:tc>
          <w:tcPr>
            <w:tcW w:w="1032" w:type="pct"/>
            <w:tcBorders>
              <w:top w:val="single" w:sz="8" w:space="0" w:color="auto"/>
              <w:left w:val="single" w:sz="8" w:space="0" w:color="auto"/>
              <w:bottom w:val="single" w:sz="8" w:space="0" w:color="auto"/>
              <w:right w:val="single" w:sz="4" w:space="0" w:color="auto"/>
            </w:tcBorders>
            <w:shd w:val="clear" w:color="auto" w:fill="auto"/>
            <w:vAlign w:val="center"/>
          </w:tcPr>
          <w:p w14:paraId="3587EF07" w14:textId="77777777" w:rsidR="00D04E96" w:rsidRDefault="00000000">
            <w:pPr>
              <w:pStyle w:val="ac"/>
              <w:rPr>
                <w:rFonts w:eastAsia="宋体" w:hAnsi="宋体" w:cs="宋体" w:hint="default"/>
                <w:szCs w:val="18"/>
              </w:rPr>
            </w:pPr>
            <w:r>
              <w:rPr>
                <w:rFonts w:eastAsia="宋体" w:hAnsi="宋体" w:cs="宋体"/>
                <w:szCs w:val="18"/>
              </w:rPr>
              <w:t>评价等级</w:t>
            </w:r>
          </w:p>
        </w:tc>
        <w:tc>
          <w:tcPr>
            <w:tcW w:w="3968" w:type="pct"/>
            <w:gridSpan w:val="4"/>
            <w:tcBorders>
              <w:top w:val="single" w:sz="8" w:space="0" w:color="auto"/>
              <w:left w:val="single" w:sz="4" w:space="0" w:color="auto"/>
              <w:bottom w:val="single" w:sz="8" w:space="0" w:color="auto"/>
              <w:right w:val="single" w:sz="8" w:space="0" w:color="auto"/>
            </w:tcBorders>
            <w:shd w:val="clear" w:color="auto" w:fill="auto"/>
            <w:vAlign w:val="center"/>
          </w:tcPr>
          <w:p w14:paraId="3AE9BF60" w14:textId="77777777" w:rsidR="00D04E96" w:rsidRDefault="00000000">
            <w:pPr>
              <w:pStyle w:val="ac"/>
              <w:rPr>
                <w:rFonts w:eastAsia="宋体" w:hAnsi="宋体" w:cs="宋体" w:hint="default"/>
                <w:szCs w:val="18"/>
              </w:rPr>
            </w:pPr>
            <w:r>
              <w:rPr>
                <w:rFonts w:eastAsia="宋体" w:hAnsi="宋体" w:cs="宋体"/>
                <w:szCs w:val="18"/>
              </w:rPr>
              <w:t>满足条件</w:t>
            </w:r>
          </w:p>
        </w:tc>
      </w:tr>
      <w:tr w:rsidR="00D04E96" w14:paraId="28EF7682" w14:textId="77777777">
        <w:trPr>
          <w:trHeight w:val="567"/>
          <w:jc w:val="center"/>
        </w:trPr>
        <w:tc>
          <w:tcPr>
            <w:tcW w:w="1032" w:type="pct"/>
            <w:tcBorders>
              <w:top w:val="single" w:sz="8" w:space="0" w:color="auto"/>
              <w:left w:val="single" w:sz="8" w:space="0" w:color="auto"/>
              <w:bottom w:val="single" w:sz="4" w:space="0" w:color="auto"/>
              <w:right w:val="single" w:sz="4" w:space="0" w:color="auto"/>
            </w:tcBorders>
            <w:shd w:val="clear" w:color="auto" w:fill="auto"/>
            <w:vAlign w:val="center"/>
          </w:tcPr>
          <w:p w14:paraId="55538C12" w14:textId="77777777" w:rsidR="00D04E96" w:rsidRDefault="00000000">
            <w:pPr>
              <w:pStyle w:val="ac"/>
              <w:rPr>
                <w:rFonts w:eastAsia="宋体" w:hAnsi="宋体" w:cs="宋体" w:hint="default"/>
                <w:szCs w:val="18"/>
              </w:rPr>
            </w:pPr>
            <w:r>
              <w:rPr>
                <w:rFonts w:eastAsia="宋体" w:hAnsi="宋体" w:cs="宋体"/>
                <w:szCs w:val="18"/>
              </w:rPr>
              <w:t>一级应同时满足</w:t>
            </w:r>
          </w:p>
        </w:tc>
        <w:tc>
          <w:tcPr>
            <w:tcW w:w="591" w:type="pct"/>
            <w:tcBorders>
              <w:top w:val="single" w:sz="8" w:space="0" w:color="auto"/>
              <w:left w:val="single" w:sz="4" w:space="0" w:color="auto"/>
              <w:bottom w:val="single" w:sz="4" w:space="0" w:color="auto"/>
              <w:right w:val="single" w:sz="4" w:space="0" w:color="auto"/>
            </w:tcBorders>
            <w:shd w:val="clear" w:color="auto" w:fill="auto"/>
            <w:vAlign w:val="center"/>
          </w:tcPr>
          <w:p w14:paraId="01317ABD" w14:textId="77777777" w:rsidR="00D04E96" w:rsidRDefault="00000000">
            <w:pPr>
              <w:pStyle w:val="ac"/>
              <w:rPr>
                <w:rFonts w:eastAsia="宋体" w:hAnsi="宋体" w:cs="宋体" w:hint="default"/>
                <w:szCs w:val="18"/>
              </w:rPr>
            </w:pPr>
            <w:r>
              <w:rPr>
                <w:rFonts w:eastAsia="宋体" w:hAnsi="宋体" w:cs="宋体"/>
                <w:szCs w:val="18"/>
              </w:rPr>
              <w:t>基本要求</w:t>
            </w:r>
          </w:p>
        </w:tc>
        <w:tc>
          <w:tcPr>
            <w:tcW w:w="882" w:type="pct"/>
            <w:tcBorders>
              <w:top w:val="single" w:sz="8" w:space="0" w:color="auto"/>
              <w:left w:val="single" w:sz="4" w:space="0" w:color="auto"/>
              <w:bottom w:val="single" w:sz="4" w:space="0" w:color="auto"/>
              <w:right w:val="single" w:sz="4" w:space="0" w:color="auto"/>
            </w:tcBorders>
            <w:shd w:val="clear" w:color="auto" w:fill="auto"/>
            <w:vAlign w:val="center"/>
          </w:tcPr>
          <w:p w14:paraId="623E6339" w14:textId="77777777" w:rsidR="00D04E96" w:rsidRDefault="00000000">
            <w:pPr>
              <w:pStyle w:val="ac"/>
              <w:rPr>
                <w:rFonts w:eastAsia="宋体" w:hAnsi="宋体" w:cs="宋体" w:hint="default"/>
                <w:szCs w:val="18"/>
              </w:rPr>
            </w:pPr>
            <w:r>
              <w:rPr>
                <w:rFonts w:eastAsia="宋体" w:hAnsi="宋体" w:cs="宋体"/>
                <w:szCs w:val="18"/>
              </w:rPr>
              <w:t>基础指标要求</w:t>
            </w:r>
          </w:p>
        </w:tc>
        <w:tc>
          <w:tcPr>
            <w:tcW w:w="1464" w:type="pct"/>
            <w:tcBorders>
              <w:top w:val="single" w:sz="8" w:space="0" w:color="auto"/>
              <w:left w:val="single" w:sz="4" w:space="0" w:color="auto"/>
              <w:bottom w:val="single" w:sz="4" w:space="0" w:color="auto"/>
              <w:right w:val="single" w:sz="4" w:space="0" w:color="auto"/>
            </w:tcBorders>
            <w:shd w:val="clear" w:color="auto" w:fill="auto"/>
            <w:vAlign w:val="center"/>
          </w:tcPr>
          <w:p w14:paraId="0E717540" w14:textId="77777777" w:rsidR="00D04E96" w:rsidRDefault="00000000">
            <w:pPr>
              <w:pStyle w:val="ac"/>
              <w:rPr>
                <w:rFonts w:eastAsia="宋体" w:hAnsi="宋体" w:cs="宋体" w:hint="default"/>
                <w:szCs w:val="18"/>
              </w:rPr>
            </w:pPr>
            <w:r>
              <w:rPr>
                <w:rFonts w:eastAsia="宋体" w:hAnsi="宋体" w:cs="宋体"/>
                <w:szCs w:val="18"/>
              </w:rPr>
              <w:t>核心指标先进水平要求</w:t>
            </w:r>
          </w:p>
        </w:tc>
        <w:tc>
          <w:tcPr>
            <w:tcW w:w="1031" w:type="pct"/>
            <w:tcBorders>
              <w:top w:val="single" w:sz="8" w:space="0" w:color="auto"/>
              <w:left w:val="single" w:sz="4" w:space="0" w:color="auto"/>
              <w:bottom w:val="single" w:sz="4" w:space="0" w:color="auto"/>
              <w:right w:val="single" w:sz="8" w:space="0" w:color="auto"/>
            </w:tcBorders>
            <w:shd w:val="clear" w:color="auto" w:fill="auto"/>
            <w:vAlign w:val="center"/>
          </w:tcPr>
          <w:p w14:paraId="31ABDAA3" w14:textId="77777777" w:rsidR="00D04E96" w:rsidRDefault="00000000">
            <w:pPr>
              <w:pStyle w:val="ac"/>
              <w:rPr>
                <w:rFonts w:eastAsia="宋体" w:hAnsi="宋体" w:cs="宋体" w:hint="default"/>
                <w:szCs w:val="18"/>
              </w:rPr>
            </w:pPr>
            <w:r>
              <w:rPr>
                <w:rFonts w:eastAsia="宋体" w:hAnsi="宋体" w:cs="宋体"/>
                <w:szCs w:val="18"/>
              </w:rPr>
              <w:t>创新指标达到先进水平要求</w:t>
            </w:r>
          </w:p>
        </w:tc>
      </w:tr>
      <w:tr w:rsidR="00D04E96" w14:paraId="7115B55C" w14:textId="77777777">
        <w:trPr>
          <w:trHeight w:val="567"/>
          <w:jc w:val="center"/>
        </w:trPr>
        <w:tc>
          <w:tcPr>
            <w:tcW w:w="1032" w:type="pct"/>
            <w:tcBorders>
              <w:top w:val="single" w:sz="4" w:space="0" w:color="auto"/>
              <w:left w:val="single" w:sz="8" w:space="0" w:color="auto"/>
              <w:bottom w:val="single" w:sz="4" w:space="0" w:color="auto"/>
              <w:right w:val="single" w:sz="4" w:space="0" w:color="auto"/>
            </w:tcBorders>
            <w:shd w:val="clear" w:color="auto" w:fill="auto"/>
            <w:vAlign w:val="center"/>
          </w:tcPr>
          <w:p w14:paraId="05A22429" w14:textId="77777777" w:rsidR="00D04E96" w:rsidRDefault="00000000">
            <w:pPr>
              <w:pStyle w:val="ac"/>
              <w:rPr>
                <w:rFonts w:eastAsia="宋体" w:hAnsi="宋体" w:cs="宋体" w:hint="default"/>
                <w:szCs w:val="18"/>
              </w:rPr>
            </w:pPr>
            <w:r>
              <w:rPr>
                <w:rFonts w:eastAsia="宋体" w:hAnsi="宋体" w:cs="宋体"/>
                <w:szCs w:val="18"/>
              </w:rPr>
              <w:t>二级应同时满足</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3851DE96" w14:textId="77777777" w:rsidR="00D04E96" w:rsidRDefault="00000000">
            <w:pPr>
              <w:pStyle w:val="ac"/>
              <w:rPr>
                <w:rFonts w:eastAsia="宋体" w:hAnsi="宋体" w:cs="宋体" w:hint="default"/>
                <w:szCs w:val="18"/>
              </w:rPr>
            </w:pPr>
            <w:r>
              <w:rPr>
                <w:rFonts w:eastAsia="宋体" w:hAnsi="宋体" w:cs="宋体"/>
                <w:szCs w:val="18"/>
              </w:rPr>
              <w:t>基本要求</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37D4E1FB" w14:textId="77777777" w:rsidR="00D04E96" w:rsidRDefault="00000000">
            <w:pPr>
              <w:pStyle w:val="ac"/>
              <w:rPr>
                <w:rFonts w:eastAsia="宋体" w:hAnsi="宋体" w:cs="宋体" w:hint="default"/>
                <w:szCs w:val="18"/>
              </w:rPr>
            </w:pPr>
            <w:r>
              <w:rPr>
                <w:rFonts w:eastAsia="宋体" w:hAnsi="宋体" w:cs="宋体"/>
                <w:szCs w:val="18"/>
              </w:rPr>
              <w:t>基础指标要求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CEE2A94" w14:textId="77777777" w:rsidR="00D04E96" w:rsidRDefault="00000000">
            <w:pPr>
              <w:pStyle w:val="ac"/>
              <w:rPr>
                <w:rFonts w:eastAsia="宋体" w:hAnsi="宋体" w:cs="宋体" w:hint="default"/>
                <w:szCs w:val="18"/>
              </w:rPr>
            </w:pPr>
            <w:r>
              <w:rPr>
                <w:rFonts w:eastAsia="宋体" w:hAnsi="宋体" w:cs="宋体"/>
                <w:szCs w:val="18"/>
              </w:rPr>
              <w:t>核心指标平均水平要求</w:t>
            </w:r>
          </w:p>
        </w:tc>
        <w:tc>
          <w:tcPr>
            <w:tcW w:w="1031" w:type="pct"/>
            <w:tcBorders>
              <w:top w:val="single" w:sz="4" w:space="0" w:color="auto"/>
              <w:left w:val="single" w:sz="4" w:space="0" w:color="auto"/>
              <w:bottom w:val="single" w:sz="4" w:space="0" w:color="auto"/>
              <w:right w:val="single" w:sz="8" w:space="0" w:color="auto"/>
            </w:tcBorders>
            <w:shd w:val="clear" w:color="auto" w:fill="auto"/>
            <w:vAlign w:val="center"/>
          </w:tcPr>
          <w:p w14:paraId="57E46C25" w14:textId="77777777" w:rsidR="00D04E96" w:rsidRDefault="00000000">
            <w:pPr>
              <w:pStyle w:val="ac"/>
              <w:rPr>
                <w:rFonts w:eastAsia="宋体" w:hAnsi="宋体" w:cs="宋体" w:hint="default"/>
                <w:szCs w:val="18"/>
              </w:rPr>
            </w:pPr>
            <w:r>
              <w:rPr>
                <w:rFonts w:eastAsia="宋体" w:hAnsi="宋体" w:cs="宋体"/>
                <w:szCs w:val="18"/>
              </w:rPr>
              <w:t>创新指标达到平均水平要求</w:t>
            </w:r>
          </w:p>
        </w:tc>
      </w:tr>
      <w:tr w:rsidR="00D04E96" w14:paraId="5B5D2069" w14:textId="77777777">
        <w:trPr>
          <w:trHeight w:val="567"/>
          <w:jc w:val="center"/>
        </w:trPr>
        <w:tc>
          <w:tcPr>
            <w:tcW w:w="1032" w:type="pct"/>
            <w:tcBorders>
              <w:top w:val="single" w:sz="4" w:space="0" w:color="auto"/>
              <w:left w:val="single" w:sz="8" w:space="0" w:color="auto"/>
              <w:bottom w:val="single" w:sz="8" w:space="0" w:color="auto"/>
              <w:right w:val="single" w:sz="4" w:space="0" w:color="auto"/>
            </w:tcBorders>
            <w:shd w:val="clear" w:color="auto" w:fill="auto"/>
            <w:vAlign w:val="center"/>
          </w:tcPr>
          <w:p w14:paraId="68DB762B" w14:textId="77777777" w:rsidR="00D04E96" w:rsidRDefault="00000000">
            <w:pPr>
              <w:pStyle w:val="ac"/>
              <w:rPr>
                <w:rFonts w:eastAsia="宋体" w:hAnsi="宋体" w:cs="宋体" w:hint="default"/>
                <w:szCs w:val="18"/>
              </w:rPr>
            </w:pPr>
            <w:r>
              <w:rPr>
                <w:rFonts w:eastAsia="宋体" w:hAnsi="宋体" w:cs="宋体"/>
                <w:szCs w:val="18"/>
              </w:rPr>
              <w:t>三级应同时满足</w:t>
            </w:r>
          </w:p>
        </w:tc>
        <w:tc>
          <w:tcPr>
            <w:tcW w:w="591" w:type="pct"/>
            <w:tcBorders>
              <w:top w:val="single" w:sz="4" w:space="0" w:color="auto"/>
              <w:left w:val="single" w:sz="4" w:space="0" w:color="auto"/>
              <w:bottom w:val="single" w:sz="8" w:space="0" w:color="auto"/>
              <w:right w:val="single" w:sz="4" w:space="0" w:color="auto"/>
            </w:tcBorders>
            <w:shd w:val="clear" w:color="auto" w:fill="auto"/>
            <w:vAlign w:val="center"/>
          </w:tcPr>
          <w:p w14:paraId="46513141" w14:textId="77777777" w:rsidR="00D04E96" w:rsidRDefault="00000000">
            <w:pPr>
              <w:pStyle w:val="ac"/>
              <w:rPr>
                <w:rFonts w:eastAsia="宋体" w:hAnsi="宋体" w:cs="宋体" w:hint="default"/>
                <w:szCs w:val="18"/>
              </w:rPr>
            </w:pPr>
            <w:r>
              <w:rPr>
                <w:rFonts w:eastAsia="宋体" w:hAnsi="宋体" w:cs="宋体"/>
                <w:szCs w:val="18"/>
              </w:rPr>
              <w:t>基本要求</w:t>
            </w:r>
          </w:p>
        </w:tc>
        <w:tc>
          <w:tcPr>
            <w:tcW w:w="882" w:type="pct"/>
            <w:tcBorders>
              <w:top w:val="single" w:sz="4" w:space="0" w:color="auto"/>
              <w:left w:val="single" w:sz="4" w:space="0" w:color="auto"/>
              <w:bottom w:val="single" w:sz="8" w:space="0" w:color="auto"/>
              <w:right w:val="single" w:sz="4" w:space="0" w:color="auto"/>
            </w:tcBorders>
            <w:shd w:val="clear" w:color="auto" w:fill="auto"/>
            <w:vAlign w:val="center"/>
          </w:tcPr>
          <w:p w14:paraId="33DB5817" w14:textId="77777777" w:rsidR="00D04E96" w:rsidRDefault="00000000">
            <w:pPr>
              <w:pStyle w:val="ac"/>
              <w:rPr>
                <w:rFonts w:eastAsia="宋体" w:hAnsi="宋体" w:cs="宋体" w:hint="default"/>
                <w:szCs w:val="18"/>
              </w:rPr>
            </w:pPr>
            <w:r>
              <w:rPr>
                <w:rFonts w:eastAsia="宋体" w:hAnsi="宋体" w:cs="宋体"/>
                <w:szCs w:val="18"/>
              </w:rPr>
              <w:t>基础指标要求</w:t>
            </w:r>
          </w:p>
        </w:tc>
        <w:tc>
          <w:tcPr>
            <w:tcW w:w="1464" w:type="pct"/>
            <w:tcBorders>
              <w:top w:val="single" w:sz="4" w:space="0" w:color="auto"/>
              <w:left w:val="single" w:sz="4" w:space="0" w:color="auto"/>
              <w:bottom w:val="single" w:sz="8" w:space="0" w:color="auto"/>
              <w:right w:val="single" w:sz="4" w:space="0" w:color="auto"/>
            </w:tcBorders>
            <w:shd w:val="clear" w:color="auto" w:fill="auto"/>
            <w:vAlign w:val="center"/>
          </w:tcPr>
          <w:p w14:paraId="00CF3D28" w14:textId="77777777" w:rsidR="00D04E96" w:rsidRDefault="00000000">
            <w:pPr>
              <w:pStyle w:val="ac"/>
              <w:rPr>
                <w:rFonts w:eastAsia="宋体" w:hAnsi="宋体" w:cs="宋体" w:hint="default"/>
                <w:szCs w:val="18"/>
              </w:rPr>
            </w:pPr>
            <w:r>
              <w:rPr>
                <w:rFonts w:eastAsia="宋体" w:hAnsi="宋体" w:cs="宋体"/>
                <w:szCs w:val="18"/>
              </w:rPr>
              <w:t>核心指标基准水平要求</w:t>
            </w:r>
          </w:p>
        </w:tc>
        <w:tc>
          <w:tcPr>
            <w:tcW w:w="1031" w:type="pct"/>
            <w:tcBorders>
              <w:top w:val="single" w:sz="4" w:space="0" w:color="auto"/>
              <w:left w:val="single" w:sz="4" w:space="0" w:color="auto"/>
              <w:bottom w:val="single" w:sz="8" w:space="0" w:color="auto"/>
              <w:right w:val="single" w:sz="8" w:space="0" w:color="auto"/>
            </w:tcBorders>
            <w:shd w:val="clear" w:color="auto" w:fill="auto"/>
            <w:vAlign w:val="center"/>
          </w:tcPr>
          <w:p w14:paraId="2969CFFF" w14:textId="77777777" w:rsidR="00D04E96" w:rsidRDefault="00000000">
            <w:pPr>
              <w:pStyle w:val="ac"/>
              <w:rPr>
                <w:rFonts w:eastAsia="宋体" w:hAnsi="宋体" w:cs="宋体" w:hint="default"/>
                <w:szCs w:val="18"/>
              </w:rPr>
            </w:pPr>
            <w:r>
              <w:rPr>
                <w:rFonts w:eastAsia="宋体" w:hAnsi="宋体" w:cs="宋体"/>
                <w:szCs w:val="18"/>
              </w:rPr>
              <w:t>创新指标达到基准水平要求</w:t>
            </w:r>
          </w:p>
        </w:tc>
      </w:tr>
    </w:tbl>
    <w:p w14:paraId="1EB13905" w14:textId="77777777" w:rsidR="00D04E96" w:rsidRDefault="00D04E96">
      <w:pPr>
        <w:rPr>
          <w:rFonts w:ascii="Times New Roman" w:eastAsia="仿宋_GB2312" w:hAnsi="Times New Roman" w:cs="Times New Roman"/>
          <w:b/>
          <w:sz w:val="32"/>
          <w:szCs w:val="32"/>
        </w:rPr>
      </w:pPr>
    </w:p>
    <w:p w14:paraId="0FE540F2"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采用国际标准的程序及水平的简要说明</w:t>
      </w:r>
    </w:p>
    <w:p w14:paraId="68F94C5E" w14:textId="0EAD9210"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目前没有相关的</w:t>
      </w:r>
      <w:r w:rsidR="00893A39" w:rsidRPr="00595E54">
        <w:rPr>
          <w:rFonts w:ascii="仿宋_GB2312" w:eastAsia="仿宋_GB2312" w:hAnsi="Times New Roman" w:cs="Times New Roman" w:hint="eastAsia"/>
          <w:sz w:val="24"/>
          <w:szCs w:val="24"/>
        </w:rPr>
        <w:t>烧结钕铁硼永磁材料</w:t>
      </w:r>
      <w:r>
        <w:rPr>
          <w:rFonts w:ascii="仿宋_GB2312" w:eastAsia="仿宋_GB2312" w:hAnsi="Times New Roman" w:cs="Times New Roman" w:hint="eastAsia"/>
          <w:sz w:val="24"/>
          <w:szCs w:val="24"/>
        </w:rPr>
        <w:t>相关的质量分级及领跑</w:t>
      </w:r>
      <w:proofErr w:type="gramStart"/>
      <w:r>
        <w:rPr>
          <w:rFonts w:ascii="仿宋_GB2312" w:eastAsia="仿宋_GB2312" w:hAnsi="Times New Roman" w:cs="Times New Roman" w:hint="eastAsia"/>
          <w:sz w:val="24"/>
          <w:szCs w:val="24"/>
        </w:rPr>
        <w:t>者团标</w:t>
      </w:r>
      <w:proofErr w:type="gramEnd"/>
      <w:r>
        <w:rPr>
          <w:rFonts w:ascii="仿宋_GB2312" w:eastAsia="仿宋_GB2312" w:hAnsi="Times New Roman" w:cs="Times New Roman" w:hint="eastAsia"/>
          <w:sz w:val="24"/>
          <w:szCs w:val="24"/>
        </w:rPr>
        <w:t>。目前已有的相关标准包括：</w:t>
      </w:r>
    </w:p>
    <w:p w14:paraId="4B2EC3D6" w14:textId="43EFC803" w:rsidR="00595E54" w:rsidRPr="00595E54" w:rsidRDefault="00595E54" w:rsidP="00595E54">
      <w:pPr>
        <w:pStyle w:val="aa"/>
        <w:numPr>
          <w:ilvl w:val="0"/>
          <w:numId w:val="5"/>
        </w:numPr>
        <w:adjustRightInd/>
        <w:snapToGrid/>
        <w:spacing w:after="0" w:line="360" w:lineRule="auto"/>
        <w:ind w:firstLineChars="0"/>
        <w:jc w:val="both"/>
        <w:rPr>
          <w:rFonts w:ascii="仿宋_GB2312" w:eastAsia="仿宋_GB2312" w:hAnsi="Times New Roman" w:cs="Times New Roman"/>
          <w:sz w:val="24"/>
          <w:szCs w:val="24"/>
        </w:rPr>
      </w:pPr>
      <w:r w:rsidRPr="00595E54">
        <w:rPr>
          <w:rFonts w:ascii="仿宋_GB2312" w:eastAsia="仿宋_GB2312" w:hAnsi="Times New Roman" w:cs="Times New Roman" w:hint="eastAsia"/>
          <w:sz w:val="24"/>
          <w:szCs w:val="24"/>
        </w:rPr>
        <w:t>GB/T 13560—2017 《烧结钕铁硼永磁材料》；</w:t>
      </w:r>
    </w:p>
    <w:p w14:paraId="5C1BD23D" w14:textId="60D8EAE3" w:rsidR="00595E54" w:rsidRPr="00595E54" w:rsidRDefault="00595E54" w:rsidP="00595E54">
      <w:pPr>
        <w:pStyle w:val="aa"/>
        <w:numPr>
          <w:ilvl w:val="0"/>
          <w:numId w:val="5"/>
        </w:numPr>
        <w:adjustRightInd/>
        <w:snapToGrid/>
        <w:spacing w:after="0" w:line="360" w:lineRule="auto"/>
        <w:ind w:firstLineChars="0"/>
        <w:jc w:val="both"/>
        <w:rPr>
          <w:rFonts w:ascii="仿宋_GB2312" w:eastAsia="仿宋_GB2312" w:hAnsi="Times New Roman" w:cs="Times New Roman"/>
          <w:sz w:val="24"/>
          <w:szCs w:val="24"/>
        </w:rPr>
      </w:pPr>
      <w:r w:rsidRPr="00595E54">
        <w:rPr>
          <w:rFonts w:ascii="仿宋_GB2312" w:eastAsia="仿宋_GB2312" w:hAnsi="Times New Roman" w:cs="Times New Roman" w:hint="eastAsia"/>
          <w:sz w:val="24"/>
          <w:szCs w:val="24"/>
        </w:rPr>
        <w:t>GB/T 34490—2017 《再生烧结钕铁硼永磁材料》；</w:t>
      </w:r>
    </w:p>
    <w:p w14:paraId="577F52A8" w14:textId="37B72465" w:rsidR="00D04E96" w:rsidRPr="003C5E32" w:rsidRDefault="00595E54" w:rsidP="00595E54">
      <w:pPr>
        <w:pStyle w:val="aa"/>
        <w:numPr>
          <w:ilvl w:val="0"/>
          <w:numId w:val="5"/>
        </w:numPr>
        <w:adjustRightInd/>
        <w:snapToGrid/>
        <w:spacing w:after="0" w:line="360" w:lineRule="auto"/>
        <w:ind w:firstLineChars="0"/>
        <w:jc w:val="both"/>
        <w:rPr>
          <w:rFonts w:ascii="仿宋_GB2312" w:eastAsia="仿宋_GB2312" w:hAnsi="Times New Roman" w:cs="Times New Roman"/>
          <w:sz w:val="24"/>
          <w:szCs w:val="24"/>
        </w:rPr>
      </w:pPr>
      <w:r w:rsidRPr="00595E54">
        <w:rPr>
          <w:rFonts w:ascii="仿宋_GB2312" w:eastAsia="仿宋_GB2312" w:hAnsi="Times New Roman" w:cs="Times New Roman" w:hint="eastAsia"/>
          <w:sz w:val="24"/>
          <w:szCs w:val="24"/>
        </w:rPr>
        <w:t>GB/T 34495—2017 《热压钕铁硼永磁材料》</w:t>
      </w:r>
      <w:r w:rsidRPr="003C5E32">
        <w:rPr>
          <w:rFonts w:ascii="仿宋_GB2312" w:eastAsia="仿宋_GB2312" w:hAnsi="Times New Roman" w:cs="Times New Roman" w:hint="eastAsia"/>
          <w:sz w:val="24"/>
          <w:szCs w:val="24"/>
        </w:rPr>
        <w:t>。</w:t>
      </w:r>
    </w:p>
    <w:p w14:paraId="4A92DA63" w14:textId="6F155CB3" w:rsidR="00D04E96" w:rsidRDefault="00595E54">
      <w:pPr>
        <w:adjustRightInd/>
        <w:snapToGrid/>
        <w:spacing w:after="0" w:line="360" w:lineRule="auto"/>
        <w:ind w:firstLineChars="200" w:firstLine="480"/>
        <w:jc w:val="both"/>
        <w:rPr>
          <w:rFonts w:ascii="仿宋_GB2312" w:eastAsia="仿宋_GB2312" w:hAnsi="Times New Roman" w:cs="Times New Roman"/>
          <w:sz w:val="24"/>
          <w:szCs w:val="24"/>
        </w:rPr>
      </w:pPr>
      <w:r w:rsidRPr="00595E54">
        <w:rPr>
          <w:rFonts w:ascii="仿宋_GB2312" w:eastAsia="仿宋_GB2312" w:hAnsi="Times New Roman" w:cs="Times New Roman" w:hint="eastAsia"/>
          <w:sz w:val="24"/>
          <w:szCs w:val="24"/>
        </w:rPr>
        <w:t>与上述标准相比，本标准根据T/CAS 700-2023 T/CSTE 0321—2023 《质量分级及“领跑者”评价标准编制通则》规定了</w:t>
      </w:r>
      <w:r w:rsidR="009D1A9D">
        <w:rPr>
          <w:rFonts w:ascii="仿宋_GB2312" w:eastAsia="仿宋_GB2312" w:hAnsi="Times New Roman" w:cs="Times New Roman" w:hint="eastAsia"/>
          <w:sz w:val="24"/>
          <w:szCs w:val="24"/>
        </w:rPr>
        <w:t>质量分级及“领跑者”评价要求 烧结钕铁硼永磁材料</w:t>
      </w:r>
      <w:r w:rsidRPr="00595E54">
        <w:rPr>
          <w:rFonts w:ascii="仿宋_GB2312" w:eastAsia="仿宋_GB2312" w:hAnsi="Times New Roman" w:cs="Times New Roman" w:hint="eastAsia"/>
          <w:sz w:val="24"/>
          <w:szCs w:val="24"/>
        </w:rPr>
        <w:t>的评价指标体系（包括基本要求、评价指标分类、评价指标体系框架）和评价方法及等级划分等内容</w:t>
      </w:r>
      <w:r>
        <w:rPr>
          <w:rFonts w:ascii="仿宋_GB2312" w:eastAsia="仿宋_GB2312" w:hAnsi="Times New Roman" w:cs="Times New Roman" w:hint="eastAsia"/>
          <w:sz w:val="24"/>
          <w:szCs w:val="24"/>
        </w:rPr>
        <w:t>。</w:t>
      </w:r>
    </w:p>
    <w:p w14:paraId="7ED0DC41" w14:textId="5D5711CA" w:rsidR="00D04E96" w:rsidRDefault="00595E54">
      <w:pPr>
        <w:adjustRightInd/>
        <w:snapToGrid/>
        <w:spacing w:after="0" w:line="360" w:lineRule="auto"/>
        <w:ind w:firstLineChars="200" w:firstLine="480"/>
        <w:jc w:val="both"/>
        <w:rPr>
          <w:rFonts w:ascii="仿宋_GB2312" w:eastAsia="仿宋_GB2312" w:hAnsi="Times New Roman" w:cs="Times New Roman"/>
          <w:sz w:val="24"/>
          <w:szCs w:val="24"/>
        </w:rPr>
      </w:pPr>
      <w:r w:rsidRPr="00595E54">
        <w:rPr>
          <w:rFonts w:ascii="仿宋_GB2312" w:eastAsia="仿宋_GB2312" w:hAnsi="Times New Roman" w:cs="Times New Roman" w:hint="eastAsia"/>
          <w:sz w:val="24"/>
          <w:szCs w:val="24"/>
        </w:rPr>
        <w:t>本标准在GB/T 13560—2017 《烧结钕铁硼永磁材料》的基础上将指标划分为基础指标、核心指标、创新性指标并针对核心指标提出更加严格的要求，针对创新性指标做出新的规定。评价指标体系如表1所示</w:t>
      </w:r>
      <w:r>
        <w:rPr>
          <w:rFonts w:ascii="仿宋_GB2312" w:eastAsia="仿宋_GB2312" w:hAnsi="Times New Roman" w:cs="Times New Roman" w:hint="eastAsia"/>
          <w:sz w:val="24"/>
          <w:szCs w:val="24"/>
        </w:rPr>
        <w:t>。</w:t>
      </w:r>
    </w:p>
    <w:p w14:paraId="2D9EB714"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与有关的现行法律、法规和国家、行业标准的关系</w:t>
      </w:r>
    </w:p>
    <w:p w14:paraId="3CE251B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本标准与相关法律、法规、规章、强制性标准无冲突，不存在标准低于相关国标、</w:t>
      </w:r>
      <w:proofErr w:type="gramStart"/>
      <w:r>
        <w:rPr>
          <w:rFonts w:ascii="仿宋_GB2312" w:eastAsia="仿宋_GB2312" w:hAnsi="Times New Roman" w:cs="Times New Roman" w:hint="eastAsia"/>
          <w:sz w:val="24"/>
          <w:szCs w:val="24"/>
        </w:rPr>
        <w:t>行标和</w:t>
      </w:r>
      <w:proofErr w:type="gramEnd"/>
      <w:r>
        <w:rPr>
          <w:rFonts w:ascii="仿宋_GB2312" w:eastAsia="仿宋_GB2312" w:hAnsi="Times New Roman" w:cs="Times New Roman" w:hint="eastAsia"/>
          <w:sz w:val="24"/>
          <w:szCs w:val="24"/>
        </w:rPr>
        <w:t>地标等推荐性标准的情况。</w:t>
      </w:r>
    </w:p>
    <w:p w14:paraId="5165659E"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标准实施建议</w:t>
      </w:r>
    </w:p>
    <w:p w14:paraId="39F84893"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标准工作组应严格按照计划节点开展标准编制工作，及时召开第一次工作会议，正式成立标准编制组，对标准编制过程的问题及时沟通，重要技术问题及时</w:t>
      </w:r>
      <w:r>
        <w:rPr>
          <w:rFonts w:ascii="仿宋_GB2312" w:eastAsia="仿宋_GB2312" w:hAnsi="Times New Roman" w:cs="Times New Roman" w:hint="eastAsia"/>
          <w:sz w:val="24"/>
          <w:szCs w:val="24"/>
        </w:rPr>
        <w:lastRenderedPageBreak/>
        <w:t>召开标准编制会议，在正式对外征求意见前，通过定向对行业内知名专家征集意见的方式，确保标准编制质量。</w:t>
      </w:r>
    </w:p>
    <w:p w14:paraId="0504F1A5"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标准编制过程中重大分歧意见的处理和依据</w:t>
      </w:r>
    </w:p>
    <w:p w14:paraId="29B6E9EF"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无。</w:t>
      </w:r>
    </w:p>
    <w:p w14:paraId="693948FE"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其他应予说明的事项</w:t>
      </w:r>
    </w:p>
    <w:p w14:paraId="55B229F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无。</w:t>
      </w:r>
    </w:p>
    <w:p w14:paraId="2EFFCB15" w14:textId="77777777" w:rsidR="00D04E96" w:rsidRDefault="00D04E96">
      <w:pPr>
        <w:pStyle w:val="aa"/>
        <w:ind w:left="720" w:firstLineChars="0" w:firstLine="0"/>
        <w:rPr>
          <w:rFonts w:ascii="Times New Roman" w:eastAsia="仿宋_GB2312" w:hAnsi="Times New Roman" w:cs="Times New Roman"/>
          <w:sz w:val="32"/>
          <w:szCs w:val="32"/>
        </w:rPr>
      </w:pPr>
    </w:p>
    <w:p w14:paraId="261EB7E0" w14:textId="77777777" w:rsidR="00D04E96" w:rsidRDefault="00D04E96"/>
    <w:sectPr w:rsidR="00D04E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11C16" w14:textId="77777777" w:rsidR="00014ECC" w:rsidRDefault="00014ECC">
      <w:pPr>
        <w:spacing w:after="0"/>
      </w:pPr>
      <w:r>
        <w:separator/>
      </w:r>
    </w:p>
  </w:endnote>
  <w:endnote w:type="continuationSeparator" w:id="0">
    <w:p w14:paraId="79C401C6" w14:textId="77777777" w:rsidR="00014ECC" w:rsidRDefault="00014E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宋体#.">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45B43" w14:textId="77777777" w:rsidR="00014ECC" w:rsidRDefault="00014ECC">
      <w:pPr>
        <w:spacing w:after="0"/>
      </w:pPr>
      <w:r>
        <w:separator/>
      </w:r>
    </w:p>
  </w:footnote>
  <w:footnote w:type="continuationSeparator" w:id="0">
    <w:p w14:paraId="095C8737" w14:textId="77777777" w:rsidR="00014ECC" w:rsidRDefault="00014E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934DF"/>
    <w:multiLevelType w:val="multilevel"/>
    <w:tmpl w:val="12E934DF"/>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50B57B1"/>
    <w:multiLevelType w:val="multilevel"/>
    <w:tmpl w:val="150B57B1"/>
    <w:lvl w:ilvl="0">
      <w:start w:val="1"/>
      <w:numFmt w:val="decimal"/>
      <w:pStyle w:val="a"/>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5"/>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4403617C"/>
    <w:multiLevelType w:val="hybridMultilevel"/>
    <w:tmpl w:val="18B2ECE0"/>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7A9D36AF"/>
    <w:multiLevelType w:val="multilevel"/>
    <w:tmpl w:val="7A9D36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7793255">
    <w:abstractNumId w:val="1"/>
  </w:num>
  <w:num w:numId="2" w16cid:durableId="372193145">
    <w:abstractNumId w:val="4"/>
  </w:num>
  <w:num w:numId="3" w16cid:durableId="2106723525">
    <w:abstractNumId w:val="3"/>
  </w:num>
  <w:num w:numId="4" w16cid:durableId="1701005091">
    <w:abstractNumId w:val="0"/>
  </w:num>
  <w:num w:numId="5" w16cid:durableId="228348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M2ZWRjZDcwMTI0MmVkODMzMjQzOGEyZDIyN2QyM2QifQ=="/>
  </w:docVars>
  <w:rsids>
    <w:rsidRoot w:val="00337153"/>
    <w:rsid w:val="00000CDA"/>
    <w:rsid w:val="0001443B"/>
    <w:rsid w:val="00014ECC"/>
    <w:rsid w:val="00057F20"/>
    <w:rsid w:val="00060835"/>
    <w:rsid w:val="000C5F88"/>
    <w:rsid w:val="00136CCF"/>
    <w:rsid w:val="00144111"/>
    <w:rsid w:val="00177B8E"/>
    <w:rsid w:val="00274061"/>
    <w:rsid w:val="002D6198"/>
    <w:rsid w:val="00327972"/>
    <w:rsid w:val="00337153"/>
    <w:rsid w:val="003C5E32"/>
    <w:rsid w:val="004622ED"/>
    <w:rsid w:val="0046690B"/>
    <w:rsid w:val="004A452C"/>
    <w:rsid w:val="004D4938"/>
    <w:rsid w:val="00585D9A"/>
    <w:rsid w:val="00595E54"/>
    <w:rsid w:val="00596145"/>
    <w:rsid w:val="005A6245"/>
    <w:rsid w:val="005B4930"/>
    <w:rsid w:val="006910DC"/>
    <w:rsid w:val="007B0C34"/>
    <w:rsid w:val="007F732F"/>
    <w:rsid w:val="00821501"/>
    <w:rsid w:val="00893A39"/>
    <w:rsid w:val="00905FE7"/>
    <w:rsid w:val="00953BCD"/>
    <w:rsid w:val="00996BCC"/>
    <w:rsid w:val="009D0491"/>
    <w:rsid w:val="009D1A9D"/>
    <w:rsid w:val="009D2841"/>
    <w:rsid w:val="00B463FF"/>
    <w:rsid w:val="00B54251"/>
    <w:rsid w:val="00B75AE9"/>
    <w:rsid w:val="00BD2052"/>
    <w:rsid w:val="00BD5AA8"/>
    <w:rsid w:val="00C26915"/>
    <w:rsid w:val="00C479E8"/>
    <w:rsid w:val="00C54721"/>
    <w:rsid w:val="00D04E96"/>
    <w:rsid w:val="00D20A04"/>
    <w:rsid w:val="00D40238"/>
    <w:rsid w:val="00D67AC7"/>
    <w:rsid w:val="00DB355D"/>
    <w:rsid w:val="00E036F2"/>
    <w:rsid w:val="00E17C54"/>
    <w:rsid w:val="00EB6EFC"/>
    <w:rsid w:val="00EC7450"/>
    <w:rsid w:val="00F07A10"/>
    <w:rsid w:val="00F43866"/>
    <w:rsid w:val="00F81BC4"/>
    <w:rsid w:val="7210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EC8A6"/>
  <w15:docId w15:val="{51667045-7FE4-4C58-B00B-05FFD97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adjustRightInd w:val="0"/>
      <w:snapToGrid w:val="0"/>
      <w:spacing w:after="200"/>
    </w:pPr>
    <w:rPr>
      <w:rFonts w:ascii="Tahoma" w:eastAsia="微软雅黑" w:hAnsi="Tahom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qFormat/>
    <w:pPr>
      <w:kinsoku w:val="0"/>
      <w:autoSpaceDE w:val="0"/>
      <w:autoSpaceDN w:val="0"/>
      <w:textAlignment w:val="baseline"/>
    </w:pPr>
    <w:rPr>
      <w:rFonts w:ascii="微软雅黑" w:hAnsi="微软雅黑" w:cs="微软雅黑"/>
      <w:snapToGrid w:val="0"/>
      <w:color w:val="000000"/>
      <w:sz w:val="31"/>
      <w:szCs w:val="31"/>
      <w:lang w:eastAsia="en-US"/>
    </w:rPr>
  </w:style>
  <w:style w:type="paragraph" w:styleId="a5">
    <w:name w:val="footer"/>
    <w:basedOn w:val="a0"/>
    <w:link w:val="a6"/>
    <w:uiPriority w:val="99"/>
    <w:unhideWhenUsed/>
    <w:pPr>
      <w:tabs>
        <w:tab w:val="center" w:pos="4153"/>
        <w:tab w:val="right" w:pos="8306"/>
      </w:tabs>
    </w:pPr>
    <w:rPr>
      <w:sz w:val="18"/>
      <w:szCs w:val="18"/>
    </w:rPr>
  </w:style>
  <w:style w:type="paragraph" w:styleId="a7">
    <w:name w:val="header"/>
    <w:basedOn w:val="a0"/>
    <w:link w:val="a8"/>
    <w:uiPriority w:val="99"/>
    <w:unhideWhenUsed/>
    <w:pPr>
      <w:pBdr>
        <w:bottom w:val="single" w:sz="6" w:space="1" w:color="auto"/>
      </w:pBdr>
      <w:tabs>
        <w:tab w:val="center" w:pos="4153"/>
        <w:tab w:val="right" w:pos="8306"/>
      </w:tabs>
      <w:jc w:val="center"/>
    </w:pPr>
    <w:rPr>
      <w:sz w:val="18"/>
      <w:szCs w:val="18"/>
    </w:rPr>
  </w:style>
  <w:style w:type="table" w:styleId="a9">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uiPriority w:val="99"/>
    <w:rPr>
      <w:sz w:val="18"/>
      <w:szCs w:val="18"/>
    </w:rPr>
  </w:style>
  <w:style w:type="character" w:customStyle="1" w:styleId="a6">
    <w:name w:val="页脚 字符"/>
    <w:basedOn w:val="a1"/>
    <w:link w:val="a5"/>
    <w:uiPriority w:val="99"/>
    <w:rPr>
      <w:sz w:val="18"/>
      <w:szCs w:val="18"/>
    </w:rPr>
  </w:style>
  <w:style w:type="paragraph" w:styleId="aa">
    <w:name w:val="List Paragraph"/>
    <w:basedOn w:val="a0"/>
    <w:uiPriority w:val="34"/>
    <w:qFormat/>
    <w:pPr>
      <w:ind w:firstLineChars="200" w:firstLine="420"/>
    </w:pPr>
  </w:style>
  <w:style w:type="paragraph" w:customStyle="1" w:styleId="a">
    <w:name w:val="标准文件_正文表标题"/>
    <w:basedOn w:val="a0"/>
    <w:next w:val="a0"/>
    <w:qFormat/>
    <w:pPr>
      <w:numPr>
        <w:numId w:val="1"/>
      </w:numPr>
      <w:tabs>
        <w:tab w:val="left" w:pos="0"/>
      </w:tabs>
      <w:spacing w:beforeLines="50" w:afterLines="50"/>
      <w:jc w:val="center"/>
    </w:pPr>
    <w:rPr>
      <w:rFonts w:ascii="黑体" w:eastAsia="黑体" w:hint="eastAsia"/>
    </w:rPr>
  </w:style>
  <w:style w:type="paragraph" w:customStyle="1" w:styleId="TableParagraph">
    <w:name w:val="Table Paragraph"/>
    <w:basedOn w:val="a0"/>
    <w:uiPriority w:val="1"/>
    <w:qFormat/>
  </w:style>
  <w:style w:type="paragraph" w:customStyle="1" w:styleId="ab">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c">
    <w:name w:val="标准文件_表格"/>
    <w:basedOn w:val="a0"/>
    <w:qFormat/>
    <w:pPr>
      <w:autoSpaceDE w:val="0"/>
      <w:autoSpaceDN w:val="0"/>
      <w:jc w:val="center"/>
    </w:pPr>
    <w:rPr>
      <w:rFonts w:ascii="宋体" w:hint="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kh8052023</dc:creator>
  <cp:lastModifiedBy>寅彬 刘</cp:lastModifiedBy>
  <cp:revision>15</cp:revision>
  <dcterms:created xsi:type="dcterms:W3CDTF">2024-06-14T07:05:00Z</dcterms:created>
  <dcterms:modified xsi:type="dcterms:W3CDTF">2024-07-03T02:52:00Z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B6837C1D2D164665B12B82E31C36B652_13</vt:lpwstr>
  </property>
</Properties>
</file>