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B9C3" w14:textId="77777777" w:rsidR="00FA29AB" w:rsidRDefault="00FA29AB" w:rsidP="00FA29AB">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4B54A46A" w14:textId="77777777" w:rsidR="00FA29AB" w:rsidRDefault="00FA29AB" w:rsidP="00FA29AB">
      <w:pPr>
        <w:pStyle w:val="ae"/>
        <w:numPr>
          <w:ilvl w:val="0"/>
          <w:numId w:val="3"/>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003B652B" w14:textId="680FEB16" w:rsidR="00FA29AB" w:rsidRDefault="00FA29AB" w:rsidP="00FA29AB">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FA29AB">
        <w:rPr>
          <w:rFonts w:ascii="仿宋_GB2312" w:eastAsia="仿宋_GB2312" w:hAnsi="Times New Roman" w:cs="Times New Roman" w:hint="eastAsia"/>
          <w:sz w:val="24"/>
          <w:szCs w:val="24"/>
          <w14:ligatures w14:val="none"/>
        </w:rPr>
        <w:t>2018年，市场监管总局等八部门提出以企业标准自我声明公开为基础，建立实施企业标准“领跑者”制度。该制度通过调动第三方评估机构，针对消费品、装备制造和服务三个领域中的不同产品和服务类别，开展企业标准水平评估以及产品或服务质量评价，发布企业标准排行榜，确定企业标准“领跑者”，推动形成多方参与、持续提升、闭环反馈的动态调整机制，引导企业标准水平提升，引领产品和服务质量升级</w:t>
      </w:r>
      <w:r>
        <w:rPr>
          <w:rFonts w:ascii="仿宋_GB2312" w:eastAsia="仿宋_GB2312" w:hAnsi="Times New Roman" w:cs="Times New Roman" w:hint="eastAsia"/>
          <w:sz w:val="24"/>
          <w:szCs w:val="24"/>
          <w14:ligatures w14:val="none"/>
        </w:rPr>
        <w:t>。</w:t>
      </w:r>
    </w:p>
    <w:p w14:paraId="3BD5645F" w14:textId="100CB959" w:rsidR="004C62C0" w:rsidRDefault="00FA29AB" w:rsidP="002C3C63">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FA29AB">
        <w:rPr>
          <w:rFonts w:ascii="仿宋_GB2312" w:eastAsia="仿宋_GB2312" w:hAnsi="Times New Roman" w:cs="Times New Roman" w:hint="eastAsia"/>
          <w:sz w:val="24"/>
          <w:szCs w:val="24"/>
          <w14:ligatures w14:val="none"/>
        </w:rPr>
        <w:t>为切实发挥企业标准对质量提升的引领作用，支撑企业标准自我声明公开和企业标准“领跑者”制度工作的有序实施，解决</w:t>
      </w:r>
      <w:r w:rsidR="001D033B">
        <w:rPr>
          <w:rFonts w:ascii="仿宋_GB2312" w:eastAsia="仿宋_GB2312" w:hAnsi="Times New Roman" w:cs="Times New Roman" w:hint="eastAsia"/>
          <w:sz w:val="24"/>
          <w:szCs w:val="24"/>
          <w14:ligatures w14:val="none"/>
        </w:rPr>
        <w:t>木制玩具</w:t>
      </w:r>
      <w:r w:rsidRPr="00FA29AB">
        <w:rPr>
          <w:rFonts w:ascii="仿宋_GB2312" w:eastAsia="仿宋_GB2312" w:hAnsi="Times New Roman" w:cs="Times New Roman" w:hint="eastAsia"/>
          <w:sz w:val="24"/>
          <w:szCs w:val="24"/>
          <w14:ligatures w14:val="none"/>
        </w:rPr>
        <w:t>企业标准“领跑者”评估工作无相关标准等问题，</w:t>
      </w:r>
      <w:r w:rsidR="002C3C63">
        <w:rPr>
          <w:rFonts w:ascii="仿宋_GB2312" w:eastAsia="仿宋_GB2312" w:hAnsi="Times New Roman" w:cs="Times New Roman" w:hint="eastAsia"/>
          <w:sz w:val="24"/>
          <w:szCs w:val="24"/>
          <w14:ligatures w14:val="none"/>
        </w:rPr>
        <w:t>云和县</w:t>
      </w:r>
      <w:r w:rsidRPr="00FA29AB">
        <w:rPr>
          <w:rFonts w:ascii="仿宋_GB2312" w:eastAsia="仿宋_GB2312" w:hAnsi="Times New Roman" w:cs="Times New Roman" w:hint="eastAsia"/>
          <w:sz w:val="24"/>
          <w:szCs w:val="24"/>
          <w14:ligatures w14:val="none"/>
        </w:rPr>
        <w:t>市场监督管理局联合</w:t>
      </w:r>
      <w:r w:rsidR="002C3C63">
        <w:rPr>
          <w:rFonts w:ascii="仿宋_GB2312" w:eastAsia="仿宋_GB2312" w:hAnsi="Times New Roman" w:cs="Times New Roman" w:hint="eastAsia"/>
          <w:sz w:val="24"/>
          <w:szCs w:val="24"/>
          <w14:ligatures w14:val="none"/>
        </w:rPr>
        <w:t>丽水市质量检验检测研究院、云和县玩具协会，以及木制玩具行业龙头企业</w:t>
      </w:r>
      <w:r w:rsidRPr="00FA29AB">
        <w:rPr>
          <w:rFonts w:ascii="仿宋_GB2312" w:eastAsia="仿宋_GB2312" w:hAnsi="Times New Roman" w:cs="Times New Roman" w:hint="eastAsia"/>
          <w:sz w:val="24"/>
          <w:szCs w:val="24"/>
          <w14:ligatures w14:val="none"/>
        </w:rPr>
        <w:t>共同研究制定《“领跑者”标准评价要求</w:t>
      </w:r>
      <w:r w:rsidR="001D033B">
        <w:rPr>
          <w:rFonts w:ascii="仿宋_GB2312" w:eastAsia="仿宋_GB2312" w:hAnsi="Times New Roman" w:cs="Times New Roman" w:hint="eastAsia"/>
          <w:sz w:val="24"/>
          <w:szCs w:val="24"/>
          <w14:ligatures w14:val="none"/>
        </w:rPr>
        <w:t>木制玩具</w:t>
      </w:r>
      <w:r w:rsidRPr="00FA29AB">
        <w:rPr>
          <w:rFonts w:ascii="仿宋_GB2312" w:eastAsia="仿宋_GB2312" w:hAnsi="Times New Roman" w:cs="Times New Roman" w:hint="eastAsia"/>
          <w:sz w:val="24"/>
          <w:szCs w:val="24"/>
          <w14:ligatures w14:val="none"/>
        </w:rPr>
        <w:t>》，用以评估</w:t>
      </w:r>
      <w:r w:rsidR="001D033B">
        <w:rPr>
          <w:rFonts w:ascii="仿宋_GB2312" w:eastAsia="仿宋_GB2312" w:hAnsi="Times New Roman" w:cs="Times New Roman" w:hint="eastAsia"/>
          <w:sz w:val="24"/>
          <w:szCs w:val="24"/>
          <w14:ligatures w14:val="none"/>
        </w:rPr>
        <w:t>木制玩具</w:t>
      </w:r>
      <w:r w:rsidRPr="00FA29AB">
        <w:rPr>
          <w:rFonts w:ascii="仿宋_GB2312" w:eastAsia="仿宋_GB2312" w:hAnsi="Times New Roman" w:cs="Times New Roman" w:hint="eastAsia"/>
          <w:sz w:val="24"/>
          <w:szCs w:val="24"/>
          <w14:ligatures w14:val="none"/>
        </w:rPr>
        <w:t>产品质量分级及第三方评估机构编制企业标准“排行榜”和“领跑者”评估方案并科学开展评估工作。预计该标准将通过高水平标准引领，促进行业发展质量全面提升，扩大优质产品和服务供给，有效增强市场主体竞争力。</w:t>
      </w:r>
    </w:p>
    <w:p w14:paraId="32D5E222" w14:textId="66C28F9B" w:rsidR="00B45809" w:rsidRDefault="00B45809" w:rsidP="00B45809">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B45809">
        <w:rPr>
          <w:rFonts w:ascii="仿宋_GB2312" w:eastAsia="仿宋_GB2312" w:hAnsi="Times New Roman" w:cs="Times New Roman"/>
          <w:sz w:val="24"/>
          <w:szCs w:val="24"/>
          <w14:ligatures w14:val="none"/>
        </w:rPr>
        <w:t>木制玩具是云和的传统产业、优势产业和支柱产业，是浙江山区26县最有地方特色的百亿产业链之一。</w:t>
      </w:r>
      <w:r w:rsidRPr="00B45809">
        <w:rPr>
          <w:rFonts w:ascii="仿宋_GB2312" w:eastAsia="仿宋_GB2312" w:hAnsi="Times New Roman" w:cs="Times New Roman" w:hint="eastAsia"/>
          <w:sz w:val="24"/>
          <w:szCs w:val="24"/>
          <w14:ligatures w14:val="none"/>
        </w:rPr>
        <w:t>“云和木玩”历史悠久，而规模化生产特别是开启出口贸易，始于上世纪70年代。从无到有、从小到大、从大到强，云和县逐渐成为国内规模最大、品种最多的木制玩具生产和出口基地，占世界同类产品的40%、全国的66%，创造了“山区小木头，飞向全世界”的创业发展奇迹。</w:t>
      </w:r>
    </w:p>
    <w:p w14:paraId="51512590" w14:textId="139DCBA8" w:rsidR="00B45809" w:rsidRPr="00B45809" w:rsidRDefault="00BA30C0" w:rsidP="00B45809">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Pr>
          <w:rFonts w:ascii="仿宋_GB2312" w:eastAsia="仿宋_GB2312" w:hAnsi="Times New Roman" w:cs="Times New Roman" w:hint="eastAsia"/>
          <w:sz w:val="24"/>
          <w:szCs w:val="24"/>
          <w14:ligatures w14:val="none"/>
        </w:rPr>
        <w:t>云和木制玩具</w:t>
      </w:r>
      <w:r w:rsidR="00B45809" w:rsidRPr="00B45809">
        <w:rPr>
          <w:rFonts w:ascii="仿宋_GB2312" w:eastAsia="仿宋_GB2312" w:hAnsi="Times New Roman" w:cs="Times New Roman" w:hint="eastAsia"/>
          <w:sz w:val="24"/>
          <w:szCs w:val="24"/>
          <w14:ligatures w14:val="none"/>
        </w:rPr>
        <w:t>产业虽大，但企业整体竞争能力不强、品牌美誉度不显、自主创新能力较弱、产品质量不合格现象时有发生，有待破局。通过制定质量分级领跑者团体标准，整合区域范围内龙头企业资源，制定具有先进性的团体标准。通过质量分级领跑者标准的制定与发布，有利于推动企业积极落实质量安全主体责任，提高企业质量意识，有效防范质量安全风险，帮助企业打开国内市场，提升品牌影响力。带动区域</w:t>
      </w:r>
      <w:r w:rsidR="00A40E45">
        <w:rPr>
          <w:rFonts w:ascii="仿宋_GB2312" w:eastAsia="仿宋_GB2312" w:hAnsi="Times New Roman" w:cs="Times New Roman" w:hint="eastAsia"/>
          <w:sz w:val="24"/>
          <w:szCs w:val="24"/>
          <w14:ligatures w14:val="none"/>
        </w:rPr>
        <w:t>木制玩具</w:t>
      </w:r>
      <w:r w:rsidR="00B45809" w:rsidRPr="00B45809">
        <w:rPr>
          <w:rFonts w:ascii="仿宋_GB2312" w:eastAsia="仿宋_GB2312" w:hAnsi="Times New Roman" w:cs="Times New Roman" w:hint="eastAsia"/>
          <w:sz w:val="24"/>
          <w:szCs w:val="24"/>
          <w14:ligatures w14:val="none"/>
        </w:rPr>
        <w:t>企业进行对标，从而提升公司整体产品质量水平。同时，可以扩大区域产业知名度助力提升产业整体竞争力。</w:t>
      </w:r>
    </w:p>
    <w:p w14:paraId="325FD92B" w14:textId="67CE4267" w:rsidR="00B45809" w:rsidRDefault="00B45809" w:rsidP="00B45809">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B45809">
        <w:rPr>
          <w:rFonts w:ascii="仿宋_GB2312" w:eastAsia="仿宋_GB2312" w:hAnsi="Times New Roman" w:cs="Times New Roman" w:hint="eastAsia"/>
          <w:sz w:val="24"/>
          <w:szCs w:val="24"/>
          <w14:ligatures w14:val="none"/>
        </w:rPr>
        <w:lastRenderedPageBreak/>
        <w:t>目前在“质量分级及领跑者管理信息平台”网站中无</w:t>
      </w:r>
      <w:r w:rsidR="00A40E45">
        <w:rPr>
          <w:rFonts w:ascii="仿宋_GB2312" w:eastAsia="仿宋_GB2312" w:hAnsi="Times New Roman" w:cs="Times New Roman" w:hint="eastAsia"/>
          <w:sz w:val="24"/>
          <w:szCs w:val="24"/>
          <w14:ligatures w14:val="none"/>
        </w:rPr>
        <w:t>木制玩具</w:t>
      </w:r>
      <w:r w:rsidRPr="00B45809">
        <w:rPr>
          <w:rFonts w:ascii="仿宋_GB2312" w:eastAsia="仿宋_GB2312" w:hAnsi="Times New Roman" w:cs="Times New Roman" w:hint="eastAsia"/>
          <w:sz w:val="24"/>
          <w:szCs w:val="24"/>
          <w14:ligatures w14:val="none"/>
        </w:rPr>
        <w:t>产品的质量分级及“领跑者”评价要求的标准。为了全国范围内</w:t>
      </w:r>
      <w:r w:rsidR="00A40E45">
        <w:rPr>
          <w:rFonts w:ascii="仿宋_GB2312" w:eastAsia="仿宋_GB2312" w:hAnsi="Times New Roman" w:cs="Times New Roman" w:hint="eastAsia"/>
          <w:sz w:val="24"/>
          <w:szCs w:val="24"/>
          <w14:ligatures w14:val="none"/>
        </w:rPr>
        <w:t>木制玩具</w:t>
      </w:r>
      <w:r w:rsidRPr="00B45809">
        <w:rPr>
          <w:rFonts w:ascii="仿宋_GB2312" w:eastAsia="仿宋_GB2312" w:hAnsi="Times New Roman" w:cs="Times New Roman" w:hint="eastAsia"/>
          <w:sz w:val="24"/>
          <w:szCs w:val="24"/>
          <w14:ligatures w14:val="none"/>
        </w:rPr>
        <w:t>品生产企业有对照与评估的依据，</w:t>
      </w:r>
      <w:r w:rsidR="008B3420">
        <w:rPr>
          <w:rFonts w:ascii="仿宋_GB2312" w:eastAsia="仿宋_GB2312" w:hAnsi="Times New Roman" w:cs="Times New Roman" w:hint="eastAsia"/>
          <w:sz w:val="24"/>
          <w:szCs w:val="24"/>
          <w14:ligatures w14:val="none"/>
        </w:rPr>
        <w:t>云和县</w:t>
      </w:r>
      <w:r w:rsidRPr="00B45809">
        <w:rPr>
          <w:rFonts w:ascii="仿宋_GB2312" w:eastAsia="仿宋_GB2312" w:hAnsi="Times New Roman" w:cs="Times New Roman" w:hint="eastAsia"/>
          <w:sz w:val="24"/>
          <w:szCs w:val="24"/>
          <w14:ligatures w14:val="none"/>
        </w:rPr>
        <w:t>市场监督管理局联合有关行业协会、检验检测机构共同研究申请《</w:t>
      </w:r>
      <w:r w:rsidR="00682BAB" w:rsidRPr="00682BAB">
        <w:rPr>
          <w:rFonts w:ascii="仿宋_GB2312" w:eastAsia="仿宋_GB2312" w:hAnsi="Times New Roman" w:cs="Times New Roman" w:hint="eastAsia"/>
          <w:sz w:val="24"/>
          <w:szCs w:val="24"/>
          <w14:ligatures w14:val="none"/>
        </w:rPr>
        <w:t>质量分级及"领跑者"评价要求 木制玩具</w:t>
      </w:r>
      <w:r w:rsidRPr="00B45809">
        <w:rPr>
          <w:rFonts w:ascii="仿宋_GB2312" w:eastAsia="仿宋_GB2312" w:hAnsi="Times New Roman" w:cs="Times New Roman" w:hint="eastAsia"/>
          <w:sz w:val="24"/>
          <w:szCs w:val="24"/>
          <w14:ligatures w14:val="none"/>
        </w:rPr>
        <w:t>》团体标准。同时也是一次浙江省企业展现标准化能力、产品高质量水平的展现。</w:t>
      </w:r>
    </w:p>
    <w:p w14:paraId="00346048" w14:textId="77777777" w:rsidR="008B3420" w:rsidRDefault="008B3420" w:rsidP="008B3420">
      <w:pPr>
        <w:pStyle w:val="ae"/>
        <w:numPr>
          <w:ilvl w:val="0"/>
          <w:numId w:val="3"/>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标准制定工作概况（任务来源、主要工作过程等）</w:t>
      </w:r>
    </w:p>
    <w:p w14:paraId="4C7DE654" w14:textId="77777777" w:rsidR="008B3420" w:rsidRPr="008B3420" w:rsidRDefault="008B3420" w:rsidP="008B3420">
      <w:pPr>
        <w:adjustRightInd/>
        <w:snapToGrid/>
        <w:spacing w:after="0" w:line="360" w:lineRule="auto"/>
        <w:ind w:left="480"/>
        <w:jc w:val="both"/>
        <w:rPr>
          <w:rFonts w:ascii="仿宋_GB2312" w:eastAsia="仿宋_GB2312" w:hAnsi="Times New Roman" w:cs="Times New Roman"/>
          <w:sz w:val="24"/>
          <w:szCs w:val="24"/>
          <w14:ligatures w14:val="none"/>
        </w:rPr>
      </w:pPr>
      <w:r w:rsidRPr="008B3420">
        <w:rPr>
          <w:rFonts w:ascii="仿宋_GB2312" w:eastAsia="仿宋_GB2312" w:hAnsi="Times New Roman" w:cs="Times New Roman" w:hint="eastAsia"/>
          <w:sz w:val="24"/>
          <w:szCs w:val="24"/>
          <w14:ligatures w14:val="none"/>
        </w:rPr>
        <w:t>1、任务来源</w:t>
      </w:r>
    </w:p>
    <w:p w14:paraId="14F9F3B8" w14:textId="42E6BE54"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由</w:t>
      </w:r>
      <w:bookmarkStart w:id="0" w:name="_Hlk169595557"/>
      <w:r w:rsidR="00E33A46" w:rsidRPr="00E33A46">
        <w:rPr>
          <w:rFonts w:ascii="仿宋_GB2312" w:eastAsia="仿宋_GB2312" w:hAnsi="Times New Roman" w:cs="Times New Roman" w:hint="eastAsia"/>
          <w:sz w:val="24"/>
          <w:szCs w:val="24"/>
          <w14:ligatures w14:val="none"/>
        </w:rPr>
        <w:t>丽水市质量检验检测研究院</w:t>
      </w:r>
      <w:bookmarkEnd w:id="0"/>
      <w:r w:rsidRPr="00E33A46">
        <w:rPr>
          <w:rFonts w:ascii="仿宋_GB2312" w:eastAsia="仿宋_GB2312" w:hAnsi="Times New Roman" w:cs="Times New Roman" w:hint="eastAsia"/>
          <w:sz w:val="24"/>
          <w:szCs w:val="24"/>
          <w14:ligatures w14:val="none"/>
        </w:rPr>
        <w:t>向浙江省计量与标准化学会提出立项申请，经学会论证通过并印发了</w:t>
      </w:r>
      <w:proofErr w:type="gramStart"/>
      <w:r w:rsidR="00874586">
        <w:rPr>
          <w:rFonts w:ascii="仿宋_GB2312" w:eastAsia="仿宋_GB2312" w:hAnsi="Times New Roman" w:cs="Times New Roman" w:hint="eastAsia"/>
          <w:sz w:val="24"/>
          <w:szCs w:val="24"/>
          <w14:ligatures w14:val="none"/>
        </w:rPr>
        <w:t>浙计标学发</w:t>
      </w:r>
      <w:proofErr w:type="gramEnd"/>
      <w:r w:rsidR="00874586">
        <w:rPr>
          <w:rFonts w:ascii="仿宋_GB2312" w:eastAsia="仿宋_GB2312" w:hAnsi="Times New Roman" w:cs="Times New Roman" w:hint="eastAsia"/>
          <w:sz w:val="24"/>
          <w:szCs w:val="24"/>
          <w14:ligatures w14:val="none"/>
        </w:rPr>
        <w:t>[2024]056</w:t>
      </w:r>
      <w:r w:rsidRPr="00E33A46">
        <w:rPr>
          <w:rFonts w:ascii="仿宋_GB2312" w:eastAsia="仿宋_GB2312" w:hAnsi="Times New Roman" w:cs="Times New Roman" w:hint="eastAsia"/>
          <w:sz w:val="24"/>
          <w:szCs w:val="24"/>
          <w14:ligatures w14:val="none"/>
        </w:rPr>
        <w:t>号文件</w:t>
      </w:r>
      <w:proofErr w:type="gramStart"/>
      <w:r w:rsidRPr="00E33A46">
        <w:rPr>
          <w:rFonts w:ascii="仿宋_GB2312" w:eastAsia="仿宋_GB2312" w:hAnsi="Times New Roman" w:cs="Times New Roman" w:hint="eastAsia"/>
          <w:sz w:val="24"/>
          <w:szCs w:val="24"/>
          <w14:ligatures w14:val="none"/>
        </w:rPr>
        <w:t>“</w:t>
      </w:r>
      <w:proofErr w:type="gramEnd"/>
      <w:r w:rsidRPr="00E33A46">
        <w:rPr>
          <w:rFonts w:ascii="仿宋_GB2312" w:eastAsia="仿宋_GB2312" w:hAnsi="Times New Roman" w:cs="Times New Roman" w:hint="eastAsia"/>
          <w:sz w:val="24"/>
          <w:szCs w:val="24"/>
          <w14:ligatures w14:val="none"/>
        </w:rPr>
        <w:t>关于</w:t>
      </w:r>
      <w:r w:rsidR="00874586">
        <w:rPr>
          <w:rFonts w:ascii="仿宋_GB2312" w:eastAsia="仿宋_GB2312" w:hAnsi="Times New Roman" w:cs="Times New Roman" w:hint="eastAsia"/>
          <w:sz w:val="24"/>
          <w:szCs w:val="24"/>
          <w14:ligatures w14:val="none"/>
        </w:rPr>
        <w:t>《质量分级及“领跑者”评价要求 烧结</w:t>
      </w:r>
      <w:r w:rsidR="00874586" w:rsidRPr="00874586">
        <w:rPr>
          <w:rFonts w:ascii="仿宋_GB2312" w:eastAsia="仿宋_GB2312" w:hAnsi="Times New Roman" w:cs="Times New Roman" w:hint="eastAsia"/>
          <w:sz w:val="24"/>
          <w:szCs w:val="24"/>
          <w14:ligatures w14:val="none"/>
        </w:rPr>
        <w:t>钕</w:t>
      </w:r>
      <w:r w:rsidR="00874586">
        <w:rPr>
          <w:rFonts w:ascii="仿宋_GB2312" w:eastAsia="仿宋_GB2312" w:hAnsi="Times New Roman" w:cs="Times New Roman" w:hint="eastAsia"/>
          <w:sz w:val="24"/>
          <w:szCs w:val="24"/>
          <w14:ligatures w14:val="none"/>
        </w:rPr>
        <w:t>铁硼永磁材料》等14项团体标准立项的函</w:t>
      </w:r>
      <w:proofErr w:type="gramStart"/>
      <w:r w:rsidRPr="00E33A46">
        <w:rPr>
          <w:rFonts w:ascii="仿宋_GB2312" w:eastAsia="仿宋_GB2312" w:hAnsi="Times New Roman" w:cs="Times New Roman" w:hint="eastAsia"/>
          <w:sz w:val="24"/>
          <w:szCs w:val="24"/>
          <w14:ligatures w14:val="none"/>
        </w:rPr>
        <w:t>”</w:t>
      </w:r>
      <w:proofErr w:type="gramEnd"/>
      <w:r w:rsidRPr="00E33A46">
        <w:rPr>
          <w:rFonts w:ascii="仿宋_GB2312" w:eastAsia="仿宋_GB2312" w:hAnsi="Times New Roman" w:cs="Times New Roman" w:hint="eastAsia"/>
          <w:sz w:val="24"/>
          <w:szCs w:val="24"/>
          <w14:ligatures w14:val="none"/>
        </w:rPr>
        <w:t>，项目名称：《</w:t>
      </w:r>
      <w:r w:rsidR="00874586">
        <w:rPr>
          <w:rFonts w:ascii="仿宋_GB2312" w:eastAsia="仿宋_GB2312" w:hAnsi="Times New Roman" w:cs="Times New Roman" w:hint="eastAsia"/>
          <w:sz w:val="24"/>
          <w:szCs w:val="24"/>
          <w14:ligatures w14:val="none"/>
        </w:rPr>
        <w:t>质量分级及“领跑者”评价要求</w:t>
      </w:r>
      <w:r w:rsidRPr="00E33A46">
        <w:rPr>
          <w:rFonts w:ascii="仿宋_GB2312" w:eastAsia="仿宋_GB2312" w:hAnsi="Times New Roman" w:cs="Times New Roman" w:hint="eastAsia"/>
          <w:sz w:val="24"/>
          <w:szCs w:val="24"/>
          <w14:ligatures w14:val="none"/>
        </w:rPr>
        <w:t xml:space="preserve"> </w:t>
      </w:r>
      <w:r w:rsidR="00E33A46" w:rsidRPr="00E33A46">
        <w:rPr>
          <w:rFonts w:ascii="仿宋_GB2312" w:eastAsia="仿宋_GB2312" w:hAnsi="Times New Roman" w:cs="Times New Roman" w:hint="eastAsia"/>
          <w:sz w:val="24"/>
          <w:szCs w:val="24"/>
          <w14:ligatures w14:val="none"/>
        </w:rPr>
        <w:t>木制玩具</w:t>
      </w:r>
      <w:r w:rsidRPr="00E33A46">
        <w:rPr>
          <w:rFonts w:ascii="仿宋_GB2312" w:eastAsia="仿宋_GB2312" w:hAnsi="Times New Roman" w:cs="Times New Roman" w:hint="eastAsia"/>
          <w:sz w:val="24"/>
          <w:szCs w:val="24"/>
          <w14:ligatures w14:val="none"/>
        </w:rPr>
        <w:t>》。</w:t>
      </w:r>
    </w:p>
    <w:p w14:paraId="54078D18"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2、主要工作过程</w:t>
      </w:r>
    </w:p>
    <w:p w14:paraId="40BCB4D9"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2.1  前期准备工作</w:t>
      </w:r>
    </w:p>
    <w:p w14:paraId="2272CE96"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按照浙江省计量与标准化学会团体标准工作组构成要求，组建标准研制工作组，明确标准研制重点和提纲，明确各参与单位或人员职责分工、研制计划、时间进度安排等情况。</w:t>
      </w:r>
    </w:p>
    <w:p w14:paraId="296C1D98"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2.1.1 企业现场调研</w:t>
      </w:r>
    </w:p>
    <w:p w14:paraId="33B8268A"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对企业进行现场调研，对浙江省计量与标准化学会团体标准立项相关资料进行收集整理。</w:t>
      </w:r>
    </w:p>
    <w:p w14:paraId="3AAB3933"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2.1.2 成立标准工作组</w:t>
      </w:r>
    </w:p>
    <w:p w14:paraId="55BE34CA" w14:textId="0F8879A2"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根据下达的浙江省计量与标准化学会团体标准《</w:t>
      </w:r>
      <w:r w:rsidR="00682BAB" w:rsidRPr="00682BAB">
        <w:rPr>
          <w:rFonts w:ascii="仿宋_GB2312" w:eastAsia="仿宋_GB2312" w:hAnsi="Times New Roman" w:cs="Times New Roman" w:hint="eastAsia"/>
          <w:sz w:val="24"/>
          <w:szCs w:val="24"/>
          <w14:ligatures w14:val="none"/>
        </w:rPr>
        <w:t>质量分级及"领跑者"评价要求 木制玩具</w:t>
      </w:r>
      <w:r w:rsidRPr="00E33A46">
        <w:rPr>
          <w:rFonts w:ascii="仿宋_GB2312" w:eastAsia="仿宋_GB2312" w:hAnsi="Times New Roman" w:cs="Times New Roman" w:hint="eastAsia"/>
          <w:sz w:val="24"/>
          <w:szCs w:val="24"/>
          <w14:ligatures w14:val="none"/>
        </w:rPr>
        <w:t>》制订计划，</w:t>
      </w:r>
      <w:r w:rsidR="00E33A46" w:rsidRPr="00E33A46">
        <w:rPr>
          <w:rFonts w:ascii="仿宋_GB2312" w:eastAsia="仿宋_GB2312" w:hAnsi="Times New Roman" w:cs="Times New Roman" w:hint="eastAsia"/>
          <w:sz w:val="24"/>
          <w:szCs w:val="24"/>
          <w14:ligatures w14:val="none"/>
        </w:rPr>
        <w:t>丽水市质量检验检测研究院</w:t>
      </w:r>
      <w:r w:rsidRPr="00E33A46">
        <w:rPr>
          <w:rFonts w:ascii="仿宋_GB2312" w:eastAsia="仿宋_GB2312" w:hAnsi="Times New Roman" w:cs="Times New Roman" w:hint="eastAsia"/>
          <w:sz w:val="24"/>
          <w:szCs w:val="24"/>
          <w14:ligatures w14:val="none"/>
        </w:rPr>
        <w:t>召集标准同行、标准化机构、</w:t>
      </w:r>
      <w:r w:rsidR="00E33A46" w:rsidRPr="00E33A46">
        <w:rPr>
          <w:rFonts w:ascii="仿宋_GB2312" w:eastAsia="仿宋_GB2312" w:hAnsi="Times New Roman" w:cs="Times New Roman" w:hint="eastAsia"/>
          <w:sz w:val="24"/>
          <w:szCs w:val="24"/>
          <w14:ligatures w14:val="none"/>
        </w:rPr>
        <w:t>行业协会、行业龙头企业</w:t>
      </w:r>
      <w:r w:rsidRPr="00E33A46">
        <w:rPr>
          <w:rFonts w:ascii="仿宋_GB2312" w:eastAsia="仿宋_GB2312" w:hAnsi="Times New Roman" w:cs="Times New Roman" w:hint="eastAsia"/>
          <w:sz w:val="24"/>
          <w:szCs w:val="24"/>
          <w14:ligatures w14:val="none"/>
        </w:rPr>
        <w:t>等相关方成立了标准工作组，明确了各参与单位及人员的职责分工。</w:t>
      </w:r>
    </w:p>
    <w:p w14:paraId="7CFC0C5C"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2.1.3 明确研制重点</w:t>
      </w:r>
    </w:p>
    <w:p w14:paraId="6C732399" w14:textId="646C86D1"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w:t>
      </w:r>
      <w:r w:rsidR="00682BAB" w:rsidRPr="00682BAB">
        <w:rPr>
          <w:rFonts w:ascii="仿宋_GB2312" w:eastAsia="仿宋_GB2312" w:hAnsi="Times New Roman" w:cs="Times New Roman" w:hint="eastAsia"/>
          <w:sz w:val="24"/>
          <w:szCs w:val="24"/>
          <w14:ligatures w14:val="none"/>
        </w:rPr>
        <w:t>质量分级及"领跑者"评价要求 木制玩具</w:t>
      </w:r>
      <w:r w:rsidRPr="00E33A46">
        <w:rPr>
          <w:rFonts w:ascii="仿宋_GB2312" w:eastAsia="仿宋_GB2312" w:hAnsi="Times New Roman" w:cs="Times New Roman" w:hint="eastAsia"/>
          <w:sz w:val="24"/>
          <w:szCs w:val="24"/>
          <w14:ligatures w14:val="none"/>
        </w:rPr>
        <w:t>》标准研制的重点包括：标准名称、标准适用范围、</w:t>
      </w:r>
      <w:r w:rsidR="00682BAB" w:rsidRPr="00682BAB">
        <w:rPr>
          <w:rFonts w:ascii="仿宋_GB2312" w:eastAsia="仿宋_GB2312" w:hAnsi="Times New Roman" w:cs="Times New Roman" w:hint="eastAsia"/>
          <w:sz w:val="24"/>
          <w:szCs w:val="24"/>
          <w14:ligatures w14:val="none"/>
        </w:rPr>
        <w:t>术语和定义、基本要求、评价指标及要求、评价方法及等级划分</w:t>
      </w:r>
      <w:r w:rsidRPr="00E33A46">
        <w:rPr>
          <w:rFonts w:ascii="仿宋_GB2312" w:eastAsia="仿宋_GB2312" w:hAnsi="Times New Roman" w:cs="Times New Roman" w:hint="eastAsia"/>
          <w:sz w:val="24"/>
          <w:szCs w:val="24"/>
          <w14:ligatures w14:val="none"/>
        </w:rPr>
        <w:t>以及相应的检验检测方法。</w:t>
      </w:r>
    </w:p>
    <w:p w14:paraId="1829A04B"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2.1.4 研制计划及时间安排</w:t>
      </w:r>
    </w:p>
    <w:p w14:paraId="0FF70C87" w14:textId="32178B6B"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lastRenderedPageBreak/>
        <w:t>第一阶段： 2024年3月底前成立工作小组，学习、研究国内外相关标准，确定标准改进的路线和方向，明确指标。完成《</w:t>
      </w:r>
      <w:r w:rsidR="00682BAB" w:rsidRPr="00682BAB">
        <w:rPr>
          <w:rFonts w:ascii="仿宋_GB2312" w:eastAsia="仿宋_GB2312" w:hAnsi="Times New Roman" w:cs="Times New Roman" w:hint="eastAsia"/>
          <w:sz w:val="24"/>
          <w:szCs w:val="24"/>
          <w14:ligatures w14:val="none"/>
        </w:rPr>
        <w:t>质量分级及"领跑者"评价要求 木制玩具</w:t>
      </w:r>
      <w:r w:rsidRPr="00E33A46">
        <w:rPr>
          <w:rFonts w:ascii="仿宋_GB2312" w:eastAsia="仿宋_GB2312" w:hAnsi="Times New Roman" w:cs="Times New Roman" w:hint="eastAsia"/>
          <w:sz w:val="24"/>
          <w:szCs w:val="24"/>
          <w14:ligatures w14:val="none"/>
        </w:rPr>
        <w:t>》“立项建议书”和“标准草案”的撰写，完成项目申报立项。</w:t>
      </w:r>
    </w:p>
    <w:p w14:paraId="13A86220"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第二阶段：收到答辩通知，准备答辩材料，进行项目答辩，通过后完成立项。</w:t>
      </w:r>
    </w:p>
    <w:p w14:paraId="3DC91940"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第三阶段：立项完成后一个月内，组织相关单位，召开标准的启动会，完成标准讨论，形成标准征求意见稿。</w:t>
      </w:r>
    </w:p>
    <w:p w14:paraId="66DA8BDB"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第四阶段：启动会后两周内，向各有关单位发送征求意见稿，并完成各单位意见的征集。</w:t>
      </w:r>
    </w:p>
    <w:p w14:paraId="69344811"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第五阶段：征求意见完成后一个月内，召开标准评审会，邀请同行业专家、代表、认证公司代表、标准主要起草人等人员参加。</w:t>
      </w:r>
    </w:p>
    <w:p w14:paraId="15BDA984"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第六阶段：评审会后两周内，完善标准，形成最终稿，并且发布实施。</w:t>
      </w:r>
    </w:p>
    <w:p w14:paraId="281CF1AA"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2.2  标准草案研制</w:t>
      </w:r>
    </w:p>
    <w:p w14:paraId="796FCFE2" w14:textId="77777777" w:rsidR="008B3420" w:rsidRPr="00E33A46"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2.2.1  型式试验内规定的</w:t>
      </w:r>
      <w:proofErr w:type="gramStart"/>
      <w:r w:rsidRPr="00E33A46">
        <w:rPr>
          <w:rFonts w:ascii="仿宋_GB2312" w:eastAsia="仿宋_GB2312" w:hAnsi="Times New Roman" w:cs="Times New Roman" w:hint="eastAsia"/>
          <w:sz w:val="24"/>
          <w:szCs w:val="24"/>
          <w14:ligatures w14:val="none"/>
        </w:rPr>
        <w:t>全技术</w:t>
      </w:r>
      <w:proofErr w:type="gramEnd"/>
      <w:r w:rsidRPr="00E33A46">
        <w:rPr>
          <w:rFonts w:ascii="仿宋_GB2312" w:eastAsia="仿宋_GB2312" w:hAnsi="Times New Roman" w:cs="Times New Roman" w:hint="eastAsia"/>
          <w:sz w:val="24"/>
          <w:szCs w:val="24"/>
          <w14:ligatures w14:val="none"/>
        </w:rPr>
        <w:t>指标先进性情况</w:t>
      </w:r>
    </w:p>
    <w:p w14:paraId="51871C18" w14:textId="77777777" w:rsidR="008B3420" w:rsidRPr="00954CBC"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E33A46">
        <w:rPr>
          <w:rFonts w:ascii="仿宋_GB2312" w:eastAsia="仿宋_GB2312" w:hAnsi="Times New Roman" w:cs="Times New Roman" w:hint="eastAsia"/>
          <w:sz w:val="24"/>
          <w:szCs w:val="24"/>
          <w14:ligatures w14:val="none"/>
        </w:rPr>
        <w:t>本标准（草案）基本确定了本标准的先进性；充分考虑了浙江省计量与标准化学会团体标准制订框架要求、编制理念和定位要求等，全面体现了标准的先</w:t>
      </w:r>
      <w:r w:rsidRPr="00954CBC">
        <w:rPr>
          <w:rFonts w:ascii="仿宋_GB2312" w:eastAsia="仿宋_GB2312" w:hAnsi="Times New Roman" w:cs="Times New Roman" w:hint="eastAsia"/>
          <w:sz w:val="24"/>
          <w:szCs w:val="24"/>
          <w14:ligatures w14:val="none"/>
        </w:rPr>
        <w:t>进性。</w:t>
      </w:r>
    </w:p>
    <w:p w14:paraId="474D9C76" w14:textId="48AF19CA" w:rsidR="008B3420" w:rsidRPr="00954CBC"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682BAB">
        <w:rPr>
          <w:rFonts w:ascii="仿宋_GB2312" w:eastAsia="仿宋_GB2312" w:hAnsi="Times New Roman" w:cs="Times New Roman" w:hint="eastAsia"/>
          <w:sz w:val="24"/>
          <w:szCs w:val="24"/>
          <w14:ligatures w14:val="none"/>
        </w:rPr>
        <w:t>标准工作组根据浙江省计量与标准化学会团体标准的编制理念，以</w:t>
      </w:r>
      <w:r w:rsidR="00954CBC" w:rsidRPr="00682BAB">
        <w:rPr>
          <w:rFonts w:ascii="仿宋_GB2312" w:eastAsia="仿宋_GB2312" w:hAnsi="Times New Roman" w:cs="Times New Roman" w:hint="eastAsia"/>
          <w:sz w:val="24"/>
          <w:szCs w:val="24"/>
          <w14:ligatures w14:val="none"/>
        </w:rPr>
        <w:t>国家</w:t>
      </w:r>
      <w:r w:rsidRPr="00682BAB">
        <w:rPr>
          <w:rFonts w:ascii="仿宋_GB2312" w:eastAsia="仿宋_GB2312" w:hAnsi="Times New Roman" w:cs="Times New Roman" w:hint="eastAsia"/>
          <w:sz w:val="24"/>
          <w:szCs w:val="24"/>
          <w14:ligatures w14:val="none"/>
        </w:rPr>
        <w:t>标准</w:t>
      </w:r>
      <w:r w:rsidR="00682BAB" w:rsidRPr="00682BAB">
        <w:rPr>
          <w:rFonts w:ascii="仿宋_GB2312" w:eastAsia="仿宋_GB2312" w:hAnsi="Times New Roman" w:cs="Times New Roman" w:hint="eastAsia"/>
          <w:sz w:val="24"/>
          <w:szCs w:val="24"/>
          <w14:ligatures w14:val="none"/>
        </w:rPr>
        <w:t>GB 6675.1《玩具安全 第1部分：基本规范》</w:t>
      </w:r>
      <w:r w:rsidR="00682BAB" w:rsidRPr="00682BAB">
        <w:rPr>
          <w:rFonts w:ascii="仿宋_GB2312" w:eastAsia="仿宋_GB2312" w:hAnsi="Times New Roman" w:cs="Times New Roman" w:hint="eastAsia"/>
          <w:sz w:val="24"/>
          <w:szCs w:val="24"/>
          <w14:ligatures w14:val="none"/>
        </w:rPr>
        <w:t>、</w:t>
      </w:r>
      <w:bookmarkStart w:id="1" w:name="_Hlk170895848"/>
      <w:r w:rsidR="00682BAB" w:rsidRPr="00682BAB">
        <w:rPr>
          <w:rFonts w:ascii="仿宋_GB2312" w:eastAsia="仿宋_GB2312" w:hAnsi="Times New Roman" w:cs="Times New Roman" w:hint="eastAsia"/>
          <w:sz w:val="24"/>
          <w:szCs w:val="24"/>
          <w14:ligatures w14:val="none"/>
        </w:rPr>
        <w:t>GB/T 28495—2012</w:t>
      </w:r>
      <w:r w:rsidR="00954CBC" w:rsidRPr="00682BAB">
        <w:rPr>
          <w:rFonts w:ascii="仿宋_GB2312" w:eastAsia="仿宋_GB2312" w:hAnsi="Times New Roman" w:cs="Times New Roman" w:hint="eastAsia"/>
          <w:sz w:val="24"/>
          <w:szCs w:val="24"/>
          <w14:ligatures w14:val="none"/>
        </w:rPr>
        <w:t>《</w:t>
      </w:r>
      <w:r w:rsidR="00682BAB" w:rsidRPr="00682BAB">
        <w:rPr>
          <w:rFonts w:ascii="仿宋_GB2312" w:eastAsia="仿宋_GB2312" w:hAnsi="Times New Roman" w:cs="Times New Roman" w:hint="eastAsia"/>
          <w:sz w:val="24"/>
          <w:szCs w:val="24"/>
          <w14:ligatures w14:val="none"/>
        </w:rPr>
        <w:t>竹木玩具通用技术条件</w:t>
      </w:r>
      <w:r w:rsidR="00954CBC" w:rsidRPr="00682BAB">
        <w:rPr>
          <w:rFonts w:ascii="仿宋_GB2312" w:eastAsia="仿宋_GB2312" w:hAnsi="Times New Roman" w:cs="Times New Roman" w:hint="eastAsia"/>
          <w:sz w:val="24"/>
          <w:szCs w:val="24"/>
          <w14:ligatures w14:val="none"/>
        </w:rPr>
        <w:t>》</w:t>
      </w:r>
      <w:bookmarkEnd w:id="1"/>
      <w:r w:rsidRPr="00682BAB">
        <w:rPr>
          <w:rFonts w:ascii="仿宋_GB2312" w:eastAsia="仿宋_GB2312" w:hAnsi="Times New Roman" w:cs="Times New Roman" w:hint="eastAsia"/>
          <w:sz w:val="24"/>
          <w:szCs w:val="24"/>
          <w14:ligatures w14:val="none"/>
        </w:rPr>
        <w:t>为基础，对</w:t>
      </w:r>
      <w:proofErr w:type="gramStart"/>
      <w:r w:rsidRPr="00682BAB">
        <w:rPr>
          <w:rFonts w:ascii="仿宋_GB2312" w:eastAsia="仿宋_GB2312" w:hAnsi="Times New Roman" w:cs="Times New Roman" w:hint="eastAsia"/>
          <w:sz w:val="24"/>
          <w:szCs w:val="24"/>
          <w14:ligatures w14:val="none"/>
        </w:rPr>
        <w:t>标国内</w:t>
      </w:r>
      <w:proofErr w:type="gramEnd"/>
      <w:r w:rsidRPr="00682BAB">
        <w:rPr>
          <w:rFonts w:ascii="仿宋_GB2312" w:eastAsia="仿宋_GB2312" w:hAnsi="Times New Roman" w:cs="Times New Roman" w:hint="eastAsia"/>
          <w:sz w:val="24"/>
          <w:szCs w:val="24"/>
          <w14:ligatures w14:val="none"/>
        </w:rPr>
        <w:t>先进同行技术要求和水平，项目的设置覆盖了</w:t>
      </w:r>
      <w:bookmarkStart w:id="2" w:name="_Hlk170895763"/>
      <w:r w:rsidR="00954CBC" w:rsidRPr="00682BAB">
        <w:rPr>
          <w:rFonts w:ascii="仿宋_GB2312" w:eastAsia="仿宋_GB2312" w:hAnsi="Times New Roman" w:cs="Times New Roman" w:hint="eastAsia"/>
          <w:sz w:val="24"/>
          <w:szCs w:val="24"/>
        </w:rPr>
        <w:t>GB 6675.1《玩具安全 第1部分：基本规范》</w:t>
      </w:r>
      <w:bookmarkEnd w:id="2"/>
      <w:r w:rsidR="00682BAB">
        <w:rPr>
          <w:rFonts w:ascii="仿宋_GB2312" w:eastAsia="仿宋_GB2312" w:hAnsi="Times New Roman" w:cs="Times New Roman" w:hint="eastAsia"/>
          <w:sz w:val="24"/>
          <w:szCs w:val="24"/>
        </w:rPr>
        <w:t>、</w:t>
      </w:r>
      <w:r w:rsidR="00682BAB" w:rsidRPr="00682BAB">
        <w:rPr>
          <w:rFonts w:ascii="仿宋_GB2312" w:eastAsia="仿宋_GB2312" w:hAnsi="Times New Roman" w:cs="Times New Roman" w:hint="eastAsia"/>
          <w:sz w:val="24"/>
          <w:szCs w:val="24"/>
          <w14:ligatures w14:val="none"/>
        </w:rPr>
        <w:t>GB/T 28495—2012《竹木玩具通用技术条件》</w:t>
      </w:r>
      <w:r w:rsidRPr="00682BAB">
        <w:rPr>
          <w:rFonts w:ascii="仿宋_GB2312" w:eastAsia="仿宋_GB2312" w:hAnsi="Times New Roman" w:cs="Times New Roman" w:hint="eastAsia"/>
          <w:sz w:val="24"/>
          <w:szCs w:val="24"/>
          <w14:ligatures w14:val="none"/>
        </w:rPr>
        <w:t>的技术要求，并高于</w:t>
      </w:r>
      <w:r w:rsidR="00954CBC" w:rsidRPr="00682BAB">
        <w:rPr>
          <w:rFonts w:ascii="仿宋_GB2312" w:eastAsia="仿宋_GB2312" w:hAnsi="Times New Roman" w:cs="Times New Roman" w:hint="eastAsia"/>
          <w:sz w:val="24"/>
          <w:szCs w:val="24"/>
          <w14:ligatures w14:val="none"/>
        </w:rPr>
        <w:t>国家</w:t>
      </w:r>
      <w:r w:rsidRPr="00682BAB">
        <w:rPr>
          <w:rFonts w:ascii="仿宋_GB2312" w:eastAsia="仿宋_GB2312" w:hAnsi="Times New Roman" w:cs="Times New Roman" w:hint="eastAsia"/>
          <w:sz w:val="24"/>
          <w:szCs w:val="24"/>
          <w14:ligatures w14:val="none"/>
        </w:rPr>
        <w:t>标准；同时从行业的发展和产品应用领域的变化要求，从产品使用的稳定性及便利性出发，真正体现了浙江省计量与标准化学会团体标准先进性的理念。</w:t>
      </w:r>
    </w:p>
    <w:p w14:paraId="0778293F" w14:textId="77777777" w:rsidR="008B3420" w:rsidRPr="00463A7D"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463A7D">
        <w:rPr>
          <w:rFonts w:ascii="仿宋_GB2312" w:eastAsia="仿宋_GB2312" w:hAnsi="Times New Roman" w:cs="Times New Roman" w:hint="eastAsia"/>
          <w:sz w:val="24"/>
          <w:szCs w:val="24"/>
          <w14:ligatures w14:val="none"/>
        </w:rPr>
        <w:t>2.2.2  按照浙江省计量与标准化学会团体标准制订框架要求，及浙江省计量与标准化学会团体标准编制理念和定位要求研制标准草案情况。</w:t>
      </w:r>
    </w:p>
    <w:p w14:paraId="27D30937" w14:textId="43BC7155" w:rsidR="008B3420" w:rsidRPr="008B3420" w:rsidRDefault="008B3420" w:rsidP="008B3420">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463A7D">
        <w:rPr>
          <w:rFonts w:ascii="仿宋_GB2312" w:eastAsia="仿宋_GB2312" w:hAnsi="Times New Roman" w:cs="Times New Roman" w:hint="eastAsia"/>
          <w:sz w:val="24"/>
          <w:szCs w:val="24"/>
          <w14:ligatures w14:val="none"/>
        </w:rPr>
        <w:t>按照浙江省计量与标准化学会团体标准制订框架要求，标准草案在术语和定义、基本要求、评价指标分类、评价指标体系框架、评价方法及等级划分等各个方面进行了全方位的阐述。以</w:t>
      </w:r>
      <w:r w:rsidR="00463A7D" w:rsidRPr="00463A7D">
        <w:rPr>
          <w:rFonts w:ascii="仿宋_GB2312" w:eastAsia="仿宋_GB2312" w:hAnsi="Times New Roman" w:cs="Times New Roman" w:hint="eastAsia"/>
          <w:sz w:val="24"/>
          <w:szCs w:val="24"/>
          <w14:ligatures w14:val="none"/>
        </w:rPr>
        <w:t>国家标准</w:t>
      </w:r>
      <w:r w:rsidRPr="00463A7D">
        <w:rPr>
          <w:rFonts w:ascii="仿宋_GB2312" w:eastAsia="仿宋_GB2312" w:hAnsi="Times New Roman" w:cs="Times New Roman" w:hint="eastAsia"/>
          <w:sz w:val="24"/>
          <w:szCs w:val="24"/>
          <w14:ligatures w14:val="none"/>
        </w:rPr>
        <w:t>为基础，对</w:t>
      </w:r>
      <w:proofErr w:type="gramStart"/>
      <w:r w:rsidRPr="00463A7D">
        <w:rPr>
          <w:rFonts w:ascii="仿宋_GB2312" w:eastAsia="仿宋_GB2312" w:hAnsi="Times New Roman" w:cs="Times New Roman" w:hint="eastAsia"/>
          <w:sz w:val="24"/>
          <w:szCs w:val="24"/>
          <w14:ligatures w14:val="none"/>
        </w:rPr>
        <w:t>标国际</w:t>
      </w:r>
      <w:proofErr w:type="gramEnd"/>
      <w:r w:rsidRPr="00463A7D">
        <w:rPr>
          <w:rFonts w:ascii="仿宋_GB2312" w:eastAsia="仿宋_GB2312" w:hAnsi="Times New Roman" w:cs="Times New Roman" w:hint="eastAsia"/>
          <w:sz w:val="24"/>
          <w:szCs w:val="24"/>
          <w14:ligatures w14:val="none"/>
        </w:rPr>
        <w:t>先进标准及标杆</w:t>
      </w:r>
      <w:r w:rsidRPr="00463A7D">
        <w:rPr>
          <w:rFonts w:ascii="仿宋_GB2312" w:eastAsia="仿宋_GB2312" w:hAnsi="Times New Roman" w:cs="Times New Roman" w:hint="eastAsia"/>
          <w:sz w:val="24"/>
          <w:szCs w:val="24"/>
          <w14:ligatures w14:val="none"/>
        </w:rPr>
        <w:lastRenderedPageBreak/>
        <w:t>企业，力求体现最先进的浙江工艺，用高质量来保障品牌生命，成为</w:t>
      </w:r>
      <w:r w:rsidR="00E33A46" w:rsidRPr="00463A7D">
        <w:rPr>
          <w:rFonts w:ascii="仿宋_GB2312" w:eastAsia="仿宋_GB2312" w:hAnsi="Times New Roman" w:cs="Times New Roman" w:hint="eastAsia"/>
          <w:sz w:val="24"/>
          <w:szCs w:val="24"/>
          <w14:ligatures w14:val="none"/>
        </w:rPr>
        <w:t>木制玩具</w:t>
      </w:r>
      <w:r w:rsidRPr="00463A7D">
        <w:rPr>
          <w:rFonts w:ascii="仿宋_GB2312" w:eastAsia="仿宋_GB2312" w:hAnsi="Times New Roman" w:cs="Times New Roman" w:hint="eastAsia"/>
          <w:sz w:val="24"/>
          <w:szCs w:val="24"/>
          <w14:ligatures w14:val="none"/>
        </w:rPr>
        <w:t>这一细分的标杆和领跑者。</w:t>
      </w:r>
    </w:p>
    <w:p w14:paraId="2ADB7883" w14:textId="007D459C" w:rsid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0949CF9B" w14:textId="77777777" w:rsidR="00DE7789" w:rsidRPr="00DE7789" w:rsidRDefault="00DE7789" w:rsidP="00463A7D">
      <w:pPr>
        <w:adjustRightInd/>
        <w:snapToGrid/>
        <w:spacing w:after="0" w:line="360" w:lineRule="auto"/>
        <w:ind w:firstLineChars="200" w:firstLine="480"/>
        <w:jc w:val="both"/>
        <w:rPr>
          <w:rFonts w:ascii="仿宋_GB2312" w:eastAsia="仿宋_GB2312" w:hAnsi="Times New Roman" w:cs="Times New Roman"/>
          <w:sz w:val="24"/>
          <w:szCs w:val="24"/>
          <w14:ligatures w14:val="none"/>
        </w:rPr>
      </w:pPr>
      <w:r w:rsidRPr="00DE7789">
        <w:rPr>
          <w:rFonts w:ascii="仿宋_GB2312" w:eastAsia="仿宋_GB2312" w:hAnsi="Times New Roman" w:cs="Times New Roman" w:hint="eastAsia"/>
          <w:sz w:val="24"/>
          <w:szCs w:val="24"/>
          <w14:ligatures w14:val="none"/>
        </w:rPr>
        <w:t>2024年6月19日在杭州召开了标准立项论证会，提出以下意见：</w:t>
      </w:r>
    </w:p>
    <w:p w14:paraId="2F65DE4F" w14:textId="720E4C92" w:rsidR="00DE7789" w:rsidRPr="00DE7789" w:rsidRDefault="00DE7789" w:rsidP="00DE7789">
      <w:pPr>
        <w:pStyle w:val="ae"/>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DE7789">
        <w:rPr>
          <w:rFonts w:ascii="仿宋_GB2312" w:eastAsia="仿宋_GB2312" w:hAnsi="Times New Roman" w:cs="Times New Roman" w:hint="eastAsia"/>
          <w:sz w:val="24"/>
          <w:szCs w:val="24"/>
        </w:rPr>
        <w:t>标准的主要技术内容的科学性、合理性、可行性</w:t>
      </w:r>
    </w:p>
    <w:p w14:paraId="4C941219" w14:textId="67871BA7" w:rsidR="00DE7789" w:rsidRPr="00DE7789" w:rsidRDefault="00DE7789" w:rsidP="00DE7789">
      <w:pPr>
        <w:pStyle w:val="ae"/>
        <w:numPr>
          <w:ilvl w:val="0"/>
          <w:numId w:val="6"/>
        </w:numPr>
        <w:adjustRightInd/>
        <w:snapToGrid/>
        <w:spacing w:after="0" w:line="360" w:lineRule="auto"/>
        <w:ind w:firstLineChars="0"/>
        <w:jc w:val="both"/>
        <w:rPr>
          <w:rFonts w:ascii="仿宋_GB2312" w:eastAsia="仿宋_GB2312" w:hAnsi="Times New Roman" w:cs="Times New Roman"/>
          <w:sz w:val="24"/>
          <w:szCs w:val="24"/>
        </w:rPr>
      </w:pPr>
      <w:r w:rsidRPr="00DE7789">
        <w:rPr>
          <w:rFonts w:ascii="仿宋_GB2312" w:eastAsia="仿宋_GB2312" w:hAnsi="Times New Roman" w:cs="Times New Roman" w:hint="eastAsia"/>
          <w:sz w:val="24"/>
          <w:szCs w:val="24"/>
        </w:rPr>
        <w:t>该标准任务来源明确，立项材料齐全，符合立项要求。</w:t>
      </w:r>
    </w:p>
    <w:p w14:paraId="0584F1FA" w14:textId="77777777" w:rsidR="00DE7789" w:rsidRDefault="00DE7789" w:rsidP="00DE7789">
      <w:pPr>
        <w:pStyle w:val="ae"/>
        <w:numPr>
          <w:ilvl w:val="0"/>
          <w:numId w:val="6"/>
        </w:numPr>
        <w:adjustRightInd/>
        <w:snapToGrid/>
        <w:spacing w:after="0" w:line="360" w:lineRule="auto"/>
        <w:ind w:firstLineChars="0"/>
        <w:jc w:val="both"/>
        <w:rPr>
          <w:rFonts w:ascii="仿宋_GB2312" w:eastAsia="仿宋_GB2312" w:hAnsi="Times New Roman" w:cs="Times New Roman"/>
          <w:sz w:val="24"/>
          <w:szCs w:val="24"/>
        </w:rPr>
      </w:pPr>
      <w:r w:rsidRPr="00DE7789">
        <w:rPr>
          <w:rFonts w:ascii="仿宋_GB2312" w:eastAsia="仿宋_GB2312" w:hAnsi="Times New Roman" w:cs="Times New Roman" w:hint="eastAsia"/>
          <w:sz w:val="24"/>
          <w:szCs w:val="24"/>
        </w:rPr>
        <w:t>该标准的编写格式符合GB/T</w:t>
      </w:r>
      <w:r>
        <w:rPr>
          <w:rFonts w:ascii="仿宋_GB2312" w:eastAsia="仿宋_GB2312" w:hAnsi="Times New Roman" w:cs="Times New Roman" w:hint="eastAsia"/>
          <w:sz w:val="24"/>
          <w:szCs w:val="24"/>
        </w:rPr>
        <w:t xml:space="preserve"> </w:t>
      </w:r>
      <w:r w:rsidRPr="00DE7789">
        <w:rPr>
          <w:rFonts w:ascii="仿宋_GB2312" w:eastAsia="仿宋_GB2312" w:hAnsi="Times New Roman" w:cs="Times New Roman" w:hint="eastAsia"/>
          <w:sz w:val="24"/>
          <w:szCs w:val="24"/>
        </w:rPr>
        <w:t>1.1-2020《标准化工作导则部分</w:t>
      </w:r>
      <w:r>
        <w:rPr>
          <w:rFonts w:ascii="仿宋_GB2312" w:eastAsia="仿宋_GB2312" w:hAnsi="Times New Roman" w:cs="Times New Roman" w:hint="eastAsia"/>
          <w:sz w:val="24"/>
          <w:szCs w:val="24"/>
        </w:rPr>
        <w:t>：</w:t>
      </w:r>
      <w:r w:rsidRPr="00DE7789">
        <w:rPr>
          <w:rFonts w:ascii="仿宋_GB2312" w:eastAsia="仿宋_GB2312" w:hAnsi="Times New Roman" w:cs="Times New Roman" w:hint="eastAsia"/>
          <w:sz w:val="24"/>
          <w:szCs w:val="24"/>
        </w:rPr>
        <w:t>标准化文件的结构和起草规则》的要求。</w:t>
      </w:r>
    </w:p>
    <w:p w14:paraId="2B079944" w14:textId="573ACADA" w:rsidR="00682BAB" w:rsidRDefault="00DE7789" w:rsidP="00DE7789">
      <w:pPr>
        <w:pStyle w:val="ae"/>
        <w:numPr>
          <w:ilvl w:val="0"/>
          <w:numId w:val="6"/>
        </w:numPr>
        <w:adjustRightInd/>
        <w:snapToGrid/>
        <w:spacing w:after="0" w:line="360" w:lineRule="auto"/>
        <w:ind w:firstLineChars="0"/>
        <w:jc w:val="both"/>
        <w:rPr>
          <w:rFonts w:ascii="仿宋_GB2312" w:eastAsia="仿宋_GB2312" w:hAnsi="Times New Roman" w:cs="Times New Roman"/>
          <w:sz w:val="24"/>
          <w:szCs w:val="24"/>
        </w:rPr>
      </w:pPr>
      <w:r w:rsidRPr="00DE7789">
        <w:rPr>
          <w:rFonts w:ascii="仿宋_GB2312" w:eastAsia="仿宋_GB2312" w:hAnsi="Times New Roman" w:cs="Times New Roman" w:hint="eastAsia"/>
          <w:sz w:val="24"/>
          <w:szCs w:val="24"/>
        </w:rPr>
        <w:t>该标准依据《国家标准化发展要》《扩大内需战略规划纲要(2022-2035年)》等文件强调推进实施企业标准“领跑者”制度</w:t>
      </w:r>
      <w:proofErr w:type="gramStart"/>
      <w:r w:rsidRPr="00DE7789">
        <w:rPr>
          <w:rFonts w:ascii="仿宋_GB2312" w:eastAsia="仿宋_GB2312" w:hAnsi="Times New Roman" w:cs="Times New Roman" w:hint="eastAsia"/>
          <w:sz w:val="24"/>
          <w:szCs w:val="24"/>
        </w:rPr>
        <w:t>展研制</w:t>
      </w:r>
      <w:proofErr w:type="gramEnd"/>
      <w:r w:rsidRPr="00DE7789">
        <w:rPr>
          <w:rFonts w:ascii="仿宋_GB2312" w:eastAsia="仿宋_GB2312" w:hAnsi="Times New Roman" w:cs="Times New Roman" w:hint="eastAsia"/>
          <w:sz w:val="24"/>
          <w:szCs w:val="24"/>
        </w:rPr>
        <w:t>工作。该标准的研制预计该标准将通过高水平标准引领，促进行业发展质量全面提升，扩大优质产品和服务供给，有效增强市场主体竞争力。</w:t>
      </w:r>
    </w:p>
    <w:p w14:paraId="1D3F5E65" w14:textId="77777777" w:rsidR="00DE7789" w:rsidRPr="00DE7789" w:rsidRDefault="00DE7789" w:rsidP="00DE7789">
      <w:pPr>
        <w:adjustRightInd/>
        <w:snapToGrid/>
        <w:spacing w:after="0" w:line="360" w:lineRule="auto"/>
        <w:ind w:left="480"/>
        <w:jc w:val="both"/>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二、</w:t>
      </w:r>
      <w:r w:rsidRPr="00DE7789">
        <w:rPr>
          <w:rFonts w:ascii="仿宋_GB2312" w:eastAsia="仿宋_GB2312" w:hAnsi="Times New Roman" w:cs="Times New Roman" w:hint="eastAsia"/>
          <w:sz w:val="24"/>
          <w:szCs w:val="24"/>
        </w:rPr>
        <w:t>其他意见和建议</w:t>
      </w:r>
    </w:p>
    <w:p w14:paraId="23150D54" w14:textId="125D6613" w:rsidR="00DE7789" w:rsidRPr="00DE7789" w:rsidRDefault="00DE7789" w:rsidP="00DE7789">
      <w:pPr>
        <w:pStyle w:val="ae"/>
        <w:numPr>
          <w:ilvl w:val="0"/>
          <w:numId w:val="7"/>
        </w:numPr>
        <w:adjustRightInd/>
        <w:snapToGrid/>
        <w:spacing w:after="0" w:line="360" w:lineRule="auto"/>
        <w:ind w:firstLineChars="0"/>
        <w:jc w:val="both"/>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完善</w:t>
      </w:r>
      <w:r w:rsidRPr="00DE7789">
        <w:rPr>
          <w:rFonts w:ascii="仿宋_GB2312" w:eastAsia="仿宋_GB2312" w:hAnsi="Times New Roman" w:cs="Times New Roman" w:hint="eastAsia"/>
          <w:sz w:val="24"/>
          <w:szCs w:val="24"/>
        </w:rPr>
        <w:t>评价指标体系，核心指标建议从产品功能特性、使用特性等方面进行梳理，创新性指标可参考相关绿色产品标准、欧盟标准</w:t>
      </w:r>
      <w:r>
        <w:rPr>
          <w:rFonts w:ascii="仿宋_GB2312" w:eastAsia="仿宋_GB2312" w:hAnsi="Times New Roman" w:cs="Times New Roman" w:hint="eastAsia"/>
          <w:sz w:val="24"/>
          <w:szCs w:val="24"/>
        </w:rPr>
        <w:t>：</w:t>
      </w:r>
    </w:p>
    <w:p w14:paraId="4AE2BD64" w14:textId="77777777" w:rsidR="00DE7789" w:rsidRDefault="00DE7789" w:rsidP="00DE7789">
      <w:pPr>
        <w:pStyle w:val="ae"/>
        <w:numPr>
          <w:ilvl w:val="0"/>
          <w:numId w:val="7"/>
        </w:numPr>
        <w:adjustRightInd/>
        <w:snapToGrid/>
        <w:spacing w:after="0" w:line="360" w:lineRule="auto"/>
        <w:ind w:firstLineChars="0"/>
        <w:jc w:val="both"/>
        <w:rPr>
          <w:rFonts w:ascii="仿宋_GB2312" w:eastAsia="仿宋_GB2312" w:hAnsi="Times New Roman" w:cs="Times New Roman"/>
          <w:sz w:val="24"/>
          <w:szCs w:val="24"/>
        </w:rPr>
      </w:pPr>
      <w:r w:rsidRPr="00DE7789">
        <w:rPr>
          <w:rFonts w:ascii="仿宋_GB2312" w:eastAsia="仿宋_GB2312" w:hAnsi="Times New Roman" w:cs="Times New Roman" w:hint="eastAsia"/>
          <w:sz w:val="24"/>
          <w:szCs w:val="24"/>
        </w:rPr>
        <w:t>建议按照T/CAS 700</w:t>
      </w:r>
      <w:r>
        <w:rPr>
          <w:rFonts w:ascii="仿宋_GB2312" w:eastAsia="仿宋_GB2312" w:hAnsi="Times New Roman" w:cs="Times New Roman" w:hint="eastAsia"/>
          <w:sz w:val="24"/>
          <w:szCs w:val="24"/>
        </w:rPr>
        <w:t>—</w:t>
      </w:r>
      <w:r w:rsidRPr="00DE7789">
        <w:rPr>
          <w:rFonts w:ascii="仿宋_GB2312" w:eastAsia="仿宋_GB2312" w:hAnsi="Times New Roman" w:cs="Times New Roman" w:hint="eastAsia"/>
          <w:sz w:val="24"/>
          <w:szCs w:val="24"/>
        </w:rPr>
        <w:t>2023</w:t>
      </w:r>
      <w:r>
        <w:rPr>
          <w:rFonts w:ascii="仿宋_GB2312" w:eastAsia="仿宋_GB2312" w:hAnsi="Times New Roman" w:cs="Times New Roman" w:hint="eastAsia"/>
          <w:sz w:val="24"/>
          <w:szCs w:val="24"/>
        </w:rPr>
        <w:t>；</w:t>
      </w:r>
      <w:r w:rsidRPr="00DE7789">
        <w:rPr>
          <w:rFonts w:ascii="仿宋_GB2312" w:eastAsia="仿宋_GB2312" w:hAnsi="Times New Roman" w:cs="Times New Roman" w:hint="eastAsia"/>
          <w:sz w:val="24"/>
          <w:szCs w:val="24"/>
        </w:rPr>
        <w:t>T/CSTE 0321</w:t>
      </w:r>
      <w:r>
        <w:rPr>
          <w:rFonts w:ascii="仿宋_GB2312" w:eastAsia="仿宋_GB2312" w:hAnsi="Times New Roman" w:cs="Times New Roman" w:hint="eastAsia"/>
          <w:sz w:val="24"/>
          <w:szCs w:val="24"/>
        </w:rPr>
        <w:t>—</w:t>
      </w:r>
      <w:r w:rsidRPr="00DE7789">
        <w:rPr>
          <w:rFonts w:ascii="仿宋_GB2312" w:eastAsia="仿宋_GB2312" w:hAnsi="Times New Roman" w:cs="Times New Roman" w:hint="eastAsia"/>
          <w:sz w:val="24"/>
          <w:szCs w:val="24"/>
        </w:rPr>
        <w:t>2023《质量分级及“领跑者”评价标准编制通则》修改完善标准文本</w:t>
      </w:r>
      <w:r>
        <w:rPr>
          <w:rFonts w:ascii="仿宋_GB2312" w:eastAsia="仿宋_GB2312" w:hAnsi="Times New Roman" w:cs="Times New Roman" w:hint="eastAsia"/>
          <w:sz w:val="24"/>
          <w:szCs w:val="24"/>
        </w:rPr>
        <w:t>；</w:t>
      </w:r>
    </w:p>
    <w:p w14:paraId="4979C8B5" w14:textId="3F2B082F" w:rsidR="00DE7789" w:rsidRPr="00DE7789" w:rsidRDefault="00DE7789" w:rsidP="00DE7789">
      <w:pPr>
        <w:pStyle w:val="ae"/>
        <w:numPr>
          <w:ilvl w:val="0"/>
          <w:numId w:val="7"/>
        </w:numPr>
        <w:adjustRightInd/>
        <w:snapToGrid/>
        <w:spacing w:after="0" w:line="360" w:lineRule="auto"/>
        <w:ind w:firstLineChars="0"/>
        <w:jc w:val="both"/>
        <w:rPr>
          <w:rFonts w:ascii="仿宋_GB2312" w:eastAsia="仿宋_GB2312" w:hAnsi="Times New Roman" w:cs="Times New Roman" w:hint="eastAsia"/>
          <w:sz w:val="24"/>
          <w:szCs w:val="24"/>
        </w:rPr>
      </w:pPr>
      <w:r w:rsidRPr="00DE7789">
        <w:rPr>
          <w:rFonts w:ascii="仿宋_GB2312" w:eastAsia="仿宋_GB2312" w:hAnsi="Times New Roman" w:cs="Times New Roman" w:hint="eastAsia"/>
          <w:sz w:val="24"/>
          <w:szCs w:val="24"/>
        </w:rPr>
        <w:t>补充该产品所涉及企业标准分析情况、指标选择依据及等级划分的验证情况。</w:t>
      </w:r>
    </w:p>
    <w:p w14:paraId="2FAD34D3" w14:textId="11EE8257" w:rsid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征求意见（根据版次调整）</w:t>
      </w:r>
    </w:p>
    <w:p w14:paraId="62A3A46D" w14:textId="060AF909" w:rsid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专家评审（根据版次调整）</w:t>
      </w:r>
    </w:p>
    <w:p w14:paraId="4E8C876E" w14:textId="21ACCE86" w:rsidR="008B3420" w:rsidRDefault="00463A7D" w:rsidP="00B45809">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标准报批（根据版次调整）</w:t>
      </w:r>
    </w:p>
    <w:p w14:paraId="255B2848" w14:textId="77777777" w:rsidR="00463A7D" w:rsidRDefault="00463A7D" w:rsidP="00463A7D">
      <w:pPr>
        <w:pStyle w:val="ae"/>
        <w:numPr>
          <w:ilvl w:val="0"/>
          <w:numId w:val="3"/>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14:paraId="64E9EDBE" w14:textId="77777777" w:rsidR="00463A7D" w:rsidRP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sidRPr="00463A7D">
        <w:rPr>
          <w:rFonts w:ascii="仿宋_GB2312" w:eastAsia="仿宋_GB2312" w:hAnsi="Times New Roman" w:cs="Times New Roman" w:hint="eastAsia"/>
          <w:sz w:val="24"/>
          <w:szCs w:val="24"/>
        </w:rPr>
        <w:t>3.1编制原则</w:t>
      </w:r>
    </w:p>
    <w:p w14:paraId="7D527E71" w14:textId="77777777" w:rsidR="00463A7D" w:rsidRP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sidRPr="00463A7D">
        <w:rPr>
          <w:rFonts w:ascii="仿宋_GB2312" w:eastAsia="仿宋_GB2312" w:hAnsi="Times New Roman" w:cs="Times New Roman" w:hint="eastAsia"/>
          <w:sz w:val="24"/>
          <w:szCs w:val="24"/>
        </w:rPr>
        <w:t>标准编制遵循“合</w:t>
      </w:r>
      <w:proofErr w:type="gramStart"/>
      <w:r w:rsidRPr="00463A7D">
        <w:rPr>
          <w:rFonts w:ascii="仿宋_GB2312" w:eastAsia="仿宋_GB2312" w:hAnsi="Times New Roman" w:cs="Times New Roman" w:hint="eastAsia"/>
          <w:sz w:val="24"/>
          <w:szCs w:val="24"/>
        </w:rPr>
        <w:t>规</w:t>
      </w:r>
      <w:proofErr w:type="gramEnd"/>
      <w:r w:rsidRPr="00463A7D">
        <w:rPr>
          <w:rFonts w:ascii="仿宋_GB2312" w:eastAsia="仿宋_GB2312" w:hAnsi="Times New Roman" w:cs="Times New Roman" w:hint="eastAsia"/>
          <w:sz w:val="24"/>
          <w:szCs w:val="24"/>
        </w:rPr>
        <w:t>性、必要性、先进性、经济性、可操作性”的原则，尽可能与国际通行标准接轨，注重标准的可操作性，本标准严格按照GB/T 1.1—2020《标准化工作导则  第1部分：标准化文件的结构和起草规则》的规定进行编写和表述。</w:t>
      </w:r>
    </w:p>
    <w:p w14:paraId="60C9AEE2" w14:textId="77777777" w:rsidR="00463A7D" w:rsidRP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sidRPr="00463A7D">
        <w:rPr>
          <w:rFonts w:ascii="仿宋_GB2312" w:eastAsia="仿宋_GB2312" w:hAnsi="Times New Roman" w:cs="Times New Roman" w:hint="eastAsia"/>
          <w:sz w:val="24"/>
          <w:szCs w:val="24"/>
        </w:rPr>
        <w:t>3.2编制依据</w:t>
      </w:r>
    </w:p>
    <w:p w14:paraId="3446FB6E" w14:textId="195E90EB" w:rsid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sidRPr="00463A7D">
        <w:rPr>
          <w:rFonts w:ascii="仿宋_GB2312" w:eastAsia="仿宋_GB2312" w:hAnsi="Times New Roman" w:cs="Times New Roman" w:hint="eastAsia"/>
          <w:sz w:val="24"/>
          <w:szCs w:val="24"/>
        </w:rPr>
        <w:lastRenderedPageBreak/>
        <w:t>对标现行有效国家标准：</w:t>
      </w:r>
      <w:bookmarkStart w:id="3" w:name="_Hlk170896628"/>
      <w:r w:rsidR="00682BAB" w:rsidRPr="00682BAB">
        <w:rPr>
          <w:rFonts w:ascii="仿宋_GB2312" w:eastAsia="仿宋_GB2312" w:hAnsi="Times New Roman" w:cs="Times New Roman" w:hint="eastAsia"/>
          <w:sz w:val="24"/>
          <w:szCs w:val="24"/>
        </w:rPr>
        <w:t>GB/T 28495—2012《竹木玩具通用技术条件》</w:t>
      </w:r>
      <w:r w:rsidR="00682BAB">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G</w:t>
      </w:r>
      <w:r w:rsidRPr="00463A7D">
        <w:rPr>
          <w:rFonts w:ascii="仿宋_GB2312" w:eastAsia="仿宋_GB2312" w:hAnsi="Times New Roman" w:cs="Times New Roman" w:hint="eastAsia"/>
          <w:sz w:val="24"/>
          <w:szCs w:val="24"/>
        </w:rPr>
        <w:t>B 6675 《玩具安全》系列标准和T/ZZB 0130《木制玩具》“浙江制造”标准</w:t>
      </w:r>
      <w:bookmarkEnd w:id="3"/>
      <w:r w:rsidRPr="00463A7D">
        <w:rPr>
          <w:rFonts w:ascii="仿宋_GB2312" w:eastAsia="仿宋_GB2312" w:hAnsi="Times New Roman" w:cs="Times New Roman" w:hint="eastAsia"/>
          <w:sz w:val="24"/>
          <w:szCs w:val="24"/>
        </w:rPr>
        <w:t>等</w:t>
      </w:r>
      <w:r>
        <w:rPr>
          <w:rFonts w:ascii="仿宋_GB2312" w:eastAsia="仿宋_GB2312" w:hAnsi="Times New Roman" w:cs="Times New Roman" w:hint="eastAsia"/>
          <w:sz w:val="24"/>
          <w:szCs w:val="24"/>
        </w:rPr>
        <w:t>。</w:t>
      </w:r>
    </w:p>
    <w:p w14:paraId="4B5C23CC" w14:textId="77777777" w:rsidR="00463A7D" w:rsidRDefault="00463A7D" w:rsidP="00463A7D">
      <w:pPr>
        <w:numPr>
          <w:ilvl w:val="0"/>
          <w:numId w:val="3"/>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2B11200A" w14:textId="1FD64FBF" w:rsidR="00463A7D" w:rsidRP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sidRPr="00463A7D">
        <w:rPr>
          <w:rFonts w:ascii="仿宋_GB2312" w:eastAsia="仿宋_GB2312" w:hAnsi="Times New Roman" w:cs="Times New Roman" w:hint="eastAsia"/>
          <w:sz w:val="24"/>
          <w:szCs w:val="24"/>
        </w:rPr>
        <w:t>标准主要内容包括范围、规范性引用文件、</w:t>
      </w:r>
      <w:r w:rsidR="00DE7789" w:rsidRPr="00DE7789">
        <w:rPr>
          <w:rFonts w:ascii="仿宋_GB2312" w:eastAsia="仿宋_GB2312" w:hAnsi="Times New Roman" w:cs="Times New Roman" w:hint="eastAsia"/>
          <w:sz w:val="24"/>
          <w:szCs w:val="24"/>
        </w:rPr>
        <w:t>术语和定义、基本要求、评价指标及要求、评价方法及等级划分</w:t>
      </w:r>
      <w:r w:rsidRPr="00463A7D">
        <w:rPr>
          <w:rFonts w:ascii="仿宋_GB2312" w:eastAsia="仿宋_GB2312" w:hAnsi="Times New Roman" w:cs="Times New Roman" w:hint="eastAsia"/>
          <w:sz w:val="24"/>
          <w:szCs w:val="24"/>
        </w:rPr>
        <w:t>共五个方面对标准进行编制。主要内容及确定依据如下：</w:t>
      </w:r>
    </w:p>
    <w:p w14:paraId="4B06DBF3" w14:textId="1B52A3D4" w:rsidR="00463A7D" w:rsidRPr="00463A7D" w:rsidRDefault="00463A7D" w:rsidP="00463A7D">
      <w:pPr>
        <w:adjustRightInd/>
        <w:snapToGrid/>
        <w:spacing w:after="0" w:line="360" w:lineRule="auto"/>
        <w:ind w:firstLineChars="200" w:firstLine="480"/>
        <w:jc w:val="both"/>
        <w:rPr>
          <w:rFonts w:ascii="仿宋_GB2312" w:eastAsia="仿宋_GB2312" w:hAnsi="Times New Roman" w:cs="Times New Roman"/>
          <w:sz w:val="24"/>
          <w:szCs w:val="24"/>
        </w:rPr>
      </w:pPr>
      <w:r w:rsidRPr="00463A7D">
        <w:rPr>
          <w:rFonts w:ascii="仿宋_GB2312" w:eastAsia="仿宋_GB2312" w:hAnsi="Times New Roman" w:cs="Times New Roman" w:hint="eastAsia"/>
          <w:sz w:val="24"/>
          <w:szCs w:val="24"/>
        </w:rPr>
        <w:t>本文件规定了</w:t>
      </w:r>
      <w:r w:rsidR="0017070C">
        <w:rPr>
          <w:rFonts w:ascii="仿宋_GB2312" w:eastAsia="仿宋_GB2312" w:hAnsi="Times New Roman" w:cs="Times New Roman" w:hint="eastAsia"/>
          <w:sz w:val="24"/>
          <w:szCs w:val="24"/>
        </w:rPr>
        <w:t>木制玩具</w:t>
      </w:r>
      <w:r w:rsidRPr="00463A7D">
        <w:rPr>
          <w:rFonts w:ascii="仿宋_GB2312" w:eastAsia="仿宋_GB2312" w:hAnsi="Times New Roman" w:cs="Times New Roman" w:hint="eastAsia"/>
          <w:sz w:val="24"/>
          <w:szCs w:val="24"/>
        </w:rPr>
        <w:t>“领跑者”标准评价的</w:t>
      </w:r>
      <w:r w:rsidR="00DE7789" w:rsidRPr="00DE7789">
        <w:rPr>
          <w:rFonts w:ascii="仿宋_GB2312" w:eastAsia="仿宋_GB2312" w:hAnsi="Times New Roman" w:cs="Times New Roman" w:hint="eastAsia"/>
          <w:sz w:val="24"/>
          <w:szCs w:val="24"/>
        </w:rPr>
        <w:t>术语和定义、基本要求、评价指标及要求、评价方法及等级划分</w:t>
      </w:r>
      <w:r w:rsidRPr="00463A7D">
        <w:rPr>
          <w:rFonts w:ascii="仿宋_GB2312" w:eastAsia="仿宋_GB2312" w:hAnsi="Times New Roman" w:cs="Times New Roman" w:hint="eastAsia"/>
          <w:sz w:val="24"/>
          <w:szCs w:val="24"/>
        </w:rPr>
        <w:t>。各章节主要内容如下：</w:t>
      </w:r>
    </w:p>
    <w:p w14:paraId="5CB08908" w14:textId="77777777" w:rsid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69FDDEE0" w14:textId="425D9E17" w:rsidR="00463A7D" w:rsidRDefault="0017070C" w:rsidP="00463A7D">
      <w:pPr>
        <w:adjustRightInd/>
        <w:snapToGrid/>
        <w:spacing w:after="0" w:line="360" w:lineRule="auto"/>
        <w:ind w:firstLineChars="200" w:firstLine="480"/>
        <w:jc w:val="both"/>
        <w:rPr>
          <w:rFonts w:ascii="仿宋_GB2312" w:eastAsia="仿宋_GB2312" w:hAnsi="Times New Roman" w:cs="Times New Roman"/>
          <w:sz w:val="24"/>
          <w:szCs w:val="24"/>
        </w:rPr>
      </w:pPr>
      <w:r w:rsidRPr="0017070C">
        <w:rPr>
          <w:rFonts w:ascii="仿宋_GB2312" w:eastAsia="仿宋_GB2312" w:hAnsi="Times New Roman" w:cs="Times New Roman" w:hint="eastAsia"/>
          <w:sz w:val="24"/>
          <w:szCs w:val="24"/>
        </w:rPr>
        <w:t>GB 6675.1—2014</w:t>
      </w:r>
      <w:r w:rsidR="00682BAB">
        <w:rPr>
          <w:rFonts w:ascii="仿宋_GB2312" w:eastAsia="仿宋_GB2312" w:hAnsi="Times New Roman" w:cs="Times New Roman" w:hint="eastAsia"/>
          <w:sz w:val="24"/>
          <w:szCs w:val="24"/>
        </w:rPr>
        <w:t>、</w:t>
      </w:r>
      <w:r w:rsidR="00682BAB" w:rsidRPr="00682BAB">
        <w:rPr>
          <w:rFonts w:ascii="仿宋_GB2312" w:eastAsia="仿宋_GB2312" w:hAnsi="Times New Roman" w:cs="Times New Roman"/>
          <w:sz w:val="24"/>
          <w:szCs w:val="24"/>
        </w:rPr>
        <w:t>GB/T 41649</w:t>
      </w:r>
      <w:r w:rsidRPr="0017070C">
        <w:rPr>
          <w:rFonts w:ascii="仿宋_GB2312" w:eastAsia="仿宋_GB2312" w:hAnsi="Times New Roman" w:cs="Times New Roman" w:hint="eastAsia"/>
          <w:sz w:val="24"/>
          <w:szCs w:val="24"/>
        </w:rPr>
        <w:t>界定的以及下列术语和定义适用于本文件</w:t>
      </w:r>
      <w:r>
        <w:rPr>
          <w:rFonts w:ascii="仿宋_GB2312" w:eastAsia="仿宋_GB2312" w:hAnsi="Times New Roman" w:cs="Times New Roman" w:hint="eastAsia"/>
          <w:sz w:val="24"/>
          <w:szCs w:val="24"/>
        </w:rPr>
        <w:t>。</w:t>
      </w:r>
    </w:p>
    <w:p w14:paraId="60DC6939" w14:textId="307BCC79" w:rsid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基本要求</w:t>
      </w:r>
    </w:p>
    <w:p w14:paraId="6BDBA519" w14:textId="7F9435C6" w:rsidR="0017070C" w:rsidRP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w:t>
      </w:r>
      <w:r w:rsidRPr="0017070C">
        <w:rPr>
          <w:rFonts w:ascii="仿宋_GB2312" w:eastAsia="仿宋_GB2312" w:hAnsi="Times New Roman" w:cs="Times New Roman" w:hint="eastAsia"/>
          <w:sz w:val="24"/>
          <w:szCs w:val="24"/>
        </w:rPr>
        <w:t>近三年，生产企业无较大及以上环境、安全、质量事故</w:t>
      </w:r>
    </w:p>
    <w:p w14:paraId="64598E6A" w14:textId="645CFA94" w:rsidR="0017070C" w:rsidRP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00682BAB">
        <w:rPr>
          <w:rFonts w:ascii="仿宋_GB2312" w:eastAsia="仿宋_GB2312" w:hAnsi="Times New Roman" w:cs="Times New Roman" w:hint="eastAsia"/>
          <w:sz w:val="24"/>
          <w:szCs w:val="24"/>
        </w:rPr>
        <w:t>2</w:t>
      </w:r>
      <w:r w:rsidRPr="0017070C">
        <w:rPr>
          <w:rFonts w:ascii="仿宋_GB2312" w:eastAsia="仿宋_GB2312" w:hAnsi="Times New Roman" w:cs="Times New Roman" w:hint="eastAsia"/>
          <w:sz w:val="24"/>
          <w:szCs w:val="24"/>
        </w:rPr>
        <w:t>企业应未列入国家信用信息严重失信主体相关名录。</w:t>
      </w:r>
    </w:p>
    <w:p w14:paraId="5AB96CB8" w14:textId="299B9144" w:rsid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00682BAB">
        <w:rPr>
          <w:rFonts w:ascii="仿宋_GB2312" w:eastAsia="仿宋_GB2312" w:hAnsi="Times New Roman" w:cs="Times New Roman" w:hint="eastAsia"/>
          <w:sz w:val="24"/>
          <w:szCs w:val="24"/>
        </w:rPr>
        <w:t>3</w:t>
      </w:r>
      <w:r w:rsidRPr="0017070C">
        <w:rPr>
          <w:rFonts w:ascii="仿宋_GB2312" w:eastAsia="仿宋_GB2312" w:hAnsi="Times New Roman" w:cs="Times New Roman" w:hint="eastAsia"/>
          <w:sz w:val="24"/>
          <w:szCs w:val="24"/>
        </w:rPr>
        <w:t>企业可根据GB/T 19001、GB/T 24001、GB/T 45001建立并运行相应质量、环境和职业健康安全鼓励企业根据自身运营情况建立更高水平的相关管理体系。</w:t>
      </w:r>
    </w:p>
    <w:p w14:paraId="1CEA5FE6" w14:textId="7A705FB9" w:rsidR="00DE7789" w:rsidRDefault="00DE7789" w:rsidP="00DE7789">
      <w:pPr>
        <w:adjustRightInd/>
        <w:snapToGrid/>
        <w:spacing w:after="0" w:line="360" w:lineRule="auto"/>
        <w:ind w:firstLineChars="200" w:firstLine="480"/>
        <w:jc w:val="both"/>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 xml:space="preserve">  </w:t>
      </w:r>
      <w:r w:rsidRPr="00DE7789">
        <w:rPr>
          <w:rFonts w:ascii="仿宋_GB2312" w:eastAsia="仿宋_GB2312" w:hAnsi="Times New Roman" w:cs="Times New Roman" w:hint="eastAsia"/>
          <w:sz w:val="24"/>
          <w:szCs w:val="24"/>
        </w:rPr>
        <w:t>评价指标及要求</w:t>
      </w:r>
    </w:p>
    <w:p w14:paraId="45B3FCC9" w14:textId="1700E049" w:rsidR="0017070C" w:rsidRDefault="00DE7789"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sidR="0017070C">
        <w:rPr>
          <w:rFonts w:ascii="仿宋_GB2312" w:eastAsia="仿宋_GB2312" w:hAnsi="Times New Roman" w:cs="Times New Roman" w:hint="eastAsia"/>
          <w:sz w:val="24"/>
          <w:szCs w:val="24"/>
        </w:rPr>
        <w:t>评价指标分类</w:t>
      </w:r>
    </w:p>
    <w:p w14:paraId="1B7A7F20" w14:textId="511194FC" w:rsidR="0017070C" w:rsidRPr="0017070C" w:rsidRDefault="00DE7789"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17070C">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17070C">
        <w:rPr>
          <w:rFonts w:ascii="仿宋_GB2312" w:eastAsia="仿宋_GB2312" w:hAnsi="Times New Roman" w:cs="Times New Roman" w:hint="eastAsia"/>
          <w:sz w:val="24"/>
          <w:szCs w:val="24"/>
        </w:rPr>
        <w:t>.1</w:t>
      </w:r>
      <w:r w:rsidR="0017070C" w:rsidRPr="0017070C">
        <w:rPr>
          <w:rFonts w:ascii="仿宋_GB2312" w:eastAsia="仿宋_GB2312" w:hAnsi="Times New Roman" w:cs="Times New Roman" w:hint="eastAsia"/>
          <w:sz w:val="24"/>
          <w:szCs w:val="24"/>
        </w:rPr>
        <w:t>本文件中所包括的指标分为基础指标、核心指标和创新性指标。</w:t>
      </w:r>
    </w:p>
    <w:p w14:paraId="456BAA7E" w14:textId="2C4F7158" w:rsidR="0017070C" w:rsidRPr="0017070C" w:rsidRDefault="00DE7789"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Pr>
          <w:rFonts w:ascii="仿宋_GB2312" w:eastAsia="仿宋_GB2312" w:hAnsi="Times New Roman" w:cs="Times New Roman" w:hint="eastAsia"/>
          <w:sz w:val="24"/>
          <w:szCs w:val="24"/>
        </w:rPr>
        <w:t>2</w:t>
      </w:r>
      <w:r w:rsidR="0017070C" w:rsidRPr="0017070C">
        <w:rPr>
          <w:rFonts w:ascii="仿宋_GB2312" w:eastAsia="仿宋_GB2312" w:hAnsi="Times New Roman" w:cs="Times New Roman" w:hint="eastAsia"/>
          <w:sz w:val="24"/>
          <w:szCs w:val="24"/>
        </w:rPr>
        <w:t>基础指标包括机械和物理性能、易燃性能、电气性能、卫生要求、辐射性能。</w:t>
      </w:r>
    </w:p>
    <w:p w14:paraId="4E7882A2" w14:textId="4D2CF456" w:rsidR="0017070C" w:rsidRPr="0017070C" w:rsidRDefault="00DE7789"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Pr>
          <w:rFonts w:ascii="仿宋_GB2312" w:eastAsia="仿宋_GB2312" w:hAnsi="Times New Roman" w:cs="Times New Roman" w:hint="eastAsia"/>
          <w:sz w:val="24"/>
          <w:szCs w:val="24"/>
        </w:rPr>
        <w:t>3</w:t>
      </w:r>
      <w:r w:rsidR="00084925" w:rsidRPr="00084925">
        <w:rPr>
          <w:rFonts w:ascii="仿宋_GB2312" w:eastAsia="仿宋_GB2312" w:hAnsi="Times New Roman" w:cs="Times New Roman" w:hint="eastAsia"/>
          <w:sz w:val="24"/>
          <w:szCs w:val="24"/>
        </w:rPr>
        <w:t>核心指标可迁移元素的最大限量、涂层硬度、含水率</w:t>
      </w:r>
      <w:r w:rsidR="0017070C" w:rsidRPr="0017070C">
        <w:rPr>
          <w:rFonts w:ascii="仿宋_GB2312" w:eastAsia="仿宋_GB2312" w:hAnsi="Times New Roman" w:cs="Times New Roman" w:hint="eastAsia"/>
          <w:sz w:val="24"/>
          <w:szCs w:val="24"/>
        </w:rPr>
        <w:t>。</w:t>
      </w:r>
    </w:p>
    <w:p w14:paraId="0038590C" w14:textId="19A813E8" w:rsidR="0017070C" w:rsidRPr="0017070C" w:rsidRDefault="00DE7789"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w:t>
      </w:r>
      <w:r>
        <w:rPr>
          <w:rFonts w:ascii="仿宋_GB2312" w:eastAsia="仿宋_GB2312" w:hAnsi="Times New Roman" w:cs="Times New Roman" w:hint="eastAsia"/>
          <w:sz w:val="24"/>
          <w:szCs w:val="24"/>
        </w:rPr>
        <w:t>4</w:t>
      </w:r>
      <w:r w:rsidR="0017070C" w:rsidRPr="0017070C">
        <w:rPr>
          <w:rFonts w:ascii="仿宋_GB2312" w:eastAsia="仿宋_GB2312" w:hAnsi="Times New Roman" w:cs="Times New Roman" w:hint="eastAsia"/>
          <w:sz w:val="24"/>
          <w:szCs w:val="24"/>
        </w:rPr>
        <w:t>核心指标分为先进水平、平均水平和基准水平三个等级，先进水平相当于企业标准排行榜5星级水平；平均水平相当于企业标准排行榜中4星级水平；基准水平相当于企业标准排行榜中3星级水平。</w:t>
      </w:r>
    </w:p>
    <w:p w14:paraId="0CBCCCD2" w14:textId="76F2CC96" w:rsidR="0017070C" w:rsidRDefault="00DE7789"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3.1.</w:t>
      </w:r>
      <w:r>
        <w:rPr>
          <w:rFonts w:ascii="仿宋_GB2312" w:eastAsia="仿宋_GB2312" w:hAnsi="Times New Roman" w:cs="Times New Roman" w:hint="eastAsia"/>
          <w:sz w:val="24"/>
          <w:szCs w:val="24"/>
        </w:rPr>
        <w:t>5</w:t>
      </w:r>
      <w:r w:rsidR="0017070C" w:rsidRPr="0017070C">
        <w:rPr>
          <w:rFonts w:ascii="仿宋_GB2312" w:eastAsia="仿宋_GB2312" w:hAnsi="Times New Roman" w:cs="Times New Roman" w:hint="eastAsia"/>
          <w:sz w:val="24"/>
          <w:szCs w:val="24"/>
        </w:rPr>
        <w:t>创新性指标包括邻苯</w:t>
      </w:r>
      <w:proofErr w:type="gramStart"/>
      <w:r w:rsidR="0017070C" w:rsidRPr="0017070C">
        <w:rPr>
          <w:rFonts w:ascii="仿宋_GB2312" w:eastAsia="仿宋_GB2312" w:hAnsi="Times New Roman" w:cs="Times New Roman" w:hint="eastAsia"/>
          <w:sz w:val="24"/>
          <w:szCs w:val="24"/>
        </w:rPr>
        <w:t>二钾酸</w:t>
      </w:r>
      <w:proofErr w:type="gramEnd"/>
      <w:r w:rsidR="0017070C" w:rsidRPr="0017070C">
        <w:rPr>
          <w:rFonts w:ascii="仿宋_GB2312" w:eastAsia="仿宋_GB2312" w:hAnsi="Times New Roman" w:cs="Times New Roman" w:hint="eastAsia"/>
          <w:sz w:val="24"/>
          <w:szCs w:val="24"/>
        </w:rPr>
        <w:t>盐（增塑剂）限量、五氯苯酚及五氯苯酚盐(木材防腐剂)限量、富马酸二甲酯（生物杀灭剂）限量。鼓励根据条件成熟情况适时增加与产品性能和消费者关注的相关创新性指标。</w:t>
      </w:r>
    </w:p>
    <w:p w14:paraId="2ADCC8D1" w14:textId="77777777" w:rsid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2.3评价指标体系框架</w:t>
      </w:r>
    </w:p>
    <w:p w14:paraId="44D441AB" w14:textId="195F7525" w:rsid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加强质量分级与“领跑者”评价指标体系，木制玩具“领跑者”标准评价指标体系框架见表1。</w:t>
      </w:r>
    </w:p>
    <w:p w14:paraId="7539598E" w14:textId="47AA01E4" w:rsidR="0017070C" w:rsidRDefault="0017070C" w:rsidP="0017070C">
      <w:pPr>
        <w:pStyle w:val="af"/>
        <w:spacing w:before="156" w:after="156"/>
        <w:rPr>
          <w14:ligatures w14:val="none"/>
        </w:rPr>
      </w:pPr>
      <w:r w:rsidRPr="0017070C">
        <w:rPr>
          <w:rFonts w:hint="eastAsia"/>
          <w14:ligatures w14:val="none"/>
        </w:rPr>
        <w:t>表</w:t>
      </w:r>
      <w:r>
        <w:rPr>
          <w:rFonts w:hint="eastAsia"/>
          <w14:ligatures w14:val="none"/>
        </w:rPr>
        <w:t>1</w:t>
      </w:r>
      <w:r w:rsidRPr="0017070C">
        <w:rPr>
          <w:rFonts w:hint="eastAsia"/>
          <w14:ligatures w14:val="none"/>
        </w:rPr>
        <w:t xml:space="preserve"> 木制玩具体系框架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21"/>
        <w:gridCol w:w="854"/>
        <w:gridCol w:w="1112"/>
        <w:gridCol w:w="1222"/>
        <w:gridCol w:w="1223"/>
        <w:gridCol w:w="1223"/>
        <w:gridCol w:w="2071"/>
      </w:tblGrid>
      <w:tr w:rsidR="00084925" w14:paraId="4EBF1A70" w14:textId="77777777" w:rsidTr="00084925">
        <w:trPr>
          <w:trHeight w:val="567"/>
          <w:jc w:val="center"/>
        </w:trPr>
        <w:tc>
          <w:tcPr>
            <w:tcW w:w="221" w:type="pct"/>
            <w:vMerge w:val="restart"/>
            <w:tcBorders>
              <w:top w:val="single" w:sz="12" w:space="0" w:color="auto"/>
              <w:left w:val="single" w:sz="12" w:space="0" w:color="auto"/>
            </w:tcBorders>
            <w:vAlign w:val="center"/>
          </w:tcPr>
          <w:p w14:paraId="04DE636F" w14:textId="77777777" w:rsidR="00084925" w:rsidRDefault="00084925" w:rsidP="00C17E96">
            <w:pPr>
              <w:spacing w:line="560" w:lineRule="exact"/>
              <w:jc w:val="center"/>
              <w:rPr>
                <w:rFonts w:ascii="Times New Roman" w:eastAsia="黑体" w:hAnsi="Times New Roman"/>
                <w:sz w:val="18"/>
                <w:szCs w:val="18"/>
              </w:rPr>
            </w:pPr>
            <w:bookmarkStart w:id="4" w:name="_Hlk169597728"/>
            <w:r>
              <w:rPr>
                <w:rFonts w:ascii="Times New Roman" w:eastAsia="黑体" w:hAnsi="Times New Roman"/>
                <w:sz w:val="18"/>
                <w:szCs w:val="18"/>
              </w:rPr>
              <w:t>序号</w:t>
            </w:r>
          </w:p>
        </w:tc>
        <w:tc>
          <w:tcPr>
            <w:tcW w:w="249" w:type="pct"/>
            <w:vMerge w:val="restart"/>
            <w:tcBorders>
              <w:top w:val="single" w:sz="12" w:space="0" w:color="auto"/>
            </w:tcBorders>
            <w:shd w:val="clear" w:color="auto" w:fill="auto"/>
            <w:vAlign w:val="center"/>
          </w:tcPr>
          <w:p w14:paraId="629956B0"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指标类型</w:t>
            </w:r>
          </w:p>
        </w:tc>
        <w:tc>
          <w:tcPr>
            <w:tcW w:w="503" w:type="pct"/>
            <w:vMerge w:val="restart"/>
            <w:tcBorders>
              <w:top w:val="single" w:sz="12" w:space="0" w:color="auto"/>
            </w:tcBorders>
            <w:shd w:val="clear" w:color="auto" w:fill="auto"/>
            <w:vAlign w:val="center"/>
          </w:tcPr>
          <w:p w14:paraId="2F9F9513"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评价指标</w:t>
            </w:r>
          </w:p>
        </w:tc>
        <w:tc>
          <w:tcPr>
            <w:tcW w:w="654" w:type="pct"/>
            <w:vMerge w:val="restart"/>
            <w:tcBorders>
              <w:top w:val="single" w:sz="12" w:space="0" w:color="auto"/>
            </w:tcBorders>
            <w:shd w:val="clear" w:color="auto" w:fill="auto"/>
            <w:vAlign w:val="center"/>
          </w:tcPr>
          <w:p w14:paraId="1826CC67"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指标来源</w:t>
            </w:r>
          </w:p>
        </w:tc>
        <w:tc>
          <w:tcPr>
            <w:tcW w:w="2156" w:type="pct"/>
            <w:gridSpan w:val="3"/>
            <w:tcBorders>
              <w:top w:val="single" w:sz="12" w:space="0" w:color="auto"/>
            </w:tcBorders>
            <w:shd w:val="clear" w:color="auto" w:fill="auto"/>
            <w:vAlign w:val="center"/>
          </w:tcPr>
          <w:p w14:paraId="237C3E5F"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指标水平分级</w:t>
            </w:r>
          </w:p>
        </w:tc>
        <w:tc>
          <w:tcPr>
            <w:tcW w:w="1217" w:type="pct"/>
            <w:vMerge w:val="restart"/>
            <w:tcBorders>
              <w:top w:val="single" w:sz="12" w:space="0" w:color="auto"/>
              <w:right w:val="single" w:sz="12" w:space="0" w:color="auto"/>
            </w:tcBorders>
            <w:shd w:val="clear" w:color="auto" w:fill="auto"/>
            <w:vAlign w:val="center"/>
          </w:tcPr>
          <w:p w14:paraId="707189C4"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判定依据</w:t>
            </w:r>
            <w:r>
              <w:rPr>
                <w:rFonts w:ascii="Times New Roman" w:eastAsia="黑体" w:hAnsi="Times New Roman"/>
                <w:sz w:val="18"/>
                <w:szCs w:val="18"/>
              </w:rPr>
              <w:t>/</w:t>
            </w:r>
            <w:r>
              <w:rPr>
                <w:rFonts w:ascii="Times New Roman" w:eastAsia="黑体" w:hAnsi="Times New Roman"/>
                <w:sz w:val="18"/>
                <w:szCs w:val="18"/>
              </w:rPr>
              <w:t>方法</w:t>
            </w:r>
          </w:p>
        </w:tc>
      </w:tr>
      <w:tr w:rsidR="00084925" w14:paraId="3CC34ABC" w14:textId="77777777" w:rsidTr="00084925">
        <w:trPr>
          <w:trHeight w:val="567"/>
          <w:jc w:val="center"/>
        </w:trPr>
        <w:tc>
          <w:tcPr>
            <w:tcW w:w="221" w:type="pct"/>
            <w:vMerge/>
            <w:tcBorders>
              <w:left w:val="single" w:sz="12" w:space="0" w:color="auto"/>
              <w:bottom w:val="single" w:sz="12" w:space="0" w:color="auto"/>
            </w:tcBorders>
            <w:vAlign w:val="center"/>
          </w:tcPr>
          <w:p w14:paraId="14662CCE" w14:textId="77777777" w:rsidR="00084925" w:rsidRDefault="00084925" w:rsidP="00C17E96">
            <w:pPr>
              <w:spacing w:line="560" w:lineRule="exact"/>
              <w:rPr>
                <w:rFonts w:ascii="Times New Roman" w:eastAsia="黑体" w:hAnsi="Times New Roman"/>
                <w:sz w:val="18"/>
                <w:szCs w:val="18"/>
              </w:rPr>
            </w:pPr>
          </w:p>
        </w:tc>
        <w:tc>
          <w:tcPr>
            <w:tcW w:w="249" w:type="pct"/>
            <w:vMerge/>
            <w:tcBorders>
              <w:bottom w:val="single" w:sz="12" w:space="0" w:color="auto"/>
            </w:tcBorders>
            <w:vAlign w:val="center"/>
          </w:tcPr>
          <w:p w14:paraId="2ED1A6D1" w14:textId="77777777" w:rsidR="00084925" w:rsidRDefault="00084925" w:rsidP="00C17E96">
            <w:pPr>
              <w:spacing w:line="560" w:lineRule="exact"/>
              <w:rPr>
                <w:rFonts w:ascii="Times New Roman" w:eastAsia="黑体" w:hAnsi="Times New Roman"/>
                <w:sz w:val="18"/>
                <w:szCs w:val="18"/>
              </w:rPr>
            </w:pPr>
          </w:p>
        </w:tc>
        <w:tc>
          <w:tcPr>
            <w:tcW w:w="503" w:type="pct"/>
            <w:vMerge/>
            <w:tcBorders>
              <w:bottom w:val="single" w:sz="12" w:space="0" w:color="auto"/>
            </w:tcBorders>
            <w:vAlign w:val="center"/>
          </w:tcPr>
          <w:p w14:paraId="3BF95A72" w14:textId="77777777" w:rsidR="00084925" w:rsidRDefault="00084925" w:rsidP="00C17E96">
            <w:pPr>
              <w:spacing w:line="560" w:lineRule="exact"/>
              <w:jc w:val="center"/>
              <w:rPr>
                <w:rFonts w:ascii="Times New Roman" w:eastAsia="黑体" w:hAnsi="Times New Roman"/>
                <w:sz w:val="18"/>
                <w:szCs w:val="18"/>
              </w:rPr>
            </w:pPr>
          </w:p>
        </w:tc>
        <w:tc>
          <w:tcPr>
            <w:tcW w:w="654" w:type="pct"/>
            <w:vMerge/>
            <w:tcBorders>
              <w:bottom w:val="single" w:sz="12" w:space="0" w:color="auto"/>
            </w:tcBorders>
            <w:vAlign w:val="center"/>
          </w:tcPr>
          <w:p w14:paraId="680F9BEE" w14:textId="77777777" w:rsidR="00084925" w:rsidRDefault="00084925" w:rsidP="00C17E96">
            <w:pPr>
              <w:spacing w:line="560" w:lineRule="exact"/>
              <w:rPr>
                <w:rFonts w:ascii="Times New Roman" w:eastAsia="黑体" w:hAnsi="Times New Roman"/>
                <w:sz w:val="18"/>
                <w:szCs w:val="18"/>
              </w:rPr>
            </w:pPr>
          </w:p>
        </w:tc>
        <w:tc>
          <w:tcPr>
            <w:tcW w:w="719" w:type="pct"/>
            <w:tcBorders>
              <w:bottom w:val="single" w:sz="12" w:space="0" w:color="auto"/>
            </w:tcBorders>
            <w:shd w:val="clear" w:color="auto" w:fill="auto"/>
            <w:vAlign w:val="center"/>
          </w:tcPr>
          <w:p w14:paraId="39DDF578"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先进水平</w:t>
            </w:r>
          </w:p>
          <w:p w14:paraId="131EC7AD"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w:t>
            </w:r>
            <w:r>
              <w:rPr>
                <w:rFonts w:ascii="Times New Roman" w:eastAsia="黑体" w:hAnsi="Times New Roman"/>
                <w:sz w:val="18"/>
                <w:szCs w:val="18"/>
              </w:rPr>
              <w:t>5</w:t>
            </w:r>
            <w:r>
              <w:rPr>
                <w:rFonts w:ascii="Times New Roman" w:eastAsia="黑体" w:hAnsi="Times New Roman"/>
                <w:sz w:val="18"/>
                <w:szCs w:val="18"/>
              </w:rPr>
              <w:t>星级）</w:t>
            </w:r>
          </w:p>
        </w:tc>
        <w:tc>
          <w:tcPr>
            <w:tcW w:w="719" w:type="pct"/>
            <w:tcBorders>
              <w:bottom w:val="single" w:sz="12" w:space="0" w:color="auto"/>
            </w:tcBorders>
            <w:shd w:val="clear" w:color="auto" w:fill="auto"/>
            <w:vAlign w:val="center"/>
          </w:tcPr>
          <w:p w14:paraId="1EDEEB7A"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平均水平</w:t>
            </w:r>
          </w:p>
          <w:p w14:paraId="68FC6090"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w:t>
            </w:r>
            <w:r>
              <w:rPr>
                <w:rFonts w:ascii="Times New Roman" w:eastAsia="黑体" w:hAnsi="Times New Roman"/>
                <w:sz w:val="18"/>
                <w:szCs w:val="18"/>
              </w:rPr>
              <w:t>4</w:t>
            </w:r>
            <w:r>
              <w:rPr>
                <w:rFonts w:ascii="Times New Roman" w:eastAsia="黑体" w:hAnsi="Times New Roman"/>
                <w:sz w:val="18"/>
                <w:szCs w:val="18"/>
              </w:rPr>
              <w:t>星级）</w:t>
            </w:r>
          </w:p>
        </w:tc>
        <w:tc>
          <w:tcPr>
            <w:tcW w:w="719" w:type="pct"/>
            <w:tcBorders>
              <w:bottom w:val="single" w:sz="12" w:space="0" w:color="auto"/>
            </w:tcBorders>
            <w:shd w:val="clear" w:color="auto" w:fill="auto"/>
            <w:vAlign w:val="center"/>
          </w:tcPr>
          <w:p w14:paraId="35116BD3"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基准水平</w:t>
            </w:r>
          </w:p>
          <w:p w14:paraId="78624CA0" w14:textId="77777777" w:rsidR="00084925" w:rsidRDefault="00084925" w:rsidP="00C17E96">
            <w:pPr>
              <w:spacing w:line="560" w:lineRule="exact"/>
              <w:jc w:val="center"/>
              <w:rPr>
                <w:rFonts w:ascii="Times New Roman" w:eastAsia="黑体" w:hAnsi="Times New Roman"/>
                <w:sz w:val="18"/>
                <w:szCs w:val="18"/>
              </w:rPr>
            </w:pPr>
            <w:r>
              <w:rPr>
                <w:rFonts w:ascii="Times New Roman" w:eastAsia="黑体" w:hAnsi="Times New Roman"/>
                <w:sz w:val="18"/>
                <w:szCs w:val="18"/>
              </w:rPr>
              <w:t>（</w:t>
            </w:r>
            <w:r>
              <w:rPr>
                <w:rFonts w:ascii="Times New Roman" w:eastAsia="黑体" w:hAnsi="Times New Roman"/>
                <w:sz w:val="18"/>
                <w:szCs w:val="18"/>
              </w:rPr>
              <w:t>3</w:t>
            </w:r>
            <w:r>
              <w:rPr>
                <w:rFonts w:ascii="Times New Roman" w:eastAsia="黑体" w:hAnsi="Times New Roman"/>
                <w:sz w:val="18"/>
                <w:szCs w:val="18"/>
              </w:rPr>
              <w:t>星级）</w:t>
            </w:r>
          </w:p>
        </w:tc>
        <w:tc>
          <w:tcPr>
            <w:tcW w:w="1217" w:type="pct"/>
            <w:vMerge/>
            <w:tcBorders>
              <w:bottom w:val="single" w:sz="12" w:space="0" w:color="auto"/>
              <w:right w:val="single" w:sz="12" w:space="0" w:color="auto"/>
            </w:tcBorders>
            <w:shd w:val="clear" w:color="auto" w:fill="auto"/>
            <w:vAlign w:val="center"/>
          </w:tcPr>
          <w:p w14:paraId="6E228132" w14:textId="77777777" w:rsidR="00084925" w:rsidRDefault="00084925" w:rsidP="00C17E96">
            <w:pPr>
              <w:spacing w:line="560" w:lineRule="exact"/>
              <w:jc w:val="center"/>
              <w:rPr>
                <w:rFonts w:ascii="Times New Roman" w:eastAsia="黑体" w:hAnsi="Times New Roman"/>
                <w:sz w:val="18"/>
                <w:szCs w:val="18"/>
              </w:rPr>
            </w:pPr>
          </w:p>
        </w:tc>
      </w:tr>
      <w:tr w:rsidR="00084925" w14:paraId="1C324D20" w14:textId="77777777" w:rsidTr="00084925">
        <w:trPr>
          <w:trHeight w:val="567"/>
          <w:jc w:val="center"/>
        </w:trPr>
        <w:tc>
          <w:tcPr>
            <w:tcW w:w="221" w:type="pct"/>
            <w:tcBorders>
              <w:top w:val="single" w:sz="12" w:space="0" w:color="auto"/>
              <w:left w:val="single" w:sz="12" w:space="0" w:color="auto"/>
            </w:tcBorders>
            <w:vAlign w:val="center"/>
          </w:tcPr>
          <w:p w14:paraId="2B16D39B"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1</w:t>
            </w:r>
          </w:p>
        </w:tc>
        <w:tc>
          <w:tcPr>
            <w:tcW w:w="249" w:type="pct"/>
            <w:vMerge w:val="restart"/>
            <w:tcBorders>
              <w:top w:val="single" w:sz="12" w:space="0" w:color="auto"/>
            </w:tcBorders>
            <w:shd w:val="clear" w:color="auto" w:fill="auto"/>
            <w:vAlign w:val="center"/>
          </w:tcPr>
          <w:p w14:paraId="25C0BBD3"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基础指标</w:t>
            </w:r>
          </w:p>
        </w:tc>
        <w:tc>
          <w:tcPr>
            <w:tcW w:w="503" w:type="pct"/>
            <w:tcBorders>
              <w:top w:val="single" w:sz="12" w:space="0" w:color="auto"/>
            </w:tcBorders>
            <w:shd w:val="clear" w:color="auto" w:fill="auto"/>
            <w:vAlign w:val="center"/>
          </w:tcPr>
          <w:p w14:paraId="6DF2514F"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机械和物理性能</w:t>
            </w:r>
          </w:p>
        </w:tc>
        <w:tc>
          <w:tcPr>
            <w:tcW w:w="654" w:type="pct"/>
            <w:tcBorders>
              <w:top w:val="single" w:sz="12" w:space="0" w:color="auto"/>
            </w:tcBorders>
            <w:shd w:val="clear" w:color="auto" w:fill="auto"/>
            <w:vAlign w:val="center"/>
          </w:tcPr>
          <w:p w14:paraId="042644BB"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2156" w:type="pct"/>
            <w:gridSpan w:val="3"/>
            <w:tcBorders>
              <w:top w:val="single" w:sz="12" w:space="0" w:color="auto"/>
            </w:tcBorders>
            <w:shd w:val="clear" w:color="auto" w:fill="auto"/>
            <w:vAlign w:val="center"/>
          </w:tcPr>
          <w:p w14:paraId="4B276551"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符合</w:t>
            </w: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r>
              <w:rPr>
                <w:rFonts w:ascii="Times New Roman" w:hAnsi="Times New Roman" w:hint="eastAsia"/>
                <w:sz w:val="18"/>
                <w:szCs w:val="18"/>
              </w:rPr>
              <w:t>中</w:t>
            </w:r>
            <w:r>
              <w:rPr>
                <w:rFonts w:ascii="Times New Roman" w:hAnsi="Times New Roman" w:hint="eastAsia"/>
                <w:sz w:val="18"/>
                <w:szCs w:val="18"/>
              </w:rPr>
              <w:t>5.1</w:t>
            </w:r>
            <w:r>
              <w:rPr>
                <w:rFonts w:ascii="Times New Roman" w:hAnsi="Times New Roman" w:hint="eastAsia"/>
                <w:sz w:val="18"/>
                <w:szCs w:val="18"/>
              </w:rPr>
              <w:t>的要求</w:t>
            </w:r>
          </w:p>
        </w:tc>
        <w:tc>
          <w:tcPr>
            <w:tcW w:w="1217" w:type="pct"/>
            <w:tcBorders>
              <w:top w:val="single" w:sz="12" w:space="0" w:color="auto"/>
              <w:right w:val="single" w:sz="12" w:space="0" w:color="auto"/>
            </w:tcBorders>
            <w:shd w:val="clear" w:color="auto" w:fill="auto"/>
            <w:vAlign w:val="center"/>
          </w:tcPr>
          <w:p w14:paraId="4166B4C9"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6675.2</w:t>
            </w:r>
            <w:r>
              <w:rPr>
                <w:rFonts w:ascii="Times New Roman" w:hAnsi="Times New Roman" w:hint="eastAsia"/>
                <w:sz w:val="18"/>
                <w:szCs w:val="18"/>
              </w:rPr>
              <w:t>—</w:t>
            </w:r>
            <w:r>
              <w:rPr>
                <w:rFonts w:ascii="Times New Roman" w:hAnsi="Times New Roman" w:hint="eastAsia"/>
                <w:sz w:val="18"/>
                <w:szCs w:val="18"/>
              </w:rPr>
              <w:t>2014</w:t>
            </w:r>
          </w:p>
        </w:tc>
      </w:tr>
      <w:tr w:rsidR="00084925" w14:paraId="4BDDD59A" w14:textId="77777777" w:rsidTr="00084925">
        <w:trPr>
          <w:trHeight w:val="567"/>
          <w:jc w:val="center"/>
        </w:trPr>
        <w:tc>
          <w:tcPr>
            <w:tcW w:w="221" w:type="pct"/>
            <w:tcBorders>
              <w:left w:val="single" w:sz="12" w:space="0" w:color="auto"/>
            </w:tcBorders>
            <w:vAlign w:val="center"/>
          </w:tcPr>
          <w:p w14:paraId="50C590C0"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2</w:t>
            </w:r>
          </w:p>
        </w:tc>
        <w:tc>
          <w:tcPr>
            <w:tcW w:w="249" w:type="pct"/>
            <w:vMerge/>
            <w:shd w:val="clear" w:color="auto" w:fill="auto"/>
            <w:vAlign w:val="center"/>
          </w:tcPr>
          <w:p w14:paraId="464F0492" w14:textId="77777777" w:rsidR="00084925" w:rsidRDefault="00084925" w:rsidP="00C17E96">
            <w:pPr>
              <w:spacing w:line="560" w:lineRule="exact"/>
              <w:jc w:val="center"/>
              <w:rPr>
                <w:rFonts w:ascii="Times New Roman" w:hAnsi="Times New Roman"/>
                <w:sz w:val="18"/>
                <w:szCs w:val="18"/>
              </w:rPr>
            </w:pPr>
          </w:p>
        </w:tc>
        <w:tc>
          <w:tcPr>
            <w:tcW w:w="503" w:type="pct"/>
            <w:shd w:val="clear" w:color="auto" w:fill="auto"/>
            <w:vAlign w:val="center"/>
          </w:tcPr>
          <w:p w14:paraId="606F2150" w14:textId="77777777" w:rsidR="00084925" w:rsidRDefault="00084925" w:rsidP="00084925">
            <w:pPr>
              <w:pStyle w:val="af0"/>
              <w:numPr>
                <w:ilvl w:val="0"/>
                <w:numId w:val="4"/>
              </w:numPr>
              <w:tabs>
                <w:tab w:val="center" w:pos="4201"/>
                <w:tab w:val="right" w:leader="dot" w:pos="9298"/>
              </w:tabs>
              <w:spacing w:before="156" w:after="156" w:line="560" w:lineRule="exact"/>
              <w:ind w:firstLineChars="0"/>
              <w:jc w:val="center"/>
              <w:rPr>
                <w:rFonts w:ascii="Times New Roman"/>
                <w:sz w:val="18"/>
                <w:szCs w:val="18"/>
              </w:rPr>
            </w:pPr>
            <w:r>
              <w:rPr>
                <w:rFonts w:ascii="Times New Roman" w:hint="eastAsia"/>
                <w:sz w:val="18"/>
                <w:szCs w:val="18"/>
              </w:rPr>
              <w:t>易燃性能</w:t>
            </w:r>
          </w:p>
        </w:tc>
        <w:tc>
          <w:tcPr>
            <w:tcW w:w="654" w:type="pct"/>
            <w:shd w:val="clear" w:color="auto" w:fill="auto"/>
            <w:vAlign w:val="center"/>
          </w:tcPr>
          <w:p w14:paraId="225DF6D2"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2156" w:type="pct"/>
            <w:gridSpan w:val="3"/>
            <w:shd w:val="clear" w:color="auto" w:fill="auto"/>
            <w:vAlign w:val="center"/>
          </w:tcPr>
          <w:p w14:paraId="09D29A54" w14:textId="77777777" w:rsidR="00084925" w:rsidRDefault="00084925" w:rsidP="00C17E96">
            <w:pPr>
              <w:spacing w:line="560" w:lineRule="exact"/>
              <w:jc w:val="center"/>
              <w:rPr>
                <w:rFonts w:ascii="Times New Roman" w:hAnsi="Times New Roman"/>
                <w:sz w:val="18"/>
                <w:szCs w:val="18"/>
              </w:rPr>
            </w:pPr>
            <w:r w:rsidRPr="004F4D1D">
              <w:rPr>
                <w:rFonts w:ascii="Times New Roman" w:hAnsi="Times New Roman" w:hint="eastAsia"/>
                <w:sz w:val="18"/>
                <w:szCs w:val="18"/>
              </w:rPr>
              <w:t>符合</w:t>
            </w:r>
            <w:r w:rsidRPr="004F4D1D">
              <w:rPr>
                <w:rFonts w:ascii="Times New Roman" w:hAnsi="Times New Roman" w:hint="eastAsia"/>
                <w:sz w:val="18"/>
                <w:szCs w:val="18"/>
              </w:rPr>
              <w:t>GB 6675.1</w:t>
            </w:r>
            <w:r w:rsidRPr="004F4D1D">
              <w:rPr>
                <w:rFonts w:ascii="Times New Roman" w:hAnsi="Times New Roman" w:hint="eastAsia"/>
                <w:sz w:val="18"/>
                <w:szCs w:val="18"/>
              </w:rPr>
              <w:t>—</w:t>
            </w:r>
            <w:r w:rsidRPr="004F4D1D">
              <w:rPr>
                <w:rFonts w:ascii="Times New Roman" w:hAnsi="Times New Roman" w:hint="eastAsia"/>
                <w:sz w:val="18"/>
                <w:szCs w:val="18"/>
              </w:rPr>
              <w:t>2014</w:t>
            </w:r>
            <w:r w:rsidRPr="004F4D1D">
              <w:rPr>
                <w:rFonts w:ascii="Times New Roman" w:hAnsi="Times New Roman" w:hint="eastAsia"/>
                <w:sz w:val="18"/>
                <w:szCs w:val="18"/>
              </w:rPr>
              <w:t>中</w:t>
            </w:r>
            <w:r>
              <w:rPr>
                <w:rFonts w:ascii="Times New Roman" w:hAnsi="Times New Roman" w:hint="eastAsia"/>
                <w:sz w:val="18"/>
                <w:szCs w:val="18"/>
              </w:rPr>
              <w:t>第</w:t>
            </w:r>
            <w:r w:rsidRPr="004F4D1D">
              <w:rPr>
                <w:rFonts w:ascii="Times New Roman" w:hAnsi="Times New Roman" w:hint="eastAsia"/>
                <w:sz w:val="18"/>
                <w:szCs w:val="18"/>
              </w:rPr>
              <w:t>5.</w:t>
            </w:r>
            <w:r>
              <w:rPr>
                <w:rFonts w:ascii="Times New Roman" w:hAnsi="Times New Roman" w:hint="eastAsia"/>
                <w:sz w:val="18"/>
                <w:szCs w:val="18"/>
              </w:rPr>
              <w:t>2</w:t>
            </w:r>
            <w:r>
              <w:rPr>
                <w:rFonts w:ascii="Times New Roman" w:hAnsi="Times New Roman" w:hint="eastAsia"/>
                <w:sz w:val="18"/>
                <w:szCs w:val="18"/>
              </w:rPr>
              <w:t>条、</w:t>
            </w:r>
            <w:r>
              <w:rPr>
                <w:rFonts w:ascii="Times New Roman" w:hAnsi="Times New Roman" w:hint="eastAsia"/>
                <w:sz w:val="18"/>
                <w:szCs w:val="18"/>
              </w:rPr>
              <w:t>GB 6675.3</w:t>
            </w:r>
            <w:r>
              <w:rPr>
                <w:rFonts w:ascii="Times New Roman" w:hAnsi="Times New Roman" w:hint="eastAsia"/>
                <w:sz w:val="18"/>
                <w:szCs w:val="18"/>
              </w:rPr>
              <w:t>—</w:t>
            </w:r>
            <w:r>
              <w:rPr>
                <w:rFonts w:ascii="Times New Roman" w:hAnsi="Times New Roman" w:hint="eastAsia"/>
                <w:sz w:val="18"/>
                <w:szCs w:val="18"/>
              </w:rPr>
              <w:t>2014</w:t>
            </w:r>
            <w:r w:rsidRPr="004F4D1D">
              <w:rPr>
                <w:rFonts w:ascii="Times New Roman" w:hAnsi="Times New Roman" w:hint="eastAsia"/>
                <w:sz w:val="18"/>
                <w:szCs w:val="18"/>
              </w:rPr>
              <w:t>的要求</w:t>
            </w:r>
          </w:p>
        </w:tc>
        <w:tc>
          <w:tcPr>
            <w:tcW w:w="1217" w:type="pct"/>
            <w:tcBorders>
              <w:right w:val="single" w:sz="12" w:space="0" w:color="auto"/>
            </w:tcBorders>
            <w:shd w:val="clear" w:color="auto" w:fill="auto"/>
            <w:vAlign w:val="center"/>
          </w:tcPr>
          <w:p w14:paraId="6F77394B"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6675.3</w:t>
            </w:r>
            <w:r>
              <w:rPr>
                <w:rFonts w:ascii="Times New Roman" w:hAnsi="Times New Roman" w:hint="eastAsia"/>
                <w:sz w:val="18"/>
                <w:szCs w:val="18"/>
              </w:rPr>
              <w:t>—</w:t>
            </w:r>
            <w:r>
              <w:rPr>
                <w:rFonts w:ascii="Times New Roman" w:hAnsi="Times New Roman" w:hint="eastAsia"/>
                <w:sz w:val="18"/>
                <w:szCs w:val="18"/>
              </w:rPr>
              <w:t>2014</w:t>
            </w:r>
          </w:p>
        </w:tc>
      </w:tr>
      <w:tr w:rsidR="00084925" w14:paraId="490CFEC1" w14:textId="77777777" w:rsidTr="00084925">
        <w:trPr>
          <w:trHeight w:val="567"/>
          <w:jc w:val="center"/>
        </w:trPr>
        <w:tc>
          <w:tcPr>
            <w:tcW w:w="221" w:type="pct"/>
            <w:tcBorders>
              <w:left w:val="single" w:sz="12" w:space="0" w:color="auto"/>
            </w:tcBorders>
            <w:vAlign w:val="center"/>
          </w:tcPr>
          <w:p w14:paraId="18584964"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3</w:t>
            </w:r>
          </w:p>
        </w:tc>
        <w:tc>
          <w:tcPr>
            <w:tcW w:w="249" w:type="pct"/>
            <w:vMerge/>
            <w:shd w:val="clear" w:color="auto" w:fill="auto"/>
            <w:vAlign w:val="center"/>
          </w:tcPr>
          <w:p w14:paraId="0E045002" w14:textId="77777777" w:rsidR="00084925" w:rsidRDefault="00084925" w:rsidP="00C17E96">
            <w:pPr>
              <w:spacing w:line="560" w:lineRule="exact"/>
              <w:jc w:val="center"/>
              <w:rPr>
                <w:rFonts w:ascii="Times New Roman" w:hAnsi="Times New Roman"/>
                <w:sz w:val="18"/>
                <w:szCs w:val="18"/>
              </w:rPr>
            </w:pPr>
          </w:p>
        </w:tc>
        <w:tc>
          <w:tcPr>
            <w:tcW w:w="503" w:type="pct"/>
            <w:shd w:val="clear" w:color="auto" w:fill="auto"/>
            <w:vAlign w:val="center"/>
          </w:tcPr>
          <w:p w14:paraId="567E0590" w14:textId="77777777" w:rsidR="00084925" w:rsidRDefault="00084925" w:rsidP="00084925">
            <w:pPr>
              <w:pStyle w:val="af0"/>
              <w:numPr>
                <w:ilvl w:val="0"/>
                <w:numId w:val="4"/>
              </w:numPr>
              <w:tabs>
                <w:tab w:val="center" w:pos="4201"/>
                <w:tab w:val="right" w:leader="dot" w:pos="9298"/>
              </w:tabs>
              <w:spacing w:before="156" w:after="156" w:line="560" w:lineRule="exact"/>
              <w:ind w:firstLineChars="0"/>
              <w:jc w:val="center"/>
              <w:rPr>
                <w:rFonts w:ascii="Times New Roman"/>
                <w:sz w:val="18"/>
                <w:szCs w:val="18"/>
              </w:rPr>
            </w:pPr>
            <w:r>
              <w:rPr>
                <w:rFonts w:ascii="Times New Roman" w:hint="eastAsia"/>
                <w:sz w:val="18"/>
                <w:szCs w:val="18"/>
              </w:rPr>
              <w:t>电气性能</w:t>
            </w:r>
          </w:p>
        </w:tc>
        <w:tc>
          <w:tcPr>
            <w:tcW w:w="654" w:type="pct"/>
            <w:shd w:val="clear" w:color="auto" w:fill="auto"/>
            <w:vAlign w:val="center"/>
          </w:tcPr>
          <w:p w14:paraId="3BA83EED"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2156" w:type="pct"/>
            <w:gridSpan w:val="3"/>
            <w:shd w:val="clear" w:color="auto" w:fill="auto"/>
            <w:vAlign w:val="center"/>
          </w:tcPr>
          <w:p w14:paraId="4082ED3A" w14:textId="77777777" w:rsidR="00084925" w:rsidRDefault="00084925" w:rsidP="00C17E96">
            <w:pPr>
              <w:spacing w:line="560" w:lineRule="exact"/>
              <w:jc w:val="center"/>
              <w:rPr>
                <w:rFonts w:ascii="Times New Roman" w:hAnsi="Times New Roman"/>
                <w:sz w:val="18"/>
                <w:szCs w:val="18"/>
              </w:rPr>
            </w:pPr>
            <w:r w:rsidRPr="004F4D1D">
              <w:rPr>
                <w:rFonts w:ascii="Times New Roman" w:hAnsi="Times New Roman" w:hint="eastAsia"/>
                <w:sz w:val="18"/>
                <w:szCs w:val="18"/>
              </w:rPr>
              <w:t>符合</w:t>
            </w:r>
            <w:r w:rsidRPr="004F4D1D">
              <w:rPr>
                <w:rFonts w:ascii="Times New Roman" w:hAnsi="Times New Roman" w:hint="eastAsia"/>
                <w:sz w:val="18"/>
                <w:szCs w:val="18"/>
              </w:rPr>
              <w:t>GB 6675.1</w:t>
            </w:r>
            <w:r w:rsidRPr="004F4D1D">
              <w:rPr>
                <w:rFonts w:ascii="Times New Roman" w:hAnsi="Times New Roman" w:hint="eastAsia"/>
                <w:sz w:val="18"/>
                <w:szCs w:val="18"/>
              </w:rPr>
              <w:t>—</w:t>
            </w:r>
            <w:r w:rsidRPr="004F4D1D">
              <w:rPr>
                <w:rFonts w:ascii="Times New Roman" w:hAnsi="Times New Roman" w:hint="eastAsia"/>
                <w:sz w:val="18"/>
                <w:szCs w:val="18"/>
              </w:rPr>
              <w:t>2014</w:t>
            </w:r>
            <w:r w:rsidRPr="004F4D1D">
              <w:rPr>
                <w:rFonts w:ascii="Times New Roman" w:hAnsi="Times New Roman" w:hint="eastAsia"/>
                <w:sz w:val="18"/>
                <w:szCs w:val="18"/>
              </w:rPr>
              <w:t>中</w:t>
            </w:r>
            <w:r>
              <w:rPr>
                <w:rFonts w:ascii="Times New Roman" w:hAnsi="Times New Roman" w:hint="eastAsia"/>
                <w:sz w:val="18"/>
                <w:szCs w:val="18"/>
              </w:rPr>
              <w:t>第</w:t>
            </w:r>
            <w:r w:rsidRPr="004F4D1D">
              <w:rPr>
                <w:rFonts w:ascii="Times New Roman" w:hAnsi="Times New Roman" w:hint="eastAsia"/>
                <w:sz w:val="18"/>
                <w:szCs w:val="18"/>
              </w:rPr>
              <w:t>5.</w:t>
            </w:r>
            <w:r>
              <w:rPr>
                <w:rFonts w:ascii="Times New Roman" w:hAnsi="Times New Roman" w:hint="eastAsia"/>
                <w:sz w:val="18"/>
                <w:szCs w:val="18"/>
              </w:rPr>
              <w:t>4</w:t>
            </w:r>
            <w:r>
              <w:rPr>
                <w:rFonts w:ascii="Times New Roman" w:hAnsi="Times New Roman" w:hint="eastAsia"/>
                <w:sz w:val="18"/>
                <w:szCs w:val="18"/>
              </w:rPr>
              <w:t>条、</w:t>
            </w:r>
            <w:r>
              <w:rPr>
                <w:rFonts w:ascii="Times New Roman" w:hAnsi="Times New Roman" w:hint="eastAsia"/>
                <w:sz w:val="18"/>
                <w:szCs w:val="18"/>
              </w:rPr>
              <w:t>GB 19865</w:t>
            </w:r>
            <w:r>
              <w:rPr>
                <w:rFonts w:ascii="Times New Roman" w:hAnsi="Times New Roman" w:hint="eastAsia"/>
                <w:sz w:val="18"/>
                <w:szCs w:val="18"/>
              </w:rPr>
              <w:t>—</w:t>
            </w:r>
            <w:r>
              <w:rPr>
                <w:rFonts w:ascii="Times New Roman" w:hAnsi="Times New Roman" w:hint="eastAsia"/>
                <w:sz w:val="18"/>
                <w:szCs w:val="18"/>
              </w:rPr>
              <w:t>2005</w:t>
            </w:r>
            <w:r w:rsidRPr="004F4D1D">
              <w:rPr>
                <w:rFonts w:ascii="Times New Roman" w:hAnsi="Times New Roman" w:hint="eastAsia"/>
                <w:sz w:val="18"/>
                <w:szCs w:val="18"/>
              </w:rPr>
              <w:t>的要求</w:t>
            </w:r>
          </w:p>
        </w:tc>
        <w:tc>
          <w:tcPr>
            <w:tcW w:w="1217" w:type="pct"/>
            <w:tcBorders>
              <w:right w:val="single" w:sz="12" w:space="0" w:color="auto"/>
            </w:tcBorders>
            <w:shd w:val="clear" w:color="auto" w:fill="auto"/>
            <w:vAlign w:val="center"/>
          </w:tcPr>
          <w:p w14:paraId="79D3AFD2" w14:textId="77777777" w:rsidR="00084925" w:rsidRDefault="00084925" w:rsidP="00C17E96">
            <w:pPr>
              <w:spacing w:line="560" w:lineRule="exact"/>
              <w:jc w:val="center"/>
              <w:rPr>
                <w:rFonts w:ascii="Times New Roman" w:hAnsi="Times New Roman"/>
                <w:sz w:val="18"/>
                <w:szCs w:val="18"/>
              </w:rPr>
            </w:pPr>
            <w:bookmarkStart w:id="5" w:name="_Hlk164347217"/>
            <w:r>
              <w:rPr>
                <w:rFonts w:ascii="Times New Roman" w:hAnsi="Times New Roman" w:hint="eastAsia"/>
                <w:sz w:val="18"/>
                <w:szCs w:val="18"/>
              </w:rPr>
              <w:t>GB 19865</w:t>
            </w:r>
            <w:bookmarkEnd w:id="5"/>
            <w:r>
              <w:rPr>
                <w:rFonts w:ascii="Times New Roman" w:hAnsi="Times New Roman" w:hint="eastAsia"/>
                <w:sz w:val="18"/>
                <w:szCs w:val="18"/>
              </w:rPr>
              <w:t>—</w:t>
            </w:r>
            <w:r>
              <w:rPr>
                <w:rFonts w:ascii="Times New Roman" w:hAnsi="Times New Roman" w:hint="eastAsia"/>
                <w:sz w:val="18"/>
                <w:szCs w:val="18"/>
              </w:rPr>
              <w:t>2005</w:t>
            </w:r>
          </w:p>
        </w:tc>
      </w:tr>
      <w:tr w:rsidR="00084925" w14:paraId="6E39EBF7" w14:textId="77777777" w:rsidTr="00084925">
        <w:trPr>
          <w:trHeight w:val="567"/>
          <w:jc w:val="center"/>
        </w:trPr>
        <w:tc>
          <w:tcPr>
            <w:tcW w:w="221" w:type="pct"/>
            <w:tcBorders>
              <w:left w:val="single" w:sz="12" w:space="0" w:color="auto"/>
            </w:tcBorders>
            <w:vAlign w:val="center"/>
          </w:tcPr>
          <w:p w14:paraId="12960882"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4</w:t>
            </w:r>
          </w:p>
        </w:tc>
        <w:tc>
          <w:tcPr>
            <w:tcW w:w="249" w:type="pct"/>
            <w:vMerge/>
            <w:shd w:val="clear" w:color="auto" w:fill="auto"/>
            <w:vAlign w:val="center"/>
          </w:tcPr>
          <w:p w14:paraId="20D12744" w14:textId="77777777" w:rsidR="00084925" w:rsidRDefault="00084925" w:rsidP="00C17E96">
            <w:pPr>
              <w:spacing w:line="560" w:lineRule="exact"/>
              <w:jc w:val="center"/>
              <w:rPr>
                <w:rFonts w:ascii="Times New Roman" w:hAnsi="Times New Roman"/>
                <w:sz w:val="18"/>
                <w:szCs w:val="18"/>
              </w:rPr>
            </w:pPr>
          </w:p>
        </w:tc>
        <w:tc>
          <w:tcPr>
            <w:tcW w:w="503" w:type="pct"/>
            <w:shd w:val="clear" w:color="auto" w:fill="auto"/>
            <w:vAlign w:val="center"/>
          </w:tcPr>
          <w:p w14:paraId="12DC0C7C" w14:textId="77777777" w:rsidR="00084925" w:rsidRDefault="00084925" w:rsidP="00084925">
            <w:pPr>
              <w:pStyle w:val="af0"/>
              <w:numPr>
                <w:ilvl w:val="0"/>
                <w:numId w:val="4"/>
              </w:numPr>
              <w:tabs>
                <w:tab w:val="center" w:pos="4201"/>
                <w:tab w:val="right" w:leader="dot" w:pos="9298"/>
              </w:tabs>
              <w:spacing w:before="156" w:after="156" w:line="560" w:lineRule="exact"/>
              <w:ind w:firstLineChars="0"/>
              <w:jc w:val="center"/>
              <w:rPr>
                <w:rFonts w:ascii="Times New Roman"/>
                <w:sz w:val="18"/>
                <w:szCs w:val="18"/>
              </w:rPr>
            </w:pPr>
            <w:r>
              <w:rPr>
                <w:rFonts w:ascii="Times New Roman" w:hint="eastAsia"/>
                <w:sz w:val="18"/>
                <w:szCs w:val="18"/>
              </w:rPr>
              <w:t>卫生要求</w:t>
            </w:r>
          </w:p>
        </w:tc>
        <w:tc>
          <w:tcPr>
            <w:tcW w:w="654" w:type="pct"/>
            <w:shd w:val="clear" w:color="auto" w:fill="auto"/>
            <w:vAlign w:val="center"/>
          </w:tcPr>
          <w:p w14:paraId="1ED7AE0A"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2156" w:type="pct"/>
            <w:gridSpan w:val="3"/>
            <w:shd w:val="clear" w:color="auto" w:fill="auto"/>
            <w:vAlign w:val="center"/>
          </w:tcPr>
          <w:p w14:paraId="533C89ED" w14:textId="77777777" w:rsidR="00084925" w:rsidRDefault="00084925" w:rsidP="00C17E96">
            <w:pPr>
              <w:spacing w:line="560" w:lineRule="exact"/>
              <w:jc w:val="center"/>
              <w:rPr>
                <w:rFonts w:ascii="Times New Roman" w:hAnsi="Times New Roman"/>
                <w:sz w:val="18"/>
                <w:szCs w:val="18"/>
              </w:rPr>
            </w:pPr>
            <w:r w:rsidRPr="004F4D1D">
              <w:rPr>
                <w:rFonts w:ascii="Times New Roman" w:hAnsi="Times New Roman" w:hint="eastAsia"/>
                <w:sz w:val="18"/>
                <w:szCs w:val="18"/>
              </w:rPr>
              <w:t>符合</w:t>
            </w:r>
            <w:r w:rsidRPr="004F4D1D">
              <w:rPr>
                <w:rFonts w:ascii="Times New Roman" w:hAnsi="Times New Roman" w:hint="eastAsia"/>
                <w:sz w:val="18"/>
                <w:szCs w:val="18"/>
              </w:rPr>
              <w:t>GB 6675.1</w:t>
            </w:r>
            <w:r w:rsidRPr="004F4D1D">
              <w:rPr>
                <w:rFonts w:ascii="Times New Roman" w:hAnsi="Times New Roman" w:hint="eastAsia"/>
                <w:sz w:val="18"/>
                <w:szCs w:val="18"/>
              </w:rPr>
              <w:t>—</w:t>
            </w:r>
            <w:r w:rsidRPr="004F4D1D">
              <w:rPr>
                <w:rFonts w:ascii="Times New Roman" w:hAnsi="Times New Roman" w:hint="eastAsia"/>
                <w:sz w:val="18"/>
                <w:szCs w:val="18"/>
              </w:rPr>
              <w:t>2014</w:t>
            </w:r>
            <w:r w:rsidRPr="004F4D1D">
              <w:rPr>
                <w:rFonts w:ascii="Times New Roman" w:hAnsi="Times New Roman" w:hint="eastAsia"/>
                <w:sz w:val="18"/>
                <w:szCs w:val="18"/>
              </w:rPr>
              <w:t>中</w:t>
            </w:r>
            <w:r>
              <w:rPr>
                <w:rFonts w:ascii="Times New Roman" w:hAnsi="Times New Roman" w:hint="eastAsia"/>
                <w:sz w:val="18"/>
                <w:szCs w:val="18"/>
              </w:rPr>
              <w:t>第</w:t>
            </w:r>
            <w:r w:rsidRPr="004F4D1D">
              <w:rPr>
                <w:rFonts w:ascii="Times New Roman" w:hAnsi="Times New Roman" w:hint="eastAsia"/>
                <w:sz w:val="18"/>
                <w:szCs w:val="18"/>
              </w:rPr>
              <w:t>5.</w:t>
            </w:r>
            <w:r>
              <w:rPr>
                <w:rFonts w:ascii="Times New Roman" w:hAnsi="Times New Roman" w:hint="eastAsia"/>
                <w:sz w:val="18"/>
                <w:szCs w:val="18"/>
              </w:rPr>
              <w:t>5</w:t>
            </w:r>
            <w:r>
              <w:rPr>
                <w:rFonts w:ascii="Times New Roman" w:hAnsi="Times New Roman" w:hint="eastAsia"/>
                <w:sz w:val="18"/>
                <w:szCs w:val="18"/>
              </w:rPr>
              <w:t>条</w:t>
            </w:r>
            <w:r w:rsidRPr="004F4D1D">
              <w:rPr>
                <w:rFonts w:ascii="Times New Roman" w:hAnsi="Times New Roman" w:hint="eastAsia"/>
                <w:sz w:val="18"/>
                <w:szCs w:val="18"/>
              </w:rPr>
              <w:t>的要求</w:t>
            </w:r>
          </w:p>
        </w:tc>
        <w:tc>
          <w:tcPr>
            <w:tcW w:w="1217" w:type="pct"/>
            <w:tcBorders>
              <w:right w:val="single" w:sz="12" w:space="0" w:color="auto"/>
            </w:tcBorders>
            <w:shd w:val="clear" w:color="auto" w:fill="auto"/>
            <w:vAlign w:val="center"/>
          </w:tcPr>
          <w:p w14:paraId="54843033"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6675.2</w:t>
            </w:r>
            <w:r>
              <w:rPr>
                <w:rFonts w:ascii="Times New Roman" w:hAnsi="Times New Roman" w:hint="eastAsia"/>
                <w:sz w:val="18"/>
                <w:szCs w:val="18"/>
              </w:rPr>
              <w:t>—</w:t>
            </w:r>
            <w:r>
              <w:rPr>
                <w:rFonts w:ascii="Times New Roman" w:hAnsi="Times New Roman" w:hint="eastAsia"/>
                <w:sz w:val="18"/>
                <w:szCs w:val="18"/>
              </w:rPr>
              <w:t>2014</w:t>
            </w:r>
            <w:r>
              <w:rPr>
                <w:rFonts w:ascii="Times New Roman" w:hAnsi="Times New Roman" w:hint="eastAsia"/>
                <w:sz w:val="18"/>
                <w:szCs w:val="18"/>
              </w:rPr>
              <w:t>中第</w:t>
            </w:r>
            <w:r>
              <w:rPr>
                <w:rFonts w:ascii="Times New Roman" w:hAnsi="Times New Roman" w:hint="eastAsia"/>
                <w:sz w:val="18"/>
                <w:szCs w:val="18"/>
              </w:rPr>
              <w:t>5.23</w:t>
            </w:r>
            <w:r>
              <w:rPr>
                <w:rFonts w:ascii="Times New Roman" w:hAnsi="Times New Roman" w:hint="eastAsia"/>
                <w:sz w:val="18"/>
                <w:szCs w:val="18"/>
              </w:rPr>
              <w:t>条</w:t>
            </w:r>
          </w:p>
        </w:tc>
      </w:tr>
      <w:tr w:rsidR="00084925" w14:paraId="4CD3C452" w14:textId="77777777" w:rsidTr="00084925">
        <w:trPr>
          <w:trHeight w:val="567"/>
          <w:jc w:val="center"/>
        </w:trPr>
        <w:tc>
          <w:tcPr>
            <w:tcW w:w="221" w:type="pct"/>
            <w:tcBorders>
              <w:left w:val="single" w:sz="12" w:space="0" w:color="auto"/>
            </w:tcBorders>
            <w:vAlign w:val="center"/>
          </w:tcPr>
          <w:p w14:paraId="3F1E61F6"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5</w:t>
            </w:r>
          </w:p>
        </w:tc>
        <w:tc>
          <w:tcPr>
            <w:tcW w:w="249" w:type="pct"/>
            <w:vMerge/>
            <w:shd w:val="clear" w:color="auto" w:fill="auto"/>
            <w:vAlign w:val="center"/>
          </w:tcPr>
          <w:p w14:paraId="0BA0DE55" w14:textId="77777777" w:rsidR="00084925" w:rsidRDefault="00084925" w:rsidP="00C17E96">
            <w:pPr>
              <w:spacing w:line="560" w:lineRule="exact"/>
              <w:jc w:val="center"/>
              <w:rPr>
                <w:rFonts w:ascii="Times New Roman" w:hAnsi="Times New Roman"/>
                <w:sz w:val="18"/>
                <w:szCs w:val="18"/>
              </w:rPr>
            </w:pPr>
          </w:p>
        </w:tc>
        <w:tc>
          <w:tcPr>
            <w:tcW w:w="503" w:type="pct"/>
            <w:shd w:val="clear" w:color="auto" w:fill="auto"/>
            <w:vAlign w:val="center"/>
          </w:tcPr>
          <w:p w14:paraId="357E0CB1" w14:textId="77777777" w:rsidR="00084925" w:rsidRDefault="00084925" w:rsidP="00084925">
            <w:pPr>
              <w:pStyle w:val="af0"/>
              <w:numPr>
                <w:ilvl w:val="0"/>
                <w:numId w:val="4"/>
              </w:numPr>
              <w:tabs>
                <w:tab w:val="center" w:pos="4201"/>
                <w:tab w:val="right" w:leader="dot" w:pos="9298"/>
              </w:tabs>
              <w:spacing w:before="156" w:after="156" w:line="560" w:lineRule="exact"/>
              <w:ind w:firstLineChars="0"/>
              <w:jc w:val="center"/>
              <w:rPr>
                <w:rFonts w:ascii="Times New Roman"/>
                <w:sz w:val="18"/>
                <w:szCs w:val="18"/>
              </w:rPr>
            </w:pPr>
            <w:r>
              <w:rPr>
                <w:rFonts w:ascii="Times New Roman" w:hint="eastAsia"/>
                <w:sz w:val="18"/>
                <w:szCs w:val="18"/>
              </w:rPr>
              <w:t>辐射性能</w:t>
            </w:r>
          </w:p>
        </w:tc>
        <w:tc>
          <w:tcPr>
            <w:tcW w:w="654" w:type="pct"/>
            <w:shd w:val="clear" w:color="auto" w:fill="auto"/>
            <w:vAlign w:val="center"/>
          </w:tcPr>
          <w:p w14:paraId="3FB9A36A"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2156" w:type="pct"/>
            <w:gridSpan w:val="3"/>
            <w:shd w:val="clear" w:color="auto" w:fill="auto"/>
            <w:vAlign w:val="center"/>
          </w:tcPr>
          <w:p w14:paraId="4FBEED6D" w14:textId="77777777" w:rsidR="00084925" w:rsidRDefault="00084925" w:rsidP="00C17E96">
            <w:pPr>
              <w:spacing w:line="560" w:lineRule="exact"/>
              <w:jc w:val="distribute"/>
              <w:rPr>
                <w:rFonts w:ascii="Times New Roman" w:hAnsi="Times New Roman"/>
                <w:sz w:val="18"/>
                <w:szCs w:val="18"/>
              </w:rPr>
            </w:pPr>
            <w:r w:rsidRPr="004F4D1D">
              <w:rPr>
                <w:rFonts w:ascii="Times New Roman" w:hAnsi="Times New Roman" w:hint="eastAsia"/>
                <w:sz w:val="18"/>
                <w:szCs w:val="18"/>
              </w:rPr>
              <w:t>符合</w:t>
            </w:r>
            <w:r w:rsidRPr="004F4D1D">
              <w:rPr>
                <w:rFonts w:ascii="Times New Roman" w:hAnsi="Times New Roman" w:hint="eastAsia"/>
                <w:sz w:val="18"/>
                <w:szCs w:val="18"/>
              </w:rPr>
              <w:t>GB 6675.1</w:t>
            </w:r>
            <w:r w:rsidRPr="004F4D1D">
              <w:rPr>
                <w:rFonts w:ascii="Times New Roman" w:hAnsi="Times New Roman" w:hint="eastAsia"/>
                <w:sz w:val="18"/>
                <w:szCs w:val="18"/>
              </w:rPr>
              <w:t>—</w:t>
            </w:r>
            <w:r w:rsidRPr="004F4D1D">
              <w:rPr>
                <w:rFonts w:ascii="Times New Roman" w:hAnsi="Times New Roman" w:hint="eastAsia"/>
                <w:sz w:val="18"/>
                <w:szCs w:val="18"/>
              </w:rPr>
              <w:t>2014</w:t>
            </w:r>
            <w:r w:rsidRPr="004F4D1D">
              <w:rPr>
                <w:rFonts w:ascii="Times New Roman" w:hAnsi="Times New Roman" w:hint="eastAsia"/>
                <w:sz w:val="18"/>
                <w:szCs w:val="18"/>
              </w:rPr>
              <w:t>中</w:t>
            </w:r>
            <w:r>
              <w:rPr>
                <w:rFonts w:ascii="Times New Roman" w:hAnsi="Times New Roman" w:hint="eastAsia"/>
                <w:sz w:val="18"/>
                <w:szCs w:val="18"/>
              </w:rPr>
              <w:t>第</w:t>
            </w:r>
            <w:r w:rsidRPr="004F4D1D">
              <w:rPr>
                <w:rFonts w:ascii="Times New Roman" w:hAnsi="Times New Roman" w:hint="eastAsia"/>
                <w:sz w:val="18"/>
                <w:szCs w:val="18"/>
              </w:rPr>
              <w:t>5.</w:t>
            </w:r>
            <w:r>
              <w:rPr>
                <w:rFonts w:ascii="Times New Roman" w:hAnsi="Times New Roman" w:hint="eastAsia"/>
                <w:sz w:val="18"/>
                <w:szCs w:val="18"/>
              </w:rPr>
              <w:t>6</w:t>
            </w:r>
            <w:r>
              <w:rPr>
                <w:rFonts w:ascii="Times New Roman" w:hAnsi="Times New Roman" w:hint="eastAsia"/>
                <w:sz w:val="18"/>
                <w:szCs w:val="18"/>
              </w:rPr>
              <w:t>条、</w:t>
            </w:r>
            <w:r>
              <w:rPr>
                <w:rFonts w:ascii="Times New Roman" w:hAnsi="Times New Roman" w:hint="eastAsia"/>
                <w:sz w:val="18"/>
                <w:szCs w:val="18"/>
              </w:rPr>
              <w:t>GB 19865</w:t>
            </w:r>
            <w:r>
              <w:rPr>
                <w:rFonts w:ascii="Times New Roman" w:hAnsi="Times New Roman" w:hint="eastAsia"/>
                <w:sz w:val="18"/>
                <w:szCs w:val="18"/>
              </w:rPr>
              <w:t>—</w:t>
            </w:r>
            <w:r>
              <w:rPr>
                <w:rFonts w:ascii="Times New Roman" w:hAnsi="Times New Roman" w:hint="eastAsia"/>
                <w:sz w:val="18"/>
                <w:szCs w:val="18"/>
              </w:rPr>
              <w:t>2005</w:t>
            </w:r>
          </w:p>
          <w:p w14:paraId="6AA75938" w14:textId="77777777" w:rsidR="00084925" w:rsidRDefault="00084925" w:rsidP="00C17E96">
            <w:pPr>
              <w:spacing w:line="560" w:lineRule="exact"/>
              <w:rPr>
                <w:rFonts w:ascii="Times New Roman" w:hAnsi="Times New Roman"/>
                <w:sz w:val="18"/>
                <w:szCs w:val="18"/>
              </w:rPr>
            </w:pPr>
            <w:r w:rsidRPr="004F4D1D">
              <w:rPr>
                <w:rFonts w:ascii="Times New Roman" w:hAnsi="Times New Roman" w:hint="eastAsia"/>
                <w:sz w:val="18"/>
                <w:szCs w:val="18"/>
              </w:rPr>
              <w:lastRenderedPageBreak/>
              <w:t>的要求</w:t>
            </w:r>
          </w:p>
        </w:tc>
        <w:tc>
          <w:tcPr>
            <w:tcW w:w="1217" w:type="pct"/>
            <w:tcBorders>
              <w:right w:val="single" w:sz="12" w:space="0" w:color="auto"/>
            </w:tcBorders>
            <w:shd w:val="clear" w:color="auto" w:fill="auto"/>
            <w:vAlign w:val="center"/>
          </w:tcPr>
          <w:p w14:paraId="3116A564" w14:textId="77777777" w:rsidR="00084925" w:rsidRPr="006E092B" w:rsidRDefault="00084925" w:rsidP="00C17E96">
            <w:pPr>
              <w:spacing w:line="560" w:lineRule="exact"/>
              <w:jc w:val="center"/>
              <w:rPr>
                <w:rFonts w:ascii="Times New Roman" w:hAnsi="Times New Roman"/>
                <w:sz w:val="18"/>
                <w:szCs w:val="18"/>
              </w:rPr>
            </w:pPr>
            <w:r w:rsidRPr="006E092B">
              <w:rPr>
                <w:rFonts w:ascii="Times New Roman" w:hAnsi="Times New Roman"/>
                <w:sz w:val="18"/>
                <w:szCs w:val="18"/>
              </w:rPr>
              <w:lastRenderedPageBreak/>
              <w:t>GB 19865</w:t>
            </w:r>
            <w:r>
              <w:rPr>
                <w:rFonts w:ascii="Times New Roman" w:hAnsi="Times New Roman" w:hint="eastAsia"/>
                <w:sz w:val="18"/>
                <w:szCs w:val="18"/>
              </w:rPr>
              <w:t>—</w:t>
            </w:r>
            <w:r>
              <w:rPr>
                <w:rFonts w:ascii="Times New Roman" w:hAnsi="Times New Roman" w:hint="eastAsia"/>
                <w:sz w:val="18"/>
                <w:szCs w:val="18"/>
              </w:rPr>
              <w:t>2005</w:t>
            </w:r>
            <w:r>
              <w:rPr>
                <w:rFonts w:ascii="Times New Roman" w:hAnsi="Times New Roman" w:hint="eastAsia"/>
                <w:sz w:val="18"/>
                <w:szCs w:val="18"/>
              </w:rPr>
              <w:t>中第</w:t>
            </w:r>
            <w:r>
              <w:rPr>
                <w:rFonts w:ascii="Times New Roman" w:hAnsi="Times New Roman" w:hint="eastAsia"/>
                <w:sz w:val="18"/>
                <w:szCs w:val="18"/>
              </w:rPr>
              <w:t>20</w:t>
            </w:r>
            <w:r>
              <w:rPr>
                <w:rFonts w:ascii="Times New Roman" w:hAnsi="Times New Roman" w:hint="eastAsia"/>
                <w:sz w:val="18"/>
                <w:szCs w:val="18"/>
              </w:rPr>
              <w:t>条</w:t>
            </w:r>
          </w:p>
        </w:tc>
      </w:tr>
      <w:tr w:rsidR="00084925" w14:paraId="04240549" w14:textId="77777777" w:rsidTr="00084925">
        <w:trPr>
          <w:trHeight w:val="567"/>
          <w:jc w:val="center"/>
        </w:trPr>
        <w:tc>
          <w:tcPr>
            <w:tcW w:w="221" w:type="pct"/>
            <w:tcBorders>
              <w:left w:val="single" w:sz="12" w:space="0" w:color="auto"/>
            </w:tcBorders>
            <w:vAlign w:val="center"/>
          </w:tcPr>
          <w:p w14:paraId="731F5334"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6</w:t>
            </w:r>
          </w:p>
        </w:tc>
        <w:tc>
          <w:tcPr>
            <w:tcW w:w="249" w:type="pct"/>
            <w:vMerge w:val="restart"/>
            <w:shd w:val="clear" w:color="auto" w:fill="auto"/>
            <w:vAlign w:val="center"/>
          </w:tcPr>
          <w:p w14:paraId="13C7F4CB"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核心指标</w:t>
            </w:r>
          </w:p>
        </w:tc>
        <w:tc>
          <w:tcPr>
            <w:tcW w:w="503" w:type="pct"/>
            <w:shd w:val="clear" w:color="auto" w:fill="auto"/>
            <w:vAlign w:val="center"/>
          </w:tcPr>
          <w:p w14:paraId="7906CFCE" w14:textId="77777777" w:rsidR="00084925" w:rsidRDefault="00084925" w:rsidP="00C17E96">
            <w:pPr>
              <w:spacing w:line="560" w:lineRule="exact"/>
              <w:jc w:val="center"/>
              <w:rPr>
                <w:rFonts w:ascii="Times New Roman" w:hAnsi="Times New Roman"/>
                <w:sz w:val="18"/>
                <w:szCs w:val="18"/>
              </w:rPr>
            </w:pPr>
            <w:bookmarkStart w:id="6" w:name="_Hlk164344371"/>
            <w:r>
              <w:rPr>
                <w:rFonts w:ascii="Times New Roman" w:hAnsi="Times New Roman" w:hint="eastAsia"/>
                <w:sz w:val="18"/>
                <w:szCs w:val="18"/>
              </w:rPr>
              <w:t>可迁移元素的最大限量</w:t>
            </w:r>
            <w:bookmarkEnd w:id="6"/>
          </w:p>
        </w:tc>
        <w:tc>
          <w:tcPr>
            <w:tcW w:w="654" w:type="pct"/>
            <w:shd w:val="clear" w:color="auto" w:fill="auto"/>
            <w:vAlign w:val="center"/>
          </w:tcPr>
          <w:p w14:paraId="155F1DA8"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 6675.1</w:t>
            </w:r>
            <w:r>
              <w:rPr>
                <w:rFonts w:ascii="Times New Roman" w:hAnsi="Times New Roman" w:hint="eastAsia"/>
                <w:sz w:val="18"/>
                <w:szCs w:val="18"/>
              </w:rPr>
              <w:t>—</w:t>
            </w:r>
            <w:r>
              <w:rPr>
                <w:rFonts w:ascii="Times New Roman" w:hAnsi="Times New Roman" w:hint="eastAsia"/>
                <w:sz w:val="18"/>
                <w:szCs w:val="18"/>
              </w:rPr>
              <w:t>2014</w:t>
            </w:r>
          </w:p>
        </w:tc>
        <w:tc>
          <w:tcPr>
            <w:tcW w:w="719" w:type="pct"/>
            <w:shd w:val="clear" w:color="auto" w:fill="auto"/>
            <w:vAlign w:val="center"/>
          </w:tcPr>
          <w:p w14:paraId="7D016768" w14:textId="77777777" w:rsidR="00084925" w:rsidRPr="004E613C" w:rsidRDefault="00084925" w:rsidP="00C17E96">
            <w:pPr>
              <w:pStyle w:val="af0"/>
              <w:spacing w:before="156" w:after="156" w:line="560" w:lineRule="exact"/>
              <w:ind w:firstLineChars="0" w:firstLine="0"/>
              <w:jc w:val="center"/>
              <w:rPr>
                <w:rFonts w:ascii="Times New Roman"/>
                <w:sz w:val="18"/>
                <w:szCs w:val="18"/>
              </w:rPr>
            </w:pPr>
            <w:proofErr w:type="gramStart"/>
            <w:r>
              <w:rPr>
                <w:rFonts w:ascii="Times New Roman" w:hint="eastAsia"/>
                <w:sz w:val="18"/>
                <w:szCs w:val="18"/>
              </w:rPr>
              <w:t>锑</w:t>
            </w:r>
            <w:proofErr w:type="gramEnd"/>
            <w:r>
              <w:rPr>
                <w:rFonts w:ascii="Times New Roman" w:hint="eastAsia"/>
                <w:sz w:val="18"/>
                <w:szCs w:val="18"/>
              </w:rPr>
              <w:t>60 mg/kg</w:t>
            </w:r>
            <w:r>
              <w:rPr>
                <w:rFonts w:ascii="Times New Roman" w:hint="eastAsia"/>
                <w:sz w:val="18"/>
                <w:szCs w:val="18"/>
              </w:rPr>
              <w:t>，砷</w:t>
            </w:r>
            <w:r>
              <w:rPr>
                <w:rFonts w:ascii="Times New Roman" w:hint="eastAsia"/>
                <w:sz w:val="18"/>
                <w:szCs w:val="18"/>
              </w:rPr>
              <w:t>25 mg/kg</w:t>
            </w:r>
            <w:r>
              <w:rPr>
                <w:rFonts w:ascii="Times New Roman" w:hint="eastAsia"/>
                <w:sz w:val="18"/>
                <w:szCs w:val="18"/>
              </w:rPr>
              <w:t>，钡</w:t>
            </w:r>
            <w:r>
              <w:rPr>
                <w:rFonts w:ascii="Times New Roman" w:hint="eastAsia"/>
                <w:sz w:val="18"/>
                <w:szCs w:val="18"/>
              </w:rPr>
              <w:t>1000  mg/kg</w:t>
            </w:r>
            <w:r>
              <w:rPr>
                <w:rFonts w:ascii="Times New Roman" w:hint="eastAsia"/>
                <w:sz w:val="18"/>
                <w:szCs w:val="18"/>
              </w:rPr>
              <w:t>，镉</w:t>
            </w:r>
            <w:r>
              <w:rPr>
                <w:rFonts w:ascii="Times New Roman" w:hint="eastAsia"/>
                <w:sz w:val="18"/>
                <w:szCs w:val="18"/>
              </w:rPr>
              <w:t>75 mg/kg</w:t>
            </w:r>
            <w:r>
              <w:rPr>
                <w:rFonts w:ascii="Times New Roman" w:hint="eastAsia"/>
                <w:sz w:val="18"/>
                <w:szCs w:val="18"/>
              </w:rPr>
              <w:t>，铬</w:t>
            </w:r>
            <w:r>
              <w:rPr>
                <w:rFonts w:ascii="Times New Roman" w:hint="eastAsia"/>
                <w:sz w:val="18"/>
                <w:szCs w:val="18"/>
              </w:rPr>
              <w:t>60 mg/kg</w:t>
            </w:r>
            <w:r>
              <w:rPr>
                <w:rFonts w:ascii="Times New Roman" w:hint="eastAsia"/>
                <w:sz w:val="18"/>
                <w:szCs w:val="18"/>
              </w:rPr>
              <w:t>，汞</w:t>
            </w:r>
            <w:r>
              <w:rPr>
                <w:rFonts w:ascii="Times New Roman" w:hint="eastAsia"/>
                <w:sz w:val="18"/>
                <w:szCs w:val="18"/>
              </w:rPr>
              <w:t>10 mg/kg</w:t>
            </w:r>
            <w:r>
              <w:rPr>
                <w:rFonts w:ascii="Times New Roman" w:hint="eastAsia"/>
                <w:sz w:val="18"/>
                <w:szCs w:val="18"/>
              </w:rPr>
              <w:t>，硒</w:t>
            </w:r>
            <w:r>
              <w:rPr>
                <w:rFonts w:ascii="Times New Roman" w:hint="eastAsia"/>
                <w:sz w:val="18"/>
                <w:szCs w:val="18"/>
              </w:rPr>
              <w:t>500 mg/kg</w:t>
            </w:r>
            <w:r>
              <w:rPr>
                <w:rFonts w:ascii="Times New Roman" w:hint="eastAsia"/>
                <w:sz w:val="18"/>
                <w:szCs w:val="18"/>
              </w:rPr>
              <w:t>，且</w:t>
            </w:r>
            <w:r w:rsidRPr="004E613C">
              <w:rPr>
                <w:rFonts w:ascii="Times New Roman" w:hint="eastAsia"/>
                <w:sz w:val="18"/>
                <w:szCs w:val="18"/>
              </w:rPr>
              <w:t>铅、汞、镉、六价铬四种重金属物质的总含量不得超过</w:t>
            </w:r>
            <w:r w:rsidRPr="004E613C">
              <w:rPr>
                <w:rFonts w:ascii="Times New Roman" w:hint="eastAsia"/>
                <w:sz w:val="18"/>
                <w:szCs w:val="18"/>
              </w:rPr>
              <w:t>100mg/kg</w:t>
            </w:r>
            <w:r w:rsidRPr="004E613C">
              <w:rPr>
                <w:rFonts w:ascii="Times New Roman" w:hint="eastAsia"/>
                <w:sz w:val="18"/>
                <w:szCs w:val="18"/>
              </w:rPr>
              <w:t>。</w:t>
            </w:r>
          </w:p>
        </w:tc>
        <w:tc>
          <w:tcPr>
            <w:tcW w:w="719" w:type="pct"/>
            <w:shd w:val="clear" w:color="auto" w:fill="auto"/>
            <w:vAlign w:val="center"/>
          </w:tcPr>
          <w:p w14:paraId="39E8F585" w14:textId="77777777" w:rsidR="00084925" w:rsidRPr="004E613C" w:rsidRDefault="00084925" w:rsidP="00C17E96">
            <w:pPr>
              <w:pStyle w:val="af0"/>
              <w:spacing w:before="156" w:after="156" w:line="560" w:lineRule="exact"/>
              <w:ind w:firstLineChars="0" w:firstLine="0"/>
              <w:jc w:val="center"/>
              <w:rPr>
                <w:rFonts w:ascii="Times New Roman"/>
                <w:sz w:val="18"/>
                <w:szCs w:val="18"/>
              </w:rPr>
            </w:pPr>
            <w:proofErr w:type="gramStart"/>
            <w:r>
              <w:rPr>
                <w:rFonts w:ascii="Times New Roman" w:hint="eastAsia"/>
                <w:sz w:val="18"/>
                <w:szCs w:val="18"/>
              </w:rPr>
              <w:t>锑</w:t>
            </w:r>
            <w:proofErr w:type="gramEnd"/>
            <w:r>
              <w:rPr>
                <w:rFonts w:ascii="Times New Roman" w:hint="eastAsia"/>
                <w:sz w:val="18"/>
                <w:szCs w:val="18"/>
              </w:rPr>
              <w:t>60 mg/kg</w:t>
            </w:r>
            <w:r>
              <w:rPr>
                <w:rFonts w:ascii="Times New Roman" w:hint="eastAsia"/>
                <w:sz w:val="18"/>
                <w:szCs w:val="18"/>
              </w:rPr>
              <w:t>，砷</w:t>
            </w:r>
            <w:r>
              <w:rPr>
                <w:rFonts w:ascii="Times New Roman" w:hint="eastAsia"/>
                <w:sz w:val="18"/>
                <w:szCs w:val="18"/>
              </w:rPr>
              <w:t>25 mg/kg</w:t>
            </w:r>
            <w:r>
              <w:rPr>
                <w:rFonts w:ascii="Times New Roman" w:hint="eastAsia"/>
                <w:sz w:val="18"/>
                <w:szCs w:val="18"/>
              </w:rPr>
              <w:t>，钡</w:t>
            </w:r>
            <w:r>
              <w:rPr>
                <w:rFonts w:ascii="Times New Roman" w:hint="eastAsia"/>
                <w:sz w:val="18"/>
                <w:szCs w:val="18"/>
              </w:rPr>
              <w:t>1000  mg/kg</w:t>
            </w:r>
            <w:r>
              <w:rPr>
                <w:rFonts w:ascii="Times New Roman" w:hint="eastAsia"/>
                <w:sz w:val="18"/>
                <w:szCs w:val="18"/>
              </w:rPr>
              <w:t>，镉</w:t>
            </w:r>
            <w:r>
              <w:rPr>
                <w:rFonts w:ascii="Times New Roman" w:hint="eastAsia"/>
                <w:sz w:val="18"/>
                <w:szCs w:val="18"/>
              </w:rPr>
              <w:t>75 mg/kg</w:t>
            </w:r>
            <w:r>
              <w:rPr>
                <w:rFonts w:ascii="Times New Roman" w:hint="eastAsia"/>
                <w:sz w:val="18"/>
                <w:szCs w:val="18"/>
              </w:rPr>
              <w:t>，铬</w:t>
            </w:r>
            <w:r>
              <w:rPr>
                <w:rFonts w:ascii="Times New Roman" w:hint="eastAsia"/>
                <w:sz w:val="18"/>
                <w:szCs w:val="18"/>
              </w:rPr>
              <w:t>60 mg/kg</w:t>
            </w:r>
            <w:r>
              <w:rPr>
                <w:rFonts w:ascii="Times New Roman" w:hint="eastAsia"/>
                <w:sz w:val="18"/>
                <w:szCs w:val="18"/>
              </w:rPr>
              <w:t>，铅</w:t>
            </w:r>
            <w:r>
              <w:rPr>
                <w:rFonts w:ascii="Times New Roman" w:hint="eastAsia"/>
                <w:sz w:val="18"/>
                <w:szCs w:val="18"/>
              </w:rPr>
              <w:t>90 mg/kg</w:t>
            </w:r>
            <w:r>
              <w:rPr>
                <w:rFonts w:ascii="Times New Roman" w:hint="eastAsia"/>
                <w:sz w:val="18"/>
                <w:szCs w:val="18"/>
              </w:rPr>
              <w:t>，汞</w:t>
            </w:r>
            <w:r>
              <w:rPr>
                <w:rFonts w:ascii="Times New Roman" w:hint="eastAsia"/>
                <w:sz w:val="18"/>
                <w:szCs w:val="18"/>
              </w:rPr>
              <w:t>10 mg/kg</w:t>
            </w:r>
            <w:r>
              <w:rPr>
                <w:rFonts w:ascii="Times New Roman" w:hint="eastAsia"/>
                <w:sz w:val="18"/>
                <w:szCs w:val="18"/>
              </w:rPr>
              <w:t>，硒</w:t>
            </w:r>
            <w:r>
              <w:rPr>
                <w:rFonts w:ascii="Times New Roman" w:hint="eastAsia"/>
                <w:sz w:val="18"/>
                <w:szCs w:val="18"/>
              </w:rPr>
              <w:t>500 mg/kg</w:t>
            </w:r>
          </w:p>
        </w:tc>
        <w:tc>
          <w:tcPr>
            <w:tcW w:w="719" w:type="pct"/>
            <w:shd w:val="clear" w:color="auto" w:fill="auto"/>
            <w:vAlign w:val="center"/>
          </w:tcPr>
          <w:p w14:paraId="391FC928" w14:textId="77777777" w:rsidR="00084925" w:rsidRPr="004E613C" w:rsidRDefault="00084925" w:rsidP="00C17E96">
            <w:pPr>
              <w:pStyle w:val="af0"/>
              <w:spacing w:before="156" w:after="156" w:line="560" w:lineRule="exact"/>
              <w:ind w:firstLineChars="0" w:firstLine="0"/>
              <w:jc w:val="center"/>
              <w:rPr>
                <w:rFonts w:ascii="Times New Roman"/>
                <w:sz w:val="18"/>
                <w:szCs w:val="18"/>
              </w:rPr>
            </w:pPr>
            <w:proofErr w:type="gramStart"/>
            <w:r>
              <w:rPr>
                <w:rFonts w:ascii="Times New Roman" w:hint="eastAsia"/>
                <w:sz w:val="18"/>
                <w:szCs w:val="18"/>
              </w:rPr>
              <w:t>锑</w:t>
            </w:r>
            <w:proofErr w:type="gramEnd"/>
            <w:r>
              <w:rPr>
                <w:rFonts w:ascii="Times New Roman" w:hint="eastAsia"/>
                <w:sz w:val="18"/>
                <w:szCs w:val="18"/>
              </w:rPr>
              <w:t>60 mg/kg</w:t>
            </w:r>
            <w:r>
              <w:rPr>
                <w:rFonts w:ascii="Times New Roman" w:hint="eastAsia"/>
                <w:sz w:val="18"/>
                <w:szCs w:val="18"/>
              </w:rPr>
              <w:t>，砷</w:t>
            </w:r>
            <w:r>
              <w:rPr>
                <w:rFonts w:ascii="Times New Roman" w:hint="eastAsia"/>
                <w:sz w:val="18"/>
                <w:szCs w:val="18"/>
              </w:rPr>
              <w:t>25 mg/kg</w:t>
            </w:r>
            <w:r>
              <w:rPr>
                <w:rFonts w:ascii="Times New Roman" w:hint="eastAsia"/>
                <w:sz w:val="18"/>
                <w:szCs w:val="18"/>
              </w:rPr>
              <w:t>，钡</w:t>
            </w:r>
            <w:r>
              <w:rPr>
                <w:rFonts w:ascii="Times New Roman" w:hint="eastAsia"/>
                <w:sz w:val="18"/>
                <w:szCs w:val="18"/>
              </w:rPr>
              <w:t>1000  mg/kg</w:t>
            </w:r>
            <w:r>
              <w:rPr>
                <w:rFonts w:ascii="Times New Roman" w:hint="eastAsia"/>
                <w:sz w:val="18"/>
                <w:szCs w:val="18"/>
              </w:rPr>
              <w:t>，镉</w:t>
            </w:r>
            <w:r>
              <w:rPr>
                <w:rFonts w:ascii="Times New Roman" w:hint="eastAsia"/>
                <w:sz w:val="18"/>
                <w:szCs w:val="18"/>
              </w:rPr>
              <w:t>75 mg/kg</w:t>
            </w:r>
            <w:r>
              <w:rPr>
                <w:rFonts w:ascii="Times New Roman" w:hint="eastAsia"/>
                <w:sz w:val="18"/>
                <w:szCs w:val="18"/>
              </w:rPr>
              <w:t>，铬</w:t>
            </w:r>
            <w:r>
              <w:rPr>
                <w:rFonts w:ascii="Times New Roman" w:hint="eastAsia"/>
                <w:sz w:val="18"/>
                <w:szCs w:val="18"/>
              </w:rPr>
              <w:t>60 mg/kg</w:t>
            </w:r>
            <w:r>
              <w:rPr>
                <w:rFonts w:ascii="Times New Roman" w:hint="eastAsia"/>
                <w:sz w:val="18"/>
                <w:szCs w:val="18"/>
              </w:rPr>
              <w:t>，铅</w:t>
            </w:r>
            <w:r>
              <w:rPr>
                <w:rFonts w:ascii="Times New Roman" w:hint="eastAsia"/>
                <w:sz w:val="18"/>
                <w:szCs w:val="18"/>
              </w:rPr>
              <w:t>90 mg/kg</w:t>
            </w:r>
            <w:r>
              <w:rPr>
                <w:rFonts w:ascii="Times New Roman" w:hint="eastAsia"/>
                <w:sz w:val="18"/>
                <w:szCs w:val="18"/>
              </w:rPr>
              <w:t>，汞</w:t>
            </w:r>
            <w:r>
              <w:rPr>
                <w:rFonts w:ascii="Times New Roman" w:hint="eastAsia"/>
                <w:sz w:val="18"/>
                <w:szCs w:val="18"/>
              </w:rPr>
              <w:t>60 mg/kg</w:t>
            </w:r>
            <w:r>
              <w:rPr>
                <w:rFonts w:ascii="Times New Roman" w:hint="eastAsia"/>
                <w:sz w:val="18"/>
                <w:szCs w:val="18"/>
              </w:rPr>
              <w:t>，硒</w:t>
            </w:r>
            <w:r>
              <w:rPr>
                <w:rFonts w:ascii="Times New Roman" w:hint="eastAsia"/>
                <w:sz w:val="18"/>
                <w:szCs w:val="18"/>
              </w:rPr>
              <w:t xml:space="preserve">500 mg/kg </w:t>
            </w:r>
          </w:p>
        </w:tc>
        <w:tc>
          <w:tcPr>
            <w:tcW w:w="1217" w:type="pct"/>
            <w:tcBorders>
              <w:right w:val="single" w:sz="12" w:space="0" w:color="auto"/>
            </w:tcBorders>
            <w:shd w:val="clear" w:color="auto" w:fill="auto"/>
            <w:vAlign w:val="center"/>
          </w:tcPr>
          <w:p w14:paraId="1374D535" w14:textId="77777777" w:rsidR="00084925" w:rsidRDefault="00084925" w:rsidP="00C17E96">
            <w:pPr>
              <w:pStyle w:val="af0"/>
              <w:spacing w:before="156" w:after="156" w:line="560" w:lineRule="exact"/>
              <w:ind w:firstLineChars="0" w:firstLine="0"/>
              <w:jc w:val="center"/>
              <w:rPr>
                <w:rFonts w:ascii="Times New Roman"/>
                <w:sz w:val="18"/>
                <w:szCs w:val="18"/>
              </w:rPr>
            </w:pPr>
            <w:r>
              <w:rPr>
                <w:rFonts w:ascii="Times New Roman" w:hint="eastAsia"/>
                <w:sz w:val="18"/>
                <w:szCs w:val="18"/>
              </w:rPr>
              <w:t>GB 6675.4</w:t>
            </w:r>
          </w:p>
        </w:tc>
      </w:tr>
      <w:tr w:rsidR="00084925" w14:paraId="79E6DCF7" w14:textId="77777777" w:rsidTr="00084925">
        <w:trPr>
          <w:trHeight w:val="567"/>
          <w:jc w:val="center"/>
        </w:trPr>
        <w:tc>
          <w:tcPr>
            <w:tcW w:w="221" w:type="pct"/>
            <w:tcBorders>
              <w:left w:val="single" w:sz="12" w:space="0" w:color="auto"/>
            </w:tcBorders>
            <w:vAlign w:val="center"/>
          </w:tcPr>
          <w:p w14:paraId="74EB6961"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7</w:t>
            </w:r>
          </w:p>
        </w:tc>
        <w:tc>
          <w:tcPr>
            <w:tcW w:w="249" w:type="pct"/>
            <w:vMerge/>
            <w:shd w:val="clear" w:color="auto" w:fill="auto"/>
            <w:vAlign w:val="center"/>
          </w:tcPr>
          <w:p w14:paraId="0636A05C" w14:textId="77777777" w:rsidR="00084925" w:rsidRDefault="00084925" w:rsidP="00C17E96">
            <w:pPr>
              <w:spacing w:line="560" w:lineRule="exact"/>
              <w:jc w:val="center"/>
              <w:rPr>
                <w:rFonts w:ascii="Times New Roman" w:hAnsi="Times New Roman"/>
                <w:sz w:val="18"/>
                <w:szCs w:val="18"/>
              </w:rPr>
            </w:pPr>
          </w:p>
        </w:tc>
        <w:tc>
          <w:tcPr>
            <w:tcW w:w="503" w:type="pct"/>
            <w:shd w:val="clear" w:color="auto" w:fill="auto"/>
            <w:vAlign w:val="center"/>
          </w:tcPr>
          <w:p w14:paraId="78B28F1C"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涂层硬度</w:t>
            </w:r>
          </w:p>
        </w:tc>
        <w:tc>
          <w:tcPr>
            <w:tcW w:w="654" w:type="pct"/>
            <w:shd w:val="clear" w:color="auto" w:fill="auto"/>
            <w:vAlign w:val="center"/>
          </w:tcPr>
          <w:p w14:paraId="75290D05"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GB/T 22753</w:t>
            </w:r>
            <w:r>
              <w:rPr>
                <w:rFonts w:ascii="Times New Roman" w:hAnsi="Times New Roman" w:hint="eastAsia"/>
                <w:sz w:val="18"/>
                <w:szCs w:val="18"/>
              </w:rPr>
              <w:t>—</w:t>
            </w:r>
            <w:r>
              <w:rPr>
                <w:rFonts w:ascii="Times New Roman" w:hAnsi="Times New Roman" w:hint="eastAsia"/>
                <w:sz w:val="18"/>
                <w:szCs w:val="18"/>
              </w:rPr>
              <w:t>2008</w:t>
            </w:r>
          </w:p>
        </w:tc>
        <w:tc>
          <w:tcPr>
            <w:tcW w:w="719" w:type="pct"/>
            <w:shd w:val="clear" w:color="auto" w:fill="auto"/>
            <w:vAlign w:val="center"/>
          </w:tcPr>
          <w:p w14:paraId="42E56FBA" w14:textId="77777777" w:rsidR="00084925" w:rsidRDefault="00084925" w:rsidP="00C17E96">
            <w:pPr>
              <w:spacing w:line="560" w:lineRule="exact"/>
              <w:jc w:val="center"/>
              <w:rPr>
                <w:rFonts w:ascii="Times New Roman" w:hAnsi="Times New Roman"/>
                <w:sz w:val="18"/>
                <w:szCs w:val="18"/>
              </w:rPr>
            </w:pPr>
            <w:r>
              <w:rPr>
                <w:rFonts w:ascii="Times New Roman" w:hint="eastAsia"/>
                <w:sz w:val="18"/>
                <w:szCs w:val="18"/>
              </w:rPr>
              <w:t>表面涂层硬度不应低于</w:t>
            </w:r>
            <w:r>
              <w:rPr>
                <w:rFonts w:ascii="Times New Roman" w:hint="eastAsia"/>
                <w:sz w:val="18"/>
                <w:szCs w:val="18"/>
              </w:rPr>
              <w:t>2H</w:t>
            </w:r>
          </w:p>
        </w:tc>
        <w:tc>
          <w:tcPr>
            <w:tcW w:w="719" w:type="pct"/>
            <w:shd w:val="clear" w:color="auto" w:fill="auto"/>
            <w:vAlign w:val="center"/>
          </w:tcPr>
          <w:p w14:paraId="76FC1699" w14:textId="77777777" w:rsidR="00084925" w:rsidRDefault="00084925" w:rsidP="00C17E96">
            <w:pPr>
              <w:spacing w:line="560" w:lineRule="exact"/>
              <w:rPr>
                <w:rFonts w:ascii="Times New Roman" w:hAnsi="Times New Roman"/>
                <w:sz w:val="18"/>
                <w:szCs w:val="18"/>
              </w:rPr>
            </w:pPr>
            <w:r>
              <w:rPr>
                <w:rFonts w:ascii="Times New Roman" w:hint="eastAsia"/>
                <w:sz w:val="18"/>
                <w:szCs w:val="18"/>
              </w:rPr>
              <w:t>表面涂层硬度不应低于</w:t>
            </w:r>
            <w:r>
              <w:rPr>
                <w:rFonts w:ascii="Times New Roman" w:hint="eastAsia"/>
                <w:sz w:val="18"/>
                <w:szCs w:val="18"/>
              </w:rPr>
              <w:t>H</w:t>
            </w:r>
          </w:p>
        </w:tc>
        <w:tc>
          <w:tcPr>
            <w:tcW w:w="719" w:type="pct"/>
            <w:shd w:val="clear" w:color="auto" w:fill="auto"/>
            <w:vAlign w:val="center"/>
          </w:tcPr>
          <w:p w14:paraId="3FFBD83A" w14:textId="77777777" w:rsidR="00084925" w:rsidRDefault="00084925" w:rsidP="00C17E96">
            <w:pPr>
              <w:pStyle w:val="af0"/>
              <w:spacing w:before="156" w:after="156" w:line="560" w:lineRule="exact"/>
              <w:ind w:firstLineChars="0" w:firstLine="0"/>
              <w:jc w:val="center"/>
              <w:rPr>
                <w:rFonts w:ascii="Times New Roman"/>
                <w:sz w:val="18"/>
                <w:szCs w:val="18"/>
              </w:rPr>
            </w:pPr>
            <w:r>
              <w:rPr>
                <w:rFonts w:ascii="Times New Roman" w:hint="eastAsia"/>
                <w:sz w:val="18"/>
                <w:szCs w:val="18"/>
              </w:rPr>
              <w:t>表面涂层硬度不应低于</w:t>
            </w:r>
            <w:r>
              <w:rPr>
                <w:rFonts w:ascii="Times New Roman" w:hint="eastAsia"/>
                <w:sz w:val="18"/>
                <w:szCs w:val="18"/>
              </w:rPr>
              <w:t>HB</w:t>
            </w:r>
          </w:p>
        </w:tc>
        <w:tc>
          <w:tcPr>
            <w:tcW w:w="1217" w:type="pct"/>
            <w:tcBorders>
              <w:right w:val="single" w:sz="12" w:space="0" w:color="auto"/>
            </w:tcBorders>
            <w:shd w:val="clear" w:color="auto" w:fill="auto"/>
            <w:vAlign w:val="center"/>
          </w:tcPr>
          <w:p w14:paraId="3BA31199" w14:textId="77777777" w:rsidR="00084925" w:rsidRDefault="00084925" w:rsidP="00C17E96">
            <w:pPr>
              <w:pStyle w:val="af0"/>
              <w:spacing w:before="156" w:after="156" w:line="560" w:lineRule="exact"/>
              <w:ind w:firstLineChars="0" w:firstLine="0"/>
              <w:jc w:val="center"/>
              <w:rPr>
                <w:rFonts w:ascii="Times New Roman"/>
                <w:sz w:val="18"/>
                <w:szCs w:val="18"/>
              </w:rPr>
            </w:pPr>
            <w:r>
              <w:rPr>
                <w:rFonts w:ascii="Times New Roman" w:hint="eastAsia"/>
                <w:sz w:val="18"/>
                <w:szCs w:val="18"/>
              </w:rPr>
              <w:t>GB/T 22753</w:t>
            </w:r>
            <w:r>
              <w:rPr>
                <w:rFonts w:ascii="Times New Roman" w:hint="eastAsia"/>
                <w:sz w:val="18"/>
                <w:szCs w:val="18"/>
              </w:rPr>
              <w:t>—</w:t>
            </w:r>
            <w:r>
              <w:rPr>
                <w:rFonts w:ascii="Times New Roman" w:hint="eastAsia"/>
                <w:sz w:val="18"/>
                <w:szCs w:val="18"/>
              </w:rPr>
              <w:t>2008</w:t>
            </w:r>
            <w:r>
              <w:rPr>
                <w:rFonts w:ascii="Times New Roman" w:hint="eastAsia"/>
                <w:sz w:val="18"/>
                <w:szCs w:val="18"/>
              </w:rPr>
              <w:t>中第</w:t>
            </w:r>
            <w:r>
              <w:rPr>
                <w:rFonts w:ascii="Times New Roman" w:hint="eastAsia"/>
                <w:sz w:val="18"/>
                <w:szCs w:val="18"/>
              </w:rPr>
              <w:t>5.3</w:t>
            </w:r>
            <w:r>
              <w:rPr>
                <w:rFonts w:ascii="Times New Roman" w:hint="eastAsia"/>
                <w:sz w:val="18"/>
                <w:szCs w:val="18"/>
              </w:rPr>
              <w:t>条</w:t>
            </w:r>
          </w:p>
        </w:tc>
      </w:tr>
      <w:tr w:rsidR="00084925" w14:paraId="25FA7988" w14:textId="77777777" w:rsidTr="00084925">
        <w:trPr>
          <w:trHeight w:val="567"/>
          <w:jc w:val="center"/>
        </w:trPr>
        <w:tc>
          <w:tcPr>
            <w:tcW w:w="221" w:type="pct"/>
            <w:tcBorders>
              <w:left w:val="single" w:sz="12" w:space="0" w:color="auto"/>
            </w:tcBorders>
            <w:vAlign w:val="center"/>
          </w:tcPr>
          <w:p w14:paraId="28B7ED63"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8</w:t>
            </w:r>
          </w:p>
        </w:tc>
        <w:tc>
          <w:tcPr>
            <w:tcW w:w="249" w:type="pct"/>
            <w:vMerge/>
            <w:shd w:val="clear" w:color="auto" w:fill="auto"/>
            <w:vAlign w:val="center"/>
          </w:tcPr>
          <w:p w14:paraId="331AB9F8" w14:textId="77777777" w:rsidR="00084925" w:rsidRDefault="00084925" w:rsidP="00C17E96">
            <w:pPr>
              <w:spacing w:line="560" w:lineRule="exact"/>
              <w:jc w:val="center"/>
              <w:rPr>
                <w:rFonts w:ascii="Times New Roman" w:hAnsi="Times New Roman"/>
                <w:sz w:val="18"/>
                <w:szCs w:val="18"/>
              </w:rPr>
            </w:pPr>
          </w:p>
        </w:tc>
        <w:tc>
          <w:tcPr>
            <w:tcW w:w="503" w:type="pct"/>
            <w:shd w:val="clear" w:color="auto" w:fill="auto"/>
            <w:vAlign w:val="center"/>
          </w:tcPr>
          <w:p w14:paraId="235D321E"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含水率</w:t>
            </w:r>
          </w:p>
        </w:tc>
        <w:tc>
          <w:tcPr>
            <w:tcW w:w="654" w:type="pct"/>
            <w:shd w:val="clear" w:color="auto" w:fill="auto"/>
            <w:vAlign w:val="center"/>
          </w:tcPr>
          <w:p w14:paraId="49586644"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GB/T 28495</w:t>
            </w:r>
            <w:r>
              <w:rPr>
                <w:rFonts w:ascii="Times New Roman" w:hAnsi="Times New Roman" w:hint="eastAsia"/>
                <w:sz w:val="18"/>
                <w:szCs w:val="18"/>
              </w:rPr>
              <w:t>—</w:t>
            </w:r>
            <w:r>
              <w:rPr>
                <w:rFonts w:ascii="Times New Roman" w:hAnsi="Times New Roman" w:hint="eastAsia"/>
                <w:sz w:val="18"/>
                <w:szCs w:val="18"/>
              </w:rPr>
              <w:t>2012</w:t>
            </w:r>
          </w:p>
        </w:tc>
        <w:tc>
          <w:tcPr>
            <w:tcW w:w="719" w:type="pct"/>
            <w:shd w:val="clear" w:color="auto" w:fill="auto"/>
            <w:vAlign w:val="center"/>
          </w:tcPr>
          <w:p w14:paraId="5F580F79" w14:textId="77777777" w:rsidR="00084925" w:rsidRDefault="00084925" w:rsidP="00C17E96">
            <w:pPr>
              <w:spacing w:line="560" w:lineRule="exact"/>
              <w:jc w:val="center"/>
              <w:rPr>
                <w:rFonts w:ascii="Times New Roman" w:hAnsi="Times New Roman"/>
                <w:sz w:val="18"/>
                <w:szCs w:val="18"/>
              </w:rPr>
            </w:pPr>
            <w:r>
              <w:rPr>
                <w:rFonts w:ascii="Times New Roman" w:hint="eastAsia"/>
                <w:sz w:val="18"/>
                <w:szCs w:val="18"/>
              </w:rPr>
              <w:t>含水率不应高于</w:t>
            </w:r>
            <w:r>
              <w:rPr>
                <w:rFonts w:ascii="Times New Roman" w:hint="eastAsia"/>
                <w:sz w:val="18"/>
                <w:szCs w:val="18"/>
              </w:rPr>
              <w:t>12.0</w:t>
            </w:r>
          </w:p>
        </w:tc>
        <w:tc>
          <w:tcPr>
            <w:tcW w:w="719" w:type="pct"/>
            <w:shd w:val="clear" w:color="auto" w:fill="auto"/>
            <w:vAlign w:val="center"/>
          </w:tcPr>
          <w:p w14:paraId="50568DD1" w14:textId="77777777" w:rsidR="00084925" w:rsidRDefault="00084925" w:rsidP="00C17E96">
            <w:pPr>
              <w:spacing w:line="560" w:lineRule="exact"/>
              <w:jc w:val="center"/>
              <w:rPr>
                <w:rFonts w:ascii="Times New Roman" w:hAnsi="Times New Roman"/>
                <w:sz w:val="18"/>
                <w:szCs w:val="18"/>
              </w:rPr>
            </w:pPr>
            <w:r>
              <w:rPr>
                <w:rFonts w:ascii="Times New Roman" w:hint="eastAsia"/>
                <w:sz w:val="18"/>
                <w:szCs w:val="18"/>
              </w:rPr>
              <w:t>含水率不应高于</w:t>
            </w:r>
            <w:r>
              <w:rPr>
                <w:rFonts w:ascii="Times New Roman" w:hint="eastAsia"/>
                <w:sz w:val="18"/>
                <w:szCs w:val="18"/>
              </w:rPr>
              <w:t>14.0</w:t>
            </w:r>
          </w:p>
        </w:tc>
        <w:tc>
          <w:tcPr>
            <w:tcW w:w="719" w:type="pct"/>
            <w:shd w:val="clear" w:color="auto" w:fill="auto"/>
            <w:vAlign w:val="center"/>
          </w:tcPr>
          <w:p w14:paraId="238B643E" w14:textId="77777777" w:rsidR="00084925" w:rsidRDefault="00084925" w:rsidP="00C17E96">
            <w:pPr>
              <w:pStyle w:val="af0"/>
              <w:spacing w:before="156" w:after="156" w:line="560" w:lineRule="exact"/>
              <w:ind w:firstLineChars="0" w:firstLine="0"/>
              <w:jc w:val="center"/>
              <w:rPr>
                <w:rFonts w:ascii="Times New Roman"/>
                <w:sz w:val="18"/>
                <w:szCs w:val="18"/>
              </w:rPr>
            </w:pPr>
            <w:r>
              <w:rPr>
                <w:rFonts w:ascii="Times New Roman" w:hint="eastAsia"/>
                <w:sz w:val="18"/>
                <w:szCs w:val="18"/>
              </w:rPr>
              <w:t>含水率不应高于</w:t>
            </w:r>
            <w:r>
              <w:rPr>
                <w:rFonts w:ascii="Times New Roman" w:hint="eastAsia"/>
                <w:sz w:val="18"/>
                <w:szCs w:val="18"/>
              </w:rPr>
              <w:t>16.0</w:t>
            </w:r>
          </w:p>
        </w:tc>
        <w:tc>
          <w:tcPr>
            <w:tcW w:w="1217" w:type="pct"/>
            <w:tcBorders>
              <w:right w:val="single" w:sz="12" w:space="0" w:color="auto"/>
            </w:tcBorders>
            <w:shd w:val="clear" w:color="auto" w:fill="auto"/>
            <w:vAlign w:val="center"/>
          </w:tcPr>
          <w:p w14:paraId="359165C8" w14:textId="77777777" w:rsidR="00084925" w:rsidRDefault="00084925" w:rsidP="00C17E96">
            <w:pPr>
              <w:pStyle w:val="af0"/>
              <w:spacing w:before="156" w:after="156" w:line="560" w:lineRule="exact"/>
              <w:ind w:firstLineChars="0" w:firstLine="0"/>
              <w:jc w:val="center"/>
              <w:rPr>
                <w:rFonts w:ascii="Times New Roman"/>
                <w:sz w:val="18"/>
                <w:szCs w:val="18"/>
              </w:rPr>
            </w:pPr>
            <w:r>
              <w:rPr>
                <w:rFonts w:ascii="Times New Roman" w:hint="eastAsia"/>
                <w:sz w:val="18"/>
                <w:szCs w:val="18"/>
              </w:rPr>
              <w:t>GB/T 1931</w:t>
            </w:r>
          </w:p>
        </w:tc>
      </w:tr>
      <w:tr w:rsidR="00084925" w14:paraId="1F6E47CD" w14:textId="77777777" w:rsidTr="00084925">
        <w:trPr>
          <w:trHeight w:val="567"/>
          <w:jc w:val="center"/>
        </w:trPr>
        <w:tc>
          <w:tcPr>
            <w:tcW w:w="221" w:type="pct"/>
            <w:tcBorders>
              <w:left w:val="single" w:sz="12" w:space="0" w:color="auto"/>
            </w:tcBorders>
            <w:vAlign w:val="center"/>
          </w:tcPr>
          <w:p w14:paraId="15152203"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lastRenderedPageBreak/>
              <w:t>9</w:t>
            </w:r>
          </w:p>
        </w:tc>
        <w:tc>
          <w:tcPr>
            <w:tcW w:w="249" w:type="pct"/>
            <w:vMerge w:val="restart"/>
            <w:shd w:val="clear" w:color="auto" w:fill="auto"/>
            <w:vAlign w:val="center"/>
          </w:tcPr>
          <w:p w14:paraId="66C68B21"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创新指标</w:t>
            </w:r>
          </w:p>
        </w:tc>
        <w:tc>
          <w:tcPr>
            <w:tcW w:w="503" w:type="pct"/>
            <w:shd w:val="clear" w:color="auto" w:fill="auto"/>
            <w:vAlign w:val="center"/>
          </w:tcPr>
          <w:p w14:paraId="69D45A1C" w14:textId="77777777" w:rsidR="00084925" w:rsidRDefault="00084925" w:rsidP="00C17E96">
            <w:pPr>
              <w:spacing w:line="560" w:lineRule="exact"/>
              <w:jc w:val="center"/>
              <w:rPr>
                <w:rFonts w:ascii="Times New Roman" w:hAnsi="Times New Roman"/>
                <w:sz w:val="18"/>
                <w:szCs w:val="18"/>
              </w:rPr>
            </w:pPr>
            <w:bookmarkStart w:id="7" w:name="_Hlk164348713"/>
            <w:r w:rsidRPr="001A5DAB">
              <w:rPr>
                <w:rFonts w:ascii="Times New Roman" w:hAnsi="Times New Roman" w:hint="eastAsia"/>
                <w:sz w:val="18"/>
                <w:szCs w:val="18"/>
              </w:rPr>
              <w:t>邻苯</w:t>
            </w:r>
            <w:proofErr w:type="gramStart"/>
            <w:r w:rsidRPr="001A5DAB">
              <w:rPr>
                <w:rFonts w:ascii="Times New Roman" w:hAnsi="Times New Roman" w:hint="eastAsia"/>
                <w:sz w:val="18"/>
                <w:szCs w:val="18"/>
              </w:rPr>
              <w:t>二钾酸</w:t>
            </w:r>
            <w:proofErr w:type="gramEnd"/>
            <w:r w:rsidRPr="001A5DAB">
              <w:rPr>
                <w:rFonts w:ascii="Times New Roman" w:hAnsi="Times New Roman" w:hint="eastAsia"/>
                <w:sz w:val="18"/>
                <w:szCs w:val="18"/>
              </w:rPr>
              <w:t>盐（增塑剂）</w:t>
            </w:r>
            <w:r>
              <w:rPr>
                <w:rFonts w:ascii="Times New Roman" w:hAnsi="Times New Roman" w:hint="eastAsia"/>
                <w:sz w:val="18"/>
                <w:szCs w:val="18"/>
              </w:rPr>
              <w:t>限量</w:t>
            </w:r>
            <w:bookmarkEnd w:id="7"/>
          </w:p>
        </w:tc>
        <w:tc>
          <w:tcPr>
            <w:tcW w:w="654" w:type="pct"/>
            <w:shd w:val="clear" w:color="auto" w:fill="auto"/>
            <w:vAlign w:val="center"/>
          </w:tcPr>
          <w:p w14:paraId="1291DE4F"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市场需求</w:t>
            </w:r>
          </w:p>
        </w:tc>
        <w:tc>
          <w:tcPr>
            <w:tcW w:w="2156" w:type="pct"/>
            <w:gridSpan w:val="3"/>
            <w:shd w:val="clear" w:color="auto" w:fill="auto"/>
            <w:vAlign w:val="center"/>
          </w:tcPr>
          <w:p w14:paraId="010A3307" w14:textId="77777777" w:rsidR="00084925" w:rsidRPr="001A5DAB" w:rsidRDefault="00084925" w:rsidP="00C17E96">
            <w:pPr>
              <w:spacing w:line="560" w:lineRule="exact"/>
              <w:jc w:val="center"/>
              <w:rPr>
                <w:rFonts w:ascii="Times New Roman" w:hAnsi="Times New Roman"/>
                <w:sz w:val="18"/>
                <w:szCs w:val="18"/>
              </w:rPr>
            </w:pPr>
            <w:proofErr w:type="gramStart"/>
            <w:r w:rsidRPr="001A5DAB">
              <w:rPr>
                <w:rFonts w:ascii="Times New Roman" w:hAnsi="Times New Roman" w:hint="eastAsia"/>
                <w:sz w:val="18"/>
                <w:szCs w:val="18"/>
              </w:rPr>
              <w:t>领苯二</w:t>
            </w:r>
            <w:proofErr w:type="gramEnd"/>
            <w:r w:rsidRPr="001A5DAB">
              <w:rPr>
                <w:rFonts w:ascii="Times New Roman" w:hAnsi="Times New Roman" w:hint="eastAsia"/>
                <w:sz w:val="18"/>
                <w:szCs w:val="18"/>
              </w:rPr>
              <w:t>甲酸二丁酯（</w:t>
            </w:r>
            <w:r w:rsidRPr="001A5DAB">
              <w:rPr>
                <w:rFonts w:ascii="Times New Roman" w:hAnsi="Times New Roman" w:hint="eastAsia"/>
                <w:sz w:val="18"/>
                <w:szCs w:val="18"/>
              </w:rPr>
              <w:t>DBP</w:t>
            </w:r>
            <w:r w:rsidRPr="001A5DAB">
              <w:rPr>
                <w:rFonts w:ascii="Times New Roman" w:hAnsi="Times New Roman" w:hint="eastAsia"/>
                <w:sz w:val="18"/>
                <w:szCs w:val="18"/>
              </w:rPr>
              <w:t>）</w:t>
            </w:r>
            <w:r w:rsidRPr="001A5DAB">
              <w:rPr>
                <w:rFonts w:ascii="Times New Roman" w:hAnsi="Times New Roman" w:hint="eastAsia"/>
                <w:sz w:val="18"/>
                <w:szCs w:val="18"/>
              </w:rPr>
              <w:t>+</w:t>
            </w:r>
            <w:r w:rsidRPr="001A5DAB">
              <w:rPr>
                <w:rFonts w:ascii="Times New Roman" w:hAnsi="Times New Roman" w:hint="eastAsia"/>
                <w:sz w:val="18"/>
                <w:szCs w:val="18"/>
              </w:rPr>
              <w:t>邻苯二甲酸丁</w:t>
            </w:r>
            <w:proofErr w:type="gramStart"/>
            <w:r w:rsidRPr="001A5DAB">
              <w:rPr>
                <w:rFonts w:ascii="Times New Roman" w:hAnsi="Times New Roman" w:hint="eastAsia"/>
                <w:sz w:val="18"/>
                <w:szCs w:val="18"/>
              </w:rPr>
              <w:t>苄</w:t>
            </w:r>
            <w:proofErr w:type="gramEnd"/>
            <w:r w:rsidRPr="001A5DAB">
              <w:rPr>
                <w:rFonts w:ascii="Times New Roman" w:hAnsi="Times New Roman" w:hint="eastAsia"/>
                <w:sz w:val="18"/>
                <w:szCs w:val="18"/>
              </w:rPr>
              <w:t>酯（</w:t>
            </w:r>
            <w:r w:rsidRPr="001A5DAB">
              <w:rPr>
                <w:rFonts w:ascii="Times New Roman" w:hAnsi="Times New Roman" w:hint="eastAsia"/>
                <w:sz w:val="18"/>
                <w:szCs w:val="18"/>
              </w:rPr>
              <w:t>BBP</w:t>
            </w:r>
            <w:r w:rsidRPr="001A5DAB">
              <w:rPr>
                <w:rFonts w:ascii="Times New Roman" w:hAnsi="Times New Roman" w:hint="eastAsia"/>
                <w:sz w:val="18"/>
                <w:szCs w:val="18"/>
              </w:rPr>
              <w:t>）</w:t>
            </w:r>
            <w:r w:rsidRPr="001A5DAB">
              <w:rPr>
                <w:rFonts w:ascii="Times New Roman" w:hAnsi="Times New Roman" w:hint="eastAsia"/>
                <w:sz w:val="18"/>
                <w:szCs w:val="18"/>
              </w:rPr>
              <w:t>+</w:t>
            </w:r>
            <w:r w:rsidRPr="001A5DAB">
              <w:rPr>
                <w:rFonts w:ascii="Times New Roman" w:hAnsi="Times New Roman" w:hint="eastAsia"/>
                <w:sz w:val="18"/>
                <w:szCs w:val="18"/>
              </w:rPr>
              <w:t>邻苯二甲酸二（</w:t>
            </w:r>
            <w:r w:rsidRPr="001A5DAB">
              <w:rPr>
                <w:rFonts w:ascii="Times New Roman" w:hAnsi="Times New Roman" w:hint="eastAsia"/>
                <w:sz w:val="18"/>
                <w:szCs w:val="18"/>
              </w:rPr>
              <w:t>2-</w:t>
            </w:r>
            <w:r w:rsidRPr="001A5DAB">
              <w:rPr>
                <w:rFonts w:ascii="Times New Roman" w:hAnsi="Times New Roman" w:hint="eastAsia"/>
                <w:sz w:val="18"/>
                <w:szCs w:val="18"/>
              </w:rPr>
              <w:t>乙基）己酯（</w:t>
            </w:r>
            <w:r w:rsidRPr="001A5DAB">
              <w:rPr>
                <w:rFonts w:ascii="Times New Roman" w:hAnsi="Times New Roman" w:hint="eastAsia"/>
                <w:sz w:val="18"/>
                <w:szCs w:val="18"/>
              </w:rPr>
              <w:t>DEHP</w:t>
            </w:r>
            <w:r w:rsidRPr="001A5DAB">
              <w:rPr>
                <w:rFonts w:ascii="Times New Roman" w:hAnsi="Times New Roman" w:hint="eastAsia"/>
                <w:sz w:val="18"/>
                <w:szCs w:val="18"/>
              </w:rPr>
              <w:t>）≤</w:t>
            </w:r>
            <w:r w:rsidRPr="001A5DAB">
              <w:rPr>
                <w:rFonts w:ascii="Times New Roman" w:hAnsi="Times New Roman" w:hint="eastAsia"/>
                <w:sz w:val="18"/>
                <w:szCs w:val="18"/>
              </w:rPr>
              <w:t>0.1%</w:t>
            </w:r>
          </w:p>
          <w:p w14:paraId="7F543B1A" w14:textId="77777777" w:rsidR="00084925" w:rsidRDefault="00084925" w:rsidP="00C17E96">
            <w:pPr>
              <w:spacing w:line="560" w:lineRule="exact"/>
              <w:jc w:val="center"/>
              <w:rPr>
                <w:rFonts w:ascii="Times New Roman" w:hAnsi="Times New Roman"/>
                <w:sz w:val="18"/>
                <w:szCs w:val="18"/>
              </w:rPr>
            </w:pPr>
            <w:r w:rsidRPr="001A5DAB">
              <w:rPr>
                <w:rFonts w:ascii="Times New Roman" w:hAnsi="Times New Roman" w:hint="eastAsia"/>
                <w:sz w:val="18"/>
                <w:szCs w:val="18"/>
              </w:rPr>
              <w:t>邻苯二甲酸</w:t>
            </w:r>
            <w:proofErr w:type="gramStart"/>
            <w:r w:rsidRPr="001A5DAB">
              <w:rPr>
                <w:rFonts w:ascii="Times New Roman" w:hAnsi="Times New Roman" w:hint="eastAsia"/>
                <w:sz w:val="18"/>
                <w:szCs w:val="18"/>
              </w:rPr>
              <w:t>二正辛</w:t>
            </w:r>
            <w:proofErr w:type="gramEnd"/>
            <w:r w:rsidRPr="001A5DAB">
              <w:rPr>
                <w:rFonts w:ascii="Times New Roman" w:hAnsi="Times New Roman" w:hint="eastAsia"/>
                <w:sz w:val="18"/>
                <w:szCs w:val="18"/>
              </w:rPr>
              <w:t>酯（</w:t>
            </w:r>
            <w:r w:rsidRPr="001A5DAB">
              <w:rPr>
                <w:rFonts w:ascii="Times New Roman" w:hAnsi="Times New Roman" w:hint="eastAsia"/>
                <w:sz w:val="18"/>
                <w:szCs w:val="18"/>
              </w:rPr>
              <w:t>DNOP</w:t>
            </w:r>
            <w:r w:rsidRPr="001A5DAB">
              <w:rPr>
                <w:rFonts w:ascii="Times New Roman" w:hAnsi="Times New Roman" w:hint="eastAsia"/>
                <w:sz w:val="18"/>
                <w:szCs w:val="18"/>
              </w:rPr>
              <w:t>）</w:t>
            </w:r>
            <w:r w:rsidRPr="001A5DAB">
              <w:rPr>
                <w:rFonts w:ascii="Times New Roman" w:hAnsi="Times New Roman" w:hint="eastAsia"/>
                <w:sz w:val="18"/>
                <w:szCs w:val="18"/>
              </w:rPr>
              <w:t>+</w:t>
            </w:r>
            <w:r w:rsidRPr="001A5DAB">
              <w:rPr>
                <w:rFonts w:ascii="Times New Roman" w:hAnsi="Times New Roman" w:hint="eastAsia"/>
                <w:sz w:val="18"/>
                <w:szCs w:val="18"/>
              </w:rPr>
              <w:t>邻苯二甲酸二异壬酯（</w:t>
            </w:r>
            <w:r w:rsidRPr="001A5DAB">
              <w:rPr>
                <w:rFonts w:ascii="Times New Roman" w:hAnsi="Times New Roman" w:hint="eastAsia"/>
                <w:sz w:val="18"/>
                <w:szCs w:val="18"/>
              </w:rPr>
              <w:t>DINP</w:t>
            </w:r>
            <w:r w:rsidRPr="001A5DAB">
              <w:rPr>
                <w:rFonts w:ascii="Times New Roman" w:hAnsi="Times New Roman" w:hint="eastAsia"/>
                <w:sz w:val="18"/>
                <w:szCs w:val="18"/>
              </w:rPr>
              <w:t>）</w:t>
            </w:r>
            <w:r w:rsidRPr="001A5DAB">
              <w:rPr>
                <w:rFonts w:ascii="Times New Roman" w:hAnsi="Times New Roman" w:hint="eastAsia"/>
                <w:sz w:val="18"/>
                <w:szCs w:val="18"/>
              </w:rPr>
              <w:t>+</w:t>
            </w:r>
            <w:r w:rsidRPr="001A5DAB">
              <w:rPr>
                <w:rFonts w:ascii="Times New Roman" w:hAnsi="Times New Roman" w:hint="eastAsia"/>
                <w:sz w:val="18"/>
                <w:szCs w:val="18"/>
              </w:rPr>
              <w:t>邻苯二甲酸二异</w:t>
            </w:r>
            <w:proofErr w:type="gramStart"/>
            <w:r w:rsidRPr="001A5DAB">
              <w:rPr>
                <w:rFonts w:ascii="Times New Roman" w:hAnsi="Times New Roman" w:hint="eastAsia"/>
                <w:sz w:val="18"/>
                <w:szCs w:val="18"/>
              </w:rPr>
              <w:t>癸</w:t>
            </w:r>
            <w:proofErr w:type="gramEnd"/>
            <w:r w:rsidRPr="001A5DAB">
              <w:rPr>
                <w:rFonts w:ascii="Times New Roman" w:hAnsi="Times New Roman" w:hint="eastAsia"/>
                <w:sz w:val="18"/>
                <w:szCs w:val="18"/>
              </w:rPr>
              <w:t>酯（</w:t>
            </w:r>
            <w:r w:rsidRPr="001A5DAB">
              <w:rPr>
                <w:rFonts w:ascii="Times New Roman" w:hAnsi="Times New Roman" w:hint="eastAsia"/>
                <w:sz w:val="18"/>
                <w:szCs w:val="18"/>
              </w:rPr>
              <w:t>DIDP</w:t>
            </w:r>
            <w:r w:rsidRPr="001A5DAB">
              <w:rPr>
                <w:rFonts w:ascii="Times New Roman" w:hAnsi="Times New Roman" w:hint="eastAsia"/>
                <w:sz w:val="18"/>
                <w:szCs w:val="18"/>
              </w:rPr>
              <w:t>）≤</w:t>
            </w:r>
            <w:r w:rsidRPr="001A5DAB">
              <w:rPr>
                <w:rFonts w:ascii="Times New Roman" w:hAnsi="Times New Roman" w:hint="eastAsia"/>
                <w:sz w:val="18"/>
                <w:szCs w:val="18"/>
              </w:rPr>
              <w:t>0.1%</w:t>
            </w:r>
          </w:p>
        </w:tc>
        <w:tc>
          <w:tcPr>
            <w:tcW w:w="1217" w:type="pct"/>
            <w:tcBorders>
              <w:right w:val="single" w:sz="12" w:space="0" w:color="auto"/>
            </w:tcBorders>
            <w:shd w:val="clear" w:color="auto" w:fill="auto"/>
            <w:vAlign w:val="center"/>
          </w:tcPr>
          <w:p w14:paraId="5D6C510D" w14:textId="77777777" w:rsidR="00084925" w:rsidRDefault="00084925" w:rsidP="00C17E96">
            <w:pPr>
              <w:spacing w:line="560" w:lineRule="exact"/>
              <w:jc w:val="center"/>
              <w:rPr>
                <w:rFonts w:ascii="Times New Roman" w:hAnsi="Times New Roman"/>
                <w:sz w:val="18"/>
                <w:szCs w:val="18"/>
              </w:rPr>
            </w:pPr>
            <w:bookmarkStart w:id="8" w:name="_Hlk164347473"/>
            <w:r>
              <w:rPr>
                <w:rFonts w:ascii="Times New Roman" w:hAnsi="Times New Roman" w:hint="eastAsia"/>
                <w:sz w:val="18"/>
                <w:szCs w:val="18"/>
              </w:rPr>
              <w:t>GB/T 22048</w:t>
            </w:r>
            <w:bookmarkEnd w:id="8"/>
          </w:p>
        </w:tc>
      </w:tr>
      <w:tr w:rsidR="00084925" w14:paraId="05F94E04" w14:textId="77777777" w:rsidTr="00084925">
        <w:trPr>
          <w:trHeight w:val="567"/>
          <w:jc w:val="center"/>
        </w:trPr>
        <w:tc>
          <w:tcPr>
            <w:tcW w:w="221" w:type="pct"/>
            <w:tcBorders>
              <w:left w:val="single" w:sz="12" w:space="0" w:color="auto"/>
            </w:tcBorders>
            <w:vAlign w:val="center"/>
          </w:tcPr>
          <w:p w14:paraId="64C54269"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10</w:t>
            </w:r>
          </w:p>
        </w:tc>
        <w:tc>
          <w:tcPr>
            <w:tcW w:w="249" w:type="pct"/>
            <w:vMerge/>
            <w:shd w:val="clear" w:color="auto" w:fill="auto"/>
            <w:vAlign w:val="center"/>
          </w:tcPr>
          <w:p w14:paraId="7E91A629" w14:textId="77777777" w:rsidR="00084925" w:rsidRDefault="00084925" w:rsidP="00C17E96">
            <w:pPr>
              <w:spacing w:line="560" w:lineRule="exact"/>
              <w:jc w:val="center"/>
              <w:rPr>
                <w:rFonts w:ascii="Times New Roman" w:hAnsi="Times New Roman"/>
                <w:sz w:val="18"/>
                <w:szCs w:val="18"/>
              </w:rPr>
            </w:pPr>
          </w:p>
        </w:tc>
        <w:tc>
          <w:tcPr>
            <w:tcW w:w="503" w:type="pct"/>
            <w:shd w:val="clear" w:color="auto" w:fill="auto"/>
            <w:vAlign w:val="center"/>
          </w:tcPr>
          <w:p w14:paraId="34A061F0" w14:textId="77777777" w:rsidR="00084925" w:rsidRDefault="00084925" w:rsidP="00C17E96">
            <w:pPr>
              <w:spacing w:line="560" w:lineRule="exact"/>
              <w:jc w:val="center"/>
              <w:rPr>
                <w:rFonts w:ascii="Times New Roman" w:hAnsi="Times New Roman"/>
                <w:sz w:val="18"/>
                <w:szCs w:val="18"/>
              </w:rPr>
            </w:pPr>
            <w:bookmarkStart w:id="9" w:name="_Hlk164348722"/>
            <w:r w:rsidRPr="001A5DAB">
              <w:rPr>
                <w:rFonts w:ascii="Times New Roman" w:hAnsi="Times New Roman" w:hint="eastAsia"/>
                <w:sz w:val="18"/>
                <w:szCs w:val="18"/>
              </w:rPr>
              <w:t>五氯苯酚及五氯苯酚盐</w:t>
            </w:r>
            <w:r w:rsidRPr="001A5DAB">
              <w:rPr>
                <w:rFonts w:ascii="Times New Roman" w:hAnsi="Times New Roman" w:hint="eastAsia"/>
                <w:sz w:val="18"/>
                <w:szCs w:val="18"/>
              </w:rPr>
              <w:t>(</w:t>
            </w:r>
            <w:r w:rsidRPr="001A5DAB">
              <w:rPr>
                <w:rFonts w:ascii="Times New Roman" w:hAnsi="Times New Roman" w:hint="eastAsia"/>
                <w:sz w:val="18"/>
                <w:szCs w:val="18"/>
              </w:rPr>
              <w:t>木材防腐剂</w:t>
            </w:r>
            <w:r w:rsidRPr="001A5DAB">
              <w:rPr>
                <w:rFonts w:ascii="Times New Roman" w:hAnsi="Times New Roman" w:hint="eastAsia"/>
                <w:sz w:val="18"/>
                <w:szCs w:val="18"/>
              </w:rPr>
              <w:t>)</w:t>
            </w:r>
            <w:r>
              <w:rPr>
                <w:rFonts w:ascii="Times New Roman" w:hAnsi="Times New Roman" w:hint="eastAsia"/>
                <w:sz w:val="18"/>
                <w:szCs w:val="18"/>
              </w:rPr>
              <w:t>限量</w:t>
            </w:r>
            <w:bookmarkEnd w:id="9"/>
          </w:p>
        </w:tc>
        <w:tc>
          <w:tcPr>
            <w:tcW w:w="654" w:type="pct"/>
            <w:shd w:val="clear" w:color="auto" w:fill="auto"/>
            <w:vAlign w:val="center"/>
          </w:tcPr>
          <w:p w14:paraId="07DA1586"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市场需求</w:t>
            </w:r>
          </w:p>
        </w:tc>
        <w:tc>
          <w:tcPr>
            <w:tcW w:w="2156" w:type="pct"/>
            <w:gridSpan w:val="3"/>
            <w:shd w:val="clear" w:color="auto" w:fill="auto"/>
            <w:vAlign w:val="center"/>
          </w:tcPr>
          <w:p w14:paraId="54786748" w14:textId="77777777" w:rsidR="00084925" w:rsidRDefault="00084925" w:rsidP="00C17E96">
            <w:pPr>
              <w:spacing w:line="560" w:lineRule="exact"/>
              <w:jc w:val="center"/>
              <w:rPr>
                <w:rFonts w:ascii="Times New Roman" w:hAnsi="Times New Roman"/>
                <w:sz w:val="18"/>
                <w:szCs w:val="18"/>
              </w:rPr>
            </w:pPr>
            <w:r w:rsidRPr="001A5DAB">
              <w:rPr>
                <w:rFonts w:ascii="Times New Roman" w:hAnsi="Times New Roman" w:hint="eastAsia"/>
                <w:sz w:val="18"/>
                <w:szCs w:val="18"/>
              </w:rPr>
              <w:t>五氯苯酚及五氯苯酚盐≤</w:t>
            </w:r>
            <w:r w:rsidRPr="001A5DAB">
              <w:rPr>
                <w:rFonts w:ascii="Times New Roman" w:hAnsi="Times New Roman" w:hint="eastAsia"/>
                <w:sz w:val="18"/>
                <w:szCs w:val="18"/>
              </w:rPr>
              <w:t>2 mg/kg</w:t>
            </w:r>
          </w:p>
        </w:tc>
        <w:tc>
          <w:tcPr>
            <w:tcW w:w="1217" w:type="pct"/>
            <w:tcBorders>
              <w:right w:val="single" w:sz="12" w:space="0" w:color="auto"/>
            </w:tcBorders>
            <w:shd w:val="clear" w:color="auto" w:fill="auto"/>
            <w:vAlign w:val="center"/>
          </w:tcPr>
          <w:p w14:paraId="2A1F1870" w14:textId="77777777" w:rsidR="00084925" w:rsidRDefault="00084925" w:rsidP="00C17E96">
            <w:pPr>
              <w:spacing w:line="560" w:lineRule="exact"/>
              <w:jc w:val="center"/>
              <w:rPr>
                <w:rFonts w:ascii="Times New Roman" w:hAnsi="Times New Roman"/>
                <w:sz w:val="18"/>
                <w:szCs w:val="18"/>
              </w:rPr>
            </w:pPr>
            <w:bookmarkStart w:id="10" w:name="_Hlk164347508"/>
            <w:r>
              <w:rPr>
                <w:rFonts w:ascii="Times New Roman" w:hAnsi="Times New Roman" w:hint="eastAsia"/>
                <w:sz w:val="18"/>
                <w:szCs w:val="18"/>
              </w:rPr>
              <w:t>LY/T 1985</w:t>
            </w:r>
            <w:bookmarkEnd w:id="10"/>
          </w:p>
        </w:tc>
      </w:tr>
      <w:tr w:rsidR="00084925" w14:paraId="359A7553" w14:textId="77777777" w:rsidTr="00084925">
        <w:trPr>
          <w:trHeight w:val="567"/>
          <w:jc w:val="center"/>
        </w:trPr>
        <w:tc>
          <w:tcPr>
            <w:tcW w:w="221" w:type="pct"/>
            <w:tcBorders>
              <w:left w:val="single" w:sz="12" w:space="0" w:color="auto"/>
              <w:bottom w:val="single" w:sz="12" w:space="0" w:color="auto"/>
            </w:tcBorders>
            <w:vAlign w:val="center"/>
          </w:tcPr>
          <w:p w14:paraId="4832B450" w14:textId="77777777" w:rsidR="00084925" w:rsidRDefault="00084925" w:rsidP="00C17E96">
            <w:pPr>
              <w:spacing w:line="560" w:lineRule="exact"/>
              <w:jc w:val="center"/>
              <w:rPr>
                <w:rFonts w:ascii="Times New Roman" w:hAnsi="Times New Roman"/>
                <w:sz w:val="18"/>
                <w:szCs w:val="18"/>
              </w:rPr>
            </w:pPr>
            <w:r>
              <w:rPr>
                <w:rFonts w:ascii="Times New Roman" w:hAnsi="Times New Roman" w:hint="eastAsia"/>
                <w:sz w:val="18"/>
                <w:szCs w:val="18"/>
              </w:rPr>
              <w:t>11</w:t>
            </w:r>
          </w:p>
        </w:tc>
        <w:tc>
          <w:tcPr>
            <w:tcW w:w="249" w:type="pct"/>
            <w:vMerge/>
            <w:tcBorders>
              <w:bottom w:val="single" w:sz="12" w:space="0" w:color="auto"/>
            </w:tcBorders>
            <w:shd w:val="clear" w:color="auto" w:fill="auto"/>
            <w:vAlign w:val="center"/>
          </w:tcPr>
          <w:p w14:paraId="5C3C3821" w14:textId="77777777" w:rsidR="00084925" w:rsidRDefault="00084925" w:rsidP="00C17E96">
            <w:pPr>
              <w:spacing w:line="560" w:lineRule="exact"/>
              <w:jc w:val="center"/>
              <w:rPr>
                <w:rFonts w:ascii="Times New Roman" w:hAnsi="Times New Roman"/>
                <w:sz w:val="18"/>
                <w:szCs w:val="18"/>
              </w:rPr>
            </w:pPr>
          </w:p>
        </w:tc>
        <w:tc>
          <w:tcPr>
            <w:tcW w:w="503" w:type="pct"/>
            <w:tcBorders>
              <w:bottom w:val="single" w:sz="12" w:space="0" w:color="auto"/>
            </w:tcBorders>
            <w:shd w:val="clear" w:color="auto" w:fill="auto"/>
            <w:vAlign w:val="center"/>
          </w:tcPr>
          <w:p w14:paraId="0D422661" w14:textId="77777777" w:rsidR="00084925" w:rsidRPr="001A5DAB" w:rsidRDefault="00084925" w:rsidP="00C17E96">
            <w:pPr>
              <w:spacing w:line="560" w:lineRule="exact"/>
              <w:jc w:val="center"/>
              <w:rPr>
                <w:rFonts w:ascii="Times New Roman" w:hAnsi="Times New Roman"/>
                <w:sz w:val="18"/>
                <w:szCs w:val="18"/>
              </w:rPr>
            </w:pPr>
            <w:bookmarkStart w:id="11" w:name="_Hlk164348730"/>
            <w:r w:rsidRPr="00464A80">
              <w:rPr>
                <w:rFonts w:ascii="Times New Roman" w:hAnsi="Times New Roman" w:hint="eastAsia"/>
                <w:sz w:val="18"/>
                <w:szCs w:val="18"/>
              </w:rPr>
              <w:t>富马酸二甲酯（生物杀灭剂）</w:t>
            </w:r>
            <w:r>
              <w:rPr>
                <w:rFonts w:ascii="Times New Roman" w:hAnsi="Times New Roman" w:hint="eastAsia"/>
                <w:sz w:val="18"/>
                <w:szCs w:val="18"/>
              </w:rPr>
              <w:t>限量</w:t>
            </w:r>
            <w:bookmarkEnd w:id="11"/>
          </w:p>
        </w:tc>
        <w:tc>
          <w:tcPr>
            <w:tcW w:w="654" w:type="pct"/>
            <w:tcBorders>
              <w:bottom w:val="single" w:sz="12" w:space="0" w:color="auto"/>
            </w:tcBorders>
            <w:shd w:val="clear" w:color="auto" w:fill="auto"/>
            <w:vAlign w:val="center"/>
          </w:tcPr>
          <w:p w14:paraId="3DC7094A" w14:textId="77777777" w:rsidR="00084925" w:rsidRDefault="00084925" w:rsidP="00C17E96">
            <w:pPr>
              <w:spacing w:line="560" w:lineRule="exact"/>
              <w:jc w:val="center"/>
              <w:rPr>
                <w:rFonts w:ascii="Times New Roman" w:hAnsi="Times New Roman"/>
                <w:sz w:val="18"/>
                <w:szCs w:val="18"/>
              </w:rPr>
            </w:pPr>
            <w:r>
              <w:rPr>
                <w:rFonts w:ascii="Times New Roman" w:hAnsi="Times New Roman"/>
                <w:sz w:val="18"/>
                <w:szCs w:val="18"/>
              </w:rPr>
              <w:t>市场需求</w:t>
            </w:r>
          </w:p>
        </w:tc>
        <w:tc>
          <w:tcPr>
            <w:tcW w:w="2156" w:type="pct"/>
            <w:gridSpan w:val="3"/>
            <w:tcBorders>
              <w:bottom w:val="single" w:sz="12" w:space="0" w:color="auto"/>
            </w:tcBorders>
            <w:shd w:val="clear" w:color="auto" w:fill="auto"/>
            <w:vAlign w:val="center"/>
          </w:tcPr>
          <w:p w14:paraId="17BC429D" w14:textId="77777777" w:rsidR="00084925" w:rsidRPr="001A5DAB" w:rsidRDefault="00084925" w:rsidP="00C17E96">
            <w:pPr>
              <w:spacing w:line="560" w:lineRule="exact"/>
              <w:jc w:val="center"/>
              <w:rPr>
                <w:rFonts w:ascii="Times New Roman" w:hAnsi="Times New Roman"/>
                <w:sz w:val="18"/>
                <w:szCs w:val="18"/>
              </w:rPr>
            </w:pPr>
            <w:r w:rsidRPr="00464A80">
              <w:rPr>
                <w:rFonts w:ascii="Times New Roman" w:hAnsi="Times New Roman" w:hint="eastAsia"/>
                <w:sz w:val="18"/>
                <w:szCs w:val="18"/>
              </w:rPr>
              <w:t>富马酸二甲酯≤</w:t>
            </w:r>
            <w:r w:rsidRPr="00464A80">
              <w:rPr>
                <w:rFonts w:ascii="Times New Roman" w:hAnsi="Times New Roman" w:hint="eastAsia"/>
                <w:sz w:val="18"/>
                <w:szCs w:val="18"/>
              </w:rPr>
              <w:t>0.1 mg/kg</w:t>
            </w:r>
          </w:p>
        </w:tc>
        <w:tc>
          <w:tcPr>
            <w:tcW w:w="1217" w:type="pct"/>
            <w:tcBorders>
              <w:bottom w:val="single" w:sz="12" w:space="0" w:color="auto"/>
              <w:right w:val="single" w:sz="12" w:space="0" w:color="auto"/>
            </w:tcBorders>
            <w:shd w:val="clear" w:color="auto" w:fill="auto"/>
            <w:vAlign w:val="center"/>
          </w:tcPr>
          <w:p w14:paraId="2C5435A3" w14:textId="77777777" w:rsidR="00084925" w:rsidRDefault="00084925" w:rsidP="00C17E96">
            <w:pPr>
              <w:spacing w:line="560" w:lineRule="exact"/>
              <w:jc w:val="center"/>
              <w:rPr>
                <w:rFonts w:ascii="Times New Roman" w:hAnsi="Times New Roman"/>
                <w:sz w:val="18"/>
                <w:szCs w:val="18"/>
              </w:rPr>
            </w:pPr>
            <w:bookmarkStart w:id="12" w:name="_Hlk164347550"/>
            <w:r>
              <w:rPr>
                <w:rFonts w:ascii="Times New Roman" w:hAnsi="Times New Roman" w:hint="eastAsia"/>
                <w:sz w:val="18"/>
                <w:szCs w:val="18"/>
              </w:rPr>
              <w:t>GB/T 27730</w:t>
            </w:r>
            <w:bookmarkEnd w:id="12"/>
          </w:p>
        </w:tc>
      </w:tr>
      <w:bookmarkEnd w:id="4"/>
    </w:tbl>
    <w:p w14:paraId="7F1427FA" w14:textId="77777777" w:rsidR="00084925" w:rsidRPr="00084925" w:rsidRDefault="00084925" w:rsidP="00084925">
      <w:pPr>
        <w:rPr>
          <w:rFonts w:hint="eastAsia"/>
        </w:rPr>
      </w:pPr>
    </w:p>
    <w:p w14:paraId="5612A2D2" w14:textId="77777777" w:rsid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14:paraId="6343FB09" w14:textId="77777777" w:rsidR="0017070C" w:rsidRP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sidRPr="0017070C">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评价结果划分为一级、二级和三级，各等级所对应的划分依据见表2。达到三级要求及以上的企业标准并按照有关要求进行自我声明公开后均可进入木制玩具企业标准排行榜。达到</w:t>
      </w:r>
      <w:proofErr w:type="gramStart"/>
      <w:r w:rsidRPr="0017070C">
        <w:rPr>
          <w:rFonts w:ascii="仿宋_GB2312" w:eastAsia="仿宋_GB2312" w:hAnsi="Times New Roman" w:cs="Times New Roman" w:hint="eastAsia"/>
          <w:sz w:val="24"/>
          <w:szCs w:val="24"/>
        </w:rPr>
        <w:t>一级要求</w:t>
      </w:r>
      <w:proofErr w:type="gramEnd"/>
      <w:r w:rsidRPr="0017070C">
        <w:rPr>
          <w:rFonts w:ascii="仿宋_GB2312" w:eastAsia="仿宋_GB2312" w:hAnsi="Times New Roman" w:cs="Times New Roman" w:hint="eastAsia"/>
          <w:sz w:val="24"/>
          <w:szCs w:val="24"/>
        </w:rPr>
        <w:t>的企业标准</w:t>
      </w:r>
      <w:proofErr w:type="gramStart"/>
      <w:r w:rsidRPr="0017070C">
        <w:rPr>
          <w:rFonts w:ascii="仿宋_GB2312" w:eastAsia="仿宋_GB2312" w:hAnsi="Times New Roman" w:cs="Times New Roman" w:hint="eastAsia"/>
          <w:sz w:val="24"/>
          <w:szCs w:val="24"/>
        </w:rPr>
        <w:t>且按照</w:t>
      </w:r>
      <w:proofErr w:type="gramEnd"/>
      <w:r w:rsidRPr="0017070C">
        <w:rPr>
          <w:rFonts w:ascii="仿宋_GB2312" w:eastAsia="仿宋_GB2312" w:hAnsi="Times New Roman" w:cs="Times New Roman" w:hint="eastAsia"/>
          <w:sz w:val="24"/>
          <w:szCs w:val="24"/>
        </w:rPr>
        <w:t>有关要求进行自我声</w:t>
      </w:r>
      <w:r w:rsidRPr="0017070C">
        <w:rPr>
          <w:rFonts w:ascii="仿宋_GB2312" w:eastAsia="仿宋_GB2312" w:hAnsi="Times New Roman" w:cs="Times New Roman" w:hint="eastAsia"/>
          <w:sz w:val="24"/>
          <w:szCs w:val="24"/>
        </w:rPr>
        <w:lastRenderedPageBreak/>
        <w:t>明公开后，其标准和符合标准的产品可以直接进入木制玩具企业标准“领跑者”候选名单。</w:t>
      </w:r>
    </w:p>
    <w:p w14:paraId="2D041AC3" w14:textId="77777777" w:rsidR="0017070C" w:rsidRDefault="0017070C" w:rsidP="0017070C">
      <w:pPr>
        <w:pStyle w:val="af"/>
        <w:adjustRightInd w:val="0"/>
        <w:snapToGrid w:val="0"/>
        <w:spacing w:before="156" w:after="156"/>
        <w:ind w:firstLine="440"/>
        <w:rPr>
          <w:rFonts w:hAnsi="宋体"/>
          <w:color w:val="000000"/>
          <w:szCs w:val="21"/>
        </w:rPr>
      </w:pPr>
      <w:r>
        <w:rPr>
          <w:rFonts w:hint="eastAsia"/>
        </w:rPr>
        <w:t>表2</w:t>
      </w:r>
      <w:r>
        <w:rPr>
          <w:rFonts w:hAnsi="宋体"/>
          <w:color w:val="000000"/>
          <w:szCs w:val="21"/>
        </w:rPr>
        <w:t>指标评价要求及等级划分</w:t>
      </w:r>
    </w:p>
    <w:tbl>
      <w:tblPr>
        <w:tblStyle w:val="a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65"/>
        <w:gridCol w:w="1665"/>
        <w:gridCol w:w="1665"/>
        <w:gridCol w:w="1665"/>
        <w:gridCol w:w="1666"/>
      </w:tblGrid>
      <w:tr w:rsidR="0017070C" w14:paraId="6D7E2223" w14:textId="77777777" w:rsidTr="00E55DB8">
        <w:trPr>
          <w:trHeight w:val="376"/>
          <w:tblHeader/>
          <w:jc w:val="center"/>
        </w:trPr>
        <w:tc>
          <w:tcPr>
            <w:tcW w:w="1866" w:type="dxa"/>
            <w:tcBorders>
              <w:top w:val="single" w:sz="8" w:space="0" w:color="auto"/>
              <w:bottom w:val="single" w:sz="8" w:space="0" w:color="auto"/>
            </w:tcBorders>
            <w:shd w:val="clear" w:color="auto" w:fill="auto"/>
            <w:vAlign w:val="center"/>
          </w:tcPr>
          <w:p w14:paraId="56B94721" w14:textId="77777777" w:rsidR="0017070C" w:rsidRDefault="0017070C" w:rsidP="00E55DB8">
            <w:pPr>
              <w:pStyle w:val="af2"/>
            </w:pPr>
            <w:r>
              <w:rPr>
                <w:rFonts w:hint="eastAsia"/>
              </w:rPr>
              <w:t>评价等级</w:t>
            </w:r>
          </w:p>
        </w:tc>
        <w:tc>
          <w:tcPr>
            <w:tcW w:w="7468" w:type="dxa"/>
            <w:gridSpan w:val="4"/>
            <w:tcBorders>
              <w:top w:val="single" w:sz="8" w:space="0" w:color="auto"/>
              <w:bottom w:val="single" w:sz="8" w:space="0" w:color="auto"/>
            </w:tcBorders>
            <w:shd w:val="clear" w:color="auto" w:fill="auto"/>
            <w:vAlign w:val="center"/>
          </w:tcPr>
          <w:p w14:paraId="1CEA8F0A" w14:textId="77777777" w:rsidR="0017070C" w:rsidRDefault="0017070C" w:rsidP="00E55DB8">
            <w:pPr>
              <w:pStyle w:val="af2"/>
            </w:pPr>
            <w:r>
              <w:rPr>
                <w:rFonts w:hint="eastAsia"/>
              </w:rPr>
              <w:t>满足条件</w:t>
            </w:r>
          </w:p>
        </w:tc>
      </w:tr>
      <w:tr w:rsidR="0017070C" w14:paraId="0B3367B0" w14:textId="77777777" w:rsidTr="00E55DB8">
        <w:trPr>
          <w:trHeight w:val="567"/>
          <w:jc w:val="center"/>
        </w:trPr>
        <w:tc>
          <w:tcPr>
            <w:tcW w:w="1866" w:type="dxa"/>
            <w:tcBorders>
              <w:top w:val="single" w:sz="8" w:space="0" w:color="auto"/>
            </w:tcBorders>
            <w:shd w:val="clear" w:color="auto" w:fill="auto"/>
            <w:vAlign w:val="center"/>
          </w:tcPr>
          <w:p w14:paraId="1AF078B3" w14:textId="77777777" w:rsidR="0017070C" w:rsidRDefault="0017070C" w:rsidP="00E55DB8">
            <w:pPr>
              <w:pStyle w:val="af2"/>
            </w:pPr>
            <w:r w:rsidRPr="002426EB">
              <w:rPr>
                <w:rFonts w:hint="eastAsia"/>
              </w:rPr>
              <w:t>领跑者水平</w:t>
            </w:r>
          </w:p>
        </w:tc>
        <w:tc>
          <w:tcPr>
            <w:tcW w:w="1867" w:type="dxa"/>
            <w:tcBorders>
              <w:top w:val="single" w:sz="8" w:space="0" w:color="auto"/>
            </w:tcBorders>
            <w:shd w:val="clear" w:color="auto" w:fill="auto"/>
            <w:vAlign w:val="center"/>
          </w:tcPr>
          <w:p w14:paraId="165338BB" w14:textId="77777777" w:rsidR="0017070C" w:rsidRDefault="0017070C" w:rsidP="00E55DB8">
            <w:pPr>
              <w:pStyle w:val="af2"/>
            </w:pPr>
            <w:r>
              <w:rPr>
                <w:rFonts w:hint="eastAsia"/>
              </w:rPr>
              <w:t>基本要求</w:t>
            </w:r>
          </w:p>
        </w:tc>
        <w:tc>
          <w:tcPr>
            <w:tcW w:w="1867" w:type="dxa"/>
            <w:tcBorders>
              <w:top w:val="single" w:sz="8" w:space="0" w:color="auto"/>
            </w:tcBorders>
            <w:shd w:val="clear" w:color="auto" w:fill="auto"/>
            <w:vAlign w:val="center"/>
          </w:tcPr>
          <w:p w14:paraId="11B41F46" w14:textId="77777777" w:rsidR="0017070C" w:rsidRDefault="0017070C" w:rsidP="00E55DB8">
            <w:pPr>
              <w:pStyle w:val="af2"/>
            </w:pPr>
            <w:r w:rsidRPr="00776670">
              <w:rPr>
                <w:rFonts w:hint="eastAsia"/>
              </w:rPr>
              <w:t>基础指标要求</w:t>
            </w:r>
          </w:p>
        </w:tc>
        <w:tc>
          <w:tcPr>
            <w:tcW w:w="1867" w:type="dxa"/>
            <w:tcBorders>
              <w:top w:val="single" w:sz="8" w:space="0" w:color="auto"/>
            </w:tcBorders>
            <w:shd w:val="clear" w:color="auto" w:fill="auto"/>
            <w:vAlign w:val="center"/>
          </w:tcPr>
          <w:p w14:paraId="462082E4" w14:textId="77777777" w:rsidR="0017070C" w:rsidRPr="00A0631C" w:rsidRDefault="0017070C" w:rsidP="00E55DB8">
            <w:pPr>
              <w:pStyle w:val="af2"/>
            </w:pPr>
            <w:r w:rsidRPr="00A0631C">
              <w:rPr>
                <w:rFonts w:hint="eastAsia"/>
              </w:rPr>
              <w:t>核心指标</w:t>
            </w:r>
          </w:p>
          <w:p w14:paraId="684A4316" w14:textId="77777777" w:rsidR="0017070C" w:rsidRPr="00A0631C" w:rsidRDefault="0017070C" w:rsidP="00E55DB8">
            <w:pPr>
              <w:pStyle w:val="af2"/>
            </w:pPr>
            <w:r w:rsidRPr="00A0631C">
              <w:rPr>
                <w:rFonts w:hint="eastAsia"/>
              </w:rPr>
              <w:t>先进水平要求</w:t>
            </w:r>
          </w:p>
        </w:tc>
        <w:tc>
          <w:tcPr>
            <w:tcW w:w="1867" w:type="dxa"/>
            <w:tcBorders>
              <w:top w:val="single" w:sz="8" w:space="0" w:color="auto"/>
            </w:tcBorders>
            <w:shd w:val="clear" w:color="auto" w:fill="auto"/>
            <w:vAlign w:val="center"/>
          </w:tcPr>
          <w:p w14:paraId="03FC902B" w14:textId="77777777" w:rsidR="0017070C" w:rsidRPr="00A0631C" w:rsidRDefault="0017070C" w:rsidP="00E55DB8">
            <w:pPr>
              <w:pStyle w:val="af2"/>
            </w:pPr>
            <w:r w:rsidRPr="00A0631C">
              <w:rPr>
                <w:rFonts w:hint="eastAsia"/>
              </w:rPr>
              <w:t>创新性指标要求</w:t>
            </w:r>
          </w:p>
        </w:tc>
      </w:tr>
      <w:tr w:rsidR="0017070C" w14:paraId="37D59639" w14:textId="77777777" w:rsidTr="00E55DB8">
        <w:trPr>
          <w:trHeight w:val="567"/>
          <w:jc w:val="center"/>
        </w:trPr>
        <w:tc>
          <w:tcPr>
            <w:tcW w:w="1866" w:type="dxa"/>
            <w:shd w:val="clear" w:color="auto" w:fill="auto"/>
            <w:vAlign w:val="center"/>
          </w:tcPr>
          <w:p w14:paraId="4E1D88E7" w14:textId="77777777" w:rsidR="0017070C" w:rsidRDefault="0017070C" w:rsidP="00E55DB8">
            <w:pPr>
              <w:pStyle w:val="af2"/>
            </w:pPr>
            <w:r w:rsidRPr="002426EB">
              <w:rPr>
                <w:rFonts w:hint="eastAsia"/>
              </w:rPr>
              <w:t>优质水平</w:t>
            </w:r>
          </w:p>
        </w:tc>
        <w:tc>
          <w:tcPr>
            <w:tcW w:w="1867" w:type="dxa"/>
            <w:shd w:val="clear" w:color="auto" w:fill="auto"/>
            <w:vAlign w:val="center"/>
          </w:tcPr>
          <w:p w14:paraId="5E19E813" w14:textId="77777777" w:rsidR="0017070C" w:rsidRDefault="0017070C" w:rsidP="00E55DB8">
            <w:pPr>
              <w:pStyle w:val="af2"/>
            </w:pPr>
            <w:r>
              <w:rPr>
                <w:rFonts w:hint="eastAsia"/>
              </w:rPr>
              <w:t>基本要求</w:t>
            </w:r>
          </w:p>
        </w:tc>
        <w:tc>
          <w:tcPr>
            <w:tcW w:w="1867" w:type="dxa"/>
            <w:shd w:val="clear" w:color="auto" w:fill="auto"/>
            <w:vAlign w:val="center"/>
          </w:tcPr>
          <w:p w14:paraId="22E8F8CC" w14:textId="77777777" w:rsidR="0017070C" w:rsidRDefault="0017070C" w:rsidP="00E55DB8">
            <w:pPr>
              <w:pStyle w:val="af2"/>
            </w:pPr>
            <w:r w:rsidRPr="00776670">
              <w:rPr>
                <w:rFonts w:hint="eastAsia"/>
              </w:rPr>
              <w:t>基础指标要求</w:t>
            </w:r>
          </w:p>
        </w:tc>
        <w:tc>
          <w:tcPr>
            <w:tcW w:w="1867" w:type="dxa"/>
            <w:shd w:val="clear" w:color="auto" w:fill="auto"/>
            <w:vAlign w:val="center"/>
          </w:tcPr>
          <w:p w14:paraId="5E9D600E" w14:textId="77777777" w:rsidR="0017070C" w:rsidRPr="00A0631C" w:rsidRDefault="0017070C" w:rsidP="00E55DB8">
            <w:pPr>
              <w:pStyle w:val="af2"/>
            </w:pPr>
            <w:r w:rsidRPr="00A0631C">
              <w:rPr>
                <w:rFonts w:hint="eastAsia"/>
              </w:rPr>
              <w:t>核心指标</w:t>
            </w:r>
          </w:p>
          <w:p w14:paraId="567AF0E5" w14:textId="77777777" w:rsidR="0017070C" w:rsidRPr="00A0631C" w:rsidRDefault="0017070C" w:rsidP="00E55DB8">
            <w:pPr>
              <w:pStyle w:val="af2"/>
            </w:pPr>
            <w:r w:rsidRPr="00A0631C">
              <w:rPr>
                <w:rFonts w:hint="eastAsia"/>
              </w:rPr>
              <w:t>平均水平要求</w:t>
            </w:r>
          </w:p>
        </w:tc>
        <w:tc>
          <w:tcPr>
            <w:tcW w:w="1867" w:type="dxa"/>
            <w:shd w:val="clear" w:color="auto" w:fill="auto"/>
            <w:vAlign w:val="center"/>
          </w:tcPr>
          <w:p w14:paraId="45786C0A" w14:textId="77777777" w:rsidR="0017070C" w:rsidRPr="00A0631C" w:rsidRDefault="0017070C" w:rsidP="00E55DB8">
            <w:pPr>
              <w:pStyle w:val="af2"/>
            </w:pPr>
            <w:r w:rsidRPr="00A0631C">
              <w:rPr>
                <w:rFonts w:hint="eastAsia"/>
              </w:rPr>
              <w:t>—</w:t>
            </w:r>
          </w:p>
        </w:tc>
      </w:tr>
      <w:tr w:rsidR="0017070C" w14:paraId="63B28890" w14:textId="77777777" w:rsidTr="00E55DB8">
        <w:trPr>
          <w:trHeight w:val="567"/>
          <w:jc w:val="center"/>
        </w:trPr>
        <w:tc>
          <w:tcPr>
            <w:tcW w:w="1866" w:type="dxa"/>
            <w:shd w:val="clear" w:color="auto" w:fill="auto"/>
            <w:vAlign w:val="center"/>
          </w:tcPr>
          <w:p w14:paraId="17F0D357" w14:textId="77777777" w:rsidR="0017070C" w:rsidRDefault="0017070C" w:rsidP="00E55DB8">
            <w:pPr>
              <w:pStyle w:val="af2"/>
            </w:pPr>
            <w:r w:rsidRPr="002426EB">
              <w:rPr>
                <w:rFonts w:hint="eastAsia"/>
              </w:rPr>
              <w:t>达标水平</w:t>
            </w:r>
          </w:p>
        </w:tc>
        <w:tc>
          <w:tcPr>
            <w:tcW w:w="1867" w:type="dxa"/>
            <w:shd w:val="clear" w:color="auto" w:fill="auto"/>
            <w:vAlign w:val="center"/>
          </w:tcPr>
          <w:p w14:paraId="0CE860CA" w14:textId="77777777" w:rsidR="0017070C" w:rsidRDefault="0017070C" w:rsidP="00E55DB8">
            <w:pPr>
              <w:pStyle w:val="af2"/>
            </w:pPr>
            <w:r>
              <w:rPr>
                <w:rFonts w:hint="eastAsia"/>
              </w:rPr>
              <w:t>基本要求</w:t>
            </w:r>
          </w:p>
        </w:tc>
        <w:tc>
          <w:tcPr>
            <w:tcW w:w="1867" w:type="dxa"/>
            <w:shd w:val="clear" w:color="auto" w:fill="auto"/>
            <w:vAlign w:val="center"/>
          </w:tcPr>
          <w:p w14:paraId="49D5D0FE" w14:textId="77777777" w:rsidR="0017070C" w:rsidRDefault="0017070C" w:rsidP="00E55DB8">
            <w:pPr>
              <w:pStyle w:val="af2"/>
            </w:pPr>
            <w:r w:rsidRPr="00776670">
              <w:rPr>
                <w:rFonts w:hint="eastAsia"/>
              </w:rPr>
              <w:t>基础指标要求</w:t>
            </w:r>
          </w:p>
        </w:tc>
        <w:tc>
          <w:tcPr>
            <w:tcW w:w="1867" w:type="dxa"/>
            <w:shd w:val="clear" w:color="auto" w:fill="auto"/>
            <w:vAlign w:val="center"/>
          </w:tcPr>
          <w:p w14:paraId="2ABF6F2D" w14:textId="77777777" w:rsidR="0017070C" w:rsidRPr="00A0631C" w:rsidRDefault="0017070C" w:rsidP="00E55DB8">
            <w:pPr>
              <w:pStyle w:val="af2"/>
            </w:pPr>
            <w:r w:rsidRPr="00A0631C">
              <w:rPr>
                <w:rFonts w:hint="eastAsia"/>
              </w:rPr>
              <w:t>核心指标</w:t>
            </w:r>
          </w:p>
          <w:p w14:paraId="0D18CF18" w14:textId="77777777" w:rsidR="0017070C" w:rsidRPr="00A0631C" w:rsidRDefault="0017070C" w:rsidP="00E55DB8">
            <w:pPr>
              <w:pStyle w:val="af2"/>
            </w:pPr>
            <w:r w:rsidRPr="00A0631C">
              <w:rPr>
                <w:rFonts w:hint="eastAsia"/>
              </w:rPr>
              <w:t>基准水平要求</w:t>
            </w:r>
          </w:p>
        </w:tc>
        <w:tc>
          <w:tcPr>
            <w:tcW w:w="1867" w:type="dxa"/>
            <w:shd w:val="clear" w:color="auto" w:fill="auto"/>
            <w:vAlign w:val="center"/>
          </w:tcPr>
          <w:p w14:paraId="0BCD729C" w14:textId="77777777" w:rsidR="0017070C" w:rsidRPr="00A0631C" w:rsidRDefault="0017070C" w:rsidP="00E55DB8">
            <w:pPr>
              <w:pStyle w:val="af2"/>
            </w:pPr>
            <w:r w:rsidRPr="00A0631C">
              <w:rPr>
                <w:rFonts w:hint="eastAsia"/>
              </w:rPr>
              <w:t>—</w:t>
            </w:r>
          </w:p>
        </w:tc>
      </w:tr>
    </w:tbl>
    <w:p w14:paraId="668C6D2C" w14:textId="1183679C" w:rsidR="0017070C" w:rsidRDefault="0017070C" w:rsidP="0017070C">
      <w:pPr>
        <w:adjustRightInd/>
        <w:snapToGrid/>
        <w:spacing w:after="0" w:line="360" w:lineRule="auto"/>
        <w:jc w:val="both"/>
        <w:rPr>
          <w:rFonts w:ascii="仿宋_GB2312" w:eastAsia="仿宋_GB2312" w:hAnsi="Times New Roman" w:cs="Times New Roman"/>
          <w:sz w:val="24"/>
          <w:szCs w:val="24"/>
        </w:rPr>
      </w:pPr>
    </w:p>
    <w:p w14:paraId="220FB38C" w14:textId="77777777" w:rsidR="0017070C" w:rsidRDefault="0017070C" w:rsidP="0017070C">
      <w:pPr>
        <w:numPr>
          <w:ilvl w:val="0"/>
          <w:numId w:val="3"/>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77D0D887" w14:textId="32C397D3" w:rsidR="0017070C"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r w:rsidRPr="0017070C">
        <w:rPr>
          <w:rFonts w:ascii="仿宋_GB2312" w:eastAsia="仿宋_GB2312" w:hAnsi="Times New Roman" w:cs="Times New Roman" w:hint="eastAsia"/>
          <w:sz w:val="24"/>
          <w:szCs w:val="24"/>
        </w:rPr>
        <w:t>目前没有相关的</w:t>
      </w:r>
      <w:r>
        <w:rPr>
          <w:rFonts w:ascii="仿宋_GB2312" w:eastAsia="仿宋_GB2312" w:hAnsi="Times New Roman" w:cs="Times New Roman" w:hint="eastAsia"/>
          <w:sz w:val="24"/>
          <w:szCs w:val="24"/>
        </w:rPr>
        <w:t>木制玩具</w:t>
      </w:r>
      <w:r w:rsidRPr="0017070C">
        <w:rPr>
          <w:rFonts w:ascii="仿宋_GB2312" w:eastAsia="仿宋_GB2312" w:hAnsi="Times New Roman" w:cs="Times New Roman" w:hint="eastAsia"/>
          <w:sz w:val="24"/>
          <w:szCs w:val="24"/>
        </w:rPr>
        <w:t>相关的质量分级及领跑</w:t>
      </w:r>
      <w:proofErr w:type="gramStart"/>
      <w:r w:rsidRPr="0017070C">
        <w:rPr>
          <w:rFonts w:ascii="仿宋_GB2312" w:eastAsia="仿宋_GB2312" w:hAnsi="Times New Roman" w:cs="Times New Roman" w:hint="eastAsia"/>
          <w:sz w:val="24"/>
          <w:szCs w:val="24"/>
        </w:rPr>
        <w:t>者团标</w:t>
      </w:r>
      <w:proofErr w:type="gramEnd"/>
      <w:r w:rsidRPr="0017070C">
        <w:rPr>
          <w:rFonts w:ascii="仿宋_GB2312" w:eastAsia="仿宋_GB2312" w:hAnsi="Times New Roman" w:cs="Times New Roman" w:hint="eastAsia"/>
          <w:sz w:val="24"/>
          <w:szCs w:val="24"/>
        </w:rPr>
        <w:t>。目前已有的相关标准包括：</w:t>
      </w:r>
      <w:r w:rsidR="00084925" w:rsidRPr="00084925">
        <w:rPr>
          <w:rFonts w:ascii="仿宋_GB2312" w:eastAsia="仿宋_GB2312" w:hAnsi="Times New Roman" w:cs="Times New Roman" w:hint="eastAsia"/>
          <w:sz w:val="24"/>
          <w:szCs w:val="24"/>
        </w:rPr>
        <w:t>GB/T 28495—2012《竹木玩具通用技术条件》、GB 6675 《玩具安全》系列标准和T/ZZB 0130《木制玩具》“浙江制造”标准</w:t>
      </w:r>
      <w:r w:rsidR="006D2B1E">
        <w:rPr>
          <w:rFonts w:ascii="仿宋_GB2312" w:eastAsia="仿宋_GB2312" w:hAnsi="Times New Roman" w:cs="Times New Roman" w:hint="eastAsia"/>
          <w:sz w:val="24"/>
          <w:szCs w:val="24"/>
        </w:rPr>
        <w:t>。</w:t>
      </w:r>
    </w:p>
    <w:p w14:paraId="2FD45E83" w14:textId="3659D806" w:rsidR="006D2B1E" w:rsidRDefault="006D2B1E" w:rsidP="0017070C">
      <w:pPr>
        <w:adjustRightInd/>
        <w:snapToGrid/>
        <w:spacing w:after="0" w:line="360" w:lineRule="auto"/>
        <w:ind w:firstLineChars="200" w:firstLine="480"/>
        <w:jc w:val="both"/>
        <w:rPr>
          <w:rFonts w:ascii="仿宋_GB2312" w:eastAsia="仿宋_GB2312" w:hAnsi="Times New Roman" w:cs="Times New Roman"/>
          <w:sz w:val="24"/>
          <w:szCs w:val="24"/>
        </w:rPr>
      </w:pPr>
      <w:r w:rsidRPr="006D2B1E">
        <w:rPr>
          <w:rFonts w:ascii="仿宋_GB2312" w:eastAsia="仿宋_GB2312" w:hAnsi="Times New Roman" w:cs="Times New Roman" w:hint="eastAsia"/>
          <w:sz w:val="24"/>
          <w:szCs w:val="24"/>
        </w:rPr>
        <w:t>与上述标准相比，本标准根据TCAS 700-2023 TCSTE 0321—2023 《质量分级及“领跑者”评价标准编制通则》规定了“领跑者”标准评价要求</w:t>
      </w:r>
      <w:r>
        <w:rPr>
          <w:rFonts w:ascii="仿宋_GB2312" w:eastAsia="仿宋_GB2312" w:hAnsi="Times New Roman" w:cs="Times New Roman" w:hint="eastAsia"/>
          <w:sz w:val="24"/>
          <w:szCs w:val="24"/>
        </w:rPr>
        <w:t>木制玩具</w:t>
      </w:r>
      <w:r w:rsidRPr="006D2B1E">
        <w:rPr>
          <w:rFonts w:ascii="仿宋_GB2312" w:eastAsia="仿宋_GB2312" w:hAnsi="Times New Roman" w:cs="Times New Roman" w:hint="eastAsia"/>
          <w:sz w:val="24"/>
          <w:szCs w:val="24"/>
        </w:rPr>
        <w:t>的评价指标体系（包括基本要求、评价指标分类、评价指标体系框架）和评价方法及等级划分等内容。</w:t>
      </w:r>
    </w:p>
    <w:p w14:paraId="077CBFAF" w14:textId="023C97AA" w:rsidR="006D2B1E" w:rsidRPr="006D2B1E" w:rsidRDefault="006D2B1E" w:rsidP="0017070C">
      <w:pPr>
        <w:adjustRightInd/>
        <w:snapToGrid/>
        <w:spacing w:after="0" w:line="360" w:lineRule="auto"/>
        <w:ind w:firstLineChars="200" w:firstLine="480"/>
        <w:jc w:val="both"/>
        <w:rPr>
          <w:rFonts w:ascii="仿宋_GB2312" w:eastAsia="仿宋_GB2312" w:hAnsi="Times New Roman" w:cs="Times New Roman"/>
          <w:sz w:val="24"/>
          <w:szCs w:val="24"/>
        </w:rPr>
      </w:pPr>
      <w:r w:rsidRPr="006D2B1E">
        <w:rPr>
          <w:rFonts w:ascii="仿宋_GB2312" w:eastAsia="仿宋_GB2312" w:hAnsi="Times New Roman" w:cs="Times New Roman" w:hint="eastAsia"/>
          <w:sz w:val="24"/>
          <w:szCs w:val="24"/>
        </w:rPr>
        <w:t xml:space="preserve">在指标对比情况方面，本次拟制定的“领跑者”标准评价要求 </w:t>
      </w:r>
      <w:r>
        <w:rPr>
          <w:rFonts w:ascii="仿宋_GB2312" w:eastAsia="仿宋_GB2312" w:hAnsi="Times New Roman" w:cs="Times New Roman" w:hint="eastAsia"/>
          <w:sz w:val="24"/>
          <w:szCs w:val="24"/>
        </w:rPr>
        <w:t>木制玩具</w:t>
      </w:r>
      <w:r w:rsidRPr="006D2B1E">
        <w:rPr>
          <w:rFonts w:ascii="仿宋_GB2312" w:eastAsia="仿宋_GB2312" w:hAnsi="Times New Roman" w:cs="Times New Roman" w:hint="eastAsia"/>
          <w:sz w:val="24"/>
          <w:szCs w:val="24"/>
        </w:rPr>
        <w:t>团体标准将在GB 6675 《玩具安全》系列标准的要求上，以“质量分级”的相关要求，将指标划分为基础指标、核心指标、创新性指标并针对核心指标提出更加严格的要求，针对创新性指标做出新的规定，见表1 评价指标体系。</w:t>
      </w:r>
    </w:p>
    <w:p w14:paraId="0FB95893" w14:textId="77777777" w:rsidR="006D2B1E" w:rsidRDefault="006D2B1E" w:rsidP="006D2B1E">
      <w:pPr>
        <w:numPr>
          <w:ilvl w:val="0"/>
          <w:numId w:val="3"/>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14:paraId="5487B9B2" w14:textId="77777777" w:rsidR="006D2B1E" w:rsidRDefault="006D2B1E" w:rsidP="006D2B1E">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w:t>
      </w:r>
      <w:proofErr w:type="gramStart"/>
      <w:r>
        <w:rPr>
          <w:rFonts w:ascii="仿宋_GB2312" w:eastAsia="仿宋_GB2312" w:hAnsi="Times New Roman" w:cs="Times New Roman" w:hint="eastAsia"/>
          <w:sz w:val="24"/>
          <w:szCs w:val="24"/>
        </w:rPr>
        <w:t>行标和</w:t>
      </w:r>
      <w:proofErr w:type="gramEnd"/>
      <w:r>
        <w:rPr>
          <w:rFonts w:ascii="仿宋_GB2312" w:eastAsia="仿宋_GB2312" w:hAnsi="Times New Roman" w:cs="Times New Roman" w:hint="eastAsia"/>
          <w:sz w:val="24"/>
          <w:szCs w:val="24"/>
        </w:rPr>
        <w:t>地标等推荐性标准的情况。</w:t>
      </w:r>
    </w:p>
    <w:p w14:paraId="79253285" w14:textId="77777777" w:rsidR="006D2B1E" w:rsidRDefault="006D2B1E" w:rsidP="006D2B1E">
      <w:pPr>
        <w:numPr>
          <w:ilvl w:val="0"/>
          <w:numId w:val="3"/>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23101AC5" w14:textId="77777777" w:rsidR="006D2B1E" w:rsidRDefault="006D2B1E" w:rsidP="006D2B1E">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3BDFB42F" w14:textId="77777777" w:rsidR="006D2B1E" w:rsidRDefault="006D2B1E" w:rsidP="006D2B1E">
      <w:pPr>
        <w:numPr>
          <w:ilvl w:val="0"/>
          <w:numId w:val="3"/>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lastRenderedPageBreak/>
        <w:t>标准编制过程中重大分歧意见的处理和依据</w:t>
      </w:r>
    </w:p>
    <w:p w14:paraId="101046E5" w14:textId="77777777" w:rsidR="006D2B1E" w:rsidRDefault="006D2B1E" w:rsidP="006D2B1E">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5B7C6E2C" w14:textId="77777777" w:rsidR="006D2B1E" w:rsidRDefault="006D2B1E" w:rsidP="006D2B1E">
      <w:pPr>
        <w:numPr>
          <w:ilvl w:val="0"/>
          <w:numId w:val="3"/>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4F9B638D" w14:textId="77777777" w:rsidR="006D2B1E" w:rsidRDefault="006D2B1E" w:rsidP="006D2B1E">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6969DD8E" w14:textId="77777777" w:rsidR="0017070C" w:rsidRPr="006D2B1E" w:rsidRDefault="0017070C" w:rsidP="0017070C">
      <w:pPr>
        <w:adjustRightInd/>
        <w:snapToGrid/>
        <w:spacing w:after="0" w:line="360" w:lineRule="auto"/>
        <w:ind w:firstLineChars="200" w:firstLine="480"/>
        <w:jc w:val="both"/>
        <w:rPr>
          <w:rFonts w:ascii="仿宋_GB2312" w:eastAsia="仿宋_GB2312" w:hAnsi="Times New Roman" w:cs="Times New Roman"/>
          <w:sz w:val="24"/>
          <w:szCs w:val="24"/>
        </w:rPr>
      </w:pPr>
    </w:p>
    <w:p w14:paraId="2169C194" w14:textId="77777777" w:rsidR="0017070C" w:rsidRPr="0017070C" w:rsidRDefault="0017070C" w:rsidP="00463A7D">
      <w:pPr>
        <w:adjustRightInd/>
        <w:snapToGrid/>
        <w:spacing w:after="0" w:line="360" w:lineRule="auto"/>
        <w:ind w:firstLineChars="200" w:firstLine="480"/>
        <w:jc w:val="both"/>
        <w:rPr>
          <w:rFonts w:ascii="仿宋_GB2312" w:eastAsia="仿宋_GB2312" w:hAnsi="Times New Roman" w:cs="Times New Roman"/>
          <w:sz w:val="24"/>
          <w:szCs w:val="24"/>
        </w:rPr>
      </w:pPr>
    </w:p>
    <w:p w14:paraId="48FCCD42" w14:textId="77777777" w:rsidR="00463A7D" w:rsidRPr="00463A7D" w:rsidRDefault="00463A7D" w:rsidP="00463A7D">
      <w:pPr>
        <w:adjustRightInd/>
        <w:snapToGrid/>
        <w:spacing w:after="0" w:line="360" w:lineRule="auto"/>
        <w:jc w:val="both"/>
        <w:rPr>
          <w:rFonts w:ascii="仿宋_GB2312" w:eastAsia="仿宋_GB2312" w:hAnsi="Times New Roman" w:cs="Times New Roman"/>
          <w:sz w:val="24"/>
          <w:szCs w:val="24"/>
          <w14:ligatures w14:val="none"/>
        </w:rPr>
      </w:pPr>
    </w:p>
    <w:sectPr w:rsidR="00463A7D" w:rsidRPr="00463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62E02" w14:textId="77777777" w:rsidR="00D6212E" w:rsidRDefault="00D6212E" w:rsidP="00FA29AB">
      <w:pPr>
        <w:spacing w:after="0"/>
      </w:pPr>
      <w:r>
        <w:separator/>
      </w:r>
    </w:p>
  </w:endnote>
  <w:endnote w:type="continuationSeparator" w:id="0">
    <w:p w14:paraId="5922E738" w14:textId="77777777" w:rsidR="00D6212E" w:rsidRDefault="00D6212E" w:rsidP="00FA2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282E1" w14:textId="77777777" w:rsidR="00D6212E" w:rsidRDefault="00D6212E" w:rsidP="00FA29AB">
      <w:pPr>
        <w:spacing w:after="0"/>
      </w:pPr>
      <w:r>
        <w:separator/>
      </w:r>
    </w:p>
  </w:footnote>
  <w:footnote w:type="continuationSeparator" w:id="0">
    <w:p w14:paraId="7DE8AA9B" w14:textId="77777777" w:rsidR="00D6212E" w:rsidRDefault="00D6212E" w:rsidP="00FA29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23098F"/>
    <w:multiLevelType w:val="multilevel"/>
    <w:tmpl w:val="D5F49D90"/>
    <w:lvl w:ilvl="0">
      <w:start w:val="1"/>
      <w:numFmt w:val="decimal"/>
      <w:suff w:val="space"/>
      <w:lvlText w:val="%1"/>
      <w:lvlJc w:val="left"/>
      <w:pPr>
        <w:ind w:left="510" w:hanging="510"/>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suff w:val="space"/>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65CC0349"/>
    <w:multiLevelType w:val="hybridMultilevel"/>
    <w:tmpl w:val="64A0E53C"/>
    <w:lvl w:ilvl="0" w:tplc="1BD6322E">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6CEA2025"/>
    <w:multiLevelType w:val="multilevel"/>
    <w:tmpl w:val="C7628974"/>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F752E87"/>
    <w:multiLevelType w:val="hybridMultilevel"/>
    <w:tmpl w:val="21EA73C8"/>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 w15:restartNumberingAfterBreak="0">
    <w:nsid w:val="73FA15C2"/>
    <w:multiLevelType w:val="hybridMultilevel"/>
    <w:tmpl w:val="21EA73C8"/>
    <w:lvl w:ilvl="0" w:tplc="E53CE27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89514687">
    <w:abstractNumId w:val="0"/>
  </w:num>
  <w:num w:numId="2" w16cid:durableId="1772624766">
    <w:abstractNumId w:val="0"/>
  </w:num>
  <w:num w:numId="3" w16cid:durableId="1568688062">
    <w:abstractNumId w:val="5"/>
  </w:num>
  <w:num w:numId="4" w16cid:durableId="182406895">
    <w:abstractNumId w:val="2"/>
  </w:num>
  <w:num w:numId="5" w16cid:durableId="146165541">
    <w:abstractNumId w:val="1"/>
  </w:num>
  <w:num w:numId="6" w16cid:durableId="495074383">
    <w:abstractNumId w:val="4"/>
  </w:num>
  <w:num w:numId="7" w16cid:durableId="473833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1921"/>
    <w:rsid w:val="00084925"/>
    <w:rsid w:val="0017070C"/>
    <w:rsid w:val="00182970"/>
    <w:rsid w:val="001D033B"/>
    <w:rsid w:val="002C3C63"/>
    <w:rsid w:val="003450AB"/>
    <w:rsid w:val="00463A7D"/>
    <w:rsid w:val="004C62C0"/>
    <w:rsid w:val="005956C4"/>
    <w:rsid w:val="005967B5"/>
    <w:rsid w:val="00682BAB"/>
    <w:rsid w:val="006A6783"/>
    <w:rsid w:val="006D2B1E"/>
    <w:rsid w:val="00742E90"/>
    <w:rsid w:val="00781921"/>
    <w:rsid w:val="007B0999"/>
    <w:rsid w:val="00801630"/>
    <w:rsid w:val="0082177A"/>
    <w:rsid w:val="00874586"/>
    <w:rsid w:val="008B1382"/>
    <w:rsid w:val="008B3420"/>
    <w:rsid w:val="00915044"/>
    <w:rsid w:val="00954CBC"/>
    <w:rsid w:val="00982882"/>
    <w:rsid w:val="009A5984"/>
    <w:rsid w:val="00A40E45"/>
    <w:rsid w:val="00B277FE"/>
    <w:rsid w:val="00B45809"/>
    <w:rsid w:val="00B63C9C"/>
    <w:rsid w:val="00BA30C0"/>
    <w:rsid w:val="00BE64F6"/>
    <w:rsid w:val="00C47D69"/>
    <w:rsid w:val="00C54D51"/>
    <w:rsid w:val="00CF0279"/>
    <w:rsid w:val="00D214D9"/>
    <w:rsid w:val="00D6212E"/>
    <w:rsid w:val="00D9619C"/>
    <w:rsid w:val="00DC02FA"/>
    <w:rsid w:val="00DE7789"/>
    <w:rsid w:val="00E33A46"/>
    <w:rsid w:val="00F07824"/>
    <w:rsid w:val="00F3165A"/>
    <w:rsid w:val="00FA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CFF17"/>
  <w15:chartTrackingRefBased/>
  <w15:docId w15:val="{366D85B1-9CB4-4E9D-AC4B-A82F640B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FA29AB"/>
    <w:pPr>
      <w:adjustRightInd w:val="0"/>
      <w:snapToGrid w:val="0"/>
      <w:spacing w:after="200"/>
    </w:pPr>
    <w:rPr>
      <w:rFonts w:ascii="Tahoma" w:eastAsia="微软雅黑" w:hAnsi="Tahoma"/>
      <w:kern w:val="0"/>
      <w:sz w:val="22"/>
    </w:rPr>
  </w:style>
  <w:style w:type="paragraph" w:styleId="1">
    <w:name w:val="heading 1"/>
    <w:basedOn w:val="a6"/>
    <w:next w:val="a6"/>
    <w:link w:val="10"/>
    <w:autoRedefine/>
    <w:qFormat/>
    <w:rsid w:val="00B277FE"/>
    <w:pPr>
      <w:keepNext/>
      <w:keepLines/>
      <w:spacing w:line="360" w:lineRule="auto"/>
      <w:outlineLvl w:val="0"/>
    </w:pPr>
    <w:rPr>
      <w:b/>
      <w:bCs/>
      <w:kern w:val="44"/>
      <w:sz w:val="28"/>
      <w:szCs w:val="44"/>
    </w:rPr>
  </w:style>
  <w:style w:type="paragraph" w:styleId="2">
    <w:name w:val="heading 2"/>
    <w:basedOn w:val="a6"/>
    <w:next w:val="a6"/>
    <w:link w:val="20"/>
    <w:autoRedefine/>
    <w:uiPriority w:val="9"/>
    <w:unhideWhenUsed/>
    <w:qFormat/>
    <w:rsid w:val="00F3165A"/>
    <w:pPr>
      <w:keepNext/>
      <w:keepLines/>
      <w:spacing w:before="260" w:after="260" w:line="416" w:lineRule="auto"/>
      <w:outlineLvl w:val="1"/>
    </w:pPr>
    <w:rPr>
      <w:rFonts w:asciiTheme="majorHAnsi" w:hAnsiTheme="majorHAnsi" w:cstheme="majorBidi"/>
      <w:b/>
      <w:bCs/>
      <w:sz w:val="24"/>
      <w:szCs w:val="32"/>
    </w:rPr>
  </w:style>
  <w:style w:type="paragraph" w:styleId="3">
    <w:name w:val="heading 3"/>
    <w:basedOn w:val="a6"/>
    <w:next w:val="a6"/>
    <w:link w:val="30"/>
    <w:uiPriority w:val="9"/>
    <w:unhideWhenUsed/>
    <w:qFormat/>
    <w:rsid w:val="005967B5"/>
    <w:pPr>
      <w:keepNext/>
      <w:keepLines/>
      <w:outlineLvl w:val="2"/>
    </w:pPr>
    <w:rPr>
      <w:rFonts w:eastAsia="宋体"/>
      <w:b/>
      <w:bCs/>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标题 1 字符"/>
    <w:link w:val="1"/>
    <w:rsid w:val="00B277FE"/>
    <w:rPr>
      <w:b/>
      <w:bCs/>
      <w:kern w:val="44"/>
      <w:sz w:val="28"/>
      <w:szCs w:val="44"/>
    </w:rPr>
  </w:style>
  <w:style w:type="character" w:customStyle="1" w:styleId="30">
    <w:name w:val="标题 3 字符"/>
    <w:basedOn w:val="a7"/>
    <w:link w:val="3"/>
    <w:uiPriority w:val="9"/>
    <w:rsid w:val="005967B5"/>
    <w:rPr>
      <w:rFonts w:eastAsia="宋体"/>
      <w:b/>
      <w:bCs/>
      <w:szCs w:val="32"/>
    </w:rPr>
  </w:style>
  <w:style w:type="character" w:customStyle="1" w:styleId="20">
    <w:name w:val="标题 2 字符"/>
    <w:basedOn w:val="a7"/>
    <w:link w:val="2"/>
    <w:uiPriority w:val="9"/>
    <w:rsid w:val="00F3165A"/>
    <w:rPr>
      <w:rFonts w:asciiTheme="majorHAnsi" w:hAnsiTheme="majorHAnsi" w:cstheme="majorBidi"/>
      <w:b/>
      <w:bCs/>
      <w:sz w:val="24"/>
      <w:szCs w:val="32"/>
    </w:rPr>
  </w:style>
  <w:style w:type="paragraph" w:styleId="aa">
    <w:name w:val="header"/>
    <w:basedOn w:val="a6"/>
    <w:link w:val="ab"/>
    <w:uiPriority w:val="99"/>
    <w:unhideWhenUsed/>
    <w:rsid w:val="00FA29AB"/>
    <w:pPr>
      <w:tabs>
        <w:tab w:val="center" w:pos="4153"/>
        <w:tab w:val="right" w:pos="8306"/>
      </w:tabs>
      <w:jc w:val="center"/>
    </w:pPr>
    <w:rPr>
      <w:sz w:val="18"/>
      <w:szCs w:val="18"/>
    </w:rPr>
  </w:style>
  <w:style w:type="character" w:customStyle="1" w:styleId="ab">
    <w:name w:val="页眉 字符"/>
    <w:basedOn w:val="a7"/>
    <w:link w:val="aa"/>
    <w:uiPriority w:val="99"/>
    <w:rsid w:val="00FA29AB"/>
    <w:rPr>
      <w:sz w:val="18"/>
      <w:szCs w:val="18"/>
    </w:rPr>
  </w:style>
  <w:style w:type="paragraph" w:styleId="ac">
    <w:name w:val="footer"/>
    <w:basedOn w:val="a6"/>
    <w:link w:val="ad"/>
    <w:uiPriority w:val="99"/>
    <w:unhideWhenUsed/>
    <w:rsid w:val="00FA29AB"/>
    <w:pPr>
      <w:tabs>
        <w:tab w:val="center" w:pos="4153"/>
        <w:tab w:val="right" w:pos="8306"/>
      </w:tabs>
    </w:pPr>
    <w:rPr>
      <w:sz w:val="18"/>
      <w:szCs w:val="18"/>
    </w:rPr>
  </w:style>
  <w:style w:type="character" w:customStyle="1" w:styleId="ad">
    <w:name w:val="页脚 字符"/>
    <w:basedOn w:val="a7"/>
    <w:link w:val="ac"/>
    <w:uiPriority w:val="99"/>
    <w:rsid w:val="00FA29AB"/>
    <w:rPr>
      <w:sz w:val="18"/>
      <w:szCs w:val="18"/>
    </w:rPr>
  </w:style>
  <w:style w:type="paragraph" w:styleId="ae">
    <w:name w:val="List Paragraph"/>
    <w:basedOn w:val="a6"/>
    <w:uiPriority w:val="34"/>
    <w:qFormat/>
    <w:rsid w:val="00FA29AB"/>
    <w:pPr>
      <w:ind w:firstLineChars="200" w:firstLine="420"/>
    </w:pPr>
  </w:style>
  <w:style w:type="paragraph" w:customStyle="1" w:styleId="af">
    <w:name w:val="标准文件_正文表标题"/>
    <w:next w:val="a6"/>
    <w:qFormat/>
    <w:rsid w:val="0017070C"/>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2">
    <w:name w:val="标准文件_二级条标题"/>
    <w:next w:val="a6"/>
    <w:rsid w:val="0017070C"/>
    <w:pPr>
      <w:widowControl w:val="0"/>
      <w:numPr>
        <w:ilvl w:val="3"/>
        <w:numId w:val="4"/>
      </w:numPr>
      <w:spacing w:beforeLines="50" w:before="50" w:afterLines="50" w:after="50"/>
      <w:jc w:val="both"/>
      <w:outlineLvl w:val="2"/>
    </w:pPr>
    <w:rPr>
      <w:rFonts w:ascii="黑体" w:eastAsia="黑体" w:hAnsi="Times New Roman" w:cs="Times New Roman"/>
      <w:kern w:val="0"/>
      <w:szCs w:val="20"/>
    </w:rPr>
  </w:style>
  <w:style w:type="paragraph" w:customStyle="1" w:styleId="a3">
    <w:name w:val="标准文件_三级条标题"/>
    <w:basedOn w:val="a2"/>
    <w:next w:val="a6"/>
    <w:rsid w:val="0017070C"/>
    <w:pPr>
      <w:widowControl/>
      <w:numPr>
        <w:ilvl w:val="4"/>
      </w:numPr>
      <w:tabs>
        <w:tab w:val="num" w:pos="360"/>
      </w:tabs>
      <w:outlineLvl w:val="3"/>
    </w:pPr>
  </w:style>
  <w:style w:type="paragraph" w:customStyle="1" w:styleId="a4">
    <w:name w:val="标准文件_四级条标题"/>
    <w:next w:val="a6"/>
    <w:rsid w:val="0017070C"/>
    <w:pPr>
      <w:widowControl w:val="0"/>
      <w:numPr>
        <w:ilvl w:val="5"/>
        <w:numId w:val="4"/>
      </w:numPr>
      <w:tabs>
        <w:tab w:val="num" w:pos="360"/>
      </w:tabs>
      <w:spacing w:beforeLines="50" w:before="50" w:afterLines="50" w:after="50"/>
      <w:jc w:val="both"/>
      <w:outlineLvl w:val="4"/>
    </w:pPr>
    <w:rPr>
      <w:rFonts w:ascii="黑体" w:eastAsia="黑体" w:hAnsi="Times New Roman" w:cs="Times New Roman"/>
      <w:kern w:val="0"/>
      <w:szCs w:val="20"/>
    </w:rPr>
  </w:style>
  <w:style w:type="paragraph" w:customStyle="1" w:styleId="a5">
    <w:name w:val="标准文件_五级条标题"/>
    <w:next w:val="a6"/>
    <w:rsid w:val="0017070C"/>
    <w:pPr>
      <w:widowControl w:val="0"/>
      <w:numPr>
        <w:ilvl w:val="6"/>
        <w:numId w:val="4"/>
      </w:numPr>
      <w:tabs>
        <w:tab w:val="num" w:pos="360"/>
      </w:tabs>
      <w:spacing w:beforeLines="50" w:before="50" w:afterLines="50" w:after="50"/>
      <w:jc w:val="both"/>
      <w:outlineLvl w:val="5"/>
    </w:pPr>
    <w:rPr>
      <w:rFonts w:ascii="黑体" w:eastAsia="黑体" w:hAnsi="Times New Roman" w:cs="Times New Roman"/>
      <w:kern w:val="0"/>
      <w:szCs w:val="20"/>
    </w:rPr>
  </w:style>
  <w:style w:type="paragraph" w:customStyle="1" w:styleId="a0">
    <w:name w:val="标准文件_章标题"/>
    <w:next w:val="a6"/>
    <w:rsid w:val="0017070C"/>
    <w:pPr>
      <w:numPr>
        <w:ilvl w:val="1"/>
        <w:numId w:val="4"/>
      </w:numPr>
      <w:spacing w:beforeLines="100" w:before="100" w:afterLines="100" w:after="100"/>
      <w:jc w:val="both"/>
      <w:outlineLvl w:val="0"/>
    </w:pPr>
    <w:rPr>
      <w:rFonts w:ascii="黑体" w:eastAsia="黑体" w:hAnsi="Times New Roman" w:cs="Times New Roman"/>
      <w:kern w:val="0"/>
      <w:szCs w:val="20"/>
    </w:rPr>
  </w:style>
  <w:style w:type="paragraph" w:customStyle="1" w:styleId="a1">
    <w:name w:val="标准文件_一级条标题"/>
    <w:basedOn w:val="a0"/>
    <w:next w:val="a6"/>
    <w:rsid w:val="0017070C"/>
    <w:pPr>
      <w:numPr>
        <w:ilvl w:val="2"/>
      </w:numPr>
      <w:tabs>
        <w:tab w:val="num" w:pos="360"/>
      </w:tabs>
      <w:spacing w:beforeLines="50" w:before="50" w:afterLines="50" w:after="50"/>
      <w:outlineLvl w:val="1"/>
    </w:pPr>
  </w:style>
  <w:style w:type="paragraph" w:customStyle="1" w:styleId="a">
    <w:name w:val="前言标题"/>
    <w:next w:val="a6"/>
    <w:rsid w:val="0017070C"/>
    <w:pPr>
      <w:numPr>
        <w:numId w:val="4"/>
      </w:numPr>
      <w:shd w:val="clear" w:color="FFFFFF" w:fill="FFFFFF"/>
      <w:tabs>
        <w:tab w:val="num" w:pos="360"/>
      </w:tabs>
      <w:spacing w:before="540" w:after="600"/>
      <w:jc w:val="center"/>
      <w:outlineLvl w:val="0"/>
    </w:pPr>
    <w:rPr>
      <w:rFonts w:ascii="黑体" w:eastAsia="黑体" w:hAnsi="Times New Roman" w:cs="Times New Roman"/>
      <w:kern w:val="0"/>
      <w:sz w:val="32"/>
      <w:szCs w:val="20"/>
    </w:rPr>
  </w:style>
  <w:style w:type="paragraph" w:customStyle="1" w:styleId="af0">
    <w:name w:val="段"/>
    <w:basedOn w:val="a6"/>
    <w:qFormat/>
    <w:rsid w:val="0017070C"/>
    <w:pPr>
      <w:autoSpaceDE w:val="0"/>
      <w:autoSpaceDN w:val="0"/>
      <w:adjustRightInd/>
      <w:snapToGrid/>
      <w:spacing w:after="0"/>
      <w:ind w:firstLineChars="200" w:firstLine="420"/>
      <w:jc w:val="both"/>
    </w:pPr>
    <w:rPr>
      <w:rFonts w:ascii="宋体" w:eastAsia="宋体" w:hAnsi="Times New Roman" w:cs="Times New Roman"/>
      <w:sz w:val="21"/>
      <w:szCs w:val="21"/>
    </w:rPr>
  </w:style>
  <w:style w:type="paragraph" w:customStyle="1" w:styleId="af1">
    <w:name w:val="标准文件_段"/>
    <w:link w:val="Char"/>
    <w:rsid w:val="0017070C"/>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标准文件_段 Char"/>
    <w:link w:val="af1"/>
    <w:rsid w:val="0017070C"/>
    <w:rPr>
      <w:rFonts w:ascii="宋体" w:eastAsia="宋体" w:hAnsi="Times New Roman" w:cs="Times New Roman"/>
      <w:noProof/>
      <w:kern w:val="0"/>
      <w:szCs w:val="20"/>
    </w:rPr>
  </w:style>
  <w:style w:type="paragraph" w:customStyle="1" w:styleId="af2">
    <w:name w:val="标准文件_表格"/>
    <w:basedOn w:val="af1"/>
    <w:qFormat/>
    <w:rsid w:val="0017070C"/>
    <w:pPr>
      <w:ind w:firstLineChars="0" w:firstLine="0"/>
      <w:jc w:val="center"/>
    </w:pPr>
    <w:rPr>
      <w:sz w:val="18"/>
    </w:rPr>
  </w:style>
  <w:style w:type="table" w:styleId="af3">
    <w:name w:val="Table Grid"/>
    <w:basedOn w:val="a8"/>
    <w:uiPriority w:val="39"/>
    <w:rsid w:val="0017070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琪 吴</dc:creator>
  <cp:keywords/>
  <dc:description/>
  <cp:lastModifiedBy>琪 吴</cp:lastModifiedBy>
  <cp:revision>10</cp:revision>
  <dcterms:created xsi:type="dcterms:W3CDTF">2024-06-17T07:51:00Z</dcterms:created>
  <dcterms:modified xsi:type="dcterms:W3CDTF">2024-07-03T02:57:00Z</dcterms:modified>
</cp:coreProperties>
</file>