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浙江省计量与标准化学会团体标准编制说明</w:t>
      </w:r>
    </w:p>
    <w:p>
      <w:pPr>
        <w:pStyle w:val="10"/>
        <w:numPr>
          <w:ilvl w:val="0"/>
          <w:numId w:val="2"/>
        </w:numPr>
        <w:ind w:firstLine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标准制定项目背景</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pPr>
        <w:adjustRightInd/>
        <w:snapToGrid/>
        <w:spacing w:after="0"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为切实发挥企业标准对质量提升的引领作用，支撑企业标准自我声明公开和企业标准“领跑者”制度工作的有序实施，解决低</w:t>
      </w:r>
      <w:r>
        <w:rPr>
          <w:rFonts w:hint="eastAsia" w:ascii="宋体" w:hAnsi="宋体" w:eastAsia="宋体" w:cs="宋体"/>
          <w:sz w:val="24"/>
          <w:szCs w:val="24"/>
        </w:rPr>
        <w:t>含毛混</w:t>
      </w:r>
      <w:r>
        <w:rPr>
          <w:rFonts w:hint="eastAsia" w:ascii="仿宋_GB2312" w:hAnsi="Times New Roman" w:eastAsia="仿宋_GB2312" w:cs="Times New Roman"/>
          <w:sz w:val="24"/>
          <w:szCs w:val="24"/>
        </w:rPr>
        <w:t>纺及仿毛针织品企业标准“领跑者”评估工作无相关标准等问题，桐乡市市场监督管理局联合有关行业协会、有关检验检测机构共同研究制定《“</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低含毛混纺及仿毛针织品》，用以评估低含毛混纺及仿毛针织品产品质量分级及第三方评估机构编制企业标准“排行榜”和“领跑者”评估方案并科学开展评估工作。预计该标准将通过高水平标准引领，促进行业发展质量全面提升，扩大优质产品和服务供给，有效增强市场主体竞争力。</w:t>
      </w:r>
    </w:p>
    <w:p>
      <w:pPr>
        <w:adjustRightInd/>
        <w:snapToGrid/>
        <w:spacing w:after="0"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桐乡市，以其发达的毛针织产业闻名全国。</w:t>
      </w:r>
      <w:r>
        <w:rPr>
          <w:rFonts w:ascii="仿宋_GB2312" w:hAnsi="Times New Roman" w:eastAsia="仿宋_GB2312" w:cs="Times New Roman"/>
          <w:sz w:val="24"/>
          <w:szCs w:val="24"/>
        </w:rPr>
        <w:t>桐乡濮院羊毛衫市场是全国最大的羊毛衫集散中心,是全国针织服装的信息和物流中心，市场现有交易区12个，门市部5000余间，货运中心年出货量达16</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89万吨，濮院因此被中国纺织工业协会和中国毛纺行业协会授予“中国羊毛衫名镇”的荣誉称号。每年从濮院羊毛衫市场流向全国各地的毛衫服装达到5亿件，其产销量已经占了全国总量的40%以上。也就是说，平均2-3个中国人就有一件濮院毛衫。</w:t>
      </w:r>
      <w:r>
        <w:rPr>
          <w:rFonts w:hint="eastAsia" w:ascii="仿宋_GB2312" w:hAnsi="Times New Roman" w:eastAsia="仿宋_GB2312" w:cs="Times New Roman"/>
          <w:sz w:val="24"/>
          <w:szCs w:val="24"/>
        </w:rPr>
        <w:t>仅2023年上半年，濮院羊毛衫市场交易额就达658亿元，同比增长101%。</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桐乡毛衫产业虽大，但企业整体竞争能力不强、品牌美誉度不显、自主创新能力较弱、产品质量不合格现象时有发生，有待破局。通过制定质量分级领跑者团体标准，整合区域范围内龙头企业资源，制定具有先进性的团体标准。通过质量分级领跑者标准的制定与发布，有利于推动企业积极落实质量安全主体责任，提高企业质量意识，有效防范质量安全风险，帮助企业打开国内市场，提升品牌影响力。带动区域低含毛混纺及仿毛针织品企业进行对标，从而提升公司整体产品质量水平。同时，可以扩大区域产业知名度助力提升产业整体竞争力。</w:t>
      </w:r>
    </w:p>
    <w:p>
      <w:pPr>
        <w:adjustRightInd/>
        <w:snapToGrid/>
        <w:spacing w:after="0"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目前在“质量分级及领跑者管理信息平台”网站中无低含毛混纺及仿毛针织品产品的质量分级及“</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的标准。为了全国范围内低含毛混纺及仿毛针织品生产企业有对照与评估的依据，桐乡市市场监督管理局联合有关行业协会、检验检测机构共同研究申请《“</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低含毛混纺及仿毛针织品》团体标准。同时也是一次浙江省企业展现标准化能力、产品高质量水平的展现。</w:t>
      </w:r>
    </w:p>
    <w:p>
      <w:pPr>
        <w:pStyle w:val="10"/>
        <w:ind w:left="720" w:firstLine="0" w:firstLineChars="0"/>
        <w:rPr>
          <w:rFonts w:ascii="Times New Roman" w:hAnsi="Times New Roman" w:eastAsia="仿宋_GB2312" w:cs="Times New Roman"/>
          <w:sz w:val="32"/>
          <w:szCs w:val="32"/>
        </w:rPr>
      </w:pPr>
    </w:p>
    <w:p>
      <w:pPr>
        <w:pStyle w:val="10"/>
        <w:numPr>
          <w:ilvl w:val="0"/>
          <w:numId w:val="2"/>
        </w:numPr>
        <w:ind w:firstLine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标准制定工作概况（任务来源、主要工作过程等）</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1、任务来源</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由国家纺织服装产品质量检验检测中心（浙江桐乡）向浙江省计量与标准化学会提出立项申请，经学会论证通过并印发了浙计标学发[2024]056 号“关于《质量分级及“</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烧结钦铁硼永磁材料》等 14 项团体标准立项的函”，项目名称：《“</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2、主要工作过程</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  前期准备工作</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按照浙江省计量与标准化学会团体标准工作组构成要求，组建标准研制工作组，明确标准研制重点和提纲，明确各参与单位或人员职责分工、研制计划、时间进度安排等情况。</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2.1.1 企业现场调研</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对企业进行现场调研，对浙江省计量与标准化学会团体标准立项相关资料进行收集整理。</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2.1.2 成立标准工作组</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根据浙江省计量与标准化学会团体标准《“</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低含毛混纺及仿毛针织品》制订计划，国家纺织服装产品质量检验检测中心（浙江桐乡）召集标准同行、标准化机构、检测机构等相关方成立了标准工作组，明确了各参与单位及人员的职责分工。</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2.1.3 明确研制重点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低含毛混纺及仿毛针织品》标准研制的重点包括：标准名称、标准适用范围、基本要求、评价指标分类（</w:t>
      </w:r>
      <w:r>
        <w:rPr>
          <w:rFonts w:hint="eastAsia" w:ascii="仿宋_GB2312" w:hAnsi="Times New Roman" w:eastAsia="仿宋_GB2312" w:cs="Times New Roman"/>
          <w:sz w:val="24"/>
          <w:szCs w:val="24"/>
          <w:lang w:eastAsia="zh-CN"/>
        </w:rPr>
        <w:t>底线指标</w:t>
      </w:r>
      <w:r>
        <w:rPr>
          <w:rFonts w:hint="eastAsia" w:ascii="仿宋_GB2312" w:hAnsi="Times New Roman" w:eastAsia="仿宋_GB2312" w:cs="Times New Roman"/>
          <w:sz w:val="24"/>
          <w:szCs w:val="24"/>
        </w:rPr>
        <w:t>、核心指标、创新性指标）、评价方法及等级划分以及相应的检验检测方法。</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2.1.4 研制计划及时间安排</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第一阶段： 2024年3月底前成立工作小组，学习、研究国内外相关标准，确定标准改进的路线和方向，明确指标。完成《“</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低含毛混纺及仿毛针织品》“立项建议书”和“标准草案”的撰写，完成项目申报立项。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第二阶段：收到答辩通知，准备答辩材料，进行项目答辩，通过后完成立项。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第三阶段：立项完成后一个月内，组织相关单位，召开标准的启动会，完成标准讨论，形成标准征求意见稿。</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第四阶段：启动会后两周内，向各有关单位发送征求意见稿，并完成各单位意见的征集。</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第五阶段：征求意见完成后一个月内，召开标准评审会，邀请同行业专家、代表、认证公司代表、标准主要起草人等人员参加。</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第六阶段：评审会后两周内，完善标准，形成最终稿，并且发布实施。</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  标准草案研制</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2.2.1  型式试验内规定的全技术指标先进性情况</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本标准（草案）基本确定了本标准的先进性；充分考虑了浙江省计量与标准化学会团体标准制订框架要求、编制理念和定位要求等，全面体现了标准的先进性。</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标准工作组根据浙江省计量与标准化学会团体标准的编制理念，以行业标准 FZ/T 73005-2021《低含毛混纺及仿毛针织品》为基础，对标国内先进同行技术要求和水平，项目的设置覆盖了FZ/T 73005-2021的技术要求，并高于行业标准；同时从行业的发展和产品应用领域的变化要求，从产品使用的稳定性及便利性出发，真正体现了浙江省计量与标准化学会团体标准先进性的理念。</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2.2.2  按照浙江省计量与标准化学会团体标准制订框架要求，及浙江省计量与标准化学会团体标准编制理念和定位要求研制标准草案情况。</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标国际先进标准及标杆企业，力求体现最先进的浙江工艺，用高质量来保障品牌生命，成为低含毛混纺及仿毛针织品这一细分的标杆和领跑者。</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2.2.3标准立项论证会讨论情况</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专家组对该标准提出的主要修改意见：</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bookmarkStart w:id="0" w:name="_GoBack"/>
      <w:r>
        <w:rPr>
          <w:rFonts w:hint="eastAsia" w:ascii="仿宋_GB2312" w:hAnsi="Times New Roman" w:eastAsia="仿宋_GB2312" w:cs="Times New Roman"/>
          <w:sz w:val="24"/>
          <w:szCs w:val="24"/>
          <w:highlight w:val="none"/>
        </w:rPr>
        <w:t>1）建议梳理调整评价指标体系，精简核心指标；</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2）建议按照T/CAS 700—2023；T/CSTE 0321—2023《质量分级及“领跑者”评价标准编制通则》修改完善标准文本；</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3）建议补充该产品所涉及企业标准分析情况、指标选择依据及等级划分的验证情况。</w:t>
      </w:r>
    </w:p>
    <w:bookmarkEnd w:id="0"/>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2.2.4  征求意见</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1）意见征集情况：征求意见的单位数：X 家；实际反馈意见的单位数：X家； 其中，有建议或意见： X家；无意见： X  家。                           </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2）意见处理情况： 共收集反馈意见： X 项；其中，采纳： X  项；部分采纳：X  项；未采纳： X 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2.2.5  专家评审</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2024年6月18日，组织召开了《“</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低含毛混纺及仿毛针织品》等 </w:t>
      </w:r>
      <w:r>
        <w:rPr>
          <w:rFonts w:hint="eastAsia" w:ascii="仿宋_GB2312" w:hAnsi="Times New Roman" w:eastAsia="仿宋_GB2312" w:cs="Times New Roman"/>
          <w:sz w:val="24"/>
          <w:szCs w:val="24"/>
          <w:lang w:val="en-US" w:eastAsia="zh-CN"/>
        </w:rPr>
        <w:t>XX</w:t>
      </w:r>
      <w:r>
        <w:rPr>
          <w:rFonts w:hint="eastAsia" w:ascii="仿宋_GB2312" w:hAnsi="Times New Roman" w:eastAsia="仿宋_GB2312" w:cs="Times New Roman"/>
          <w:sz w:val="24"/>
          <w:szCs w:val="24"/>
        </w:rPr>
        <w:t>项团体标准立项论证会的通知，评审组专家通过对《“</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低含毛混纺及仿毛针织品》送审稿进行逐条讨论。经讨论形成以下意见：</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 ；</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2.2.6  标准报批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根据评审专家提出的修改意见，经评审组集体讨论，通过评审，随后标准工作组对《“</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低含毛混纺及仿毛针织品》（送审稿）以及《编制说明》（送审稿）进行了修改，形成《“</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低含毛混纺及仿毛针织品》（报批稿）及《编制说明》（报批稿）。</w:t>
      </w:r>
    </w:p>
    <w:p>
      <w:pPr>
        <w:pStyle w:val="10"/>
        <w:numPr>
          <w:ilvl w:val="0"/>
          <w:numId w:val="2"/>
        </w:numPr>
        <w:ind w:firstLine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标准编制的原则和依据</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3.1编制原则</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标准编制遵循“合规性、必要性、先进性、经济性、可操作性”的原则，尽可能与国际通行标准接轨，注重标准的可操作性，本标准严格按照GB/T 1.1—2020《标准化工作导则  第1部分：标准化文件的结构和起草规则》的规定进行编写和表述。</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3.2编制依据</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对标现行有效国家标准：GB 18401-2010《国家纺织产品基本安全技术规范》、GB 31701-2015《婴幼儿及儿童纺织产品安全技术规范》和行业标准FZ/T 73005-2021 《低含毛混纺及仿毛针织品》等</w:t>
      </w: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标准的主要内容、技术论证与效果（如技术指标、参数、公式、性能要求、实验方法、检验规则等，修订标准时应增加新、旧标准水平的对比）</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标准主要内容包括范围、规范性引用文件、术语和定义、评价指标体系、评价方法及等级划分共五个方面对标准进行编制。主要内容及确定依据如下：</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本文件规定了低含毛混纺及仿毛针织品“领跑者”标准评价的术语和定义、评价指标体系和评价方法。各章节主要内容如下：</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1  术语和定义</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GB 18401-2010、GB 31701-2015界定的术语和定义适用于本文件</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 基本要求</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2.1 近三年，生产企业无较大及以上环境、安全、质量事故。</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2.2 企业应未列入国家信用信息严重失信主体相关名录。</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2.3 企业可根据GB/T 19001、GB/T 24001、GB/T 45001建立并运行相应质量、环境和职业健康安全管理体系，鼓励企业根据自身运营情况建立更高水平的相关管理体系。</w:t>
      </w:r>
    </w:p>
    <w:p>
      <w:pPr>
        <w:adjustRightInd/>
        <w:snapToGrid/>
        <w:spacing w:after="0" w:line="360" w:lineRule="auto"/>
        <w:ind w:firstLine="480" w:firstLineChars="200"/>
        <w:jc w:val="both"/>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 产品应为量产产品，低含毛混纺及仿毛针织品领跑标准应满足国家强制性标准要求，根据工艺特点及适用年龄，符合FZ/T 73005-2021的要求。</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 xml:space="preserve">  评价指标体系（包括基本要求、评价指标分类、评价指标体系框架）</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.2 评价指标分类</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.2.1 低含毛混纺及仿毛针织品质量分级及“领跑者”评价指标体系包括</w:t>
      </w:r>
      <w:r>
        <w:rPr>
          <w:rFonts w:hint="eastAsia" w:ascii="仿宋_GB2312" w:hAnsi="Times New Roman" w:eastAsia="仿宋_GB2312" w:cs="Times New Roman"/>
          <w:sz w:val="24"/>
          <w:szCs w:val="24"/>
          <w:lang w:eastAsia="zh-CN"/>
        </w:rPr>
        <w:t>底线指标</w:t>
      </w:r>
      <w:r>
        <w:rPr>
          <w:rFonts w:hint="eastAsia" w:ascii="仿宋_GB2312" w:hAnsi="Times New Roman" w:eastAsia="仿宋_GB2312" w:cs="Times New Roman"/>
          <w:sz w:val="24"/>
          <w:szCs w:val="24"/>
        </w:rPr>
        <w:t>、核心指标和创新性指标。</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 xml:space="preserve">.2.2 </w:t>
      </w:r>
      <w:r>
        <w:rPr>
          <w:rFonts w:hint="eastAsia" w:ascii="仿宋_GB2312" w:hAnsi="Times New Roman" w:eastAsia="仿宋_GB2312" w:cs="Times New Roman"/>
          <w:sz w:val="24"/>
          <w:szCs w:val="24"/>
          <w:highlight w:val="none"/>
          <w:lang w:eastAsia="zh-CN"/>
        </w:rPr>
        <w:t>底线指标</w:t>
      </w:r>
      <w:r>
        <w:rPr>
          <w:rFonts w:hint="eastAsia" w:ascii="仿宋_GB2312" w:hAnsi="Times New Roman" w:eastAsia="仿宋_GB2312" w:cs="Times New Roman"/>
          <w:sz w:val="24"/>
          <w:szCs w:val="24"/>
          <w:highlight w:val="none"/>
        </w:rPr>
        <w:t>包括甲醛含量、pH值、异味、可分解致癌芳香胺染料、重金属、邻苯二甲酸酯、燃烧性能、纤维含量允差、扭斜角、松弛尺寸变化率、干洗尺寸变化率、烷基酚（AP）和烷基酚聚氧乙烯醚（APEO）、单件质量偏差率、耐光色牢度、拼接互染。</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.2.3 核心指标包括起球、耐洗色牢度、耐汗渍（酸、碱）色牢度、耐水色牢度、耐摩擦（干、湿）色牢度、耐干洗色牢度、外观质量。</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.2.4 核心指标分为先进水平、平均水平和基准水平三个等级，先进水平相当于企业标准排行榜5星级水平；平均水平相当于企业标准排行榜中4星级水平；基准水平相当于企业标准排行榜中3星级水平。</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.2.5 创新性指标包括可萃取重金属、防刺痒性能。鼓励根据条件成熟情况适时增加与产品性能和消费者关注的相关创新性指标。</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.3评价指标体系框架</w:t>
      </w:r>
    </w:p>
    <w:p>
      <w:pPr>
        <w:adjustRightInd/>
        <w:snapToGrid/>
        <w:spacing w:after="0" w:line="360" w:lineRule="auto"/>
        <w:ind w:firstLine="480" w:firstLineChars="200"/>
        <w:jc w:val="both"/>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加强质量分级与“领跑者”评价指标体系，低含毛混纺及仿毛针织品“领跑者”标准评价指标体系框架见表1。</w:t>
      </w:r>
    </w:p>
    <w:p>
      <w:pPr>
        <w:pStyle w:val="11"/>
        <w:spacing w:before="156" w:after="156"/>
        <w:rPr>
          <w:rFonts w:hint="default" w:hAnsi="宋体"/>
          <w:color w:val="000000"/>
          <w:szCs w:val="21"/>
          <w:highlight w:val="none"/>
        </w:rPr>
      </w:pPr>
      <w:r>
        <w:rPr>
          <w:rFonts w:hAnsi="宋体"/>
          <w:color w:val="000000"/>
          <w:szCs w:val="21"/>
          <w:highlight w:val="none"/>
        </w:rPr>
        <w:t>评价指标体系框架</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3"/>
        <w:gridCol w:w="482"/>
        <w:gridCol w:w="931"/>
        <w:gridCol w:w="933"/>
        <w:gridCol w:w="649"/>
        <w:gridCol w:w="903"/>
        <w:gridCol w:w="73"/>
        <w:gridCol w:w="830"/>
        <w:gridCol w:w="90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blHeader/>
          <w:jc w:val="center"/>
        </w:trPr>
        <w:tc>
          <w:tcPr>
            <w:tcW w:w="260" w:type="pct"/>
            <w:vMerge w:val="restart"/>
            <w:vAlign w:val="center"/>
          </w:tcPr>
          <w:p>
            <w:pPr>
              <w:pStyle w:val="12"/>
              <w:overflowPunct w:val="0"/>
              <w:spacing w:line="249" w:lineRule="auto"/>
              <w:ind w:left="150" w:right="128"/>
              <w:jc w:val="center"/>
              <w:rPr>
                <w:rFonts w:ascii="宋体" w:hAnsi="宋体" w:eastAsia="宋体" w:cs="宋体"/>
                <w:sz w:val="18"/>
                <w:szCs w:val="18"/>
                <w:highlight w:val="none"/>
              </w:rPr>
            </w:pPr>
            <w:r>
              <w:rPr>
                <w:rFonts w:hint="eastAsia" w:ascii="宋体" w:hAnsi="宋体" w:eastAsia="宋体" w:cs="宋体"/>
                <w:sz w:val="18"/>
                <w:szCs w:val="18"/>
                <w:highlight w:val="none"/>
              </w:rPr>
              <w:t>序号</w:t>
            </w:r>
          </w:p>
        </w:tc>
        <w:tc>
          <w:tcPr>
            <w:tcW w:w="290" w:type="pct"/>
            <w:vMerge w:val="restart"/>
            <w:vAlign w:val="center"/>
          </w:tcPr>
          <w:p>
            <w:pPr>
              <w:pStyle w:val="12"/>
              <w:overflowPunct w:val="0"/>
              <w:spacing w:before="105" w:line="249" w:lineRule="auto"/>
              <w:ind w:left="180" w:right="150"/>
              <w:jc w:val="center"/>
              <w:rPr>
                <w:rFonts w:ascii="宋体" w:hAnsi="宋体" w:eastAsia="宋体" w:cs="宋体"/>
                <w:sz w:val="18"/>
                <w:szCs w:val="18"/>
                <w:highlight w:val="none"/>
              </w:rPr>
            </w:pPr>
            <w:r>
              <w:rPr>
                <w:rFonts w:hint="eastAsia" w:ascii="宋体" w:hAnsi="宋体" w:eastAsia="宋体" w:cs="宋体"/>
                <w:sz w:val="18"/>
                <w:szCs w:val="18"/>
                <w:highlight w:val="none"/>
              </w:rPr>
              <w:t>指标类型</w:t>
            </w:r>
          </w:p>
        </w:tc>
        <w:tc>
          <w:tcPr>
            <w:tcW w:w="1121" w:type="pct"/>
            <w:gridSpan w:val="2"/>
            <w:vMerge w:val="restart"/>
            <w:vAlign w:val="center"/>
          </w:tcPr>
          <w:p>
            <w:pPr>
              <w:pStyle w:val="12"/>
              <w:overflowPunct w:val="0"/>
              <w:spacing w:before="1"/>
              <w:ind w:left="936" w:right="907"/>
              <w:jc w:val="center"/>
              <w:rPr>
                <w:rFonts w:ascii="宋体" w:hAnsi="宋体" w:eastAsia="宋体" w:cs="宋体"/>
                <w:sz w:val="18"/>
                <w:szCs w:val="18"/>
                <w:highlight w:val="none"/>
              </w:rPr>
            </w:pPr>
            <w:r>
              <w:rPr>
                <w:rFonts w:hint="eastAsia" w:ascii="宋体" w:hAnsi="宋体" w:eastAsia="宋体" w:cs="宋体"/>
                <w:sz w:val="18"/>
                <w:szCs w:val="18"/>
                <w:highlight w:val="none"/>
              </w:rPr>
              <w:t>评价指标</w:t>
            </w:r>
          </w:p>
        </w:tc>
        <w:tc>
          <w:tcPr>
            <w:tcW w:w="390" w:type="pct"/>
            <w:vMerge w:val="restart"/>
            <w:vAlign w:val="center"/>
          </w:tcPr>
          <w:p>
            <w:pPr>
              <w:pStyle w:val="12"/>
              <w:overflowPunct w:val="0"/>
              <w:spacing w:before="1"/>
              <w:ind w:left="244"/>
              <w:rPr>
                <w:rFonts w:ascii="宋体" w:hAnsi="宋体" w:eastAsia="宋体" w:cs="宋体"/>
                <w:sz w:val="18"/>
                <w:szCs w:val="18"/>
                <w:highlight w:val="none"/>
              </w:rPr>
            </w:pPr>
            <w:r>
              <w:rPr>
                <w:rFonts w:hint="eastAsia" w:ascii="宋体" w:hAnsi="宋体" w:eastAsia="宋体" w:cs="宋体"/>
                <w:sz w:val="18"/>
                <w:szCs w:val="18"/>
                <w:highlight w:val="none"/>
              </w:rPr>
              <w:t>指标来源</w:t>
            </w:r>
          </w:p>
        </w:tc>
        <w:tc>
          <w:tcPr>
            <w:tcW w:w="1629" w:type="pct"/>
            <w:gridSpan w:val="4"/>
            <w:vAlign w:val="center"/>
          </w:tcPr>
          <w:p>
            <w:pPr>
              <w:pStyle w:val="12"/>
              <w:overflowPunct w:val="0"/>
              <w:ind w:right="1173"/>
              <w:jc w:val="right"/>
              <w:rPr>
                <w:rFonts w:ascii="宋体" w:hAnsi="宋体" w:eastAsia="宋体" w:cs="宋体"/>
                <w:sz w:val="18"/>
                <w:szCs w:val="18"/>
                <w:highlight w:val="none"/>
              </w:rPr>
            </w:pPr>
            <w:r>
              <w:rPr>
                <w:rFonts w:hint="eastAsia" w:ascii="宋体" w:hAnsi="宋体" w:eastAsia="宋体" w:cs="宋体"/>
                <w:sz w:val="18"/>
                <w:szCs w:val="18"/>
                <w:highlight w:val="none"/>
              </w:rPr>
              <w:t>指标水平分级</w:t>
            </w:r>
          </w:p>
        </w:tc>
        <w:tc>
          <w:tcPr>
            <w:tcW w:w="1310" w:type="pct"/>
            <w:vMerge w:val="restart"/>
            <w:vAlign w:val="center"/>
          </w:tcPr>
          <w:p>
            <w:pPr>
              <w:pStyle w:val="12"/>
              <w:overflowPunct w:val="0"/>
              <w:ind w:left="1200" w:right="1173"/>
              <w:jc w:val="center"/>
              <w:rPr>
                <w:rFonts w:ascii="宋体" w:hAnsi="宋体" w:eastAsia="宋体" w:cs="宋体"/>
                <w:sz w:val="18"/>
                <w:szCs w:val="18"/>
                <w:highlight w:val="none"/>
              </w:rPr>
            </w:pPr>
          </w:p>
          <w:p>
            <w:pPr>
              <w:jc w:val="center"/>
              <w:rPr>
                <w:rFonts w:ascii="宋体" w:hAnsi="宋体" w:eastAsia="宋体" w:cs="宋体"/>
                <w:sz w:val="18"/>
                <w:szCs w:val="18"/>
                <w:highlight w:val="none"/>
              </w:rPr>
            </w:pPr>
            <w:r>
              <w:rPr>
                <w:rFonts w:hint="eastAsia" w:ascii="宋体" w:hAnsi="宋体" w:eastAsia="宋体" w:cs="宋体"/>
                <w:sz w:val="18"/>
                <w:szCs w:val="18"/>
                <w:highlight w:val="none"/>
              </w:rPr>
              <w:t>判定依据/方法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blHeader/>
          <w:jc w:val="center"/>
        </w:trPr>
        <w:tc>
          <w:tcPr>
            <w:tcW w:w="26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3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87" w:type="pct"/>
            <w:gridSpan w:val="2"/>
            <w:vAlign w:val="center"/>
          </w:tcPr>
          <w:p>
            <w:pPr>
              <w:pStyle w:val="12"/>
              <w:overflowPunct w:val="0"/>
              <w:spacing w:before="45" w:line="249" w:lineRule="auto"/>
              <w:ind w:left="414" w:right="381"/>
              <w:jc w:val="center"/>
              <w:rPr>
                <w:rFonts w:ascii="宋体" w:hAnsi="宋体" w:eastAsia="宋体" w:cs="宋体"/>
                <w:sz w:val="18"/>
                <w:szCs w:val="18"/>
              </w:rPr>
            </w:pPr>
            <w:r>
              <w:rPr>
                <w:rFonts w:hint="eastAsia" w:ascii="宋体" w:hAnsi="宋体" w:eastAsia="宋体" w:cs="宋体"/>
                <w:sz w:val="18"/>
                <w:szCs w:val="18"/>
              </w:rPr>
              <w:t>先进水平</w:t>
            </w:r>
          </w:p>
        </w:tc>
        <w:tc>
          <w:tcPr>
            <w:tcW w:w="499" w:type="pct"/>
            <w:vAlign w:val="center"/>
          </w:tcPr>
          <w:p>
            <w:pPr>
              <w:pStyle w:val="12"/>
              <w:overflowPunct w:val="0"/>
              <w:spacing w:before="45" w:line="249" w:lineRule="auto"/>
              <w:ind w:left="412" w:right="383"/>
              <w:jc w:val="center"/>
              <w:rPr>
                <w:rFonts w:ascii="宋体" w:hAnsi="宋体" w:eastAsia="宋体" w:cs="宋体"/>
                <w:sz w:val="18"/>
                <w:szCs w:val="18"/>
              </w:rPr>
            </w:pPr>
            <w:r>
              <w:rPr>
                <w:rFonts w:hint="eastAsia" w:ascii="宋体" w:hAnsi="宋体" w:eastAsia="宋体" w:cs="宋体"/>
                <w:sz w:val="18"/>
                <w:szCs w:val="18"/>
              </w:rPr>
              <w:t>平均水平</w:t>
            </w:r>
          </w:p>
        </w:tc>
        <w:tc>
          <w:tcPr>
            <w:tcW w:w="543" w:type="pct"/>
            <w:vAlign w:val="center"/>
          </w:tcPr>
          <w:p>
            <w:pPr>
              <w:pStyle w:val="12"/>
              <w:overflowPunct w:val="0"/>
              <w:spacing w:before="45" w:line="249" w:lineRule="auto"/>
              <w:ind w:left="413" w:right="382"/>
              <w:jc w:val="center"/>
              <w:rPr>
                <w:rFonts w:ascii="宋体" w:hAnsi="宋体" w:eastAsia="宋体" w:cs="宋体"/>
                <w:sz w:val="18"/>
                <w:szCs w:val="18"/>
              </w:rPr>
            </w:pPr>
            <w:r>
              <w:rPr>
                <w:rFonts w:hint="eastAsia" w:ascii="宋体" w:hAnsi="宋体" w:eastAsia="宋体" w:cs="宋体"/>
                <w:sz w:val="18"/>
                <w:szCs w:val="18"/>
              </w:rPr>
              <w:t>基准水平</w:t>
            </w:r>
          </w:p>
        </w:tc>
        <w:tc>
          <w:tcPr>
            <w:tcW w:w="1310" w:type="pct"/>
            <w:vMerge w:val="continue"/>
          </w:tcPr>
          <w:p>
            <w:pPr>
              <w:pStyle w:val="12"/>
              <w:overflowPunct w:val="0"/>
              <w:spacing w:before="45" w:line="249" w:lineRule="auto"/>
              <w:ind w:left="413" w:right="382"/>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w:t>
            </w:r>
          </w:p>
        </w:tc>
        <w:tc>
          <w:tcPr>
            <w:tcW w:w="290" w:type="pct"/>
            <w:vMerge w:val="restart"/>
            <w:vAlign w:val="center"/>
          </w:tcPr>
          <w:p>
            <w:pPr>
              <w:pStyle w:val="12"/>
              <w:overflowPunct w:val="0"/>
              <w:spacing w:line="249" w:lineRule="auto"/>
              <w:ind w:left="183" w:right="152"/>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底线指标</w:t>
            </w: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甲醛含量/（mg/kg）</w:t>
            </w:r>
          </w:p>
        </w:tc>
        <w:tc>
          <w:tcPr>
            <w:tcW w:w="390" w:type="pct"/>
            <w:vMerge w:val="restart"/>
            <w:vAlign w:val="center"/>
          </w:tcPr>
          <w:p>
            <w:pPr>
              <w:pStyle w:val="12"/>
              <w:overflowPunct w:val="0"/>
              <w:spacing w:before="120"/>
              <w:ind w:left="246"/>
              <w:rPr>
                <w:rFonts w:ascii="宋体" w:hAnsi="宋体" w:eastAsia="宋体" w:cs="宋体"/>
                <w:sz w:val="18"/>
                <w:szCs w:val="18"/>
              </w:rPr>
            </w:pPr>
            <w:r>
              <w:rPr>
                <w:rFonts w:hint="eastAsia" w:ascii="宋体" w:hAnsi="宋体" w:eastAsia="宋体" w:cs="宋体"/>
                <w:sz w:val="18"/>
                <w:szCs w:val="18"/>
              </w:rPr>
              <w:t>GB 18401</w:t>
            </w:r>
          </w:p>
        </w:tc>
        <w:tc>
          <w:tcPr>
            <w:tcW w:w="1629" w:type="pct"/>
            <w:gridSpan w:val="4"/>
            <w:vMerge w:val="restart"/>
            <w:vAlign w:val="center"/>
          </w:tcPr>
          <w:p>
            <w:pPr>
              <w:pStyle w:val="12"/>
              <w:overflowPunct w:val="0"/>
              <w:spacing w:before="120"/>
              <w:jc w:val="center"/>
              <w:rPr>
                <w:rFonts w:ascii="宋体" w:hAnsi="宋体" w:eastAsia="宋体" w:cs="宋体"/>
                <w:sz w:val="18"/>
                <w:szCs w:val="18"/>
              </w:rPr>
            </w:pPr>
            <w:r>
              <w:rPr>
                <w:rFonts w:hint="eastAsia" w:ascii="宋体" w:hAnsi="宋体" w:eastAsia="宋体" w:cs="宋体"/>
                <w:sz w:val="18"/>
                <w:szCs w:val="18"/>
              </w:rPr>
              <w:t>符合GB 18401要求</w:t>
            </w:r>
          </w:p>
        </w:tc>
        <w:tc>
          <w:tcPr>
            <w:tcW w:w="1310" w:type="pct"/>
            <w:vAlign w:val="center"/>
          </w:tcPr>
          <w:p>
            <w:pPr>
              <w:pStyle w:val="12"/>
              <w:overflowPunct w:val="0"/>
              <w:spacing w:before="120"/>
              <w:jc w:val="center"/>
              <w:rPr>
                <w:rFonts w:ascii="宋体" w:hAnsi="宋体" w:eastAsia="宋体" w:cs="宋体"/>
                <w:sz w:val="18"/>
                <w:szCs w:val="18"/>
              </w:rPr>
            </w:pPr>
            <w:r>
              <w:rPr>
                <w:rFonts w:hint="eastAsia" w:ascii="宋体" w:hAnsi="宋体" w:eastAsia="宋体" w:cs="宋体"/>
                <w:sz w:val="18"/>
                <w:szCs w:val="18"/>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2</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pH值</w:t>
            </w:r>
          </w:p>
        </w:tc>
        <w:tc>
          <w:tcPr>
            <w:tcW w:w="3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629" w:type="pct"/>
            <w:gridSpan w:val="4"/>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3</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异味</w:t>
            </w:r>
          </w:p>
        </w:tc>
        <w:tc>
          <w:tcPr>
            <w:tcW w:w="3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629" w:type="pct"/>
            <w:gridSpan w:val="4"/>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 18401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4</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可分解致癌芳香胺染料/（mg/kg）</w:t>
            </w:r>
          </w:p>
        </w:tc>
        <w:tc>
          <w:tcPr>
            <w:tcW w:w="3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629" w:type="pct"/>
            <w:gridSpan w:val="4"/>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GB/T 17592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5</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重金属/（mg/kg）</w:t>
            </w:r>
          </w:p>
        </w:tc>
        <w:tc>
          <w:tcPr>
            <w:tcW w:w="390" w:type="pct"/>
            <w:vMerge w:val="restart"/>
            <w:vAlign w:val="center"/>
          </w:tcPr>
          <w:p>
            <w:pPr>
              <w:pStyle w:val="12"/>
              <w:overflowPunct w:val="0"/>
              <w:spacing w:before="118"/>
              <w:ind w:left="246"/>
              <w:rPr>
                <w:rFonts w:ascii="宋体" w:hAnsi="宋体" w:eastAsia="宋体" w:cs="宋体"/>
                <w:sz w:val="18"/>
                <w:szCs w:val="18"/>
              </w:rPr>
            </w:pPr>
            <w:r>
              <w:rPr>
                <w:rFonts w:hint="eastAsia" w:ascii="宋体" w:hAnsi="宋体" w:eastAsia="宋体" w:cs="宋体"/>
                <w:sz w:val="18"/>
                <w:szCs w:val="18"/>
              </w:rPr>
              <w:t>GB 31701</w:t>
            </w:r>
          </w:p>
        </w:tc>
        <w:tc>
          <w:tcPr>
            <w:tcW w:w="1629" w:type="pct"/>
            <w:gridSpan w:val="4"/>
            <w:vMerge w:val="restart"/>
            <w:vAlign w:val="center"/>
          </w:tcPr>
          <w:p>
            <w:pPr>
              <w:pStyle w:val="12"/>
              <w:overflowPunct w:val="0"/>
              <w:spacing w:before="118"/>
              <w:jc w:val="center"/>
              <w:rPr>
                <w:rFonts w:ascii="宋体" w:hAnsi="宋体" w:eastAsia="宋体" w:cs="宋体"/>
                <w:sz w:val="18"/>
                <w:szCs w:val="18"/>
              </w:rPr>
            </w:pPr>
            <w:r>
              <w:rPr>
                <w:rFonts w:hint="eastAsia" w:ascii="宋体" w:hAnsi="宋体" w:eastAsia="宋体" w:cs="宋体"/>
                <w:sz w:val="18"/>
                <w:szCs w:val="18"/>
              </w:rPr>
              <w:t>符合GB 31701要求</w:t>
            </w: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GB/T 30157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6</w:t>
            </w:r>
          </w:p>
        </w:tc>
        <w:tc>
          <w:tcPr>
            <w:tcW w:w="290" w:type="pct"/>
            <w:vMerge w:val="continue"/>
            <w:vAlign w:val="center"/>
          </w:tcPr>
          <w:p>
            <w:pPr>
              <w:pStyle w:val="2"/>
              <w:overflowPunct w:val="0"/>
              <w:spacing w:before="11"/>
              <w:jc w:val="center"/>
              <w:rPr>
                <w:rFonts w:ascii="宋体" w:hAnsi="宋体" w:eastAsia="宋体" w:cs="宋体"/>
                <w:sz w:val="2"/>
                <w:szCs w:val="2"/>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邻苯二甲酸酯/%</w:t>
            </w:r>
          </w:p>
        </w:tc>
        <w:tc>
          <w:tcPr>
            <w:tcW w:w="390" w:type="pct"/>
            <w:vMerge w:val="continue"/>
            <w:vAlign w:val="center"/>
          </w:tcPr>
          <w:p>
            <w:pPr>
              <w:pStyle w:val="2"/>
              <w:overflowPunct w:val="0"/>
              <w:spacing w:before="11"/>
              <w:jc w:val="center"/>
              <w:rPr>
                <w:rFonts w:ascii="宋体" w:hAnsi="宋体" w:eastAsia="宋体" w:cs="宋体"/>
                <w:sz w:val="2"/>
                <w:szCs w:val="2"/>
              </w:rPr>
            </w:pPr>
          </w:p>
        </w:tc>
        <w:tc>
          <w:tcPr>
            <w:tcW w:w="1629" w:type="pct"/>
            <w:gridSpan w:val="4"/>
            <w:vMerge w:val="continue"/>
            <w:vAlign w:val="center"/>
          </w:tcPr>
          <w:p>
            <w:pPr>
              <w:pStyle w:val="2"/>
              <w:overflowPunct w:val="0"/>
              <w:spacing w:before="11"/>
              <w:jc w:val="center"/>
              <w:rPr>
                <w:rFonts w:ascii="宋体" w:hAnsi="宋体" w:eastAsia="宋体" w:cs="宋体"/>
                <w:sz w:val="2"/>
                <w:szCs w:val="2"/>
              </w:rPr>
            </w:pP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GB/T 20388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7</w:t>
            </w:r>
          </w:p>
        </w:tc>
        <w:tc>
          <w:tcPr>
            <w:tcW w:w="290" w:type="pct"/>
            <w:vMerge w:val="restart"/>
            <w:vAlign w:val="center"/>
          </w:tcPr>
          <w:p>
            <w:pPr>
              <w:pStyle w:val="2"/>
              <w:overflowPunct w:val="0"/>
              <w:spacing w:before="11"/>
              <w:jc w:val="center"/>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底</w:t>
            </w:r>
          </w:p>
          <w:p>
            <w:pPr>
              <w:pStyle w:val="2"/>
              <w:overflowPunct w:val="0"/>
              <w:spacing w:before="11"/>
              <w:jc w:val="center"/>
              <w:rPr>
                <w:rFonts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线</w:t>
            </w:r>
          </w:p>
          <w:p>
            <w:pPr>
              <w:pStyle w:val="2"/>
              <w:overflowPunct w:val="0"/>
              <w:spacing w:before="11"/>
              <w:jc w:val="center"/>
              <w:rPr>
                <w:rFonts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指</w:t>
            </w:r>
          </w:p>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highlight w:val="none"/>
                <w:lang w:eastAsia="zh-CN"/>
              </w:rPr>
              <w:t>标</w:t>
            </w: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燃烧性能</w:t>
            </w:r>
          </w:p>
        </w:tc>
        <w:tc>
          <w:tcPr>
            <w:tcW w:w="390" w:type="pct"/>
            <w:vAlign w:val="center"/>
          </w:tcPr>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GB 31701</w:t>
            </w:r>
          </w:p>
        </w:tc>
        <w:tc>
          <w:tcPr>
            <w:tcW w:w="1629" w:type="pct"/>
            <w:gridSpan w:val="4"/>
            <w:vAlign w:val="center"/>
          </w:tcPr>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符合GB 31701要求</w:t>
            </w:r>
          </w:p>
        </w:tc>
        <w:tc>
          <w:tcPr>
            <w:tcW w:w="1310" w:type="pct"/>
            <w:vAlign w:val="center"/>
          </w:tcPr>
          <w:p>
            <w:pPr>
              <w:jc w:val="center"/>
              <w:rPr>
                <w:rFonts w:ascii="宋体" w:hAnsi="宋体" w:eastAsia="宋体" w:cs="宋体"/>
                <w:sz w:val="18"/>
                <w:szCs w:val="18"/>
              </w:rPr>
            </w:pPr>
            <w:r>
              <w:rPr>
                <w:rFonts w:hint="eastAsia" w:ascii="宋体" w:hAnsi="宋体" w:eastAsia="宋体" w:cs="宋体"/>
                <w:sz w:val="18"/>
                <w:szCs w:val="18"/>
              </w:rPr>
              <w:t>GB/T 14644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8</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纤维含量允差/%</w:t>
            </w:r>
          </w:p>
        </w:tc>
        <w:tc>
          <w:tcPr>
            <w:tcW w:w="390" w:type="pct"/>
            <w:vAlign w:val="center"/>
          </w:tcPr>
          <w:p>
            <w:pPr>
              <w:pStyle w:val="12"/>
              <w:overflowPunct w:val="0"/>
              <w:ind w:left="155"/>
              <w:rPr>
                <w:rFonts w:ascii="宋体" w:hAnsi="宋体" w:eastAsia="宋体" w:cs="宋体"/>
                <w:sz w:val="18"/>
                <w:szCs w:val="18"/>
              </w:rPr>
            </w:pPr>
            <w:r>
              <w:rPr>
                <w:rFonts w:hint="eastAsia" w:ascii="宋体" w:hAnsi="宋体" w:eastAsia="宋体" w:cs="宋体"/>
                <w:sz w:val="18"/>
                <w:szCs w:val="18"/>
              </w:rPr>
              <w:t>GB/T 29862</w:t>
            </w:r>
          </w:p>
        </w:tc>
        <w:tc>
          <w:tcPr>
            <w:tcW w:w="1629" w:type="pct"/>
            <w:gridSpan w:val="4"/>
            <w:vAlign w:val="center"/>
          </w:tcPr>
          <w:p>
            <w:pPr>
              <w:pStyle w:val="12"/>
              <w:overflowPunct w:val="0"/>
              <w:jc w:val="center"/>
              <w:rPr>
                <w:rFonts w:ascii="宋体" w:hAnsi="宋体" w:eastAsia="宋体" w:cs="宋体"/>
                <w:sz w:val="18"/>
                <w:szCs w:val="18"/>
              </w:rPr>
            </w:pPr>
            <w:r>
              <w:rPr>
                <w:rFonts w:hint="eastAsia" w:ascii="宋体" w:hAnsi="宋体" w:eastAsia="宋体" w:cs="宋体"/>
                <w:sz w:val="18"/>
                <w:szCs w:val="18"/>
              </w:rPr>
              <w:t>符合GB/T 29862标准要求</w:t>
            </w:r>
          </w:p>
        </w:tc>
        <w:tc>
          <w:tcPr>
            <w:tcW w:w="1310" w:type="pct"/>
            <w:vAlign w:val="center"/>
          </w:tcPr>
          <w:p>
            <w:pPr>
              <w:pStyle w:val="12"/>
              <w:overflowPunct w:val="0"/>
              <w:jc w:val="center"/>
              <w:rPr>
                <w:rFonts w:ascii="宋体" w:hAnsi="宋体" w:eastAsia="宋体" w:cs="宋体"/>
                <w:sz w:val="18"/>
                <w:szCs w:val="18"/>
              </w:rPr>
            </w:pPr>
            <w:r>
              <w:rPr>
                <w:rFonts w:hint="eastAsia" w:ascii="宋体" w:hAnsi="宋体" w:eastAsia="宋体" w:cs="宋体"/>
                <w:sz w:val="18"/>
                <w:szCs w:val="18"/>
              </w:rPr>
              <w:t>GB/T 29862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9</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扭斜角/（°）</w:t>
            </w:r>
          </w:p>
        </w:tc>
        <w:tc>
          <w:tcPr>
            <w:tcW w:w="39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10</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松弛尺寸变化率/%</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长度</w:t>
            </w:r>
          </w:p>
        </w:tc>
        <w:tc>
          <w:tcPr>
            <w:tcW w:w="39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-5.0～+5.0</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ind w:left="118"/>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宽度</w:t>
            </w:r>
          </w:p>
        </w:tc>
        <w:tc>
          <w:tcPr>
            <w:tcW w:w="390" w:type="pct"/>
            <w:vMerge w:val="continue"/>
            <w:vAlign w:val="center"/>
          </w:tcPr>
          <w:p>
            <w:pPr>
              <w:pStyle w:val="12"/>
              <w:overflowPunct w:val="0"/>
              <w:spacing w:before="3"/>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-5.0～+5.0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11</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干洗尺寸变化率/%</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长度</w:t>
            </w:r>
          </w:p>
        </w:tc>
        <w:tc>
          <w:tcPr>
            <w:tcW w:w="39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-5.0～+5.0</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ind w:left="118"/>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宽度</w:t>
            </w:r>
          </w:p>
        </w:tc>
        <w:tc>
          <w:tcPr>
            <w:tcW w:w="390" w:type="pct"/>
            <w:vMerge w:val="continue"/>
            <w:vAlign w:val="center"/>
          </w:tcPr>
          <w:p>
            <w:pPr>
              <w:pStyle w:val="12"/>
              <w:overflowPunct w:val="0"/>
              <w:spacing w:before="3"/>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-5.0～+5.0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12</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烷基酚（AP）和烷基酚聚氧乙烯醚（APEO）/（mg/kg）</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NP+OP</w:t>
            </w:r>
          </w:p>
        </w:tc>
        <w:tc>
          <w:tcPr>
            <w:tcW w:w="39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&lt;10</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23322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ind w:left="118"/>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NP+OP+</w:t>
            </w:r>
          </w:p>
          <w:p>
            <w:pPr>
              <w:pStyle w:val="13"/>
              <w:numPr>
                <w:ilvl w:val="0"/>
                <w:numId w:val="3"/>
              </w:numPr>
              <w:ind w:firstLineChars="0"/>
              <w:jc w:val="center"/>
              <w:rPr>
                <w:rFonts w:hAnsi="宋体" w:cs="宋体"/>
                <w:sz w:val="18"/>
                <w:szCs w:val="18"/>
              </w:rPr>
            </w:pPr>
            <w:r>
              <w:rPr>
                <w:rFonts w:hint="eastAsia" w:hAnsi="宋体" w:cs="宋体"/>
                <w:sz w:val="18"/>
                <w:szCs w:val="18"/>
              </w:rPr>
              <w:t>NPEO+OPEO</w:t>
            </w:r>
          </w:p>
        </w:tc>
        <w:tc>
          <w:tcPr>
            <w:tcW w:w="390" w:type="pct"/>
            <w:vMerge w:val="continue"/>
            <w:vAlign w:val="center"/>
          </w:tcPr>
          <w:p>
            <w:pPr>
              <w:pStyle w:val="12"/>
              <w:overflowPunct w:val="0"/>
              <w:spacing w:before="3"/>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&lt;100</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23322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13</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单件质量偏差率/%</w:t>
            </w:r>
          </w:p>
        </w:tc>
        <w:tc>
          <w:tcPr>
            <w:tcW w:w="39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按供需双方合约</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14</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耐光色牢度/级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深色</w:t>
            </w:r>
          </w:p>
        </w:tc>
        <w:tc>
          <w:tcPr>
            <w:tcW w:w="390" w:type="pct"/>
            <w:vMerge w:val="restart"/>
            <w:vAlign w:val="center"/>
          </w:tcPr>
          <w:p>
            <w:pPr>
              <w:pStyle w:val="12"/>
              <w:jc w:val="center"/>
              <w:rPr>
                <w:rFonts w:ascii="宋体" w:hAnsi="宋体" w:eastAsia="宋体" w:cs="宋体"/>
                <w:sz w:val="18"/>
                <w:szCs w:val="18"/>
              </w:rPr>
            </w:pPr>
            <w:r>
              <w:rPr>
                <w:rFonts w:hint="eastAsia" w:ascii="宋体" w:hAnsi="宋体" w:eastAsia="宋体" w:cs="宋体"/>
                <w:sz w:val="18"/>
                <w:szCs w:val="18"/>
              </w:rPr>
              <w:t>FZ/T 73005</w:t>
            </w: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ind w:left="118"/>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浅色</w:t>
            </w:r>
          </w:p>
        </w:tc>
        <w:tc>
          <w:tcPr>
            <w:tcW w:w="390" w:type="pct"/>
            <w:vMerge w:val="continue"/>
            <w:vAlign w:val="center"/>
          </w:tcPr>
          <w:p>
            <w:pPr>
              <w:pStyle w:val="12"/>
              <w:overflowPunct w:val="0"/>
              <w:spacing w:before="3"/>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15</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拼接互染/级</w:t>
            </w:r>
          </w:p>
        </w:tc>
        <w:tc>
          <w:tcPr>
            <w:tcW w:w="390" w:type="pct"/>
            <w:vMerge w:val="continue"/>
            <w:vAlign w:val="center"/>
          </w:tcPr>
          <w:p>
            <w:pPr>
              <w:pStyle w:val="12"/>
              <w:overflowPunct w:val="0"/>
              <w:spacing w:before="3"/>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60" w:type="pc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16</w:t>
            </w:r>
          </w:p>
        </w:tc>
        <w:tc>
          <w:tcPr>
            <w:tcW w:w="290" w:type="pct"/>
            <w:vMerge w:val="restart"/>
            <w:vAlign w:val="center"/>
          </w:tcPr>
          <w:p>
            <w:pPr>
              <w:pStyle w:val="12"/>
              <w:overflowPunct w:val="0"/>
              <w:spacing w:line="249" w:lineRule="auto"/>
              <w:ind w:left="183" w:right="152"/>
              <w:jc w:val="center"/>
              <w:rPr>
                <w:rFonts w:ascii="宋体" w:hAnsi="宋体" w:eastAsia="宋体" w:cs="宋体"/>
                <w:sz w:val="18"/>
                <w:szCs w:val="18"/>
              </w:rPr>
            </w:pPr>
            <w:r>
              <w:rPr>
                <w:rFonts w:hint="eastAsia" w:ascii="宋体" w:hAnsi="宋体" w:eastAsia="宋体" w:cs="宋体"/>
                <w:sz w:val="18"/>
                <w:szCs w:val="18"/>
              </w:rPr>
              <w:t>核心指标</w:t>
            </w:r>
          </w:p>
        </w:tc>
        <w:tc>
          <w:tcPr>
            <w:tcW w:w="1121" w:type="pct"/>
            <w:gridSpan w:val="2"/>
            <w:vAlign w:val="center"/>
          </w:tcPr>
          <w:p>
            <w:pPr>
              <w:pStyle w:val="12"/>
              <w:overflowPunct w:val="0"/>
              <w:ind w:left="118"/>
              <w:jc w:val="center"/>
              <w:rPr>
                <w:rFonts w:ascii="宋体" w:hAnsi="宋体" w:eastAsia="宋体" w:cs="宋体"/>
                <w:sz w:val="18"/>
                <w:szCs w:val="18"/>
              </w:rPr>
            </w:pPr>
            <w:r>
              <w:rPr>
                <w:rFonts w:hint="eastAsia" w:ascii="宋体" w:hAnsi="宋体" w:eastAsia="宋体" w:cs="宋体"/>
                <w:sz w:val="18"/>
                <w:szCs w:val="18"/>
              </w:rPr>
              <w:t>起球/级</w:t>
            </w:r>
          </w:p>
        </w:tc>
        <w:tc>
          <w:tcPr>
            <w:tcW w:w="390" w:type="pct"/>
            <w:vAlign w:val="center"/>
          </w:tcPr>
          <w:p>
            <w:pPr>
              <w:pStyle w:val="12"/>
              <w:overflowPunct w:val="0"/>
              <w:spacing w:before="3"/>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4802.3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16</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耐洗色牢度/级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变色</w:t>
            </w:r>
          </w:p>
        </w:tc>
        <w:tc>
          <w:tcPr>
            <w:tcW w:w="390" w:type="pct"/>
            <w:vMerge w:val="restart"/>
            <w:vAlign w:val="center"/>
          </w:tcPr>
          <w:p>
            <w:pPr>
              <w:pStyle w:val="12"/>
              <w:jc w:val="center"/>
              <w:rPr>
                <w:rFonts w:ascii="宋体" w:hAnsi="宋体" w:eastAsia="宋体" w:cs="宋体"/>
                <w:sz w:val="18"/>
                <w:szCs w:val="18"/>
              </w:rPr>
            </w:pPr>
            <w:r>
              <w:rPr>
                <w:rFonts w:hint="eastAsia" w:ascii="宋体" w:hAnsi="宋体" w:eastAsia="宋体" w:cs="宋体"/>
                <w:sz w:val="18"/>
                <w:szCs w:val="18"/>
              </w:rPr>
              <w:t>FZ/T 73005</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12490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沾色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18</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耐汗渍（酸、碱）/级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变色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沾色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19</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耐水色牢度/级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变色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沾色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20</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耐摩擦色牢度/级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干摩</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≥3-4（深3）</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ind w:left="13"/>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湿摩</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≥3（深2-3）</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≥3（深2-3）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ind w:left="13"/>
              <w:jc w:val="center"/>
              <w:rPr>
                <w:rFonts w:ascii="宋体" w:hAnsi="宋体" w:eastAsia="宋体" w:cs="宋体"/>
                <w:sz w:val="18"/>
                <w:szCs w:val="18"/>
              </w:rPr>
            </w:pPr>
            <w:r>
              <w:rPr>
                <w:rFonts w:hint="eastAsia" w:ascii="宋体" w:hAnsi="宋体" w:eastAsia="宋体" w:cs="宋体"/>
                <w:sz w:val="18"/>
                <w:szCs w:val="18"/>
              </w:rPr>
              <w:t>21</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耐干洗色牢度/级</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变色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沾色</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≥3-4</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Align w:val="center"/>
          </w:tcPr>
          <w:p>
            <w:pPr>
              <w:pStyle w:val="12"/>
              <w:overflowPunct w:val="0"/>
              <w:spacing w:before="11"/>
              <w:jc w:val="center"/>
              <w:rPr>
                <w:rFonts w:ascii="宋体" w:hAnsi="宋体" w:eastAsia="宋体" w:cs="宋体"/>
                <w:sz w:val="18"/>
                <w:szCs w:val="18"/>
              </w:rPr>
            </w:pPr>
            <w:r>
              <w:rPr>
                <w:rFonts w:hint="eastAsia" w:ascii="宋体" w:hAnsi="宋体" w:eastAsia="宋体" w:cs="宋体"/>
                <w:sz w:val="18"/>
                <w:szCs w:val="18"/>
              </w:rPr>
              <w:t>22</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1121" w:type="pct"/>
            <w:gridSpan w:val="2"/>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外观质量</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rPr>
                <w:rFonts w:ascii="宋体" w:hAnsi="宋体" w:eastAsia="宋体" w:cs="宋体"/>
                <w:sz w:val="18"/>
                <w:szCs w:val="18"/>
              </w:rPr>
            </w:pPr>
            <w:r>
              <w:rPr>
                <w:rFonts w:hint="eastAsia" w:ascii="宋体" w:hAnsi="宋体" w:eastAsia="宋体" w:cs="宋体"/>
                <w:sz w:val="18"/>
                <w:szCs w:val="18"/>
              </w:rPr>
              <w:t>符合FZ/T 73018-2021</w:t>
            </w:r>
          </w:p>
          <w:p>
            <w:pPr>
              <w:rPr>
                <w:rFonts w:ascii="宋体" w:hAnsi="宋体" w:eastAsia="宋体" w:cs="宋体"/>
                <w:sz w:val="18"/>
                <w:szCs w:val="18"/>
              </w:rPr>
            </w:pPr>
            <w:r>
              <w:rPr>
                <w:rFonts w:hint="eastAsia" w:ascii="宋体" w:hAnsi="宋体" w:eastAsia="宋体" w:cs="宋体"/>
                <w:sz w:val="18"/>
                <w:szCs w:val="18"/>
              </w:rPr>
              <w:t>中5.4优等品的要求</w:t>
            </w:r>
          </w:p>
        </w:tc>
        <w:tc>
          <w:tcPr>
            <w:tcW w:w="1086" w:type="pct"/>
            <w:gridSpan w:val="3"/>
            <w:vAlign w:val="center"/>
          </w:tcPr>
          <w:p>
            <w:pPr>
              <w:rPr>
                <w:rFonts w:ascii="宋体" w:hAnsi="宋体" w:eastAsia="宋体" w:cs="宋体"/>
                <w:sz w:val="18"/>
                <w:szCs w:val="18"/>
              </w:rPr>
            </w:pPr>
            <w:r>
              <w:rPr>
                <w:rFonts w:hint="eastAsia" w:ascii="宋体" w:hAnsi="宋体" w:eastAsia="宋体" w:cs="宋体"/>
                <w:sz w:val="18"/>
                <w:szCs w:val="18"/>
              </w:rPr>
              <w:t>符合</w:t>
            </w:r>
          </w:p>
          <w:p>
            <w:pPr>
              <w:rPr>
                <w:rFonts w:ascii="宋体" w:hAnsi="宋体" w:eastAsia="宋体" w:cs="宋体"/>
                <w:sz w:val="18"/>
                <w:szCs w:val="18"/>
              </w:rPr>
            </w:pPr>
            <w:r>
              <w:rPr>
                <w:rFonts w:hint="eastAsia" w:ascii="宋体" w:hAnsi="宋体" w:eastAsia="宋体" w:cs="宋体"/>
                <w:sz w:val="18"/>
                <w:szCs w:val="18"/>
              </w:rPr>
              <w:t>FZ/T 73018-2021</w:t>
            </w:r>
          </w:p>
          <w:p>
            <w:pPr>
              <w:rPr>
                <w:rFonts w:ascii="宋体" w:hAnsi="宋体" w:eastAsia="宋体" w:cs="宋体"/>
                <w:sz w:val="18"/>
                <w:szCs w:val="18"/>
              </w:rPr>
            </w:pPr>
            <w:r>
              <w:rPr>
                <w:rFonts w:hint="eastAsia" w:ascii="宋体" w:hAnsi="宋体" w:eastAsia="宋体" w:cs="宋体"/>
                <w:sz w:val="18"/>
                <w:szCs w:val="18"/>
              </w:rPr>
              <w:t>中5.4一等品的求</w:t>
            </w:r>
          </w:p>
        </w:tc>
        <w:tc>
          <w:tcPr>
            <w:tcW w:w="1310"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spacing w:before="11"/>
              <w:jc w:val="center"/>
              <w:rPr>
                <w:rFonts w:ascii="宋体" w:hAnsi="宋体" w:eastAsia="宋体" w:cs="宋体"/>
                <w:sz w:val="18"/>
                <w:szCs w:val="18"/>
              </w:rPr>
            </w:pPr>
            <w:r>
              <w:rPr>
                <w:rFonts w:hint="eastAsia" w:ascii="宋体" w:hAnsi="宋体" w:eastAsia="宋体" w:cs="宋体"/>
                <w:sz w:val="18"/>
                <w:szCs w:val="18"/>
              </w:rPr>
              <w:t>23</w:t>
            </w:r>
          </w:p>
        </w:tc>
        <w:tc>
          <w:tcPr>
            <w:tcW w:w="290" w:type="pct"/>
            <w:vMerge w:val="restart"/>
            <w:vAlign w:val="center"/>
          </w:tcPr>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创</w:t>
            </w:r>
          </w:p>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新</w:t>
            </w:r>
          </w:p>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指</w:t>
            </w:r>
          </w:p>
          <w:p>
            <w:pPr>
              <w:pStyle w:val="2"/>
              <w:overflowPunct w:val="0"/>
              <w:spacing w:before="11"/>
              <w:jc w:val="center"/>
              <w:rPr>
                <w:rFonts w:ascii="宋体" w:hAnsi="宋体" w:eastAsia="宋体" w:cs="宋体"/>
                <w:snapToGrid/>
                <w:color w:val="auto"/>
                <w:sz w:val="18"/>
                <w:szCs w:val="18"/>
                <w:lang w:eastAsia="zh-CN"/>
              </w:rPr>
            </w:pPr>
            <w:r>
              <w:rPr>
                <w:rFonts w:hint="eastAsia" w:ascii="宋体" w:hAnsi="宋体" w:eastAsia="宋体" w:cs="宋体"/>
                <w:snapToGrid/>
                <w:color w:val="auto"/>
                <w:sz w:val="18"/>
                <w:szCs w:val="18"/>
                <w:lang w:eastAsia="zh-CN"/>
              </w:rPr>
              <w:t>标</w:t>
            </w:r>
          </w:p>
        </w:tc>
        <w:tc>
          <w:tcPr>
            <w:tcW w:w="56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可萃取重金属/（mg/kg）</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锑</w:t>
            </w:r>
          </w:p>
        </w:tc>
        <w:tc>
          <w:tcPr>
            <w:tcW w:w="390" w:type="pct"/>
            <w:vMerge w:val="restart"/>
            <w:vAlign w:val="center"/>
          </w:tcPr>
          <w:p>
            <w:pPr>
              <w:pStyle w:val="12"/>
              <w:jc w:val="center"/>
              <w:rPr>
                <w:rFonts w:ascii="宋体" w:hAnsi="宋体" w:eastAsia="宋体" w:cs="宋体"/>
                <w:sz w:val="18"/>
                <w:szCs w:val="18"/>
              </w:rPr>
            </w:pPr>
            <w:r>
              <w:rPr>
                <w:rFonts w:hint="eastAsia" w:ascii="宋体" w:hAnsi="宋体" w:eastAsia="宋体" w:cs="宋体"/>
                <w:sz w:val="18"/>
                <w:szCs w:val="18"/>
              </w:rPr>
              <w:t>消费需要</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≤30.0</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≤30.0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≤30.0</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GB/T 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砷</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≤0.2</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铅</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≤0.2</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镉</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≤0.1</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≤0.1</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≤0.1</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铬</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≤2.0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≤2.0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六价铬</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≤0.5</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≤0.5</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≤0.5</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钴</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铜</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≤25.0</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≤50.0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镍</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≤1.0</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≤4.0</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≤4.0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汞</w:t>
            </w:r>
          </w:p>
        </w:tc>
        <w:tc>
          <w:tcPr>
            <w:tcW w:w="390" w:type="pct"/>
            <w:vMerge w:val="continue"/>
            <w:vAlign w:val="center"/>
          </w:tcPr>
          <w:p>
            <w:pPr>
              <w:pStyle w:val="12"/>
              <w:jc w:val="center"/>
              <w:rPr>
                <w:rFonts w:ascii="宋体" w:hAnsi="宋体" w:eastAsia="宋体" w:cs="宋体"/>
                <w:sz w:val="18"/>
                <w:szCs w:val="18"/>
              </w:rPr>
            </w:pP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≤0.02</w:t>
            </w:r>
          </w:p>
        </w:tc>
        <w:tc>
          <w:tcPr>
            <w:tcW w:w="543" w:type="pct"/>
            <w:gridSpan w:val="2"/>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≤0.02</w:t>
            </w:r>
          </w:p>
        </w:tc>
        <w:tc>
          <w:tcPr>
            <w:tcW w:w="543" w:type="pc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≤0.02</w:t>
            </w:r>
          </w:p>
        </w:tc>
        <w:tc>
          <w:tcPr>
            <w:tcW w:w="1310" w:type="pct"/>
            <w:vMerge w:val="continue"/>
            <w:vAlign w:val="center"/>
          </w:tcPr>
          <w:p>
            <w:pPr>
              <w:pStyle w:val="12"/>
              <w:overflowPunct w:val="0"/>
              <w:spacing w:before="3"/>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restart"/>
            <w:vAlign w:val="center"/>
          </w:tcPr>
          <w:p>
            <w:pPr>
              <w:pStyle w:val="12"/>
              <w:overflowPunct w:val="0"/>
              <w:spacing w:before="11"/>
              <w:jc w:val="center"/>
              <w:rPr>
                <w:rFonts w:ascii="宋体" w:hAnsi="宋体" w:eastAsia="宋体" w:cs="宋体"/>
                <w:sz w:val="18"/>
                <w:szCs w:val="18"/>
              </w:rPr>
            </w:pPr>
            <w:r>
              <w:rPr>
                <w:rFonts w:hint="eastAsia" w:ascii="宋体" w:hAnsi="宋体" w:eastAsia="宋体" w:cs="宋体"/>
                <w:sz w:val="18"/>
                <w:szCs w:val="18"/>
              </w:rPr>
              <w:t>24</w:t>
            </w:r>
          </w:p>
        </w:tc>
        <w:tc>
          <w:tcPr>
            <w:tcW w:w="290" w:type="pct"/>
            <w:vMerge w:val="continue"/>
            <w:vAlign w:val="center"/>
          </w:tcPr>
          <w:p>
            <w:pPr>
              <w:pStyle w:val="2"/>
              <w:overflowPunct w:val="0"/>
              <w:spacing w:before="11"/>
              <w:jc w:val="center"/>
              <w:rPr>
                <w:rFonts w:ascii="宋体" w:hAnsi="宋体" w:eastAsia="宋体" w:cs="宋体"/>
                <w:snapToGrid/>
                <w:color w:val="auto"/>
                <w:sz w:val="18"/>
                <w:szCs w:val="18"/>
                <w:lang w:eastAsia="zh-CN"/>
              </w:rPr>
            </w:pPr>
          </w:p>
        </w:tc>
        <w:tc>
          <w:tcPr>
            <w:tcW w:w="56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防刺痒性能（刺痒感数值）</w:t>
            </w: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运动产品</w:t>
            </w:r>
          </w:p>
        </w:tc>
        <w:tc>
          <w:tcPr>
            <w:tcW w:w="390" w:type="pct"/>
            <w:vAlign w:val="center"/>
          </w:tcPr>
          <w:p>
            <w:pPr>
              <w:pStyle w:val="12"/>
              <w:jc w:val="center"/>
              <w:rPr>
                <w:rFonts w:ascii="宋体" w:hAnsi="宋体" w:eastAsia="宋体" w:cs="宋体"/>
                <w:sz w:val="18"/>
                <w:szCs w:val="18"/>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≤320</w:t>
            </w:r>
          </w:p>
        </w:tc>
        <w:tc>
          <w:tcPr>
            <w:tcW w:w="1310" w:type="pct"/>
            <w:vMerge w:val="restart"/>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FZ/T 73018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60" w:type="pct"/>
            <w:vMerge w:val="continue"/>
            <w:vAlign w:val="center"/>
          </w:tcPr>
          <w:p>
            <w:pPr>
              <w:pStyle w:val="12"/>
              <w:overflowPunct w:val="0"/>
              <w:spacing w:before="11"/>
              <w:jc w:val="center"/>
              <w:rPr>
                <w:rFonts w:ascii="宋体" w:hAnsi="宋体" w:eastAsia="宋体" w:cs="宋体"/>
                <w:sz w:val="18"/>
                <w:szCs w:val="18"/>
              </w:rPr>
            </w:pPr>
          </w:p>
        </w:tc>
        <w:tc>
          <w:tcPr>
            <w:tcW w:w="290" w:type="pct"/>
            <w:vMerge w:val="continue"/>
            <w:vAlign w:val="center"/>
          </w:tcPr>
          <w:p>
            <w:pPr>
              <w:pStyle w:val="2"/>
              <w:overflowPunct w:val="0"/>
              <w:spacing w:before="11"/>
              <w:rPr>
                <w:rFonts w:ascii="宋体" w:hAnsi="宋体" w:eastAsia="宋体" w:cs="宋体"/>
                <w:sz w:val="18"/>
                <w:szCs w:val="18"/>
                <w:lang w:eastAsia="zh-CN"/>
              </w:rPr>
            </w:pPr>
          </w:p>
        </w:tc>
        <w:tc>
          <w:tcPr>
            <w:tcW w:w="560" w:type="pct"/>
            <w:vMerge w:val="continue"/>
            <w:vAlign w:val="center"/>
          </w:tcPr>
          <w:p>
            <w:pPr>
              <w:pStyle w:val="12"/>
              <w:overflowPunct w:val="0"/>
              <w:spacing w:before="3"/>
              <w:jc w:val="center"/>
              <w:rPr>
                <w:rFonts w:ascii="宋体" w:hAnsi="宋体" w:eastAsia="宋体" w:cs="宋体"/>
                <w:sz w:val="18"/>
                <w:szCs w:val="18"/>
              </w:rPr>
            </w:pPr>
          </w:p>
        </w:tc>
        <w:tc>
          <w:tcPr>
            <w:tcW w:w="561" w:type="pct"/>
            <w:vAlign w:val="center"/>
          </w:tcPr>
          <w:p>
            <w:pPr>
              <w:pStyle w:val="13"/>
              <w:numPr>
                <w:ilvl w:val="0"/>
                <w:numId w:val="3"/>
              </w:numPr>
              <w:ind w:firstLineChars="0"/>
              <w:jc w:val="center"/>
              <w:rPr>
                <w:rFonts w:hAnsi="宋体" w:cs="宋体"/>
                <w:sz w:val="18"/>
                <w:szCs w:val="18"/>
              </w:rPr>
            </w:pPr>
            <w:r>
              <w:rPr>
                <w:rFonts w:hint="eastAsia" w:hAnsi="宋体" w:cs="宋体"/>
                <w:sz w:val="18"/>
                <w:szCs w:val="18"/>
              </w:rPr>
              <w:t>非运动产品</w:t>
            </w:r>
          </w:p>
        </w:tc>
        <w:tc>
          <w:tcPr>
            <w:tcW w:w="390" w:type="pct"/>
            <w:vAlign w:val="center"/>
          </w:tcPr>
          <w:p>
            <w:pPr>
              <w:pStyle w:val="12"/>
              <w:jc w:val="center"/>
              <w:rPr>
                <w:rFonts w:ascii="宋体" w:hAnsi="宋体" w:eastAsia="宋体" w:cs="宋体"/>
                <w:sz w:val="2"/>
                <w:szCs w:val="2"/>
              </w:rPr>
            </w:pPr>
          </w:p>
        </w:tc>
        <w:tc>
          <w:tcPr>
            <w:tcW w:w="1629" w:type="pct"/>
            <w:gridSpan w:val="4"/>
            <w:vAlign w:val="center"/>
          </w:tcPr>
          <w:p>
            <w:pPr>
              <w:pStyle w:val="12"/>
              <w:overflowPunct w:val="0"/>
              <w:spacing w:before="3"/>
              <w:jc w:val="center"/>
              <w:rPr>
                <w:rFonts w:ascii="宋体" w:hAnsi="宋体" w:eastAsia="宋体" w:cs="宋体"/>
                <w:sz w:val="18"/>
                <w:szCs w:val="18"/>
              </w:rPr>
            </w:pPr>
            <w:r>
              <w:rPr>
                <w:rFonts w:hint="eastAsia" w:ascii="宋体" w:hAnsi="宋体" w:eastAsia="宋体" w:cs="宋体"/>
                <w:sz w:val="18"/>
                <w:szCs w:val="18"/>
              </w:rPr>
              <w:t>≤510</w:t>
            </w:r>
          </w:p>
        </w:tc>
        <w:tc>
          <w:tcPr>
            <w:tcW w:w="1310" w:type="pct"/>
            <w:vMerge w:val="continue"/>
            <w:vAlign w:val="center"/>
          </w:tcPr>
          <w:p>
            <w:pPr>
              <w:pStyle w:val="12"/>
              <w:overflowPunct w:val="0"/>
              <w:spacing w:before="3"/>
              <w:jc w:val="center"/>
              <w:rPr>
                <w:rFonts w:ascii="宋体" w:hAnsi="宋体" w:eastAsia="宋体" w:cs="宋体"/>
                <w:sz w:val="18"/>
                <w:szCs w:val="18"/>
              </w:rPr>
            </w:pPr>
          </w:p>
        </w:tc>
      </w:tr>
    </w:tbl>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3  评价方法及等级划分</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评价结果划分为一级、二级和三级，各等级所对应的划分依据见表2。达到三级要求及以上的企业标准并按照有关要求进行自我声明公开后均可进入低含毛混纺及仿毛针织品企业标准排行榜。达到一级要求的企业标准且按照有关要求进行自我声明公开后，其标准和符合标准的产品可以直接进入低含毛混纺及仿毛针织品企业标准“领跑者”候选名单。</w:t>
      </w:r>
    </w:p>
    <w:p>
      <w:pPr>
        <w:pStyle w:val="11"/>
        <w:spacing w:before="156" w:after="156"/>
        <w:rPr>
          <w:rFonts w:hint="default" w:hAnsi="宋体"/>
          <w:color w:val="000000"/>
          <w:szCs w:val="21"/>
        </w:rPr>
      </w:pPr>
      <w:r>
        <w:rPr>
          <w:rFonts w:hAnsi="宋体"/>
          <w:color w:val="000000"/>
          <w:szCs w:val="21"/>
        </w:rPr>
        <w:t>指标评价要求及等级划分</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8"/>
        <w:gridCol w:w="984"/>
        <w:gridCol w:w="1469"/>
        <w:gridCol w:w="2438"/>
        <w:gridCol w:w="1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tblHeader/>
          <w:jc w:val="center"/>
        </w:trPr>
        <w:tc>
          <w:tcPr>
            <w:tcW w:w="1032" w:type="pct"/>
            <w:tcBorders>
              <w:top w:val="single" w:color="auto" w:sz="8" w:space="0"/>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评价等级</w:t>
            </w:r>
          </w:p>
        </w:tc>
        <w:tc>
          <w:tcPr>
            <w:tcW w:w="3968" w:type="pct"/>
            <w:gridSpan w:val="4"/>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满足条件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2" w:type="pct"/>
            <w:tcBorders>
              <w:top w:val="single" w:color="auto" w:sz="8" w:space="0"/>
              <w:left w:val="single" w:color="auto" w:sz="8"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一级应同时满足</w:t>
            </w:r>
          </w:p>
        </w:tc>
        <w:tc>
          <w:tcPr>
            <w:tcW w:w="591" w:type="pct"/>
            <w:tcBorders>
              <w:top w:val="single" w:color="auto" w:sz="8"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基本要求</w:t>
            </w:r>
          </w:p>
        </w:tc>
        <w:tc>
          <w:tcPr>
            <w:tcW w:w="882" w:type="pct"/>
            <w:tcBorders>
              <w:top w:val="single" w:color="auto" w:sz="8"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int="eastAsia" w:hAnsi="宋体" w:eastAsia="宋体" w:cs="宋体"/>
                <w:szCs w:val="18"/>
                <w:lang w:eastAsia="zh-CN"/>
              </w:rPr>
              <w:t>底线指标</w:t>
            </w:r>
            <w:r>
              <w:rPr>
                <w:rFonts w:hAnsi="宋体" w:eastAsia="宋体" w:cs="宋体"/>
                <w:szCs w:val="18"/>
              </w:rPr>
              <w:t>要求</w:t>
            </w:r>
          </w:p>
        </w:tc>
        <w:tc>
          <w:tcPr>
            <w:tcW w:w="1464" w:type="pct"/>
            <w:tcBorders>
              <w:top w:val="single" w:color="auto" w:sz="8"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核心指标先进水平要求</w:t>
            </w:r>
          </w:p>
        </w:tc>
        <w:tc>
          <w:tcPr>
            <w:tcW w:w="1031" w:type="pct"/>
            <w:tcBorders>
              <w:top w:val="single" w:color="auto" w:sz="8" w:space="0"/>
              <w:left w:val="single" w:color="auto" w:sz="4" w:space="0"/>
              <w:bottom w:val="single" w:color="auto" w:sz="4" w:space="0"/>
              <w:right w:val="single" w:color="auto" w:sz="8"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创新指标达到先进水平要求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2"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二级应同时满足</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基本要求</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int="eastAsia" w:hAnsi="宋体" w:eastAsia="宋体" w:cs="宋体"/>
                <w:szCs w:val="18"/>
                <w:lang w:eastAsia="zh-CN"/>
              </w:rPr>
              <w:t>底线指标</w:t>
            </w:r>
            <w:r>
              <w:rPr>
                <w:rFonts w:hAnsi="宋体" w:eastAsia="宋体" w:cs="宋体"/>
                <w:szCs w:val="18"/>
              </w:rPr>
              <w:t>要求</w:t>
            </w:r>
          </w:p>
        </w:tc>
        <w:tc>
          <w:tcPr>
            <w:tcW w:w="14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核心指标平均水平要求</w:t>
            </w:r>
          </w:p>
        </w:tc>
        <w:tc>
          <w:tcPr>
            <w:tcW w:w="1031"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创新指标达到平均水平要求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32" w:type="pct"/>
            <w:tcBorders>
              <w:top w:val="single" w:color="auto" w:sz="4" w:space="0"/>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三级应同时满足</w:t>
            </w:r>
          </w:p>
        </w:tc>
        <w:tc>
          <w:tcPr>
            <w:tcW w:w="591" w:type="pct"/>
            <w:tcBorders>
              <w:top w:val="single" w:color="auto" w:sz="4" w:space="0"/>
              <w:left w:val="single" w:color="auto" w:sz="4" w:space="0"/>
              <w:bottom w:val="single" w:color="auto" w:sz="8"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基本要求</w:t>
            </w:r>
          </w:p>
        </w:tc>
        <w:tc>
          <w:tcPr>
            <w:tcW w:w="882" w:type="pct"/>
            <w:tcBorders>
              <w:top w:val="single" w:color="auto" w:sz="4" w:space="0"/>
              <w:left w:val="single" w:color="auto" w:sz="4" w:space="0"/>
              <w:bottom w:val="single" w:color="auto" w:sz="8" w:space="0"/>
              <w:right w:val="single" w:color="auto" w:sz="4" w:space="0"/>
            </w:tcBorders>
            <w:shd w:val="clear" w:color="auto" w:fill="auto"/>
            <w:vAlign w:val="center"/>
          </w:tcPr>
          <w:p>
            <w:pPr>
              <w:pStyle w:val="14"/>
              <w:widowControl w:val="0"/>
              <w:rPr>
                <w:rFonts w:hint="default" w:hAnsi="宋体" w:eastAsia="宋体" w:cs="宋体"/>
                <w:szCs w:val="18"/>
              </w:rPr>
            </w:pPr>
            <w:r>
              <w:rPr>
                <w:rFonts w:hint="eastAsia" w:hAnsi="宋体" w:eastAsia="宋体" w:cs="宋体"/>
                <w:szCs w:val="18"/>
                <w:lang w:eastAsia="zh-CN"/>
              </w:rPr>
              <w:t>底线指标</w:t>
            </w:r>
            <w:r>
              <w:rPr>
                <w:rFonts w:hAnsi="宋体" w:eastAsia="宋体" w:cs="宋体"/>
                <w:szCs w:val="18"/>
              </w:rPr>
              <w:t>要求</w:t>
            </w:r>
          </w:p>
        </w:tc>
        <w:tc>
          <w:tcPr>
            <w:tcW w:w="1464" w:type="pct"/>
            <w:tcBorders>
              <w:top w:val="single" w:color="auto" w:sz="4" w:space="0"/>
              <w:left w:val="single" w:color="auto" w:sz="4" w:space="0"/>
              <w:bottom w:val="single" w:color="auto" w:sz="8" w:space="0"/>
              <w:right w:val="single" w:color="auto" w:sz="4"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核心指标基准水平要求</w:t>
            </w:r>
          </w:p>
        </w:tc>
        <w:tc>
          <w:tcPr>
            <w:tcW w:w="1031" w:type="pct"/>
            <w:tcBorders>
              <w:top w:val="single" w:color="auto" w:sz="4"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szCs w:val="18"/>
              </w:rPr>
            </w:pPr>
            <w:r>
              <w:rPr>
                <w:rFonts w:hAnsi="宋体" w:eastAsia="宋体" w:cs="宋体"/>
                <w:szCs w:val="18"/>
              </w:rPr>
              <w:t>创新指标达到基准水平要求</w:t>
            </w:r>
          </w:p>
        </w:tc>
      </w:tr>
    </w:tbl>
    <w:p>
      <w:pPr>
        <w:rPr>
          <w:rFonts w:ascii="Times New Roman" w:hAnsi="Times New Roman" w:eastAsia="仿宋_GB2312" w:cs="Times New Roman"/>
          <w:b/>
          <w:sz w:val="32"/>
          <w:szCs w:val="32"/>
        </w:rPr>
      </w:pP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采用国际标准的程序及水平的简要说明</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目前没有相关的低含毛混纺及仿毛针织品相关的质量分级及领跑者团标。目前已有的相关标准包括：</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1、FZ/T 73005-2021 《低含毛混纺及仿毛针织品》；</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2、GB 18401—2010  《国家纺织产品基本安全技术规范》；</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3、GB 31701—2015  《婴幼儿及儿童纺织产品安全技术规范》；</w:t>
      </w:r>
    </w:p>
    <w:p>
      <w:pPr>
        <w:adjustRightInd/>
        <w:snapToGrid/>
        <w:spacing w:after="0" w:line="360" w:lineRule="auto"/>
        <w:ind w:firstLine="480" w:firstLineChars="200"/>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4、国外无通用产品标准，主要参照ISO各类纺织品相关标准;</w:t>
      </w:r>
    </w:p>
    <w:p>
      <w:pPr>
        <w:adjustRightInd/>
        <w:snapToGrid/>
        <w:spacing w:after="0" w:line="360" w:lineRule="auto"/>
        <w:ind w:firstLine="480" w:firstLineChars="200"/>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5、目前在全国企标网里面无该产品企业标准；</w:t>
      </w:r>
    </w:p>
    <w:p>
      <w:pPr>
        <w:adjustRightInd/>
        <w:snapToGrid/>
        <w:spacing w:after="0" w:line="360" w:lineRule="auto"/>
        <w:ind w:firstLine="480" w:firstLineChars="200"/>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6、指标选择依据及等级验证情况：</w:t>
      </w:r>
    </w:p>
    <w:p>
      <w:pPr>
        <w:adjustRightInd/>
        <w:snapToGrid/>
        <w:spacing w:after="0" w:line="360" w:lineRule="auto"/>
        <w:ind w:firstLine="480" w:firstLineChars="200"/>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lang w:eastAsia="zh-CN"/>
        </w:rPr>
        <w:t>底线指标</w:t>
      </w:r>
      <w:r>
        <w:rPr>
          <w:rFonts w:hint="eastAsia" w:ascii="仿宋_GB2312" w:hAnsi="Times New Roman" w:eastAsia="仿宋_GB2312" w:cs="Times New Roman"/>
          <w:color w:val="auto"/>
          <w:sz w:val="24"/>
          <w:szCs w:val="24"/>
          <w:highlight w:val="none"/>
        </w:rPr>
        <w:t>参照国家强制标准和行业标准，创新指标可萃取重金属和防刺痒感性能项目，根据消费需求选择依据来之GB/T 18885-2020《生态纺织品技术要求》和行业标准FZ/T 73018-2021《毛针织品》。</w:t>
      </w:r>
    </w:p>
    <w:p>
      <w:pPr>
        <w:adjustRightInd/>
        <w:snapToGrid/>
        <w:spacing w:after="0" w:line="360" w:lineRule="auto"/>
        <w:ind w:firstLine="480" w:firstLineChars="200"/>
        <w:jc w:val="both"/>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其中核心指标起球的选择依据本中心2023年度委托检测结果的分析，2023年度共统计3345个起球项目数，具体分析见表3.</w:t>
      </w:r>
    </w:p>
    <w:p>
      <w:pPr>
        <w:adjustRightInd/>
        <w:snapToGrid/>
        <w:spacing w:after="0" w:line="360" w:lineRule="auto"/>
        <w:ind w:firstLine="440" w:firstLineChars="200"/>
        <w:jc w:val="center"/>
        <w:rPr>
          <w:rFonts w:ascii="黑体" w:hAnsi="宋体" w:eastAsia="黑体"/>
          <w:color w:val="auto"/>
          <w:szCs w:val="21"/>
          <w:highlight w:val="none"/>
        </w:rPr>
      </w:pPr>
      <w:r>
        <w:rPr>
          <w:rFonts w:hint="eastAsia" w:ascii="黑体" w:hAnsi="宋体" w:eastAsia="黑体"/>
          <w:color w:val="auto"/>
          <w:szCs w:val="21"/>
          <w:highlight w:val="none"/>
        </w:rPr>
        <w:t>表3  本中心2023年度核心指标检测结果统计分析情况汇总表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8"/>
        <w:gridCol w:w="859"/>
        <w:gridCol w:w="1321"/>
        <w:gridCol w:w="1322"/>
        <w:gridCol w:w="1322"/>
        <w:gridCol w:w="1322"/>
        <w:gridCol w:w="13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1" w:hRule="atLeast"/>
          <w:tblHeader/>
          <w:jc w:val="center"/>
        </w:trPr>
        <w:tc>
          <w:tcPr>
            <w:tcW w:w="1031" w:type="pct"/>
            <w:gridSpan w:val="2"/>
            <w:vMerge w:val="restart"/>
            <w:tcBorders>
              <w:top w:val="single" w:color="auto" w:sz="8" w:space="0"/>
              <w:left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核心指标</w:t>
            </w:r>
          </w:p>
        </w:tc>
        <w:tc>
          <w:tcPr>
            <w:tcW w:w="3969" w:type="pct"/>
            <w:gridSpan w:val="5"/>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技术指标等级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1" w:hRule="atLeast"/>
          <w:tblHeader/>
          <w:jc w:val="center"/>
        </w:trPr>
        <w:tc>
          <w:tcPr>
            <w:tcW w:w="1031" w:type="pct"/>
            <w:gridSpan w:val="2"/>
            <w:vMerge w:val="continue"/>
            <w:tcBorders>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p>
        </w:tc>
        <w:tc>
          <w:tcPr>
            <w:tcW w:w="793"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4-5级</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4级</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3-4级</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3级</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≤2-3级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1" w:hRule="atLeast"/>
          <w:tblHeader/>
          <w:jc w:val="center"/>
        </w:trPr>
        <w:tc>
          <w:tcPr>
            <w:tcW w:w="515" w:type="pct"/>
            <w:vMerge w:val="restart"/>
            <w:tcBorders>
              <w:left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起球</w:t>
            </w:r>
          </w:p>
        </w:tc>
        <w:tc>
          <w:tcPr>
            <w:tcW w:w="516" w:type="pct"/>
            <w:tcBorders>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数量</w:t>
            </w:r>
          </w:p>
        </w:tc>
        <w:tc>
          <w:tcPr>
            <w:tcW w:w="793"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40</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750</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876</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988</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690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1" w:hRule="atLeast"/>
          <w:tblHeader/>
          <w:jc w:val="center"/>
        </w:trPr>
        <w:tc>
          <w:tcPr>
            <w:tcW w:w="515" w:type="pct"/>
            <w:vMerge w:val="continue"/>
            <w:tcBorders>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p>
        </w:tc>
        <w:tc>
          <w:tcPr>
            <w:tcW w:w="516" w:type="pct"/>
            <w:tcBorders>
              <w:left w:val="single" w:color="auto" w:sz="8" w:space="0"/>
              <w:bottom w:val="single" w:color="auto" w:sz="8" w:space="0"/>
              <w:right w:val="single" w:color="auto" w:sz="4"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占比%</w:t>
            </w:r>
          </w:p>
        </w:tc>
        <w:tc>
          <w:tcPr>
            <w:tcW w:w="793"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1.2</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22.4</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26.2</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29.5</w:t>
            </w:r>
          </w:p>
        </w:tc>
        <w:tc>
          <w:tcPr>
            <w:tcW w:w="794" w:type="pct"/>
            <w:tcBorders>
              <w:top w:val="single" w:color="auto" w:sz="8" w:space="0"/>
              <w:left w:val="single" w:color="auto" w:sz="4" w:space="0"/>
              <w:bottom w:val="single" w:color="auto" w:sz="8" w:space="0"/>
              <w:right w:val="single" w:color="auto" w:sz="8" w:space="0"/>
            </w:tcBorders>
            <w:shd w:val="clear" w:color="auto" w:fill="auto"/>
            <w:vAlign w:val="center"/>
          </w:tcPr>
          <w:p>
            <w:pPr>
              <w:pStyle w:val="14"/>
              <w:widowControl w:val="0"/>
              <w:rPr>
                <w:rFonts w:hint="default" w:hAnsi="宋体" w:eastAsia="宋体" w:cs="宋体"/>
                <w:color w:val="auto"/>
                <w:szCs w:val="18"/>
                <w:highlight w:val="none"/>
              </w:rPr>
            </w:pPr>
            <w:r>
              <w:rPr>
                <w:rFonts w:hAnsi="宋体" w:eastAsia="宋体" w:cs="宋体"/>
                <w:color w:val="auto"/>
                <w:szCs w:val="18"/>
                <w:highlight w:val="none"/>
              </w:rPr>
              <w:t>20.6</w:t>
            </w:r>
          </w:p>
        </w:tc>
      </w:tr>
    </w:tbl>
    <w:p>
      <w:pPr>
        <w:adjustRightInd/>
        <w:snapToGrid/>
        <w:spacing w:after="0"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color w:val="auto"/>
          <w:sz w:val="24"/>
          <w:szCs w:val="24"/>
          <w:highlight w:val="none"/>
        </w:rPr>
        <w:t>由表3可以看出起球4级以上占比在23.6%，3-4级以上在49.8%、3级以上占比79.3%，根据T/CAS 700—2023；T/CSTE 0321—2023《质量分级及“领跑者”评价标准编制通则》第8章评价指标及要求，基本满足起球先进水平在4级以上、平均水平在3-4级以上，基准水平在3级以上的要求。</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与上现有的国家和行业标准相比，本标准根据TCAS 700-2023 TCSTE 0321—2023 《质量分级及“领跑者”评价标准编制通则》规定了“</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低含毛混纺及仿毛针织品的评价指标体系（包括基本要求、评价指标分类、评价指标体系框架）和评价方法及等级划分等内容。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在指标对比情况方面，本次拟制定的“</w:t>
      </w:r>
      <w:r>
        <w:rPr>
          <w:rFonts w:hint="eastAsia" w:ascii="仿宋_GB2312" w:hAnsi="Times New Roman" w:eastAsia="仿宋_GB2312" w:cs="Times New Roman"/>
          <w:sz w:val="24"/>
          <w:szCs w:val="24"/>
          <w:lang w:eastAsia="zh-CN"/>
        </w:rPr>
        <w:t>质量分级及“领跑者”评价要求</w:t>
      </w:r>
      <w:r>
        <w:rPr>
          <w:rFonts w:hint="eastAsia" w:ascii="仿宋_GB2312" w:hAnsi="Times New Roman" w:eastAsia="仿宋_GB2312" w:cs="Times New Roman"/>
          <w:sz w:val="24"/>
          <w:szCs w:val="24"/>
        </w:rPr>
        <w:t xml:space="preserve"> 低含毛混纺及仿毛针织品团体标准将在GB 18401-2010 《国家纺织产品基本安全技术规范》、GB 31701-2015 《婴幼儿及儿童纺织产品安全技术规范》、FZ/T 73005-2021《低含毛混纺及仿毛针织品》的要求上，以“质量分级”的相关要求，将指标划分为</w:t>
      </w:r>
      <w:r>
        <w:rPr>
          <w:rFonts w:hint="eastAsia" w:ascii="仿宋_GB2312" w:hAnsi="Times New Roman" w:eastAsia="仿宋_GB2312" w:cs="Times New Roman"/>
          <w:sz w:val="24"/>
          <w:szCs w:val="24"/>
          <w:lang w:eastAsia="zh-CN"/>
        </w:rPr>
        <w:t>底线指标</w:t>
      </w:r>
      <w:r>
        <w:rPr>
          <w:rFonts w:hint="eastAsia" w:ascii="仿宋_GB2312" w:hAnsi="Times New Roman" w:eastAsia="仿宋_GB2312" w:cs="Times New Roman"/>
          <w:sz w:val="24"/>
          <w:szCs w:val="24"/>
        </w:rPr>
        <w:t>、核心指标、创新性指标并针对核心指标提出更加严格的要求，针对创新性指标做出新的规定，见表1 评价指标体系。</w:t>
      </w: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与有关的现行法律、法规和国家、行业标准的关系</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本标准与相关法律、法规、规章、强制性标准无冲突，不存在标准低于相关国标、行标和地标等推荐性标准的情况。</w:t>
      </w: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标准实施建议</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标准编制过程中重大分歧意见的处理和依据</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无。</w:t>
      </w:r>
    </w:p>
    <w:p>
      <w:pPr>
        <w:numPr>
          <w:ilvl w:val="0"/>
          <w:numId w:val="2"/>
        </w:numP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其他应予说明的事项</w:t>
      </w:r>
    </w:p>
    <w:p>
      <w:pPr>
        <w:adjustRightInd/>
        <w:snapToGrid/>
        <w:spacing w:after="0" w:line="360" w:lineRule="auto"/>
        <w:ind w:firstLine="480" w:firstLineChars="200"/>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B57B1"/>
    <w:multiLevelType w:val="multilevel"/>
    <w:tmpl w:val="150B57B1"/>
    <w:lvl w:ilvl="0" w:tentative="0">
      <w:start w:val="1"/>
      <w:numFmt w:val="decimal"/>
      <w:pStyle w:val="1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A9D36AF"/>
    <w:multiLevelType w:val="multilevel"/>
    <w:tmpl w:val="7A9D36A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2ZWRjZDcwMTI0MmVkODMzMjQzOGEyZDIyN2QyM2QifQ=="/>
  </w:docVars>
  <w:rsids>
    <w:rsidRoot w:val="00337153"/>
    <w:rsid w:val="00020CCA"/>
    <w:rsid w:val="000A0830"/>
    <w:rsid w:val="000A46A3"/>
    <w:rsid w:val="000A5894"/>
    <w:rsid w:val="00154B7C"/>
    <w:rsid w:val="0016263D"/>
    <w:rsid w:val="001861AF"/>
    <w:rsid w:val="00295F24"/>
    <w:rsid w:val="00337153"/>
    <w:rsid w:val="00395B93"/>
    <w:rsid w:val="003F393A"/>
    <w:rsid w:val="004622ED"/>
    <w:rsid w:val="004A452C"/>
    <w:rsid w:val="00554DD3"/>
    <w:rsid w:val="00585D9A"/>
    <w:rsid w:val="005C7C80"/>
    <w:rsid w:val="006910DC"/>
    <w:rsid w:val="006C0C09"/>
    <w:rsid w:val="006F1B52"/>
    <w:rsid w:val="00702B16"/>
    <w:rsid w:val="00816DC0"/>
    <w:rsid w:val="008D1A82"/>
    <w:rsid w:val="00905FE7"/>
    <w:rsid w:val="00953BCD"/>
    <w:rsid w:val="009E7475"/>
    <w:rsid w:val="00A104BA"/>
    <w:rsid w:val="00BD5AA8"/>
    <w:rsid w:val="00C26915"/>
    <w:rsid w:val="00CE6709"/>
    <w:rsid w:val="00D508A9"/>
    <w:rsid w:val="00D67AC7"/>
    <w:rsid w:val="00E67733"/>
    <w:rsid w:val="00EA3619"/>
    <w:rsid w:val="00EB6EFC"/>
    <w:rsid w:val="00ED7254"/>
    <w:rsid w:val="00EF5785"/>
    <w:rsid w:val="00F43866"/>
    <w:rsid w:val="00F81BC4"/>
    <w:rsid w:val="16E07969"/>
    <w:rsid w:val="72107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style>
  <w:style w:type="paragraph" w:customStyle="1" w:styleId="11">
    <w:name w:val="标准文件_正文表标题"/>
    <w:basedOn w:val="1"/>
    <w:next w:val="1"/>
    <w:qFormat/>
    <w:uiPriority w:val="0"/>
    <w:pPr>
      <w:numPr>
        <w:ilvl w:val="0"/>
        <w:numId w:val="1"/>
      </w:numPr>
      <w:tabs>
        <w:tab w:val="left" w:pos="0"/>
      </w:tabs>
      <w:spacing w:beforeLines="50" w:afterLines="50"/>
      <w:jc w:val="center"/>
    </w:pPr>
    <w:rPr>
      <w:rFonts w:hint="eastAsia" w:ascii="黑体" w:eastAsia="黑体"/>
    </w:rPr>
  </w:style>
  <w:style w:type="paragraph" w:customStyle="1" w:styleId="12">
    <w:name w:val="Table Paragraph"/>
    <w:basedOn w:val="1"/>
    <w:qFormat/>
    <w:uiPriority w:val="1"/>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标准文件_表格"/>
    <w:basedOn w:val="1"/>
    <w:qFormat/>
    <w:uiPriority w:val="0"/>
    <w:pPr>
      <w:autoSpaceDE w:val="0"/>
      <w:autoSpaceDN w:val="0"/>
      <w:jc w:val="center"/>
    </w:pPr>
    <w:rPr>
      <w:rFonts w:hint="eastAsia" w:asci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5975</Words>
  <Characters>6935</Characters>
  <Lines>54</Lines>
  <Paragraphs>15</Paragraphs>
  <TotalTime>6</TotalTime>
  <ScaleCrop>false</ScaleCrop>
  <LinksUpToDate>false</LinksUpToDate>
  <CharactersWithSpaces>7109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2024-06-11T02:13:00Z</dcterms:created>
  <dc:creator>kh8052023</dc:creator>
  <cp:lastModifiedBy>王植彬</cp:lastModifiedBy>
  <dcterms:modified xsi:type="dcterms:W3CDTF">2024-07-02T14:44:04Z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