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D39B8">
      <w:pPr>
        <w:widowControl/>
        <w:adjustRightInd w:val="0"/>
        <w:snapToGrid w:val="0"/>
        <w:spacing w:after="200" w:line="360" w:lineRule="auto"/>
        <w:jc w:val="center"/>
        <w:rPr>
          <w:rFonts w:ascii="方正小标宋简体" w:hAnsi="宋体" w:eastAsia="方正小标宋简体" w:cs="方正小标宋简体"/>
          <w:kern w:val="0"/>
          <w:sz w:val="44"/>
          <w:szCs w:val="44"/>
        </w:rPr>
      </w:pPr>
    </w:p>
    <w:p w14:paraId="1B34319D">
      <w:pPr>
        <w:widowControl/>
        <w:adjustRightInd w:val="0"/>
        <w:snapToGrid w:val="0"/>
        <w:spacing w:after="200" w:line="360" w:lineRule="auto"/>
        <w:jc w:val="center"/>
        <w:rPr>
          <w:rFonts w:ascii="黑体" w:hAnsi="黑体" w:eastAsia="黑体" w:cs="宋体"/>
          <w:kern w:val="0"/>
          <w:sz w:val="52"/>
          <w:szCs w:val="52"/>
        </w:rPr>
      </w:pPr>
      <w:r>
        <w:rPr>
          <w:rFonts w:hint="eastAsia" w:ascii="黑体" w:hAnsi="黑体" w:eastAsia="黑体" w:cs="宋体"/>
          <w:kern w:val="0"/>
          <w:sz w:val="52"/>
          <w:szCs w:val="52"/>
        </w:rPr>
        <w:t>山 东 标 准 化 协 会 团 体 标 准</w:t>
      </w:r>
    </w:p>
    <w:p w14:paraId="02104137">
      <w:pPr>
        <w:widowControl/>
        <w:adjustRightInd w:val="0"/>
        <w:snapToGrid w:val="0"/>
        <w:spacing w:after="360" w:afterLines="100" w:line="800" w:lineRule="exact"/>
        <w:jc w:val="center"/>
        <w:rPr>
          <w:rFonts w:ascii="黑体" w:hAnsi="黑体" w:eastAsia="黑体" w:cs="方正小标宋简体"/>
          <w:kern w:val="0"/>
          <w:sz w:val="44"/>
          <w:szCs w:val="44"/>
        </w:rPr>
      </w:pPr>
      <w: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162560</wp:posOffset>
                </wp:positionV>
                <wp:extent cx="5969635" cy="0"/>
                <wp:effectExtent l="0" t="0" r="12065" b="1905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8.6pt;margin-top:12.8pt;height:0pt;width:470.05pt;z-index:251659264;mso-width-relative:page;mso-height-relative:page;" filled="f" stroked="t" coordsize="21600,21600" o:gfxdata="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Z+4rtcAAAAJAQAADwAAAAAAAAABACAAAAAiAAAAZHJzL2Rv&#10;d25yZXYueG1sUEsBAhQAFAAAAAgAh07iQOZyfqnJAQAAoAMAAA4AAAAAAAAAAQAgAAAAJgEAAGRy&#10;cy9lMm9Eb2MueG1sUEsFBgAAAAAGAAYAWQEAAGEFAAAAAA==&#10;">
                <v:fill on="f" focussize="0,0"/>
                <v:stroke color="#000000" joinstyle="round"/>
                <v:imagedata o:title=""/>
                <o:lock v:ext="edit" aspectratio="f"/>
              </v:line>
            </w:pict>
          </mc:Fallback>
        </mc:AlternateContent>
      </w:r>
    </w:p>
    <w:p w14:paraId="18637C13">
      <w:pPr>
        <w:widowControl/>
        <w:adjustRightInd w:val="0"/>
        <w:snapToGrid w:val="0"/>
        <w:spacing w:after="360" w:afterLines="100" w:line="800" w:lineRule="exact"/>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《高速磁浮无线通信系统试验规范》</w:t>
      </w:r>
    </w:p>
    <w:p w14:paraId="4B74A088">
      <w:pPr>
        <w:widowControl/>
        <w:adjustRightInd w:val="0"/>
        <w:snapToGrid w:val="0"/>
        <w:spacing w:after="200" w:line="360" w:lineRule="auto"/>
        <w:jc w:val="center"/>
        <w:rPr>
          <w:rFonts w:ascii="宋体" w:hAnsi="宋体" w:eastAsia="宋体" w:cs="宋体"/>
          <w:kern w:val="0"/>
          <w:sz w:val="28"/>
          <w:szCs w:val="28"/>
        </w:rPr>
      </w:pPr>
    </w:p>
    <w:p w14:paraId="06A28517">
      <w:pPr>
        <w:widowControl/>
        <w:adjustRightInd w:val="0"/>
        <w:snapToGrid w:val="0"/>
        <w:spacing w:after="200" w:line="360" w:lineRule="auto"/>
        <w:jc w:val="center"/>
        <w:rPr>
          <w:rFonts w:ascii="方正小标宋简体" w:hAnsi="宋体" w:eastAsia="方正小标宋简体" w:cs="方正小标宋简体"/>
          <w:kern w:val="0"/>
          <w:sz w:val="28"/>
          <w:szCs w:val="28"/>
        </w:rPr>
      </w:pPr>
      <w:r>
        <w:rPr>
          <w:rFonts w:hint="eastAsia" w:ascii="宋体" w:hAnsi="宋体" w:eastAsia="宋体" w:cs="宋体"/>
          <w:kern w:val="0"/>
          <w:sz w:val="28"/>
          <w:szCs w:val="28"/>
        </w:rPr>
        <w:t>（征求意见稿）</w:t>
      </w:r>
    </w:p>
    <w:p w14:paraId="54FBE944">
      <w:pPr>
        <w:widowControl/>
        <w:adjustRightInd w:val="0"/>
        <w:snapToGrid w:val="0"/>
        <w:spacing w:line="800" w:lineRule="exact"/>
        <w:jc w:val="center"/>
        <w:rPr>
          <w:rFonts w:ascii="黑体" w:hAnsi="黑体" w:eastAsia="黑体" w:cs="方正小标宋简体"/>
          <w:kern w:val="0"/>
          <w:sz w:val="44"/>
          <w:szCs w:val="44"/>
        </w:rPr>
      </w:pPr>
    </w:p>
    <w:p w14:paraId="72269E0A">
      <w:pPr>
        <w:widowControl/>
        <w:adjustRightInd w:val="0"/>
        <w:snapToGrid w:val="0"/>
        <w:spacing w:line="800" w:lineRule="exact"/>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编制说明</w:t>
      </w:r>
    </w:p>
    <w:p w14:paraId="444ECBA5">
      <w:pPr>
        <w:widowControl/>
        <w:adjustRightInd w:val="0"/>
        <w:snapToGrid w:val="0"/>
        <w:spacing w:after="200" w:line="360" w:lineRule="auto"/>
        <w:jc w:val="center"/>
        <w:rPr>
          <w:rFonts w:ascii="方正小标宋简体" w:hAnsi="宋体" w:eastAsia="方正小标宋简体" w:cs="方正小标宋简体"/>
          <w:kern w:val="0"/>
          <w:sz w:val="44"/>
          <w:szCs w:val="44"/>
        </w:rPr>
      </w:pPr>
    </w:p>
    <w:p w14:paraId="79F196F4">
      <w:pPr>
        <w:widowControl/>
        <w:adjustRightInd w:val="0"/>
        <w:snapToGrid w:val="0"/>
        <w:spacing w:after="200" w:line="360" w:lineRule="auto"/>
        <w:jc w:val="left"/>
        <w:rPr>
          <w:rFonts w:ascii="方正小标宋简体" w:hAnsi="宋体" w:eastAsia="方正小标宋简体" w:cs="方正小标宋简体"/>
          <w:kern w:val="0"/>
          <w:sz w:val="44"/>
          <w:szCs w:val="44"/>
        </w:rPr>
      </w:pPr>
    </w:p>
    <w:p w14:paraId="171FC4BA">
      <w:pPr>
        <w:autoSpaceDE w:val="0"/>
        <w:autoSpaceDN w:val="0"/>
        <w:rPr>
          <w:rFonts w:ascii="方正小标宋简体" w:hAnsi="宋体" w:eastAsia="方正小标宋简体" w:cs="方正小标宋简体"/>
          <w:kern w:val="0"/>
          <w:sz w:val="44"/>
          <w:szCs w:val="44"/>
          <w:lang w:bidi="en-US"/>
        </w:rPr>
      </w:pPr>
    </w:p>
    <w:p w14:paraId="5F68127B">
      <w:pPr>
        <w:spacing w:line="360" w:lineRule="auto"/>
        <w:rPr>
          <w:rFonts w:ascii="方正小标宋简体" w:hAnsi="方正小标宋简体" w:eastAsia="方正小标宋简体" w:cs="方正小标宋简体"/>
          <w:sz w:val="32"/>
          <w:szCs w:val="32"/>
        </w:rPr>
      </w:pPr>
    </w:p>
    <w:p w14:paraId="57636AC1">
      <w:pPr>
        <w:spacing w:line="360" w:lineRule="auto"/>
        <w:jc w:val="center"/>
        <w:rPr>
          <w:rFonts w:ascii="仿宋_GB2312" w:hAnsi="宋体" w:eastAsia="仿宋_GB2312" w:cs="宋体"/>
          <w:sz w:val="32"/>
          <w:szCs w:val="32"/>
        </w:rPr>
        <w:sectPr>
          <w:footerReference r:id="rId3" w:type="default"/>
          <w:pgSz w:w="11906" w:h="16838"/>
          <w:pgMar w:top="1440" w:right="1701" w:bottom="1440" w:left="1701" w:header="709" w:footer="709" w:gutter="0"/>
          <w:pgNumType w:start="0"/>
          <w:cols w:space="708" w:num="1"/>
          <w:titlePg/>
          <w:docGrid w:type="lines" w:linePitch="360" w:charSpace="0"/>
        </w:sectPr>
      </w:pPr>
      <w:r>
        <w:rPr>
          <w:rFonts w:hint="eastAsia" w:ascii="黑体" w:hAnsi="黑体" w:eastAsia="黑体" w:cs="方正小标宋简体"/>
          <w:sz w:val="30"/>
          <w:szCs w:val="30"/>
        </w:rPr>
        <w:t>二〇二四年</w:t>
      </w:r>
      <w:r>
        <w:rPr>
          <w:rFonts w:hint="eastAsia" w:ascii="黑体" w:hAnsi="黑体" w:eastAsia="黑体" w:cs="方正小标宋简体"/>
          <w:sz w:val="30"/>
          <w:szCs w:val="30"/>
          <w:lang w:val="en-US" w:eastAsia="zh-CN"/>
        </w:rPr>
        <w:t>六</w:t>
      </w:r>
      <w:r>
        <w:rPr>
          <w:rFonts w:hint="eastAsia" w:ascii="黑体" w:hAnsi="黑体" w:eastAsia="黑体" w:cs="方正小标宋简体"/>
          <w:sz w:val="30"/>
          <w:szCs w:val="30"/>
        </w:rPr>
        <w:t>月</w:t>
      </w:r>
    </w:p>
    <w:p w14:paraId="418FA6C0">
      <w:pPr>
        <w:spacing w:line="360" w:lineRule="auto"/>
        <w:rPr>
          <w:rFonts w:ascii="仿宋_GB2312" w:hAnsi="宋体" w:eastAsia="仿宋_GB2312" w:cs="宋体"/>
          <w:sz w:val="32"/>
          <w:szCs w:val="32"/>
        </w:rPr>
      </w:pPr>
    </w:p>
    <w:p w14:paraId="49E91250">
      <w:pPr>
        <w:pStyle w:val="15"/>
        <w:spacing w:after="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目 </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 xml:space="preserve"> 录</w:t>
      </w:r>
    </w:p>
    <w:p w14:paraId="27BD129C"/>
    <w:p w14:paraId="73D63455">
      <w:pPr>
        <w:pStyle w:val="15"/>
        <w:widowControl w:val="0"/>
        <w:adjustRightInd w:val="0"/>
        <w:snapToGrid w:val="0"/>
        <w:spacing w:after="0" w:line="560" w:lineRule="exact"/>
        <w:rPr>
          <w:rFonts w:asciiTheme="minorEastAsia" w:hAnsiTheme="minorEastAsia" w:eastAsiaTheme="minorEastAsia"/>
          <w:sz w:val="28"/>
          <w:szCs w:val="28"/>
        </w:rPr>
      </w:pP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TOC \o "1-3" \h \z \u </w:instrText>
      </w:r>
      <w:r>
        <w:rPr>
          <w:rFonts w:hint="eastAsia" w:asciiTheme="minorEastAsia" w:hAnsiTheme="minorEastAsia" w:eastAsiaTheme="minorEastAsia"/>
          <w:sz w:val="21"/>
          <w:szCs w:val="21"/>
        </w:rPr>
        <w:fldChar w:fldCharType="separate"/>
      </w:r>
    </w:p>
    <w:p w14:paraId="6CA99B68">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"_Toc122002350" </w:instrText>
      </w:r>
      <w:r>
        <w:fldChar w:fldCharType="separate"/>
      </w:r>
      <w:r>
        <w:rPr>
          <w:rStyle w:val="28"/>
          <w:rFonts w:hint="eastAsia" w:cs="黑体" w:asciiTheme="minorEastAsia" w:hAnsiTheme="minorEastAsia" w:eastAsiaTheme="minorEastAsia"/>
          <w:bCs/>
          <w:sz w:val="28"/>
          <w:szCs w:val="28"/>
        </w:rPr>
        <w:t>一、工作简况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6B90994">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"_Toc122002351" </w:instrText>
      </w:r>
      <w:r>
        <w:fldChar w:fldCharType="separate"/>
      </w:r>
      <w:r>
        <w:rPr>
          <w:rStyle w:val="28"/>
          <w:rFonts w:hint="eastAsia" w:cs="楷体_GB2312" w:asciiTheme="minorEastAsia" w:hAnsiTheme="minorEastAsia" w:eastAsiaTheme="minorEastAsia"/>
          <w:sz w:val="28"/>
          <w:szCs w:val="28"/>
        </w:rPr>
        <w:t>（一）任务来源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1ABA8955">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"_Toc122002352" </w:instrText>
      </w:r>
      <w:r>
        <w:fldChar w:fldCharType="separate"/>
      </w:r>
      <w:r>
        <w:rPr>
          <w:rStyle w:val="28"/>
          <w:rFonts w:hint="eastAsia" w:cs="楷体_GB2312" w:asciiTheme="minorEastAsia" w:hAnsiTheme="minorEastAsia" w:eastAsiaTheme="minorEastAsia"/>
          <w:sz w:val="28"/>
          <w:szCs w:val="28"/>
        </w:rPr>
        <w:t>（二）起草单位和主要起草人</w:t>
      </w:r>
      <w:r>
        <w:rPr>
          <w:rFonts w:asciiTheme="minorEastAsia" w:hAnsiTheme="minorEastAsia" w:eastAsiaTheme="minorEastAsia"/>
          <w:sz w:val="28"/>
          <w:szCs w:val="28"/>
        </w:rPr>
        <w:tab/>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p>
    <w:p w14:paraId="6DEBC65C">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"_Toc122002353" </w:instrText>
      </w:r>
      <w:r>
        <w:fldChar w:fldCharType="separate"/>
      </w:r>
      <w:r>
        <w:rPr>
          <w:rStyle w:val="28"/>
          <w:rFonts w:hint="eastAsia" w:cs="楷体_GB2312" w:asciiTheme="minorEastAsia" w:hAnsiTheme="minorEastAsia" w:eastAsiaTheme="minorEastAsia"/>
          <w:sz w:val="28"/>
          <w:szCs w:val="28"/>
        </w:rPr>
        <w:t>（三）起草单位和主要起草人任务分工</w:t>
      </w:r>
      <w:r>
        <w:rPr>
          <w:rFonts w:asciiTheme="minorEastAsia" w:hAnsiTheme="minorEastAsia" w:eastAsiaTheme="minorEastAsia"/>
          <w:sz w:val="28"/>
          <w:szCs w:val="28"/>
        </w:rPr>
        <w:tab/>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p>
    <w:p w14:paraId="54DF2B45">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"_Toc122002354" </w:instrText>
      </w:r>
      <w:r>
        <w:fldChar w:fldCharType="separate"/>
      </w:r>
      <w:r>
        <w:rPr>
          <w:rStyle w:val="28"/>
          <w:rFonts w:hint="eastAsia" w:cs="楷体_GB2312" w:asciiTheme="minorEastAsia" w:hAnsiTheme="minorEastAsia" w:eastAsiaTheme="minorEastAsia"/>
          <w:sz w:val="28"/>
          <w:szCs w:val="28"/>
        </w:rPr>
        <w:t>（四）起草过程</w:t>
      </w:r>
      <w:r>
        <w:rPr>
          <w:rFonts w:asciiTheme="minorEastAsia" w:hAnsiTheme="minorEastAsia" w:eastAsiaTheme="minorEastAsia"/>
          <w:sz w:val="28"/>
          <w:szCs w:val="28"/>
        </w:rPr>
        <w:tab/>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p>
    <w:p w14:paraId="50C4ABD2">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"_Toc122002355" </w:instrText>
      </w:r>
      <w:r>
        <w:fldChar w:fldCharType="separate"/>
      </w:r>
      <w:r>
        <w:rPr>
          <w:rStyle w:val="28"/>
          <w:rFonts w:hint="eastAsia" w:cs="黑体" w:asciiTheme="minorEastAsia" w:hAnsiTheme="minorEastAsia" w:eastAsiaTheme="minorEastAsia"/>
          <w:bCs/>
          <w:sz w:val="28"/>
          <w:szCs w:val="28"/>
        </w:rPr>
        <w:t>二、标准制定的目的和意义</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167C0C0">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"_Toc122002356" </w:instrText>
      </w:r>
      <w:r>
        <w:fldChar w:fldCharType="separate"/>
      </w:r>
      <w:r>
        <w:rPr>
          <w:rStyle w:val="28"/>
          <w:rFonts w:hint="eastAsia" w:cs="黑体" w:asciiTheme="minorEastAsia" w:hAnsiTheme="minorEastAsia" w:eastAsiaTheme="minorEastAsia"/>
          <w:bCs/>
          <w:sz w:val="28"/>
          <w:szCs w:val="28"/>
        </w:rPr>
        <w:t>三、标准编制原则、主要技术内容和确定依据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4C2B036">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"_Toc122002357" </w:instrText>
      </w:r>
      <w:r>
        <w:fldChar w:fldCharType="separate"/>
      </w:r>
      <w:r>
        <w:rPr>
          <w:rStyle w:val="28"/>
          <w:rFonts w:hint="eastAsia" w:cs="楷体_GB2312" w:asciiTheme="minorEastAsia" w:hAnsiTheme="minorEastAsia" w:eastAsiaTheme="minorEastAsia"/>
          <w:sz w:val="28"/>
          <w:szCs w:val="28"/>
        </w:rPr>
        <w:t>（一）标准编制原则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17F2BD8F">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"_Toc122002358" </w:instrText>
      </w:r>
      <w:r>
        <w:fldChar w:fldCharType="separate"/>
      </w:r>
      <w:r>
        <w:rPr>
          <w:rStyle w:val="28"/>
          <w:rFonts w:hint="eastAsia" w:cs="楷体_GB2312" w:asciiTheme="minorEastAsia" w:hAnsiTheme="minorEastAsia" w:eastAsiaTheme="minorEastAsia"/>
          <w:sz w:val="28"/>
          <w:szCs w:val="28"/>
        </w:rPr>
        <w:t>（二）主要技术内容</w:t>
      </w:r>
      <w:r>
        <w:rPr>
          <w:rFonts w:asciiTheme="minorEastAsia" w:hAnsiTheme="minorEastAsia" w:eastAsiaTheme="minorEastAsia"/>
          <w:sz w:val="28"/>
          <w:szCs w:val="28"/>
        </w:rPr>
        <w:tab/>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p>
    <w:p w14:paraId="11930F20">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"_Toc122002359" </w:instrText>
      </w:r>
      <w:r>
        <w:fldChar w:fldCharType="separate"/>
      </w:r>
      <w:r>
        <w:rPr>
          <w:rStyle w:val="28"/>
          <w:rFonts w:hint="eastAsia" w:cs="楷体_GB2312" w:asciiTheme="minorEastAsia" w:hAnsiTheme="minorEastAsia" w:eastAsiaTheme="minorEastAsia"/>
          <w:sz w:val="28"/>
          <w:szCs w:val="28"/>
        </w:rPr>
        <w:t>（三）确定依据</w:t>
      </w:r>
      <w:r>
        <w:rPr>
          <w:rFonts w:asciiTheme="minorEastAsia" w:hAnsiTheme="minorEastAsia" w:eastAsiaTheme="minorEastAsia"/>
          <w:sz w:val="28"/>
          <w:szCs w:val="28"/>
        </w:rPr>
        <w:tab/>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p>
    <w:p w14:paraId="4EA4E6FB">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"_Toc122002360" </w:instrText>
      </w:r>
      <w:r>
        <w:fldChar w:fldCharType="separate"/>
      </w:r>
      <w:r>
        <w:rPr>
          <w:rStyle w:val="28"/>
          <w:rFonts w:hint="eastAsia" w:cs="黑体" w:asciiTheme="minorEastAsia" w:hAnsiTheme="minorEastAsia" w:eastAsiaTheme="minorEastAsia"/>
          <w:bCs/>
          <w:sz w:val="28"/>
          <w:szCs w:val="28"/>
        </w:rPr>
        <w:t>四、与现行相关法律、行政法规和其他标准的关系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_Toc122002360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CE41C78">
      <w:pPr>
        <w:pStyle w:val="15"/>
        <w:spacing w:line="560" w:lineRule="exact"/>
        <w:rPr>
          <w:rFonts w:asciiTheme="minorEastAsia" w:hAnsiTheme="minorEastAsia" w:eastAsiaTheme="minorEastAsia" w:cstheme="minorBidi"/>
          <w:kern w:val="2"/>
          <w:sz w:val="28"/>
          <w:szCs w:val="28"/>
        </w:rPr>
      </w:pPr>
      <w:r>
        <w:fldChar w:fldCharType="begin"/>
      </w:r>
      <w:r>
        <w:instrText xml:space="preserve"> HYPERLINK \l "_Toc122002361" </w:instrText>
      </w:r>
      <w:r>
        <w:fldChar w:fldCharType="separate"/>
      </w:r>
      <w:r>
        <w:rPr>
          <w:rStyle w:val="28"/>
          <w:rFonts w:hint="eastAsia" w:cs="黑体" w:asciiTheme="minorEastAsia" w:hAnsiTheme="minorEastAsia" w:eastAsiaTheme="minorEastAsia"/>
          <w:bCs/>
          <w:sz w:val="28"/>
          <w:szCs w:val="28"/>
        </w:rPr>
        <w:t>五、重大分歧意见的处理过程、处理意见及其依据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_Toc122002361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F50025A">
      <w:pPr>
        <w:pStyle w:val="15"/>
        <w:spacing w:line="560" w:lineRule="exact"/>
        <w:rPr>
          <w:rFonts w:asciiTheme="minorEastAsia" w:hAnsiTheme="minorEastAsia" w:eastAsiaTheme="minorEastAsia" w:cstheme="minorBidi"/>
          <w:kern w:val="2"/>
          <w:sz w:val="21"/>
          <w:szCs w:val="21"/>
        </w:rPr>
      </w:pPr>
      <w:r>
        <w:fldChar w:fldCharType="begin"/>
      </w:r>
      <w:r>
        <w:instrText xml:space="preserve"> HYPERLINK \l "_Toc122002363" </w:instrText>
      </w:r>
      <w:r>
        <w:fldChar w:fldCharType="separate"/>
      </w:r>
      <w:r>
        <w:rPr>
          <w:rStyle w:val="28"/>
          <w:rFonts w:hint="eastAsia" w:cs="黑体" w:asciiTheme="minorEastAsia" w:hAnsiTheme="minorEastAsia" w:eastAsiaTheme="minorEastAsia"/>
          <w:bCs/>
          <w:sz w:val="28"/>
          <w:szCs w:val="28"/>
        </w:rPr>
        <w:t>六、其他需要说明的内容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_Toc122002363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5</w:t>
      </w:r>
    </w:p>
    <w:p w14:paraId="65D7639A">
      <w:pPr>
        <w:adjustRightInd w:val="0"/>
        <w:snapToGrid w:val="0"/>
        <w:rPr>
          <w:rFonts w:ascii="仿宋_GB2312" w:hAnsi="宋体" w:eastAsia="仿宋_GB2312" w:cs="宋体"/>
          <w:szCs w:val="21"/>
        </w:rPr>
      </w:pPr>
      <w:r>
        <w:rPr>
          <w:rFonts w:hint="eastAsia" w:cs="宋体" w:asciiTheme="minorEastAsia" w:hAnsiTheme="minorEastAsia"/>
          <w:szCs w:val="21"/>
        </w:rPr>
        <w:fldChar w:fldCharType="end"/>
      </w:r>
    </w:p>
    <w:p w14:paraId="5215D622">
      <w:pPr>
        <w:spacing w:line="360" w:lineRule="auto"/>
        <w:rPr>
          <w:rFonts w:ascii="仿宋_GB2312" w:hAnsi="宋体" w:eastAsia="仿宋_GB2312" w:cs="宋体"/>
          <w:sz w:val="32"/>
          <w:szCs w:val="32"/>
        </w:rPr>
        <w:sectPr>
          <w:footerReference r:id="rId5" w:type="first"/>
          <w:footerReference r:id="rId4" w:type="default"/>
          <w:pgSz w:w="11906" w:h="16838"/>
          <w:pgMar w:top="1440" w:right="1701" w:bottom="1440" w:left="1701" w:header="709" w:footer="709" w:gutter="0"/>
          <w:pgNumType w:start="0"/>
          <w:cols w:space="708" w:num="1"/>
          <w:titlePg/>
          <w:docGrid w:type="lines" w:linePitch="360" w:charSpace="0"/>
        </w:sectPr>
      </w:pPr>
    </w:p>
    <w:p w14:paraId="21EB0004">
      <w:pPr>
        <w:spacing w:line="560" w:lineRule="exact"/>
        <w:ind w:firstLine="600" w:firstLineChars="250"/>
        <w:outlineLvl w:val="0"/>
        <w:rPr>
          <w:rFonts w:ascii="仿宋_GB2312" w:hAnsi="Times New Roman" w:eastAsia="仿宋_GB2312" w:cs="Times New Roman"/>
          <w:sz w:val="24"/>
          <w:szCs w:val="24"/>
        </w:rPr>
      </w:pPr>
      <w:bookmarkStart w:id="0" w:name="_Toc122002350"/>
      <w:r>
        <w:rPr>
          <w:rFonts w:hint="eastAsia" w:ascii="黑体" w:hAnsi="黑体" w:eastAsia="黑体" w:cs="黑体"/>
          <w:bCs/>
          <w:sz w:val="24"/>
          <w:szCs w:val="24"/>
        </w:rPr>
        <w:t>一、 工作简况</w:t>
      </w:r>
      <w:bookmarkEnd w:id="0"/>
    </w:p>
    <w:p w14:paraId="35AF1814">
      <w:pPr>
        <w:pStyle w:val="34"/>
        <w:spacing w:line="560" w:lineRule="exact"/>
        <w:ind w:firstLine="480"/>
        <w:jc w:val="left"/>
        <w:outlineLvl w:val="0"/>
        <w:rPr>
          <w:rFonts w:hint="eastAsia" w:ascii="黑体" w:hAnsi="黑体" w:eastAsia="黑体" w:cs="楷体_GB2312"/>
          <w:sz w:val="24"/>
          <w:szCs w:val="24"/>
        </w:rPr>
      </w:pPr>
      <w:bookmarkStart w:id="1" w:name="_Toc122002351"/>
      <w:r>
        <w:rPr>
          <w:rFonts w:hint="eastAsia" w:ascii="黑体" w:hAnsi="黑体" w:eastAsia="黑体" w:cs="楷体_GB2312"/>
          <w:sz w:val="24"/>
          <w:szCs w:val="24"/>
        </w:rPr>
        <w:t>（一）任务来源</w:t>
      </w:r>
      <w:bookmarkEnd w:id="1"/>
    </w:p>
    <w:p w14:paraId="38D59089">
      <w:pPr>
        <w:pStyle w:val="34"/>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根据《山东标准化协会关于下达2024年第XXX批团体标准制修订计划的通知》（鲁标协字[2024]18X号）计划编号XXXX的要求，由中车青岛四方车辆研究所有限公司归口，并由中车青岛四方机车车辆股份有限公司、</w:t>
      </w:r>
      <w:r>
        <w:rPr>
          <w:rFonts w:hint="eastAsia" w:cs="楷体_GB2312" w:asciiTheme="minorEastAsia" w:hAnsiTheme="minorEastAsia"/>
          <w:sz w:val="24"/>
          <w:szCs w:val="24"/>
        </w:rPr>
        <w:t>电子科技大学、北京交通大学共同起草。</w:t>
      </w:r>
      <w:bookmarkStart w:id="36" w:name="_GoBack"/>
      <w:bookmarkEnd w:id="36"/>
    </w:p>
    <w:p w14:paraId="1FE00545">
      <w:pPr>
        <w:pStyle w:val="34"/>
        <w:spacing w:line="560" w:lineRule="exact"/>
        <w:ind w:firstLine="480"/>
        <w:outlineLvl w:val="0"/>
        <w:rPr>
          <w:rFonts w:ascii="黑体" w:hAnsi="黑体" w:eastAsia="黑体" w:cs="楷体_GB2312"/>
          <w:sz w:val="24"/>
          <w:szCs w:val="24"/>
        </w:rPr>
      </w:pPr>
      <w:bookmarkStart w:id="2" w:name="_Toc122002352"/>
      <w:r>
        <w:rPr>
          <w:rFonts w:hint="eastAsia" w:ascii="黑体" w:hAnsi="黑体" w:eastAsia="黑体" w:cs="楷体_GB2312"/>
          <w:sz w:val="24"/>
          <w:szCs w:val="24"/>
        </w:rPr>
        <w:t>（二）起草单位和主要起草人</w:t>
      </w:r>
      <w:bookmarkEnd w:id="2"/>
    </w:p>
    <w:p w14:paraId="1B80DBA5">
      <w:pPr>
        <w:pStyle w:val="41"/>
        <w:spacing w:line="560" w:lineRule="exact"/>
        <w:ind w:firstLine="480"/>
        <w:rPr>
          <w:rFonts w:ascii="黑体" w:hAnsi="黑体" w:eastAsia="黑体"/>
          <w:sz w:val="24"/>
          <w:szCs w:val="24"/>
        </w:rPr>
      </w:pPr>
      <w:bookmarkStart w:id="3" w:name="_Toc97738903"/>
      <w:bookmarkStart w:id="4" w:name="_Toc97566042"/>
      <w:r>
        <w:rPr>
          <w:rFonts w:hint="eastAsia" w:ascii="黑体" w:hAnsi="黑体" w:eastAsia="黑体"/>
          <w:sz w:val="24"/>
          <w:szCs w:val="24"/>
        </w:rPr>
        <w:t>1.标准起草单位</w:t>
      </w:r>
      <w:bookmarkEnd w:id="3"/>
      <w:bookmarkEnd w:id="4"/>
    </w:p>
    <w:p w14:paraId="760C6E13">
      <w:pPr>
        <w:pStyle w:val="41"/>
        <w:spacing w:line="600" w:lineRule="exact"/>
        <w:ind w:firstLine="480"/>
        <w:rPr>
          <w:rFonts w:hAnsi="宋体" w:cs="宋体"/>
          <w:kern w:val="2"/>
          <w:sz w:val="24"/>
          <w:szCs w:val="24"/>
        </w:rPr>
      </w:pPr>
      <w:r>
        <w:rPr>
          <w:rFonts w:hint="eastAsia" w:hAnsi="宋体" w:cs="宋体"/>
          <w:sz w:val="24"/>
          <w:szCs w:val="24"/>
        </w:rPr>
        <w:t>中车青岛四方机车车辆股份有限公司、电子科技大学、北京交通大学</w:t>
      </w:r>
    </w:p>
    <w:p w14:paraId="2F19D67E">
      <w:pPr>
        <w:pStyle w:val="41"/>
        <w:spacing w:line="560" w:lineRule="exact"/>
        <w:ind w:firstLine="480"/>
        <w:rPr>
          <w:rFonts w:ascii="黑体" w:hAnsi="黑体" w:eastAsia="黑体"/>
          <w:kern w:val="2"/>
          <w:sz w:val="24"/>
          <w:szCs w:val="24"/>
        </w:rPr>
      </w:pPr>
      <w:bookmarkStart w:id="5" w:name="_Toc97566043"/>
      <w:bookmarkStart w:id="6" w:name="_Toc97738904"/>
      <w:r>
        <w:rPr>
          <w:rFonts w:hint="eastAsia" w:ascii="黑体" w:hAnsi="黑体" w:eastAsia="黑体"/>
          <w:sz w:val="24"/>
          <w:szCs w:val="24"/>
        </w:rPr>
        <w:t>2.主</w:t>
      </w:r>
      <w:r>
        <w:rPr>
          <w:rFonts w:hint="eastAsia" w:ascii="黑体" w:hAnsi="黑体" w:eastAsia="黑体"/>
          <w:kern w:val="2"/>
          <w:sz w:val="24"/>
          <w:szCs w:val="24"/>
        </w:rPr>
        <w:t>要起草人</w:t>
      </w:r>
      <w:bookmarkEnd w:id="5"/>
      <w:bookmarkEnd w:id="6"/>
    </w:p>
    <w:p w14:paraId="6B26A66F">
      <w:pPr>
        <w:pStyle w:val="41"/>
        <w:spacing w:line="600" w:lineRule="exact"/>
        <w:ind w:firstLine="480"/>
        <w:rPr>
          <w:rFonts w:hAnsi="宋体" w:cs="宋体"/>
          <w:sz w:val="24"/>
          <w:szCs w:val="24"/>
        </w:rPr>
      </w:pPr>
      <w:r>
        <w:rPr>
          <w:rFonts w:hint="eastAsia" w:hAnsi="宋体" w:cs="宋体"/>
          <w:sz w:val="24"/>
          <w:szCs w:val="24"/>
        </w:rPr>
        <w:t>丁叁叁、付善强、田毅、栾瑾、蔡宜成、吕庚辰、李廷军、费丹、许琼晓、李明伟、王昌凡、李罡、吴晨</w:t>
      </w:r>
    </w:p>
    <w:p w14:paraId="62D6111B">
      <w:pPr>
        <w:pStyle w:val="34"/>
        <w:spacing w:line="560" w:lineRule="exact"/>
        <w:ind w:firstLine="480"/>
        <w:jc w:val="left"/>
        <w:outlineLvl w:val="0"/>
        <w:rPr>
          <w:rFonts w:ascii="黑体" w:hAnsi="黑体" w:eastAsia="黑体" w:cs="楷体_GB2312"/>
          <w:sz w:val="24"/>
          <w:szCs w:val="24"/>
        </w:rPr>
      </w:pPr>
      <w:bookmarkStart w:id="7" w:name="_Toc122002353"/>
      <w:r>
        <w:rPr>
          <w:rFonts w:hint="eastAsia" w:ascii="黑体" w:hAnsi="黑体" w:eastAsia="黑体" w:cs="楷体_GB2312"/>
          <w:sz w:val="24"/>
          <w:szCs w:val="24"/>
        </w:rPr>
        <w:t>（三）起草单位和主要起草人任务分工</w:t>
      </w:r>
      <w:bookmarkEnd w:id="7"/>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133"/>
        <w:gridCol w:w="3411"/>
      </w:tblGrid>
      <w:tr w14:paraId="06ED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78" w:type="dxa"/>
            <w:vAlign w:val="center"/>
          </w:tcPr>
          <w:p w14:paraId="465F581D">
            <w:pPr>
              <w:spacing w:line="400" w:lineRule="exact"/>
              <w:jc w:val="center"/>
              <w:rPr>
                <w:rFonts w:ascii="宋体" w:hAnsi="宋体" w:eastAsia="宋体"/>
                <w:bCs/>
                <w:sz w:val="24"/>
                <w:szCs w:val="24"/>
              </w:rPr>
            </w:pPr>
            <w:r>
              <w:rPr>
                <w:rFonts w:hint="eastAsia" w:ascii="宋体" w:hAnsi="宋体" w:eastAsia="宋体"/>
                <w:bCs/>
                <w:sz w:val="24"/>
                <w:szCs w:val="24"/>
              </w:rPr>
              <w:t>姓名</w:t>
            </w:r>
          </w:p>
        </w:tc>
        <w:tc>
          <w:tcPr>
            <w:tcW w:w="4133" w:type="dxa"/>
            <w:vAlign w:val="center"/>
          </w:tcPr>
          <w:p w14:paraId="243A1CF2">
            <w:pPr>
              <w:spacing w:line="400" w:lineRule="exact"/>
              <w:jc w:val="center"/>
              <w:rPr>
                <w:rFonts w:ascii="宋体" w:hAnsi="宋体" w:eastAsia="宋体"/>
                <w:bCs/>
                <w:sz w:val="24"/>
                <w:szCs w:val="24"/>
              </w:rPr>
            </w:pPr>
            <w:r>
              <w:rPr>
                <w:rFonts w:hint="eastAsia" w:ascii="宋体" w:hAnsi="宋体" w:eastAsia="宋体"/>
                <w:bCs/>
                <w:sz w:val="24"/>
                <w:szCs w:val="24"/>
              </w:rPr>
              <w:t>工作单位</w:t>
            </w:r>
          </w:p>
        </w:tc>
        <w:tc>
          <w:tcPr>
            <w:tcW w:w="3411" w:type="dxa"/>
            <w:vAlign w:val="center"/>
          </w:tcPr>
          <w:p w14:paraId="3864A51E">
            <w:pPr>
              <w:spacing w:line="400" w:lineRule="exact"/>
              <w:jc w:val="center"/>
              <w:rPr>
                <w:rFonts w:ascii="宋体" w:hAnsi="宋体" w:eastAsia="宋体"/>
                <w:bCs/>
                <w:sz w:val="24"/>
                <w:szCs w:val="24"/>
              </w:rPr>
            </w:pPr>
            <w:r>
              <w:rPr>
                <w:rFonts w:hint="eastAsia" w:ascii="宋体" w:hAnsi="宋体" w:eastAsia="宋体"/>
                <w:bCs/>
                <w:sz w:val="24"/>
                <w:szCs w:val="24"/>
              </w:rPr>
              <w:t>任务分工</w:t>
            </w:r>
          </w:p>
        </w:tc>
      </w:tr>
      <w:tr w14:paraId="378E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78" w:type="dxa"/>
            <w:vAlign w:val="center"/>
          </w:tcPr>
          <w:p w14:paraId="08F26F98">
            <w:pPr>
              <w:spacing w:line="400" w:lineRule="exact"/>
              <w:jc w:val="center"/>
              <w:rPr>
                <w:rFonts w:ascii="宋体" w:hAnsi="宋体" w:eastAsia="宋体"/>
                <w:bCs/>
                <w:sz w:val="24"/>
                <w:szCs w:val="24"/>
              </w:rPr>
            </w:pPr>
            <w:r>
              <w:rPr>
                <w:rFonts w:hint="eastAsia" w:ascii="宋体" w:hAnsi="宋体" w:eastAsia="宋体"/>
                <w:bCs/>
                <w:sz w:val="24"/>
                <w:szCs w:val="24"/>
              </w:rPr>
              <w:t>丁叁叁</w:t>
            </w:r>
          </w:p>
        </w:tc>
        <w:tc>
          <w:tcPr>
            <w:tcW w:w="4133" w:type="dxa"/>
            <w:vAlign w:val="center"/>
          </w:tcPr>
          <w:p w14:paraId="70115F85">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3411" w:type="dxa"/>
            <w:vAlign w:val="center"/>
          </w:tcPr>
          <w:p w14:paraId="35143D35">
            <w:pPr>
              <w:spacing w:line="400" w:lineRule="exact"/>
              <w:rPr>
                <w:rFonts w:ascii="宋体" w:hAnsi="宋体" w:eastAsia="宋体"/>
                <w:bCs/>
                <w:sz w:val="24"/>
                <w:szCs w:val="24"/>
              </w:rPr>
            </w:pPr>
            <w:r>
              <w:rPr>
                <w:rFonts w:hint="eastAsia" w:ascii="宋体" w:hAnsi="宋体" w:eastAsia="宋体"/>
                <w:bCs/>
                <w:sz w:val="24"/>
                <w:szCs w:val="24"/>
              </w:rPr>
              <w:t>标准主要发起人和组织者，负责标准框架内容搭建、构思</w:t>
            </w:r>
          </w:p>
        </w:tc>
      </w:tr>
      <w:tr w14:paraId="08BA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05415458">
            <w:pPr>
              <w:spacing w:line="400" w:lineRule="exact"/>
              <w:jc w:val="center"/>
              <w:rPr>
                <w:rFonts w:ascii="宋体" w:hAnsi="宋体" w:eastAsia="宋体"/>
                <w:bCs/>
                <w:sz w:val="24"/>
                <w:szCs w:val="24"/>
              </w:rPr>
            </w:pPr>
            <w:r>
              <w:rPr>
                <w:rFonts w:hint="eastAsia" w:ascii="宋体" w:hAnsi="宋体" w:eastAsia="宋体"/>
                <w:bCs/>
                <w:sz w:val="24"/>
                <w:szCs w:val="24"/>
              </w:rPr>
              <w:t>付善强</w:t>
            </w:r>
          </w:p>
        </w:tc>
        <w:tc>
          <w:tcPr>
            <w:tcW w:w="4133" w:type="dxa"/>
            <w:vAlign w:val="center"/>
          </w:tcPr>
          <w:p w14:paraId="14186FC2">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3411" w:type="dxa"/>
            <w:vAlign w:val="center"/>
          </w:tcPr>
          <w:p w14:paraId="49C14E9F">
            <w:pPr>
              <w:spacing w:line="400" w:lineRule="exact"/>
              <w:rPr>
                <w:rFonts w:ascii="宋体" w:hAnsi="宋体" w:eastAsia="宋体"/>
                <w:bCs/>
                <w:sz w:val="24"/>
                <w:szCs w:val="24"/>
              </w:rPr>
            </w:pPr>
            <w:r>
              <w:rPr>
                <w:rFonts w:hint="eastAsia" w:ascii="宋体" w:hAnsi="宋体" w:eastAsia="宋体"/>
                <w:bCs/>
                <w:sz w:val="24"/>
                <w:szCs w:val="24"/>
              </w:rPr>
              <w:t>标准主要发起人和组织者</w:t>
            </w:r>
          </w:p>
        </w:tc>
      </w:tr>
      <w:tr w14:paraId="4CBE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0F55B7BD">
            <w:pPr>
              <w:spacing w:line="400" w:lineRule="exact"/>
              <w:jc w:val="center"/>
              <w:rPr>
                <w:rFonts w:ascii="宋体" w:hAnsi="宋体" w:eastAsia="宋体"/>
                <w:bCs/>
                <w:sz w:val="24"/>
                <w:szCs w:val="24"/>
              </w:rPr>
            </w:pPr>
            <w:r>
              <w:rPr>
                <w:rFonts w:hint="eastAsia" w:ascii="宋体" w:hAnsi="宋体" w:eastAsia="宋体"/>
                <w:bCs/>
                <w:sz w:val="24"/>
                <w:szCs w:val="24"/>
              </w:rPr>
              <w:t>田毅</w:t>
            </w:r>
          </w:p>
        </w:tc>
        <w:tc>
          <w:tcPr>
            <w:tcW w:w="4133" w:type="dxa"/>
            <w:vAlign w:val="center"/>
          </w:tcPr>
          <w:p w14:paraId="1A1588AA">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3411" w:type="dxa"/>
            <w:vAlign w:val="center"/>
          </w:tcPr>
          <w:p w14:paraId="08EE8687">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05D0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153B2B46">
            <w:pPr>
              <w:spacing w:line="400" w:lineRule="exact"/>
              <w:jc w:val="center"/>
              <w:rPr>
                <w:rFonts w:ascii="宋体" w:hAnsi="宋体" w:eastAsia="宋体"/>
                <w:bCs/>
                <w:sz w:val="24"/>
                <w:szCs w:val="24"/>
              </w:rPr>
            </w:pPr>
            <w:r>
              <w:rPr>
                <w:rFonts w:hint="eastAsia" w:ascii="宋体" w:hAnsi="宋体" w:eastAsia="宋体"/>
                <w:bCs/>
                <w:sz w:val="24"/>
                <w:szCs w:val="24"/>
              </w:rPr>
              <w:t>栾瑾</w:t>
            </w:r>
          </w:p>
        </w:tc>
        <w:tc>
          <w:tcPr>
            <w:tcW w:w="4133" w:type="dxa"/>
            <w:vAlign w:val="center"/>
          </w:tcPr>
          <w:p w14:paraId="1DCF607E">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3411" w:type="dxa"/>
            <w:vAlign w:val="center"/>
          </w:tcPr>
          <w:p w14:paraId="1913AB04">
            <w:pPr>
              <w:spacing w:line="400" w:lineRule="exact"/>
              <w:rPr>
                <w:rFonts w:ascii="宋体" w:hAnsi="宋体" w:eastAsia="宋体"/>
                <w:bCs/>
                <w:sz w:val="24"/>
                <w:szCs w:val="24"/>
              </w:rPr>
            </w:pPr>
            <w:r>
              <w:rPr>
                <w:rFonts w:hint="eastAsia" w:ascii="宋体" w:hAnsi="宋体" w:eastAsia="宋体"/>
                <w:bCs/>
                <w:sz w:val="24"/>
                <w:szCs w:val="24"/>
              </w:rPr>
              <w:t>标准主要起草人，负责起草组工作，制定标准框架提纲、标准内容编写、征求意见等。</w:t>
            </w:r>
          </w:p>
        </w:tc>
      </w:tr>
      <w:tr w14:paraId="553C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3E33F107">
            <w:pPr>
              <w:spacing w:line="400" w:lineRule="exact"/>
              <w:jc w:val="center"/>
              <w:rPr>
                <w:rFonts w:ascii="宋体" w:hAnsi="宋体" w:eastAsia="宋体"/>
                <w:bCs/>
                <w:sz w:val="24"/>
                <w:szCs w:val="24"/>
              </w:rPr>
            </w:pPr>
            <w:r>
              <w:rPr>
                <w:rFonts w:hint="eastAsia" w:ascii="宋体" w:hAnsi="宋体" w:eastAsia="宋体"/>
                <w:bCs/>
                <w:sz w:val="24"/>
                <w:szCs w:val="24"/>
              </w:rPr>
              <w:t>蔡宜成</w:t>
            </w:r>
          </w:p>
        </w:tc>
        <w:tc>
          <w:tcPr>
            <w:tcW w:w="4133" w:type="dxa"/>
            <w:vAlign w:val="center"/>
          </w:tcPr>
          <w:p w14:paraId="1E4615AE">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3411" w:type="dxa"/>
            <w:vAlign w:val="center"/>
          </w:tcPr>
          <w:p w14:paraId="2B8B42C3">
            <w:pPr>
              <w:spacing w:line="400" w:lineRule="exact"/>
              <w:rPr>
                <w:rFonts w:ascii="宋体" w:hAnsi="宋体" w:eastAsia="宋体"/>
                <w:bCs/>
                <w:sz w:val="24"/>
                <w:szCs w:val="24"/>
              </w:rPr>
            </w:pPr>
            <w:r>
              <w:rPr>
                <w:rFonts w:hint="eastAsia" w:ascii="宋体" w:hAnsi="宋体" w:eastAsia="宋体"/>
                <w:bCs/>
                <w:sz w:val="24"/>
                <w:szCs w:val="24"/>
              </w:rPr>
              <w:t>组织起草，参与标准编写</w:t>
            </w:r>
          </w:p>
        </w:tc>
      </w:tr>
      <w:tr w14:paraId="17BD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60D35C6A">
            <w:pPr>
              <w:spacing w:line="400" w:lineRule="exact"/>
              <w:jc w:val="center"/>
              <w:rPr>
                <w:rFonts w:ascii="宋体" w:hAnsi="宋体" w:eastAsia="宋体"/>
                <w:bCs/>
                <w:sz w:val="24"/>
                <w:szCs w:val="24"/>
              </w:rPr>
            </w:pPr>
            <w:r>
              <w:rPr>
                <w:rFonts w:hint="eastAsia" w:ascii="宋体" w:hAnsi="宋体" w:eastAsia="宋体"/>
                <w:bCs/>
                <w:sz w:val="24"/>
                <w:szCs w:val="24"/>
              </w:rPr>
              <w:t>吕庚辰</w:t>
            </w:r>
          </w:p>
        </w:tc>
        <w:tc>
          <w:tcPr>
            <w:tcW w:w="4133" w:type="dxa"/>
            <w:vAlign w:val="center"/>
          </w:tcPr>
          <w:p w14:paraId="25E60E54">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3411" w:type="dxa"/>
            <w:vAlign w:val="center"/>
          </w:tcPr>
          <w:p w14:paraId="1BA14AC4">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1BF4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354FA3E4">
            <w:pPr>
              <w:spacing w:line="400" w:lineRule="exact"/>
              <w:jc w:val="center"/>
              <w:rPr>
                <w:rFonts w:ascii="宋体" w:hAnsi="宋体" w:eastAsia="宋体"/>
                <w:bCs/>
                <w:sz w:val="24"/>
                <w:szCs w:val="24"/>
              </w:rPr>
            </w:pPr>
            <w:r>
              <w:rPr>
                <w:rFonts w:hint="eastAsia" w:ascii="宋体" w:hAnsi="宋体" w:eastAsia="宋体"/>
                <w:bCs/>
                <w:sz w:val="24"/>
                <w:szCs w:val="24"/>
              </w:rPr>
              <w:t>李廷军</w:t>
            </w:r>
          </w:p>
        </w:tc>
        <w:tc>
          <w:tcPr>
            <w:tcW w:w="4133" w:type="dxa"/>
            <w:vAlign w:val="center"/>
          </w:tcPr>
          <w:p w14:paraId="1A835C61">
            <w:pPr>
              <w:spacing w:line="400" w:lineRule="exact"/>
              <w:rPr>
                <w:rFonts w:ascii="宋体" w:hAnsi="宋体" w:eastAsia="宋体"/>
                <w:bCs/>
                <w:sz w:val="24"/>
                <w:szCs w:val="24"/>
              </w:rPr>
            </w:pPr>
            <w:r>
              <w:rPr>
                <w:rFonts w:hint="eastAsia" w:ascii="宋体" w:hAnsi="宋体" w:eastAsia="宋体"/>
                <w:bCs/>
                <w:sz w:val="24"/>
                <w:szCs w:val="24"/>
              </w:rPr>
              <w:t>电子科技大学</w:t>
            </w:r>
          </w:p>
        </w:tc>
        <w:tc>
          <w:tcPr>
            <w:tcW w:w="3411" w:type="dxa"/>
            <w:vAlign w:val="center"/>
          </w:tcPr>
          <w:p w14:paraId="2EF4CB09">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10D6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5F99CAF0">
            <w:pPr>
              <w:spacing w:line="400" w:lineRule="exact"/>
              <w:jc w:val="center"/>
              <w:rPr>
                <w:rFonts w:ascii="宋体" w:hAnsi="宋体" w:eastAsia="宋体"/>
                <w:bCs/>
                <w:sz w:val="24"/>
                <w:szCs w:val="24"/>
              </w:rPr>
            </w:pPr>
            <w:r>
              <w:rPr>
                <w:rFonts w:hint="eastAsia" w:ascii="宋体" w:hAnsi="宋体" w:eastAsia="宋体"/>
                <w:bCs/>
                <w:sz w:val="24"/>
                <w:szCs w:val="24"/>
              </w:rPr>
              <w:t>费丹</w:t>
            </w:r>
          </w:p>
        </w:tc>
        <w:tc>
          <w:tcPr>
            <w:tcW w:w="4133" w:type="dxa"/>
            <w:vAlign w:val="center"/>
          </w:tcPr>
          <w:p w14:paraId="37C1229B">
            <w:pPr>
              <w:spacing w:line="400" w:lineRule="exact"/>
              <w:rPr>
                <w:rFonts w:ascii="宋体" w:hAnsi="宋体" w:eastAsia="宋体"/>
                <w:bCs/>
                <w:sz w:val="24"/>
                <w:szCs w:val="24"/>
              </w:rPr>
            </w:pPr>
            <w:r>
              <w:rPr>
                <w:rFonts w:hint="eastAsia" w:ascii="宋体" w:hAnsi="宋体" w:eastAsia="宋体"/>
                <w:bCs/>
                <w:sz w:val="24"/>
                <w:szCs w:val="24"/>
              </w:rPr>
              <w:t>北京交通大学</w:t>
            </w:r>
          </w:p>
        </w:tc>
        <w:tc>
          <w:tcPr>
            <w:tcW w:w="3411" w:type="dxa"/>
            <w:vAlign w:val="center"/>
          </w:tcPr>
          <w:p w14:paraId="26351FA2">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6628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21545E6C">
            <w:pPr>
              <w:spacing w:line="400" w:lineRule="exact"/>
              <w:jc w:val="center"/>
              <w:rPr>
                <w:rFonts w:ascii="宋体" w:hAnsi="宋体" w:eastAsia="宋体"/>
                <w:bCs/>
                <w:sz w:val="24"/>
                <w:szCs w:val="24"/>
              </w:rPr>
            </w:pPr>
            <w:r>
              <w:rPr>
                <w:rFonts w:hint="eastAsia" w:ascii="宋体" w:hAnsi="宋体" w:eastAsia="宋体"/>
                <w:bCs/>
                <w:sz w:val="24"/>
                <w:szCs w:val="24"/>
              </w:rPr>
              <w:t>许琼晓</w:t>
            </w:r>
          </w:p>
        </w:tc>
        <w:tc>
          <w:tcPr>
            <w:tcW w:w="4133" w:type="dxa"/>
            <w:vAlign w:val="center"/>
          </w:tcPr>
          <w:p w14:paraId="242E4EE0">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3411" w:type="dxa"/>
            <w:vAlign w:val="center"/>
          </w:tcPr>
          <w:p w14:paraId="1BB372BF">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191B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7D0DA44A">
            <w:pPr>
              <w:spacing w:line="400" w:lineRule="exact"/>
              <w:jc w:val="center"/>
              <w:rPr>
                <w:rFonts w:ascii="宋体" w:hAnsi="宋体" w:eastAsia="宋体"/>
                <w:bCs/>
                <w:sz w:val="24"/>
                <w:szCs w:val="24"/>
              </w:rPr>
            </w:pPr>
            <w:r>
              <w:rPr>
                <w:rFonts w:hint="eastAsia" w:ascii="宋体" w:hAnsi="宋体" w:eastAsia="宋体"/>
                <w:bCs/>
                <w:sz w:val="24"/>
                <w:szCs w:val="24"/>
              </w:rPr>
              <w:t>李明伟</w:t>
            </w:r>
          </w:p>
        </w:tc>
        <w:tc>
          <w:tcPr>
            <w:tcW w:w="4133" w:type="dxa"/>
            <w:vAlign w:val="center"/>
          </w:tcPr>
          <w:p w14:paraId="06C847E1">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3411" w:type="dxa"/>
            <w:vAlign w:val="center"/>
          </w:tcPr>
          <w:p w14:paraId="19797000">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1FBA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59D25383">
            <w:pPr>
              <w:spacing w:line="400" w:lineRule="exact"/>
              <w:jc w:val="center"/>
              <w:rPr>
                <w:rFonts w:ascii="宋体" w:hAnsi="宋体" w:eastAsia="宋体"/>
                <w:bCs/>
                <w:sz w:val="24"/>
                <w:szCs w:val="24"/>
              </w:rPr>
            </w:pPr>
            <w:r>
              <w:rPr>
                <w:rFonts w:hint="eastAsia" w:ascii="宋体" w:hAnsi="宋体" w:eastAsia="宋体"/>
                <w:bCs/>
                <w:sz w:val="24"/>
                <w:szCs w:val="24"/>
              </w:rPr>
              <w:t>王昌凡</w:t>
            </w:r>
          </w:p>
        </w:tc>
        <w:tc>
          <w:tcPr>
            <w:tcW w:w="4133" w:type="dxa"/>
            <w:vAlign w:val="center"/>
          </w:tcPr>
          <w:p w14:paraId="0EF21732">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3411" w:type="dxa"/>
            <w:vAlign w:val="center"/>
          </w:tcPr>
          <w:p w14:paraId="0CDA02ED">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284F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487A4E15">
            <w:pPr>
              <w:spacing w:line="400" w:lineRule="exact"/>
              <w:jc w:val="center"/>
              <w:rPr>
                <w:rFonts w:ascii="宋体" w:hAnsi="宋体" w:eastAsia="宋体"/>
                <w:bCs/>
                <w:sz w:val="24"/>
                <w:szCs w:val="24"/>
              </w:rPr>
            </w:pPr>
            <w:r>
              <w:rPr>
                <w:rFonts w:hint="eastAsia" w:ascii="宋体" w:hAnsi="宋体" w:eastAsia="宋体"/>
                <w:bCs/>
                <w:sz w:val="24"/>
                <w:szCs w:val="24"/>
              </w:rPr>
              <w:t>李罡</w:t>
            </w:r>
          </w:p>
        </w:tc>
        <w:tc>
          <w:tcPr>
            <w:tcW w:w="4133" w:type="dxa"/>
            <w:vAlign w:val="center"/>
          </w:tcPr>
          <w:p w14:paraId="4451F300">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3411" w:type="dxa"/>
            <w:vAlign w:val="center"/>
          </w:tcPr>
          <w:p w14:paraId="6CF14166">
            <w:pPr>
              <w:spacing w:line="400" w:lineRule="exact"/>
              <w:rPr>
                <w:rFonts w:ascii="宋体" w:hAnsi="宋体" w:eastAsia="宋体"/>
                <w:bCs/>
                <w:sz w:val="24"/>
                <w:szCs w:val="24"/>
              </w:rPr>
            </w:pPr>
            <w:r>
              <w:rPr>
                <w:rFonts w:hint="eastAsia" w:ascii="宋体" w:hAnsi="宋体" w:eastAsia="宋体"/>
                <w:bCs/>
                <w:sz w:val="24"/>
                <w:szCs w:val="24"/>
              </w:rPr>
              <w:t>参与标准编写</w:t>
            </w:r>
          </w:p>
        </w:tc>
      </w:tr>
      <w:tr w14:paraId="5120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5829787E">
            <w:pPr>
              <w:spacing w:line="400" w:lineRule="exact"/>
              <w:jc w:val="center"/>
              <w:rPr>
                <w:rFonts w:ascii="宋体" w:hAnsi="宋体" w:eastAsia="宋体"/>
                <w:bCs/>
                <w:sz w:val="24"/>
                <w:szCs w:val="24"/>
              </w:rPr>
            </w:pPr>
            <w:r>
              <w:rPr>
                <w:rFonts w:hint="eastAsia" w:ascii="宋体" w:hAnsi="宋体" w:eastAsia="宋体"/>
                <w:bCs/>
                <w:sz w:val="24"/>
                <w:szCs w:val="24"/>
              </w:rPr>
              <w:t>吴晨</w:t>
            </w:r>
          </w:p>
        </w:tc>
        <w:tc>
          <w:tcPr>
            <w:tcW w:w="4133" w:type="dxa"/>
            <w:vAlign w:val="center"/>
          </w:tcPr>
          <w:p w14:paraId="7D274460">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3411" w:type="dxa"/>
            <w:vAlign w:val="center"/>
          </w:tcPr>
          <w:p w14:paraId="033723F3">
            <w:pPr>
              <w:spacing w:line="400" w:lineRule="exact"/>
              <w:rPr>
                <w:rFonts w:ascii="宋体" w:hAnsi="宋体" w:eastAsia="宋体"/>
                <w:bCs/>
                <w:sz w:val="24"/>
                <w:szCs w:val="24"/>
              </w:rPr>
            </w:pPr>
            <w:r>
              <w:rPr>
                <w:rFonts w:hint="eastAsia" w:ascii="宋体" w:hAnsi="宋体" w:eastAsia="宋体"/>
                <w:bCs/>
                <w:sz w:val="24"/>
                <w:szCs w:val="24"/>
              </w:rPr>
              <w:t>参与标准编写</w:t>
            </w:r>
          </w:p>
        </w:tc>
      </w:tr>
    </w:tbl>
    <w:p w14:paraId="6CCF5FD3">
      <w:pPr>
        <w:pStyle w:val="34"/>
        <w:spacing w:line="560" w:lineRule="exact"/>
        <w:ind w:firstLine="480"/>
        <w:jc w:val="left"/>
        <w:outlineLvl w:val="0"/>
        <w:rPr>
          <w:rFonts w:ascii="黑体" w:hAnsi="黑体" w:eastAsia="黑体" w:cs="Times New Roman"/>
          <w:sz w:val="24"/>
          <w:szCs w:val="24"/>
        </w:rPr>
      </w:pPr>
      <w:bookmarkStart w:id="8" w:name="_Toc122002354"/>
      <w:bookmarkStart w:id="9" w:name="_Toc97738906"/>
      <w:r>
        <w:rPr>
          <w:rFonts w:hint="eastAsia" w:ascii="黑体" w:hAnsi="黑体" w:eastAsia="黑体" w:cs="楷体_GB2312"/>
          <w:sz w:val="24"/>
          <w:szCs w:val="24"/>
        </w:rPr>
        <w:t>（四）起草过程</w:t>
      </w:r>
      <w:bookmarkEnd w:id="8"/>
      <w:bookmarkEnd w:id="9"/>
    </w:p>
    <w:p w14:paraId="524E7ECD">
      <w:pPr>
        <w:pStyle w:val="41"/>
        <w:spacing w:line="360" w:lineRule="auto"/>
        <w:ind w:firstLine="480"/>
        <w:rPr>
          <w:rFonts w:ascii="黑体" w:hAnsi="黑体" w:eastAsia="黑体" w:cs="仿宋_GB2312"/>
          <w:bCs/>
          <w:kern w:val="2"/>
          <w:sz w:val="24"/>
          <w:szCs w:val="24"/>
        </w:rPr>
      </w:pPr>
      <w:r>
        <w:rPr>
          <w:rFonts w:hint="eastAsia" w:ascii="黑体" w:hAnsi="黑体" w:eastAsia="黑体" w:cs="仿宋_GB2312"/>
          <w:bCs/>
          <w:kern w:val="2"/>
          <w:sz w:val="24"/>
          <w:szCs w:val="24"/>
        </w:rPr>
        <w:t>1.预研阶段</w:t>
      </w:r>
    </w:p>
    <w:p w14:paraId="427D4169">
      <w:pPr>
        <w:snapToGrid w:val="0"/>
        <w:spacing w:line="360" w:lineRule="auto"/>
        <w:ind w:firstLine="480" w:firstLineChars="200"/>
        <w:rPr>
          <w:rFonts w:ascii="宋体" w:hAnsi="宋体" w:eastAsia="宋体" w:cs="宋体"/>
          <w:position w:val="-24"/>
          <w:sz w:val="24"/>
          <w:szCs w:val="24"/>
        </w:rPr>
      </w:pPr>
      <w:r>
        <w:rPr>
          <w:rFonts w:hint="eastAsia" w:ascii="宋体" w:hAnsi="宋体" w:eastAsia="宋体" w:cs="宋体"/>
          <w:position w:val="-24"/>
          <w:sz w:val="24"/>
          <w:szCs w:val="24"/>
        </w:rPr>
        <w:t>在本标准的预研过程中，完成了大量的基础研究和调研工作，并邀请了公司专家进行了技术审查，确保了标准的规范性和权威性。</w:t>
      </w:r>
    </w:p>
    <w:p w14:paraId="7F6A280B">
      <w:pPr>
        <w:pStyle w:val="41"/>
        <w:spacing w:line="360" w:lineRule="auto"/>
        <w:ind w:firstLine="480"/>
        <w:rPr>
          <w:rFonts w:ascii="黑体" w:hAnsi="黑体" w:eastAsia="黑体" w:cs="仿宋_GB2312"/>
          <w:bCs/>
          <w:sz w:val="24"/>
          <w:szCs w:val="24"/>
        </w:rPr>
      </w:pPr>
      <w:r>
        <w:rPr>
          <w:rFonts w:hint="eastAsia" w:ascii="黑体" w:hAnsi="黑体" w:eastAsia="黑体" w:cs="仿宋_GB2312"/>
          <w:bCs/>
          <w:sz w:val="24"/>
          <w:szCs w:val="24"/>
        </w:rPr>
        <w:t>2.起草阶段</w:t>
      </w:r>
    </w:p>
    <w:p w14:paraId="430A906B">
      <w:pPr>
        <w:snapToGrid w:val="0"/>
        <w:spacing w:line="360" w:lineRule="auto"/>
        <w:ind w:firstLine="480" w:firstLineChars="200"/>
        <w:rPr>
          <w:rFonts w:ascii="宋体" w:hAnsi="宋体" w:eastAsia="宋体" w:cs="宋体"/>
          <w:position w:val="-24"/>
          <w:sz w:val="24"/>
          <w:szCs w:val="24"/>
        </w:rPr>
      </w:pPr>
      <w:r>
        <w:rPr>
          <w:rFonts w:hint="eastAsia" w:ascii="宋体" w:hAnsi="宋体" w:eastAsia="宋体" w:cs="宋体"/>
          <w:position w:val="-24"/>
          <w:sz w:val="24"/>
          <w:szCs w:val="24"/>
        </w:rPr>
        <w:t>在本标准的编制过程中，中车青岛四方机车车辆股份有限公司、中国铁路设计集团有限公司、北京交通大学、中国铁道科学研究院集团有限公司等单位成立了标准起草组，对高速磁浮无线通信系统的一般要求、试验环境及条件、试验内容及要求等情况进行了调研，收集了相关技术资料，形成了工作大纲和本标准的草案稿。</w:t>
      </w:r>
    </w:p>
    <w:p w14:paraId="4FB9A69E">
      <w:pPr>
        <w:spacing w:line="360" w:lineRule="auto"/>
        <w:ind w:firstLine="480" w:firstLineChars="200"/>
        <w:rPr>
          <w:rFonts w:ascii="黑体" w:hAnsi="黑体" w:eastAsia="黑体" w:cs="仿宋_GB2312"/>
          <w:bCs/>
          <w:sz w:val="24"/>
          <w:szCs w:val="24"/>
        </w:rPr>
      </w:pPr>
      <w:r>
        <w:rPr>
          <w:rFonts w:hint="eastAsia" w:ascii="黑体" w:hAnsi="黑体" w:eastAsia="黑体" w:cs="仿宋_GB2312"/>
          <w:bCs/>
          <w:sz w:val="24"/>
          <w:szCs w:val="24"/>
        </w:rPr>
        <w:t>3.征求意见阶段</w:t>
      </w:r>
    </w:p>
    <w:p w14:paraId="2FD798A1">
      <w:pPr>
        <w:snapToGrid w:val="0"/>
        <w:spacing w:line="360" w:lineRule="auto"/>
        <w:ind w:firstLine="480" w:firstLineChars="200"/>
        <w:rPr>
          <w:rFonts w:ascii="宋体" w:hAnsi="宋体" w:eastAsia="宋体" w:cs="宋体"/>
          <w:position w:val="-24"/>
          <w:sz w:val="24"/>
          <w:szCs w:val="24"/>
        </w:rPr>
      </w:pPr>
      <w:r>
        <w:rPr>
          <w:rFonts w:hint="eastAsia" w:ascii="宋体" w:hAnsi="宋体" w:eastAsia="宋体" w:cs="宋体"/>
          <w:position w:val="-24"/>
          <w:sz w:val="24"/>
          <w:szCs w:val="24"/>
        </w:rPr>
        <w:t>在本标准的征求意见阶段，起草组对高速磁浮无线通信系统试验进行了调研，收集了相关技术资料，对本标准的草案稿进行了充分研讨，修改完善，形成了本标准的征求意见稿。</w:t>
      </w:r>
    </w:p>
    <w:p w14:paraId="04588FE8">
      <w:pPr>
        <w:spacing w:line="360" w:lineRule="auto"/>
        <w:ind w:firstLine="480" w:firstLineChars="200"/>
        <w:outlineLvl w:val="0"/>
        <w:rPr>
          <w:rFonts w:hint="eastAsia" w:ascii="黑体" w:hAnsi="黑体" w:eastAsia="黑体" w:cs="黑体"/>
          <w:bCs/>
          <w:sz w:val="24"/>
          <w:szCs w:val="24"/>
        </w:rPr>
      </w:pPr>
      <w:bookmarkStart w:id="10" w:name="_Toc122002355"/>
      <w:r>
        <w:rPr>
          <w:rFonts w:hint="eastAsia" w:ascii="黑体" w:hAnsi="黑体" w:eastAsia="黑体" w:cs="黑体"/>
          <w:bCs/>
          <w:sz w:val="24"/>
          <w:szCs w:val="24"/>
        </w:rPr>
        <w:t>二、标准制定的目的和意义</w:t>
      </w:r>
      <w:bookmarkEnd w:id="10"/>
    </w:p>
    <w:p w14:paraId="6CE109B6">
      <w:pPr>
        <w:pStyle w:val="2"/>
        <w:spacing w:line="360" w:lineRule="auto"/>
        <w:ind w:firstLine="480" w:firstLineChars="200"/>
        <w:rPr>
          <w:rFonts w:ascii="宋体" w:hAnsi="宋体" w:cs="宋体"/>
          <w:color w:val="auto"/>
          <w:position w:val="-24"/>
          <w:lang w:eastAsia="zh-CN" w:bidi="ar-SA"/>
        </w:rPr>
      </w:pPr>
      <w:r>
        <w:rPr>
          <w:rFonts w:hint="eastAsia" w:ascii="宋体" w:hAnsi="宋体" w:cs="宋体"/>
          <w:color w:val="auto"/>
          <w:position w:val="-24"/>
          <w:lang w:eastAsia="zh-CN" w:bidi="ar-SA"/>
        </w:rPr>
        <w:t>随着高速磁浮交通技术的快速发展，对无线通信系统的安全性和可靠性要求日益增高。因此，为了满足安全法规和行业最佳实践，需要不断更新和完善试验规范标准。</w:t>
      </w:r>
    </w:p>
    <w:p w14:paraId="1513E440">
      <w:pPr>
        <w:snapToGrid w:val="0"/>
        <w:spacing w:line="360" w:lineRule="auto"/>
        <w:ind w:firstLine="480" w:firstLineChars="200"/>
        <w:rPr>
          <w:rFonts w:ascii="宋体" w:hAnsi="宋体" w:eastAsia="宋体" w:cs="宋体"/>
          <w:position w:val="-24"/>
          <w:sz w:val="24"/>
          <w:szCs w:val="24"/>
        </w:rPr>
      </w:pPr>
      <w:r>
        <w:rPr>
          <w:rFonts w:hint="eastAsia" w:ascii="宋体" w:hAnsi="宋体" w:eastAsia="宋体"/>
          <w:sz w:val="24"/>
          <w:szCs w:val="24"/>
        </w:rPr>
        <w:t xml:space="preserve"> </w:t>
      </w:r>
      <w:r>
        <w:rPr>
          <w:rFonts w:hint="eastAsia" w:ascii="宋体" w:hAnsi="宋体" w:eastAsia="宋体" w:cs="宋体"/>
          <w:bCs/>
          <w:position w:val="-24"/>
          <w:sz w:val="24"/>
          <w:szCs w:val="24"/>
        </w:rPr>
        <w:t>统一技术标准：</w:t>
      </w:r>
      <w:r>
        <w:rPr>
          <w:rFonts w:hint="eastAsia" w:ascii="宋体" w:hAnsi="宋体" w:eastAsia="宋体" w:cs="宋体"/>
          <w:position w:val="-24"/>
          <w:sz w:val="24"/>
          <w:szCs w:val="24"/>
        </w:rPr>
        <w:t>建立一套统一的试验规范标准，确保不同厂商生产的无线通信系统在高速磁浮列车应用中能够互操作，性能可靠，减少兼容性问题。</w:t>
      </w:r>
    </w:p>
    <w:p w14:paraId="2F980618">
      <w:pPr>
        <w:snapToGrid w:val="0"/>
        <w:spacing w:line="360" w:lineRule="auto"/>
        <w:ind w:firstLine="480" w:firstLineChars="200"/>
        <w:rPr>
          <w:rFonts w:ascii="宋体" w:hAnsi="宋体" w:eastAsia="宋体" w:cs="宋体"/>
          <w:position w:val="-24"/>
          <w:sz w:val="24"/>
          <w:szCs w:val="24"/>
        </w:rPr>
      </w:pPr>
      <w:r>
        <w:rPr>
          <w:rFonts w:hint="eastAsia" w:ascii="宋体" w:hAnsi="宋体" w:eastAsia="宋体" w:cs="宋体"/>
          <w:bCs/>
          <w:position w:val="-24"/>
          <w:sz w:val="24"/>
          <w:szCs w:val="24"/>
        </w:rPr>
        <w:t>确保安全性与可靠性：</w:t>
      </w:r>
      <w:r>
        <w:rPr>
          <w:rFonts w:hint="eastAsia" w:ascii="宋体" w:hAnsi="宋体" w:eastAsia="宋体" w:cs="宋体"/>
          <w:position w:val="-24"/>
          <w:sz w:val="24"/>
          <w:szCs w:val="24"/>
        </w:rPr>
        <w:t>通过标准化的试验流程验证系统的稳定性和安全性，确保在高速移动、复杂电磁环境下的稳定通信，保护乘客安全和列车运行效率。</w:t>
      </w:r>
    </w:p>
    <w:p w14:paraId="0B7ACD7F">
      <w:pPr>
        <w:snapToGrid w:val="0"/>
        <w:spacing w:line="360" w:lineRule="auto"/>
        <w:ind w:firstLine="480" w:firstLineChars="200"/>
        <w:rPr>
          <w:rFonts w:ascii="宋体" w:hAnsi="宋体" w:eastAsia="宋体" w:cs="宋体"/>
          <w:position w:val="-24"/>
          <w:sz w:val="24"/>
          <w:szCs w:val="24"/>
        </w:rPr>
      </w:pPr>
      <w:r>
        <w:rPr>
          <w:rFonts w:hint="eastAsia" w:ascii="宋体" w:hAnsi="宋体" w:eastAsia="宋体" w:cs="宋体"/>
          <w:bCs/>
          <w:position w:val="-24"/>
          <w:sz w:val="24"/>
          <w:szCs w:val="24"/>
        </w:rPr>
        <w:t>提升系统性能：</w:t>
      </w:r>
      <w:r>
        <w:rPr>
          <w:rFonts w:hint="eastAsia" w:ascii="宋体" w:hAnsi="宋体" w:eastAsia="宋体" w:cs="宋体"/>
          <w:position w:val="-24"/>
          <w:sz w:val="24"/>
          <w:szCs w:val="24"/>
        </w:rPr>
        <w:t>规范化的试验方法有助于发现并优化系统设计中的不足，推动技术创新，提升通信速度、降低延迟、增强信号穿透力和抗干扰能力。</w:t>
      </w:r>
    </w:p>
    <w:p w14:paraId="3E17CB0B">
      <w:pPr>
        <w:snapToGrid w:val="0"/>
        <w:spacing w:line="360" w:lineRule="auto"/>
        <w:ind w:firstLine="480" w:firstLineChars="200"/>
        <w:rPr>
          <w:rFonts w:ascii="宋体" w:hAnsi="宋体" w:eastAsia="宋体" w:cs="宋体"/>
          <w:position w:val="-24"/>
          <w:sz w:val="24"/>
          <w:szCs w:val="24"/>
        </w:rPr>
      </w:pPr>
      <w:r>
        <w:rPr>
          <w:rFonts w:hint="eastAsia" w:ascii="宋体" w:hAnsi="宋体" w:eastAsia="宋体" w:cs="宋体"/>
          <w:bCs/>
          <w:position w:val="-24"/>
          <w:sz w:val="24"/>
          <w:szCs w:val="24"/>
        </w:rPr>
        <w:t>促进产业健康发展：</w:t>
      </w:r>
      <w:r>
        <w:rPr>
          <w:rFonts w:hint="eastAsia" w:ascii="宋体" w:hAnsi="宋体" w:eastAsia="宋体" w:cs="宋体"/>
          <w:position w:val="-24"/>
          <w:sz w:val="24"/>
          <w:szCs w:val="24"/>
        </w:rPr>
        <w:t>为制造商、运营商、监管机构等提供明确的技术指导和评估基准，促进产业链上下游协同，加速产品成熟与市场应用。</w:t>
      </w:r>
    </w:p>
    <w:p w14:paraId="78E09153">
      <w:pPr>
        <w:spacing w:line="360" w:lineRule="auto"/>
        <w:ind w:firstLine="480" w:firstLineChars="200"/>
        <w:outlineLvl w:val="0"/>
        <w:rPr>
          <w:rFonts w:ascii="黑体" w:hAnsi="黑体" w:eastAsia="黑体" w:cs="黑体"/>
          <w:bCs/>
          <w:sz w:val="24"/>
          <w:szCs w:val="24"/>
        </w:rPr>
      </w:pPr>
      <w:bookmarkStart w:id="11" w:name="_Toc122002356"/>
      <w:r>
        <w:rPr>
          <w:rFonts w:hint="eastAsia" w:ascii="黑体" w:hAnsi="黑体" w:eastAsia="黑体" w:cs="黑体"/>
          <w:bCs/>
          <w:sz w:val="24"/>
          <w:szCs w:val="24"/>
        </w:rPr>
        <w:t>三、标准编制原则、主要技术内容和确定依据</w:t>
      </w:r>
      <w:bookmarkEnd w:id="11"/>
    </w:p>
    <w:p w14:paraId="2F7E332C">
      <w:pPr>
        <w:pStyle w:val="34"/>
        <w:numPr>
          <w:ilvl w:val="0"/>
          <w:numId w:val="4"/>
        </w:numPr>
        <w:spacing w:line="360" w:lineRule="auto"/>
        <w:ind w:firstLineChars="0"/>
        <w:jc w:val="left"/>
        <w:outlineLvl w:val="0"/>
        <w:rPr>
          <w:rFonts w:ascii="黑体" w:hAnsi="黑体" w:eastAsia="黑体" w:cs="楷体_GB2312"/>
          <w:sz w:val="24"/>
          <w:szCs w:val="24"/>
        </w:rPr>
      </w:pPr>
      <w:bookmarkStart w:id="12" w:name="_Toc122002357"/>
      <w:r>
        <w:rPr>
          <w:rFonts w:hint="eastAsia" w:ascii="黑体" w:hAnsi="黑体" w:eastAsia="黑体" w:cs="楷体_GB2312"/>
          <w:sz w:val="24"/>
          <w:szCs w:val="24"/>
        </w:rPr>
        <w:t>标准编制原则</w:t>
      </w:r>
      <w:bookmarkEnd w:id="12"/>
    </w:p>
    <w:p w14:paraId="40DE9C6F">
      <w:pPr>
        <w:snapToGrid w:val="0"/>
        <w:spacing w:line="360" w:lineRule="auto"/>
        <w:ind w:firstLine="480" w:firstLineChars="200"/>
        <w:rPr>
          <w:rFonts w:ascii="宋体" w:hAnsi="宋体" w:eastAsia="宋体" w:cs="宋体"/>
          <w:position w:val="-24"/>
          <w:sz w:val="24"/>
          <w:szCs w:val="24"/>
        </w:rPr>
      </w:pPr>
      <w:r>
        <w:rPr>
          <w:rFonts w:ascii="宋体" w:hAnsi="宋体" w:eastAsia="宋体" w:cs="宋体"/>
          <w:bCs/>
          <w:position w:val="-24"/>
          <w:sz w:val="24"/>
          <w:szCs w:val="24"/>
        </w:rPr>
        <w:t>科学性与严谨性</w:t>
      </w:r>
      <w:r>
        <w:rPr>
          <w:rFonts w:ascii="宋体" w:hAnsi="宋体" w:eastAsia="宋体" w:cs="宋体"/>
          <w:position w:val="-24"/>
          <w:sz w:val="24"/>
          <w:szCs w:val="24"/>
        </w:rPr>
        <w:t>：标准应基于充分的科学研究和技术验证，确保所有试验指标和方法都有坚实的理论基础和实践经验支持，保证试验结果的准确性和可重复性。</w:t>
      </w:r>
    </w:p>
    <w:p w14:paraId="04E35E66">
      <w:pPr>
        <w:snapToGrid w:val="0"/>
        <w:spacing w:line="360" w:lineRule="auto"/>
        <w:ind w:firstLine="480" w:firstLineChars="200"/>
        <w:rPr>
          <w:rFonts w:ascii="宋体" w:hAnsi="宋体" w:eastAsia="宋体" w:cs="宋体"/>
          <w:position w:val="-24"/>
          <w:sz w:val="24"/>
          <w:szCs w:val="24"/>
        </w:rPr>
      </w:pPr>
      <w:r>
        <w:rPr>
          <w:rFonts w:ascii="宋体" w:hAnsi="宋体" w:eastAsia="宋体" w:cs="宋体"/>
          <w:bCs/>
          <w:position w:val="-24"/>
          <w:sz w:val="24"/>
          <w:szCs w:val="24"/>
        </w:rPr>
        <w:t>全面性</w:t>
      </w:r>
      <w:r>
        <w:rPr>
          <w:rFonts w:ascii="宋体" w:hAnsi="宋体" w:eastAsia="宋体" w:cs="宋体"/>
          <w:position w:val="-24"/>
          <w:sz w:val="24"/>
          <w:szCs w:val="24"/>
        </w:rPr>
        <w:t>：覆盖无线通信系统的所有关键性能指标，包括但不限于传输速率、信号稳定性、抗干扰能力、网络切换、安全性、兼容性及可靠性等，确保系统在各种运行条件下的正常工作。</w:t>
      </w:r>
    </w:p>
    <w:p w14:paraId="242A55CB">
      <w:pPr>
        <w:snapToGrid w:val="0"/>
        <w:spacing w:line="360" w:lineRule="auto"/>
        <w:ind w:firstLine="480" w:firstLineChars="200"/>
        <w:rPr>
          <w:rFonts w:ascii="宋体" w:hAnsi="宋体" w:eastAsia="宋体" w:cs="宋体"/>
          <w:position w:val="-24"/>
          <w:sz w:val="24"/>
          <w:szCs w:val="24"/>
        </w:rPr>
      </w:pPr>
      <w:r>
        <w:rPr>
          <w:rFonts w:ascii="宋体" w:hAnsi="宋体" w:eastAsia="宋体" w:cs="宋体"/>
          <w:bCs/>
          <w:position w:val="-24"/>
          <w:sz w:val="24"/>
          <w:szCs w:val="24"/>
        </w:rPr>
        <w:t>适用性与实用性</w:t>
      </w:r>
      <w:r>
        <w:rPr>
          <w:rFonts w:ascii="宋体" w:hAnsi="宋体" w:eastAsia="宋体" w:cs="宋体"/>
          <w:position w:val="-24"/>
          <w:sz w:val="24"/>
          <w:szCs w:val="24"/>
        </w:rPr>
        <w:t>：标准需考虑到常导长定子磁浮交通的实际应用场景，如高速移动、复杂电磁环境等，确保试验规范能够有效评估系统在真实环境中的表现，同时便于实际操作和执行。</w:t>
      </w:r>
    </w:p>
    <w:p w14:paraId="1E7C7BA8">
      <w:pPr>
        <w:snapToGrid w:val="0"/>
        <w:spacing w:line="360" w:lineRule="auto"/>
        <w:ind w:firstLine="480" w:firstLineChars="200"/>
        <w:rPr>
          <w:rFonts w:ascii="宋体" w:hAnsi="宋体" w:eastAsia="宋体" w:cs="宋体"/>
          <w:position w:val="-24"/>
          <w:sz w:val="24"/>
          <w:szCs w:val="24"/>
        </w:rPr>
      </w:pPr>
      <w:r>
        <w:rPr>
          <w:rFonts w:ascii="宋体" w:hAnsi="宋体" w:eastAsia="宋体" w:cs="宋体"/>
          <w:bCs/>
          <w:position w:val="-24"/>
          <w:sz w:val="24"/>
          <w:szCs w:val="24"/>
        </w:rPr>
        <w:t>安全性优先</w:t>
      </w:r>
      <w:r>
        <w:rPr>
          <w:rFonts w:ascii="宋体" w:hAnsi="宋体" w:eastAsia="宋体" w:cs="宋体"/>
          <w:position w:val="-24"/>
          <w:sz w:val="24"/>
          <w:szCs w:val="24"/>
        </w:rPr>
        <w:t>：特别强调对系统安全性的试验要求，确保无线通信不会成为安全风险源，包括数据加密、网络安全防护、故障恢复机制等方面。</w:t>
      </w:r>
    </w:p>
    <w:p w14:paraId="6A863807">
      <w:pPr>
        <w:snapToGrid w:val="0"/>
        <w:spacing w:line="360" w:lineRule="auto"/>
        <w:ind w:firstLine="480" w:firstLineChars="200"/>
        <w:rPr>
          <w:rFonts w:ascii="宋体" w:hAnsi="宋体" w:eastAsia="宋体" w:cs="宋体"/>
          <w:position w:val="-24"/>
          <w:sz w:val="24"/>
          <w:szCs w:val="24"/>
        </w:rPr>
      </w:pPr>
      <w:r>
        <w:rPr>
          <w:rFonts w:ascii="宋体" w:hAnsi="宋体" w:eastAsia="宋体" w:cs="宋体"/>
          <w:bCs/>
          <w:position w:val="-24"/>
          <w:sz w:val="24"/>
          <w:szCs w:val="24"/>
        </w:rPr>
        <w:t>兼容性与互操作性</w:t>
      </w:r>
      <w:r>
        <w:rPr>
          <w:rFonts w:ascii="宋体" w:hAnsi="宋体" w:eastAsia="宋体" w:cs="宋体"/>
          <w:position w:val="-24"/>
          <w:sz w:val="24"/>
          <w:szCs w:val="24"/>
        </w:rPr>
        <w:t>：促进不同厂家设备之间的兼容与互操作，确保整个磁浮交通系统的顺畅运行和维护升级的便捷性。</w:t>
      </w:r>
    </w:p>
    <w:p w14:paraId="57C1E888">
      <w:pPr>
        <w:snapToGrid w:val="0"/>
        <w:spacing w:line="360" w:lineRule="auto"/>
        <w:ind w:firstLine="480" w:firstLineChars="200"/>
        <w:rPr>
          <w:rFonts w:ascii="宋体" w:hAnsi="宋体" w:eastAsia="宋体" w:cs="宋体"/>
          <w:position w:val="-24"/>
          <w:sz w:val="24"/>
          <w:szCs w:val="24"/>
        </w:rPr>
      </w:pPr>
      <w:r>
        <w:rPr>
          <w:rFonts w:ascii="宋体" w:hAnsi="宋体" w:eastAsia="宋体" w:cs="宋体"/>
          <w:bCs/>
          <w:position w:val="-24"/>
          <w:sz w:val="24"/>
          <w:szCs w:val="24"/>
        </w:rPr>
        <w:t>可扩展性与前瞻性</w:t>
      </w:r>
      <w:r>
        <w:rPr>
          <w:rFonts w:ascii="宋体" w:hAnsi="宋体" w:eastAsia="宋体" w:cs="宋体"/>
          <w:position w:val="-24"/>
          <w:sz w:val="24"/>
          <w:szCs w:val="24"/>
        </w:rPr>
        <w:t>：考虑到技术的快速发展，标准应具有一定的前瞻性和灵活性，能够适应未来技术升级和新应用场景的需求。</w:t>
      </w:r>
    </w:p>
    <w:p w14:paraId="19C33E77">
      <w:pPr>
        <w:snapToGrid w:val="0"/>
        <w:spacing w:line="360" w:lineRule="auto"/>
        <w:ind w:firstLine="480" w:firstLineChars="200"/>
        <w:rPr>
          <w:rFonts w:ascii="宋体" w:hAnsi="宋体" w:eastAsia="宋体" w:cs="宋体"/>
          <w:position w:val="-24"/>
          <w:sz w:val="24"/>
          <w:szCs w:val="24"/>
        </w:rPr>
      </w:pPr>
      <w:r>
        <w:rPr>
          <w:rFonts w:ascii="宋体" w:hAnsi="宋体" w:eastAsia="宋体" w:cs="宋体"/>
          <w:bCs/>
          <w:position w:val="-24"/>
          <w:sz w:val="24"/>
          <w:szCs w:val="24"/>
        </w:rPr>
        <w:t>国际化接轨</w:t>
      </w:r>
      <w:r>
        <w:rPr>
          <w:rFonts w:ascii="宋体" w:hAnsi="宋体" w:eastAsia="宋体" w:cs="宋体"/>
          <w:position w:val="-24"/>
          <w:sz w:val="24"/>
          <w:szCs w:val="24"/>
        </w:rPr>
        <w:t>：参考国际相关标准和最佳实践，力求与国际标准兼容，便于国际合作与技术交流，提升国际竞争力。</w:t>
      </w:r>
    </w:p>
    <w:p w14:paraId="5D48E37D">
      <w:pPr>
        <w:snapToGrid w:val="0"/>
        <w:spacing w:line="360" w:lineRule="auto"/>
        <w:ind w:firstLine="480" w:firstLineChars="200"/>
        <w:rPr>
          <w:rFonts w:ascii="宋体" w:hAnsi="宋体" w:eastAsia="宋体" w:cs="宋体"/>
          <w:position w:val="-24"/>
          <w:sz w:val="24"/>
          <w:szCs w:val="24"/>
        </w:rPr>
      </w:pPr>
      <w:r>
        <w:rPr>
          <w:rFonts w:ascii="宋体" w:hAnsi="宋体" w:eastAsia="宋体" w:cs="宋体"/>
          <w:bCs/>
          <w:position w:val="-24"/>
          <w:sz w:val="24"/>
          <w:szCs w:val="24"/>
        </w:rPr>
        <w:t>可验证性与可追溯性</w:t>
      </w:r>
      <w:r>
        <w:rPr>
          <w:rFonts w:ascii="宋体" w:hAnsi="宋体" w:eastAsia="宋体" w:cs="宋体"/>
          <w:position w:val="-24"/>
          <w:sz w:val="24"/>
          <w:szCs w:val="24"/>
        </w:rPr>
        <w:t>：确保试验过程和结果的可验证性，试验记录应详细完整，以便于问题追踪和后续分析。</w:t>
      </w:r>
    </w:p>
    <w:p w14:paraId="04F43A34">
      <w:pPr>
        <w:snapToGrid w:val="0"/>
        <w:spacing w:line="360" w:lineRule="auto"/>
        <w:ind w:firstLine="480" w:firstLineChars="200"/>
        <w:rPr>
          <w:rFonts w:ascii="宋体" w:hAnsi="宋体" w:eastAsia="宋体" w:cs="宋体"/>
          <w:position w:val="-24"/>
          <w:sz w:val="24"/>
          <w:szCs w:val="24"/>
        </w:rPr>
      </w:pPr>
      <w:r>
        <w:rPr>
          <w:rFonts w:ascii="宋体" w:hAnsi="宋体" w:eastAsia="宋体" w:cs="宋体"/>
          <w:bCs/>
          <w:position w:val="-24"/>
          <w:sz w:val="24"/>
          <w:szCs w:val="24"/>
        </w:rPr>
        <w:t>持续改进</w:t>
      </w:r>
      <w:r>
        <w:rPr>
          <w:rFonts w:ascii="宋体" w:hAnsi="宋体" w:eastAsia="宋体" w:cs="宋体"/>
          <w:position w:val="-24"/>
          <w:sz w:val="24"/>
          <w:szCs w:val="24"/>
        </w:rPr>
        <w:t>：建立标准的定期评估和修订机制，根据技术进步、应用反馈及安全要求的变化，适时调整和完善试验规范。</w:t>
      </w:r>
    </w:p>
    <w:p w14:paraId="0DCCE25C">
      <w:pPr>
        <w:spacing w:line="560" w:lineRule="exact"/>
        <w:ind w:firstLine="480" w:firstLineChars="200"/>
        <w:jc w:val="left"/>
        <w:outlineLvl w:val="0"/>
        <w:rPr>
          <w:rFonts w:ascii="黑体" w:hAnsi="黑体" w:eastAsia="黑体" w:cs="楷体_GB2312"/>
          <w:sz w:val="24"/>
          <w:szCs w:val="24"/>
        </w:rPr>
      </w:pPr>
      <w:bookmarkStart w:id="13" w:name="_Toc122002358"/>
      <w:r>
        <w:rPr>
          <w:rFonts w:hint="eastAsia" w:ascii="黑体" w:hAnsi="黑体" w:eastAsia="黑体" w:cs="楷体_GB2312"/>
          <w:sz w:val="24"/>
          <w:szCs w:val="24"/>
        </w:rPr>
        <w:t>（二）主要技术内容</w:t>
      </w:r>
      <w:bookmarkEnd w:id="13"/>
    </w:p>
    <w:p w14:paraId="6B84B45A">
      <w:pPr>
        <w:spacing w:line="560" w:lineRule="exact"/>
        <w:ind w:firstLine="480" w:firstLineChars="200"/>
        <w:rPr>
          <w:rFonts w:ascii="黑体" w:hAnsi="黑体" w:eastAsia="黑体" w:cs="仿宋_GB2312"/>
          <w:bCs/>
          <w:sz w:val="24"/>
          <w:szCs w:val="24"/>
        </w:rPr>
      </w:pPr>
      <w:bookmarkStart w:id="14" w:name="_Toc97738929"/>
      <w:bookmarkStart w:id="15" w:name="_Toc97566070"/>
      <w:r>
        <w:rPr>
          <w:rFonts w:hint="eastAsia" w:ascii="黑体" w:hAnsi="黑体" w:eastAsia="黑体" w:cs="仿宋_GB2312"/>
          <w:bCs/>
          <w:sz w:val="24"/>
          <w:szCs w:val="24"/>
        </w:rPr>
        <w:t>1.标准的</w:t>
      </w:r>
      <w:bookmarkEnd w:id="14"/>
      <w:bookmarkEnd w:id="15"/>
      <w:r>
        <w:rPr>
          <w:rFonts w:hint="eastAsia" w:ascii="黑体" w:hAnsi="黑体" w:eastAsia="黑体" w:cs="仿宋_GB2312"/>
          <w:bCs/>
          <w:sz w:val="24"/>
          <w:szCs w:val="24"/>
        </w:rPr>
        <w:t>主要内容</w:t>
      </w:r>
    </w:p>
    <w:p w14:paraId="568E7DA4">
      <w:pPr>
        <w:pStyle w:val="41"/>
        <w:spacing w:line="600" w:lineRule="exact"/>
        <w:ind w:firstLine="480"/>
        <w:rPr>
          <w:rFonts w:hAnsi="宋体" w:cstheme="minorBidi"/>
          <w:kern w:val="2"/>
          <w:sz w:val="24"/>
          <w:szCs w:val="24"/>
        </w:rPr>
      </w:pPr>
      <w:bookmarkStart w:id="16" w:name="_Toc97566075"/>
      <w:bookmarkStart w:id="17" w:name="_Toc97738934"/>
      <w:r>
        <w:rPr>
          <w:rFonts w:hint="eastAsia" w:hAnsi="宋体" w:cstheme="minorBidi"/>
          <w:kern w:val="2"/>
          <w:sz w:val="24"/>
          <w:szCs w:val="24"/>
        </w:rPr>
        <w:t>本文件规定了高速磁浮车地无线通信系统试验的试验目的、基本要求、试验要求和试验方法。</w:t>
      </w:r>
    </w:p>
    <w:p w14:paraId="3EF72E0E">
      <w:pPr>
        <w:pStyle w:val="41"/>
        <w:spacing w:line="600" w:lineRule="exact"/>
        <w:ind w:firstLine="480"/>
        <w:rPr>
          <w:rFonts w:hAnsi="宋体" w:cstheme="minorBidi"/>
          <w:kern w:val="2"/>
          <w:sz w:val="24"/>
          <w:szCs w:val="24"/>
        </w:rPr>
      </w:pPr>
      <w:r>
        <w:rPr>
          <w:rFonts w:hint="eastAsia" w:hAnsi="宋体" w:cstheme="minorBidi"/>
          <w:kern w:val="2"/>
          <w:sz w:val="24"/>
          <w:szCs w:val="24"/>
        </w:rPr>
        <w:t>本文件适用于常导长定子磁浮交通无线通信系统试验。</w:t>
      </w:r>
    </w:p>
    <w:bookmarkEnd w:id="16"/>
    <w:bookmarkEnd w:id="17"/>
    <w:p w14:paraId="1C67C423">
      <w:pPr>
        <w:spacing w:line="560" w:lineRule="exact"/>
        <w:ind w:firstLine="480" w:firstLineChars="200"/>
        <w:jc w:val="left"/>
        <w:outlineLvl w:val="0"/>
        <w:rPr>
          <w:rFonts w:ascii="黑体" w:hAnsi="黑体" w:eastAsia="黑体" w:cs="楷体_GB2312"/>
          <w:sz w:val="24"/>
          <w:szCs w:val="24"/>
        </w:rPr>
      </w:pPr>
      <w:bookmarkStart w:id="18" w:name="_Toc122002359"/>
      <w:r>
        <w:rPr>
          <w:rFonts w:hint="eastAsia" w:ascii="黑体" w:hAnsi="黑体" w:eastAsia="黑体" w:cs="楷体_GB2312"/>
          <w:sz w:val="24"/>
          <w:szCs w:val="24"/>
        </w:rPr>
        <w:t>（三）确定依据</w:t>
      </w:r>
      <w:bookmarkEnd w:id="18"/>
    </w:p>
    <w:p w14:paraId="338506EE">
      <w:pPr>
        <w:spacing w:line="600" w:lineRule="exact"/>
        <w:ind w:firstLine="480" w:firstLineChars="200"/>
        <w:rPr>
          <w:rFonts w:ascii="黑体" w:hAnsi="黑体" w:eastAsia="黑体"/>
          <w:sz w:val="24"/>
          <w:szCs w:val="24"/>
        </w:rPr>
      </w:pPr>
      <w:bookmarkStart w:id="19" w:name="_Toc97738945"/>
      <w:bookmarkStart w:id="20" w:name="_Toc97566086"/>
      <w:r>
        <w:rPr>
          <w:rFonts w:hint="eastAsia" w:ascii="黑体" w:hAnsi="黑体" w:eastAsia="黑体"/>
          <w:sz w:val="24"/>
          <w:szCs w:val="24"/>
        </w:rPr>
        <w:t>1.相关标准和技术文献</w:t>
      </w:r>
      <w:bookmarkEnd w:id="19"/>
      <w:bookmarkEnd w:id="20"/>
    </w:p>
    <w:p w14:paraId="50496AB0">
      <w:pPr>
        <w:spacing w:line="600" w:lineRule="exact"/>
        <w:ind w:firstLine="480" w:firstLineChars="200"/>
        <w:rPr>
          <w:rFonts w:ascii="宋体" w:hAnsi="宋体" w:eastAsia="宋体"/>
          <w:sz w:val="24"/>
          <w:szCs w:val="24"/>
        </w:rPr>
      </w:pPr>
      <w:bookmarkStart w:id="21" w:name="_Toc97566099"/>
      <w:bookmarkStart w:id="22" w:name="_Toc97738960"/>
      <w:r>
        <w:rPr>
          <w:rFonts w:hint="eastAsia" w:ascii="宋体" w:hAnsi="宋体" w:eastAsia="宋体"/>
          <w:sz w:val="24"/>
          <w:szCs w:val="24"/>
        </w:rPr>
        <w:t xml:space="preserve"> 国家标准与行业规范：</w:t>
      </w:r>
    </w:p>
    <w:p w14:paraId="3C01C7C9">
      <w:pPr>
        <w:spacing w:line="600" w:lineRule="exact"/>
        <w:ind w:firstLine="480" w:firstLineChars="200"/>
        <w:rPr>
          <w:rFonts w:ascii="宋体" w:hAnsi="宋体" w:eastAsia="宋体"/>
          <w:sz w:val="24"/>
          <w:szCs w:val="24"/>
        </w:rPr>
      </w:pPr>
      <w:r>
        <w:rPr>
          <w:rFonts w:hint="eastAsia" w:ascii="宋体" w:hAnsi="宋体" w:eastAsia="宋体"/>
          <w:sz w:val="24"/>
          <w:szCs w:val="24"/>
        </w:rPr>
        <w:t>《高速磁浮交通设计标准》(CJJ/T310-2021)：虽然主要针对设计标准，但对无线通信系统的要求有一定的指导意义。</w:t>
      </w:r>
    </w:p>
    <w:p w14:paraId="1359296F">
      <w:pPr>
        <w:spacing w:line="600" w:lineRule="exact"/>
        <w:ind w:firstLine="480" w:firstLineChars="200"/>
        <w:rPr>
          <w:rFonts w:ascii="宋体" w:hAnsi="宋体" w:eastAsia="宋体"/>
          <w:sz w:val="24"/>
          <w:szCs w:val="24"/>
        </w:rPr>
      </w:pPr>
      <w:r>
        <w:rPr>
          <w:rFonts w:hint="eastAsia" w:ascii="宋体" w:hAnsi="宋体" w:eastAsia="宋体"/>
          <w:sz w:val="24"/>
          <w:szCs w:val="24"/>
        </w:rPr>
        <w:t>《中低速磁浮交通运行控制技术规范》(CJJ/T255-2017)：对中低速磁浮的运行控制技术有相关规定，可作为参考。</w:t>
      </w:r>
    </w:p>
    <w:p w14:paraId="3DD2CA01">
      <w:pPr>
        <w:spacing w:line="600" w:lineRule="exact"/>
        <w:ind w:firstLine="480" w:firstLineChars="200"/>
        <w:rPr>
          <w:rFonts w:ascii="宋体" w:hAnsi="宋体" w:eastAsia="宋体"/>
          <w:sz w:val="24"/>
          <w:szCs w:val="24"/>
        </w:rPr>
      </w:pPr>
      <w:r>
        <w:rPr>
          <w:rFonts w:hint="eastAsia" w:ascii="宋体" w:hAnsi="宋体" w:eastAsia="宋体"/>
          <w:sz w:val="24"/>
          <w:szCs w:val="24"/>
        </w:rPr>
        <w:t>《城市轨道交通车地综合通信系统(LTE-M)测试规范 第3部分：系统测试》（T/CAMET 04008.3-2018）：虽然针对城轨，但无线通信系统的测试流程和测试方法有相似之处。</w:t>
      </w:r>
    </w:p>
    <w:p w14:paraId="51355C39">
      <w:pPr>
        <w:spacing w:line="600" w:lineRule="exact"/>
        <w:ind w:firstLine="480" w:firstLineChars="200"/>
        <w:rPr>
          <w:rFonts w:ascii="宋体" w:hAnsi="宋体" w:eastAsia="宋体"/>
          <w:sz w:val="24"/>
          <w:szCs w:val="24"/>
        </w:rPr>
      </w:pPr>
      <w:r>
        <w:rPr>
          <w:rFonts w:hint="eastAsia" w:ascii="宋体" w:hAnsi="宋体" w:eastAsia="宋体"/>
          <w:sz w:val="24"/>
          <w:szCs w:val="24"/>
        </w:rPr>
        <w:t>《无线通信系统在地铁中的应用》：虽然针对地铁，但无线通信系统的基本要求和测试方法有相似之处。</w:t>
      </w:r>
    </w:p>
    <w:p w14:paraId="2C1587E1">
      <w:pPr>
        <w:spacing w:line="600" w:lineRule="exact"/>
        <w:ind w:firstLine="480" w:firstLineChars="200"/>
        <w:rPr>
          <w:rFonts w:ascii="宋体" w:hAnsi="宋体" w:eastAsia="宋体"/>
          <w:sz w:val="24"/>
          <w:szCs w:val="24"/>
        </w:rPr>
      </w:pPr>
      <w:r>
        <w:rPr>
          <w:rFonts w:hint="eastAsia" w:ascii="宋体" w:hAnsi="宋体" w:eastAsia="宋体"/>
          <w:sz w:val="24"/>
          <w:szCs w:val="24"/>
        </w:rPr>
        <w:t>技术文献与研究报告：</w:t>
      </w:r>
    </w:p>
    <w:p w14:paraId="1225F4B3">
      <w:pPr>
        <w:spacing w:line="600" w:lineRule="exact"/>
        <w:ind w:firstLine="480" w:firstLineChars="200"/>
        <w:rPr>
          <w:rFonts w:ascii="宋体" w:hAnsi="宋体" w:eastAsia="宋体"/>
          <w:sz w:val="24"/>
          <w:szCs w:val="24"/>
        </w:rPr>
      </w:pPr>
      <w:r>
        <w:rPr>
          <w:rFonts w:hint="eastAsia" w:ascii="宋体" w:hAnsi="宋体" w:eastAsia="宋体"/>
          <w:sz w:val="24"/>
          <w:szCs w:val="24"/>
        </w:rPr>
        <w:t>“常导长定子高速磁浮运行控制系统研究”（方凯等人，2022）：可能包含对无线通信系统在磁浮列车运行控制中的应用探讨。</w:t>
      </w:r>
    </w:p>
    <w:p w14:paraId="03EF2B7B">
      <w:pPr>
        <w:spacing w:line="600" w:lineRule="exact"/>
        <w:ind w:firstLine="480" w:firstLineChars="200"/>
        <w:rPr>
          <w:rFonts w:ascii="宋体" w:hAnsi="宋体" w:eastAsia="宋体"/>
          <w:sz w:val="24"/>
          <w:szCs w:val="24"/>
        </w:rPr>
      </w:pPr>
      <w:r>
        <w:rPr>
          <w:rFonts w:hint="eastAsia" w:ascii="宋体" w:hAnsi="宋体" w:eastAsia="宋体"/>
          <w:sz w:val="24"/>
          <w:szCs w:val="24"/>
        </w:rPr>
        <w:t>“毫米波无线通信系统技术要求和测试方法”（YDB 009-2007）：虽然不是专门针对磁浮交通，但毫米波通信技术在高速移动环境下的测试方法有参考价值。</w:t>
      </w:r>
    </w:p>
    <w:p w14:paraId="1211ED6A">
      <w:pPr>
        <w:spacing w:line="600" w:lineRule="exact"/>
        <w:ind w:firstLine="480" w:firstLineChars="200"/>
        <w:rPr>
          <w:rFonts w:ascii="宋体" w:hAnsi="宋体" w:eastAsia="宋体"/>
          <w:sz w:val="24"/>
          <w:szCs w:val="24"/>
        </w:rPr>
      </w:pPr>
      <w:r>
        <w:rPr>
          <w:rFonts w:hint="eastAsia" w:ascii="宋体" w:hAnsi="宋体" w:eastAsia="宋体"/>
          <w:sz w:val="24"/>
          <w:szCs w:val="24"/>
        </w:rPr>
        <w:t>“毫米波短距无线通信系统集成天线的研究”、“毫米波无线通信系统接入技术的研究与仿真”等文献：提供毫米波通信技术的最新进展和测试方法。</w:t>
      </w:r>
    </w:p>
    <w:bookmarkEnd w:id="21"/>
    <w:bookmarkEnd w:id="22"/>
    <w:p w14:paraId="5FD821EE">
      <w:pPr>
        <w:spacing w:line="600" w:lineRule="exact"/>
        <w:ind w:firstLine="480" w:firstLineChars="200"/>
        <w:rPr>
          <w:rFonts w:ascii="黑体" w:hAnsi="黑体" w:eastAsia="黑体" w:cs="仿宋_GB2312"/>
          <w:bCs/>
          <w:sz w:val="24"/>
          <w:szCs w:val="24"/>
        </w:rPr>
      </w:pPr>
      <w:bookmarkStart w:id="23" w:name="_Toc97738968"/>
      <w:bookmarkEnd w:id="23"/>
      <w:bookmarkStart w:id="24" w:name="_Toc97566107"/>
      <w:bookmarkEnd w:id="24"/>
      <w:bookmarkStart w:id="25" w:name="_Toc97738970"/>
      <w:bookmarkStart w:id="26" w:name="_Toc97566109"/>
      <w:r>
        <w:rPr>
          <w:rFonts w:hint="eastAsia" w:ascii="黑体" w:hAnsi="黑体" w:eastAsia="黑体" w:cs="仿宋_GB2312"/>
          <w:bCs/>
          <w:sz w:val="24"/>
          <w:szCs w:val="24"/>
        </w:rPr>
        <w:t>2.调研成果</w:t>
      </w:r>
      <w:bookmarkEnd w:id="25"/>
      <w:bookmarkEnd w:id="26"/>
    </w:p>
    <w:p w14:paraId="47C12CDB">
      <w:pPr>
        <w:spacing w:line="600" w:lineRule="exact"/>
        <w:ind w:firstLine="480" w:firstLineChars="200"/>
        <w:rPr>
          <w:rFonts w:ascii="宋体" w:hAnsi="宋体" w:eastAsia="宋体"/>
          <w:sz w:val="24"/>
          <w:szCs w:val="24"/>
        </w:rPr>
      </w:pPr>
      <w:r>
        <w:rPr>
          <w:rFonts w:hint="eastAsia" w:ascii="宋体" w:hAnsi="宋体" w:eastAsia="宋体"/>
          <w:sz w:val="24"/>
          <w:szCs w:val="24"/>
        </w:rPr>
        <w:t xml:space="preserve"> 技术需求明确：调研显示，对于常导长定子磁浮交通系统而言，无线通信系统需要能够在高速移动、复杂电磁环境下保持高稳定性和高可靠性，确保列车控制、监控及旅客服务通信的连续性和安全性。这要求试验规范标准能全面覆盖从信号传输质量到网络安全的各个方面。</w:t>
      </w:r>
    </w:p>
    <w:p w14:paraId="50CE331D">
      <w:pPr>
        <w:spacing w:line="600" w:lineRule="exact"/>
        <w:ind w:firstLine="480" w:firstLineChars="200"/>
        <w:rPr>
          <w:rFonts w:ascii="宋体" w:hAnsi="宋体" w:eastAsia="宋体"/>
          <w:sz w:val="24"/>
          <w:szCs w:val="24"/>
        </w:rPr>
      </w:pPr>
      <w:r>
        <w:rPr>
          <w:rFonts w:hint="eastAsia" w:ascii="宋体" w:hAnsi="宋体" w:eastAsia="宋体"/>
          <w:sz w:val="24"/>
          <w:szCs w:val="24"/>
        </w:rPr>
        <w:t>兼容性与互操作性：调研强调了不同供应商设备之间的兼容性和互操作性的重要性，指出试验规范应当包含严格的互操作性试验，以确保不同厂商的无线通信设备能在统一的系统中无缝协作。</w:t>
      </w:r>
    </w:p>
    <w:p w14:paraId="5CD31A93">
      <w:pPr>
        <w:spacing w:line="600" w:lineRule="exact"/>
        <w:ind w:firstLine="480" w:firstLineChars="200"/>
        <w:rPr>
          <w:rFonts w:ascii="宋体" w:hAnsi="宋体" w:eastAsia="宋体"/>
          <w:sz w:val="24"/>
          <w:szCs w:val="24"/>
        </w:rPr>
      </w:pPr>
      <w:r>
        <w:rPr>
          <w:rFonts w:hint="eastAsia" w:ascii="宋体" w:hAnsi="宋体" w:eastAsia="宋体"/>
          <w:sz w:val="24"/>
          <w:szCs w:val="24"/>
        </w:rPr>
        <w:t>性能指标量化：调研明确了无线通信系统的关键性能指标，如数据传输速率、丢包率、延时、切换时间、覆盖范围等，并提出了量化的试验方法和标准值，为系统评估提供了具体的量化依据。</w:t>
      </w:r>
    </w:p>
    <w:p w14:paraId="2C5045E3">
      <w:pPr>
        <w:spacing w:line="600" w:lineRule="exact"/>
        <w:ind w:firstLine="480" w:firstLineChars="200"/>
        <w:rPr>
          <w:rFonts w:ascii="宋体" w:hAnsi="宋体" w:eastAsia="宋体"/>
          <w:sz w:val="24"/>
          <w:szCs w:val="24"/>
        </w:rPr>
      </w:pPr>
      <w:r>
        <w:rPr>
          <w:rFonts w:hint="eastAsia" w:ascii="宋体" w:hAnsi="宋体" w:eastAsia="宋体"/>
          <w:sz w:val="24"/>
          <w:szCs w:val="24"/>
        </w:rPr>
        <w:t>安全与隐私保护：调研结果显示，安全性和乘客隐私保护成为无线通信系统设计和试验的重点，要求试验规范中包含对数据加密、网络安全防护措施的验证，以及对个人隐私保护措施的评估。</w:t>
      </w:r>
    </w:p>
    <w:p w14:paraId="20536E9E">
      <w:pPr>
        <w:spacing w:line="600" w:lineRule="exact"/>
        <w:ind w:firstLine="480" w:firstLineChars="200"/>
        <w:rPr>
          <w:rFonts w:ascii="宋体" w:hAnsi="宋体" w:eastAsia="宋体"/>
          <w:sz w:val="24"/>
          <w:szCs w:val="24"/>
        </w:rPr>
      </w:pPr>
      <w:r>
        <w:rPr>
          <w:rFonts w:hint="eastAsia" w:ascii="宋体" w:hAnsi="宋体" w:eastAsia="宋体"/>
          <w:sz w:val="24"/>
          <w:szCs w:val="24"/>
        </w:rPr>
        <w:t>环境适应性试验：鉴于磁浮列车特殊的运行环境，调研指出试验规范应涵盖在极端气候、复杂地形等条件下无线通信系统的表现，确保其稳定性和鲁棒性。</w:t>
      </w:r>
    </w:p>
    <w:p w14:paraId="3D794042">
      <w:pPr>
        <w:spacing w:line="600" w:lineRule="exact"/>
        <w:ind w:firstLine="480" w:firstLineChars="200"/>
        <w:rPr>
          <w:rFonts w:ascii="宋体" w:hAnsi="宋体" w:eastAsia="宋体"/>
          <w:sz w:val="24"/>
          <w:szCs w:val="24"/>
        </w:rPr>
      </w:pPr>
      <w:r>
        <w:rPr>
          <w:rFonts w:hint="eastAsia" w:ascii="宋体" w:hAnsi="宋体" w:eastAsia="宋体"/>
          <w:sz w:val="24"/>
          <w:szCs w:val="24"/>
        </w:rPr>
        <w:t>国际标准对接：调研还强调了与国际标准接轨的重要性，指出中国在制定试验规范时应参考国际上如IEEE、ITU等组织的相关标准，以促进技术交流与国际合作。</w:t>
      </w:r>
    </w:p>
    <w:p w14:paraId="45FEC5C6">
      <w:pPr>
        <w:spacing w:line="600" w:lineRule="exact"/>
        <w:ind w:firstLine="480" w:firstLineChars="200"/>
        <w:rPr>
          <w:rFonts w:ascii="宋体" w:hAnsi="宋体" w:eastAsia="宋体"/>
          <w:sz w:val="24"/>
          <w:szCs w:val="24"/>
        </w:rPr>
      </w:pPr>
      <w:r>
        <w:rPr>
          <w:rFonts w:hint="eastAsia" w:ascii="宋体" w:hAnsi="宋体" w:eastAsia="宋体"/>
          <w:sz w:val="24"/>
          <w:szCs w:val="24"/>
        </w:rPr>
        <w:t>实际应用反馈：通过对已实施项目的分析，调研提供了实际应用中遇到的问题和解决方案，为标准的制定提供了实践基础，如常导低速磁浮列车机械制动控制研究、无线通信系统在实际运行中的抗干扰性能分析等。</w:t>
      </w:r>
    </w:p>
    <w:p w14:paraId="37B4B062">
      <w:pPr>
        <w:pStyle w:val="2"/>
        <w:rPr>
          <w:lang w:eastAsia="zh-CN" w:bidi="ar-SA"/>
        </w:rPr>
      </w:pPr>
    </w:p>
    <w:p w14:paraId="1D057AFD">
      <w:pPr>
        <w:spacing w:line="600" w:lineRule="exact"/>
        <w:ind w:firstLine="480" w:firstLineChars="200"/>
        <w:outlineLvl w:val="0"/>
        <w:rPr>
          <w:rFonts w:ascii="黑体" w:hAnsi="黑体" w:eastAsia="黑体" w:cs="黑体"/>
          <w:bCs/>
          <w:sz w:val="24"/>
          <w:szCs w:val="24"/>
        </w:rPr>
      </w:pPr>
      <w:bookmarkStart w:id="27" w:name="_Toc122002360"/>
      <w:r>
        <w:rPr>
          <w:rFonts w:hint="eastAsia" w:ascii="黑体" w:hAnsi="黑体" w:eastAsia="黑体" w:cs="黑体"/>
          <w:bCs/>
          <w:sz w:val="24"/>
          <w:szCs w:val="24"/>
        </w:rPr>
        <w:t>四、与现行相关法律、行政法规和其他标准的关系</w:t>
      </w:r>
      <w:bookmarkEnd w:id="27"/>
    </w:p>
    <w:p w14:paraId="337B5103">
      <w:pPr>
        <w:spacing w:line="600" w:lineRule="exact"/>
        <w:ind w:firstLine="480" w:firstLineChars="200"/>
        <w:rPr>
          <w:rFonts w:ascii="宋体" w:hAnsi="宋体" w:eastAsia="宋体"/>
          <w:sz w:val="24"/>
          <w:szCs w:val="24"/>
        </w:rPr>
      </w:pPr>
      <w:bookmarkStart w:id="28" w:name="_Toc97738973"/>
      <w:bookmarkStart w:id="29" w:name="_Toc97566112"/>
      <w:r>
        <w:rPr>
          <w:rFonts w:hint="eastAsia" w:ascii="宋体" w:hAnsi="宋体" w:eastAsia="宋体"/>
          <w:sz w:val="24"/>
          <w:szCs w:val="24"/>
        </w:rPr>
        <w:t>本文件符合现行法律、法规和强制性国家标准的规定，与其他相关强制性标准无冲突。</w:t>
      </w:r>
      <w:bookmarkEnd w:id="28"/>
      <w:bookmarkEnd w:id="29"/>
    </w:p>
    <w:p w14:paraId="0B371D26">
      <w:pPr>
        <w:pStyle w:val="2"/>
        <w:rPr>
          <w:lang w:eastAsia="zh-CN" w:bidi="ar-SA"/>
        </w:rPr>
      </w:pPr>
    </w:p>
    <w:p w14:paraId="24E58004">
      <w:pPr>
        <w:spacing w:line="600" w:lineRule="exact"/>
        <w:ind w:firstLine="480" w:firstLineChars="200"/>
        <w:jc w:val="left"/>
        <w:outlineLvl w:val="0"/>
        <w:rPr>
          <w:rFonts w:ascii="黑体" w:hAnsi="黑体" w:eastAsia="黑体" w:cs="黑体"/>
          <w:bCs/>
          <w:sz w:val="24"/>
          <w:szCs w:val="24"/>
        </w:rPr>
      </w:pPr>
      <w:bookmarkStart w:id="30" w:name="_Toc122002361"/>
      <w:r>
        <w:rPr>
          <w:rFonts w:hint="eastAsia" w:ascii="黑体" w:hAnsi="黑体" w:eastAsia="黑体" w:cs="黑体"/>
          <w:bCs/>
          <w:sz w:val="24"/>
          <w:szCs w:val="24"/>
        </w:rPr>
        <w:t>五、重大分歧意见的处理过程、处理意见及其依据</w:t>
      </w:r>
      <w:bookmarkEnd w:id="30"/>
    </w:p>
    <w:p w14:paraId="0AF67CD5">
      <w:pPr>
        <w:spacing w:line="600" w:lineRule="exact"/>
        <w:ind w:firstLine="480" w:firstLineChars="200"/>
        <w:rPr>
          <w:rFonts w:ascii="宋体" w:hAnsi="宋体" w:eastAsia="宋体"/>
          <w:sz w:val="24"/>
          <w:szCs w:val="24"/>
        </w:rPr>
      </w:pPr>
      <w:bookmarkStart w:id="31" w:name="_Toc97566114"/>
      <w:bookmarkStart w:id="32" w:name="_Toc97738975"/>
      <w:r>
        <w:rPr>
          <w:rFonts w:hint="eastAsia" w:ascii="宋体" w:hAnsi="宋体" w:eastAsia="宋体"/>
          <w:sz w:val="24"/>
          <w:szCs w:val="24"/>
        </w:rPr>
        <w:t>无。</w:t>
      </w:r>
      <w:bookmarkEnd w:id="31"/>
      <w:bookmarkEnd w:id="32"/>
    </w:p>
    <w:p w14:paraId="079B177E">
      <w:pPr>
        <w:pStyle w:val="2"/>
        <w:rPr>
          <w:lang w:eastAsia="zh-CN" w:bidi="ar-SA"/>
        </w:rPr>
      </w:pPr>
    </w:p>
    <w:p w14:paraId="7405CAFF">
      <w:pPr>
        <w:spacing w:line="600" w:lineRule="exact"/>
        <w:ind w:firstLine="480" w:firstLineChars="200"/>
        <w:jc w:val="left"/>
        <w:outlineLvl w:val="0"/>
        <w:rPr>
          <w:rFonts w:ascii="黑体" w:hAnsi="黑体" w:eastAsia="黑体" w:cs="黑体"/>
          <w:bCs/>
          <w:sz w:val="24"/>
          <w:szCs w:val="24"/>
        </w:rPr>
      </w:pPr>
      <w:bookmarkStart w:id="33" w:name="_Toc122002363"/>
      <w:r>
        <w:rPr>
          <w:rFonts w:hint="eastAsia" w:ascii="黑体" w:hAnsi="黑体" w:eastAsia="黑体" w:cs="黑体"/>
          <w:bCs/>
          <w:sz w:val="24"/>
          <w:szCs w:val="24"/>
        </w:rPr>
        <w:t>六、其他需要说明的内容</w:t>
      </w:r>
      <w:bookmarkEnd w:id="33"/>
    </w:p>
    <w:p w14:paraId="5232D815">
      <w:pPr>
        <w:spacing w:line="600" w:lineRule="exact"/>
        <w:ind w:firstLine="480" w:firstLineChars="200"/>
        <w:rPr>
          <w:rFonts w:ascii="宋体" w:hAnsi="宋体" w:eastAsia="宋体"/>
          <w:sz w:val="24"/>
          <w:szCs w:val="24"/>
        </w:rPr>
      </w:pPr>
      <w:bookmarkStart w:id="34" w:name="_Toc97738979"/>
      <w:bookmarkStart w:id="35" w:name="_Toc97566121"/>
      <w:r>
        <w:rPr>
          <w:rFonts w:hint="eastAsia" w:ascii="宋体" w:hAnsi="宋体" w:eastAsia="宋体"/>
          <w:sz w:val="24"/>
          <w:szCs w:val="24"/>
        </w:rPr>
        <w:t>无。</w:t>
      </w:r>
      <w:bookmarkEnd w:id="34"/>
      <w:bookmarkEnd w:id="35"/>
    </w:p>
    <w:p w14:paraId="54A6D1D1">
      <w:pPr>
        <w:pStyle w:val="2"/>
        <w:rPr>
          <w:rFonts w:ascii="宋体" w:hAnsi="宋体"/>
          <w:lang w:eastAsia="zh-CN" w:bidi="ar-SA"/>
        </w:rPr>
      </w:pPr>
    </w:p>
    <w:p w14:paraId="3FBA2424">
      <w:pPr>
        <w:pStyle w:val="2"/>
        <w:rPr>
          <w:rFonts w:ascii="宋体" w:hAnsi="宋体"/>
          <w:lang w:eastAsia="zh-CN" w:bidi="ar-SA"/>
        </w:rPr>
      </w:pPr>
    </w:p>
    <w:p w14:paraId="7DFC5543">
      <w:pPr>
        <w:pStyle w:val="2"/>
        <w:rPr>
          <w:rFonts w:ascii="宋体" w:hAnsi="宋体"/>
          <w:lang w:eastAsia="zh-CN" w:bidi="ar-SA"/>
        </w:rPr>
      </w:pPr>
    </w:p>
    <w:p w14:paraId="58D357DC">
      <w:pPr>
        <w:spacing w:line="360" w:lineRule="auto"/>
        <w:ind w:right="140"/>
        <w:jc w:val="right"/>
        <w:rPr>
          <w:rFonts w:ascii="宋体" w:hAnsi="宋体" w:eastAsia="宋体" w:cs="仿宋_GB2312"/>
          <w:sz w:val="24"/>
          <w:szCs w:val="24"/>
        </w:rPr>
      </w:pPr>
      <w:r>
        <w:rPr>
          <w:rFonts w:hint="eastAsia" w:ascii="宋体" w:hAnsi="宋体" w:eastAsia="宋体" w:cs="仿宋_GB2312"/>
          <w:sz w:val="24"/>
          <w:szCs w:val="24"/>
        </w:rPr>
        <w:t>标准起草小组</w:t>
      </w:r>
    </w:p>
    <w:p w14:paraId="7CDB6A3E">
      <w:pPr>
        <w:spacing w:line="360" w:lineRule="auto"/>
        <w:jc w:val="right"/>
        <w:rPr>
          <w:rFonts w:ascii="宋体" w:hAnsi="宋体" w:eastAsia="宋体" w:cs="仿宋_GB2312"/>
          <w:sz w:val="24"/>
          <w:szCs w:val="24"/>
        </w:rPr>
      </w:pPr>
      <w:r>
        <w:rPr>
          <w:rFonts w:hint="eastAsia" w:ascii="宋体" w:hAnsi="宋体" w:eastAsia="宋体" w:cs="仿宋_GB2312"/>
          <w:sz w:val="24"/>
          <w:szCs w:val="24"/>
        </w:rPr>
        <w:t xml:space="preserve"> 2024年6月</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9354">
    <w:pPr>
      <w:pStyle w:val="13"/>
      <w:jc w:val="center"/>
    </w:pPr>
    <w:r>
      <w:fldChar w:fldCharType="begin"/>
    </w:r>
    <w:r>
      <w:instrText xml:space="preserve">PAGE   \* MERGEFORMAT</w:instrText>
    </w:r>
    <w:r>
      <w:fldChar w:fldCharType="separate"/>
    </w:r>
    <w:r>
      <w:rPr>
        <w:lang w:val="zh-CN"/>
      </w:rPr>
      <w:t>2</w:t>
    </w:r>
    <w:r>
      <w:fldChar w:fldCharType="end"/>
    </w:r>
  </w:p>
  <w:p w14:paraId="0788979B">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514D">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0B67">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06BA1">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302260"/>
              <wp:effectExtent l="0" t="0" r="10795" b="15240"/>
              <wp:wrapNone/>
              <wp:docPr id="1" name="文本框 1"/>
              <wp:cNvGraphicFramePr/>
              <a:graphic xmlns:a="http://schemas.openxmlformats.org/drawingml/2006/main">
                <a:graphicData uri="http://schemas.microsoft.com/office/word/2010/wordprocessingShape">
                  <wps:wsp>
                    <wps:cNvSpPr txBox="1"/>
                    <wps:spPr>
                      <a:xfrm>
                        <a:off x="0" y="0"/>
                        <a:ext cx="116205" cy="302260"/>
                      </a:xfrm>
                      <a:prstGeom prst="rect">
                        <a:avLst/>
                      </a:prstGeom>
                      <a:noFill/>
                      <a:ln w="6350">
                        <a:noFill/>
                      </a:ln>
                    </wps:spPr>
                    <wps:txbx>
                      <w:txbxContent>
                        <w:sdt>
                          <w:sdtPr>
                            <w:id w:val="-757443851"/>
                          </w:sdtPr>
                          <w:sdtContent>
                            <w:p w14:paraId="7D0B430B">
                              <w:pPr>
                                <w:pStyle w:val="13"/>
                                <w:jc w:val="center"/>
                              </w:pPr>
                              <w:r>
                                <w:fldChar w:fldCharType="begin"/>
                              </w:r>
                              <w:r>
                                <w:instrText xml:space="preserve">PAGE   \* MERGEFORMAT</w:instrText>
                              </w:r>
                              <w:r>
                                <w:fldChar w:fldCharType="separate"/>
                              </w:r>
                              <w:r>
                                <w:rPr>
                                  <w:lang w:val="zh-CN"/>
                                </w:rPr>
                                <w:t>6</w:t>
                              </w:r>
                              <w:r>
                                <w:fldChar w:fldCharType="end"/>
                              </w:r>
                            </w:p>
                          </w:sdtContent>
                        </w:sdt>
                        <w:p w14:paraId="77B4FB8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15pt;mso-position-horizontal:center;mso-position-horizontal-relative:margin;mso-wrap-style:none;z-index:251659264;mso-width-relative:page;mso-height-relative:page;" filled="f" stroked="f" coordsize="21600,21600" o:gfxdata="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yeJo0gAAAAMBAAAPAAAAAAAAAAEAIAAAACIAAABkcnMvZG93bnJldi54bWxQSwECFAAUAAAA&#10;CACHTuJAaYRpWy0CAABTBAAADgAAAAAAAAABACAAAAAhAQAAZHJzL2Uyb0RvYy54bWxQSwUGAAAA&#10;AAYABgBZAQAAwAUAAAAA&#10;">
              <v:fill on="f" focussize="0,0"/>
              <v:stroke on="f" weight="0.5pt"/>
              <v:imagedata o:title=""/>
              <o:lock v:ext="edit" aspectratio="f"/>
              <v:textbox inset="0mm,0mm,0mm,0mm" style="mso-fit-shape-to-text:t;">
                <w:txbxContent>
                  <w:sdt>
                    <w:sdtPr>
                      <w:id w:val="-757443851"/>
                    </w:sdtPr>
                    <w:sdtContent>
                      <w:p w14:paraId="7D0B430B">
                        <w:pPr>
                          <w:pStyle w:val="13"/>
                          <w:jc w:val="center"/>
                        </w:pPr>
                        <w:r>
                          <w:fldChar w:fldCharType="begin"/>
                        </w:r>
                        <w:r>
                          <w:instrText xml:space="preserve">PAGE   \* MERGEFORMAT</w:instrText>
                        </w:r>
                        <w:r>
                          <w:fldChar w:fldCharType="separate"/>
                        </w:r>
                        <w:r>
                          <w:rPr>
                            <w:lang w:val="zh-CN"/>
                          </w:rPr>
                          <w:t>6</w:t>
                        </w:r>
                        <w:r>
                          <w:fldChar w:fldCharType="end"/>
                        </w:r>
                      </w:p>
                    </w:sdtContent>
                  </w:sdt>
                  <w:p w14:paraId="77B4FB8A"/>
                </w:txbxContent>
              </v:textbox>
            </v:shape>
          </w:pict>
        </mc:Fallback>
      </mc:AlternateContent>
    </w:r>
  </w:p>
  <w:p w14:paraId="3560535F">
    <w:pPr>
      <w:pStyle w:val="1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C1670"/>
    <w:multiLevelType w:val="multilevel"/>
    <w:tmpl w:val="0BDC1670"/>
    <w:lvl w:ilvl="0" w:tentative="0">
      <w:start w:val="1"/>
      <w:numFmt w:val="decimal"/>
      <w:pStyle w:val="4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C50F90"/>
    <w:multiLevelType w:val="multilevel"/>
    <w:tmpl w:val="44C50F90"/>
    <w:lvl w:ilvl="0" w:tentative="0">
      <w:start w:val="1"/>
      <w:numFmt w:val="lowerLetter"/>
      <w:pStyle w:val="46"/>
      <w:lvlText w:val="%1)"/>
      <w:lvlJc w:val="left"/>
      <w:pPr>
        <w:tabs>
          <w:tab w:val="left" w:pos="851"/>
        </w:tabs>
        <w:ind w:left="851" w:hanging="426"/>
      </w:pPr>
      <w:rPr>
        <w:rFonts w:hint="eastAsia" w:ascii="宋体" w:hAnsi="Times New Roman" w:eastAsia="宋体"/>
        <w:sz w:val="21"/>
      </w:rPr>
    </w:lvl>
    <w:lvl w:ilvl="1" w:tentative="0">
      <w:start w:val="1"/>
      <w:numFmt w:val="decimal"/>
      <w:pStyle w:val="44"/>
      <w:lvlText w:val="%2)"/>
      <w:lvlJc w:val="left"/>
      <w:pPr>
        <w:tabs>
          <w:tab w:val="left" w:pos="1276"/>
        </w:tabs>
        <w:ind w:left="1276" w:hanging="425"/>
      </w:pPr>
      <w:rPr>
        <w:rFonts w:hint="eastAsia" w:ascii="宋体" w:hAnsi="Times New Roman" w:eastAsia="宋体"/>
        <w:sz w:val="21"/>
      </w:rPr>
    </w:lvl>
    <w:lvl w:ilvl="2" w:tentative="0">
      <w:start w:val="1"/>
      <w:numFmt w:val="decimal"/>
      <w:pStyle w:val="4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2">
    <w:nsid w:val="45EB19C8"/>
    <w:multiLevelType w:val="multilevel"/>
    <w:tmpl w:val="45EB19C8"/>
    <w:lvl w:ilvl="0" w:tentative="0">
      <w:start w:val="1"/>
      <w:numFmt w:val="japaneseCounting"/>
      <w:lvlText w:val="（%1）"/>
      <w:lvlJc w:val="left"/>
      <w:pPr>
        <w:ind w:left="1612" w:hanging="972"/>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2"/>
      <w:suff w:val="nothing"/>
      <w:lvlText w:val="%1%2.%3.%4　"/>
      <w:lvlJc w:val="left"/>
      <w:pPr>
        <w:ind w:left="1560" w:firstLine="0"/>
      </w:pPr>
      <w:rPr>
        <w:rFonts w:hint="eastAsia" w:ascii="黑体" w:eastAsia="黑体"/>
        <w:b w:val="0"/>
        <w:i w:val="0"/>
        <w:sz w:val="21"/>
      </w:rPr>
    </w:lvl>
    <w:lvl w:ilvl="4" w:tentative="0">
      <w:start w:val="1"/>
      <w:numFmt w:val="decimal"/>
      <w:suff w:val="nothing"/>
      <w:lvlText w:val="%1%2.%3.%4.%5　"/>
      <w:lvlJc w:val="left"/>
      <w:pPr>
        <w:ind w:left="567"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AzZTc1NWYxOGI5ZDRmMTNiNThiN2EyOGEwZjcifQ=="/>
  </w:docVars>
  <w:rsids>
    <w:rsidRoot w:val="00B42FF3"/>
    <w:rsid w:val="00000EB4"/>
    <w:rsid w:val="000062B7"/>
    <w:rsid w:val="000064CD"/>
    <w:rsid w:val="00007799"/>
    <w:rsid w:val="0001305C"/>
    <w:rsid w:val="00013245"/>
    <w:rsid w:val="00023714"/>
    <w:rsid w:val="000303C1"/>
    <w:rsid w:val="00033A2F"/>
    <w:rsid w:val="00035165"/>
    <w:rsid w:val="00037F0B"/>
    <w:rsid w:val="000420D8"/>
    <w:rsid w:val="00051069"/>
    <w:rsid w:val="00070CC2"/>
    <w:rsid w:val="000721AA"/>
    <w:rsid w:val="00073125"/>
    <w:rsid w:val="00082316"/>
    <w:rsid w:val="00086D00"/>
    <w:rsid w:val="000955D5"/>
    <w:rsid w:val="000A04D3"/>
    <w:rsid w:val="000A17AA"/>
    <w:rsid w:val="000A3E00"/>
    <w:rsid w:val="000A54AC"/>
    <w:rsid w:val="000B0B6B"/>
    <w:rsid w:val="000B28B7"/>
    <w:rsid w:val="000B727B"/>
    <w:rsid w:val="000C42A9"/>
    <w:rsid w:val="000C549E"/>
    <w:rsid w:val="000D1FE4"/>
    <w:rsid w:val="000E3FC3"/>
    <w:rsid w:val="000E4AC7"/>
    <w:rsid w:val="000E59EF"/>
    <w:rsid w:val="000F00C1"/>
    <w:rsid w:val="000F24C2"/>
    <w:rsid w:val="000F4788"/>
    <w:rsid w:val="000F607B"/>
    <w:rsid w:val="000F7C3B"/>
    <w:rsid w:val="00103BC2"/>
    <w:rsid w:val="00106491"/>
    <w:rsid w:val="00113A6B"/>
    <w:rsid w:val="00114E7E"/>
    <w:rsid w:val="00115407"/>
    <w:rsid w:val="001237A7"/>
    <w:rsid w:val="0012459C"/>
    <w:rsid w:val="0012526B"/>
    <w:rsid w:val="00130516"/>
    <w:rsid w:val="00136F8A"/>
    <w:rsid w:val="001403CC"/>
    <w:rsid w:val="001428EF"/>
    <w:rsid w:val="00155EE7"/>
    <w:rsid w:val="00160686"/>
    <w:rsid w:val="00164D98"/>
    <w:rsid w:val="0017124B"/>
    <w:rsid w:val="00172718"/>
    <w:rsid w:val="001851E5"/>
    <w:rsid w:val="0019030F"/>
    <w:rsid w:val="001964CE"/>
    <w:rsid w:val="001A0B8C"/>
    <w:rsid w:val="001A155E"/>
    <w:rsid w:val="001A436A"/>
    <w:rsid w:val="001B3B4C"/>
    <w:rsid w:val="001B6579"/>
    <w:rsid w:val="001B6FDA"/>
    <w:rsid w:val="001B75BF"/>
    <w:rsid w:val="001C090B"/>
    <w:rsid w:val="001C43FD"/>
    <w:rsid w:val="001D0664"/>
    <w:rsid w:val="001D0BDC"/>
    <w:rsid w:val="001D708A"/>
    <w:rsid w:val="001D73BE"/>
    <w:rsid w:val="001E2541"/>
    <w:rsid w:val="001E25E1"/>
    <w:rsid w:val="001E50E0"/>
    <w:rsid w:val="00200ED7"/>
    <w:rsid w:val="00201D34"/>
    <w:rsid w:val="002029E8"/>
    <w:rsid w:val="0020362F"/>
    <w:rsid w:val="002136A7"/>
    <w:rsid w:val="0021593F"/>
    <w:rsid w:val="00220F71"/>
    <w:rsid w:val="002225AE"/>
    <w:rsid w:val="00222BA4"/>
    <w:rsid w:val="0022367F"/>
    <w:rsid w:val="00237FE1"/>
    <w:rsid w:val="002407A1"/>
    <w:rsid w:val="00240A3C"/>
    <w:rsid w:val="00240C58"/>
    <w:rsid w:val="002410F1"/>
    <w:rsid w:val="00244F03"/>
    <w:rsid w:val="002478CC"/>
    <w:rsid w:val="002605BC"/>
    <w:rsid w:val="0026165D"/>
    <w:rsid w:val="002621C4"/>
    <w:rsid w:val="00263396"/>
    <w:rsid w:val="002638FA"/>
    <w:rsid w:val="0026483E"/>
    <w:rsid w:val="00273DD4"/>
    <w:rsid w:val="00274DA9"/>
    <w:rsid w:val="00276387"/>
    <w:rsid w:val="002844DC"/>
    <w:rsid w:val="00284C0A"/>
    <w:rsid w:val="0028536F"/>
    <w:rsid w:val="00286B59"/>
    <w:rsid w:val="002A03F4"/>
    <w:rsid w:val="002A3ACE"/>
    <w:rsid w:val="002A7E10"/>
    <w:rsid w:val="002B4E19"/>
    <w:rsid w:val="002B7AE0"/>
    <w:rsid w:val="002C0465"/>
    <w:rsid w:val="002C0E9E"/>
    <w:rsid w:val="002C325E"/>
    <w:rsid w:val="002D02D6"/>
    <w:rsid w:val="002E3D34"/>
    <w:rsid w:val="002F240B"/>
    <w:rsid w:val="00304590"/>
    <w:rsid w:val="00311542"/>
    <w:rsid w:val="00311DA3"/>
    <w:rsid w:val="00315AD7"/>
    <w:rsid w:val="00320B4E"/>
    <w:rsid w:val="00326112"/>
    <w:rsid w:val="00327B36"/>
    <w:rsid w:val="00330AC5"/>
    <w:rsid w:val="00332A17"/>
    <w:rsid w:val="00336267"/>
    <w:rsid w:val="00337C46"/>
    <w:rsid w:val="003467D5"/>
    <w:rsid w:val="003648C8"/>
    <w:rsid w:val="003724D2"/>
    <w:rsid w:val="0037613E"/>
    <w:rsid w:val="00380232"/>
    <w:rsid w:val="00381E62"/>
    <w:rsid w:val="00385EF1"/>
    <w:rsid w:val="0039369D"/>
    <w:rsid w:val="003A09B7"/>
    <w:rsid w:val="003A09C4"/>
    <w:rsid w:val="003A401C"/>
    <w:rsid w:val="003A4A0A"/>
    <w:rsid w:val="003A5F3A"/>
    <w:rsid w:val="003B0F8B"/>
    <w:rsid w:val="003B11F2"/>
    <w:rsid w:val="003B72F8"/>
    <w:rsid w:val="003B7E74"/>
    <w:rsid w:val="003C182E"/>
    <w:rsid w:val="003C4131"/>
    <w:rsid w:val="003C5BEA"/>
    <w:rsid w:val="003D5B47"/>
    <w:rsid w:val="003D6078"/>
    <w:rsid w:val="003D7419"/>
    <w:rsid w:val="003E0763"/>
    <w:rsid w:val="003E4667"/>
    <w:rsid w:val="003E774D"/>
    <w:rsid w:val="003F1397"/>
    <w:rsid w:val="003F70F6"/>
    <w:rsid w:val="004058FC"/>
    <w:rsid w:val="00411C90"/>
    <w:rsid w:val="00412EBC"/>
    <w:rsid w:val="00413C8B"/>
    <w:rsid w:val="00415C9D"/>
    <w:rsid w:val="004170CD"/>
    <w:rsid w:val="00417C53"/>
    <w:rsid w:val="00417F45"/>
    <w:rsid w:val="00422953"/>
    <w:rsid w:val="00425F7C"/>
    <w:rsid w:val="00427DD6"/>
    <w:rsid w:val="004347A1"/>
    <w:rsid w:val="004464BB"/>
    <w:rsid w:val="00454A26"/>
    <w:rsid w:val="00455609"/>
    <w:rsid w:val="00457980"/>
    <w:rsid w:val="0046220E"/>
    <w:rsid w:val="00462231"/>
    <w:rsid w:val="004756A8"/>
    <w:rsid w:val="00481215"/>
    <w:rsid w:val="00484FC8"/>
    <w:rsid w:val="00485976"/>
    <w:rsid w:val="00491B10"/>
    <w:rsid w:val="00497186"/>
    <w:rsid w:val="004A268A"/>
    <w:rsid w:val="004A6271"/>
    <w:rsid w:val="004A7EF5"/>
    <w:rsid w:val="004C1769"/>
    <w:rsid w:val="004C5ED5"/>
    <w:rsid w:val="004C69C7"/>
    <w:rsid w:val="004C6F7A"/>
    <w:rsid w:val="004C77E5"/>
    <w:rsid w:val="004D0D00"/>
    <w:rsid w:val="004D4081"/>
    <w:rsid w:val="004E080C"/>
    <w:rsid w:val="004E0ED0"/>
    <w:rsid w:val="004E7883"/>
    <w:rsid w:val="004F04B4"/>
    <w:rsid w:val="004F6913"/>
    <w:rsid w:val="005004AF"/>
    <w:rsid w:val="00504F95"/>
    <w:rsid w:val="00510EEF"/>
    <w:rsid w:val="0051446A"/>
    <w:rsid w:val="00515D49"/>
    <w:rsid w:val="0051771F"/>
    <w:rsid w:val="0052192F"/>
    <w:rsid w:val="005244E8"/>
    <w:rsid w:val="0052452A"/>
    <w:rsid w:val="00525BB7"/>
    <w:rsid w:val="00534CF7"/>
    <w:rsid w:val="00535D6D"/>
    <w:rsid w:val="00540967"/>
    <w:rsid w:val="00541FEA"/>
    <w:rsid w:val="00543F21"/>
    <w:rsid w:val="0054512F"/>
    <w:rsid w:val="005506EF"/>
    <w:rsid w:val="00557888"/>
    <w:rsid w:val="00557D74"/>
    <w:rsid w:val="0056096C"/>
    <w:rsid w:val="005639F9"/>
    <w:rsid w:val="005678F0"/>
    <w:rsid w:val="005720D5"/>
    <w:rsid w:val="00577361"/>
    <w:rsid w:val="00581412"/>
    <w:rsid w:val="005816A8"/>
    <w:rsid w:val="005918E4"/>
    <w:rsid w:val="00591E0B"/>
    <w:rsid w:val="005A405D"/>
    <w:rsid w:val="005A7578"/>
    <w:rsid w:val="005B2355"/>
    <w:rsid w:val="005B6FE8"/>
    <w:rsid w:val="005C4080"/>
    <w:rsid w:val="005C61A9"/>
    <w:rsid w:val="005D15EE"/>
    <w:rsid w:val="005D1D83"/>
    <w:rsid w:val="005D2574"/>
    <w:rsid w:val="005D6327"/>
    <w:rsid w:val="005E24C0"/>
    <w:rsid w:val="005E4D64"/>
    <w:rsid w:val="005F380E"/>
    <w:rsid w:val="00601903"/>
    <w:rsid w:val="00612C9C"/>
    <w:rsid w:val="00613BC8"/>
    <w:rsid w:val="006140D6"/>
    <w:rsid w:val="00620CFE"/>
    <w:rsid w:val="00620F1E"/>
    <w:rsid w:val="00625377"/>
    <w:rsid w:val="00625B35"/>
    <w:rsid w:val="00626D46"/>
    <w:rsid w:val="006276A4"/>
    <w:rsid w:val="00633304"/>
    <w:rsid w:val="00634778"/>
    <w:rsid w:val="0064284E"/>
    <w:rsid w:val="00642850"/>
    <w:rsid w:val="0064715B"/>
    <w:rsid w:val="00653DBD"/>
    <w:rsid w:val="00653E54"/>
    <w:rsid w:val="00654E73"/>
    <w:rsid w:val="00656596"/>
    <w:rsid w:val="0065670B"/>
    <w:rsid w:val="006573F0"/>
    <w:rsid w:val="00662EA7"/>
    <w:rsid w:val="006631A3"/>
    <w:rsid w:val="0066503E"/>
    <w:rsid w:val="00665243"/>
    <w:rsid w:val="00665290"/>
    <w:rsid w:val="0066533B"/>
    <w:rsid w:val="006679A3"/>
    <w:rsid w:val="00670EDF"/>
    <w:rsid w:val="006719B3"/>
    <w:rsid w:val="00673325"/>
    <w:rsid w:val="00673906"/>
    <w:rsid w:val="00677609"/>
    <w:rsid w:val="006A4C29"/>
    <w:rsid w:val="006C03D2"/>
    <w:rsid w:val="006C1A52"/>
    <w:rsid w:val="006C47A6"/>
    <w:rsid w:val="006D0256"/>
    <w:rsid w:val="006D2F9C"/>
    <w:rsid w:val="006E08CA"/>
    <w:rsid w:val="006E7DA7"/>
    <w:rsid w:val="006F59CC"/>
    <w:rsid w:val="006F723D"/>
    <w:rsid w:val="00704941"/>
    <w:rsid w:val="00710308"/>
    <w:rsid w:val="007127B0"/>
    <w:rsid w:val="00713AA0"/>
    <w:rsid w:val="0072152F"/>
    <w:rsid w:val="007218AF"/>
    <w:rsid w:val="00721ABA"/>
    <w:rsid w:val="00722AC4"/>
    <w:rsid w:val="00724AD2"/>
    <w:rsid w:val="00725FBB"/>
    <w:rsid w:val="007415E1"/>
    <w:rsid w:val="007443CE"/>
    <w:rsid w:val="0075381F"/>
    <w:rsid w:val="00757BFC"/>
    <w:rsid w:val="0076329F"/>
    <w:rsid w:val="00763574"/>
    <w:rsid w:val="00764458"/>
    <w:rsid w:val="00775ACF"/>
    <w:rsid w:val="00776041"/>
    <w:rsid w:val="0078089E"/>
    <w:rsid w:val="00782442"/>
    <w:rsid w:val="00787675"/>
    <w:rsid w:val="007A2566"/>
    <w:rsid w:val="007A2712"/>
    <w:rsid w:val="007A29EC"/>
    <w:rsid w:val="007A36BA"/>
    <w:rsid w:val="007A6464"/>
    <w:rsid w:val="007B01E3"/>
    <w:rsid w:val="007B03AA"/>
    <w:rsid w:val="007B0B01"/>
    <w:rsid w:val="007B679A"/>
    <w:rsid w:val="007C1E47"/>
    <w:rsid w:val="007C44AE"/>
    <w:rsid w:val="007C5B7F"/>
    <w:rsid w:val="007C75C6"/>
    <w:rsid w:val="007C7657"/>
    <w:rsid w:val="007D18AF"/>
    <w:rsid w:val="007D1A42"/>
    <w:rsid w:val="007D2D63"/>
    <w:rsid w:val="007D3BDD"/>
    <w:rsid w:val="007D43B6"/>
    <w:rsid w:val="007D5650"/>
    <w:rsid w:val="007D5AF7"/>
    <w:rsid w:val="007E015C"/>
    <w:rsid w:val="007E05F8"/>
    <w:rsid w:val="007E73C1"/>
    <w:rsid w:val="007F26F7"/>
    <w:rsid w:val="007F6433"/>
    <w:rsid w:val="007F6669"/>
    <w:rsid w:val="00813DB7"/>
    <w:rsid w:val="008172F4"/>
    <w:rsid w:val="008178EF"/>
    <w:rsid w:val="00831540"/>
    <w:rsid w:val="00832046"/>
    <w:rsid w:val="008426E8"/>
    <w:rsid w:val="0084302E"/>
    <w:rsid w:val="00843F0A"/>
    <w:rsid w:val="00846A2A"/>
    <w:rsid w:val="008471CB"/>
    <w:rsid w:val="008529C5"/>
    <w:rsid w:val="00852AFD"/>
    <w:rsid w:val="00853CD4"/>
    <w:rsid w:val="00857C5A"/>
    <w:rsid w:val="008601F4"/>
    <w:rsid w:val="00861A3C"/>
    <w:rsid w:val="0086615B"/>
    <w:rsid w:val="00867793"/>
    <w:rsid w:val="008749A0"/>
    <w:rsid w:val="00874C8D"/>
    <w:rsid w:val="00877ED7"/>
    <w:rsid w:val="00877F03"/>
    <w:rsid w:val="00881131"/>
    <w:rsid w:val="00890A15"/>
    <w:rsid w:val="00892AA8"/>
    <w:rsid w:val="008A0C96"/>
    <w:rsid w:val="008B7F3E"/>
    <w:rsid w:val="008C0278"/>
    <w:rsid w:val="008C136A"/>
    <w:rsid w:val="008C168C"/>
    <w:rsid w:val="008C67E0"/>
    <w:rsid w:val="008D0502"/>
    <w:rsid w:val="008D0DB1"/>
    <w:rsid w:val="008D5687"/>
    <w:rsid w:val="008D696C"/>
    <w:rsid w:val="008E4784"/>
    <w:rsid w:val="008E624B"/>
    <w:rsid w:val="008E6F21"/>
    <w:rsid w:val="008E7DC5"/>
    <w:rsid w:val="008F420A"/>
    <w:rsid w:val="00904A2A"/>
    <w:rsid w:val="009149F6"/>
    <w:rsid w:val="00915ECF"/>
    <w:rsid w:val="009245E4"/>
    <w:rsid w:val="00932174"/>
    <w:rsid w:val="00934C3F"/>
    <w:rsid w:val="00935102"/>
    <w:rsid w:val="0093695A"/>
    <w:rsid w:val="00937CC6"/>
    <w:rsid w:val="00940740"/>
    <w:rsid w:val="0094671B"/>
    <w:rsid w:val="00950109"/>
    <w:rsid w:val="00950758"/>
    <w:rsid w:val="00954780"/>
    <w:rsid w:val="00971B3B"/>
    <w:rsid w:val="00980B94"/>
    <w:rsid w:val="00981BF3"/>
    <w:rsid w:val="009827C1"/>
    <w:rsid w:val="009930BB"/>
    <w:rsid w:val="00996F85"/>
    <w:rsid w:val="00997E40"/>
    <w:rsid w:val="009A02F8"/>
    <w:rsid w:val="009A1547"/>
    <w:rsid w:val="009C07DC"/>
    <w:rsid w:val="009C42E5"/>
    <w:rsid w:val="009C49E6"/>
    <w:rsid w:val="009D09D6"/>
    <w:rsid w:val="009D0D89"/>
    <w:rsid w:val="009D1BD0"/>
    <w:rsid w:val="009D7C17"/>
    <w:rsid w:val="009E0473"/>
    <w:rsid w:val="009E1186"/>
    <w:rsid w:val="009E3AB1"/>
    <w:rsid w:val="009E54FE"/>
    <w:rsid w:val="009F7D60"/>
    <w:rsid w:val="00A010C6"/>
    <w:rsid w:val="00A01A08"/>
    <w:rsid w:val="00A039A4"/>
    <w:rsid w:val="00A06024"/>
    <w:rsid w:val="00A062ED"/>
    <w:rsid w:val="00A10A05"/>
    <w:rsid w:val="00A10CD5"/>
    <w:rsid w:val="00A14E27"/>
    <w:rsid w:val="00A15C1F"/>
    <w:rsid w:val="00A15EDD"/>
    <w:rsid w:val="00A15FCC"/>
    <w:rsid w:val="00A30428"/>
    <w:rsid w:val="00A32131"/>
    <w:rsid w:val="00A3232B"/>
    <w:rsid w:val="00A32992"/>
    <w:rsid w:val="00A34BE9"/>
    <w:rsid w:val="00A364A6"/>
    <w:rsid w:val="00A40F56"/>
    <w:rsid w:val="00A4251F"/>
    <w:rsid w:val="00A43A95"/>
    <w:rsid w:val="00A43FD4"/>
    <w:rsid w:val="00A458DF"/>
    <w:rsid w:val="00A4734D"/>
    <w:rsid w:val="00A527C0"/>
    <w:rsid w:val="00A63B30"/>
    <w:rsid w:val="00A6606A"/>
    <w:rsid w:val="00A70194"/>
    <w:rsid w:val="00A70C25"/>
    <w:rsid w:val="00A74C6C"/>
    <w:rsid w:val="00A75BFD"/>
    <w:rsid w:val="00A81083"/>
    <w:rsid w:val="00A824EF"/>
    <w:rsid w:val="00A91E0C"/>
    <w:rsid w:val="00A9500E"/>
    <w:rsid w:val="00A97723"/>
    <w:rsid w:val="00AA1CE0"/>
    <w:rsid w:val="00AA58FE"/>
    <w:rsid w:val="00AA7474"/>
    <w:rsid w:val="00AB0230"/>
    <w:rsid w:val="00AB216A"/>
    <w:rsid w:val="00AB5576"/>
    <w:rsid w:val="00AB63D6"/>
    <w:rsid w:val="00AC13CB"/>
    <w:rsid w:val="00AC14DC"/>
    <w:rsid w:val="00AC66B7"/>
    <w:rsid w:val="00AC70DB"/>
    <w:rsid w:val="00AD0C9D"/>
    <w:rsid w:val="00AD1341"/>
    <w:rsid w:val="00AD50B6"/>
    <w:rsid w:val="00AE2C28"/>
    <w:rsid w:val="00AE61D2"/>
    <w:rsid w:val="00AF4EAF"/>
    <w:rsid w:val="00B072CF"/>
    <w:rsid w:val="00B07585"/>
    <w:rsid w:val="00B102B1"/>
    <w:rsid w:val="00B11BC5"/>
    <w:rsid w:val="00B12D9D"/>
    <w:rsid w:val="00B168BF"/>
    <w:rsid w:val="00B21B08"/>
    <w:rsid w:val="00B37792"/>
    <w:rsid w:val="00B424E6"/>
    <w:rsid w:val="00B42FF3"/>
    <w:rsid w:val="00B43619"/>
    <w:rsid w:val="00B4385F"/>
    <w:rsid w:val="00B507FE"/>
    <w:rsid w:val="00B51FBA"/>
    <w:rsid w:val="00B553DD"/>
    <w:rsid w:val="00B653DF"/>
    <w:rsid w:val="00B871B8"/>
    <w:rsid w:val="00B95ADC"/>
    <w:rsid w:val="00B95DCE"/>
    <w:rsid w:val="00B97E2C"/>
    <w:rsid w:val="00BA0F5C"/>
    <w:rsid w:val="00BA5CFB"/>
    <w:rsid w:val="00BC20D7"/>
    <w:rsid w:val="00BC4131"/>
    <w:rsid w:val="00BC4BE6"/>
    <w:rsid w:val="00BC77D0"/>
    <w:rsid w:val="00BD294A"/>
    <w:rsid w:val="00BD3C92"/>
    <w:rsid w:val="00BD5A86"/>
    <w:rsid w:val="00BD6765"/>
    <w:rsid w:val="00BD6DEF"/>
    <w:rsid w:val="00BD76C5"/>
    <w:rsid w:val="00BE1629"/>
    <w:rsid w:val="00BE1B83"/>
    <w:rsid w:val="00BE3A5C"/>
    <w:rsid w:val="00BE56F7"/>
    <w:rsid w:val="00BE67FE"/>
    <w:rsid w:val="00BF4D34"/>
    <w:rsid w:val="00BF5835"/>
    <w:rsid w:val="00C070CB"/>
    <w:rsid w:val="00C073EF"/>
    <w:rsid w:val="00C17627"/>
    <w:rsid w:val="00C17878"/>
    <w:rsid w:val="00C258DE"/>
    <w:rsid w:val="00C305F7"/>
    <w:rsid w:val="00C3069D"/>
    <w:rsid w:val="00C30D08"/>
    <w:rsid w:val="00C360C1"/>
    <w:rsid w:val="00C43AB6"/>
    <w:rsid w:val="00C46E2F"/>
    <w:rsid w:val="00C500BA"/>
    <w:rsid w:val="00C50112"/>
    <w:rsid w:val="00C50387"/>
    <w:rsid w:val="00C5306B"/>
    <w:rsid w:val="00C53633"/>
    <w:rsid w:val="00C54F79"/>
    <w:rsid w:val="00C60CDA"/>
    <w:rsid w:val="00C62187"/>
    <w:rsid w:val="00C65432"/>
    <w:rsid w:val="00C669F2"/>
    <w:rsid w:val="00C67BB7"/>
    <w:rsid w:val="00C73F78"/>
    <w:rsid w:val="00C82424"/>
    <w:rsid w:val="00C8301C"/>
    <w:rsid w:val="00C91960"/>
    <w:rsid w:val="00C96A70"/>
    <w:rsid w:val="00CA0AA6"/>
    <w:rsid w:val="00CB2C9C"/>
    <w:rsid w:val="00CB6B73"/>
    <w:rsid w:val="00CC2985"/>
    <w:rsid w:val="00CD2464"/>
    <w:rsid w:val="00CD4DC8"/>
    <w:rsid w:val="00CD6351"/>
    <w:rsid w:val="00CE077B"/>
    <w:rsid w:val="00CE0EDC"/>
    <w:rsid w:val="00CE0FC2"/>
    <w:rsid w:val="00CE4D4A"/>
    <w:rsid w:val="00CE64BB"/>
    <w:rsid w:val="00CF4F87"/>
    <w:rsid w:val="00CF5809"/>
    <w:rsid w:val="00D02F23"/>
    <w:rsid w:val="00D11D6B"/>
    <w:rsid w:val="00D15455"/>
    <w:rsid w:val="00D24803"/>
    <w:rsid w:val="00D31B8E"/>
    <w:rsid w:val="00D328D2"/>
    <w:rsid w:val="00D42FE6"/>
    <w:rsid w:val="00D528D8"/>
    <w:rsid w:val="00D55C45"/>
    <w:rsid w:val="00D70A18"/>
    <w:rsid w:val="00D76048"/>
    <w:rsid w:val="00D800A7"/>
    <w:rsid w:val="00D82D25"/>
    <w:rsid w:val="00D87D52"/>
    <w:rsid w:val="00D91466"/>
    <w:rsid w:val="00D92B66"/>
    <w:rsid w:val="00D94A28"/>
    <w:rsid w:val="00D97F8C"/>
    <w:rsid w:val="00DA2CFB"/>
    <w:rsid w:val="00DA3461"/>
    <w:rsid w:val="00DA4D67"/>
    <w:rsid w:val="00DA6868"/>
    <w:rsid w:val="00DB27E2"/>
    <w:rsid w:val="00DB342F"/>
    <w:rsid w:val="00DC3B20"/>
    <w:rsid w:val="00DC5827"/>
    <w:rsid w:val="00DC6FBF"/>
    <w:rsid w:val="00DE1CDD"/>
    <w:rsid w:val="00DF0E84"/>
    <w:rsid w:val="00DF4485"/>
    <w:rsid w:val="00E00017"/>
    <w:rsid w:val="00E01957"/>
    <w:rsid w:val="00E04D9A"/>
    <w:rsid w:val="00E122DD"/>
    <w:rsid w:val="00E15E2A"/>
    <w:rsid w:val="00E1756F"/>
    <w:rsid w:val="00E176D5"/>
    <w:rsid w:val="00E20CC3"/>
    <w:rsid w:val="00E210A1"/>
    <w:rsid w:val="00E26F00"/>
    <w:rsid w:val="00E27F02"/>
    <w:rsid w:val="00E31ECB"/>
    <w:rsid w:val="00E36AB3"/>
    <w:rsid w:val="00E477DE"/>
    <w:rsid w:val="00E564DB"/>
    <w:rsid w:val="00E57086"/>
    <w:rsid w:val="00E6167A"/>
    <w:rsid w:val="00E63DF5"/>
    <w:rsid w:val="00E64EE5"/>
    <w:rsid w:val="00E67CB9"/>
    <w:rsid w:val="00E7049F"/>
    <w:rsid w:val="00E77A90"/>
    <w:rsid w:val="00E92966"/>
    <w:rsid w:val="00E9728A"/>
    <w:rsid w:val="00EA4F07"/>
    <w:rsid w:val="00EA7EEC"/>
    <w:rsid w:val="00EB2898"/>
    <w:rsid w:val="00EB54FC"/>
    <w:rsid w:val="00EC742B"/>
    <w:rsid w:val="00ED025A"/>
    <w:rsid w:val="00ED0699"/>
    <w:rsid w:val="00ED3ED3"/>
    <w:rsid w:val="00EE0345"/>
    <w:rsid w:val="00F04BBF"/>
    <w:rsid w:val="00F37F43"/>
    <w:rsid w:val="00F44C7A"/>
    <w:rsid w:val="00F51943"/>
    <w:rsid w:val="00F54091"/>
    <w:rsid w:val="00F56044"/>
    <w:rsid w:val="00F6103A"/>
    <w:rsid w:val="00F62A42"/>
    <w:rsid w:val="00F63A1F"/>
    <w:rsid w:val="00F813DD"/>
    <w:rsid w:val="00F83236"/>
    <w:rsid w:val="00F95F09"/>
    <w:rsid w:val="00FA0AD3"/>
    <w:rsid w:val="00FA1759"/>
    <w:rsid w:val="00FA2468"/>
    <w:rsid w:val="00FA30A2"/>
    <w:rsid w:val="00FA41AC"/>
    <w:rsid w:val="00FA574E"/>
    <w:rsid w:val="00FB04E9"/>
    <w:rsid w:val="00FB6901"/>
    <w:rsid w:val="00FC40A9"/>
    <w:rsid w:val="00FD4545"/>
    <w:rsid w:val="00FE0041"/>
    <w:rsid w:val="00FE747C"/>
    <w:rsid w:val="00FF2E6F"/>
    <w:rsid w:val="012A6BDB"/>
    <w:rsid w:val="01873192"/>
    <w:rsid w:val="020F7B7E"/>
    <w:rsid w:val="025008C3"/>
    <w:rsid w:val="02FE031F"/>
    <w:rsid w:val="030B2A3C"/>
    <w:rsid w:val="04335DA6"/>
    <w:rsid w:val="04846602"/>
    <w:rsid w:val="056F2E0E"/>
    <w:rsid w:val="05D47115"/>
    <w:rsid w:val="05E24721"/>
    <w:rsid w:val="061439B5"/>
    <w:rsid w:val="06B64A6C"/>
    <w:rsid w:val="076F5347"/>
    <w:rsid w:val="07C66F31"/>
    <w:rsid w:val="080C26D6"/>
    <w:rsid w:val="08122176"/>
    <w:rsid w:val="08253C58"/>
    <w:rsid w:val="083B347B"/>
    <w:rsid w:val="08955281"/>
    <w:rsid w:val="093525C0"/>
    <w:rsid w:val="0A222B45"/>
    <w:rsid w:val="0A786C09"/>
    <w:rsid w:val="0BE34556"/>
    <w:rsid w:val="0BE61950"/>
    <w:rsid w:val="0C4072B2"/>
    <w:rsid w:val="0CA5180B"/>
    <w:rsid w:val="0CB67574"/>
    <w:rsid w:val="0CC55A09"/>
    <w:rsid w:val="0D4032E2"/>
    <w:rsid w:val="0D9F625A"/>
    <w:rsid w:val="0DB25F8E"/>
    <w:rsid w:val="0E2449B2"/>
    <w:rsid w:val="0F072309"/>
    <w:rsid w:val="0F31382A"/>
    <w:rsid w:val="0F4A0448"/>
    <w:rsid w:val="0FAC4915"/>
    <w:rsid w:val="10883DFE"/>
    <w:rsid w:val="10EA3C90"/>
    <w:rsid w:val="111B6540"/>
    <w:rsid w:val="111F7DDE"/>
    <w:rsid w:val="112453F4"/>
    <w:rsid w:val="115B4B8E"/>
    <w:rsid w:val="12011292"/>
    <w:rsid w:val="137B5074"/>
    <w:rsid w:val="13C06F2A"/>
    <w:rsid w:val="144B2C98"/>
    <w:rsid w:val="17550823"/>
    <w:rsid w:val="178564C1"/>
    <w:rsid w:val="19371A3D"/>
    <w:rsid w:val="19632832"/>
    <w:rsid w:val="1ABC044C"/>
    <w:rsid w:val="1AEE0821"/>
    <w:rsid w:val="1B4D5548"/>
    <w:rsid w:val="1B9273FE"/>
    <w:rsid w:val="1C512E16"/>
    <w:rsid w:val="1CF739BD"/>
    <w:rsid w:val="1D2E2504"/>
    <w:rsid w:val="1DB00010"/>
    <w:rsid w:val="1F285233"/>
    <w:rsid w:val="1F751511"/>
    <w:rsid w:val="1FB02549"/>
    <w:rsid w:val="20B87907"/>
    <w:rsid w:val="21417338"/>
    <w:rsid w:val="216E5861"/>
    <w:rsid w:val="221548E5"/>
    <w:rsid w:val="22C00CF5"/>
    <w:rsid w:val="22E36792"/>
    <w:rsid w:val="231352C9"/>
    <w:rsid w:val="23470252"/>
    <w:rsid w:val="241D1E1D"/>
    <w:rsid w:val="242B6C86"/>
    <w:rsid w:val="245C4A4D"/>
    <w:rsid w:val="24C22B02"/>
    <w:rsid w:val="25237319"/>
    <w:rsid w:val="2641214D"/>
    <w:rsid w:val="266B71CA"/>
    <w:rsid w:val="268F2EB8"/>
    <w:rsid w:val="285A5748"/>
    <w:rsid w:val="28A40771"/>
    <w:rsid w:val="297445E7"/>
    <w:rsid w:val="298E38FB"/>
    <w:rsid w:val="29B33362"/>
    <w:rsid w:val="2BB05DAB"/>
    <w:rsid w:val="2BBE7D9C"/>
    <w:rsid w:val="2BC2163A"/>
    <w:rsid w:val="2BC82EC1"/>
    <w:rsid w:val="2C9254B0"/>
    <w:rsid w:val="2CA945A8"/>
    <w:rsid w:val="2E422F06"/>
    <w:rsid w:val="2F176141"/>
    <w:rsid w:val="2F324D29"/>
    <w:rsid w:val="2F880DEC"/>
    <w:rsid w:val="2FC8743B"/>
    <w:rsid w:val="2FE57FED"/>
    <w:rsid w:val="2FE73D65"/>
    <w:rsid w:val="304302CF"/>
    <w:rsid w:val="30C23E8A"/>
    <w:rsid w:val="31C61758"/>
    <w:rsid w:val="32195D2C"/>
    <w:rsid w:val="32BD6FFF"/>
    <w:rsid w:val="32E77BD8"/>
    <w:rsid w:val="334E7C57"/>
    <w:rsid w:val="3361798A"/>
    <w:rsid w:val="33925D96"/>
    <w:rsid w:val="341D5FA7"/>
    <w:rsid w:val="34A445DE"/>
    <w:rsid w:val="34CC177B"/>
    <w:rsid w:val="35C83CF1"/>
    <w:rsid w:val="35CF507F"/>
    <w:rsid w:val="36CC5A63"/>
    <w:rsid w:val="370E607B"/>
    <w:rsid w:val="37A442EA"/>
    <w:rsid w:val="3801798E"/>
    <w:rsid w:val="382A0C93"/>
    <w:rsid w:val="38B7004D"/>
    <w:rsid w:val="38F1355F"/>
    <w:rsid w:val="391B05DB"/>
    <w:rsid w:val="393B0C7E"/>
    <w:rsid w:val="3A1514CF"/>
    <w:rsid w:val="3A2B2AA0"/>
    <w:rsid w:val="3A451DB4"/>
    <w:rsid w:val="3A976388"/>
    <w:rsid w:val="3AC47676"/>
    <w:rsid w:val="3B385475"/>
    <w:rsid w:val="3BBD1E1E"/>
    <w:rsid w:val="3D0D2931"/>
    <w:rsid w:val="3D477BF1"/>
    <w:rsid w:val="3D632551"/>
    <w:rsid w:val="3DCE3E6E"/>
    <w:rsid w:val="40643508"/>
    <w:rsid w:val="4070745F"/>
    <w:rsid w:val="419B050B"/>
    <w:rsid w:val="429733C9"/>
    <w:rsid w:val="431C567C"/>
    <w:rsid w:val="447A4D50"/>
    <w:rsid w:val="448636F5"/>
    <w:rsid w:val="45763769"/>
    <w:rsid w:val="461940F5"/>
    <w:rsid w:val="463E3B5B"/>
    <w:rsid w:val="470D1EAB"/>
    <w:rsid w:val="476B0980"/>
    <w:rsid w:val="47721D0E"/>
    <w:rsid w:val="47AA14A8"/>
    <w:rsid w:val="47C3256A"/>
    <w:rsid w:val="492E7EB7"/>
    <w:rsid w:val="493E459E"/>
    <w:rsid w:val="494E2307"/>
    <w:rsid w:val="495B3AE6"/>
    <w:rsid w:val="49EB5DA8"/>
    <w:rsid w:val="4A0F5F3A"/>
    <w:rsid w:val="4A9B332A"/>
    <w:rsid w:val="4AA743C5"/>
    <w:rsid w:val="4C001FDF"/>
    <w:rsid w:val="4C29168E"/>
    <w:rsid w:val="4C885B30"/>
    <w:rsid w:val="4CF431C6"/>
    <w:rsid w:val="4CF44062"/>
    <w:rsid w:val="4D1F46E6"/>
    <w:rsid w:val="4DA20F70"/>
    <w:rsid w:val="4DDC6134"/>
    <w:rsid w:val="4E275F83"/>
    <w:rsid w:val="4E3C4E24"/>
    <w:rsid w:val="4ED11A10"/>
    <w:rsid w:val="4EDA0C81"/>
    <w:rsid w:val="4F7238FF"/>
    <w:rsid w:val="50BE7D72"/>
    <w:rsid w:val="50CB4079"/>
    <w:rsid w:val="50DA53F4"/>
    <w:rsid w:val="51CE2237"/>
    <w:rsid w:val="524E5126"/>
    <w:rsid w:val="52631FDA"/>
    <w:rsid w:val="53394028"/>
    <w:rsid w:val="536C61AC"/>
    <w:rsid w:val="54680721"/>
    <w:rsid w:val="54ED0C26"/>
    <w:rsid w:val="564725B8"/>
    <w:rsid w:val="568F468B"/>
    <w:rsid w:val="56FC33A3"/>
    <w:rsid w:val="572239E5"/>
    <w:rsid w:val="578F2469"/>
    <w:rsid w:val="57A23F4A"/>
    <w:rsid w:val="59CA59DA"/>
    <w:rsid w:val="5AAE0E58"/>
    <w:rsid w:val="5AD85ED5"/>
    <w:rsid w:val="5BBE50CA"/>
    <w:rsid w:val="5C4A4BB0"/>
    <w:rsid w:val="5CB32755"/>
    <w:rsid w:val="5CEE378D"/>
    <w:rsid w:val="5D041203"/>
    <w:rsid w:val="5D670BAB"/>
    <w:rsid w:val="5E1C257C"/>
    <w:rsid w:val="5E1D5719"/>
    <w:rsid w:val="5E9D546B"/>
    <w:rsid w:val="5EFF1B68"/>
    <w:rsid w:val="5F110A92"/>
    <w:rsid w:val="5F2C67EF"/>
    <w:rsid w:val="5F7A755A"/>
    <w:rsid w:val="5F990328"/>
    <w:rsid w:val="5FA10F8B"/>
    <w:rsid w:val="5FB23198"/>
    <w:rsid w:val="5FFE1F39"/>
    <w:rsid w:val="60082DB8"/>
    <w:rsid w:val="606F1089"/>
    <w:rsid w:val="607E307A"/>
    <w:rsid w:val="60806DF2"/>
    <w:rsid w:val="60F375C4"/>
    <w:rsid w:val="61201B0E"/>
    <w:rsid w:val="61A7531F"/>
    <w:rsid w:val="61ED04B8"/>
    <w:rsid w:val="621243C2"/>
    <w:rsid w:val="622F287E"/>
    <w:rsid w:val="62917095"/>
    <w:rsid w:val="62AC0373"/>
    <w:rsid w:val="631B72A6"/>
    <w:rsid w:val="63464323"/>
    <w:rsid w:val="65085608"/>
    <w:rsid w:val="652A37D1"/>
    <w:rsid w:val="65562818"/>
    <w:rsid w:val="663568D1"/>
    <w:rsid w:val="67546AF2"/>
    <w:rsid w:val="67580AC9"/>
    <w:rsid w:val="67753429"/>
    <w:rsid w:val="678B127F"/>
    <w:rsid w:val="67CB1EAB"/>
    <w:rsid w:val="6817628E"/>
    <w:rsid w:val="68A51AEC"/>
    <w:rsid w:val="68FB5BB0"/>
    <w:rsid w:val="69351E7F"/>
    <w:rsid w:val="69B813AB"/>
    <w:rsid w:val="6A2A6D77"/>
    <w:rsid w:val="6A3A6264"/>
    <w:rsid w:val="6A845731"/>
    <w:rsid w:val="6BDA7CFF"/>
    <w:rsid w:val="6C1D408F"/>
    <w:rsid w:val="6CB2651D"/>
    <w:rsid w:val="6D8F2D6B"/>
    <w:rsid w:val="6E1A0886"/>
    <w:rsid w:val="6E3B6A4F"/>
    <w:rsid w:val="6E843F52"/>
    <w:rsid w:val="709A7A5C"/>
    <w:rsid w:val="709F1517"/>
    <w:rsid w:val="71641E18"/>
    <w:rsid w:val="72FF44EF"/>
    <w:rsid w:val="73927111"/>
    <w:rsid w:val="74382DEA"/>
    <w:rsid w:val="74E4399C"/>
    <w:rsid w:val="7535057F"/>
    <w:rsid w:val="75436915"/>
    <w:rsid w:val="75581C94"/>
    <w:rsid w:val="755D0646"/>
    <w:rsid w:val="75D02172"/>
    <w:rsid w:val="762F0C47"/>
    <w:rsid w:val="76A258BD"/>
    <w:rsid w:val="76CC46E8"/>
    <w:rsid w:val="77F9775E"/>
    <w:rsid w:val="780B56E4"/>
    <w:rsid w:val="7831514A"/>
    <w:rsid w:val="78A23952"/>
    <w:rsid w:val="78F817C4"/>
    <w:rsid w:val="799C2A97"/>
    <w:rsid w:val="7C2A04AD"/>
    <w:rsid w:val="7C4E5B9F"/>
    <w:rsid w:val="7CE704CD"/>
    <w:rsid w:val="7CF6426C"/>
    <w:rsid w:val="7D5176F5"/>
    <w:rsid w:val="7E922736"/>
    <w:rsid w:val="7EB51F05"/>
    <w:rsid w:val="7ED44A81"/>
    <w:rsid w:val="7F016EF9"/>
    <w:rsid w:val="7F076C05"/>
    <w:rsid w:val="7F435763"/>
    <w:rsid w:val="7F45772D"/>
    <w:rsid w:val="7F710522"/>
    <w:rsid w:val="7F89761A"/>
    <w:rsid w:val="7FBF303C"/>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2">
    <w:name w:val="Default"/>
    <w:basedOn w:val="1"/>
    <w:qFormat/>
    <w:uiPriority w:val="99"/>
    <w:pPr>
      <w:autoSpaceDE w:val="0"/>
      <w:autoSpaceDN w:val="0"/>
    </w:pPr>
    <w:rPr>
      <w:rFonts w:ascii="Times New Roman" w:hAnsi="Times New Roman" w:eastAsia="宋体" w:cs="Times New Roman"/>
      <w:color w:val="000000"/>
      <w:sz w:val="24"/>
      <w:szCs w:val="24"/>
      <w:lang w:eastAsia="en-US" w:bidi="en-US"/>
    </w:rPr>
  </w:style>
  <w:style w:type="paragraph" w:styleId="6">
    <w:name w:val="toc 7"/>
    <w:basedOn w:val="1"/>
    <w:next w:val="1"/>
    <w:unhideWhenUsed/>
    <w:qFormat/>
    <w:uiPriority w:val="39"/>
    <w:pPr>
      <w:ind w:left="2520" w:leftChars="1200"/>
    </w:pPr>
  </w:style>
  <w:style w:type="paragraph" w:styleId="7">
    <w:name w:val="annotation text"/>
    <w:basedOn w:val="1"/>
    <w:link w:val="38"/>
    <w:unhideWhenUsed/>
    <w:qFormat/>
    <w:uiPriority w:val="0"/>
    <w:pPr>
      <w:jc w:val="left"/>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toc 8"/>
    <w:basedOn w:val="1"/>
    <w:next w:val="1"/>
    <w:unhideWhenUsed/>
    <w:qFormat/>
    <w:uiPriority w:val="39"/>
    <w:pPr>
      <w:ind w:left="2940" w:leftChars="1400"/>
    </w:pPr>
  </w:style>
  <w:style w:type="paragraph" w:styleId="11">
    <w:name w:val="Date"/>
    <w:basedOn w:val="1"/>
    <w:next w:val="1"/>
    <w:link w:val="33"/>
    <w:semiHidden/>
    <w:unhideWhenUsed/>
    <w:qFormat/>
    <w:uiPriority w:val="99"/>
    <w:pPr>
      <w:ind w:left="100" w:leftChars="2500"/>
    </w:pPr>
  </w:style>
  <w:style w:type="paragraph" w:styleId="12">
    <w:name w:val="Balloon Text"/>
    <w:basedOn w:val="1"/>
    <w:link w:val="37"/>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tabs>
        <w:tab w:val="left" w:pos="835"/>
        <w:tab w:val="right" w:leader="dot" w:pos="8296"/>
      </w:tabs>
      <w:spacing w:after="100" w:line="276" w:lineRule="auto"/>
      <w:jc w:val="center"/>
    </w:pPr>
    <w:rPr>
      <w:rFonts w:ascii="黑体" w:hAnsi="黑体" w:eastAsia="黑体" w:cs="宋体"/>
      <w:kern w:val="0"/>
      <w:sz w:val="40"/>
      <w:szCs w:val="32"/>
    </w:rPr>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widowControl/>
      <w:spacing w:after="100" w:line="276" w:lineRule="auto"/>
      <w:ind w:left="220"/>
      <w:jc w:val="left"/>
    </w:pPr>
    <w:rPr>
      <w:kern w:val="0"/>
      <w:sz w:val="22"/>
    </w:rPr>
  </w:style>
  <w:style w:type="paragraph" w:styleId="19">
    <w:name w:val="toc 9"/>
    <w:basedOn w:val="1"/>
    <w:next w:val="1"/>
    <w:unhideWhenUsed/>
    <w:qFormat/>
    <w:uiPriority w:val="39"/>
    <w:pPr>
      <w:ind w:left="3360" w:leftChars="1600"/>
    </w:p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7"/>
    <w:next w:val="7"/>
    <w:link w:val="3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qFormat/>
    <w:uiPriority w:val="0"/>
    <w:rPr>
      <w:color w:val="800080"/>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themeColor="hyperlink"/>
      <w:u w:val="single"/>
      <w14:textFill>
        <w14:solidFill>
          <w14:schemeClr w14:val="hlink"/>
        </w14:solidFill>
      </w14:textFill>
    </w:rPr>
  </w:style>
  <w:style w:type="character" w:styleId="29">
    <w:name w:val="annotation reference"/>
    <w:basedOn w:val="24"/>
    <w:semiHidden/>
    <w:unhideWhenUsed/>
    <w:qFormat/>
    <w:uiPriority w:val="99"/>
    <w:rPr>
      <w:sz w:val="21"/>
      <w:szCs w:val="21"/>
    </w:rPr>
  </w:style>
  <w:style w:type="character" w:customStyle="1" w:styleId="30">
    <w:name w:val="标题 3 Char"/>
    <w:basedOn w:val="24"/>
    <w:link w:val="5"/>
    <w:semiHidden/>
    <w:qFormat/>
    <w:uiPriority w:val="9"/>
    <w:rPr>
      <w:b/>
      <w:bCs/>
      <w:sz w:val="32"/>
      <w:szCs w:val="32"/>
    </w:rPr>
  </w:style>
  <w:style w:type="character" w:customStyle="1" w:styleId="31">
    <w:name w:val="页眉 Char"/>
    <w:basedOn w:val="24"/>
    <w:link w:val="14"/>
    <w:qFormat/>
    <w:uiPriority w:val="99"/>
    <w:rPr>
      <w:sz w:val="18"/>
      <w:szCs w:val="18"/>
    </w:rPr>
  </w:style>
  <w:style w:type="character" w:customStyle="1" w:styleId="32">
    <w:name w:val="页脚 Char"/>
    <w:basedOn w:val="24"/>
    <w:link w:val="13"/>
    <w:qFormat/>
    <w:uiPriority w:val="99"/>
    <w:rPr>
      <w:sz w:val="18"/>
      <w:szCs w:val="18"/>
    </w:rPr>
  </w:style>
  <w:style w:type="character" w:customStyle="1" w:styleId="33">
    <w:name w:val="日期 Char"/>
    <w:basedOn w:val="24"/>
    <w:link w:val="11"/>
    <w:semiHidden/>
    <w:qFormat/>
    <w:uiPriority w:val="99"/>
  </w:style>
  <w:style w:type="paragraph" w:styleId="34">
    <w:name w:val="List Paragraph"/>
    <w:basedOn w:val="1"/>
    <w:qFormat/>
    <w:uiPriority w:val="99"/>
    <w:pPr>
      <w:ind w:firstLine="420" w:firstLineChars="200"/>
    </w:pPr>
  </w:style>
  <w:style w:type="character" w:customStyle="1" w:styleId="35">
    <w:name w:val="标题 1 Char"/>
    <w:basedOn w:val="24"/>
    <w:link w:val="3"/>
    <w:qFormat/>
    <w:uiPriority w:val="9"/>
    <w:rPr>
      <w:b/>
      <w:bCs/>
      <w:kern w:val="44"/>
      <w:sz w:val="44"/>
      <w:szCs w:val="44"/>
    </w:rPr>
  </w:style>
  <w:style w:type="paragraph" w:customStyle="1" w:styleId="3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Char"/>
    <w:basedOn w:val="24"/>
    <w:link w:val="12"/>
    <w:semiHidden/>
    <w:qFormat/>
    <w:uiPriority w:val="99"/>
    <w:rPr>
      <w:sz w:val="18"/>
      <w:szCs w:val="18"/>
    </w:rPr>
  </w:style>
  <w:style w:type="character" w:customStyle="1" w:styleId="38">
    <w:name w:val="批注文字 Char"/>
    <w:basedOn w:val="24"/>
    <w:link w:val="7"/>
    <w:semiHidden/>
    <w:qFormat/>
    <w:uiPriority w:val="99"/>
  </w:style>
  <w:style w:type="character" w:customStyle="1" w:styleId="39">
    <w:name w:val="批注主题 Char"/>
    <w:basedOn w:val="38"/>
    <w:link w:val="21"/>
    <w:semiHidden/>
    <w:qFormat/>
    <w:uiPriority w:val="99"/>
    <w:rPr>
      <w:b/>
      <w:bCs/>
    </w:rPr>
  </w:style>
  <w:style w:type="character" w:customStyle="1" w:styleId="40">
    <w:name w:val="标题 2 Char"/>
    <w:basedOn w:val="24"/>
    <w:link w:val="4"/>
    <w:semiHidden/>
    <w:qFormat/>
    <w:uiPriority w:val="9"/>
    <w:rPr>
      <w:rFonts w:asciiTheme="majorHAnsi" w:hAnsiTheme="majorHAnsi" w:eastAsiaTheme="majorEastAsia" w:cstheme="majorBidi"/>
      <w:b/>
      <w:bCs/>
      <w:sz w:val="32"/>
      <w:szCs w:val="32"/>
    </w:rPr>
  </w:style>
  <w:style w:type="paragraph" w:customStyle="1" w:styleId="41">
    <w:name w:val="标准文件_段"/>
    <w:link w:val="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标准文件_二级条标题"/>
    <w:next w:val="41"/>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43">
    <w:name w:val="标准文件_段 Char"/>
    <w:link w:val="41"/>
    <w:qFormat/>
    <w:uiPriority w:val="0"/>
    <w:rPr>
      <w:rFonts w:ascii="宋体"/>
      <w:sz w:val="21"/>
    </w:rPr>
  </w:style>
  <w:style w:type="paragraph" w:customStyle="1" w:styleId="44">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45">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46">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47">
    <w:name w:val="text-value"/>
    <w:basedOn w:val="24"/>
    <w:qFormat/>
    <w:uiPriority w:val="0"/>
  </w:style>
  <w:style w:type="paragraph" w:customStyle="1" w:styleId="48">
    <w:name w:val="标准文件_参考文献标题"/>
    <w:basedOn w:val="1"/>
    <w:next w:val="1"/>
    <w:qFormat/>
    <w:uiPriority w:val="0"/>
    <w:pPr>
      <w:widowControl/>
      <w:shd w:val="clear" w:color="FFFFFF" w:fill="FFFFFF"/>
      <w:spacing w:before="40" w:beforeLines="40" w:after="50" w:afterLines="50"/>
      <w:jc w:val="center"/>
      <w:outlineLvl w:val="0"/>
    </w:pPr>
    <w:rPr>
      <w:rFonts w:ascii="黑体" w:hAnsi="Calibri" w:eastAsia="黑体" w:cs="Times New Roman"/>
      <w:kern w:val="0"/>
      <w:szCs w:val="21"/>
    </w:rPr>
  </w:style>
  <w:style w:type="paragraph" w:customStyle="1" w:styleId="49">
    <w:name w:val="标准文件_方框数字列项"/>
    <w:basedOn w:val="41"/>
    <w:qFormat/>
    <w:uiPriority w:val="0"/>
    <w:pPr>
      <w:numPr>
        <w:ilvl w:val="0"/>
        <w:numId w:val="3"/>
      </w:numPr>
      <w:ind w:firstLine="0" w:firstLineChars="0"/>
    </w:pPr>
  </w:style>
  <w:style w:type="character" w:customStyle="1" w:styleId="50">
    <w:name w:val="段 Char"/>
    <w:link w:val="51"/>
    <w:qFormat/>
    <w:uiPriority w:val="0"/>
    <w:rPr>
      <w:rFonts w:ascii="宋体"/>
      <w:sz w:val="21"/>
    </w:rPr>
  </w:style>
  <w:style w:type="paragraph" w:customStyle="1" w:styleId="51">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2">
    <w:name w:val="一级条标题"/>
    <w:next w:val="51"/>
    <w:qFormat/>
    <w:uiPriority w:val="0"/>
    <w:pPr>
      <w:tabs>
        <w:tab w:val="left" w:pos="1276"/>
      </w:tabs>
      <w:spacing w:before="156" w:beforeLines="50" w:after="156" w:afterLines="50"/>
      <w:ind w:left="1276" w:hanging="425"/>
      <w:outlineLvl w:val="2"/>
    </w:pPr>
    <w:rPr>
      <w:rFonts w:ascii="黑体" w:hAnsi="Times New Roman" w:eastAsia="黑体" w:cs="Times New Roman"/>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50FD8-5D06-4CF0-AC18-FD0479D5E78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3267</Words>
  <Characters>3372</Characters>
  <Lines>30</Lines>
  <Paragraphs>8</Paragraphs>
  <TotalTime>1</TotalTime>
  <ScaleCrop>false</ScaleCrop>
  <LinksUpToDate>false</LinksUpToDate>
  <CharactersWithSpaces>3409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2022-12-16T04:27:00Z</dcterms:created>
  <dc:creator>Administrator</dc:creator>
  <cp:lastModifiedBy>Lenovo</cp:lastModifiedBy>
  <cp:lastPrinted>2022-12-16T05:17:00Z</cp:lastPrinted>
  <dcterms:modified xsi:type="dcterms:W3CDTF">2024-06-21T00:22:54Z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3A48ED11839E4BFBBB7B5399F545E5B2</vt:lpwstr>
  </property>
</Properties>
</file>