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DC4A">
      <w:pPr>
        <w:widowControl/>
        <w:adjustRightInd w:val="0"/>
        <w:snapToGrid w:val="0"/>
        <w:spacing w:after="200" w:line="360" w:lineRule="auto"/>
        <w:ind w:left="210" w:leftChars="100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</w:p>
    <w:p w14:paraId="31D7A0CA">
      <w:pPr>
        <w:widowControl/>
        <w:adjustRightInd w:val="0"/>
        <w:snapToGrid w:val="0"/>
        <w:spacing w:after="200" w:line="360" w:lineRule="auto"/>
        <w:jc w:val="center"/>
        <w:rPr>
          <w:rFonts w:ascii="黑体" w:hAnsi="黑体" w:eastAsia="黑体" w:cs="宋体"/>
          <w:kern w:val="0"/>
          <w:sz w:val="52"/>
          <w:szCs w:val="52"/>
        </w:rPr>
      </w:pPr>
      <w:r>
        <w:rPr>
          <w:rFonts w:hint="eastAsia" w:ascii="黑体" w:hAnsi="黑体" w:eastAsia="黑体" w:cs="宋体"/>
          <w:kern w:val="0"/>
          <w:sz w:val="52"/>
          <w:szCs w:val="52"/>
        </w:rPr>
        <w:t>山 东 标 准 化 协 会 团 体 标 准</w:t>
      </w:r>
    </w:p>
    <w:p w14:paraId="7B0D1F9A">
      <w:pPr>
        <w:widowControl/>
        <w:adjustRightInd w:val="0"/>
        <w:snapToGrid w:val="0"/>
        <w:spacing w:after="360" w:afterLines="100" w:line="800" w:lineRule="exact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162560</wp:posOffset>
                </wp:positionV>
                <wp:extent cx="5969635" cy="0"/>
                <wp:effectExtent l="0" t="0" r="12065" b="19050"/>
                <wp:wrapNone/>
                <wp:docPr id="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8.6pt;margin-top:12.8pt;height:0pt;width:470.05pt;z-index:251659264;mso-width-relative:page;mso-height-relative:page;" filled="f" stroked="t" coordsize="21600,21600" o:gfxdata="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Z+4rtcAAAAJAQAADwAAAAAAAAABACAAAAAiAAAAZHJzL2Rv&#10;d25yZXYueG1sUEsBAhQAFAAAAAgAh07iQOZyfqnJAQAAoA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15F1D67">
      <w:pPr>
        <w:widowControl/>
        <w:adjustRightInd w:val="0"/>
        <w:snapToGrid w:val="0"/>
        <w:spacing w:line="800" w:lineRule="exact"/>
        <w:jc w:val="center"/>
        <w:rPr>
          <w:rFonts w:ascii="黑体" w:hAnsi="黑体" w:eastAsia="黑体" w:cs="方正小标宋简体"/>
          <w:kern w:val="0"/>
          <w:sz w:val="52"/>
          <w:szCs w:val="52"/>
        </w:rPr>
      </w:pPr>
      <w:r>
        <w:rPr>
          <w:rFonts w:hint="eastAsia" w:ascii="黑体" w:hAnsi="黑体" w:eastAsia="黑体" w:cs="方正小标宋简体"/>
          <w:kern w:val="0"/>
          <w:sz w:val="52"/>
          <w:szCs w:val="52"/>
        </w:rPr>
        <w:t>《热固性树脂基复合材料损伤通用修复方法 板结构》</w:t>
      </w:r>
    </w:p>
    <w:p w14:paraId="2A8D4BB0">
      <w:pPr>
        <w:pStyle w:val="2"/>
        <w:jc w:val="center"/>
        <w:rPr>
          <w:sz w:val="52"/>
          <w:szCs w:val="52"/>
          <w:lang w:eastAsia="zh-CN" w:bidi="ar-SA"/>
        </w:rPr>
      </w:pPr>
    </w:p>
    <w:p w14:paraId="78BBDF90">
      <w:pPr>
        <w:widowControl/>
        <w:adjustRightInd w:val="0"/>
        <w:snapToGrid w:val="0"/>
        <w:spacing w:after="200" w:line="360" w:lineRule="auto"/>
        <w:jc w:val="center"/>
        <w:rPr>
          <w:rFonts w:ascii="方正小标宋简体" w:hAnsi="宋体" w:eastAsia="方正小标宋简体" w:cs="方正小标宋简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（征求意见稿）</w:t>
      </w:r>
    </w:p>
    <w:p w14:paraId="10003525">
      <w:pPr>
        <w:widowControl/>
        <w:adjustRightInd w:val="0"/>
        <w:snapToGrid w:val="0"/>
        <w:spacing w:line="800" w:lineRule="exact"/>
        <w:jc w:val="center"/>
        <w:rPr>
          <w:rFonts w:ascii="黑体" w:hAnsi="黑体" w:eastAsia="黑体" w:cs="方正小标宋简体"/>
          <w:kern w:val="0"/>
          <w:sz w:val="44"/>
          <w:szCs w:val="44"/>
        </w:rPr>
      </w:pPr>
    </w:p>
    <w:p w14:paraId="285DD972">
      <w:pPr>
        <w:widowControl/>
        <w:adjustRightInd w:val="0"/>
        <w:snapToGrid w:val="0"/>
        <w:spacing w:line="800" w:lineRule="exact"/>
        <w:jc w:val="center"/>
        <w:rPr>
          <w:rFonts w:ascii="黑体" w:hAnsi="黑体" w:eastAsia="黑体" w:cs="方正小标宋简体"/>
          <w:kern w:val="0"/>
          <w:sz w:val="52"/>
          <w:szCs w:val="52"/>
        </w:rPr>
      </w:pPr>
      <w:r>
        <w:rPr>
          <w:rFonts w:hint="eastAsia" w:ascii="黑体" w:hAnsi="黑体" w:eastAsia="黑体" w:cs="方正小标宋简体"/>
          <w:kern w:val="0"/>
          <w:sz w:val="52"/>
          <w:szCs w:val="52"/>
        </w:rPr>
        <w:t>编制说明</w:t>
      </w:r>
    </w:p>
    <w:p w14:paraId="2CD389E6">
      <w:pPr>
        <w:pStyle w:val="2"/>
        <w:rPr>
          <w:rFonts w:ascii="方正小标宋简体" w:hAnsi="宋体" w:eastAsia="方正小标宋简体" w:cs="方正小标宋简体"/>
          <w:kern w:val="0"/>
          <w:sz w:val="44"/>
          <w:szCs w:val="44"/>
          <w:lang w:eastAsia="zh-CN" w:bidi="ar-SA"/>
        </w:rPr>
      </w:pPr>
    </w:p>
    <w:p w14:paraId="2CF778BA">
      <w:pPr>
        <w:pStyle w:val="2"/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  <w:lang w:eastAsia="zh-CN"/>
        </w:rPr>
      </w:pPr>
    </w:p>
    <w:p w14:paraId="2BF75730">
      <w:pPr>
        <w:pStyle w:val="2"/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  <w:lang w:eastAsia="zh-CN"/>
        </w:rPr>
      </w:pPr>
    </w:p>
    <w:p w14:paraId="7CE8470B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42467D2A">
      <w:pPr>
        <w:spacing w:line="360" w:lineRule="auto"/>
        <w:jc w:val="center"/>
        <w:rPr>
          <w:rFonts w:ascii="黑体" w:hAnsi="黑体" w:eastAsia="黑体" w:cs="宋体"/>
          <w:sz w:val="30"/>
          <w:szCs w:val="30"/>
        </w:rPr>
        <w:sectPr>
          <w:footerReference r:id="rId3" w:type="default"/>
          <w:pgSz w:w="11906" w:h="16838"/>
          <w:pgMar w:top="1440" w:right="1701" w:bottom="1440" w:left="1701" w:header="709" w:footer="709" w:gutter="0"/>
          <w:pgNumType w:start="0"/>
          <w:cols w:space="708" w:num="1"/>
          <w:titlePg/>
          <w:docGrid w:type="lines" w:linePitch="360" w:charSpace="0"/>
        </w:sectPr>
      </w:pPr>
      <w:r>
        <w:rPr>
          <w:rFonts w:hint="eastAsia" w:ascii="黑体" w:hAnsi="黑体" w:eastAsia="黑体" w:cs="方正小标宋简体"/>
          <w:sz w:val="30"/>
          <w:szCs w:val="30"/>
        </w:rPr>
        <w:t>二〇二四年</w:t>
      </w:r>
      <w:r>
        <w:rPr>
          <w:rFonts w:hint="eastAsia" w:ascii="黑体" w:hAnsi="黑体" w:eastAsia="黑体" w:cs="方正小标宋简体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方正小标宋简体"/>
          <w:sz w:val="30"/>
          <w:szCs w:val="30"/>
        </w:rPr>
        <w:t>月</w:t>
      </w:r>
    </w:p>
    <w:p w14:paraId="587C5E68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0F5F27CE">
      <w:pPr>
        <w:pStyle w:val="15"/>
        <w:spacing w:after="0"/>
        <w:rPr>
          <w:rFonts w:cs="方正小标宋简体"/>
          <w:sz w:val="44"/>
          <w:szCs w:val="44"/>
        </w:rPr>
      </w:pPr>
      <w:r>
        <w:rPr>
          <w:rFonts w:hint="eastAsia" w:cs="方正小标宋简体"/>
          <w:sz w:val="44"/>
          <w:szCs w:val="44"/>
        </w:rPr>
        <w:t>目</w:t>
      </w:r>
      <w:r>
        <w:rPr>
          <w:rFonts w:cs="方正小标宋简体"/>
          <w:sz w:val="44"/>
          <w:szCs w:val="44"/>
        </w:rPr>
        <w:t xml:space="preserve">   </w:t>
      </w:r>
      <w:r>
        <w:rPr>
          <w:rFonts w:hint="eastAsia" w:cs="方正小标宋简体"/>
          <w:sz w:val="44"/>
          <w:szCs w:val="44"/>
        </w:rPr>
        <w:t xml:space="preserve"> 录</w:t>
      </w:r>
    </w:p>
    <w:p w14:paraId="783DC6B9">
      <w:pPr>
        <w:rPr>
          <w:rFonts w:asciiTheme="minorEastAsia" w:hAnsiTheme="minorEastAsia"/>
          <w:sz w:val="24"/>
          <w:szCs w:val="24"/>
        </w:rPr>
      </w:pPr>
    </w:p>
    <w:p w14:paraId="6CD21CD0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 TOC \o "1-3" \h \z \u </w:instrTex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"_Toc168304253" </w:instrText>
      </w:r>
      <w:r>
        <w:fldChar w:fldCharType="separate"/>
      </w:r>
      <w:r>
        <w:rPr>
          <w:rStyle w:val="26"/>
          <w:rFonts w:hint="eastAsia" w:cs="黑体" w:asciiTheme="minorEastAsia" w:hAnsiTheme="minorEastAsia" w:eastAsiaTheme="minorEastAsia"/>
          <w:bCs/>
          <w:sz w:val="24"/>
          <w:szCs w:val="24"/>
        </w:rPr>
        <w:t>一、</w:t>
      </w:r>
      <w:r>
        <w:rPr>
          <w:rStyle w:val="26"/>
          <w:rFonts w:cs="黑体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Style w:val="26"/>
          <w:rFonts w:hint="eastAsia" w:cs="黑体" w:asciiTheme="minorEastAsia" w:hAnsiTheme="minorEastAsia" w:eastAsiaTheme="minorEastAsia"/>
          <w:bCs/>
          <w:sz w:val="24"/>
          <w:szCs w:val="24"/>
        </w:rPr>
        <w:t>工作简况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_Toc168304253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1F290E93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"_Toc168304254" </w:instrText>
      </w:r>
      <w:r>
        <w:fldChar w:fldCharType="separate"/>
      </w:r>
      <w:r>
        <w:rPr>
          <w:rStyle w:val="26"/>
          <w:rFonts w:hint="eastAsia" w:asciiTheme="minorEastAsia" w:hAnsiTheme="minorEastAsia" w:eastAsiaTheme="minorEastAsia"/>
          <w:sz w:val="24"/>
          <w:szCs w:val="24"/>
        </w:rPr>
        <w:t>（一）任务来源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_Toc168304254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4F47FBA0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"_Toc168304255" </w:instrText>
      </w:r>
      <w:r>
        <w:fldChar w:fldCharType="separate"/>
      </w:r>
      <w:r>
        <w:rPr>
          <w:rStyle w:val="26"/>
          <w:rFonts w:hint="eastAsia" w:asciiTheme="minorEastAsia" w:hAnsiTheme="minorEastAsia" w:eastAsiaTheme="minorEastAsia"/>
          <w:sz w:val="24"/>
          <w:szCs w:val="24"/>
        </w:rPr>
        <w:t>（二）起草单位和主要起草人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_Toc168304255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08CCB6ED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"_Toc168304256" </w:instrText>
      </w:r>
      <w:r>
        <w:fldChar w:fldCharType="separate"/>
      </w:r>
      <w:r>
        <w:rPr>
          <w:rStyle w:val="26"/>
          <w:rFonts w:hint="eastAsia" w:asciiTheme="minorEastAsia" w:hAnsiTheme="minorEastAsia" w:eastAsiaTheme="minorEastAsia"/>
          <w:sz w:val="24"/>
          <w:szCs w:val="24"/>
        </w:rPr>
        <w:t>（三）起草单位和主要起草人任务分工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_Toc168304256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678D5B4F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"_Toc168304257" </w:instrText>
      </w:r>
      <w:r>
        <w:fldChar w:fldCharType="separate"/>
      </w:r>
      <w:r>
        <w:rPr>
          <w:rStyle w:val="26"/>
          <w:rFonts w:hint="eastAsia" w:asciiTheme="minorEastAsia" w:hAnsiTheme="minorEastAsia" w:eastAsiaTheme="minorEastAsia"/>
          <w:sz w:val="24"/>
          <w:szCs w:val="24"/>
        </w:rPr>
        <w:t>（四）起草过程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_Toc168304257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6A0C29F7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"_Toc168304258" </w:instrText>
      </w:r>
      <w:r>
        <w:fldChar w:fldCharType="separate"/>
      </w:r>
      <w:r>
        <w:rPr>
          <w:rStyle w:val="26"/>
          <w:rFonts w:hint="eastAsia" w:cs="黑体" w:asciiTheme="minorEastAsia" w:hAnsiTheme="minorEastAsia" w:eastAsiaTheme="minorEastAsia"/>
          <w:bCs/>
          <w:sz w:val="24"/>
          <w:szCs w:val="24"/>
        </w:rPr>
        <w:t>二、标准制定的目的和意义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_Toc168304258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03DCDD70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"_Toc168304259" </w:instrText>
      </w:r>
      <w:r>
        <w:fldChar w:fldCharType="separate"/>
      </w:r>
      <w:r>
        <w:rPr>
          <w:rStyle w:val="26"/>
          <w:rFonts w:hint="eastAsia" w:cs="黑体" w:asciiTheme="minorEastAsia" w:hAnsiTheme="minorEastAsia" w:eastAsiaTheme="minorEastAsia"/>
          <w:bCs/>
          <w:sz w:val="24"/>
          <w:szCs w:val="24"/>
        </w:rPr>
        <w:t>三、标准编制原则、主要技术内容和确定依据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_Toc168304259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218E26DC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"_Toc168304260" </w:instrText>
      </w:r>
      <w:r>
        <w:fldChar w:fldCharType="separate"/>
      </w:r>
      <w:r>
        <w:rPr>
          <w:rStyle w:val="26"/>
          <w:rFonts w:hint="eastAsia" w:cs="楷体_GB2312" w:asciiTheme="minorEastAsia" w:hAnsiTheme="minorEastAsia" w:eastAsiaTheme="minorEastAsia"/>
          <w:sz w:val="24"/>
          <w:szCs w:val="24"/>
        </w:rPr>
        <w:t>（一）标准编制原则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_Toc168304260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4950B652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"_Toc168304261" </w:instrText>
      </w:r>
      <w:r>
        <w:fldChar w:fldCharType="separate"/>
      </w:r>
      <w:r>
        <w:rPr>
          <w:rStyle w:val="26"/>
          <w:rFonts w:hint="eastAsia" w:cs="楷体_GB2312" w:asciiTheme="minorEastAsia" w:hAnsiTheme="minorEastAsia" w:eastAsiaTheme="minorEastAsia"/>
          <w:sz w:val="24"/>
          <w:szCs w:val="24"/>
        </w:rPr>
        <w:t>（二）主要技术内容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_Toc168304261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0908B682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"_Toc168304262" </w:instrText>
      </w:r>
      <w:r>
        <w:fldChar w:fldCharType="separate"/>
      </w:r>
      <w:r>
        <w:rPr>
          <w:rStyle w:val="26"/>
          <w:rFonts w:hint="eastAsia" w:cs="楷体_GB2312" w:asciiTheme="minorEastAsia" w:hAnsiTheme="minorEastAsia" w:eastAsiaTheme="minorEastAsia"/>
          <w:sz w:val="24"/>
          <w:szCs w:val="24"/>
        </w:rPr>
        <w:t>（三）确定依据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_Toc168304262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64467BE4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"_Toc168304263" </w:instrText>
      </w:r>
      <w:r>
        <w:fldChar w:fldCharType="separate"/>
      </w:r>
      <w:r>
        <w:rPr>
          <w:rStyle w:val="26"/>
          <w:rFonts w:hint="eastAsia" w:cs="黑体" w:asciiTheme="minorEastAsia" w:hAnsiTheme="minorEastAsia" w:eastAsiaTheme="minorEastAsia"/>
          <w:bCs/>
          <w:sz w:val="24"/>
          <w:szCs w:val="24"/>
        </w:rPr>
        <w:t>四、与现行相关法律、行政法规和其他标准的关系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_Toc168304263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74887BEB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"_Toc168304264" </w:instrText>
      </w:r>
      <w:r>
        <w:fldChar w:fldCharType="separate"/>
      </w:r>
      <w:r>
        <w:rPr>
          <w:rStyle w:val="26"/>
          <w:rFonts w:hint="eastAsia" w:cs="黑体" w:asciiTheme="minorEastAsia" w:hAnsiTheme="minorEastAsia" w:eastAsiaTheme="minorEastAsia"/>
          <w:bCs/>
          <w:sz w:val="24"/>
          <w:szCs w:val="24"/>
        </w:rPr>
        <w:t>五、重大分歧意见的处理过程、处理意见及其依据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_Toc168304264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44392657">
      <w:pPr>
        <w:pStyle w:val="15"/>
        <w:spacing w:line="360" w:lineRule="auto"/>
        <w:rPr>
          <w:rFonts w:asciiTheme="minorEastAsia" w:hAnsiTheme="minorEastAsia" w:eastAsiaTheme="minorEastAsia" w:cstheme="minorBidi"/>
          <w:kern w:val="2"/>
          <w:sz w:val="24"/>
          <w:szCs w:val="24"/>
        </w:rPr>
      </w:pPr>
      <w:r>
        <w:fldChar w:fldCharType="begin"/>
      </w:r>
      <w:r>
        <w:instrText xml:space="preserve"> HYPERLINK \l "_Toc168304265" </w:instrText>
      </w:r>
      <w:r>
        <w:fldChar w:fldCharType="separate"/>
      </w:r>
      <w:r>
        <w:rPr>
          <w:rStyle w:val="26"/>
          <w:rFonts w:hint="eastAsia" w:cs="黑体" w:asciiTheme="minorEastAsia" w:hAnsiTheme="minorEastAsia" w:eastAsiaTheme="minorEastAsia"/>
          <w:bCs/>
          <w:sz w:val="24"/>
          <w:szCs w:val="24"/>
        </w:rPr>
        <w:t>六、其他需要说明的内容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PAGEREF _Toc168304265 \h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625CEC49">
      <w:pPr>
        <w:adjustRightInd w:val="0"/>
        <w:snapToGrid w:val="0"/>
        <w:spacing w:line="360" w:lineRule="auto"/>
        <w:rPr>
          <w:rFonts w:ascii="仿宋_GB2312" w:hAnsi="宋体" w:eastAsia="仿宋_GB2312" w:cs="宋体"/>
          <w:szCs w:val="21"/>
        </w:rPr>
      </w:pPr>
      <w:r>
        <w:rPr>
          <w:rFonts w:hint="eastAsia" w:cs="宋体" w:asciiTheme="minorEastAsia" w:hAnsiTheme="minorEastAsia"/>
          <w:sz w:val="24"/>
          <w:szCs w:val="24"/>
        </w:rPr>
        <w:fldChar w:fldCharType="end"/>
      </w:r>
    </w:p>
    <w:p w14:paraId="4F485AE1">
      <w:pPr>
        <w:spacing w:line="360" w:lineRule="auto"/>
        <w:rPr>
          <w:rFonts w:ascii="仿宋_GB2312" w:hAnsi="宋体" w:eastAsia="仿宋_GB2312" w:cs="宋体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701" w:bottom="1440" w:left="1701" w:header="709" w:footer="709" w:gutter="0"/>
          <w:pgNumType w:start="0"/>
          <w:cols w:space="708" w:num="1"/>
          <w:titlePg/>
          <w:docGrid w:type="lines" w:linePitch="360" w:charSpace="0"/>
        </w:sectPr>
      </w:pPr>
    </w:p>
    <w:p w14:paraId="6274FFDD">
      <w:pPr>
        <w:spacing w:line="560" w:lineRule="exact"/>
        <w:ind w:firstLine="600" w:firstLineChars="250"/>
        <w:outlineLvl w:val="0"/>
        <w:rPr>
          <w:rFonts w:ascii="黑体" w:hAnsi="黑体" w:eastAsia="黑体" w:cs="黑体"/>
          <w:bCs/>
          <w:sz w:val="24"/>
          <w:szCs w:val="24"/>
        </w:rPr>
      </w:pPr>
      <w:bookmarkStart w:id="0" w:name="_Toc168304253"/>
      <w:r>
        <w:rPr>
          <w:rFonts w:hint="eastAsia" w:ascii="黑体" w:hAnsi="黑体" w:eastAsia="黑体" w:cs="黑体"/>
          <w:bCs/>
          <w:sz w:val="24"/>
          <w:szCs w:val="24"/>
        </w:rPr>
        <w:t>一、 工作简况</w:t>
      </w:r>
      <w:bookmarkEnd w:id="0"/>
    </w:p>
    <w:p w14:paraId="35C16695">
      <w:pPr>
        <w:pStyle w:val="49"/>
        <w:rPr>
          <w:rFonts w:ascii="黑体" w:hAnsi="黑体" w:eastAsia="黑体"/>
        </w:rPr>
      </w:pPr>
      <w:bookmarkStart w:id="1" w:name="_Toc168304254"/>
      <w:r>
        <w:rPr>
          <w:rFonts w:hint="eastAsia" w:ascii="黑体" w:hAnsi="黑体" w:eastAsia="黑体"/>
        </w:rPr>
        <w:t>（一）任务来源</w:t>
      </w:r>
      <w:bookmarkEnd w:id="1"/>
    </w:p>
    <w:p w14:paraId="5D4CC0FE">
      <w:pPr>
        <w:pStyle w:val="49"/>
      </w:pPr>
      <w:r>
        <w:rPr>
          <w:rFonts w:hint="eastAsia"/>
        </w:rPr>
        <w:t>根据《山东标准化协会关于下达2024年第二十批团体标准制修订计划的通知》（鲁标协字[2024]186号）计划编号SDAS2024108的要求，由山东标准化协会归口，并由中车青岛四方机车车辆股份有限公司、青岛威奥轨道股份有限公司共同起草。</w:t>
      </w:r>
    </w:p>
    <w:p w14:paraId="536FD168">
      <w:pPr>
        <w:pStyle w:val="49"/>
        <w:rPr>
          <w:rFonts w:ascii="黑体" w:hAnsi="黑体" w:eastAsia="黑体"/>
        </w:rPr>
      </w:pPr>
      <w:bookmarkStart w:id="2" w:name="_Toc168304255"/>
      <w:r>
        <w:rPr>
          <w:rFonts w:hint="eastAsia" w:ascii="黑体" w:hAnsi="黑体" w:eastAsia="黑体"/>
        </w:rPr>
        <w:t>（二）起草单位和主要起草人</w:t>
      </w:r>
      <w:bookmarkEnd w:id="2"/>
    </w:p>
    <w:p w14:paraId="5E142A0F">
      <w:pPr>
        <w:pStyle w:val="39"/>
        <w:spacing w:line="600" w:lineRule="exact"/>
        <w:ind w:firstLine="480"/>
        <w:rPr>
          <w:rFonts w:ascii="黑体" w:hAnsi="黑体" w:eastAsia="黑体" w:cs="楷体_GB2312"/>
          <w:sz w:val="24"/>
          <w:szCs w:val="24"/>
        </w:rPr>
      </w:pPr>
      <w:bookmarkStart w:id="3" w:name="_Toc97738903"/>
      <w:bookmarkStart w:id="4" w:name="_Toc97566042"/>
      <w:r>
        <w:rPr>
          <w:rFonts w:hint="eastAsia" w:ascii="黑体" w:hAnsi="黑体" w:eastAsia="黑体" w:cs="楷体_GB2312"/>
          <w:sz w:val="24"/>
          <w:szCs w:val="24"/>
        </w:rPr>
        <w:t>1.标准起草单位</w:t>
      </w:r>
      <w:bookmarkEnd w:id="3"/>
      <w:bookmarkEnd w:id="4"/>
    </w:p>
    <w:p w14:paraId="3938E06F">
      <w:pPr>
        <w:pStyle w:val="49"/>
        <w:outlineLvl w:val="9"/>
      </w:pPr>
      <w:r>
        <w:rPr>
          <w:rFonts w:hint="eastAsia"/>
        </w:rPr>
        <w:t xml:space="preserve"> 中车青岛四方机车车辆股份有限公司、青岛威奥轨道股份有限公司</w:t>
      </w:r>
    </w:p>
    <w:p w14:paraId="5E12C00B">
      <w:pPr>
        <w:pStyle w:val="39"/>
        <w:spacing w:line="600" w:lineRule="exact"/>
        <w:ind w:firstLine="480"/>
        <w:rPr>
          <w:rFonts w:ascii="黑体" w:hAnsi="黑体" w:eastAsia="黑体" w:cs="楷体_GB2312"/>
          <w:sz w:val="24"/>
          <w:szCs w:val="24"/>
        </w:rPr>
      </w:pPr>
      <w:bookmarkStart w:id="5" w:name="_Toc97738904"/>
      <w:bookmarkStart w:id="6" w:name="_Toc97566043"/>
      <w:r>
        <w:rPr>
          <w:rFonts w:hint="eastAsia" w:ascii="黑体" w:hAnsi="黑体" w:eastAsia="黑体" w:cs="楷体_GB2312"/>
          <w:sz w:val="24"/>
          <w:szCs w:val="24"/>
        </w:rPr>
        <w:t>2.主要起草人</w:t>
      </w:r>
      <w:bookmarkEnd w:id="5"/>
      <w:bookmarkEnd w:id="6"/>
    </w:p>
    <w:p w14:paraId="69A47EEE">
      <w:pPr>
        <w:pStyle w:val="49"/>
        <w:outlineLvl w:val="9"/>
      </w:pPr>
      <w:r>
        <w:rPr>
          <w:rFonts w:hint="eastAsia" w:ascii="宋体" w:hAnsi="宋体" w:eastAsia="宋体"/>
          <w:bCs/>
        </w:rPr>
        <w:t>陈燕荣、</w:t>
      </w:r>
      <w:r>
        <w:rPr>
          <w:rFonts w:hint="eastAsia"/>
        </w:rPr>
        <w:t>曾宇、吴梦、顾春雷、崔健、万帅、李雨蔚、林浩博、王晨霖。</w:t>
      </w:r>
    </w:p>
    <w:p w14:paraId="1C06F14F">
      <w:pPr>
        <w:pStyle w:val="49"/>
        <w:rPr>
          <w:rFonts w:ascii="黑体" w:hAnsi="黑体" w:eastAsia="黑体"/>
        </w:rPr>
      </w:pPr>
      <w:bookmarkStart w:id="7" w:name="_Toc168304256"/>
      <w:r>
        <w:rPr>
          <w:rFonts w:hint="eastAsia" w:ascii="黑体" w:hAnsi="黑体" w:eastAsia="黑体"/>
        </w:rPr>
        <w:t>（三）起草单位和主要起草人任务分工</w:t>
      </w:r>
      <w:bookmarkEnd w:id="7"/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134"/>
        <w:gridCol w:w="3410"/>
      </w:tblGrid>
      <w:tr w14:paraId="6810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78" w:type="dxa"/>
            <w:vAlign w:val="center"/>
          </w:tcPr>
          <w:p w14:paraId="192AAC07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4134" w:type="dxa"/>
            <w:vAlign w:val="center"/>
          </w:tcPr>
          <w:p w14:paraId="5F20212C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410" w:type="dxa"/>
            <w:vAlign w:val="center"/>
          </w:tcPr>
          <w:p w14:paraId="7C351423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任务分工</w:t>
            </w:r>
          </w:p>
        </w:tc>
      </w:tr>
      <w:tr w14:paraId="6381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5834402C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陈燕荣</w:t>
            </w:r>
          </w:p>
        </w:tc>
        <w:tc>
          <w:tcPr>
            <w:tcW w:w="4134" w:type="dxa"/>
            <w:vAlign w:val="center"/>
          </w:tcPr>
          <w:p w14:paraId="64514F8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681C8186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标准主要发起人和组织者，负责标准框架内容搭建、构思</w:t>
            </w:r>
          </w:p>
        </w:tc>
      </w:tr>
      <w:tr w14:paraId="38E9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61157A54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曾宇</w:t>
            </w:r>
          </w:p>
        </w:tc>
        <w:tc>
          <w:tcPr>
            <w:tcW w:w="4134" w:type="dxa"/>
            <w:vAlign w:val="center"/>
          </w:tcPr>
          <w:p w14:paraId="37BC12C7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6090F6EE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标准主要起草人，负责起草组工作，制定标准框架提纲、标准内容编写、征求意见等。</w:t>
            </w:r>
          </w:p>
        </w:tc>
      </w:tr>
      <w:tr w14:paraId="53F9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5F449EA5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吴梦</w:t>
            </w:r>
          </w:p>
        </w:tc>
        <w:tc>
          <w:tcPr>
            <w:tcW w:w="4134" w:type="dxa"/>
            <w:vAlign w:val="center"/>
          </w:tcPr>
          <w:p w14:paraId="6D40D66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7514686B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全文标准化审核修改</w:t>
            </w:r>
          </w:p>
        </w:tc>
      </w:tr>
      <w:tr w14:paraId="72B0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533A51E5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顾春雷</w:t>
            </w:r>
          </w:p>
        </w:tc>
        <w:tc>
          <w:tcPr>
            <w:tcW w:w="4134" w:type="dxa"/>
            <w:vAlign w:val="center"/>
          </w:tcPr>
          <w:p w14:paraId="2D07EC1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42891C62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参与标准编写</w:t>
            </w:r>
          </w:p>
        </w:tc>
      </w:tr>
      <w:tr w14:paraId="4EC6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4CD33140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崔健</w:t>
            </w:r>
          </w:p>
        </w:tc>
        <w:tc>
          <w:tcPr>
            <w:tcW w:w="4134" w:type="dxa"/>
            <w:vAlign w:val="center"/>
          </w:tcPr>
          <w:p w14:paraId="242FC57C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7B4C2C53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参与标准编写</w:t>
            </w:r>
          </w:p>
        </w:tc>
      </w:tr>
      <w:tr w14:paraId="5494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0603746C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万帅</w:t>
            </w:r>
          </w:p>
        </w:tc>
        <w:tc>
          <w:tcPr>
            <w:tcW w:w="4134" w:type="dxa"/>
            <w:vAlign w:val="center"/>
          </w:tcPr>
          <w:p w14:paraId="001960F0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78AF59BE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参与标准编写</w:t>
            </w:r>
          </w:p>
        </w:tc>
      </w:tr>
      <w:tr w14:paraId="670D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04554D1E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李雨蔚</w:t>
            </w:r>
          </w:p>
        </w:tc>
        <w:tc>
          <w:tcPr>
            <w:tcW w:w="4134" w:type="dxa"/>
            <w:vAlign w:val="center"/>
          </w:tcPr>
          <w:p w14:paraId="6C89E4EC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3DF981F2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参与标准编写</w:t>
            </w:r>
          </w:p>
        </w:tc>
      </w:tr>
      <w:tr w14:paraId="2A22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50D30057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林浩博</w:t>
            </w:r>
          </w:p>
        </w:tc>
        <w:tc>
          <w:tcPr>
            <w:tcW w:w="4134" w:type="dxa"/>
            <w:vAlign w:val="center"/>
          </w:tcPr>
          <w:p w14:paraId="1AF0804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3EDBF08D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参与标准编写</w:t>
            </w:r>
          </w:p>
        </w:tc>
      </w:tr>
      <w:tr w14:paraId="0484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8" w:type="dxa"/>
            <w:vAlign w:val="center"/>
          </w:tcPr>
          <w:p w14:paraId="0B5097D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王晨霖</w:t>
            </w:r>
          </w:p>
        </w:tc>
        <w:tc>
          <w:tcPr>
            <w:tcW w:w="4134" w:type="dxa"/>
            <w:vAlign w:val="center"/>
          </w:tcPr>
          <w:p w14:paraId="7C56C3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中车青岛四方机车车辆股份有限公司</w:t>
            </w:r>
          </w:p>
        </w:tc>
        <w:tc>
          <w:tcPr>
            <w:tcW w:w="3410" w:type="dxa"/>
            <w:vAlign w:val="center"/>
          </w:tcPr>
          <w:p w14:paraId="5BD1165E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参与标准编写</w:t>
            </w:r>
          </w:p>
        </w:tc>
      </w:tr>
    </w:tbl>
    <w:p w14:paraId="4D22024A">
      <w:pPr>
        <w:pStyle w:val="49"/>
        <w:rPr>
          <w:rFonts w:ascii="黑体" w:hAnsi="黑体" w:eastAsia="黑体"/>
        </w:rPr>
      </w:pPr>
      <w:bookmarkStart w:id="8" w:name="_Toc168304257"/>
      <w:bookmarkStart w:id="9" w:name="_Toc97738906"/>
      <w:r>
        <w:rPr>
          <w:rFonts w:hint="eastAsia" w:ascii="黑体" w:hAnsi="黑体" w:eastAsia="黑体"/>
        </w:rPr>
        <w:t>（四）起草过程</w:t>
      </w:r>
      <w:bookmarkEnd w:id="8"/>
      <w:bookmarkEnd w:id="9"/>
    </w:p>
    <w:p w14:paraId="40D4554B">
      <w:pPr>
        <w:pStyle w:val="39"/>
        <w:spacing w:line="600" w:lineRule="exact"/>
        <w:ind w:firstLine="480"/>
        <w:rPr>
          <w:rFonts w:ascii="黑体" w:hAnsi="黑体" w:eastAsia="黑体" w:cs="楷体_GB2312"/>
          <w:sz w:val="24"/>
          <w:szCs w:val="24"/>
        </w:rPr>
      </w:pPr>
      <w:r>
        <w:rPr>
          <w:rFonts w:hint="eastAsia" w:ascii="黑体" w:hAnsi="黑体" w:eastAsia="黑体" w:cs="楷体_GB2312"/>
          <w:sz w:val="24"/>
          <w:szCs w:val="24"/>
        </w:rPr>
        <w:t>1.预研阶段</w:t>
      </w:r>
    </w:p>
    <w:p w14:paraId="5EB2D308">
      <w:pPr>
        <w:spacing w:line="360" w:lineRule="auto"/>
        <w:ind w:firstLine="480" w:firstLineChars="200"/>
        <w:rPr>
          <w:rFonts w:cs="楷体_GB2312" w:asciiTheme="minorEastAsia" w:hAnsiTheme="minorEastAsia"/>
          <w:sz w:val="24"/>
          <w:szCs w:val="24"/>
        </w:rPr>
      </w:pPr>
      <w:r>
        <w:rPr>
          <w:rFonts w:hint="eastAsia" w:cs="楷体_GB2312" w:asciiTheme="minorEastAsia" w:hAnsiTheme="minorEastAsia"/>
          <w:sz w:val="24"/>
          <w:szCs w:val="24"/>
        </w:rPr>
        <w:t>根据标准编制任务与计划，成立了包含设计、工艺、标准化的标准起草小组，研究热固性树脂基复合材料损伤通用修复方法，明确目标与内容，制定了《热固性树脂基复合材料损伤通用修复方法 板结构》标准编制的工作方案，依据工作组参与人员的专业、技能、人数明确了任务和分工，积极开展标准的研究、调研、起草、分析、验证等工作。</w:t>
      </w:r>
    </w:p>
    <w:p w14:paraId="1C5BFF95">
      <w:pPr>
        <w:pStyle w:val="39"/>
        <w:spacing w:line="600" w:lineRule="exact"/>
        <w:ind w:firstLine="480"/>
        <w:rPr>
          <w:rFonts w:ascii="黑体" w:hAnsi="黑体" w:eastAsia="黑体" w:cs="楷体_GB2312"/>
          <w:sz w:val="24"/>
          <w:szCs w:val="24"/>
        </w:rPr>
      </w:pPr>
      <w:r>
        <w:rPr>
          <w:rFonts w:hint="eastAsia" w:ascii="黑体" w:hAnsi="黑体" w:eastAsia="黑体" w:cs="楷体_GB2312"/>
          <w:sz w:val="24"/>
          <w:szCs w:val="24"/>
        </w:rPr>
        <w:t>2.起草阶段</w:t>
      </w:r>
    </w:p>
    <w:p w14:paraId="2ACE48AD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color w:val="auto"/>
          <w:lang w:eastAsia="zh-CN" w:bidi="ar-SA"/>
        </w:rPr>
      </w:pPr>
      <w:r>
        <w:rPr>
          <w:rFonts w:hint="eastAsia" w:cs="楷体_GB2312" w:asciiTheme="minorEastAsia" w:hAnsiTheme="minorEastAsia" w:eastAsiaTheme="minorEastAsia"/>
          <w:color w:val="auto"/>
          <w:lang w:eastAsia="zh-CN" w:bidi="ar-SA"/>
        </w:rPr>
        <w:t>2024年3月，项目组召开了启动会，在会上确定了标准制定的指导思想和原则，制定了标准的总体框架、工作计划及分工。</w:t>
      </w:r>
    </w:p>
    <w:p w14:paraId="0F065F1B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color w:val="auto"/>
          <w:lang w:eastAsia="zh-CN" w:bidi="ar-SA"/>
        </w:rPr>
      </w:pPr>
      <w:r>
        <w:rPr>
          <w:rFonts w:hint="eastAsia" w:cs="楷体_GB2312" w:asciiTheme="minorEastAsia" w:hAnsiTheme="minorEastAsia"/>
          <w:lang w:eastAsia="zh-CN"/>
        </w:rPr>
        <w:t>2024年4月，标准起草小组开展复合材料修复方法调研，查阅和搜集文献、标准、管理规范和飞机的修理手册，进行分析对比研究。对标准的内容和要求进行了界定，形成标准草案初稿。</w:t>
      </w:r>
    </w:p>
    <w:p w14:paraId="213F2FA0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color w:val="auto"/>
          <w:lang w:eastAsia="zh-CN" w:bidi="ar-SA"/>
        </w:rPr>
      </w:pPr>
      <w:r>
        <w:rPr>
          <w:rFonts w:hint="eastAsia" w:cs="楷体_GB2312" w:asciiTheme="minorEastAsia" w:hAnsiTheme="minorEastAsia" w:eastAsiaTheme="minorEastAsia"/>
          <w:color w:val="auto"/>
          <w:lang w:eastAsia="zh-CN" w:bidi="ar-SA"/>
        </w:rPr>
        <w:t>2024年5月至6月，标准起草小组组织对修复方法进行验证，并结合与高校的科研合作，验证修复方法的可行性与可靠性。起草组对草案进一步展开讨论修改，形成了标准的征求意见稿。</w:t>
      </w:r>
    </w:p>
    <w:p w14:paraId="7B872446">
      <w:pPr>
        <w:spacing w:line="560" w:lineRule="exact"/>
        <w:ind w:firstLine="480" w:firstLineChars="200"/>
        <w:outlineLvl w:val="0"/>
        <w:rPr>
          <w:rFonts w:ascii="黑体" w:hAnsi="黑体" w:eastAsia="黑体" w:cs="黑体"/>
          <w:bCs/>
          <w:sz w:val="24"/>
          <w:szCs w:val="24"/>
        </w:rPr>
      </w:pPr>
      <w:bookmarkStart w:id="10" w:name="_Toc168304258"/>
      <w:r>
        <w:rPr>
          <w:rFonts w:hint="eastAsia" w:ascii="黑体" w:hAnsi="黑体" w:eastAsia="黑体" w:cs="黑体"/>
          <w:bCs/>
          <w:sz w:val="24"/>
          <w:szCs w:val="24"/>
        </w:rPr>
        <w:t>二、标准制定的目的和意义</w:t>
      </w:r>
      <w:bookmarkEnd w:id="10"/>
    </w:p>
    <w:p w14:paraId="7B147893">
      <w:pPr>
        <w:spacing w:line="360" w:lineRule="auto"/>
        <w:ind w:firstLine="480" w:firstLineChars="200"/>
        <w:rPr>
          <w:rFonts w:cs="楷体_GB2312" w:asciiTheme="minorEastAsia" w:hAnsiTheme="minorEastAsia"/>
          <w:sz w:val="24"/>
          <w:szCs w:val="24"/>
        </w:rPr>
      </w:pPr>
      <w:r>
        <w:rPr>
          <w:rFonts w:hint="eastAsia" w:cs="楷体_GB2312" w:asciiTheme="minorEastAsia" w:hAnsiTheme="minorEastAsia"/>
          <w:sz w:val="24"/>
          <w:szCs w:val="24"/>
        </w:rPr>
        <w:t>轨道交通车辆中热固性树脂基复合材料产品日益增多，树脂基复合材料板结构在成型过程中，由于操作不当或者成型工艺的局限，出现缺陷在所难免，在实际运营过程中也难免发生损伤，为保证修复产品质量，满足产品运营维护的需求，亟需对复合材料的维修方法进行规范，以获得符合要求的维修效果。制定热固性树脂基复合材料板结构的损伤修复标准，有利于保证复合材料产品质量和提高产品运营可靠性。</w:t>
      </w:r>
    </w:p>
    <w:p w14:paraId="28C2BBC7">
      <w:pPr>
        <w:spacing w:line="360" w:lineRule="auto"/>
        <w:ind w:firstLine="480" w:firstLineChars="200"/>
        <w:rPr>
          <w:rFonts w:cs="楷体_GB2312" w:asciiTheme="minorEastAsia" w:hAnsiTheme="minorEastAsia"/>
          <w:sz w:val="24"/>
          <w:szCs w:val="24"/>
        </w:rPr>
      </w:pPr>
      <w:r>
        <w:rPr>
          <w:rFonts w:hint="eastAsia" w:cs="楷体_GB2312" w:asciiTheme="minorEastAsia" w:hAnsiTheme="minorEastAsia"/>
          <w:sz w:val="24"/>
          <w:szCs w:val="24"/>
        </w:rPr>
        <w:t>复合材料的修复技术在航空领域较为成熟，有着一套完整复合材料修复体系，但轨道交通领域等其他民用领域，由于产品类型不同导致结构差异较大，虽然可以借鉴航空领域复材修复等经验，但针对性和适用性较差，仍需形成一套适合本领域的修复标准。</w:t>
      </w:r>
    </w:p>
    <w:p w14:paraId="661D0FEF">
      <w:pPr>
        <w:spacing w:line="360" w:lineRule="auto"/>
        <w:ind w:firstLine="480" w:firstLineChars="200"/>
        <w:rPr>
          <w:rFonts w:cs="楷体_GB2312" w:asciiTheme="minorEastAsia" w:hAnsiTheme="minorEastAsia"/>
          <w:sz w:val="24"/>
          <w:szCs w:val="24"/>
        </w:rPr>
      </w:pPr>
      <w:r>
        <w:rPr>
          <w:rFonts w:hint="eastAsia" w:cs="楷体_GB2312" w:asciiTheme="minorEastAsia" w:hAnsiTheme="minorEastAsia"/>
          <w:sz w:val="24"/>
          <w:szCs w:val="24"/>
        </w:rPr>
        <w:t>随着轨道交通行业复合材料业务的增长，交付产品的数量与种类逐步增多。树脂基复合材料板结构在成型过程中，由于操作不当或者成型工艺的局限，出现缺陷在所难免，在使用过程中偶尔也会出现损伤，在这些缺陷和损伤中，有些缺陷和损伤是可以修复的。为确保产品的修复质量，提高产品的安全性、可靠性，有必要制定复合材料板结构的修复方法标准。板结构是最典型的复合材料结构，故先制定热固性树脂基复合材料板结构的损伤修复标准，逐步建立轨道交通领域复合材料产品的修复标准体系。</w:t>
      </w:r>
    </w:p>
    <w:p w14:paraId="5457C9CF">
      <w:pPr>
        <w:spacing w:line="560" w:lineRule="exact"/>
        <w:ind w:firstLine="480" w:firstLineChars="200"/>
        <w:outlineLvl w:val="0"/>
        <w:rPr>
          <w:rFonts w:ascii="黑体" w:hAnsi="黑体" w:eastAsia="黑体" w:cs="黑体"/>
          <w:bCs/>
          <w:sz w:val="24"/>
          <w:szCs w:val="24"/>
        </w:rPr>
      </w:pPr>
      <w:bookmarkStart w:id="11" w:name="_Toc168304259"/>
      <w:r>
        <w:rPr>
          <w:rFonts w:hint="eastAsia" w:ascii="黑体" w:hAnsi="黑体" w:eastAsia="黑体" w:cs="黑体"/>
          <w:bCs/>
          <w:sz w:val="24"/>
          <w:szCs w:val="24"/>
        </w:rPr>
        <w:t>三、标准编制原则、主要技术内容和确定依据</w:t>
      </w:r>
      <w:bookmarkEnd w:id="11"/>
    </w:p>
    <w:p w14:paraId="072C68C3">
      <w:pPr>
        <w:spacing w:line="560" w:lineRule="exact"/>
        <w:ind w:firstLine="480" w:firstLineChars="200"/>
        <w:jc w:val="left"/>
        <w:outlineLvl w:val="0"/>
        <w:rPr>
          <w:rFonts w:ascii="黑体" w:hAnsi="黑体" w:eastAsia="黑体" w:cs="楷体_GB2312"/>
          <w:sz w:val="24"/>
          <w:szCs w:val="24"/>
        </w:rPr>
      </w:pPr>
      <w:bookmarkStart w:id="12" w:name="_Toc168304260"/>
      <w:r>
        <w:rPr>
          <w:rFonts w:hint="eastAsia" w:ascii="黑体" w:hAnsi="黑体" w:eastAsia="黑体" w:cs="楷体_GB2312"/>
          <w:sz w:val="24"/>
          <w:szCs w:val="24"/>
        </w:rPr>
        <w:t>（一）标准编制原则</w:t>
      </w:r>
      <w:bookmarkEnd w:id="12"/>
    </w:p>
    <w:p w14:paraId="3536EDA0">
      <w:pPr>
        <w:pStyle w:val="39"/>
        <w:spacing w:line="360" w:lineRule="auto"/>
        <w:ind w:firstLine="640"/>
        <w:rPr>
          <w:rFonts w:cs="楷体_GB2312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</w:rPr>
        <w:t xml:space="preserve"> </w:t>
      </w:r>
      <w:r>
        <w:rPr>
          <w:rFonts w:hint="eastAsia" w:cs="楷体_GB2312" w:asciiTheme="minorEastAsia" w:hAnsiTheme="minorEastAsia" w:eastAsiaTheme="minorEastAsia"/>
          <w:kern w:val="2"/>
          <w:sz w:val="24"/>
          <w:szCs w:val="24"/>
        </w:rPr>
        <w:t>查阅参考文献、分析相关标准，制定标准方案并提出改进意见。在本标准起草过程中，依据GB/T 1.1—2020《标准化工作导则第1部分：标准化的结构和编写规则》的规定编写。</w:t>
      </w:r>
    </w:p>
    <w:p w14:paraId="0E53B0E2">
      <w:pPr>
        <w:spacing w:line="560" w:lineRule="exact"/>
        <w:ind w:firstLine="480" w:firstLineChars="200"/>
        <w:jc w:val="left"/>
        <w:outlineLvl w:val="0"/>
        <w:rPr>
          <w:rFonts w:ascii="黑体" w:hAnsi="黑体" w:eastAsia="黑体" w:cs="楷体_GB2312"/>
          <w:sz w:val="24"/>
          <w:szCs w:val="24"/>
        </w:rPr>
      </w:pPr>
      <w:bookmarkStart w:id="13" w:name="_Toc168304261"/>
      <w:r>
        <w:rPr>
          <w:rFonts w:hint="eastAsia" w:ascii="黑体" w:hAnsi="黑体" w:eastAsia="黑体" w:cs="楷体_GB2312"/>
          <w:sz w:val="24"/>
          <w:szCs w:val="24"/>
        </w:rPr>
        <w:t>（二）主要技术内容</w:t>
      </w:r>
      <w:bookmarkEnd w:id="13"/>
    </w:p>
    <w:p w14:paraId="0233E2EF">
      <w:pPr>
        <w:spacing w:line="560" w:lineRule="exact"/>
        <w:ind w:firstLine="480" w:firstLineChars="200"/>
        <w:rPr>
          <w:rFonts w:ascii="黑体" w:hAnsi="黑体" w:eastAsia="黑体" w:cs="仿宋_GB2312"/>
          <w:bCs/>
          <w:sz w:val="24"/>
          <w:szCs w:val="24"/>
        </w:rPr>
      </w:pPr>
      <w:bookmarkStart w:id="14" w:name="_Toc97566070"/>
      <w:bookmarkStart w:id="15" w:name="_Toc97738929"/>
      <w:r>
        <w:rPr>
          <w:rFonts w:hint="eastAsia" w:ascii="黑体" w:hAnsi="黑体" w:eastAsia="黑体" w:cs="仿宋_GB2312"/>
          <w:bCs/>
          <w:sz w:val="24"/>
          <w:szCs w:val="24"/>
        </w:rPr>
        <w:t>1.标准的主要框架</w:t>
      </w:r>
      <w:bookmarkEnd w:id="14"/>
      <w:bookmarkEnd w:id="15"/>
    </w:p>
    <w:p w14:paraId="7AA96391">
      <w:pPr>
        <w:pStyle w:val="39"/>
        <w:spacing w:line="360" w:lineRule="auto"/>
        <w:ind w:firstLine="480"/>
        <w:rPr>
          <w:rFonts w:cs="楷体_GB2312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楷体_GB2312" w:asciiTheme="minorEastAsia" w:hAnsiTheme="minorEastAsia" w:eastAsiaTheme="minorEastAsia"/>
          <w:kern w:val="2"/>
          <w:sz w:val="24"/>
          <w:szCs w:val="24"/>
        </w:rPr>
        <w:t>本文件描述了热固性树脂基复合材料板结构在成型、加工装配和使用过程中常见的缺陷和损伤类型，提供了基于不同损伤类型的具体修复方法，并对修复过程中用到的材料、工具、设备、检验方法、环境要求、人员资质和安全防护等作了规定。</w:t>
      </w:r>
    </w:p>
    <w:p w14:paraId="520FA20C">
      <w:pPr>
        <w:pStyle w:val="39"/>
        <w:spacing w:line="360" w:lineRule="auto"/>
        <w:ind w:firstLine="480"/>
        <w:rPr>
          <w:rFonts w:cs="楷体_GB2312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楷体_GB2312" w:asciiTheme="minorEastAsia" w:hAnsiTheme="minorEastAsia" w:eastAsiaTheme="minorEastAsia"/>
          <w:kern w:val="2"/>
          <w:sz w:val="24"/>
          <w:szCs w:val="24"/>
        </w:rPr>
        <w:t>本文件适用于热固性树脂基复合材料板结构的修复作业。</w:t>
      </w:r>
    </w:p>
    <w:p w14:paraId="050952A4">
      <w:pPr>
        <w:spacing w:line="600" w:lineRule="exact"/>
        <w:ind w:firstLine="480" w:firstLineChars="200"/>
        <w:rPr>
          <w:rFonts w:ascii="仿宋" w:hAnsi="仿宋" w:eastAsia="仿宋"/>
          <w:b/>
          <w:sz w:val="32"/>
          <w:szCs w:val="32"/>
        </w:rPr>
      </w:pPr>
      <w:bookmarkStart w:id="16" w:name="_Toc97566072"/>
      <w:bookmarkStart w:id="17" w:name="_Toc97738931"/>
      <w:r>
        <w:rPr>
          <w:rFonts w:hint="eastAsia" w:ascii="黑体" w:hAnsi="黑体" w:eastAsia="黑体" w:cs="仿宋_GB2312"/>
          <w:bCs/>
          <w:sz w:val="24"/>
          <w:szCs w:val="24"/>
        </w:rPr>
        <w:t>2.标准的主要内容</w:t>
      </w:r>
      <w:bookmarkEnd w:id="16"/>
      <w:bookmarkEnd w:id="17"/>
    </w:p>
    <w:p w14:paraId="3DF71D84">
      <w:pPr>
        <w:pStyle w:val="48"/>
        <w:spacing w:line="360" w:lineRule="auto"/>
        <w:ind w:firstLine="480"/>
        <w:rPr>
          <w:rFonts w:cs="楷体_GB2312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楷体_GB2312" w:asciiTheme="minorEastAsia" w:hAnsiTheme="minorEastAsia" w:eastAsiaTheme="minorEastAsia"/>
          <w:kern w:val="2"/>
          <w:sz w:val="24"/>
          <w:szCs w:val="24"/>
        </w:rPr>
        <w:t>本文介绍了复合材料常见损伤类型，规定了填充修复法、注射修复法、胶接修复法、机械连接修复法四种修复方法的适用条件及作业内容，同时规定了材料器具要求、工作环境要求、人员防护要求等。</w:t>
      </w:r>
      <w:bookmarkStart w:id="18" w:name="_Toc97738937"/>
      <w:bookmarkStart w:id="19" w:name="_Toc97566078"/>
      <w:r>
        <w:rPr>
          <w:rFonts w:hint="eastAsia" w:cs="楷体_GB2312" w:asciiTheme="minorEastAsia" w:hAnsiTheme="minorEastAsia" w:eastAsiaTheme="minorEastAsia"/>
          <w:kern w:val="2"/>
          <w:sz w:val="24"/>
          <w:szCs w:val="24"/>
        </w:rPr>
        <w:t>本文件适用于热固性树脂基复合材料板结构的修复作业。</w:t>
      </w:r>
    </w:p>
    <w:bookmarkEnd w:id="18"/>
    <w:bookmarkEnd w:id="19"/>
    <w:p w14:paraId="590E3EBC">
      <w:pPr>
        <w:spacing w:line="560" w:lineRule="exact"/>
        <w:ind w:firstLine="480" w:firstLineChars="200"/>
        <w:jc w:val="left"/>
        <w:outlineLvl w:val="0"/>
        <w:rPr>
          <w:rFonts w:ascii="黑体" w:hAnsi="黑体" w:eastAsia="黑体" w:cs="楷体_GB2312"/>
          <w:sz w:val="24"/>
          <w:szCs w:val="24"/>
        </w:rPr>
      </w:pPr>
      <w:bookmarkStart w:id="20" w:name="_Toc168304262"/>
      <w:r>
        <w:rPr>
          <w:rFonts w:hint="eastAsia" w:ascii="黑体" w:hAnsi="黑体" w:eastAsia="黑体" w:cs="楷体_GB2312"/>
          <w:sz w:val="24"/>
          <w:szCs w:val="24"/>
        </w:rPr>
        <w:t>（三）确定依据</w:t>
      </w:r>
      <w:bookmarkEnd w:id="20"/>
    </w:p>
    <w:p w14:paraId="36B78153">
      <w:pPr>
        <w:spacing w:line="6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1.相关标准和技术文献</w:t>
      </w:r>
    </w:p>
    <w:p w14:paraId="0D3ECC22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lang w:eastAsia="zh-CN"/>
        </w:rPr>
      </w:pPr>
      <w:bookmarkStart w:id="21" w:name="_Toc97566086"/>
      <w:bookmarkStart w:id="22" w:name="_Toc97738945"/>
      <w:r>
        <w:rPr>
          <w:rFonts w:hint="eastAsia" w:cs="楷体_GB2312" w:asciiTheme="minorEastAsia" w:hAnsiTheme="minorEastAsia" w:eastAsiaTheme="minorEastAsia"/>
          <w:lang w:eastAsia="zh-CN"/>
        </w:rPr>
        <w:t>GB/T 11605—2016  温度测量方法</w:t>
      </w:r>
    </w:p>
    <w:p w14:paraId="182F630D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lang w:eastAsia="zh-CN"/>
        </w:rPr>
      </w:pPr>
      <w:r>
        <w:rPr>
          <w:rFonts w:hint="eastAsia" w:cs="楷体_GB2312" w:asciiTheme="minorEastAsia" w:hAnsiTheme="minorEastAsia" w:eastAsiaTheme="minorEastAsia"/>
          <w:lang w:eastAsia="zh-CN"/>
        </w:rPr>
        <w:t>GB/T 18204.1—2013  公共场所卫生检验方法 第1部分：物理因素</w:t>
      </w:r>
    </w:p>
    <w:p w14:paraId="366178ED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lang w:eastAsia="zh-CN"/>
        </w:rPr>
      </w:pPr>
      <w:r>
        <w:rPr>
          <w:rFonts w:hint="eastAsia" w:cs="楷体_GB2312" w:asciiTheme="minorEastAsia" w:hAnsiTheme="minorEastAsia" w:eastAsiaTheme="minorEastAsia"/>
          <w:lang w:eastAsia="zh-CN"/>
        </w:rPr>
        <w:t>GB/T 22314—2008  塑料 环氧树脂 黏度测定方法</w:t>
      </w:r>
    </w:p>
    <w:p w14:paraId="40031744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lang w:eastAsia="zh-CN"/>
        </w:rPr>
      </w:pPr>
      <w:r>
        <w:rPr>
          <w:rFonts w:hint="eastAsia" w:cs="楷体_GB2312" w:asciiTheme="minorEastAsia" w:hAnsiTheme="minorEastAsia" w:eastAsiaTheme="minorEastAsia"/>
          <w:lang w:eastAsia="zh-CN"/>
        </w:rPr>
        <w:t>GB/T 28461—2012  碳纤维预浸料</w:t>
      </w:r>
    </w:p>
    <w:p w14:paraId="55E81193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lang w:eastAsia="zh-CN"/>
        </w:rPr>
      </w:pPr>
      <w:r>
        <w:rPr>
          <w:rFonts w:hint="eastAsia" w:cs="楷体_GB2312" w:asciiTheme="minorEastAsia" w:hAnsiTheme="minorEastAsia" w:eastAsiaTheme="minorEastAsia"/>
          <w:lang w:eastAsia="zh-CN"/>
        </w:rPr>
        <w:t>GB/T 38537—2020  纤维增强树脂基复合材料超声检测方法 C扫描法</w:t>
      </w:r>
    </w:p>
    <w:p w14:paraId="37EDA841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lang w:eastAsia="zh-CN"/>
        </w:rPr>
      </w:pPr>
      <w:r>
        <w:rPr>
          <w:rFonts w:hint="eastAsia" w:cs="楷体_GB2312" w:asciiTheme="minorEastAsia" w:hAnsiTheme="minorEastAsia" w:eastAsiaTheme="minorEastAsia"/>
          <w:lang w:eastAsia="zh-CN"/>
        </w:rPr>
        <w:t>HB/Z 409—2013  树脂基复合材料制件机械加工工艺</w:t>
      </w:r>
    </w:p>
    <w:p w14:paraId="5DF9EBA7">
      <w:pPr>
        <w:pStyle w:val="2"/>
        <w:spacing w:line="360" w:lineRule="auto"/>
        <w:ind w:firstLine="480" w:firstLineChars="200"/>
        <w:rPr>
          <w:rFonts w:cs="楷体_GB2312" w:asciiTheme="minorEastAsia" w:hAnsiTheme="minorEastAsia" w:eastAsiaTheme="minorEastAsia"/>
          <w:lang w:eastAsia="zh-CN"/>
        </w:rPr>
      </w:pPr>
      <w:r>
        <w:rPr>
          <w:rFonts w:hint="eastAsia" w:cs="楷体_GB2312" w:asciiTheme="minorEastAsia" w:hAnsiTheme="minorEastAsia" w:eastAsiaTheme="minorEastAsia"/>
          <w:lang w:eastAsia="zh-CN"/>
        </w:rPr>
        <w:t>HB/Z 410—2013  树脂基复合材料制件修补工艺</w:t>
      </w:r>
      <w:bookmarkEnd w:id="21"/>
      <w:bookmarkEnd w:id="22"/>
      <w:bookmarkStart w:id="23" w:name="_Toc97566099"/>
      <w:bookmarkStart w:id="24" w:name="_Toc97738960"/>
    </w:p>
    <w:bookmarkEnd w:id="23"/>
    <w:bookmarkEnd w:id="24"/>
    <w:p w14:paraId="0802D59A">
      <w:pPr>
        <w:spacing w:line="600" w:lineRule="exact"/>
        <w:ind w:firstLine="480" w:firstLineChars="200"/>
        <w:rPr>
          <w:rFonts w:ascii="黑体" w:hAnsi="黑体" w:eastAsia="黑体"/>
          <w:sz w:val="24"/>
          <w:szCs w:val="24"/>
        </w:rPr>
      </w:pPr>
      <w:bookmarkStart w:id="25" w:name="_Toc97566107"/>
      <w:bookmarkEnd w:id="25"/>
      <w:bookmarkStart w:id="26" w:name="_Toc97738968"/>
      <w:bookmarkEnd w:id="26"/>
      <w:bookmarkStart w:id="27" w:name="_Toc97738970"/>
      <w:bookmarkStart w:id="28" w:name="_Toc97566109"/>
      <w:r>
        <w:rPr>
          <w:rFonts w:hint="eastAsia" w:ascii="黑体" w:hAnsi="黑体" w:eastAsia="黑体"/>
          <w:sz w:val="24"/>
          <w:szCs w:val="24"/>
        </w:rPr>
        <w:t>2、调研成果</w:t>
      </w:r>
      <w:bookmarkEnd w:id="27"/>
      <w:bookmarkEnd w:id="28"/>
    </w:p>
    <w:p w14:paraId="5D5C923F">
      <w:pPr>
        <w:spacing w:line="360" w:lineRule="auto"/>
        <w:ind w:firstLine="480" w:firstLineChars="200"/>
        <w:rPr>
          <w:rFonts w:cs="楷体_GB2312" w:asciiTheme="minorEastAsia" w:hAnsiTheme="minorEastAsia"/>
          <w:sz w:val="24"/>
          <w:szCs w:val="24"/>
        </w:rPr>
      </w:pPr>
      <w:r>
        <w:rPr>
          <w:rFonts w:hint="eastAsia" w:cs="楷体_GB2312" w:asciiTheme="minorEastAsia" w:hAnsiTheme="minorEastAsia"/>
          <w:sz w:val="24"/>
          <w:szCs w:val="24"/>
        </w:rPr>
        <w:t>在标准编制过程中，标准制定小组与业内专家、技术能手展开了多次技术交流，查阅了相关文献资料，并通过样件试制、试验验证等方式对修复方法、技术要求和作业内容进行了补充完善，为标准的制定打下了扎实的基础。</w:t>
      </w:r>
    </w:p>
    <w:p w14:paraId="46562BDB">
      <w:pPr>
        <w:spacing w:line="600" w:lineRule="exact"/>
        <w:ind w:firstLine="480" w:firstLineChars="200"/>
        <w:outlineLvl w:val="0"/>
        <w:rPr>
          <w:rFonts w:ascii="黑体" w:hAnsi="黑体" w:eastAsia="黑体" w:cs="黑体"/>
          <w:bCs/>
          <w:sz w:val="24"/>
          <w:szCs w:val="24"/>
        </w:rPr>
      </w:pPr>
      <w:bookmarkStart w:id="29" w:name="_Toc168304263"/>
      <w:r>
        <w:rPr>
          <w:rFonts w:hint="eastAsia" w:ascii="黑体" w:hAnsi="黑体" w:eastAsia="黑体" w:cs="黑体"/>
          <w:bCs/>
          <w:sz w:val="24"/>
          <w:szCs w:val="24"/>
        </w:rPr>
        <w:t>四、与现行相关法律、行政法规和其他标准的关系</w:t>
      </w:r>
      <w:bookmarkEnd w:id="29"/>
    </w:p>
    <w:p w14:paraId="5B3C1FE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30" w:name="_Toc97738973"/>
      <w:bookmarkStart w:id="31" w:name="_Toc97566112"/>
      <w:r>
        <w:rPr>
          <w:rFonts w:hint="eastAsia" w:ascii="宋体" w:hAnsi="宋体" w:eastAsia="宋体"/>
          <w:sz w:val="24"/>
          <w:szCs w:val="24"/>
        </w:rPr>
        <w:t>本文件符合现行法律、法规和强制性国家标准的规定，与其他相关强制性标准无冲突。</w:t>
      </w:r>
      <w:bookmarkEnd w:id="30"/>
      <w:bookmarkEnd w:id="31"/>
    </w:p>
    <w:p w14:paraId="6E9895A2">
      <w:pPr>
        <w:spacing w:line="600" w:lineRule="exact"/>
        <w:ind w:firstLine="480" w:firstLineChars="200"/>
        <w:outlineLvl w:val="0"/>
        <w:rPr>
          <w:rFonts w:ascii="黑体" w:hAnsi="黑体" w:eastAsia="黑体" w:cs="黑体"/>
          <w:bCs/>
          <w:sz w:val="24"/>
          <w:szCs w:val="24"/>
        </w:rPr>
      </w:pPr>
      <w:bookmarkStart w:id="32" w:name="_Toc168304264"/>
      <w:r>
        <w:rPr>
          <w:rFonts w:hint="eastAsia" w:ascii="黑体" w:hAnsi="黑体" w:eastAsia="黑体" w:cs="黑体"/>
          <w:bCs/>
          <w:sz w:val="24"/>
          <w:szCs w:val="24"/>
        </w:rPr>
        <w:t>五、重大分歧意见的处理过程、处理意见及其依据</w:t>
      </w:r>
      <w:bookmarkEnd w:id="32"/>
    </w:p>
    <w:p w14:paraId="4FB82BF6">
      <w:pPr>
        <w:spacing w:line="600" w:lineRule="exact"/>
        <w:ind w:firstLine="480" w:firstLineChars="200"/>
        <w:rPr>
          <w:rFonts w:ascii="宋体" w:hAnsi="宋体" w:eastAsia="宋体"/>
          <w:sz w:val="24"/>
          <w:szCs w:val="24"/>
        </w:rPr>
      </w:pPr>
      <w:bookmarkStart w:id="33" w:name="_Toc97738975"/>
      <w:bookmarkStart w:id="34" w:name="_Toc97566114"/>
      <w:r>
        <w:rPr>
          <w:rFonts w:hint="eastAsia" w:ascii="宋体" w:hAnsi="宋体" w:eastAsia="宋体"/>
          <w:sz w:val="24"/>
          <w:szCs w:val="24"/>
        </w:rPr>
        <w:t>无。</w:t>
      </w:r>
      <w:bookmarkEnd w:id="33"/>
      <w:bookmarkEnd w:id="34"/>
    </w:p>
    <w:p w14:paraId="6B400F9E">
      <w:pPr>
        <w:spacing w:line="600" w:lineRule="exact"/>
        <w:ind w:firstLine="480" w:firstLineChars="200"/>
        <w:outlineLvl w:val="0"/>
        <w:rPr>
          <w:rFonts w:ascii="黑体" w:hAnsi="黑体" w:eastAsia="黑体" w:cs="黑体"/>
          <w:bCs/>
          <w:sz w:val="24"/>
          <w:szCs w:val="24"/>
        </w:rPr>
      </w:pPr>
      <w:bookmarkStart w:id="35" w:name="_Toc168304265"/>
      <w:r>
        <w:rPr>
          <w:rFonts w:hint="eastAsia" w:ascii="黑体" w:hAnsi="黑体" w:eastAsia="黑体" w:cs="黑体"/>
          <w:bCs/>
          <w:sz w:val="24"/>
          <w:szCs w:val="24"/>
        </w:rPr>
        <w:t>六、其他需要说明的内容</w:t>
      </w:r>
      <w:bookmarkEnd w:id="35"/>
    </w:p>
    <w:p w14:paraId="0970BFF8">
      <w:pPr>
        <w:spacing w:line="600" w:lineRule="exact"/>
        <w:ind w:firstLine="480" w:firstLineChars="200"/>
        <w:rPr>
          <w:rFonts w:ascii="宋体" w:hAnsi="宋体" w:eastAsia="宋体"/>
          <w:sz w:val="24"/>
          <w:szCs w:val="24"/>
        </w:rPr>
      </w:pPr>
      <w:bookmarkStart w:id="36" w:name="_Toc97566121"/>
      <w:bookmarkStart w:id="37" w:name="_Toc97738979"/>
      <w:r>
        <w:rPr>
          <w:rFonts w:hint="eastAsia" w:ascii="宋体" w:hAnsi="宋体" w:eastAsia="宋体"/>
          <w:sz w:val="24"/>
          <w:szCs w:val="24"/>
        </w:rPr>
        <w:t>无。</w:t>
      </w:r>
      <w:bookmarkEnd w:id="36"/>
      <w:bookmarkEnd w:id="37"/>
    </w:p>
    <w:p w14:paraId="68652039">
      <w:pPr>
        <w:pStyle w:val="2"/>
        <w:rPr>
          <w:sz w:val="32"/>
          <w:szCs w:val="32"/>
          <w:lang w:eastAsia="zh-CN" w:bidi="ar-SA"/>
        </w:rPr>
      </w:pPr>
    </w:p>
    <w:p w14:paraId="51290991">
      <w:pPr>
        <w:pStyle w:val="2"/>
        <w:rPr>
          <w:sz w:val="32"/>
          <w:szCs w:val="32"/>
          <w:lang w:eastAsia="zh-CN" w:bidi="ar-SA"/>
        </w:rPr>
      </w:pPr>
    </w:p>
    <w:p w14:paraId="707D6E81">
      <w:pPr>
        <w:pStyle w:val="2"/>
        <w:rPr>
          <w:sz w:val="32"/>
          <w:szCs w:val="32"/>
          <w:lang w:eastAsia="zh-CN" w:bidi="ar-SA"/>
        </w:rPr>
      </w:pPr>
    </w:p>
    <w:p w14:paraId="3FF2013B">
      <w:pPr>
        <w:pStyle w:val="2"/>
        <w:rPr>
          <w:sz w:val="32"/>
          <w:szCs w:val="32"/>
          <w:lang w:eastAsia="zh-CN" w:bidi="ar-SA"/>
        </w:rPr>
      </w:pPr>
    </w:p>
    <w:p w14:paraId="7156335E">
      <w:pPr>
        <w:pStyle w:val="2"/>
        <w:rPr>
          <w:sz w:val="32"/>
          <w:szCs w:val="32"/>
          <w:lang w:eastAsia="zh-CN" w:bidi="ar-SA"/>
        </w:rPr>
      </w:pPr>
    </w:p>
    <w:p w14:paraId="4B7BF697">
      <w:pPr>
        <w:spacing w:line="360" w:lineRule="auto"/>
        <w:ind w:right="14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标准起草小组</w:t>
      </w:r>
    </w:p>
    <w:p w14:paraId="42BF660A">
      <w:pPr>
        <w:spacing w:line="360" w:lineRule="auto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2024年0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cs="仿宋_GB2312" w:asciiTheme="minorEastAsia" w:hAnsi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</w:t>
      </w:r>
      <w:bookmarkStart w:id="38" w:name="_GoBack"/>
      <w:bookmarkEnd w:id="38"/>
      <w:r>
        <w:rPr>
          <w:rFonts w:hint="eastAsia" w:cs="仿宋_GB2312" w:asciiTheme="minorEastAsia" w:hAnsiTheme="minorEastAsia"/>
          <w:sz w:val="28"/>
          <w:szCs w:val="28"/>
        </w:rPr>
        <w:t>0日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C6F65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FB0CE5D">
    <w:pPr>
      <w:pStyle w:val="1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3A6E5">
    <w:pPr>
      <w:pStyle w:val="1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DA3CD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67CE4"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02260"/>
              <wp:effectExtent l="0" t="0" r="10795" b="152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757443851"/>
                          </w:sdtPr>
                          <w:sdtContent>
                            <w:p w14:paraId="75C3DE83">
                              <w:pPr>
                                <w:pStyle w:val="1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D100C6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qyeJo0gAAAAMBAAAPAAAAAAAAAAEAIAAAACIAAABkcnMvZG93bnJldi54bWxQSwECFAAUAAAA&#10;CACHTuJAaYRpWy0CAABTBAAADgAAAAAAAAABACAAAAAh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57443851"/>
                    </w:sdtPr>
                    <w:sdtContent>
                      <w:p w14:paraId="75C3DE83">
                        <w:pPr>
                          <w:pStyle w:val="1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4D100C67"/>
                </w:txbxContent>
              </v:textbox>
            </v:shape>
          </w:pict>
        </mc:Fallback>
      </mc:AlternateContent>
    </w:r>
  </w:p>
  <w:p w14:paraId="4BDC66DB">
    <w:pPr>
      <w:pStyle w:val="1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C1670"/>
    <w:multiLevelType w:val="multilevel"/>
    <w:tmpl w:val="0BDC1670"/>
    <w:lvl w:ilvl="0" w:tentative="0">
      <w:start w:val="1"/>
      <w:numFmt w:val="decimal"/>
      <w:pStyle w:val="47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649D94B"/>
    <w:multiLevelType w:val="multilevel"/>
    <w:tmpl w:val="6649D94B"/>
    <w:lvl w:ilvl="0" w:tentative="0">
      <w:start w:val="1"/>
      <w:numFmt w:val="lowerLetter"/>
      <w:pStyle w:val="4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42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43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70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40"/>
      <w:suff w:val="nothing"/>
      <w:lvlText w:val="%1%2.%3.%4　"/>
      <w:lvlJc w:val="left"/>
      <w:pPr>
        <w:ind w:left="156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567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AzZTc1NWYxOGI5ZDRmMTNiNThiN2EyOGEwZjcifQ=="/>
  </w:docVars>
  <w:rsids>
    <w:rsidRoot w:val="00BC73EB"/>
    <w:rsid w:val="000F742C"/>
    <w:rsid w:val="00145B6C"/>
    <w:rsid w:val="001B2DB6"/>
    <w:rsid w:val="00207676"/>
    <w:rsid w:val="00221B2B"/>
    <w:rsid w:val="002A0C20"/>
    <w:rsid w:val="002E5AA3"/>
    <w:rsid w:val="003300FE"/>
    <w:rsid w:val="0033267B"/>
    <w:rsid w:val="0034297D"/>
    <w:rsid w:val="0038627F"/>
    <w:rsid w:val="00415DDF"/>
    <w:rsid w:val="004175CE"/>
    <w:rsid w:val="004204B0"/>
    <w:rsid w:val="00431B00"/>
    <w:rsid w:val="00453B16"/>
    <w:rsid w:val="00454C8D"/>
    <w:rsid w:val="00496EB0"/>
    <w:rsid w:val="004C552D"/>
    <w:rsid w:val="00506039"/>
    <w:rsid w:val="00555DB9"/>
    <w:rsid w:val="00596493"/>
    <w:rsid w:val="005E0C7B"/>
    <w:rsid w:val="00601A4E"/>
    <w:rsid w:val="006032E6"/>
    <w:rsid w:val="00636817"/>
    <w:rsid w:val="006D6E1F"/>
    <w:rsid w:val="006F7ABF"/>
    <w:rsid w:val="00736FCC"/>
    <w:rsid w:val="0077226C"/>
    <w:rsid w:val="007D70DC"/>
    <w:rsid w:val="008444A4"/>
    <w:rsid w:val="00850BC2"/>
    <w:rsid w:val="008A6E31"/>
    <w:rsid w:val="008B1898"/>
    <w:rsid w:val="008F2777"/>
    <w:rsid w:val="00920B35"/>
    <w:rsid w:val="00923BAA"/>
    <w:rsid w:val="0092474D"/>
    <w:rsid w:val="00970CFA"/>
    <w:rsid w:val="00977434"/>
    <w:rsid w:val="0098282F"/>
    <w:rsid w:val="009A5FA9"/>
    <w:rsid w:val="009C5D17"/>
    <w:rsid w:val="00A01370"/>
    <w:rsid w:val="00A0666E"/>
    <w:rsid w:val="00A445BC"/>
    <w:rsid w:val="00A522C5"/>
    <w:rsid w:val="00A847BC"/>
    <w:rsid w:val="00AE7D5F"/>
    <w:rsid w:val="00AF21C3"/>
    <w:rsid w:val="00B738F0"/>
    <w:rsid w:val="00B844B3"/>
    <w:rsid w:val="00BC73EB"/>
    <w:rsid w:val="00BC7B97"/>
    <w:rsid w:val="00BE6739"/>
    <w:rsid w:val="00C74ED4"/>
    <w:rsid w:val="00CB25F0"/>
    <w:rsid w:val="00D17BD3"/>
    <w:rsid w:val="00D2590C"/>
    <w:rsid w:val="00DB0A09"/>
    <w:rsid w:val="00ED4806"/>
    <w:rsid w:val="00EF1DCA"/>
    <w:rsid w:val="00F61C64"/>
    <w:rsid w:val="00F6333D"/>
    <w:rsid w:val="00F85335"/>
    <w:rsid w:val="00F94E0A"/>
    <w:rsid w:val="00FD03E6"/>
    <w:rsid w:val="00FE2846"/>
    <w:rsid w:val="3AAB0CA9"/>
    <w:rsid w:val="4D5F2E20"/>
    <w:rsid w:val="579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  <w:lang w:eastAsia="en-US" w:bidi="en-US"/>
    </w:r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7">
    <w:name w:val="annotation text"/>
    <w:basedOn w:val="1"/>
    <w:link w:val="36"/>
    <w:unhideWhenUsed/>
    <w:qFormat/>
    <w:uiPriority w:val="99"/>
    <w:pPr>
      <w:jc w:val="left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tabs>
        <w:tab w:val="left" w:pos="835"/>
        <w:tab w:val="right" w:leader="dot" w:pos="8296"/>
      </w:tabs>
      <w:spacing w:after="100" w:line="276" w:lineRule="auto"/>
      <w:jc w:val="center"/>
    </w:pPr>
    <w:rPr>
      <w:rFonts w:ascii="黑体" w:hAnsi="黑体" w:eastAsia="黑体" w:cs="宋体"/>
      <w:kern w:val="0"/>
      <w:sz w:val="40"/>
      <w:szCs w:val="32"/>
    </w:rPr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9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0">
    <w:name w:val="annotation subject"/>
    <w:basedOn w:val="7"/>
    <w:next w:val="7"/>
    <w:link w:val="37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qFormat/>
    <w:uiPriority w:val="0"/>
    <w:rPr>
      <w:color w:val="800080"/>
      <w:u w:val="single"/>
    </w:rPr>
  </w:style>
  <w:style w:type="character" w:styleId="25">
    <w:name w:val="Emphasis"/>
    <w:basedOn w:val="23"/>
    <w:qFormat/>
    <w:uiPriority w:val="20"/>
    <w:rPr>
      <w:i/>
      <w:iCs/>
    </w:rPr>
  </w:style>
  <w:style w:type="character" w:styleId="26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3"/>
    <w:unhideWhenUsed/>
    <w:qFormat/>
    <w:uiPriority w:val="99"/>
    <w:rPr>
      <w:sz w:val="21"/>
      <w:szCs w:val="21"/>
    </w:rPr>
  </w:style>
  <w:style w:type="character" w:customStyle="1" w:styleId="28">
    <w:name w:val="标题 3 Char"/>
    <w:basedOn w:val="23"/>
    <w:link w:val="5"/>
    <w:semiHidden/>
    <w:qFormat/>
    <w:uiPriority w:val="9"/>
    <w:rPr>
      <w:b/>
      <w:bCs/>
      <w:sz w:val="32"/>
      <w:szCs w:val="32"/>
    </w:rPr>
  </w:style>
  <w:style w:type="character" w:customStyle="1" w:styleId="29">
    <w:name w:val="页眉 Char"/>
    <w:basedOn w:val="23"/>
    <w:link w:val="14"/>
    <w:qFormat/>
    <w:uiPriority w:val="99"/>
    <w:rPr>
      <w:sz w:val="18"/>
      <w:szCs w:val="18"/>
    </w:rPr>
  </w:style>
  <w:style w:type="character" w:customStyle="1" w:styleId="30">
    <w:name w:val="页脚 Char"/>
    <w:basedOn w:val="23"/>
    <w:link w:val="13"/>
    <w:qFormat/>
    <w:uiPriority w:val="99"/>
    <w:rPr>
      <w:sz w:val="18"/>
      <w:szCs w:val="18"/>
    </w:rPr>
  </w:style>
  <w:style w:type="character" w:customStyle="1" w:styleId="31">
    <w:name w:val="日期 Char"/>
    <w:basedOn w:val="23"/>
    <w:link w:val="11"/>
    <w:semiHidden/>
    <w:qFormat/>
    <w:uiPriority w:val="99"/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character" w:customStyle="1" w:styleId="33">
    <w:name w:val="标题 1 Char"/>
    <w:basedOn w:val="23"/>
    <w:link w:val="3"/>
    <w:qFormat/>
    <w:uiPriority w:val="9"/>
    <w:rPr>
      <w:b/>
      <w:bCs/>
      <w:kern w:val="44"/>
      <w:sz w:val="44"/>
      <w:szCs w:val="44"/>
    </w:rPr>
  </w:style>
  <w:style w:type="paragraph" w:customStyle="1" w:styleId="3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5">
    <w:name w:val="批注框文本 Char"/>
    <w:basedOn w:val="23"/>
    <w:link w:val="12"/>
    <w:semiHidden/>
    <w:qFormat/>
    <w:uiPriority w:val="99"/>
    <w:rPr>
      <w:sz w:val="18"/>
      <w:szCs w:val="18"/>
    </w:rPr>
  </w:style>
  <w:style w:type="character" w:customStyle="1" w:styleId="36">
    <w:name w:val="批注文字 Char"/>
    <w:basedOn w:val="23"/>
    <w:link w:val="7"/>
    <w:semiHidden/>
    <w:qFormat/>
    <w:uiPriority w:val="99"/>
  </w:style>
  <w:style w:type="character" w:customStyle="1" w:styleId="37">
    <w:name w:val="批注主题 Char"/>
    <w:basedOn w:val="36"/>
    <w:link w:val="20"/>
    <w:semiHidden/>
    <w:qFormat/>
    <w:uiPriority w:val="99"/>
    <w:rPr>
      <w:b/>
      <w:bCs/>
    </w:rPr>
  </w:style>
  <w:style w:type="character" w:customStyle="1" w:styleId="38">
    <w:name w:val="标题 2 Char"/>
    <w:basedOn w:val="23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9">
    <w:name w:val="标准文件_段"/>
    <w:link w:val="4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0">
    <w:name w:val="标准文件_二级条标题"/>
    <w:next w:val="39"/>
    <w:qFormat/>
    <w:uiPriority w:val="0"/>
    <w:pPr>
      <w:widowControl w:val="0"/>
      <w:numPr>
        <w:ilvl w:val="3"/>
        <w:numId w:val="1"/>
      </w:numPr>
      <w:spacing w:beforeLines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41">
    <w:name w:val="标准文件_段 Char"/>
    <w:link w:val="39"/>
    <w:qFormat/>
    <w:uiPriority w:val="0"/>
    <w:rPr>
      <w:rFonts w:ascii="宋体"/>
      <w:sz w:val="21"/>
    </w:rPr>
  </w:style>
  <w:style w:type="paragraph" w:customStyle="1" w:styleId="42">
    <w:name w:val="标准文件_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标准文件_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标准文件_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5">
    <w:name w:val="text-value"/>
    <w:basedOn w:val="23"/>
    <w:qFormat/>
    <w:uiPriority w:val="0"/>
  </w:style>
  <w:style w:type="paragraph" w:customStyle="1" w:styleId="46">
    <w:name w:val="标准文件_参考文献标题"/>
    <w:basedOn w:val="1"/>
    <w:next w:val="1"/>
    <w:qFormat/>
    <w:uiPriority w:val="0"/>
    <w:pPr>
      <w:widowControl/>
      <w:shd w:val="clear" w:color="FFFFFF" w:fill="FFFFFF"/>
      <w:spacing w:before="40" w:beforeLines="40" w:after="50" w:afterLines="50"/>
      <w:jc w:val="center"/>
      <w:outlineLvl w:val="0"/>
    </w:pPr>
    <w:rPr>
      <w:rFonts w:ascii="黑体" w:hAnsi="Calibri" w:eastAsia="黑体" w:cs="Times New Roman"/>
      <w:kern w:val="0"/>
      <w:szCs w:val="21"/>
    </w:rPr>
  </w:style>
  <w:style w:type="paragraph" w:customStyle="1" w:styleId="47">
    <w:name w:val="标准文件_方框数字列项"/>
    <w:basedOn w:val="39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48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9">
    <w:name w:val="List Paragraph"/>
    <w:basedOn w:val="1"/>
    <w:qFormat/>
    <w:uiPriority w:val="99"/>
    <w:pPr>
      <w:spacing w:line="560" w:lineRule="exact"/>
      <w:ind w:firstLine="480" w:firstLineChars="200"/>
      <w:outlineLvl w:val="0"/>
    </w:pPr>
    <w:rPr>
      <w:rFonts w:cs="楷体_GB2312" w:asciiTheme="minorEastAsia" w:hAnsi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2362</Words>
  <Characters>2480</Characters>
  <Lines>24</Lines>
  <Paragraphs>7</Paragraphs>
  <TotalTime>108</TotalTime>
  <ScaleCrop>false</ScaleCrop>
  <LinksUpToDate>false</LinksUpToDate>
  <CharactersWithSpaces>2540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2022-12-16T12:27:00Z</dcterms:created>
  <dc:creator>Administrator</dc:creator>
  <cp:lastModifiedBy>Lenovo</cp:lastModifiedBy>
  <cp:lastPrinted>2022-12-16T13:17:00Z</cp:lastPrinted>
  <dcterms:modified xsi:type="dcterms:W3CDTF">2024-06-21T00:27:09Z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3A48ED11839E4BFBBB7B5399F545E5B2</vt:lpwstr>
  </property>
</Properties>
</file>