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spacing w:before="1248" w:beforeLines="400" w:after="480"/>
        <w:ind w:left="567" w:leftChars="270" w:right="479" w:rightChars="228"/>
        <w:jc w:val="distribute"/>
        <w:rPr>
          <w:bCs/>
          <w:sz w:val="56"/>
          <w:szCs w:val="56"/>
        </w:rPr>
      </w:pPr>
      <w:r>
        <w:rPr>
          <w:rFonts w:hint="eastAsia"/>
          <w:bCs/>
          <w:sz w:val="56"/>
          <w:szCs w:val="56"/>
        </w:rPr>
        <w:t>团体标准</w:t>
      </w:r>
    </w:p>
    <w:p>
      <w:pPr>
        <w:pStyle w:val="23"/>
        <w:spacing w:line="480" w:lineRule="auto"/>
        <w:rPr>
          <w:rFonts w:hAnsi="黑体"/>
          <w:b w:val="0"/>
          <w:bCs/>
          <w:sz w:val="56"/>
          <w:szCs w:val="56"/>
        </w:rPr>
      </w:pPr>
      <w:r>
        <w:rPr>
          <w:rFonts w:hint="eastAsia" w:hAnsi="黑体"/>
          <w:b w:val="0"/>
          <w:bCs/>
          <w:sz w:val="56"/>
          <w:szCs w:val="56"/>
        </w:rPr>
        <w:t>《</w:t>
      </w:r>
      <w:r>
        <w:rPr>
          <w:rFonts w:hint="eastAsia" w:hAnsi="黑体"/>
          <w:b w:val="0"/>
          <w:bCs/>
          <w:color w:val="auto"/>
          <w:kern w:val="2"/>
          <w:sz w:val="56"/>
          <w:szCs w:val="56"/>
          <w:lang w:val="en-US" w:eastAsia="zh-CN"/>
        </w:rPr>
        <w:t>微量氢气检测报警仪校准方法</w:t>
      </w:r>
      <w:r>
        <w:rPr>
          <w:rFonts w:hint="eastAsia" w:hAnsi="黑体"/>
          <w:b w:val="0"/>
          <w:bCs/>
          <w:sz w:val="56"/>
          <w:szCs w:val="56"/>
        </w:rPr>
        <w:t>》</w:t>
      </w:r>
    </w:p>
    <w:p>
      <w:pPr>
        <w:tabs>
          <w:tab w:val="center" w:pos="4536"/>
        </w:tabs>
        <w:spacing w:before="1320"/>
        <w:jc w:val="left"/>
        <w:rPr>
          <w:rFonts w:ascii="黑体" w:eastAsia="黑体"/>
          <w:spacing w:val="60"/>
          <w:sz w:val="72"/>
          <w:szCs w:val="72"/>
        </w:rPr>
      </w:pPr>
      <w:r>
        <w:rPr>
          <w:rFonts w:hint="eastAsia" w:ascii="黑体" w:eastAsia="黑体"/>
          <w:spacing w:val="226"/>
          <w:sz w:val="72"/>
          <w:szCs w:val="72"/>
        </w:rPr>
        <w:tab/>
      </w:r>
      <w:r>
        <w:rPr>
          <w:rFonts w:hint="eastAsia" w:ascii="黑体" w:eastAsia="黑体"/>
          <w:spacing w:val="226"/>
          <w:sz w:val="72"/>
          <w:szCs w:val="72"/>
        </w:rPr>
        <w:t>编制说</w:t>
      </w:r>
      <w:r>
        <w:rPr>
          <w:rFonts w:hint="eastAsia" w:ascii="黑体" w:eastAsia="黑体"/>
          <w:sz w:val="72"/>
          <w:szCs w:val="72"/>
        </w:rPr>
        <w:t>明</w:t>
      </w:r>
    </w:p>
    <w:p>
      <w:pPr>
        <w:spacing w:before="4920"/>
        <w:ind w:left="2835" w:leftChars="1350" w:right="2606" w:rightChars="1241"/>
        <w:jc w:val="distribute"/>
        <w:rPr>
          <w:b/>
          <w:sz w:val="32"/>
        </w:rPr>
      </w:pPr>
      <w:r>
        <w:rPr>
          <w:rFonts w:hint="eastAsia"/>
          <w:b/>
          <w:sz w:val="32"/>
        </w:rPr>
        <w:t>规范起草小组</w:t>
      </w:r>
    </w:p>
    <w:p>
      <w:pPr>
        <w:spacing w:before="3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pStyle w:val="2"/>
        <w:keepNext/>
        <w:keepLines/>
        <w:spacing w:before="120" w:beforeAutospacing="0" w:after="240" w:afterAutospacing="0" w:line="360" w:lineRule="auto"/>
        <w:jc w:val="both"/>
        <w:outlineLvl w:val="0"/>
        <w:rPr>
          <w:rFonts w:hint="eastAsia" w:ascii="Times New Roman" w:hAnsi="Times New Roman" w:eastAsia="黑体" w:cs="Times New Roman"/>
          <w:sz w:val="30"/>
          <w:szCs w:val="44"/>
          <w:lang w:bidi="ar-SA"/>
        </w:rPr>
      </w:pPr>
      <w:bookmarkStart w:id="0" w:name="_Toc167265850"/>
      <w:r>
        <w:rPr>
          <w:rFonts w:hint="eastAsia" w:ascii="Times New Roman" w:hAnsi="Times New Roman" w:eastAsia="黑体" w:cs="Times New Roman"/>
          <w:sz w:val="30"/>
          <w:szCs w:val="44"/>
          <w:lang w:val="en-US" w:eastAsia="zh-CN" w:bidi="ar-SA"/>
        </w:rPr>
        <w:t xml:space="preserve">1  </w:t>
      </w:r>
      <w:r>
        <w:rPr>
          <w:rFonts w:hint="eastAsia" w:ascii="Times New Roman" w:hAnsi="Times New Roman" w:eastAsia="黑体" w:cs="Times New Roman"/>
          <w:sz w:val="30"/>
          <w:szCs w:val="44"/>
          <w:lang w:bidi="ar-SA"/>
        </w:rPr>
        <w:t>任务来源及项目意义</w:t>
      </w:r>
      <w:bookmarkEnd w:id="0"/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微量氢气检测报警仪被广泛应用于氢气泄露安全报警、氢气微量检测分析等对于氢气测量精度较高的场所，主要用于氢气浓度的检测，使用场王所主要包括车载氢气气瓶、加氢机上方、压缩机上方、卸气柱上方、顺序控制盘区域等。DT37/T4073-2020《车用加氢站运营管理规范》中明确提出“氢气压缩机间或氢气压缩机撬、制氢间等易聚集泄露氢气的场所，均应设置空气中氢气浓度超限报警装置”、“加氢站应配备足够的应急抢险物资，主要包括防爆工具、便携式氢气检测仪器等”，中国工业气体工业协会《车载氢系统安全技术规范》规定氢气浓度传感器要符合GB12358、GB16808、GB/T29126要求，从而保障车用氢气质量可靠及密闭空间内的氢气安全性。</w:t>
      </w:r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传统的JJG693-2011《可燃气体检测报警器》主要适用于催化燃烧型、红外线吸收型、热导型，主要侧重于对于气体报警功能及安全性检测，气体检测浓度较高，灵敏度不够，而低浓度高灵敏度氢气浓度测量仪主要采用电化学原理，侧重于对于氢气浓度的计量，目前氢气作为一种新型能源，使用场景越来越广泛，因此更加关注其数据质量，微小的泄露长时间都会造成巨大的经济损失，相对于广阔场景下的安全性，微小泄露监测更加有必要，因此有必要制定相应的技术标准保证微量氢气检测的安全可靠。</w:t>
      </w:r>
    </w:p>
    <w:p>
      <w:pPr>
        <w:pStyle w:val="2"/>
        <w:keepNext/>
        <w:keepLines/>
        <w:spacing w:before="120" w:beforeAutospacing="0" w:after="240" w:afterAutospacing="0" w:line="360" w:lineRule="auto"/>
        <w:jc w:val="both"/>
        <w:outlineLvl w:val="0"/>
        <w:rPr>
          <w:rFonts w:hint="default" w:ascii="Times New Roman" w:hAnsi="Times New Roman" w:eastAsia="黑体" w:cs="Times New Roman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0"/>
          <w:szCs w:val="44"/>
          <w:lang w:val="en-US" w:eastAsia="zh-CN" w:bidi="ar-SA"/>
        </w:rPr>
        <w:t>2 主要技术依据</w:t>
      </w:r>
    </w:p>
    <w:p>
      <w:pPr>
        <w:pStyle w:val="24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2.1</w:t>
      </w:r>
      <w:r>
        <w:rPr>
          <w:rFonts w:hint="default" w:ascii="Times New Roman" w:hAnsi="Times New Roman" w:cs="Times New Roman"/>
          <w:sz w:val="28"/>
          <w:szCs w:val="28"/>
        </w:rPr>
        <w:t xml:space="preserve">   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标准</w:t>
      </w:r>
      <w:r>
        <w:rPr>
          <w:rFonts w:hint="default" w:ascii="Times New Roman" w:hAnsi="Times New Roman" w:cs="Times New Roman"/>
          <w:sz w:val="28"/>
          <w:szCs w:val="28"/>
        </w:rPr>
        <w:t>按照GB/T 1.1-2020《标准化工作导则第一部分：标准化文件的结构和起草规则》进行起草。</w:t>
      </w:r>
    </w:p>
    <w:p>
      <w:pPr>
        <w:pStyle w:val="8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2.2</w:t>
      </w: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本标准的技术要求和方法参考了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GB12358《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作业场所环境气体检测报警仪　通用技术要求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》、GB16808《可燃气体报警控制器》、GB/T29126《燃料电池电动汽车 车载氢系统 试验方法》、DT37/T4073-2020《车用加氢站运营管理规范》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JJG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693-2011《可燃气体检测报警器》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 xml:space="preserve">JJF 1059.1-2012 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《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测量不确定度评定与表示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》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3 编制过程</w:t>
      </w:r>
    </w:p>
    <w:p>
      <w:pPr>
        <w:spacing w:line="360" w:lineRule="auto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3.1 编制原则</w:t>
      </w:r>
    </w:p>
    <w:p>
      <w:pPr>
        <w:pStyle w:val="19"/>
        <w:ind w:firstLine="5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标准</w:t>
      </w:r>
      <w:r>
        <w:rPr>
          <w:rFonts w:hint="default" w:ascii="Times New Roman" w:hAnsi="Times New Roman" w:cs="Times New Roman"/>
          <w:sz w:val="28"/>
          <w:szCs w:val="28"/>
        </w:rPr>
        <w:t>是参考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相关技术规范</w:t>
      </w:r>
      <w:r>
        <w:rPr>
          <w:rFonts w:hint="default" w:ascii="Times New Roman" w:hAnsi="Times New Roman" w:cs="Times New Roman"/>
          <w:sz w:val="28"/>
          <w:szCs w:val="28"/>
        </w:rPr>
        <w:t>而形成的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微量氢气检测报警仪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校准方法</w:t>
      </w:r>
      <w:r>
        <w:rPr>
          <w:rFonts w:hint="default" w:ascii="Times New Roman" w:hAnsi="Times New Roman" w:cs="Times New Roman"/>
          <w:sz w:val="28"/>
          <w:szCs w:val="28"/>
        </w:rPr>
        <w:t xml:space="preserve">。编制原则如下：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方法的测定内容、基本要求、测定原理等需满足相关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 w:bidi="ar-SA"/>
        </w:rPr>
        <w:t>氢气泄露检测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排放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标准的要求。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测定方法具有可实施性，通过标准规定的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校准方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法能有效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 w:bidi="ar-SA"/>
        </w:rPr>
        <w:t>检测微量氢气泄露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保证氢气安全性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满足目前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 w:bidi="ar-SA"/>
        </w:rPr>
        <w:t>微量氢气泄露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直接测量方法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工作的需要。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测定方法具有普遍适用性，功能完整性，满足不同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原理不同量程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有关该标准的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技术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要求。</w:t>
      </w:r>
    </w:p>
    <w:p>
      <w:pPr>
        <w:spacing w:line="360" w:lineRule="auto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3.2  工作进程</w:t>
      </w:r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月，济南市计量检定测试院作为策划及承担单位，召集相关工作人员及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生产单位、使用单位</w:t>
      </w:r>
      <w:r>
        <w:rPr>
          <w:rFonts w:hint="default" w:ascii="Times New Roman" w:hAnsi="Times New Roman" w:cs="Times New Roman"/>
          <w:sz w:val="28"/>
          <w:szCs w:val="28"/>
        </w:rPr>
        <w:t>，成立标准编制小组，完成了项目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申报</w:t>
      </w:r>
      <w:r>
        <w:rPr>
          <w:rFonts w:hint="default" w:ascii="Times New Roman" w:hAnsi="Times New Roman" w:cs="Times New Roman"/>
          <w:sz w:val="28"/>
          <w:szCs w:val="28"/>
        </w:rPr>
        <w:t>和填报签订，编制组初步拟定了标准编制的工作目标、工作内容，同时按照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申报书</w:t>
      </w:r>
      <w:r>
        <w:rPr>
          <w:rFonts w:hint="default" w:ascii="Times New Roman" w:hAnsi="Times New Roman" w:cs="Times New Roman"/>
          <w:sz w:val="28"/>
          <w:szCs w:val="28"/>
        </w:rPr>
        <w:t>的要求，进行任务分工并制定了详细的标准编制计划。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2024年4月至2024年5月，调研相关生产厂家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微量氢气检测报警仪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工作原理、设备类型、技术指标、测量方法等相关方面的校准方法，查阅定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微量氢气检测报警仪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相关标准，确定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微量氢气检测报警仪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校准方法，查阅相关研究和文献资料，经过初步探讨、分析、研究，确定标准制定原则和技术路线，形成本标准的初稿草案</w:t>
      </w:r>
      <w:r>
        <w:rPr>
          <w:rFonts w:hint="default" w:ascii="Times New Roman" w:hAnsi="Times New Roman" w:cs="Times New Roman"/>
          <w:sz w:val="28"/>
          <w:szCs w:val="28"/>
        </w:rPr>
        <w:t>以及相关技术指标验证测试初步方案。</w:t>
      </w:r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月至202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按照测试方案开展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微量氢气检测报警仪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性能测试，考察仪器的计量参数以及计量性能，确立仪器的关键指标，形成征求意见稿征集意见。</w:t>
      </w:r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月至202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月，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将征求意见稿送相关仪器厂家、计量技术机构、使用单位等征集意见，同时在网上公示征集相关单位意见，对征求意见进行论证、修改，从而形成送审稿。</w:t>
      </w:r>
    </w:p>
    <w:p>
      <w:pPr>
        <w:pStyle w:val="8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sz w:val="28"/>
          <w:szCs w:val="28"/>
        </w:rPr>
        <w:t>2024年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月至202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月，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对送审稿进行评审，按照评审意见进行修改，形成最终发布稿，并将所有材料报送学会发布。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default" w:ascii="Times New Roman" w:hAnsi="Times New Roman" w:cs="Times New Roman"/>
          <w:sz w:val="30"/>
        </w:rPr>
      </w:pPr>
      <w:bookmarkStart w:id="1" w:name="_Toc167265855"/>
      <w:r>
        <w:rPr>
          <w:rFonts w:hint="default" w:ascii="Times New Roman" w:hAnsi="Times New Roman" w:cs="Times New Roman"/>
          <w:sz w:val="30"/>
          <w:lang w:val="en-US" w:eastAsia="zh-CN"/>
        </w:rPr>
        <w:t xml:space="preserve">4 </w:t>
      </w:r>
      <w:r>
        <w:rPr>
          <w:rFonts w:hint="default" w:ascii="Times New Roman" w:hAnsi="Times New Roman" w:cs="Times New Roman"/>
          <w:sz w:val="30"/>
        </w:rPr>
        <w:t>主要技术内容的论点</w:t>
      </w:r>
      <w:bookmarkEnd w:id="1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Chars="0"/>
        <w:textAlignment w:val="auto"/>
        <w:rPr>
          <w:rFonts w:hint="default" w:ascii="Times New Roman" w:hAnsi="Times New Roman" w:cs="Times New Roman"/>
          <w:sz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lang w:val="en-US" w:eastAsia="zh-CN"/>
        </w:rPr>
        <w:t>4.1 本标准规定的试验材料、试验条件及试验设备</w:t>
      </w:r>
    </w:p>
    <w:p>
      <w:pPr>
        <w:pStyle w:val="16"/>
        <w:numPr>
          <w:ilvl w:val="0"/>
          <w:numId w:val="2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气体标准物质的要求</w:t>
      </w:r>
      <w:r>
        <w:rPr>
          <w:rFonts w:hint="default" w:ascii="Times New Roman" w:hAnsi="Times New Roman" w:cs="Times New Roman"/>
          <w:sz w:val="28"/>
          <w:szCs w:val="28"/>
        </w:rPr>
        <w:t>；</w:t>
      </w:r>
    </w:p>
    <w:p>
      <w:pPr>
        <w:pStyle w:val="16"/>
        <w:numPr>
          <w:ilvl w:val="0"/>
          <w:numId w:val="2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流量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控制器</w:t>
      </w:r>
      <w:r>
        <w:rPr>
          <w:rFonts w:hint="default" w:ascii="Times New Roman" w:hAnsi="Times New Roman" w:cs="Times New Roman"/>
          <w:sz w:val="28"/>
          <w:szCs w:val="28"/>
        </w:rPr>
        <w:t>的要求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Chars="0"/>
        <w:textAlignment w:val="auto"/>
        <w:rPr>
          <w:rFonts w:hint="default" w:ascii="Times New Roman" w:hAnsi="Times New Roman" w:cs="Times New Roman"/>
          <w:sz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lang w:val="en-US" w:eastAsia="zh-CN"/>
        </w:rPr>
        <w:t>4.2 本标准试验验证项目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1)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外观及功能</w:t>
      </w:r>
    </w:p>
    <w:p>
      <w:pPr>
        <w:pStyle w:val="16"/>
        <w:numPr>
          <w:ilvl w:val="0"/>
          <w:numId w:val="0"/>
        </w:numPr>
        <w:tabs>
          <w:tab w:val="left" w:pos="360"/>
          <w:tab w:val="left" w:pos="720"/>
        </w:tabs>
        <w:spacing w:line="480" w:lineRule="exact"/>
        <w:ind w:left="560"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2)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示值误差</w:t>
      </w:r>
    </w:p>
    <w:p>
      <w:pPr>
        <w:pStyle w:val="16"/>
        <w:numPr>
          <w:ilvl w:val="0"/>
          <w:numId w:val="0"/>
        </w:numPr>
        <w:tabs>
          <w:tab w:val="left" w:pos="360"/>
          <w:tab w:val="left" w:pos="720"/>
        </w:tabs>
        <w:spacing w:line="480" w:lineRule="exact"/>
        <w:ind w:left="560" w:left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)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报警功能</w:t>
      </w:r>
    </w:p>
    <w:p>
      <w:pPr>
        <w:pStyle w:val="16"/>
        <w:numPr>
          <w:ilvl w:val="0"/>
          <w:numId w:val="0"/>
        </w:numPr>
        <w:tabs>
          <w:tab w:val="left" w:pos="360"/>
          <w:tab w:val="left" w:pos="720"/>
        </w:tabs>
        <w:spacing w:line="480" w:lineRule="exact"/>
        <w:ind w:left="560" w:left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)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响应时间</w:t>
      </w:r>
    </w:p>
    <w:p>
      <w:pPr>
        <w:pStyle w:val="16"/>
        <w:numPr>
          <w:ilvl w:val="0"/>
          <w:numId w:val="0"/>
        </w:numPr>
        <w:tabs>
          <w:tab w:val="left" w:pos="360"/>
          <w:tab w:val="left" w:pos="720"/>
        </w:tabs>
        <w:spacing w:line="480" w:lineRule="exact"/>
        <w:ind w:left="560"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)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重复性</w:t>
      </w:r>
    </w:p>
    <w:p>
      <w:pPr>
        <w:pStyle w:val="16"/>
        <w:numPr>
          <w:ilvl w:val="0"/>
          <w:numId w:val="0"/>
        </w:numPr>
        <w:tabs>
          <w:tab w:val="left" w:pos="360"/>
          <w:tab w:val="left" w:pos="720"/>
        </w:tabs>
        <w:spacing w:line="480" w:lineRule="exact"/>
        <w:ind w:left="560"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)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漂移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Chars="0"/>
        <w:textAlignment w:val="auto"/>
        <w:rPr>
          <w:rFonts w:hint="default" w:ascii="Times New Roman" w:hAnsi="Times New Roman" w:cs="Times New Roman"/>
          <w:sz w:val="30"/>
        </w:rPr>
      </w:pPr>
      <w:bookmarkStart w:id="2" w:name="_Toc167265860"/>
      <w:r>
        <w:rPr>
          <w:rFonts w:hint="default" w:ascii="Times New Roman" w:hAnsi="Times New Roman" w:cs="Times New Roman"/>
          <w:sz w:val="30"/>
          <w:lang w:val="en-US" w:eastAsia="zh-CN"/>
        </w:rPr>
        <w:t xml:space="preserve">5  </w:t>
      </w:r>
      <w:r>
        <w:rPr>
          <w:rFonts w:hint="default" w:ascii="Times New Roman" w:hAnsi="Times New Roman" w:cs="Times New Roman"/>
          <w:sz w:val="30"/>
        </w:rPr>
        <w:t>其他应予说明的事项</w:t>
      </w:r>
      <w:bookmarkEnd w:id="2"/>
    </w:p>
    <w:p>
      <w:pPr>
        <w:tabs>
          <w:tab w:val="left" w:pos="720"/>
        </w:tabs>
        <w:spacing w:line="480" w:lineRule="exact"/>
        <w:ind w:firstLine="560" w:firstLineChars="200"/>
        <w:rPr>
          <w:rFonts w:hAnsiTheme="minorHAnsi" w:eastAsiaTheme="minorEastAsia" w:cstheme="minorBidi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无</w:t>
      </w:r>
      <w:r>
        <w:rPr>
          <w:rFonts w:hint="eastAsia" w:hAnsiTheme="minorHAnsi" w:eastAsiaTheme="minorEastAsia" w:cstheme="minorBidi"/>
          <w:kern w:val="2"/>
          <w:sz w:val="28"/>
          <w:szCs w:val="28"/>
        </w:rPr>
        <w:t xml:space="preserve">                                  </w:t>
      </w:r>
    </w:p>
    <w:p>
      <w:pPr>
        <w:pStyle w:val="8"/>
        <w:spacing w:before="0" w:beforeAutospacing="0" w:after="0" w:afterAutospacing="0" w:line="360" w:lineRule="auto"/>
        <w:ind w:firstLine="5460" w:firstLineChars="1950"/>
        <w:rPr>
          <w:rFonts w:hAnsiTheme="minorHAnsi" w:eastAsiaTheme="minorEastAsia" w:cstheme="minorBidi"/>
          <w:kern w:val="2"/>
          <w:sz w:val="28"/>
          <w:szCs w:val="28"/>
        </w:rPr>
      </w:pPr>
      <w:r>
        <w:rPr>
          <w:rFonts w:hint="eastAsia" w:hAnsiTheme="minorHAnsi" w:eastAsiaTheme="minorEastAsia" w:cstheme="minorBidi"/>
          <w:kern w:val="2"/>
          <w:sz w:val="28"/>
          <w:szCs w:val="28"/>
        </w:rPr>
        <w:t xml:space="preserve">     编制小组</w:t>
      </w:r>
    </w:p>
    <w:p>
      <w:pPr>
        <w:pStyle w:val="8"/>
        <w:spacing w:before="0" w:beforeAutospacing="0" w:after="0" w:afterAutospacing="0" w:line="360" w:lineRule="auto"/>
        <w:ind w:firstLine="560" w:firstLineChars="200"/>
        <w:rPr>
          <w:rFonts w:hAnsiTheme="minorHAnsi" w:eastAsiaTheme="minorEastAsia" w:cstheme="minorBidi"/>
          <w:kern w:val="2"/>
          <w:sz w:val="28"/>
          <w:szCs w:val="28"/>
        </w:rPr>
      </w:pPr>
      <w:r>
        <w:rPr>
          <w:rFonts w:hint="eastAsia" w:hAnsiTheme="minorHAnsi" w:eastAsiaTheme="minorEastAsia" w:cstheme="minorBidi"/>
          <w:kern w:val="2"/>
          <w:sz w:val="28"/>
          <w:szCs w:val="28"/>
        </w:rPr>
        <w:t xml:space="preserve">                                       202</w:t>
      </w:r>
      <w:r>
        <w:rPr>
          <w:rFonts w:hint="eastAsia" w:hAnsiTheme="minorHAnsi" w:eastAsiaTheme="minorEastAsia" w:cstheme="minorBidi"/>
          <w:kern w:val="2"/>
          <w:sz w:val="28"/>
          <w:szCs w:val="28"/>
          <w:lang w:val="en-US" w:eastAsia="zh-CN"/>
        </w:rPr>
        <w:t>4</w:t>
      </w:r>
      <w:r>
        <w:rPr>
          <w:rFonts w:hint="eastAsia" w:hAnsiTheme="minorHAnsi" w:eastAsiaTheme="minorEastAsia" w:cstheme="minorBidi"/>
          <w:kern w:val="2"/>
          <w:sz w:val="28"/>
          <w:szCs w:val="28"/>
        </w:rPr>
        <w:t>年</w:t>
      </w:r>
      <w:r>
        <w:rPr>
          <w:rFonts w:hint="eastAsia" w:hAnsiTheme="minorHAnsi" w:eastAsiaTheme="minorEastAsia" w:cstheme="minorBidi"/>
          <w:kern w:val="2"/>
          <w:sz w:val="28"/>
          <w:szCs w:val="28"/>
          <w:lang w:val="en-US" w:eastAsia="zh-CN"/>
        </w:rPr>
        <w:t>4</w:t>
      </w:r>
      <w:bookmarkStart w:id="3" w:name="_GoBack"/>
      <w:bookmarkEnd w:id="3"/>
      <w:r>
        <w:rPr>
          <w:rFonts w:hint="eastAsia" w:hAnsiTheme="minorHAnsi" w:eastAsiaTheme="minorEastAsia" w:cstheme="minorBidi"/>
          <w:kern w:val="2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E67CC"/>
    <w:multiLevelType w:val="multilevel"/>
    <w:tmpl w:val="365E67CC"/>
    <w:lvl w:ilvl="0" w:tentative="0">
      <w:start w:val="1"/>
      <w:numFmt w:val="decimal"/>
      <w:lvlText w:val="%1)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6AAC0992"/>
    <w:multiLevelType w:val="multilevel"/>
    <w:tmpl w:val="6AAC099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Q1NTIwMDQ2NGJjODM2MDZmZjA4NTk4Y2JkYjk2MGUifQ=="/>
  </w:docVars>
  <w:rsids>
    <w:rsidRoot w:val="00DC66E4"/>
    <w:rsid w:val="0015070B"/>
    <w:rsid w:val="001534B0"/>
    <w:rsid w:val="001F1929"/>
    <w:rsid w:val="00292541"/>
    <w:rsid w:val="0031363A"/>
    <w:rsid w:val="004B6438"/>
    <w:rsid w:val="005C000B"/>
    <w:rsid w:val="006146C6"/>
    <w:rsid w:val="00660078"/>
    <w:rsid w:val="0067076D"/>
    <w:rsid w:val="006B1404"/>
    <w:rsid w:val="0080287F"/>
    <w:rsid w:val="00837093"/>
    <w:rsid w:val="009175E6"/>
    <w:rsid w:val="009439A6"/>
    <w:rsid w:val="00A1506A"/>
    <w:rsid w:val="00A74881"/>
    <w:rsid w:val="00BE1D89"/>
    <w:rsid w:val="00BF3085"/>
    <w:rsid w:val="00C1507F"/>
    <w:rsid w:val="00C305DC"/>
    <w:rsid w:val="00C414E8"/>
    <w:rsid w:val="00C6440D"/>
    <w:rsid w:val="00C72D57"/>
    <w:rsid w:val="00D35CB0"/>
    <w:rsid w:val="00DC434A"/>
    <w:rsid w:val="00DC66E4"/>
    <w:rsid w:val="00E128FD"/>
    <w:rsid w:val="00FF73F8"/>
    <w:rsid w:val="0CC56982"/>
    <w:rsid w:val="202D6B81"/>
    <w:rsid w:val="215003D5"/>
    <w:rsid w:val="277224E0"/>
    <w:rsid w:val="3788509B"/>
    <w:rsid w:val="3FF6249C"/>
    <w:rsid w:val="64C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11"/>
    <w:link w:val="3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8">
    <w:name w:val="段 Char"/>
    <w:basedOn w:val="11"/>
    <w:link w:val="19"/>
    <w:qFormat/>
    <w:uiPriority w:val="0"/>
    <w:rPr>
      <w:rFonts w:ascii="宋体"/>
    </w:rPr>
  </w:style>
  <w:style w:type="paragraph" w:customStyle="1" w:styleId="19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发布"/>
    <w:basedOn w:val="11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21">
    <w:name w:val="标题 3 Char"/>
    <w:basedOn w:val="11"/>
    <w:link w:val="4"/>
    <w:semiHidden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封面标准名称"/>
    <w:qFormat/>
    <w:uiPriority w:val="0"/>
    <w:pPr>
      <w:widowControl w:val="0"/>
      <w:spacing w:after="80" w:line="680" w:lineRule="exact"/>
      <w:jc w:val="center"/>
      <w:textAlignment w:val="center"/>
    </w:pPr>
    <w:rPr>
      <w:rFonts w:ascii="黑体" w:hAnsi="Times New Roman" w:eastAsia="黑体" w:cs="Times New Roman"/>
      <w:color w:val="000000"/>
      <w:sz w:val="52"/>
      <w:szCs w:val="21"/>
      <w:lang w:val="en-US" w:eastAsia="zh-CN" w:bidi="ar-SA"/>
    </w:rPr>
  </w:style>
  <w:style w:type="paragraph" w:customStyle="1" w:styleId="2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2732</Words>
  <Characters>3014</Characters>
  <Lines>19</Lines>
  <Paragraphs>5</Paragraphs>
  <TotalTime>3</TotalTime>
  <ScaleCrop>false</ScaleCrop>
  <LinksUpToDate>false</LinksUpToDate>
  <CharactersWithSpaces>3116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2020-06-10T02:15:00Z</dcterms:created>
  <dc:creator>Anonymous</dc:creator>
  <cp:lastModifiedBy>风之子</cp:lastModifiedBy>
  <cp:lastPrinted>2020-06-10T03:17:00Z</cp:lastPrinted>
  <dcterms:modified xsi:type="dcterms:W3CDTF">2024-06-24T14:02:10Z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844430D853364748B2D70EBD4B09A488</vt:lpwstr>
  </property>
</Properties>
</file>