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before="1248" w:beforeLines="400" w:after="480"/>
        <w:ind w:left="567" w:leftChars="270" w:right="479" w:rightChars="228"/>
        <w:jc w:val="distribute"/>
        <w:rPr>
          <w:rFonts w:hint="default" w:ascii="Times New Roman" w:hAnsi="Times New Roman" w:cs="Times New Roman"/>
          <w:bCs/>
          <w:sz w:val="56"/>
          <w:szCs w:val="56"/>
        </w:rPr>
      </w:pPr>
      <w:r>
        <w:rPr>
          <w:rFonts w:hint="default" w:ascii="Times New Roman" w:hAnsi="Times New Roman" w:cs="Times New Roman"/>
          <w:bCs/>
          <w:sz w:val="56"/>
          <w:szCs w:val="56"/>
        </w:rPr>
        <w:t>团体标准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/>
          <w:sz w:val="56"/>
          <w:szCs w:val="56"/>
        </w:rPr>
      </w:pPr>
      <w:r>
        <w:rPr>
          <w:rFonts w:hint="default" w:ascii="Times New Roman" w:hAnsi="Times New Roman" w:cs="Times New Roman"/>
          <w:b w:val="0"/>
          <w:bCs/>
          <w:sz w:val="56"/>
          <w:szCs w:val="56"/>
        </w:rPr>
        <w:t>《</w:t>
      </w:r>
      <w:r>
        <w:rPr>
          <w:rFonts w:hint="eastAsia" w:ascii="Times New Roman" w:hAnsi="Times New Roman" w:eastAsia="黑体" w:cs="Times New Roman"/>
          <w:bCs/>
          <w:color w:val="000000"/>
          <w:sz w:val="52"/>
          <w:szCs w:val="52"/>
          <w:lang w:val="en-US" w:eastAsia="zh-CN"/>
        </w:rPr>
        <w:t>加氢站用氢气卸气柱校准方法</w:t>
      </w:r>
      <w:r>
        <w:rPr>
          <w:rFonts w:hint="default" w:ascii="Times New Roman" w:hAnsi="Times New Roman" w:cs="Times New Roman"/>
          <w:b w:val="0"/>
          <w:bCs/>
          <w:sz w:val="56"/>
          <w:szCs w:val="56"/>
        </w:rPr>
        <w:t>》</w:t>
      </w:r>
    </w:p>
    <w:p>
      <w:pPr>
        <w:tabs>
          <w:tab w:val="center" w:pos="4536"/>
        </w:tabs>
        <w:spacing w:before="1320"/>
        <w:jc w:val="center"/>
        <w:rPr>
          <w:rFonts w:hint="default" w:ascii="Times New Roman" w:hAnsi="Times New Roman" w:eastAsia="黑体" w:cs="Times New Roman"/>
          <w:sz w:val="72"/>
          <w:szCs w:val="72"/>
        </w:rPr>
      </w:pPr>
      <w:r>
        <w:rPr>
          <w:rFonts w:hint="default" w:ascii="Times New Roman" w:hAnsi="Times New Roman" w:eastAsia="黑体" w:cs="Times New Roman"/>
          <w:spacing w:val="226"/>
          <w:sz w:val="72"/>
          <w:szCs w:val="72"/>
        </w:rPr>
        <w:t>编制说</w:t>
      </w:r>
      <w:r>
        <w:rPr>
          <w:rFonts w:hint="default" w:ascii="Times New Roman" w:hAnsi="Times New Roman" w:eastAsia="黑体" w:cs="Times New Roman"/>
          <w:sz w:val="72"/>
          <w:szCs w:val="72"/>
        </w:rPr>
        <w:t>明</w:t>
      </w:r>
    </w:p>
    <w:p>
      <w:pPr>
        <w:spacing w:before="4920"/>
        <w:ind w:right="2606" w:rightChars="124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 xml:space="preserve">                标准</w:t>
      </w:r>
      <w:r>
        <w:rPr>
          <w:rFonts w:hint="default" w:ascii="Times New Roman" w:hAnsi="Times New Roman" w:cs="Times New Roman"/>
          <w:b/>
          <w:sz w:val="32"/>
        </w:rPr>
        <w:t>起草小组</w:t>
      </w:r>
    </w:p>
    <w:p>
      <w:pPr>
        <w:spacing w:before="36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2024年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</w:t>
      </w:r>
    </w:p>
    <w:p>
      <w:pPr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1 任务来源及项目意义</w:t>
      </w:r>
    </w:p>
    <w:p>
      <w:pPr>
        <w:spacing w:line="360" w:lineRule="auto"/>
        <w:ind w:firstLine="539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氢能产业切合“绿色，低碳，环保，高效”的目标，符合国家未来规划的愿景。早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在《2019年国务院政府工作报告》中，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明确提出“推进充电、加氢等设施建设”，标志氢能首次被写入《政府工作报告》，体现了中国对发展氢能产业的决心。工业和信息化部给出新能源汽车标准化要点，其中指出加快车载氢系统、加氢口、加氢枪、加氢通信协议等标准的编制修订，开展燃料电池汽车碰撞后安全标准的预研工作。国家发展改革委联合14个部门公布了《关于推动先进制造业和现代服务业深度融合发展的实施意见》，其中指出加强新能源生产使用和制造业绿色融合，推动氢能产业创新、集聚发展，完善氢能制备、储运、加注等设施和服务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021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年2月科技部印发了《关于对“十四五”国家重点研发计划“氢能技术”等1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个重点专项2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021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年度项目申报指南征求意见的通知》，其中围绕氢能绿色制取与规模转存体系，氢能安全存储与快速输配体系、氢能便捷改质与高效动力系统及“氢进万家”综合示范4个技术方向，启动了1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个任务指南。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国公布的氢能产业发展政策涉及到氢能基础设施建设、装备制造和氢能利用在内的许多领域，也涉及到政策鼓励、资金支持等方面，同时加氢基础设施建设等指导意见也在逐渐丰富，相关配套政策和资金的落地都有利于解决加氢站前期资金投入大、加氢站运营安监审批难等问题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结合目前全国范围内加氢站大规模建设，氢气卸气柱也必将大规模装备，而目前国内尚没有相关的校准规范，因此编制加氢站氢气卸气柱校准方法的意义重大。</w:t>
      </w:r>
    </w:p>
    <w:p>
      <w:pPr>
        <w:pStyle w:val="2"/>
        <w:spacing w:before="120" w:after="240" w:line="360" w:lineRule="auto"/>
        <w:rPr>
          <w:rFonts w:hint="default" w:ascii="Times New Roman" w:hAnsi="Times New Roman" w:eastAsia="黑体" w:cs="Times New Roman"/>
          <w:sz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lang w:val="en-US" w:eastAsia="zh-CN"/>
        </w:rPr>
        <w:t>2 主要技术依据</w:t>
      </w:r>
    </w:p>
    <w:p>
      <w:pPr>
        <w:pStyle w:val="25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2.1</w:t>
      </w:r>
      <w:r>
        <w:rPr>
          <w:rFonts w:hint="default" w:ascii="Times New Roman" w:hAnsi="Times New Roman" w:cs="Times New Roman"/>
          <w:sz w:val="28"/>
          <w:szCs w:val="28"/>
        </w:rPr>
        <w:t xml:space="preserve">   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按照GB/T 1.1-2020《标准化工作导则第一部分：标准化文件的结构和起草规则》进行</w:t>
      </w:r>
      <w:bookmarkStart w:id="4" w:name="_GoBack"/>
      <w:bookmarkEnd w:id="4"/>
      <w:r>
        <w:rPr>
          <w:rFonts w:hint="default" w:ascii="Times New Roman" w:hAnsi="Times New Roman" w:cs="Times New Roman"/>
          <w:sz w:val="28"/>
          <w:szCs w:val="28"/>
        </w:rPr>
        <w:t>起草。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2.2</w:t>
      </w:r>
      <w:r>
        <w:rPr>
          <w:rFonts w:hint="default" w:ascii="Times New Roman" w:hAnsi="Times New Roman" w:cs="Times New Roman"/>
          <w:sz w:val="28"/>
          <w:szCs w:val="28"/>
        </w:rPr>
        <w:t xml:space="preserve">   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的技术要求和方法参考了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DT37/T4073-2020《车用加氢站运营管理规范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、JJF 1059.1-2012 测量不确定度评定与表示。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 编制过程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3.1 编制原则</w:t>
      </w:r>
    </w:p>
    <w:p>
      <w:pPr>
        <w:pStyle w:val="20"/>
        <w:ind w:firstLine="5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是参考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相关技术规范</w:t>
      </w:r>
      <w:r>
        <w:rPr>
          <w:rFonts w:hint="default" w:ascii="Times New Roman" w:hAnsi="Times New Roman" w:cs="Times New Roman"/>
          <w:sz w:val="28"/>
          <w:szCs w:val="28"/>
        </w:rPr>
        <w:t>而形成的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加氢站用氢气卸气柱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校准方法</w:t>
      </w:r>
      <w:r>
        <w:rPr>
          <w:rFonts w:hint="default" w:ascii="Times New Roman" w:hAnsi="Times New Roman" w:cs="Times New Roman"/>
          <w:sz w:val="28"/>
          <w:szCs w:val="28"/>
        </w:rPr>
        <w:t xml:space="preserve">。编制原则如下：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方法的测定内容、基本要求、测定原理等需满足相关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ar-SA"/>
        </w:rPr>
        <w:t>氢气贸易结算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标准的要求。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测定方法具有可实施性，通过标准规定的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校准方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法能有效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ar-SA"/>
        </w:rPr>
        <w:t>满足氢气流量计量需求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测定方法具有普遍适用性，功能完整性，满足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常用量程精度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该标准的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技术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要求。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3.2  工作进程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月，济南市计量检定测试院作为策划及承担单位，召集相关工作人员及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生产单位、使用单位</w:t>
      </w:r>
      <w:r>
        <w:rPr>
          <w:rFonts w:hint="default" w:ascii="Times New Roman" w:hAnsi="Times New Roman" w:cs="Times New Roman"/>
          <w:sz w:val="28"/>
          <w:szCs w:val="28"/>
        </w:rPr>
        <w:t>，成立标准编制小组，完成了项目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cs="Times New Roman"/>
          <w:sz w:val="28"/>
          <w:szCs w:val="28"/>
        </w:rPr>
        <w:t>和填报签订，编制组初步拟定了标准编制的工作目标、工作内容，同时按照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申报书</w:t>
      </w:r>
      <w:r>
        <w:rPr>
          <w:rFonts w:hint="default" w:ascii="Times New Roman" w:hAnsi="Times New Roman" w:cs="Times New Roman"/>
          <w:sz w:val="28"/>
          <w:szCs w:val="28"/>
        </w:rPr>
        <w:t>的要求，进行任务分工并制定了详细的标准编制计划。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2024年4月至2024年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月，调研相关生产厂家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加氢站用氢气卸气柱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工作原理、设备结构、设备类型、技术指标、测量方法等相关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资料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，查阅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加氢站用氢气卸气柱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相关标准，确定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加氢站用氢气卸气柱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校准方法，经过初步探讨、分析、研究，确定标准制定原则和技术路线，形成本标准的初稿草案</w:t>
      </w:r>
      <w:r>
        <w:rPr>
          <w:rFonts w:hint="default" w:ascii="Times New Roman" w:hAnsi="Times New Roman" w:cs="Times New Roman"/>
          <w:sz w:val="28"/>
          <w:szCs w:val="28"/>
        </w:rPr>
        <w:t>以及相关技术指标验证测试初步方案。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按照测试方案开展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加氢站用氢气卸气柱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性能测试，考察仪器的计量参数以及计量性能，确立仪器的关键指标，形成征求意见稿征集意见。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将征求意见稿送相关仪器厂家、计量技术机构、使用单位等征集意见，同时在网上公示征集相关单位意见，对征求意见进行论证、修改，从而形成送审稿。</w:t>
      </w:r>
    </w:p>
    <w:p>
      <w:pPr>
        <w:pStyle w:val="20"/>
        <w:spacing w:line="360" w:lineRule="auto"/>
        <w:ind w:firstLine="56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2024年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11</w:t>
      </w: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月至2024年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对送审稿进行评审，按照评审意见进行修改，形成最终发布稿，并将所有材料报送学会发布。</w:t>
      </w:r>
    </w:p>
    <w:p>
      <w:pPr>
        <w:pStyle w:val="2"/>
        <w:numPr>
          <w:ilvl w:val="0"/>
          <w:numId w:val="0"/>
        </w:numPr>
        <w:spacing w:before="120" w:after="240" w:line="360" w:lineRule="auto"/>
        <w:ind w:leftChars="0"/>
        <w:rPr>
          <w:rFonts w:hint="default" w:ascii="Times New Roman" w:hAnsi="Times New Roman" w:cs="Times New Roman"/>
          <w:sz w:val="30"/>
        </w:rPr>
      </w:pPr>
      <w:bookmarkStart w:id="0" w:name="_Toc167265855"/>
      <w:r>
        <w:rPr>
          <w:rFonts w:hint="default" w:ascii="Times New Roman" w:hAnsi="Times New Roman" w:cs="Times New Roman"/>
          <w:sz w:val="30"/>
          <w:lang w:val="en-US" w:eastAsia="zh-CN"/>
        </w:rPr>
        <w:t xml:space="preserve">4 </w:t>
      </w:r>
      <w:r>
        <w:rPr>
          <w:rFonts w:hint="default" w:ascii="Times New Roman" w:hAnsi="Times New Roman" w:cs="Times New Roman"/>
          <w:sz w:val="30"/>
        </w:rPr>
        <w:t>主要技术内容的论点</w:t>
      </w:r>
      <w:bookmarkEnd w:id="0"/>
    </w:p>
    <w:p>
      <w:pPr>
        <w:pStyle w:val="3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bookmarkStart w:id="1" w:name="_Toc167265856"/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4.1 本标准规定的试验材料、试验条件及试验设备</w:t>
      </w:r>
      <w:bookmarkEnd w:id="1"/>
    </w:p>
    <w:p>
      <w:pPr>
        <w:pStyle w:val="17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流量标准装置的要求</w:t>
      </w:r>
      <w:r>
        <w:rPr>
          <w:rFonts w:hint="default" w:ascii="Times New Roman" w:hAnsi="Times New Roman" w:cs="Times New Roman"/>
          <w:sz w:val="28"/>
          <w:szCs w:val="28"/>
        </w:rPr>
        <w:t>；</w:t>
      </w:r>
    </w:p>
    <w:p>
      <w:pPr>
        <w:pStyle w:val="17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校准介质</w:t>
      </w:r>
      <w:r>
        <w:rPr>
          <w:rFonts w:hint="default" w:ascii="Times New Roman" w:hAnsi="Times New Roman" w:cs="Times New Roman"/>
          <w:sz w:val="28"/>
          <w:szCs w:val="28"/>
        </w:rPr>
        <w:t>的要求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pStyle w:val="3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bookmarkStart w:id="2" w:name="_Toc167265857"/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4.2 本标准试验验证项目</w:t>
      </w:r>
      <w:bookmarkEnd w:id="2"/>
    </w:p>
    <w:p>
      <w:pPr>
        <w:pStyle w:val="17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1)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流量示值误差；</w:t>
      </w:r>
    </w:p>
    <w:p>
      <w:pPr>
        <w:pStyle w:val="17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2)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流量重复性。</w:t>
      </w:r>
    </w:p>
    <w:p>
      <w:pPr>
        <w:pStyle w:val="2"/>
        <w:numPr>
          <w:ilvl w:val="0"/>
          <w:numId w:val="0"/>
        </w:numPr>
        <w:spacing w:before="120" w:after="240" w:line="360" w:lineRule="auto"/>
        <w:ind w:leftChars="0"/>
        <w:rPr>
          <w:rFonts w:hint="default" w:ascii="Times New Roman" w:hAnsi="Times New Roman" w:cs="Times New Roman"/>
          <w:sz w:val="30"/>
        </w:rPr>
      </w:pPr>
      <w:bookmarkStart w:id="3" w:name="_Toc167265860"/>
      <w:r>
        <w:rPr>
          <w:rFonts w:hint="default" w:ascii="Times New Roman" w:hAnsi="Times New Roman" w:cs="Times New Roman"/>
          <w:sz w:val="30"/>
          <w:lang w:val="en-US" w:eastAsia="zh-CN"/>
        </w:rPr>
        <w:t xml:space="preserve">5  </w:t>
      </w:r>
      <w:r>
        <w:rPr>
          <w:rFonts w:hint="default" w:ascii="Times New Roman" w:hAnsi="Times New Roman" w:cs="Times New Roman"/>
          <w:sz w:val="30"/>
        </w:rPr>
        <w:t>其他应予说明的事项</w:t>
      </w:r>
      <w:bookmarkEnd w:id="3"/>
    </w:p>
    <w:p>
      <w:pPr>
        <w:tabs>
          <w:tab w:val="left" w:pos="720"/>
        </w:tabs>
        <w:spacing w:line="48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无</w:t>
      </w:r>
    </w:p>
    <w:p>
      <w:pPr>
        <w:pStyle w:val="9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 xml:space="preserve">                                  </w:t>
      </w:r>
    </w:p>
    <w:p>
      <w:pPr>
        <w:pStyle w:val="9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E67CC"/>
    <w:multiLevelType w:val="multilevel"/>
    <w:tmpl w:val="365E67CC"/>
    <w:lvl w:ilvl="0" w:tentative="0">
      <w:start w:val="1"/>
      <w:numFmt w:val="decimal"/>
      <w:lvlText w:val="%1)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6AAC0992"/>
    <w:multiLevelType w:val="multilevel"/>
    <w:tmpl w:val="6AAC099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Q1NTIwMDQ2NGJjODM2MDZmZjA4NTk4Y2JkYjk2MGUifQ=="/>
  </w:docVars>
  <w:rsids>
    <w:rsidRoot w:val="00DC66E4"/>
    <w:rsid w:val="0015070B"/>
    <w:rsid w:val="001534B0"/>
    <w:rsid w:val="001F1929"/>
    <w:rsid w:val="00292541"/>
    <w:rsid w:val="0031363A"/>
    <w:rsid w:val="004B6438"/>
    <w:rsid w:val="005C000B"/>
    <w:rsid w:val="006146C6"/>
    <w:rsid w:val="00660078"/>
    <w:rsid w:val="0067076D"/>
    <w:rsid w:val="006B1404"/>
    <w:rsid w:val="0080287F"/>
    <w:rsid w:val="00837093"/>
    <w:rsid w:val="009175E6"/>
    <w:rsid w:val="009439A6"/>
    <w:rsid w:val="00A1506A"/>
    <w:rsid w:val="00A74881"/>
    <w:rsid w:val="00BE1D89"/>
    <w:rsid w:val="00BF3085"/>
    <w:rsid w:val="00C1507F"/>
    <w:rsid w:val="00C305DC"/>
    <w:rsid w:val="00C414E8"/>
    <w:rsid w:val="00C6440D"/>
    <w:rsid w:val="00C72D57"/>
    <w:rsid w:val="00D35CB0"/>
    <w:rsid w:val="00DC434A"/>
    <w:rsid w:val="00DC66E4"/>
    <w:rsid w:val="00E128FD"/>
    <w:rsid w:val="00FF73F8"/>
    <w:rsid w:val="02BC1F59"/>
    <w:rsid w:val="145C4B6A"/>
    <w:rsid w:val="17EC5FF2"/>
    <w:rsid w:val="28F01E2E"/>
    <w:rsid w:val="298D6F0C"/>
    <w:rsid w:val="32BB040B"/>
    <w:rsid w:val="345B7AEF"/>
    <w:rsid w:val="3788509B"/>
    <w:rsid w:val="3ED8130F"/>
    <w:rsid w:val="454345B2"/>
    <w:rsid w:val="69605A13"/>
    <w:rsid w:val="6CEF18EF"/>
    <w:rsid w:val="7D6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Char"/>
    <w:basedOn w:val="12"/>
    <w:link w:val="3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9">
    <w:name w:val="段 Char"/>
    <w:basedOn w:val="12"/>
    <w:link w:val="20"/>
    <w:qFormat/>
    <w:uiPriority w:val="0"/>
    <w:rPr>
      <w:rFonts w:ascii="宋体"/>
    </w:rPr>
  </w:style>
  <w:style w:type="paragraph" w:customStyle="1" w:styleId="20">
    <w:name w:val="段"/>
    <w:link w:val="1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发布"/>
    <w:basedOn w:val="1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22">
    <w:name w:val="标题 3 Char"/>
    <w:basedOn w:val="12"/>
    <w:link w:val="4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封面标准名称"/>
    <w:qFormat/>
    <w:uiPriority w:val="0"/>
    <w:pPr>
      <w:widowControl w:val="0"/>
      <w:spacing w:after="80" w:line="680" w:lineRule="exact"/>
      <w:jc w:val="center"/>
      <w:textAlignment w:val="center"/>
    </w:pPr>
    <w:rPr>
      <w:rFonts w:ascii="黑体" w:hAnsi="Times New Roman" w:eastAsia="黑体" w:cs="Times New Roman"/>
      <w:color w:val="000000"/>
      <w:sz w:val="52"/>
      <w:szCs w:val="21"/>
      <w:lang w:val="en-US" w:eastAsia="zh-CN" w:bidi="ar-SA"/>
    </w:rPr>
  </w:style>
  <w:style w:type="paragraph" w:customStyle="1" w:styleId="2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1446</Words>
  <Characters>1543</Characters>
  <Lines>19</Lines>
  <Paragraphs>5</Paragraphs>
  <TotalTime>0</TotalTime>
  <ScaleCrop>false</ScaleCrop>
  <LinksUpToDate>false</LinksUpToDate>
  <CharactersWithSpaces>1620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2020-06-10T02:15:00Z</dcterms:created>
  <dc:creator>Anonymous</dc:creator>
  <cp:lastModifiedBy>风之子</cp:lastModifiedBy>
  <cp:lastPrinted>2020-06-10T03:17:00Z</cp:lastPrinted>
  <dcterms:modified xsi:type="dcterms:W3CDTF">2024-06-25T13:50:36Z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844430D853364748B2D70EBD4B09A488</vt:lpwstr>
  </property>
</Properties>
</file>