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21" w:lineRule="auto"/>
        <w:jc w:val="center"/>
        <w:rPr>
          <w:rFonts w:ascii="黑体" w:hAnsi="黑体" w:eastAsia="黑体" w:cs="黑体"/>
          <w:sz w:val="31"/>
          <w:szCs w:val="31"/>
        </w:rPr>
      </w:pPr>
      <w:r>
        <w:rPr>
          <w:rFonts w:hint="eastAsia" w:ascii="黑体" w:hAnsi="黑体" w:eastAsia="黑体" w:cs="黑体"/>
          <w:b/>
          <w:bCs/>
          <w:spacing w:val="-5"/>
          <w:sz w:val="31"/>
          <w:szCs w:val="31"/>
        </w:rPr>
        <w:t>火锅店等级划分与评定规范</w:t>
      </w:r>
    </w:p>
    <w:p>
      <w:pPr>
        <w:spacing w:before="69" w:line="480" w:lineRule="auto"/>
        <w:ind w:left="6"/>
        <w:rPr>
          <w:rFonts w:ascii="黑体" w:hAnsi="黑体" w:eastAsia="黑体" w:cs="黑体"/>
          <w:b/>
          <w:bCs/>
          <w:spacing w:val="-5"/>
          <w:szCs w:val="21"/>
        </w:rPr>
      </w:pPr>
      <w:r>
        <w:rPr>
          <w:rFonts w:ascii="黑体" w:hAnsi="黑体" w:eastAsia="黑体" w:cs="黑体"/>
          <w:b/>
          <w:bCs/>
          <w:spacing w:val="-5"/>
          <w:szCs w:val="21"/>
        </w:rPr>
        <w:t>1</w:t>
      </w:r>
      <w:r>
        <w:rPr>
          <w:rFonts w:hint="default" w:ascii="黑体" w:hAnsi="黑体" w:eastAsia="黑体" w:cs="黑体"/>
          <w:b/>
          <w:bCs/>
          <w:spacing w:val="-5"/>
          <w:szCs w:val="21"/>
        </w:rPr>
        <w:t>．</w:t>
      </w:r>
      <w:r>
        <w:rPr>
          <w:rFonts w:ascii="黑体" w:hAnsi="黑体" w:eastAsia="黑体" w:cs="黑体"/>
          <w:b/>
          <w:bCs/>
          <w:spacing w:val="-5"/>
          <w:szCs w:val="21"/>
        </w:rPr>
        <w:t>范围</w:t>
      </w:r>
    </w:p>
    <w:p>
      <w:pPr>
        <w:spacing w:before="68" w:line="340" w:lineRule="exact"/>
        <w:ind w:left="440"/>
        <w:rPr>
          <w:rFonts w:ascii="宋体" w:hAnsi="宋体" w:cs="宋体"/>
          <w:szCs w:val="21"/>
        </w:rPr>
      </w:pPr>
      <w:r>
        <w:rPr>
          <w:rFonts w:ascii="宋体" w:hAnsi="宋体" w:cs="宋体"/>
          <w:spacing w:val="-8"/>
          <w:position w:val="9"/>
          <w:szCs w:val="21"/>
        </w:rPr>
        <w:t>本标准规定了火锅店的术语和定义、等级划分、等级要求和评定的要求。</w:t>
      </w:r>
    </w:p>
    <w:p>
      <w:pPr>
        <w:spacing w:line="218" w:lineRule="auto"/>
        <w:ind w:left="440"/>
        <w:rPr>
          <w:rFonts w:ascii="宋体" w:hAnsi="宋体" w:cs="宋体"/>
          <w:szCs w:val="21"/>
        </w:rPr>
      </w:pPr>
      <w:r>
        <w:rPr>
          <w:rFonts w:ascii="宋体" w:hAnsi="宋体" w:cs="宋体"/>
          <w:spacing w:val="-3"/>
          <w:szCs w:val="21"/>
        </w:rPr>
        <w:t>本标准适用于火锅店的等级划分与评定。</w:t>
      </w:r>
    </w:p>
    <w:p>
      <w:pPr>
        <w:spacing w:before="69" w:line="480" w:lineRule="auto"/>
        <w:ind w:left="6"/>
        <w:rPr>
          <w:rFonts w:ascii="黑体" w:hAnsi="黑体" w:eastAsia="黑体" w:cs="黑体"/>
          <w:b/>
          <w:bCs/>
          <w:spacing w:val="-5"/>
          <w:szCs w:val="21"/>
        </w:rPr>
      </w:pPr>
      <w:r>
        <w:rPr>
          <w:rFonts w:ascii="黑体" w:hAnsi="黑体" w:eastAsia="黑体" w:cs="黑体"/>
          <w:b/>
          <w:bCs/>
          <w:spacing w:val="-5"/>
          <w:szCs w:val="21"/>
        </w:rPr>
        <w:t>2</w:t>
      </w:r>
      <w:r>
        <w:rPr>
          <w:rFonts w:hint="default" w:ascii="黑体" w:hAnsi="黑体" w:eastAsia="黑体" w:cs="黑体"/>
          <w:b/>
          <w:bCs/>
          <w:spacing w:val="-5"/>
          <w:szCs w:val="21"/>
        </w:rPr>
        <w:t>．</w:t>
      </w:r>
      <w:r>
        <w:rPr>
          <w:rFonts w:ascii="黑体" w:hAnsi="黑体" w:eastAsia="黑体" w:cs="黑体"/>
          <w:b/>
          <w:bCs/>
          <w:spacing w:val="-5"/>
          <w:szCs w:val="21"/>
        </w:rPr>
        <w:t>规范性引用文件</w:t>
      </w:r>
    </w:p>
    <w:p>
      <w:pPr>
        <w:spacing w:before="0" w:line="300" w:lineRule="auto"/>
        <w:ind w:firstLine="404" w:firstLineChars="200"/>
        <w:rPr>
          <w:rFonts w:ascii="宋体" w:hAnsi="宋体" w:cs="宋体"/>
          <w:spacing w:val="-4"/>
        </w:rPr>
      </w:pPr>
      <w:r>
        <w:rPr>
          <w:rFonts w:ascii="宋体" w:hAnsi="宋体" w:cs="宋体"/>
          <w:spacing w:val="-4"/>
        </w:rPr>
        <w:t>下列文件对于本文件的应用是必不可少的。凡是注日期的引用文件，仅注日期的版本适用于本文件。凡是不注日期的引用文件，其最新版本</w:t>
      </w:r>
      <w:r>
        <w:rPr>
          <w:rFonts w:ascii="宋体" w:hAnsi="宋体" w:cs="宋体"/>
          <w:spacing w:val="-4"/>
          <w:szCs w:val="21"/>
        </w:rPr>
        <w:t>(包括所有的修改单)</w:t>
      </w:r>
      <w:r>
        <w:rPr>
          <w:rFonts w:ascii="宋体" w:hAnsi="宋体" w:cs="宋体"/>
          <w:spacing w:val="-4"/>
        </w:rPr>
        <w:t>适用于本文件。</w:t>
      </w:r>
    </w:p>
    <w:p>
      <w:pPr>
        <w:spacing w:line="300" w:lineRule="auto"/>
        <w:ind w:firstLine="404" w:firstLineChars="200"/>
        <w:rPr>
          <w:rFonts w:ascii="宋体" w:hAnsi="宋体" w:cs="宋体"/>
          <w:spacing w:val="-4"/>
        </w:rPr>
      </w:pPr>
      <w:r>
        <w:rPr>
          <w:rFonts w:hint="eastAsia" w:ascii="宋体" w:hAnsi="宋体" w:cs="宋体"/>
          <w:spacing w:val="-4"/>
        </w:rPr>
        <w:t>GB 10001</w:t>
      </w:r>
      <w:r>
        <w:rPr>
          <w:rFonts w:ascii="宋体" w:hAnsi="宋体" w:cs="宋体"/>
          <w:spacing w:val="-4"/>
        </w:rPr>
        <w:t xml:space="preserve">  </w:t>
      </w:r>
      <w:r>
        <w:rPr>
          <w:rFonts w:hint="eastAsia" w:ascii="宋体" w:hAnsi="宋体" w:cs="宋体"/>
          <w:spacing w:val="-4"/>
        </w:rPr>
        <w:t>公共信息标志用图形符号</w:t>
      </w:r>
    </w:p>
    <w:p>
      <w:pPr>
        <w:spacing w:line="219" w:lineRule="auto"/>
        <w:ind w:firstLine="404" w:firstLineChars="200"/>
        <w:rPr>
          <w:rFonts w:ascii="宋体" w:hAnsi="宋体" w:cs="宋体"/>
          <w:spacing w:val="-4"/>
        </w:rPr>
      </w:pPr>
      <w:r>
        <w:rPr>
          <w:rFonts w:hint="eastAsia" w:ascii="宋体" w:hAnsi="宋体" w:cs="宋体"/>
          <w:spacing w:val="-4"/>
        </w:rPr>
        <w:t>GB/T 40248-2021</w:t>
      </w:r>
      <w:r>
        <w:rPr>
          <w:rFonts w:ascii="宋体" w:hAnsi="宋体" w:cs="宋体"/>
          <w:spacing w:val="-4"/>
        </w:rPr>
        <w:t xml:space="preserve">  </w:t>
      </w:r>
      <w:r>
        <w:rPr>
          <w:rFonts w:hint="eastAsia" w:ascii="宋体" w:hAnsi="宋体" w:cs="宋体"/>
          <w:spacing w:val="-4"/>
        </w:rPr>
        <w:t>人员密集场所消防安全管理</w:t>
      </w:r>
    </w:p>
    <w:p>
      <w:pPr>
        <w:spacing w:line="300" w:lineRule="auto"/>
        <w:ind w:firstLine="404" w:firstLineChars="200"/>
        <w:rPr>
          <w:rFonts w:ascii="宋体" w:hAnsi="宋体" w:cs="宋体"/>
          <w:spacing w:val="-4"/>
        </w:rPr>
      </w:pPr>
      <w:r>
        <w:rPr>
          <w:rFonts w:hint="eastAsia" w:ascii="宋体" w:hAnsi="宋体" w:cs="宋体"/>
          <w:spacing w:val="-4"/>
        </w:rPr>
        <w:t>GB 3095-2012</w:t>
      </w:r>
      <w:r>
        <w:rPr>
          <w:rFonts w:ascii="宋体" w:hAnsi="宋体" w:cs="宋体"/>
          <w:spacing w:val="-4"/>
        </w:rPr>
        <w:t xml:space="preserve">  </w:t>
      </w:r>
      <w:r>
        <w:rPr>
          <w:rFonts w:hint="eastAsia" w:ascii="宋体" w:hAnsi="宋体" w:cs="宋体"/>
          <w:spacing w:val="-4"/>
        </w:rPr>
        <w:t>环境空气质量标准</w:t>
      </w:r>
    </w:p>
    <w:p>
      <w:pPr>
        <w:spacing w:line="300" w:lineRule="auto"/>
        <w:ind w:firstLine="404" w:firstLineChars="200"/>
        <w:rPr>
          <w:rFonts w:ascii="宋体" w:hAnsi="宋体" w:cs="宋体"/>
          <w:spacing w:val="-4"/>
        </w:rPr>
      </w:pPr>
      <w:r>
        <w:rPr>
          <w:rFonts w:hint="eastAsia" w:ascii="宋体" w:hAnsi="宋体" w:cs="宋体"/>
          <w:spacing w:val="-4"/>
        </w:rPr>
        <w:t>GB 3096-2008</w:t>
      </w:r>
      <w:r>
        <w:rPr>
          <w:rFonts w:ascii="宋体" w:hAnsi="宋体" w:cs="宋体"/>
          <w:spacing w:val="-4"/>
        </w:rPr>
        <w:t xml:space="preserve">  </w:t>
      </w:r>
      <w:r>
        <w:rPr>
          <w:rFonts w:hint="eastAsia" w:ascii="宋体" w:hAnsi="宋体" w:cs="宋体"/>
          <w:spacing w:val="-4"/>
        </w:rPr>
        <w:t>声环境质量标准</w:t>
      </w:r>
    </w:p>
    <w:p>
      <w:pPr>
        <w:spacing w:line="300" w:lineRule="auto"/>
        <w:ind w:firstLine="404" w:firstLineChars="200"/>
        <w:rPr>
          <w:rFonts w:ascii="宋体" w:hAnsi="宋体" w:cs="宋体"/>
          <w:spacing w:val="-4"/>
        </w:rPr>
      </w:pPr>
      <w:r>
        <w:rPr>
          <w:rFonts w:hint="eastAsia" w:ascii="宋体" w:hAnsi="宋体" w:cs="宋体"/>
          <w:spacing w:val="-4"/>
        </w:rPr>
        <w:t>GB/T13391-2009</w:t>
      </w:r>
      <w:r>
        <w:rPr>
          <w:rFonts w:ascii="宋体" w:hAnsi="宋体" w:cs="宋体"/>
          <w:spacing w:val="-4"/>
        </w:rPr>
        <w:t xml:space="preserve">  </w:t>
      </w:r>
      <w:r>
        <w:rPr>
          <w:rFonts w:hint="eastAsia" w:ascii="宋体" w:hAnsi="宋体" w:cs="宋体"/>
          <w:spacing w:val="-4"/>
        </w:rPr>
        <w:t>餐饮企业的等级划分和评定</w:t>
      </w:r>
    </w:p>
    <w:p>
      <w:pPr>
        <w:spacing w:line="300" w:lineRule="auto"/>
        <w:ind w:firstLine="404" w:firstLineChars="200"/>
        <w:rPr>
          <w:rFonts w:ascii="宋体" w:hAnsi="宋体" w:cs="宋体"/>
          <w:spacing w:val="-4"/>
        </w:rPr>
      </w:pPr>
      <w:r>
        <w:rPr>
          <w:rFonts w:hint="eastAsia" w:ascii="宋体" w:hAnsi="宋体" w:cs="宋体"/>
          <w:spacing w:val="-4"/>
        </w:rPr>
        <w:t>SB/T 10426-2007</w:t>
      </w:r>
      <w:r>
        <w:rPr>
          <w:rFonts w:ascii="宋体" w:hAnsi="宋体" w:cs="宋体"/>
          <w:spacing w:val="-4"/>
        </w:rPr>
        <w:t xml:space="preserve">  </w:t>
      </w:r>
      <w:r>
        <w:rPr>
          <w:rFonts w:hint="eastAsia" w:ascii="宋体" w:hAnsi="宋体" w:cs="宋体"/>
          <w:spacing w:val="-4"/>
        </w:rPr>
        <w:t>餐饮企业经营规范</w:t>
      </w:r>
    </w:p>
    <w:p>
      <w:pPr>
        <w:spacing w:line="300" w:lineRule="auto"/>
        <w:ind w:firstLine="404" w:firstLineChars="200"/>
        <w:rPr>
          <w:rFonts w:ascii="宋体" w:hAnsi="宋体" w:cs="宋体"/>
          <w:spacing w:val="-4"/>
        </w:rPr>
      </w:pPr>
      <w:r>
        <w:rPr>
          <w:rFonts w:hint="eastAsia" w:ascii="宋体" w:hAnsi="宋体" w:cs="宋体"/>
          <w:spacing w:val="-4"/>
        </w:rPr>
        <w:t>SB/T 10531-2009</w:t>
      </w:r>
      <w:r>
        <w:rPr>
          <w:rFonts w:ascii="宋体" w:hAnsi="宋体" w:cs="宋体"/>
          <w:spacing w:val="-4"/>
        </w:rPr>
        <w:t xml:space="preserve">  </w:t>
      </w:r>
      <w:r>
        <w:rPr>
          <w:rFonts w:hint="eastAsia" w:ascii="宋体" w:hAnsi="宋体" w:cs="宋体"/>
          <w:spacing w:val="-4"/>
        </w:rPr>
        <w:t>火锅企业经营服务规范</w:t>
      </w:r>
    </w:p>
    <w:p>
      <w:pPr>
        <w:spacing w:line="300" w:lineRule="auto"/>
        <w:ind w:firstLine="404" w:firstLineChars="200"/>
        <w:rPr>
          <w:rFonts w:ascii="宋体" w:hAnsi="宋体" w:cs="宋体"/>
          <w:spacing w:val="-4"/>
        </w:rPr>
      </w:pPr>
      <w:r>
        <w:rPr>
          <w:rFonts w:hint="eastAsia" w:ascii="宋体" w:hAnsi="宋体" w:cs="宋体"/>
          <w:spacing w:val="-4"/>
        </w:rPr>
        <w:t>DB50/T 1343-2022</w:t>
      </w:r>
      <w:r>
        <w:rPr>
          <w:rFonts w:ascii="宋体" w:hAnsi="宋体" w:cs="宋体"/>
          <w:spacing w:val="-4"/>
        </w:rPr>
        <w:t xml:space="preserve">  </w:t>
      </w:r>
      <w:r>
        <w:rPr>
          <w:rFonts w:hint="eastAsia" w:ascii="宋体" w:hAnsi="宋体" w:cs="宋体"/>
          <w:spacing w:val="-4"/>
        </w:rPr>
        <w:t>餐饮服务食品安全管理人员工作规范</w:t>
      </w:r>
    </w:p>
    <w:p>
      <w:pPr>
        <w:spacing w:line="300" w:lineRule="auto"/>
        <w:ind w:firstLine="404" w:firstLineChars="200"/>
        <w:rPr>
          <w:rFonts w:ascii="宋体" w:hAnsi="宋体" w:cs="宋体"/>
          <w:spacing w:val="-4"/>
        </w:rPr>
      </w:pPr>
      <w:r>
        <w:rPr>
          <w:rFonts w:hint="eastAsia" w:ascii="宋体" w:hAnsi="宋体" w:cs="宋体"/>
          <w:spacing w:val="-4"/>
        </w:rPr>
        <w:t>GB 14930.2-2012</w:t>
      </w:r>
      <w:r>
        <w:rPr>
          <w:rFonts w:ascii="宋体" w:hAnsi="宋体" w:cs="宋体"/>
          <w:spacing w:val="-4"/>
        </w:rPr>
        <w:t xml:space="preserve">  </w:t>
      </w:r>
      <w:r>
        <w:rPr>
          <w:rFonts w:hint="eastAsia" w:ascii="宋体" w:hAnsi="宋体" w:cs="宋体"/>
          <w:spacing w:val="-4"/>
        </w:rPr>
        <w:t>食品安全国家标准消毒剂</w:t>
      </w:r>
    </w:p>
    <w:p>
      <w:pPr>
        <w:spacing w:line="300" w:lineRule="auto"/>
        <w:ind w:firstLine="404" w:firstLineChars="200"/>
        <w:rPr>
          <w:rFonts w:ascii="宋体" w:hAnsi="宋体" w:cs="宋体"/>
          <w:spacing w:val="-4"/>
        </w:rPr>
      </w:pPr>
      <w:r>
        <w:rPr>
          <w:rFonts w:hint="eastAsia" w:ascii="宋体" w:hAnsi="宋体" w:cs="宋体"/>
          <w:spacing w:val="-4"/>
        </w:rPr>
        <w:t>GB 14934-2016</w:t>
      </w:r>
      <w:r>
        <w:rPr>
          <w:rFonts w:ascii="宋体" w:hAnsi="宋体" w:cs="宋体"/>
          <w:spacing w:val="-4"/>
        </w:rPr>
        <w:t xml:space="preserve">  </w:t>
      </w:r>
      <w:r>
        <w:rPr>
          <w:rFonts w:hint="eastAsia" w:ascii="宋体" w:hAnsi="宋体" w:cs="宋体"/>
          <w:spacing w:val="-4"/>
        </w:rPr>
        <w:t>食品安全国家标准 消毒餐（饮）具</w:t>
      </w:r>
    </w:p>
    <w:p>
      <w:pPr>
        <w:spacing w:line="300" w:lineRule="auto"/>
        <w:ind w:firstLine="404" w:firstLineChars="200"/>
        <w:rPr>
          <w:rFonts w:ascii="宋体" w:hAnsi="宋体" w:cs="宋体"/>
          <w:spacing w:val="-4"/>
        </w:rPr>
      </w:pPr>
      <w:r>
        <w:rPr>
          <w:rFonts w:hint="eastAsia" w:ascii="宋体" w:hAnsi="宋体" w:cs="宋体"/>
          <w:spacing w:val="-4"/>
        </w:rPr>
        <w:t xml:space="preserve">GB </w:t>
      </w:r>
      <w:r>
        <w:rPr>
          <w:rFonts w:ascii="宋体" w:hAnsi="宋体" w:cs="宋体"/>
          <w:spacing w:val="-4"/>
        </w:rPr>
        <w:t xml:space="preserve">5749-2022  </w:t>
      </w:r>
      <w:r>
        <w:rPr>
          <w:rFonts w:hint="eastAsia" w:ascii="宋体" w:hAnsi="宋体" w:cs="宋体"/>
          <w:spacing w:val="-4"/>
        </w:rPr>
        <w:t>生活饮用水卫生标准</w:t>
      </w:r>
    </w:p>
    <w:p>
      <w:pPr>
        <w:spacing w:line="300" w:lineRule="auto"/>
        <w:ind w:firstLine="404" w:firstLineChars="200"/>
        <w:rPr>
          <w:rFonts w:ascii="宋体" w:hAnsi="宋体" w:cs="宋体"/>
          <w:spacing w:val="-4"/>
        </w:rPr>
      </w:pPr>
      <w:r>
        <w:rPr>
          <w:rFonts w:hint="eastAsia" w:ascii="宋体" w:hAnsi="宋体" w:cs="宋体"/>
          <w:spacing w:val="-4"/>
        </w:rPr>
        <w:t>GB 2760-2014</w:t>
      </w:r>
      <w:r>
        <w:rPr>
          <w:rFonts w:ascii="宋体" w:hAnsi="宋体" w:cs="宋体"/>
          <w:spacing w:val="-4"/>
        </w:rPr>
        <w:t xml:space="preserve">  </w:t>
      </w:r>
      <w:r>
        <w:rPr>
          <w:rFonts w:hint="eastAsia" w:ascii="宋体" w:hAnsi="宋体" w:cs="宋体"/>
          <w:spacing w:val="-4"/>
        </w:rPr>
        <w:t>食品安全标准食品添加剂使用标准</w:t>
      </w:r>
    </w:p>
    <w:p>
      <w:pPr>
        <w:spacing w:line="300" w:lineRule="auto"/>
        <w:ind w:firstLine="404" w:firstLineChars="200"/>
        <w:rPr>
          <w:rFonts w:ascii="宋体" w:hAnsi="宋体" w:cs="宋体"/>
          <w:spacing w:val="-4"/>
        </w:rPr>
      </w:pPr>
      <w:r>
        <w:rPr>
          <w:rFonts w:hint="eastAsia" w:ascii="宋体" w:hAnsi="宋体" w:cs="宋体"/>
          <w:spacing w:val="-4"/>
        </w:rPr>
        <w:t>GB 8978-1996</w:t>
      </w:r>
      <w:r>
        <w:rPr>
          <w:rFonts w:ascii="宋体" w:hAnsi="宋体" w:cs="宋体"/>
          <w:spacing w:val="-4"/>
        </w:rPr>
        <w:t xml:space="preserve">  </w:t>
      </w:r>
      <w:r>
        <w:rPr>
          <w:rFonts w:hint="eastAsia" w:ascii="宋体" w:hAnsi="宋体" w:cs="宋体"/>
          <w:spacing w:val="-4"/>
        </w:rPr>
        <w:t>污水综合排放标准</w:t>
      </w:r>
    </w:p>
    <w:p>
      <w:pPr>
        <w:spacing w:line="300" w:lineRule="auto"/>
        <w:ind w:firstLine="404" w:firstLineChars="200"/>
        <w:rPr>
          <w:rFonts w:ascii="宋体" w:hAnsi="宋体" w:cs="宋体"/>
          <w:spacing w:val="-4"/>
        </w:rPr>
      </w:pPr>
      <w:r>
        <w:rPr>
          <w:rFonts w:hint="eastAsia" w:ascii="宋体" w:hAnsi="宋体" w:cs="宋体"/>
          <w:spacing w:val="-4"/>
        </w:rPr>
        <w:t>GB 18483-2001</w:t>
      </w:r>
      <w:r>
        <w:rPr>
          <w:rFonts w:ascii="宋体" w:hAnsi="宋体" w:cs="宋体"/>
          <w:spacing w:val="-4"/>
        </w:rPr>
        <w:t xml:space="preserve">  </w:t>
      </w:r>
      <w:r>
        <w:rPr>
          <w:rFonts w:hint="eastAsia" w:ascii="宋体" w:hAnsi="宋体" w:cs="宋体"/>
          <w:spacing w:val="-4"/>
        </w:rPr>
        <w:t>饮食业油烟排放标准 (试行)</w:t>
      </w:r>
    </w:p>
    <w:p>
      <w:pPr>
        <w:spacing w:line="300" w:lineRule="auto"/>
        <w:ind w:firstLine="404" w:firstLineChars="200"/>
        <w:rPr>
          <w:rFonts w:ascii="宋体" w:hAnsi="宋体" w:cs="宋体"/>
          <w:spacing w:val="-4"/>
        </w:rPr>
      </w:pPr>
      <w:r>
        <w:rPr>
          <w:rFonts w:hint="eastAsia" w:ascii="宋体" w:hAnsi="宋体" w:cs="宋体"/>
          <w:spacing w:val="-4"/>
        </w:rPr>
        <w:t>GB 14881-2013</w:t>
      </w:r>
      <w:r>
        <w:rPr>
          <w:rFonts w:ascii="宋体" w:hAnsi="宋体" w:cs="宋体"/>
          <w:spacing w:val="-4"/>
        </w:rPr>
        <w:t xml:space="preserve">  </w:t>
      </w:r>
      <w:r>
        <w:rPr>
          <w:rFonts w:hint="eastAsia" w:ascii="宋体" w:hAnsi="宋体" w:cs="宋体"/>
          <w:spacing w:val="-4"/>
        </w:rPr>
        <w:t>食品安全国家标准 食品生产通用卫生规范</w:t>
      </w:r>
    </w:p>
    <w:p>
      <w:pPr>
        <w:spacing w:line="300" w:lineRule="auto"/>
        <w:ind w:firstLine="404" w:firstLineChars="200"/>
        <w:rPr>
          <w:rFonts w:ascii="宋体" w:hAnsi="宋体" w:cs="宋体"/>
          <w:spacing w:val="-4"/>
        </w:rPr>
      </w:pPr>
      <w:r>
        <w:rPr>
          <w:rFonts w:hint="eastAsia" w:ascii="宋体" w:hAnsi="宋体" w:cs="宋体"/>
          <w:spacing w:val="-4"/>
        </w:rPr>
        <w:t>GB/T 27306-2008</w:t>
      </w:r>
      <w:r>
        <w:rPr>
          <w:rFonts w:ascii="宋体" w:hAnsi="宋体" w:cs="宋体"/>
          <w:spacing w:val="-4"/>
        </w:rPr>
        <w:t xml:space="preserve">  </w:t>
      </w:r>
      <w:r>
        <w:rPr>
          <w:rFonts w:hint="eastAsia" w:ascii="宋体" w:hAnsi="宋体" w:cs="宋体"/>
          <w:spacing w:val="-4"/>
        </w:rPr>
        <w:t>食品安全管理体系餐饮业要求</w:t>
      </w:r>
    </w:p>
    <w:p>
      <w:pPr>
        <w:spacing w:line="300" w:lineRule="auto"/>
        <w:ind w:firstLine="404" w:firstLineChars="200"/>
        <w:rPr>
          <w:rFonts w:ascii="宋体" w:hAnsi="宋体" w:cs="宋体"/>
          <w:spacing w:val="-4"/>
        </w:rPr>
      </w:pPr>
      <w:r>
        <w:rPr>
          <w:rFonts w:hint="eastAsia" w:ascii="宋体" w:hAnsi="宋体" w:cs="宋体"/>
          <w:spacing w:val="-4"/>
        </w:rPr>
        <w:t>GB/T 19001-2016  质量管理体系要求</w:t>
      </w:r>
    </w:p>
    <w:p>
      <w:pPr>
        <w:spacing w:line="300" w:lineRule="auto"/>
        <w:ind w:firstLine="404" w:firstLineChars="200"/>
        <w:rPr>
          <w:rFonts w:ascii="宋体" w:hAnsi="宋体" w:cs="宋体"/>
          <w:spacing w:val="-4"/>
        </w:rPr>
      </w:pPr>
      <w:r>
        <w:rPr>
          <w:rFonts w:hint="eastAsia" w:ascii="宋体" w:hAnsi="宋体" w:cs="宋体"/>
          <w:spacing w:val="-4"/>
        </w:rPr>
        <w:t>GB/T 22000</w:t>
      </w:r>
      <w:r>
        <w:rPr>
          <w:rFonts w:ascii="宋体" w:hAnsi="宋体" w:cs="宋体"/>
          <w:spacing w:val="-4"/>
        </w:rPr>
        <w:t xml:space="preserve">  </w:t>
      </w:r>
      <w:r>
        <w:rPr>
          <w:rFonts w:hint="eastAsia" w:ascii="宋体" w:hAnsi="宋体" w:cs="宋体"/>
          <w:spacing w:val="-4"/>
        </w:rPr>
        <w:t>食品安全管理体系 食品链中各类组织的要求</w:t>
      </w:r>
    </w:p>
    <w:p>
      <w:pPr>
        <w:spacing w:line="300" w:lineRule="auto"/>
        <w:ind w:firstLine="404" w:firstLineChars="200"/>
        <w:rPr>
          <w:rFonts w:ascii="宋体" w:hAnsi="宋体" w:cs="宋体"/>
          <w:spacing w:val="-4"/>
        </w:rPr>
      </w:pPr>
      <w:r>
        <w:rPr>
          <w:rFonts w:hint="eastAsia" w:ascii="宋体" w:hAnsi="宋体" w:cs="宋体"/>
          <w:spacing w:val="-4"/>
        </w:rPr>
        <w:t>GB/T 27341</w:t>
      </w:r>
      <w:r>
        <w:rPr>
          <w:rFonts w:ascii="宋体" w:hAnsi="宋体" w:cs="宋体"/>
          <w:spacing w:val="-4"/>
        </w:rPr>
        <w:t xml:space="preserve">  </w:t>
      </w:r>
      <w:r>
        <w:rPr>
          <w:rFonts w:hint="eastAsia" w:ascii="宋体" w:hAnsi="宋体" w:cs="宋体"/>
          <w:spacing w:val="-4"/>
        </w:rPr>
        <w:t>危害分析与关键控制点（HACCP）体系 食品生产企业通用要求</w:t>
      </w:r>
    </w:p>
    <w:p>
      <w:pPr>
        <w:spacing w:line="300" w:lineRule="auto"/>
        <w:ind w:firstLine="404" w:firstLineChars="200"/>
        <w:rPr>
          <w:rFonts w:ascii="宋体" w:hAnsi="宋体" w:cs="宋体"/>
          <w:spacing w:val="-4"/>
        </w:rPr>
      </w:pPr>
      <w:r>
        <w:rPr>
          <w:rFonts w:hint="eastAsia" w:ascii="宋体" w:hAnsi="宋体" w:cs="宋体"/>
          <w:spacing w:val="-4"/>
        </w:rPr>
        <w:t>GB 31654-2021</w:t>
      </w:r>
      <w:r>
        <w:rPr>
          <w:rFonts w:ascii="宋体" w:hAnsi="宋体" w:cs="宋体"/>
          <w:spacing w:val="-4"/>
        </w:rPr>
        <w:t xml:space="preserve">  </w:t>
      </w:r>
      <w:r>
        <w:rPr>
          <w:rFonts w:hint="eastAsia" w:ascii="宋体" w:hAnsi="宋体" w:cs="宋体"/>
          <w:spacing w:val="-4"/>
        </w:rPr>
        <w:t>食品安全国家标准 餐饮服务通用规范</w:t>
      </w:r>
    </w:p>
    <w:p>
      <w:pPr>
        <w:spacing w:line="300" w:lineRule="auto"/>
        <w:ind w:firstLine="404" w:firstLineChars="200"/>
        <w:rPr>
          <w:rFonts w:ascii="宋体" w:hAnsi="宋体" w:cs="宋体"/>
          <w:spacing w:val="-4"/>
        </w:rPr>
      </w:pPr>
      <w:r>
        <w:rPr>
          <w:rFonts w:hint="eastAsia" w:ascii="宋体" w:hAnsi="宋体" w:cs="宋体"/>
          <w:spacing w:val="-4"/>
        </w:rPr>
        <w:t>GB 5749-2022 生活饮用水卫生标准</w:t>
      </w:r>
    </w:p>
    <w:p>
      <w:pPr>
        <w:spacing w:line="300" w:lineRule="auto"/>
        <w:ind w:firstLine="303" w:firstLineChars="150"/>
        <w:rPr>
          <w:rFonts w:ascii="宋体" w:hAnsi="宋体" w:cs="宋体"/>
          <w:spacing w:val="-4"/>
        </w:rPr>
      </w:pPr>
      <w:r>
        <w:rPr>
          <w:rFonts w:hint="eastAsia" w:ascii="宋体" w:hAnsi="宋体" w:cs="宋体"/>
          <w:spacing w:val="-4"/>
        </w:rPr>
        <w:t>《食品经营许可审查通则 (试行) 》食药监食监二〔2015〕228号</w:t>
      </w:r>
    </w:p>
    <w:p>
      <w:pPr>
        <w:spacing w:line="300" w:lineRule="auto"/>
        <w:ind w:firstLine="303" w:firstLineChars="150"/>
        <w:rPr>
          <w:rFonts w:ascii="宋体" w:hAnsi="宋体" w:cs="宋体"/>
          <w:spacing w:val="-4"/>
        </w:rPr>
      </w:pPr>
      <w:r>
        <w:rPr>
          <w:rFonts w:hint="eastAsia" w:ascii="宋体" w:hAnsi="宋体" w:cs="宋体"/>
          <w:spacing w:val="-4"/>
        </w:rPr>
        <w:t>《餐饮服务食品采购索证索票管理规定》  (国食药监食[2011]178 号)</w:t>
      </w:r>
    </w:p>
    <w:p>
      <w:pPr>
        <w:spacing w:line="300" w:lineRule="auto"/>
        <w:ind w:firstLine="303" w:firstLineChars="150"/>
        <w:rPr>
          <w:rFonts w:ascii="宋体" w:hAnsi="宋体" w:cs="宋体"/>
          <w:spacing w:val="-4"/>
        </w:rPr>
      </w:pPr>
      <w:r>
        <w:rPr>
          <w:rFonts w:hint="eastAsia" w:ascii="宋体" w:hAnsi="宋体" w:cs="宋体"/>
          <w:spacing w:val="-4"/>
        </w:rPr>
        <w:t>《城市市容和环境卫生管理条例》 国务院令〔2017〕第676号)</w:t>
      </w:r>
    </w:p>
    <w:p>
      <w:pPr>
        <w:spacing w:line="300" w:lineRule="auto"/>
        <w:ind w:firstLine="303" w:firstLineChars="150"/>
        <w:rPr>
          <w:rFonts w:ascii="宋体" w:hAnsi="宋体" w:cs="宋体"/>
          <w:spacing w:val="-4"/>
        </w:rPr>
      </w:pPr>
      <w:r>
        <w:rPr>
          <w:rFonts w:hint="eastAsia" w:ascii="宋体" w:hAnsi="宋体" w:cs="宋体"/>
          <w:spacing w:val="-4"/>
        </w:rPr>
        <w:t>《国务院办公厅关于加强地沟油整治和餐厨废弃物管理的意见》 (国办发〔2010〕36号)</w:t>
      </w:r>
    </w:p>
    <w:p>
      <w:pPr>
        <w:spacing w:line="300" w:lineRule="auto"/>
        <w:ind w:firstLine="303" w:firstLineChars="150"/>
        <w:rPr>
          <w:rFonts w:ascii="宋体" w:hAnsi="宋体" w:cs="宋体"/>
          <w:spacing w:val="-4"/>
        </w:rPr>
      </w:pPr>
      <w:r>
        <w:rPr>
          <w:rFonts w:hint="eastAsia" w:ascii="宋体" w:hAnsi="宋体" w:cs="宋体"/>
          <w:spacing w:val="-4"/>
        </w:rPr>
        <w:t>《特种设备安全监察条例》  (国务院令〔2009〕第549号)丨2019年修订版</w:t>
      </w:r>
    </w:p>
    <w:p>
      <w:pPr>
        <w:spacing w:line="300" w:lineRule="auto"/>
        <w:ind w:firstLine="303" w:firstLineChars="150"/>
        <w:rPr>
          <w:rFonts w:ascii="宋体" w:hAnsi="宋体" w:cs="宋体"/>
          <w:spacing w:val="-4"/>
        </w:rPr>
      </w:pPr>
      <w:r>
        <w:rPr>
          <w:rFonts w:hint="eastAsia" w:ascii="宋体" w:hAnsi="宋体" w:cs="宋体"/>
          <w:spacing w:val="-4"/>
        </w:rPr>
        <w:t>《中华人民共和国食品安全法实施条例》  (国务院令（721号）第557号)</w:t>
      </w:r>
    </w:p>
    <w:p>
      <w:pPr>
        <w:spacing w:line="300" w:lineRule="auto"/>
        <w:ind w:firstLine="303" w:firstLineChars="150"/>
        <w:rPr>
          <w:rFonts w:ascii="宋体" w:hAnsi="宋体" w:cs="宋体"/>
          <w:spacing w:val="-4"/>
        </w:rPr>
      </w:pPr>
      <w:r>
        <w:rPr>
          <w:rFonts w:hint="eastAsia" w:ascii="宋体" w:hAnsi="宋体" w:cs="宋体"/>
          <w:spacing w:val="-4"/>
        </w:rPr>
        <w:t>《餐饮服务食品安全操作规范 (国家市场监督管理总局公告2018年 第12号 》</w:t>
      </w:r>
    </w:p>
    <w:p>
      <w:pPr>
        <w:spacing w:line="300" w:lineRule="auto"/>
        <w:ind w:firstLine="303" w:firstLineChars="150"/>
        <w:rPr>
          <w:rFonts w:ascii="宋体" w:hAnsi="宋体" w:cs="宋体"/>
          <w:spacing w:val="-4"/>
        </w:rPr>
      </w:pPr>
      <w:r>
        <w:rPr>
          <w:rFonts w:hint="eastAsia" w:ascii="宋体" w:hAnsi="宋体" w:cs="宋体"/>
          <w:spacing w:val="-4"/>
        </w:rPr>
        <w:t>《学校食品安全与营养健康管理规定(中华人民共和国教育部 中华人民共和国国家市场监督管理总局 中华人民共和国国家卫生健康委员会令〔2019〕第45号) 》</w:t>
      </w:r>
    </w:p>
    <w:p>
      <w:pPr>
        <w:spacing w:line="300" w:lineRule="auto"/>
        <w:ind w:firstLine="303" w:firstLineChars="150"/>
        <w:rPr>
          <w:rFonts w:ascii="宋体" w:hAnsi="宋体" w:cs="宋体"/>
          <w:spacing w:val="-4"/>
        </w:rPr>
      </w:pPr>
      <w:r>
        <w:rPr>
          <w:rFonts w:hint="eastAsia" w:ascii="宋体" w:hAnsi="宋体" w:cs="宋体"/>
          <w:spacing w:val="-4"/>
        </w:rPr>
        <w:t>《中华人民共和国食品安全法》（2021年修订）</w:t>
      </w:r>
    </w:p>
    <w:p>
      <w:pPr>
        <w:spacing w:line="300" w:lineRule="auto"/>
        <w:ind w:firstLine="303" w:firstLineChars="150"/>
        <w:rPr>
          <w:rFonts w:ascii="宋体" w:hAnsi="宋体" w:cs="宋体"/>
          <w:spacing w:val="-4"/>
        </w:rPr>
      </w:pPr>
      <w:r>
        <w:rPr>
          <w:rFonts w:hint="eastAsia" w:ascii="宋体" w:hAnsi="宋体" w:cs="宋体"/>
          <w:spacing w:val="-4"/>
        </w:rPr>
        <w:t>《</w:t>
      </w:r>
      <w:r>
        <w:rPr>
          <w:rFonts w:ascii="宋体" w:hAnsi="宋体" w:cs="宋体"/>
          <w:spacing w:val="-4"/>
        </w:rPr>
        <w:t>中华人民共和国反食品浪费法</w:t>
      </w:r>
      <w:r>
        <w:rPr>
          <w:rFonts w:hint="eastAsia" w:ascii="宋体" w:hAnsi="宋体" w:cs="宋体"/>
          <w:spacing w:val="-4"/>
        </w:rPr>
        <w:t>》</w:t>
      </w:r>
    </w:p>
    <w:p>
      <w:pPr>
        <w:spacing w:line="300" w:lineRule="auto"/>
        <w:ind w:firstLine="303" w:firstLineChars="150"/>
        <w:rPr>
          <w:rFonts w:ascii="宋体" w:hAnsi="宋体" w:cs="宋体"/>
          <w:spacing w:val="-4"/>
        </w:rPr>
      </w:pPr>
      <w:r>
        <w:rPr>
          <w:rFonts w:hint="eastAsia" w:ascii="宋体" w:hAnsi="宋体" w:cs="宋体"/>
          <w:spacing w:val="-4"/>
        </w:rPr>
        <w:t>《中华人民共和国消防法》</w:t>
      </w:r>
    </w:p>
    <w:p>
      <w:pPr>
        <w:spacing w:before="69" w:line="480" w:lineRule="auto"/>
        <w:ind w:left="6"/>
        <w:rPr>
          <w:rFonts w:ascii="黑体" w:hAnsi="黑体" w:eastAsia="黑体" w:cs="黑体"/>
          <w:szCs w:val="21"/>
        </w:rPr>
      </w:pPr>
      <w:r>
        <w:rPr>
          <w:rFonts w:ascii="黑体" w:hAnsi="黑体" w:eastAsia="黑体" w:cs="黑体"/>
          <w:b/>
          <w:bCs/>
          <w:spacing w:val="-5"/>
          <w:szCs w:val="21"/>
        </w:rPr>
        <w:t>3</w:t>
      </w:r>
      <w:r>
        <w:rPr>
          <w:rFonts w:ascii="黑体" w:hAnsi="黑体" w:eastAsia="黑体" w:cs="黑体"/>
          <w:b/>
          <w:bCs/>
          <w:spacing w:val="99"/>
          <w:szCs w:val="21"/>
        </w:rPr>
        <w:t>.</w:t>
      </w:r>
      <w:r>
        <w:rPr>
          <w:rFonts w:ascii="黑体" w:hAnsi="黑体" w:eastAsia="黑体" w:cs="黑体"/>
          <w:b/>
          <w:bCs/>
          <w:spacing w:val="-5"/>
          <w:szCs w:val="21"/>
        </w:rPr>
        <w:t>术语和定义</w:t>
      </w:r>
    </w:p>
    <w:p>
      <w:pPr>
        <w:spacing w:before="69" w:line="219" w:lineRule="auto"/>
        <w:ind w:left="440"/>
        <w:rPr>
          <w:rFonts w:ascii="宋体" w:hAnsi="宋体" w:cs="宋体"/>
          <w:spacing w:val="-3"/>
          <w:szCs w:val="21"/>
        </w:rPr>
      </w:pPr>
      <w:r>
        <w:rPr>
          <w:rFonts w:ascii="宋体" w:hAnsi="宋体" w:cs="宋体"/>
          <w:spacing w:val="-3"/>
          <w:szCs w:val="21"/>
        </w:rPr>
        <w:t>下列术语和定义适用于本文件。</w:t>
      </w:r>
    </w:p>
    <w:p>
      <w:pPr>
        <w:spacing w:before="103" w:line="360" w:lineRule="auto"/>
        <w:ind w:left="3"/>
        <w:rPr>
          <w:rFonts w:ascii="宋体" w:hAnsi="宋体" w:cs="宋体"/>
          <w:b/>
          <w:bCs/>
          <w:szCs w:val="21"/>
        </w:rPr>
      </w:pPr>
      <w:r>
        <w:rPr>
          <w:rFonts w:ascii="宋体" w:hAnsi="宋体" w:cs="宋体"/>
          <w:b/>
          <w:bCs/>
          <w:spacing w:val="-5"/>
          <w:szCs w:val="21"/>
        </w:rPr>
        <w:t>3.1</w:t>
      </w:r>
      <w:r>
        <w:rPr>
          <w:rFonts w:ascii="黑体" w:hAnsi="黑体" w:eastAsia="黑体" w:cs="黑体"/>
          <w:b/>
          <w:bCs/>
          <w:spacing w:val="-8"/>
          <w:szCs w:val="21"/>
        </w:rPr>
        <w:t>火锅</w:t>
      </w:r>
      <w:r>
        <w:rPr>
          <w:rFonts w:ascii="黑体" w:hAnsi="黑体" w:eastAsia="黑体" w:cs="黑体"/>
          <w:b/>
          <w:bCs/>
          <w:spacing w:val="86"/>
          <w:szCs w:val="21"/>
        </w:rPr>
        <w:t xml:space="preserve"> </w:t>
      </w:r>
    </w:p>
    <w:p>
      <w:pPr>
        <w:spacing w:before="89" w:line="219" w:lineRule="auto"/>
        <w:ind w:left="440"/>
        <w:rPr>
          <w:rFonts w:ascii="宋体" w:hAnsi="宋体" w:cs="宋体"/>
          <w:szCs w:val="21"/>
        </w:rPr>
      </w:pPr>
      <w:r>
        <w:rPr>
          <w:rFonts w:ascii="宋体" w:hAnsi="宋体" w:cs="宋体"/>
          <w:spacing w:val="-17"/>
          <w:szCs w:val="21"/>
        </w:rPr>
        <w:t>以锅、盆等为器具，通过炭火、燃气、电等方式加热，以沸水或热汤来烫、</w:t>
      </w:r>
      <w:r>
        <w:rPr>
          <w:rFonts w:ascii="宋体" w:hAnsi="宋体" w:cs="宋体"/>
          <w:spacing w:val="-18"/>
          <w:szCs w:val="21"/>
        </w:rPr>
        <w:t>涮、煮食物的餐饮方式。</w:t>
      </w:r>
    </w:p>
    <w:p>
      <w:pPr>
        <w:spacing w:before="103" w:line="360" w:lineRule="auto"/>
        <w:ind w:left="3"/>
        <w:rPr>
          <w:rFonts w:ascii="宋体" w:hAnsi="宋体" w:eastAsia="宋体" w:cs="宋体"/>
          <w:b/>
          <w:bCs/>
          <w:spacing w:val="-5"/>
          <w:szCs w:val="21"/>
        </w:rPr>
      </w:pPr>
      <w:r>
        <w:rPr>
          <w:rFonts w:ascii="宋体" w:hAnsi="宋体" w:eastAsia="宋体" w:cs="宋体"/>
          <w:b/>
          <w:bCs/>
          <w:spacing w:val="-5"/>
          <w:szCs w:val="21"/>
        </w:rPr>
        <w:t xml:space="preserve">3.2火锅店  </w:t>
      </w:r>
    </w:p>
    <w:p>
      <w:pPr>
        <w:spacing w:before="88" w:line="219" w:lineRule="auto"/>
        <w:ind w:left="440"/>
        <w:rPr>
          <w:rFonts w:ascii="宋体" w:hAnsi="宋体" w:cs="宋体"/>
          <w:spacing w:val="-6"/>
          <w:szCs w:val="21"/>
        </w:rPr>
      </w:pPr>
      <w:r>
        <w:rPr>
          <w:rFonts w:hint="eastAsia"/>
        </w:rPr>
        <w:t>从事即时烹调加工、销售火锅餐饮制品并为消费者提供就餐场所和消费服务的火锅餐饮门店。</w:t>
      </w:r>
    </w:p>
    <w:p>
      <w:pPr>
        <w:spacing w:before="69" w:line="480" w:lineRule="auto"/>
        <w:ind w:left="6"/>
        <w:rPr>
          <w:rFonts w:ascii="黑体" w:hAnsi="黑体" w:eastAsia="黑体" w:cs="黑体"/>
          <w:b/>
          <w:bCs/>
          <w:spacing w:val="-5"/>
          <w:szCs w:val="21"/>
        </w:rPr>
      </w:pPr>
      <w:r>
        <w:rPr>
          <w:rFonts w:ascii="黑体" w:hAnsi="黑体" w:eastAsia="黑体" w:cs="黑体"/>
          <w:b/>
          <w:bCs/>
          <w:spacing w:val="-5"/>
          <w:szCs w:val="21"/>
        </w:rPr>
        <w:t>4.等级划分</w:t>
      </w:r>
      <w:r>
        <w:rPr>
          <w:rFonts w:hint="default" w:ascii="黑体" w:hAnsi="黑体" w:eastAsia="黑体" w:cs="黑体"/>
          <w:b/>
          <w:bCs/>
          <w:spacing w:val="-5"/>
          <w:szCs w:val="21"/>
        </w:rPr>
        <w:t>与标识</w:t>
      </w:r>
    </w:p>
    <w:p>
      <w:pPr>
        <w:spacing w:before="103" w:line="360" w:lineRule="auto"/>
        <w:ind w:left="3"/>
        <w:rPr>
          <w:rFonts w:ascii="宋体" w:hAnsi="宋体" w:cs="宋体"/>
          <w:b/>
          <w:bCs/>
          <w:spacing w:val="-5"/>
          <w:szCs w:val="21"/>
        </w:rPr>
      </w:pPr>
      <w:r>
        <w:rPr>
          <w:rFonts w:ascii="宋体" w:hAnsi="宋体" w:cs="宋体"/>
          <w:b/>
          <w:bCs/>
          <w:spacing w:val="-5"/>
          <w:szCs w:val="21"/>
        </w:rPr>
        <w:t xml:space="preserve">4.1  </w:t>
      </w:r>
      <w:r>
        <w:rPr>
          <w:rFonts w:hint="default" w:ascii="宋体" w:hAnsi="宋体" w:cs="宋体"/>
          <w:b/>
          <w:bCs/>
          <w:spacing w:val="-5"/>
          <w:szCs w:val="21"/>
        </w:rPr>
        <w:t>等级划分</w:t>
      </w:r>
    </w:p>
    <w:p>
      <w:pPr>
        <w:spacing w:before="68" w:line="219" w:lineRule="auto"/>
        <w:ind w:firstLine="372" w:firstLineChars="200"/>
        <w:rPr>
          <w:rFonts w:ascii="宋体" w:hAnsi="宋体" w:cs="宋体"/>
          <w:szCs w:val="21"/>
        </w:rPr>
      </w:pPr>
      <w:r>
        <w:rPr>
          <w:rFonts w:ascii="宋体" w:hAnsi="宋体" w:cs="宋体"/>
          <w:spacing w:val="-12"/>
          <w:szCs w:val="21"/>
        </w:rPr>
        <w:t>火锅店等级划分为三级，</w:t>
      </w:r>
      <w:r>
        <w:rPr>
          <w:rFonts w:hint="eastAsia" w:ascii="宋体" w:hAnsi="宋体" w:cs="宋体"/>
          <w:spacing w:val="-12"/>
          <w:szCs w:val="21"/>
        </w:rPr>
        <w:t>从低到高依次为：三</w:t>
      </w:r>
      <w:r>
        <w:rPr>
          <w:rFonts w:ascii="宋体" w:hAnsi="宋体" w:cs="宋体"/>
          <w:spacing w:val="-12"/>
          <w:szCs w:val="21"/>
        </w:rPr>
        <w:t>星级、四星级、</w:t>
      </w:r>
      <w:r>
        <w:rPr>
          <w:rFonts w:hint="eastAsia" w:ascii="宋体" w:hAnsi="宋体" w:cs="宋体"/>
          <w:spacing w:val="-12"/>
          <w:szCs w:val="21"/>
        </w:rPr>
        <w:t>五</w:t>
      </w:r>
      <w:r>
        <w:rPr>
          <w:rFonts w:ascii="宋体" w:hAnsi="宋体" w:cs="宋体"/>
          <w:spacing w:val="-12"/>
          <w:szCs w:val="21"/>
        </w:rPr>
        <w:t>星级，五星级为最高级。</w:t>
      </w:r>
    </w:p>
    <w:p>
      <w:pPr>
        <w:spacing w:before="103" w:line="360" w:lineRule="auto"/>
        <w:ind w:left="3"/>
        <w:rPr>
          <w:rFonts w:ascii="宋体" w:hAnsi="宋体" w:cs="宋体"/>
          <w:b/>
          <w:bCs/>
          <w:spacing w:val="-5"/>
          <w:szCs w:val="21"/>
        </w:rPr>
      </w:pPr>
      <w:r>
        <w:rPr>
          <w:rFonts w:ascii="宋体" w:hAnsi="宋体" w:cs="宋体"/>
          <w:b/>
          <w:bCs/>
          <w:spacing w:val="-5"/>
          <w:szCs w:val="21"/>
        </w:rPr>
        <w:t xml:space="preserve">4.2  </w:t>
      </w:r>
      <w:r>
        <w:rPr>
          <w:rFonts w:hint="default" w:ascii="宋体" w:hAnsi="宋体" w:cs="宋体"/>
          <w:b/>
          <w:bCs/>
          <w:spacing w:val="-5"/>
          <w:szCs w:val="21"/>
        </w:rPr>
        <w:t>标识</w:t>
      </w:r>
    </w:p>
    <w:p>
      <w:pPr>
        <w:spacing w:before="80" w:line="219" w:lineRule="auto"/>
        <w:ind w:firstLine="404" w:firstLineChars="200"/>
        <w:rPr>
          <w:rFonts w:ascii="宋体" w:hAnsi="宋体" w:cs="宋体"/>
          <w:szCs w:val="21"/>
        </w:rPr>
      </w:pPr>
      <w:r>
        <w:rPr>
          <w:rFonts w:hint="eastAsia" w:ascii="宋体" w:hAnsi="宋体" w:cs="宋体"/>
          <w:spacing w:val="-4"/>
        </w:rPr>
        <w:t>以星为火锅餐饮门店的等级标识，</w:t>
      </w:r>
      <w:r>
        <w:rPr>
          <w:rFonts w:ascii="宋体" w:hAnsi="宋体" w:cs="宋体"/>
          <w:spacing w:val="-6"/>
          <w:szCs w:val="21"/>
        </w:rPr>
        <w:t>等级用金色五角星表示，五颗金色五角星表</w:t>
      </w:r>
      <w:r>
        <w:rPr>
          <w:rFonts w:ascii="宋体" w:hAnsi="宋体" w:cs="宋体"/>
          <w:spacing w:val="-7"/>
          <w:szCs w:val="21"/>
        </w:rPr>
        <w:t>示五星级，以此类推。</w:t>
      </w:r>
    </w:p>
    <w:p>
      <w:pPr>
        <w:spacing w:before="69" w:line="480" w:lineRule="auto"/>
        <w:ind w:left="6"/>
        <w:rPr>
          <w:rFonts w:ascii="黑体" w:hAnsi="黑体" w:eastAsia="黑体" w:cs="黑体"/>
          <w:b/>
          <w:bCs/>
          <w:spacing w:val="-5"/>
          <w:szCs w:val="21"/>
        </w:rPr>
      </w:pPr>
      <w:r>
        <w:rPr>
          <w:rFonts w:ascii="黑体" w:hAnsi="黑体" w:eastAsia="黑体" w:cs="黑体"/>
          <w:b/>
          <w:bCs/>
          <w:spacing w:val="-5"/>
          <w:szCs w:val="21"/>
        </w:rPr>
        <w:t>5.</w:t>
      </w:r>
      <w:r>
        <w:rPr>
          <w:rFonts w:hint="default" w:ascii="黑体" w:hAnsi="黑体" w:eastAsia="黑体" w:cs="黑体"/>
          <w:b/>
          <w:bCs/>
          <w:spacing w:val="-5"/>
          <w:szCs w:val="21"/>
        </w:rPr>
        <w:t>评定对象</w:t>
      </w:r>
    </w:p>
    <w:p>
      <w:pPr>
        <w:adjustRightInd w:val="0"/>
        <w:snapToGrid w:val="0"/>
        <w:spacing w:line="300" w:lineRule="auto"/>
        <w:ind w:firstLine="404" w:firstLineChars="200"/>
        <w:rPr>
          <w:rFonts w:ascii="宋体" w:hAnsi="宋体" w:cs="宋体"/>
          <w:spacing w:val="-4"/>
        </w:rPr>
      </w:pPr>
      <w:r>
        <w:rPr>
          <w:rFonts w:hint="eastAsia" w:ascii="宋体" w:hAnsi="宋体" w:cs="宋体"/>
          <w:spacing w:val="-4"/>
        </w:rPr>
        <w:t>为河南省境内有合法经营资质，正式营业时间1年以上的火锅餐饮门店。</w:t>
      </w:r>
    </w:p>
    <w:p>
      <w:pPr>
        <w:numPr>
          <w:ilvl w:val="0"/>
          <w:numId w:val="2"/>
        </w:numPr>
        <w:spacing w:before="69" w:line="480" w:lineRule="auto"/>
        <w:ind w:left="6"/>
        <w:outlineLvl w:val="9"/>
        <w:rPr>
          <w:rFonts w:hint="default" w:ascii="黑体" w:hAnsi="黑体" w:eastAsia="黑体" w:cs="黑体"/>
          <w:b/>
          <w:bCs/>
          <w:spacing w:val="-5"/>
          <w:szCs w:val="21"/>
        </w:rPr>
      </w:pPr>
      <w:r>
        <w:rPr>
          <w:rFonts w:hint="default" w:ascii="黑体" w:hAnsi="黑体" w:eastAsia="黑体" w:cs="黑体"/>
          <w:b/>
          <w:bCs/>
          <w:spacing w:val="-5"/>
          <w:szCs w:val="21"/>
        </w:rPr>
        <w:t>火锅店等级划分与评定标准</w:t>
      </w:r>
    </w:p>
    <w:p>
      <w:pPr>
        <w:adjustRightInd w:val="0"/>
        <w:snapToGrid w:val="0"/>
        <w:spacing w:before="0" w:line="300" w:lineRule="auto"/>
        <w:ind w:left="0" w:firstLine="404" w:firstLineChars="200"/>
        <w:outlineLvl w:val="9"/>
        <w:rPr>
          <w:rFonts w:hint="eastAsia" w:ascii="宋体" w:hAnsi="宋体" w:eastAsia="宋体" w:cs="宋体"/>
          <w:b w:val="0"/>
          <w:bCs w:val="0"/>
          <w:spacing w:val="-4"/>
          <w:szCs w:val="24"/>
          <w:lang w:val="en-US" w:eastAsia="zh-CN"/>
        </w:rPr>
      </w:pPr>
      <w:r>
        <w:rPr>
          <w:rFonts w:hint="eastAsia" w:ascii="宋体" w:hAnsi="宋体" w:eastAsia="宋体" w:cs="宋体"/>
          <w:b w:val="0"/>
          <w:bCs w:val="0"/>
          <w:spacing w:val="-4"/>
          <w:szCs w:val="24"/>
          <w:lang w:val="en-US" w:eastAsia="zh-CN"/>
        </w:rPr>
        <w:t>详见附录A</w:t>
      </w:r>
    </w:p>
    <w:p>
      <w:pPr>
        <w:keepNext w:val="0"/>
        <w:keepLines w:val="0"/>
        <w:widowControl/>
        <w:numPr>
          <w:ilvl w:val="0"/>
          <w:numId w:val="2"/>
        </w:numPr>
        <w:suppressLineNumbers w:val="0"/>
        <w:spacing w:before="69" w:line="480" w:lineRule="auto"/>
        <w:ind w:left="6"/>
        <w:jc w:val="left"/>
        <w:outlineLvl w:val="9"/>
        <w:rPr>
          <w:rFonts w:ascii="黑体" w:hAnsi="黑体" w:eastAsia="黑体" w:cs="黑体"/>
          <w:b/>
          <w:bCs/>
          <w:spacing w:val="-5"/>
          <w:szCs w:val="21"/>
        </w:rPr>
      </w:pPr>
      <w:r>
        <w:rPr>
          <w:rFonts w:ascii="黑体" w:hAnsi="黑体" w:eastAsia="黑体" w:cs="黑体"/>
          <w:b/>
          <w:bCs/>
          <w:spacing w:val="-5"/>
          <w:kern w:val="2"/>
          <w:sz w:val="21"/>
          <w:szCs w:val="21"/>
          <w:lang w:val="en-US" w:eastAsia="zh-CN" w:bidi="ar"/>
        </w:rPr>
        <w:t xml:space="preserve">评定周期 </w:t>
      </w:r>
    </w:p>
    <w:p>
      <w:pPr>
        <w:keepNext w:val="0"/>
        <w:keepLines w:val="0"/>
        <w:widowControl/>
        <w:suppressLineNumbers w:val="0"/>
        <w:adjustRightInd w:val="0"/>
        <w:snapToGrid w:val="0"/>
        <w:spacing w:line="300" w:lineRule="auto"/>
        <w:ind w:firstLine="404" w:firstLineChars="200"/>
        <w:jc w:val="left"/>
        <w:outlineLvl w:val="9"/>
        <w:rPr>
          <w:rFonts w:hint="eastAsia" w:ascii="宋体" w:hAnsi="宋体" w:eastAsia="宋体" w:cs="宋体"/>
          <w:spacing w:val="-4"/>
        </w:rPr>
      </w:pPr>
      <w:r>
        <w:rPr>
          <w:rFonts w:hint="eastAsia" w:ascii="宋体" w:hAnsi="宋体" w:eastAsia="宋体" w:cs="宋体"/>
          <w:spacing w:val="-4"/>
          <w:kern w:val="2"/>
          <w:sz w:val="21"/>
          <w:szCs w:val="24"/>
          <w:lang w:val="en-US" w:eastAsia="zh-CN" w:bidi="ar"/>
        </w:rPr>
        <w:t>评定周期以自然年度为单位，每年评定一次。</w:t>
      </w:r>
    </w:p>
    <w:p>
      <w:pPr>
        <w:keepNext w:val="0"/>
        <w:keepLines w:val="0"/>
        <w:widowControl/>
        <w:numPr>
          <w:ilvl w:val="0"/>
          <w:numId w:val="2"/>
        </w:numPr>
        <w:suppressLineNumbers w:val="0"/>
        <w:spacing w:before="69" w:line="480" w:lineRule="auto"/>
        <w:ind w:left="6"/>
        <w:jc w:val="left"/>
        <w:outlineLvl w:val="9"/>
        <w:rPr>
          <w:rFonts w:ascii="黑体" w:hAnsi="黑体" w:eastAsia="黑体" w:cs="黑体"/>
          <w:b/>
          <w:bCs/>
          <w:spacing w:val="-5"/>
          <w:szCs w:val="21"/>
          <w:lang w:bidi="ar"/>
        </w:rPr>
      </w:pPr>
      <w:r>
        <w:rPr>
          <w:rFonts w:ascii="黑体" w:hAnsi="黑体" w:eastAsia="黑体" w:cs="黑体"/>
          <w:b/>
          <w:bCs/>
          <w:spacing w:val="-5"/>
          <w:kern w:val="2"/>
          <w:sz w:val="21"/>
          <w:szCs w:val="21"/>
          <w:lang w:val="en-US" w:eastAsia="zh-CN" w:bidi="ar"/>
        </w:rPr>
        <w:t xml:space="preserve">评定的程序 </w:t>
      </w:r>
    </w:p>
    <w:p>
      <w:pPr>
        <w:keepNext w:val="0"/>
        <w:keepLines w:val="0"/>
        <w:widowControl/>
        <w:suppressLineNumbers w:val="0"/>
        <w:spacing w:before="103" w:line="360" w:lineRule="auto"/>
        <w:ind w:left="3"/>
        <w:jc w:val="left"/>
        <w:rPr>
          <w:rFonts w:ascii="宋体" w:hAnsi="宋体" w:eastAsia="宋体" w:cs="宋体"/>
          <w:b/>
          <w:bCs/>
          <w:spacing w:val="-5"/>
          <w:szCs w:val="21"/>
        </w:rPr>
      </w:pPr>
      <w:r>
        <w:rPr>
          <w:rFonts w:ascii="宋体" w:hAnsi="宋体" w:eastAsia="宋体" w:cs="宋体"/>
          <w:b/>
          <w:bCs/>
          <w:spacing w:val="-5"/>
          <w:kern w:val="2"/>
          <w:sz w:val="21"/>
          <w:szCs w:val="21"/>
          <w:lang w:val="en-US" w:eastAsia="zh-CN" w:bidi="ar"/>
        </w:rPr>
        <w:t>8.1 提出申请</w:t>
      </w:r>
    </w:p>
    <w:p>
      <w:pPr>
        <w:spacing w:before="260" w:line="300" w:lineRule="auto"/>
        <w:ind w:firstLine="404" w:firstLineChars="200"/>
        <w:rPr>
          <w:rFonts w:ascii="宋体" w:hAnsi="宋体" w:eastAsia="宋体" w:cs="宋体"/>
          <w:spacing w:val="-4"/>
        </w:rPr>
      </w:pPr>
      <w:r>
        <w:rPr>
          <w:rFonts w:hint="eastAsia" w:ascii="宋体" w:hAnsi="宋体" w:cs="宋体"/>
          <w:spacing w:val="-4"/>
          <w:lang w:val="en-US" w:eastAsia="zh-CN"/>
        </w:rPr>
        <w:t>火锅餐饮门店</w:t>
      </w:r>
      <w:r>
        <w:rPr>
          <w:rFonts w:hint="eastAsia" w:ascii="宋体" w:hAnsi="宋体" w:eastAsia="宋体" w:cs="宋体"/>
          <w:spacing w:val="-4"/>
        </w:rPr>
        <w:t>根据等级划分标准,在评定前三个月，填写《申报表》，提出相应的等级评定申请，并提供证明文件。</w:t>
      </w:r>
    </w:p>
    <w:p>
      <w:pPr>
        <w:spacing w:before="269" w:line="230" w:lineRule="auto"/>
        <w:outlineLvl w:val="1"/>
        <w:rPr>
          <w:rFonts w:ascii="黑体" w:hAnsi="黑体" w:eastAsia="黑体" w:cs="黑体"/>
          <w:spacing w:val="-2"/>
        </w:rPr>
      </w:pPr>
      <w:r>
        <w:rPr>
          <w:rFonts w:ascii="黑体" w:hAnsi="黑体" w:eastAsia="黑体" w:cs="黑体"/>
          <w:spacing w:val="-2"/>
        </w:rPr>
        <w:t>8.2 初审</w:t>
      </w:r>
    </w:p>
    <w:p>
      <w:pPr>
        <w:spacing w:before="260" w:line="300" w:lineRule="auto"/>
        <w:ind w:firstLine="404" w:firstLineChars="200"/>
        <w:rPr>
          <w:rFonts w:ascii="宋体" w:hAnsi="宋体" w:eastAsia="宋体" w:cs="宋体"/>
          <w:spacing w:val="-4"/>
        </w:rPr>
      </w:pPr>
      <w:r>
        <w:rPr>
          <w:rFonts w:hint="eastAsia" w:ascii="宋体" w:hAnsi="宋体" w:eastAsia="宋体" w:cs="宋体"/>
          <w:spacing w:val="-4"/>
        </w:rPr>
        <w:t>协会收到</w:t>
      </w:r>
      <w:r>
        <w:rPr>
          <w:rFonts w:hint="eastAsia" w:ascii="宋体" w:hAnsi="宋体" w:cs="宋体"/>
          <w:spacing w:val="-4"/>
          <w:lang w:val="en-US" w:eastAsia="zh-CN"/>
        </w:rPr>
        <w:t>火锅餐饮门店</w:t>
      </w:r>
      <w:r>
        <w:rPr>
          <w:rFonts w:hint="eastAsia" w:ascii="宋体" w:hAnsi="宋体" w:eastAsia="宋体" w:cs="宋体"/>
          <w:spacing w:val="-4"/>
        </w:rPr>
        <w:t>的申请表和相关管理文件后，对申请材料进行审核，并在15个工作日内对</w:t>
      </w:r>
      <w:r>
        <w:rPr>
          <w:rFonts w:hint="eastAsia" w:ascii="宋体" w:hAnsi="宋体" w:cs="宋体"/>
          <w:spacing w:val="-4"/>
          <w:lang w:val="en-US" w:eastAsia="zh-CN"/>
        </w:rPr>
        <w:t>火锅餐饮门店</w:t>
      </w:r>
      <w:r>
        <w:rPr>
          <w:rFonts w:hint="eastAsia" w:ascii="宋体" w:hAnsi="宋体" w:eastAsia="宋体" w:cs="宋体"/>
          <w:spacing w:val="-4"/>
        </w:rPr>
        <w:t>的申请给予答复。</w:t>
      </w:r>
    </w:p>
    <w:p>
      <w:pPr>
        <w:spacing w:before="269" w:line="230" w:lineRule="auto"/>
        <w:outlineLvl w:val="1"/>
        <w:rPr>
          <w:rFonts w:ascii="黑体" w:hAnsi="黑体" w:eastAsia="黑体" w:cs="黑体"/>
          <w:spacing w:val="-2"/>
        </w:rPr>
      </w:pPr>
      <w:r>
        <w:rPr>
          <w:rFonts w:ascii="黑体" w:hAnsi="黑体" w:eastAsia="黑体" w:cs="黑体"/>
          <w:spacing w:val="-2"/>
        </w:rPr>
        <w:t>8.3 现场评审</w:t>
      </w:r>
    </w:p>
    <w:p>
      <w:pPr>
        <w:spacing w:before="260" w:line="300" w:lineRule="auto"/>
        <w:ind w:firstLine="404" w:firstLineChars="200"/>
        <w:rPr>
          <w:rFonts w:ascii="宋体" w:hAnsi="宋体" w:eastAsia="宋体" w:cs="宋体"/>
          <w:spacing w:val="-4"/>
        </w:rPr>
      </w:pPr>
      <w:r>
        <w:rPr>
          <w:rFonts w:hint="eastAsia" w:ascii="宋体" w:hAnsi="宋体" w:eastAsia="宋体" w:cs="宋体"/>
          <w:spacing w:val="-4"/>
        </w:rPr>
        <w:t>现场评审步骤包括：</w:t>
      </w:r>
    </w:p>
    <w:p>
      <w:pPr>
        <w:spacing w:line="300" w:lineRule="auto"/>
        <w:ind w:firstLine="404" w:firstLineChars="200"/>
        <w:rPr>
          <w:rFonts w:ascii="宋体" w:hAnsi="宋体" w:eastAsia="宋体" w:cs="宋体"/>
          <w:spacing w:val="-4"/>
        </w:rPr>
      </w:pPr>
      <w:r>
        <w:rPr>
          <w:rFonts w:hint="eastAsia" w:ascii="宋体" w:hAnsi="宋体" w:eastAsia="宋体" w:cs="宋体"/>
          <w:spacing w:val="-4"/>
        </w:rPr>
        <w:t>听取</w:t>
      </w:r>
      <w:r>
        <w:rPr>
          <w:rFonts w:hint="eastAsia" w:ascii="宋体" w:hAnsi="宋体" w:cs="宋体"/>
          <w:spacing w:val="-4"/>
          <w:lang w:val="en-US" w:eastAsia="zh-CN"/>
        </w:rPr>
        <w:t>火锅餐饮门店</w:t>
      </w:r>
      <w:r>
        <w:rPr>
          <w:rFonts w:hint="eastAsia" w:ascii="宋体" w:hAnsi="宋体" w:eastAsia="宋体" w:cs="宋体"/>
          <w:spacing w:val="-4"/>
        </w:rPr>
        <w:t>负责人</w:t>
      </w:r>
      <w:r>
        <w:rPr>
          <w:rFonts w:hint="eastAsia" w:ascii="宋体" w:hAnsi="宋体" w:eastAsia="宋体" w:cs="宋体"/>
          <w:spacing w:val="-4"/>
          <w:lang w:eastAsia="zh-CN"/>
        </w:rPr>
        <w:t>或分管此项业务的专项负责人</w:t>
      </w:r>
      <w:r>
        <w:rPr>
          <w:rFonts w:hint="eastAsia" w:ascii="宋体" w:hAnsi="宋体" w:eastAsia="宋体" w:cs="宋体"/>
          <w:spacing w:val="-4"/>
        </w:rPr>
        <w:t>工作汇报；</w:t>
      </w:r>
    </w:p>
    <w:p>
      <w:pPr>
        <w:spacing w:line="300" w:lineRule="auto"/>
        <w:ind w:firstLine="404" w:firstLineChars="200"/>
        <w:rPr>
          <w:rFonts w:ascii="宋体" w:hAnsi="宋体" w:eastAsia="宋体" w:cs="宋体"/>
          <w:spacing w:val="-4"/>
        </w:rPr>
      </w:pPr>
      <w:r>
        <w:rPr>
          <w:rFonts w:hint="eastAsia" w:ascii="宋体" w:hAnsi="宋体" w:eastAsia="宋体" w:cs="宋体"/>
          <w:spacing w:val="-4"/>
        </w:rPr>
        <w:t>查验相关文件及资料；</w:t>
      </w:r>
    </w:p>
    <w:p>
      <w:pPr>
        <w:spacing w:line="300" w:lineRule="auto"/>
        <w:ind w:firstLine="404" w:firstLineChars="200"/>
        <w:rPr>
          <w:rFonts w:ascii="宋体" w:hAnsi="宋体" w:eastAsia="宋体" w:cs="宋体"/>
          <w:spacing w:val="-4"/>
        </w:rPr>
      </w:pPr>
      <w:r>
        <w:rPr>
          <w:rFonts w:hint="eastAsia" w:ascii="宋体" w:hAnsi="宋体" w:eastAsia="宋体" w:cs="宋体"/>
          <w:spacing w:val="-4"/>
        </w:rPr>
        <w:t>评审专家对</w:t>
      </w:r>
      <w:r>
        <w:rPr>
          <w:rFonts w:hint="eastAsia" w:ascii="宋体" w:hAnsi="宋体" w:cs="宋体"/>
          <w:spacing w:val="-4"/>
          <w:lang w:val="en-US" w:eastAsia="zh-CN"/>
        </w:rPr>
        <w:t>火锅餐饮门店</w:t>
      </w:r>
      <w:r>
        <w:rPr>
          <w:rFonts w:hint="eastAsia" w:ascii="宋体" w:hAnsi="宋体" w:eastAsia="宋体" w:cs="宋体"/>
          <w:spacing w:val="-4"/>
        </w:rPr>
        <w:t>现场进行评审；</w:t>
      </w:r>
    </w:p>
    <w:p>
      <w:pPr>
        <w:spacing w:line="300" w:lineRule="auto"/>
        <w:ind w:firstLine="404" w:firstLineChars="200"/>
        <w:rPr>
          <w:rFonts w:ascii="宋体" w:hAnsi="宋体" w:eastAsia="宋体" w:cs="宋体"/>
          <w:spacing w:val="-4"/>
        </w:rPr>
      </w:pPr>
      <w:r>
        <w:rPr>
          <w:rFonts w:hint="eastAsia" w:ascii="宋体" w:hAnsi="宋体" w:eastAsia="宋体" w:cs="宋体"/>
          <w:spacing w:val="-4"/>
        </w:rPr>
        <w:t>现场评审组对发现的问题以书面形式及时反馈给</w:t>
      </w:r>
      <w:r>
        <w:rPr>
          <w:rFonts w:hint="eastAsia" w:ascii="宋体" w:hAnsi="宋体" w:cs="宋体"/>
          <w:spacing w:val="-4"/>
          <w:lang w:val="en-US" w:eastAsia="zh-CN"/>
        </w:rPr>
        <w:t>火锅餐饮门店</w:t>
      </w:r>
      <w:r>
        <w:rPr>
          <w:rFonts w:hint="eastAsia" w:ascii="宋体" w:hAnsi="宋体" w:eastAsia="宋体" w:cs="宋体"/>
          <w:spacing w:val="-4"/>
        </w:rPr>
        <w:t>；现场评定的所有文件由评审组汇总上报协会存档。</w:t>
      </w:r>
    </w:p>
    <w:p>
      <w:pPr>
        <w:spacing w:before="269" w:line="230" w:lineRule="auto"/>
        <w:outlineLvl w:val="1"/>
        <w:rPr>
          <w:rFonts w:ascii="黑体" w:hAnsi="黑体" w:eastAsia="黑体" w:cs="黑体"/>
          <w:spacing w:val="-2"/>
        </w:rPr>
      </w:pPr>
      <w:r>
        <w:rPr>
          <w:rFonts w:ascii="黑体" w:hAnsi="黑体" w:eastAsia="黑体" w:cs="黑体"/>
          <w:spacing w:val="-2"/>
        </w:rPr>
        <w:t>8.4  专家组评价</w:t>
      </w:r>
    </w:p>
    <w:p>
      <w:pPr>
        <w:spacing w:before="260" w:line="300" w:lineRule="auto"/>
        <w:ind w:firstLine="404" w:firstLineChars="200"/>
        <w:rPr>
          <w:rFonts w:ascii="宋体" w:hAnsi="宋体" w:eastAsia="宋体" w:cs="宋体"/>
          <w:spacing w:val="-4"/>
        </w:rPr>
      </w:pPr>
      <w:r>
        <w:rPr>
          <w:rFonts w:hint="eastAsia" w:ascii="宋体" w:hAnsi="宋体" w:eastAsia="宋体" w:cs="宋体"/>
          <w:spacing w:val="-4"/>
        </w:rPr>
        <w:t>专家评审组对评审文件按照附录A的要求对申报材料进行评定，结合现场评审提出评定结论。报河南省餐饮与住宿行业协会。</w:t>
      </w:r>
    </w:p>
    <w:p>
      <w:pPr>
        <w:spacing w:before="269" w:line="230" w:lineRule="auto"/>
        <w:outlineLvl w:val="1"/>
        <w:rPr>
          <w:rFonts w:ascii="黑体" w:hAnsi="黑体" w:eastAsia="黑体" w:cs="黑体"/>
          <w:spacing w:val="-2"/>
        </w:rPr>
      </w:pPr>
      <w:r>
        <w:rPr>
          <w:rFonts w:ascii="黑体" w:hAnsi="黑体" w:eastAsia="黑体" w:cs="黑体"/>
          <w:spacing w:val="-2"/>
        </w:rPr>
        <w:t>8.5  公示及批准</w:t>
      </w:r>
    </w:p>
    <w:p>
      <w:pPr>
        <w:spacing w:before="260" w:line="300" w:lineRule="auto"/>
        <w:ind w:firstLine="404" w:firstLineChars="200"/>
        <w:rPr>
          <w:rFonts w:ascii="宋体" w:hAnsi="宋体" w:eastAsia="宋体" w:cs="宋体"/>
          <w:spacing w:val="-4"/>
        </w:rPr>
      </w:pPr>
      <w:r>
        <w:rPr>
          <w:rFonts w:hint="eastAsia" w:ascii="宋体" w:hAnsi="宋体" w:eastAsia="宋体" w:cs="宋体"/>
          <w:spacing w:val="-4"/>
        </w:rPr>
        <w:t>河南省餐饮与住宿行业协会通过河南省餐饮与住宿行业协会官网进行五个工作日的评审结果公示。公示无异议，由协会向</w:t>
      </w:r>
      <w:r>
        <w:rPr>
          <w:rFonts w:hint="eastAsia" w:ascii="宋体" w:hAnsi="宋体" w:cs="宋体"/>
          <w:spacing w:val="-4"/>
          <w:lang w:val="en-US" w:eastAsia="zh-CN"/>
        </w:rPr>
        <w:t>火锅餐饮门店</w:t>
      </w:r>
      <w:r>
        <w:rPr>
          <w:rFonts w:hint="eastAsia" w:ascii="宋体" w:hAnsi="宋体" w:eastAsia="宋体" w:cs="宋体"/>
          <w:spacing w:val="-4"/>
        </w:rPr>
        <w:t>授予等级称号并颁发证书。</w:t>
      </w:r>
    </w:p>
    <w:p>
      <w:pPr>
        <w:spacing w:before="269" w:line="230" w:lineRule="auto"/>
        <w:outlineLvl w:val="1"/>
        <w:rPr>
          <w:rFonts w:ascii="黑体" w:hAnsi="黑体" w:eastAsia="黑体" w:cs="黑体"/>
          <w:spacing w:val="-2"/>
        </w:rPr>
      </w:pPr>
      <w:r>
        <w:rPr>
          <w:rFonts w:ascii="黑体" w:hAnsi="黑体" w:eastAsia="黑体" w:cs="黑体"/>
          <w:spacing w:val="-2"/>
        </w:rPr>
        <w:t>8.6  异议处理</w:t>
      </w:r>
    </w:p>
    <w:p>
      <w:pPr>
        <w:spacing w:before="260" w:line="300" w:lineRule="auto"/>
        <w:ind w:firstLine="404" w:firstLineChars="200"/>
        <w:rPr>
          <w:rFonts w:ascii="宋体" w:hAnsi="宋体" w:eastAsia="宋体" w:cs="宋体"/>
          <w:spacing w:val="-4"/>
        </w:rPr>
      </w:pPr>
      <w:r>
        <w:rPr>
          <w:rFonts w:hint="eastAsia" w:ascii="宋体" w:hAnsi="宋体" w:eastAsia="宋体" w:cs="宋体"/>
          <w:spacing w:val="-4"/>
        </w:rPr>
        <w:t>对评审结果有异议者，应在3个工作日内通过书面形式向协会反馈，经核查属实，协会应组织专家重新评审。</w:t>
      </w:r>
    </w:p>
    <w:p>
      <w:pPr>
        <w:pStyle w:val="2"/>
      </w:pPr>
      <w:r>
        <w:t>9 评定结果管理及应用</w:t>
      </w:r>
    </w:p>
    <w:p>
      <w:pPr>
        <w:spacing w:before="260" w:line="300" w:lineRule="auto"/>
        <w:rPr>
          <w:rFonts w:ascii="宋体" w:hAnsi="宋体" w:eastAsia="宋体" w:cs="宋体"/>
          <w:spacing w:val="-4"/>
        </w:rPr>
      </w:pPr>
      <w:r>
        <w:rPr>
          <w:rFonts w:hint="eastAsia" w:ascii="黑体" w:hAnsi="黑体" w:eastAsia="黑体" w:cs="黑体"/>
          <w:spacing w:val="-2"/>
        </w:rPr>
        <w:t>9.1</w:t>
      </w:r>
      <w:r>
        <w:rPr>
          <w:rFonts w:hint="eastAsia" w:ascii="宋体" w:hAnsi="宋体" w:eastAsia="宋体" w:cs="宋体"/>
          <w:spacing w:val="-4"/>
        </w:rPr>
        <w:t xml:space="preserve">  河南省餐饮与住宿行业协会统一制作</w:t>
      </w:r>
      <w:r>
        <w:rPr>
          <w:rFonts w:hint="eastAsia" w:ascii="宋体" w:hAnsi="宋体" w:cs="宋体"/>
          <w:spacing w:val="-4"/>
          <w:lang w:val="en-US" w:eastAsia="zh-CN"/>
        </w:rPr>
        <w:t>火锅餐饮门店</w:t>
      </w:r>
      <w:r>
        <w:rPr>
          <w:rFonts w:hint="eastAsia" w:ascii="宋体" w:hAnsi="宋体" w:eastAsia="宋体" w:cs="宋体"/>
          <w:spacing w:val="-4"/>
        </w:rPr>
        <w:t>等级标识牌和证书。</w:t>
      </w:r>
      <w:r>
        <w:rPr>
          <w:rFonts w:hint="eastAsia" w:ascii="宋体" w:hAnsi="宋体" w:cs="宋体"/>
          <w:spacing w:val="-4"/>
          <w:lang w:val="en-US" w:eastAsia="zh-CN"/>
        </w:rPr>
        <w:t>火锅餐饮门店</w:t>
      </w:r>
      <w:r>
        <w:rPr>
          <w:rFonts w:hint="eastAsia" w:ascii="宋体" w:hAnsi="宋体" w:eastAsia="宋体" w:cs="宋体"/>
          <w:spacing w:val="-4"/>
        </w:rPr>
        <w:t>获得等级称号后，等级标识牌应悬挂在企业(单位)的显著位置。</w:t>
      </w:r>
    </w:p>
    <w:p>
      <w:pPr>
        <w:spacing w:before="260" w:line="300" w:lineRule="auto"/>
        <w:rPr>
          <w:rFonts w:ascii="宋体" w:hAnsi="宋体" w:eastAsia="宋体" w:cs="宋体"/>
          <w:spacing w:val="-4"/>
        </w:rPr>
      </w:pPr>
      <w:r>
        <w:rPr>
          <w:rFonts w:hint="eastAsia" w:ascii="黑体" w:hAnsi="黑体" w:eastAsia="黑体" w:cs="黑体"/>
          <w:spacing w:val="-2"/>
        </w:rPr>
        <w:t>9.2</w:t>
      </w:r>
      <w:r>
        <w:rPr>
          <w:rFonts w:hint="eastAsia" w:ascii="宋体" w:hAnsi="宋体" w:eastAsia="宋体" w:cs="宋体"/>
          <w:spacing w:val="-4"/>
        </w:rPr>
        <w:t xml:space="preserve">  等级评定结果有效期</w:t>
      </w:r>
      <w:r>
        <w:rPr>
          <w:rFonts w:hint="eastAsia" w:ascii="宋体" w:hAnsi="宋体" w:eastAsia="宋体" w:cs="宋体"/>
          <w:spacing w:val="-4"/>
          <w:highlight w:val="none"/>
        </w:rPr>
        <w:t>为五年，</w:t>
      </w:r>
      <w:r>
        <w:rPr>
          <w:rFonts w:hint="eastAsia" w:ascii="宋体" w:hAnsi="宋体" w:eastAsia="宋体" w:cs="宋体"/>
          <w:spacing w:val="-4"/>
        </w:rPr>
        <w:t>五年期满后其标识牌和证书同时作废。</w:t>
      </w:r>
      <w:r>
        <w:rPr>
          <w:rFonts w:hint="eastAsia" w:ascii="宋体" w:hAnsi="宋体" w:cs="宋体"/>
          <w:spacing w:val="-4"/>
          <w:lang w:val="en-US" w:eastAsia="zh-CN"/>
        </w:rPr>
        <w:t>火锅餐饮门店</w:t>
      </w:r>
      <w:r>
        <w:rPr>
          <w:rFonts w:hint="eastAsia" w:ascii="宋体" w:hAnsi="宋体" w:eastAsia="宋体" w:cs="宋体"/>
          <w:spacing w:val="-4"/>
        </w:rPr>
        <w:t>应重新申请审核评定。</w:t>
      </w:r>
    </w:p>
    <w:p>
      <w:pPr>
        <w:spacing w:before="260" w:line="300" w:lineRule="auto"/>
        <w:rPr>
          <w:rFonts w:ascii="宋体" w:hAnsi="宋体" w:eastAsia="宋体" w:cs="宋体"/>
          <w:spacing w:val="-4"/>
        </w:rPr>
      </w:pPr>
      <w:r>
        <w:rPr>
          <w:rFonts w:hint="eastAsia" w:ascii="黑体" w:hAnsi="黑体" w:eastAsia="黑体" w:cs="黑体"/>
          <w:spacing w:val="-2"/>
        </w:rPr>
        <w:t>9.3</w:t>
      </w:r>
      <w:r>
        <w:rPr>
          <w:rFonts w:hint="eastAsia" w:ascii="宋体" w:hAnsi="宋体" w:eastAsia="宋体" w:cs="宋体"/>
          <w:spacing w:val="-4"/>
        </w:rPr>
        <w:t xml:space="preserve">  有效期内，协会不定期对</w:t>
      </w:r>
      <w:r>
        <w:rPr>
          <w:rFonts w:hint="eastAsia" w:ascii="宋体" w:hAnsi="宋体" w:cs="宋体"/>
          <w:spacing w:val="-4"/>
          <w:lang w:val="en-US" w:eastAsia="zh-CN"/>
        </w:rPr>
        <w:t>火锅餐饮门店</w:t>
      </w:r>
      <w:r>
        <w:rPr>
          <w:rFonts w:hint="eastAsia" w:ascii="宋体" w:hAnsi="宋体" w:eastAsia="宋体" w:cs="宋体"/>
          <w:spacing w:val="-4"/>
        </w:rPr>
        <w:t>进行检查，对未达标的进行降级或撤销处理。不接受抽检的</w:t>
      </w:r>
      <w:r>
        <w:rPr>
          <w:rFonts w:hint="eastAsia" w:ascii="宋体" w:hAnsi="宋体" w:cs="宋体"/>
          <w:spacing w:val="-4"/>
          <w:lang w:val="en-US" w:eastAsia="zh-CN"/>
        </w:rPr>
        <w:t>火锅餐饮门店</w:t>
      </w:r>
      <w:r>
        <w:rPr>
          <w:rFonts w:hint="eastAsia" w:ascii="宋体" w:hAnsi="宋体" w:eastAsia="宋体" w:cs="宋体"/>
          <w:spacing w:val="-4"/>
        </w:rPr>
        <w:t>视为自动放弃，河南省餐饮与住宿行业协会进行公示并取消其资格。</w:t>
      </w:r>
    </w:p>
    <w:p>
      <w:pPr>
        <w:spacing w:before="260" w:line="300" w:lineRule="auto"/>
        <w:rPr>
          <w:rFonts w:ascii="宋体" w:hAnsi="宋体" w:eastAsia="宋体" w:cs="宋体"/>
          <w:spacing w:val="-4"/>
        </w:rPr>
      </w:pPr>
      <w:r>
        <w:rPr>
          <w:rFonts w:hint="eastAsia" w:ascii="黑体" w:hAnsi="黑体" w:eastAsia="黑体" w:cs="黑体"/>
          <w:spacing w:val="-2"/>
        </w:rPr>
        <w:t>9.4</w:t>
      </w:r>
      <w:r>
        <w:rPr>
          <w:rFonts w:hint="eastAsia" w:ascii="宋体" w:hAnsi="宋体" w:eastAsia="宋体" w:cs="宋体"/>
          <w:spacing w:val="-4"/>
        </w:rPr>
        <w:t xml:space="preserve">  已取得等级资格的</w:t>
      </w:r>
      <w:r>
        <w:rPr>
          <w:rFonts w:hint="eastAsia" w:ascii="宋体" w:hAnsi="宋体" w:cs="宋体"/>
          <w:spacing w:val="-4"/>
          <w:lang w:val="en-US" w:eastAsia="zh-CN"/>
        </w:rPr>
        <w:t>火锅餐饮门店</w:t>
      </w:r>
      <w:r>
        <w:rPr>
          <w:rFonts w:hint="eastAsia" w:ascii="宋体" w:hAnsi="宋体" w:eastAsia="宋体" w:cs="宋体"/>
          <w:spacing w:val="-4"/>
        </w:rPr>
        <w:t>如发生食品安全、人身安全等重大事故，造成不良影响，协会根据情节轻重给予降级或取消等级资格的处理。</w:t>
      </w:r>
    </w:p>
    <w:p>
      <w:pPr>
        <w:spacing w:before="103" w:line="360" w:lineRule="auto"/>
        <w:ind w:left="3"/>
        <w:rPr>
          <w:rFonts w:ascii="宋体" w:hAnsi="宋体" w:cs="宋体"/>
          <w:b/>
          <w:bCs/>
          <w:spacing w:val="-5"/>
          <w:szCs w:val="21"/>
        </w:rPr>
      </w:pPr>
      <w:r>
        <w:rPr>
          <w:rFonts w:hint="eastAsia" w:ascii="黑体" w:hAnsi="黑体" w:eastAsia="黑体" w:cs="黑体"/>
          <w:spacing w:val="-2"/>
        </w:rPr>
        <w:t>9.5</w:t>
      </w:r>
      <w:r>
        <w:rPr>
          <w:rFonts w:hint="eastAsia" w:ascii="宋体" w:hAnsi="宋体" w:eastAsia="宋体" w:cs="宋体"/>
          <w:spacing w:val="-4"/>
        </w:rPr>
        <w:t xml:space="preserve">  被降级或取消等级资格的</w:t>
      </w:r>
      <w:r>
        <w:rPr>
          <w:rFonts w:hint="eastAsia" w:ascii="宋体" w:hAnsi="宋体" w:cs="宋体"/>
          <w:spacing w:val="-4"/>
          <w:lang w:val="en-US" w:eastAsia="zh-CN"/>
        </w:rPr>
        <w:t>火锅餐饮门店</w:t>
      </w:r>
      <w:r>
        <w:rPr>
          <w:rFonts w:hint="eastAsia" w:ascii="宋体" w:hAnsi="宋体" w:eastAsia="宋体" w:cs="宋体"/>
          <w:spacing w:val="-4"/>
        </w:rPr>
        <w:t>，一年后，方可重新申请评定。</w:t>
      </w:r>
    </w:p>
    <w:p>
      <w:pPr>
        <w:pStyle w:val="39"/>
        <w:ind w:firstLine="420"/>
        <w:rPr>
          <w:rFonts w:hint="eastAsia" w:hAnsi="宋体" w:cs="宋体"/>
        </w:rPr>
      </w:pPr>
    </w:p>
    <w:p>
      <w:pPr>
        <w:widowControl/>
        <w:spacing w:line="300" w:lineRule="auto"/>
        <w:ind w:firstLine="420" w:firstLineChars="200"/>
        <w:jc w:val="left"/>
        <w:rPr>
          <w:rFonts w:hint="eastAsia" w:ascii="宋体" w:hAnsi="宋体" w:cs="宋体"/>
          <w:spacing w:val="0"/>
        </w:rPr>
      </w:pPr>
      <w:r>
        <w:rPr>
          <w:rFonts w:hint="eastAsia" w:ascii="宋体" w:hAnsi="宋体" w:cs="宋体"/>
          <w:spacing w:val="0"/>
        </w:rPr>
        <w:br w:type="page"/>
      </w:r>
    </w:p>
    <w:p>
      <w:pPr>
        <w:spacing w:before="0" w:line="300" w:lineRule="auto"/>
        <w:jc w:val="center"/>
        <w:rPr>
          <w:rFonts w:hint="eastAsia" w:ascii="宋体" w:hAnsi="宋体"/>
          <w:b/>
          <w:bCs/>
          <w:szCs w:val="21"/>
          <w:lang w:val="en-US" w:eastAsia="zh-CN"/>
        </w:rPr>
      </w:pPr>
      <w:bookmarkStart w:id="0" w:name="OLE_LINK10"/>
      <w:r>
        <w:rPr>
          <w:rFonts w:hint="eastAsia" w:ascii="宋体" w:hAnsi="宋体"/>
          <w:b/>
          <w:bCs/>
          <w:szCs w:val="21"/>
          <w:lang w:val="en-US" w:eastAsia="zh-CN"/>
        </w:rPr>
        <w:t>附录A</w:t>
      </w:r>
    </w:p>
    <w:p>
      <w:pPr>
        <w:spacing w:before="0" w:line="312" w:lineRule="exact"/>
        <w:ind w:left="0"/>
        <w:jc w:val="center"/>
        <w:rPr>
          <w:rFonts w:ascii="黑体" w:hAnsi="黑体" w:eastAsia="黑体" w:cs="黑体"/>
          <w:sz w:val="20"/>
          <w:szCs w:val="20"/>
        </w:rPr>
      </w:pPr>
      <w:r>
        <w:rPr>
          <w:rFonts w:ascii="黑体" w:hAnsi="黑体" w:eastAsia="黑体" w:cs="黑体"/>
          <w:spacing w:val="19"/>
          <w:position w:val="7"/>
          <w:sz w:val="20"/>
          <w:szCs w:val="20"/>
        </w:rPr>
        <w:t>(规范性附录)</w:t>
      </w:r>
    </w:p>
    <w:p>
      <w:pPr>
        <w:spacing w:line="229" w:lineRule="auto"/>
        <w:ind w:left="0"/>
        <w:jc w:val="center"/>
        <w:rPr>
          <w:rFonts w:ascii="黑体" w:hAnsi="黑体" w:eastAsia="黑体" w:cs="黑体"/>
          <w:sz w:val="20"/>
          <w:szCs w:val="20"/>
        </w:rPr>
      </w:pPr>
      <w:r>
        <w:rPr>
          <w:rFonts w:ascii="黑体" w:hAnsi="黑体" w:eastAsia="黑体" w:cs="黑体"/>
          <w:spacing w:val="9"/>
          <w:sz w:val="20"/>
          <w:szCs w:val="20"/>
        </w:rPr>
        <w:t>等级评价指标体</w:t>
      </w:r>
      <w:r>
        <w:rPr>
          <w:rFonts w:ascii="黑体" w:hAnsi="黑体" w:eastAsia="黑体" w:cs="黑体"/>
          <w:spacing w:val="8"/>
          <w:sz w:val="20"/>
          <w:szCs w:val="20"/>
        </w:rPr>
        <w:t>系</w:t>
      </w:r>
    </w:p>
    <w:p>
      <w:pPr>
        <w:spacing w:before="260" w:line="300" w:lineRule="auto"/>
        <w:jc w:val="center"/>
        <w:rPr>
          <w:rFonts w:ascii="宋体" w:hAnsi="宋体"/>
          <w:b/>
          <w:bCs/>
          <w:szCs w:val="21"/>
        </w:rPr>
      </w:pPr>
      <w:r>
        <w:rPr>
          <w:rFonts w:hint="eastAsia" w:ascii="宋体" w:hAnsi="宋体"/>
          <w:b/>
          <w:bCs/>
          <w:szCs w:val="21"/>
        </w:rPr>
        <w:t>河南省火锅餐饮门店分等定级评价规范评估指标体系表</w:t>
      </w:r>
      <w:bookmarkEnd w:id="0"/>
    </w:p>
    <w:tbl>
      <w:tblPr>
        <w:tblStyle w:val="7"/>
        <w:tblW w:w="8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5"/>
        <w:gridCol w:w="1134"/>
        <w:gridCol w:w="420"/>
        <w:gridCol w:w="2982"/>
        <w:gridCol w:w="703"/>
        <w:gridCol w:w="6"/>
        <w:gridCol w:w="703"/>
        <w:gridCol w:w="18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8931" w:type="dxa"/>
            <w:gridSpan w:val="8"/>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asciiTheme="minorEastAsia" w:hAnsiTheme="minorEastAsia" w:eastAsiaTheme="minorEastAsia"/>
                <w:b/>
                <w:bCs/>
                <w:sz w:val="16"/>
                <w:szCs w:val="16"/>
              </w:rPr>
            </w:pPr>
            <w:r>
              <w:rPr>
                <w:rFonts w:hint="eastAsia" w:asciiTheme="minorEastAsia" w:hAnsiTheme="minorEastAsia" w:eastAsiaTheme="minorEastAsia"/>
                <w:b/>
                <w:bCs/>
                <w:sz w:val="16"/>
                <w:szCs w:val="16"/>
              </w:rPr>
              <w:t>基本条件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asciiTheme="minorEastAsia" w:hAnsiTheme="minorEastAsia" w:eastAsiaTheme="minorEastAsia"/>
                <w:sz w:val="16"/>
                <w:szCs w:val="16"/>
              </w:rPr>
            </w:pPr>
            <w:r>
              <w:rPr>
                <w:rFonts w:hint="eastAsia" w:asciiTheme="minorEastAsia" w:hAnsiTheme="minorEastAsia" w:eastAsiaTheme="minorEastAsia"/>
                <w:sz w:val="16"/>
                <w:szCs w:val="16"/>
              </w:rPr>
              <w:t>序号</w:t>
            </w:r>
          </w:p>
        </w:tc>
        <w:tc>
          <w:tcPr>
            <w:tcW w:w="1554"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asciiTheme="minorEastAsia" w:hAnsiTheme="minorEastAsia" w:eastAsiaTheme="minorEastAsia"/>
                <w:sz w:val="16"/>
                <w:szCs w:val="16"/>
              </w:rPr>
            </w:pPr>
            <w:r>
              <w:rPr>
                <w:rFonts w:hint="eastAsia" w:asciiTheme="minorEastAsia" w:hAnsiTheme="minorEastAsia" w:eastAsiaTheme="minorEastAsia"/>
                <w:sz w:val="16"/>
                <w:szCs w:val="16"/>
              </w:rPr>
              <w:t>评价指标</w:t>
            </w:r>
          </w:p>
        </w:tc>
        <w:tc>
          <w:tcPr>
            <w:tcW w:w="3685"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asciiTheme="minorEastAsia" w:hAnsiTheme="minorEastAsia" w:eastAsiaTheme="minorEastAsia"/>
                <w:sz w:val="16"/>
                <w:szCs w:val="16"/>
              </w:rPr>
            </w:pPr>
            <w:r>
              <w:rPr>
                <w:rFonts w:hint="eastAsia" w:asciiTheme="minorEastAsia" w:hAnsiTheme="minorEastAsia" w:eastAsiaTheme="minorEastAsia"/>
                <w:sz w:val="16"/>
                <w:szCs w:val="16"/>
              </w:rPr>
              <w:t>评价要求</w:t>
            </w:r>
          </w:p>
        </w:tc>
        <w:tc>
          <w:tcPr>
            <w:tcW w:w="2557"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asciiTheme="minorEastAsia" w:hAnsiTheme="minorEastAsia" w:eastAsiaTheme="minorEastAsia"/>
                <w:sz w:val="16"/>
                <w:szCs w:val="16"/>
              </w:rPr>
            </w:pPr>
            <w:r>
              <w:rPr>
                <w:rFonts w:hint="eastAsia" w:asciiTheme="minorEastAsia" w:hAnsiTheme="minorEastAsia" w:eastAsiaTheme="minorEastAsia"/>
                <w:sz w:val="16"/>
                <w:szCs w:val="16"/>
              </w:rPr>
              <w:t>评价说明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asciiTheme="minorEastAsia" w:hAnsiTheme="minorEastAsia" w:eastAsiaTheme="minorEastAsia"/>
                <w:sz w:val="16"/>
                <w:szCs w:val="16"/>
              </w:rPr>
            </w:pPr>
            <w:r>
              <w:rPr>
                <w:rFonts w:hint="eastAsia" w:asciiTheme="minorEastAsia" w:hAnsiTheme="minorEastAsia" w:eastAsiaTheme="minorEastAsia"/>
                <w:sz w:val="16"/>
                <w:szCs w:val="16"/>
              </w:rPr>
              <w:t>1</w:t>
            </w:r>
          </w:p>
        </w:tc>
        <w:tc>
          <w:tcPr>
            <w:tcW w:w="1554"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asciiTheme="minorEastAsia" w:hAnsiTheme="minorEastAsia" w:eastAsiaTheme="minorEastAsia"/>
                <w:sz w:val="16"/>
                <w:szCs w:val="16"/>
              </w:rPr>
            </w:pPr>
            <w:r>
              <w:rPr>
                <w:rFonts w:hint="eastAsia" w:cs="宋体" w:asciiTheme="minorEastAsia" w:hAnsiTheme="minorEastAsia" w:eastAsiaTheme="minorEastAsia"/>
                <w:spacing w:val="7"/>
                <w:position w:val="1"/>
                <w:sz w:val="16"/>
                <w:szCs w:val="16"/>
              </w:rPr>
              <w:t>营业执照</w:t>
            </w:r>
          </w:p>
        </w:tc>
        <w:tc>
          <w:tcPr>
            <w:tcW w:w="3685"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Theme="minorEastAsia" w:hAnsiTheme="minorEastAsia" w:eastAsiaTheme="minorEastAsia"/>
                <w:sz w:val="16"/>
                <w:szCs w:val="16"/>
              </w:rPr>
            </w:pPr>
            <w:r>
              <w:rPr>
                <w:rFonts w:hint="eastAsia" w:cs="宋体" w:asciiTheme="minorEastAsia" w:hAnsiTheme="minorEastAsia" w:eastAsiaTheme="minorEastAsia"/>
                <w:spacing w:val="18"/>
                <w:sz w:val="16"/>
                <w:szCs w:val="16"/>
              </w:rPr>
              <w:t>营</w:t>
            </w:r>
            <w:r>
              <w:rPr>
                <w:rFonts w:hint="eastAsia" w:cs="宋体" w:asciiTheme="minorEastAsia" w:hAnsiTheme="minorEastAsia" w:eastAsiaTheme="minorEastAsia"/>
                <w:spacing w:val="15"/>
                <w:sz w:val="16"/>
                <w:szCs w:val="16"/>
              </w:rPr>
              <w:t>业执照齐全,具备独立法人资格，具备合法资</w:t>
            </w:r>
            <w:r>
              <w:rPr>
                <w:rFonts w:hint="eastAsia" w:cs="宋体" w:asciiTheme="minorEastAsia" w:hAnsiTheme="minorEastAsia" w:eastAsiaTheme="minorEastAsia"/>
                <w:spacing w:val="1"/>
                <w:sz w:val="16"/>
                <w:szCs w:val="16"/>
              </w:rPr>
              <w:t>质。</w:t>
            </w:r>
          </w:p>
        </w:tc>
        <w:tc>
          <w:tcPr>
            <w:tcW w:w="2557"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cs="宋体" w:asciiTheme="minorEastAsia" w:hAnsiTheme="minorEastAsia" w:eastAsiaTheme="minorEastAsia"/>
                <w:sz w:val="16"/>
                <w:szCs w:val="16"/>
              </w:rPr>
            </w:pPr>
            <w:r>
              <w:rPr>
                <w:rFonts w:hint="eastAsia" w:cs="宋体" w:asciiTheme="minorEastAsia" w:hAnsiTheme="minorEastAsia" w:eastAsiaTheme="minorEastAsia"/>
                <w:spacing w:val="7"/>
                <w:sz w:val="16"/>
                <w:szCs w:val="16"/>
              </w:rPr>
              <w:t>现</w:t>
            </w:r>
            <w:r>
              <w:rPr>
                <w:rFonts w:hint="eastAsia" w:cs="宋体" w:asciiTheme="minorEastAsia" w:hAnsiTheme="minorEastAsia" w:eastAsiaTheme="minorEastAsia"/>
                <w:spacing w:val="6"/>
                <w:sz w:val="16"/>
                <w:szCs w:val="16"/>
              </w:rPr>
              <w:t>场查验。</w:t>
            </w:r>
          </w:p>
          <w:p>
            <w:pPr>
              <w:adjustRightInd w:val="0"/>
              <w:snapToGrid w:val="0"/>
              <w:spacing w:line="360" w:lineRule="auto"/>
              <w:rPr>
                <w:rFonts w:cs="宋体" w:asciiTheme="minorEastAsia" w:hAnsiTheme="minorEastAsia" w:eastAsiaTheme="minorEastAsia"/>
                <w:sz w:val="16"/>
                <w:szCs w:val="16"/>
              </w:rPr>
            </w:pPr>
            <w:r>
              <w:rPr>
                <w:rFonts w:hint="eastAsia" w:cs="宋体" w:asciiTheme="minorEastAsia" w:hAnsiTheme="minorEastAsia" w:eastAsiaTheme="minorEastAsia"/>
                <w:spacing w:val="-1"/>
                <w:sz w:val="16"/>
                <w:szCs w:val="16"/>
              </w:rPr>
              <w:t>1</w:t>
            </w:r>
            <w:r>
              <w:rPr>
                <w:rFonts w:hint="eastAsia" w:cs="宋体" w:asciiTheme="minorEastAsia" w:hAnsiTheme="minorEastAsia" w:eastAsiaTheme="minorEastAsia"/>
                <w:spacing w:val="-1"/>
                <w:sz w:val="16"/>
                <w:szCs w:val="16"/>
                <w:lang w:eastAsia="zh-CN"/>
              </w:rPr>
              <w:t>.</w:t>
            </w:r>
            <w:r>
              <w:rPr>
                <w:rFonts w:hint="eastAsia" w:cs="宋体" w:asciiTheme="minorEastAsia" w:hAnsiTheme="minorEastAsia" w:eastAsiaTheme="minorEastAsia"/>
                <w:spacing w:val="-1"/>
                <w:sz w:val="16"/>
                <w:szCs w:val="16"/>
              </w:rPr>
              <w:t>要求资料齐全</w:t>
            </w:r>
            <w:r>
              <w:rPr>
                <w:rFonts w:hint="eastAsia" w:cs="宋体" w:asciiTheme="minorEastAsia" w:hAnsiTheme="minorEastAsia" w:eastAsiaTheme="minorEastAsia"/>
                <w:sz w:val="16"/>
                <w:szCs w:val="16"/>
              </w:rPr>
              <w:t>。</w:t>
            </w:r>
          </w:p>
          <w:p>
            <w:pPr>
              <w:adjustRightInd w:val="0"/>
              <w:snapToGrid w:val="0"/>
              <w:spacing w:line="360" w:lineRule="auto"/>
              <w:rPr>
                <w:rFonts w:asciiTheme="minorEastAsia" w:hAnsiTheme="minorEastAsia" w:eastAsiaTheme="minorEastAsia"/>
                <w:sz w:val="16"/>
                <w:szCs w:val="16"/>
              </w:rPr>
            </w:pPr>
            <w:r>
              <w:rPr>
                <w:rFonts w:hint="eastAsia" w:cs="宋体" w:asciiTheme="minorEastAsia" w:hAnsiTheme="minorEastAsia" w:eastAsiaTheme="minorEastAsia"/>
                <w:spacing w:val="8"/>
                <w:position w:val="1"/>
                <w:sz w:val="16"/>
                <w:szCs w:val="16"/>
              </w:rPr>
              <w:t>2</w:t>
            </w:r>
            <w:r>
              <w:rPr>
                <w:rFonts w:hint="eastAsia" w:cs="宋体" w:asciiTheme="minorEastAsia" w:hAnsiTheme="minorEastAsia" w:eastAsiaTheme="minorEastAsia"/>
                <w:spacing w:val="-1"/>
                <w:sz w:val="16"/>
                <w:szCs w:val="16"/>
                <w:lang w:eastAsia="zh-CN"/>
              </w:rPr>
              <w:t>.</w:t>
            </w:r>
            <w:r>
              <w:rPr>
                <w:rFonts w:hint="eastAsia" w:cs="宋体" w:asciiTheme="minorEastAsia" w:hAnsiTheme="minorEastAsia" w:eastAsiaTheme="minorEastAsia"/>
                <w:spacing w:val="8"/>
                <w:position w:val="1"/>
                <w:sz w:val="16"/>
                <w:szCs w:val="16"/>
              </w:rPr>
              <w:t>不符合要求将不评定等级。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asciiTheme="minorEastAsia" w:hAnsiTheme="minorEastAsia" w:eastAsiaTheme="minorEastAsia"/>
                <w:sz w:val="16"/>
                <w:szCs w:val="16"/>
              </w:rPr>
            </w:pPr>
            <w:r>
              <w:rPr>
                <w:rFonts w:hint="eastAsia" w:asciiTheme="minorEastAsia" w:hAnsiTheme="minorEastAsia" w:eastAsiaTheme="minorEastAsia"/>
                <w:sz w:val="16"/>
                <w:szCs w:val="16"/>
              </w:rPr>
              <w:t>2</w:t>
            </w:r>
          </w:p>
        </w:tc>
        <w:tc>
          <w:tcPr>
            <w:tcW w:w="1554"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asciiTheme="minorEastAsia" w:hAnsiTheme="minorEastAsia" w:eastAsiaTheme="minorEastAsia"/>
                <w:sz w:val="16"/>
                <w:szCs w:val="16"/>
              </w:rPr>
            </w:pPr>
            <w:r>
              <w:rPr>
                <w:rFonts w:hint="eastAsia" w:cs="宋体" w:asciiTheme="minorEastAsia" w:hAnsiTheme="minorEastAsia" w:eastAsiaTheme="minorEastAsia"/>
                <w:spacing w:val="4"/>
                <w:sz w:val="16"/>
                <w:szCs w:val="16"/>
              </w:rPr>
              <w:t>食品经营许可</w:t>
            </w:r>
            <w:r>
              <w:rPr>
                <w:rFonts w:hint="eastAsia" w:cs="宋体" w:asciiTheme="minorEastAsia" w:hAnsiTheme="minorEastAsia" w:eastAsiaTheme="minorEastAsia"/>
                <w:spacing w:val="6"/>
                <w:sz w:val="16"/>
                <w:szCs w:val="16"/>
              </w:rPr>
              <w:t>证</w:t>
            </w:r>
          </w:p>
        </w:tc>
        <w:tc>
          <w:tcPr>
            <w:tcW w:w="3685"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Theme="minorEastAsia" w:hAnsiTheme="minorEastAsia" w:eastAsiaTheme="minorEastAsia"/>
                <w:sz w:val="16"/>
                <w:szCs w:val="16"/>
              </w:rPr>
            </w:pPr>
            <w:r>
              <w:rPr>
                <w:rFonts w:hint="eastAsia" w:cs="宋体" w:asciiTheme="minorEastAsia" w:hAnsiTheme="minorEastAsia" w:eastAsiaTheme="minorEastAsia"/>
                <w:spacing w:val="6"/>
                <w:sz w:val="16"/>
                <w:szCs w:val="16"/>
              </w:rPr>
              <w:t>食品经营许</w:t>
            </w:r>
            <w:r>
              <w:rPr>
                <w:rFonts w:hint="eastAsia" w:cs="宋体" w:asciiTheme="minorEastAsia" w:hAnsiTheme="minorEastAsia" w:eastAsiaTheme="minorEastAsia"/>
                <w:spacing w:val="3"/>
                <w:sz w:val="16"/>
                <w:szCs w:val="16"/>
              </w:rPr>
              <w:t>可证合法有效，经营场所、主体业态、</w:t>
            </w:r>
            <w:r>
              <w:rPr>
                <w:rFonts w:hint="eastAsia" w:cs="宋体" w:asciiTheme="minorEastAsia" w:hAnsiTheme="minorEastAsia" w:eastAsiaTheme="minorEastAsia"/>
                <w:sz w:val="16"/>
                <w:szCs w:val="16"/>
              </w:rPr>
              <w:t xml:space="preserve"> </w:t>
            </w:r>
            <w:r>
              <w:rPr>
                <w:rFonts w:hint="eastAsia" w:cs="宋体" w:asciiTheme="minorEastAsia" w:hAnsiTheme="minorEastAsia" w:eastAsiaTheme="minorEastAsia"/>
                <w:spacing w:val="7"/>
                <w:sz w:val="16"/>
                <w:szCs w:val="16"/>
              </w:rPr>
              <w:t>经营项目等事项与食品经营许可证一致</w:t>
            </w:r>
            <w:r>
              <w:rPr>
                <w:rFonts w:hint="eastAsia" w:cs="宋体" w:asciiTheme="minorEastAsia" w:hAnsiTheme="minorEastAsia" w:eastAsiaTheme="minorEastAsia"/>
                <w:spacing w:val="4"/>
                <w:sz w:val="16"/>
                <w:szCs w:val="16"/>
              </w:rPr>
              <w:t>。</w:t>
            </w:r>
          </w:p>
        </w:tc>
        <w:tc>
          <w:tcPr>
            <w:tcW w:w="2557"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cs="宋体" w:asciiTheme="minorEastAsia" w:hAnsiTheme="minorEastAsia" w:eastAsiaTheme="minorEastAsia"/>
                <w:spacing w:val="11"/>
                <w:sz w:val="16"/>
                <w:szCs w:val="16"/>
              </w:rPr>
            </w:pPr>
            <w:r>
              <w:rPr>
                <w:rFonts w:hint="eastAsia" w:cs="宋体" w:asciiTheme="minorEastAsia" w:hAnsiTheme="minorEastAsia" w:eastAsiaTheme="minorEastAsia"/>
                <w:spacing w:val="12"/>
                <w:sz w:val="16"/>
                <w:szCs w:val="16"/>
              </w:rPr>
              <w:t>现</w:t>
            </w:r>
            <w:r>
              <w:rPr>
                <w:rFonts w:hint="eastAsia" w:cs="宋体" w:asciiTheme="minorEastAsia" w:hAnsiTheme="minorEastAsia" w:eastAsiaTheme="minorEastAsia"/>
                <w:spacing w:val="11"/>
                <w:sz w:val="16"/>
                <w:szCs w:val="16"/>
              </w:rPr>
              <w:t>场查验。</w:t>
            </w:r>
          </w:p>
          <w:p>
            <w:pPr>
              <w:adjustRightInd w:val="0"/>
              <w:snapToGrid w:val="0"/>
              <w:spacing w:line="360" w:lineRule="auto"/>
              <w:rPr>
                <w:rFonts w:cs="宋体" w:asciiTheme="minorEastAsia" w:hAnsiTheme="minorEastAsia" w:eastAsiaTheme="minorEastAsia"/>
                <w:sz w:val="16"/>
                <w:szCs w:val="16"/>
              </w:rPr>
            </w:pPr>
            <w:r>
              <w:rPr>
                <w:rFonts w:hint="eastAsia" w:cs="宋体" w:asciiTheme="minorEastAsia" w:hAnsiTheme="minorEastAsia" w:eastAsiaTheme="minorEastAsia"/>
                <w:spacing w:val="-1"/>
                <w:sz w:val="16"/>
                <w:szCs w:val="16"/>
              </w:rPr>
              <w:t>1</w:t>
            </w:r>
            <w:r>
              <w:rPr>
                <w:rFonts w:hint="eastAsia" w:cs="宋体" w:asciiTheme="minorEastAsia" w:hAnsiTheme="minorEastAsia" w:eastAsiaTheme="minorEastAsia"/>
                <w:spacing w:val="-1"/>
                <w:sz w:val="16"/>
                <w:szCs w:val="16"/>
                <w:lang w:eastAsia="zh-CN"/>
              </w:rPr>
              <w:t>.</w:t>
            </w:r>
            <w:r>
              <w:rPr>
                <w:rFonts w:hint="eastAsia" w:cs="宋体" w:asciiTheme="minorEastAsia" w:hAnsiTheme="minorEastAsia" w:eastAsiaTheme="minorEastAsia"/>
                <w:spacing w:val="-1"/>
                <w:sz w:val="16"/>
                <w:szCs w:val="16"/>
              </w:rPr>
              <w:t>要求资</w:t>
            </w:r>
            <w:r>
              <w:rPr>
                <w:rFonts w:hint="eastAsia" w:cs="宋体" w:asciiTheme="minorEastAsia" w:hAnsiTheme="minorEastAsia" w:eastAsiaTheme="minorEastAsia"/>
                <w:sz w:val="16"/>
                <w:szCs w:val="16"/>
              </w:rPr>
              <w:t>料齐全有效， 内容一致</w:t>
            </w:r>
            <w:r>
              <w:rPr>
                <w:rFonts w:hint="eastAsia" w:cs="宋体" w:asciiTheme="minorEastAsia" w:hAnsiTheme="minorEastAsia" w:eastAsiaTheme="minorEastAsia"/>
                <w:spacing w:val="-8"/>
                <w:sz w:val="16"/>
                <w:szCs w:val="16"/>
              </w:rPr>
              <w:t>。</w:t>
            </w:r>
          </w:p>
          <w:p>
            <w:pPr>
              <w:adjustRightInd w:val="0"/>
              <w:snapToGrid w:val="0"/>
              <w:spacing w:line="360" w:lineRule="auto"/>
              <w:rPr>
                <w:rFonts w:asciiTheme="minorEastAsia" w:hAnsiTheme="minorEastAsia" w:eastAsiaTheme="minorEastAsia"/>
                <w:sz w:val="16"/>
                <w:szCs w:val="16"/>
              </w:rPr>
            </w:pPr>
            <w:r>
              <w:rPr>
                <w:rFonts w:hint="eastAsia" w:cs="宋体" w:asciiTheme="minorEastAsia" w:hAnsiTheme="minorEastAsia" w:eastAsiaTheme="minorEastAsia"/>
                <w:spacing w:val="8"/>
                <w:position w:val="1"/>
                <w:sz w:val="16"/>
                <w:szCs w:val="16"/>
              </w:rPr>
              <w:t>2</w:t>
            </w:r>
            <w:r>
              <w:rPr>
                <w:rFonts w:hint="eastAsia" w:cs="宋体" w:asciiTheme="minorEastAsia" w:hAnsiTheme="minorEastAsia" w:eastAsiaTheme="minorEastAsia"/>
                <w:spacing w:val="-1"/>
                <w:sz w:val="16"/>
                <w:szCs w:val="16"/>
                <w:lang w:eastAsia="zh-CN"/>
              </w:rPr>
              <w:t>.</w:t>
            </w:r>
            <w:r>
              <w:rPr>
                <w:rFonts w:hint="eastAsia" w:cs="宋体" w:asciiTheme="minorEastAsia" w:hAnsiTheme="minorEastAsia" w:eastAsiaTheme="minorEastAsia"/>
                <w:spacing w:val="8"/>
                <w:position w:val="1"/>
                <w:sz w:val="16"/>
                <w:szCs w:val="16"/>
              </w:rPr>
              <w:t>不符合要求将不评定等级。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asciiTheme="minorEastAsia" w:hAnsiTheme="minorEastAsia" w:eastAsiaTheme="minorEastAsia"/>
                <w:sz w:val="16"/>
                <w:szCs w:val="16"/>
              </w:rPr>
            </w:pPr>
            <w:r>
              <w:rPr>
                <w:rFonts w:hint="eastAsia" w:asciiTheme="minorEastAsia" w:hAnsiTheme="minorEastAsia" w:eastAsiaTheme="minorEastAsia"/>
                <w:sz w:val="16"/>
                <w:szCs w:val="16"/>
              </w:rPr>
              <w:t>3</w:t>
            </w:r>
          </w:p>
        </w:tc>
        <w:tc>
          <w:tcPr>
            <w:tcW w:w="1554"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asciiTheme="minorEastAsia" w:hAnsiTheme="minorEastAsia" w:eastAsiaTheme="minorEastAsia"/>
                <w:sz w:val="16"/>
                <w:szCs w:val="16"/>
              </w:rPr>
            </w:pPr>
            <w:r>
              <w:rPr>
                <w:rFonts w:hint="eastAsia" w:cs="宋体" w:asciiTheme="minorEastAsia" w:hAnsiTheme="minorEastAsia" w:eastAsiaTheme="minorEastAsia"/>
                <w:spacing w:val="4"/>
                <w:sz w:val="16"/>
                <w:szCs w:val="16"/>
              </w:rPr>
              <w:t>无犯罪记</w:t>
            </w:r>
            <w:r>
              <w:rPr>
                <w:rFonts w:hint="eastAsia" w:cs="宋体" w:asciiTheme="minorEastAsia" w:hAnsiTheme="minorEastAsia" w:eastAsiaTheme="minorEastAsia"/>
                <w:spacing w:val="6"/>
                <w:sz w:val="16"/>
                <w:szCs w:val="16"/>
              </w:rPr>
              <w:t>录</w:t>
            </w:r>
          </w:p>
        </w:tc>
        <w:tc>
          <w:tcPr>
            <w:tcW w:w="3685"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Theme="minorEastAsia" w:hAnsiTheme="minorEastAsia" w:eastAsiaTheme="minorEastAsia"/>
                <w:sz w:val="16"/>
                <w:szCs w:val="16"/>
              </w:rPr>
            </w:pPr>
            <w:r>
              <w:rPr>
                <w:rFonts w:hint="eastAsia" w:cs="宋体" w:asciiTheme="minorEastAsia" w:hAnsiTheme="minorEastAsia" w:eastAsiaTheme="minorEastAsia"/>
                <w:spacing w:val="16"/>
                <w:sz w:val="16"/>
                <w:szCs w:val="16"/>
              </w:rPr>
              <w:t>依</w:t>
            </w:r>
            <w:r>
              <w:rPr>
                <w:rFonts w:hint="eastAsia" w:cs="宋体" w:asciiTheme="minorEastAsia" w:hAnsiTheme="minorEastAsia" w:eastAsiaTheme="minorEastAsia"/>
                <w:spacing w:val="11"/>
                <w:sz w:val="16"/>
                <w:szCs w:val="16"/>
              </w:rPr>
              <w:t>法</w:t>
            </w:r>
            <w:r>
              <w:rPr>
                <w:rFonts w:hint="eastAsia" w:cs="宋体" w:asciiTheme="minorEastAsia" w:hAnsiTheme="minorEastAsia" w:eastAsiaTheme="minorEastAsia"/>
                <w:spacing w:val="8"/>
                <w:sz w:val="16"/>
                <w:szCs w:val="16"/>
              </w:rPr>
              <w:t>依规经营，无不良犯罪记录。</w:t>
            </w:r>
          </w:p>
        </w:tc>
        <w:tc>
          <w:tcPr>
            <w:tcW w:w="2557"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cs="宋体" w:asciiTheme="minorEastAsia" w:hAnsiTheme="minorEastAsia" w:eastAsiaTheme="minorEastAsia"/>
                <w:spacing w:val="11"/>
                <w:sz w:val="16"/>
                <w:szCs w:val="16"/>
              </w:rPr>
            </w:pPr>
            <w:r>
              <w:rPr>
                <w:rFonts w:hint="eastAsia" w:cs="宋体" w:asciiTheme="minorEastAsia" w:hAnsiTheme="minorEastAsia" w:eastAsiaTheme="minorEastAsia"/>
                <w:spacing w:val="12"/>
                <w:sz w:val="16"/>
                <w:szCs w:val="16"/>
              </w:rPr>
              <w:t>现</w:t>
            </w:r>
            <w:r>
              <w:rPr>
                <w:rFonts w:hint="eastAsia" w:cs="宋体" w:asciiTheme="minorEastAsia" w:hAnsiTheme="minorEastAsia" w:eastAsiaTheme="minorEastAsia"/>
                <w:spacing w:val="11"/>
                <w:sz w:val="16"/>
                <w:szCs w:val="16"/>
              </w:rPr>
              <w:t>场查验。</w:t>
            </w:r>
          </w:p>
          <w:p>
            <w:pPr>
              <w:adjustRightInd w:val="0"/>
              <w:snapToGrid w:val="0"/>
              <w:spacing w:line="360" w:lineRule="auto"/>
              <w:rPr>
                <w:rFonts w:cs="宋体" w:asciiTheme="minorEastAsia" w:hAnsiTheme="minorEastAsia" w:eastAsiaTheme="minorEastAsia"/>
                <w:sz w:val="16"/>
                <w:szCs w:val="16"/>
              </w:rPr>
            </w:pPr>
            <w:r>
              <w:rPr>
                <w:rFonts w:hint="eastAsia" w:cs="宋体" w:asciiTheme="minorEastAsia" w:hAnsiTheme="minorEastAsia" w:eastAsiaTheme="minorEastAsia"/>
                <w:spacing w:val="12"/>
                <w:sz w:val="16"/>
                <w:szCs w:val="16"/>
              </w:rPr>
              <w:t>1</w:t>
            </w:r>
            <w:r>
              <w:rPr>
                <w:rFonts w:hint="eastAsia" w:cs="宋体" w:asciiTheme="minorEastAsia" w:hAnsiTheme="minorEastAsia" w:eastAsiaTheme="minorEastAsia"/>
                <w:spacing w:val="-1"/>
                <w:sz w:val="16"/>
                <w:szCs w:val="16"/>
                <w:lang w:eastAsia="zh-CN"/>
              </w:rPr>
              <w:t>.</w:t>
            </w:r>
            <w:r>
              <w:rPr>
                <w:rFonts w:hint="eastAsia" w:cs="宋体" w:asciiTheme="minorEastAsia" w:hAnsiTheme="minorEastAsia" w:eastAsiaTheme="minorEastAsia"/>
                <w:spacing w:val="-1"/>
                <w:sz w:val="16"/>
                <w:szCs w:val="16"/>
              </w:rPr>
              <w:t>要求</w:t>
            </w:r>
            <w:r>
              <w:rPr>
                <w:rFonts w:hint="eastAsia" w:cs="宋体" w:asciiTheme="minorEastAsia" w:hAnsiTheme="minorEastAsia" w:eastAsiaTheme="minorEastAsia"/>
                <w:spacing w:val="8"/>
                <w:sz w:val="16"/>
                <w:szCs w:val="16"/>
              </w:rPr>
              <w:t>提供法人代表近三年的无犯</w:t>
            </w:r>
            <w:r>
              <w:rPr>
                <w:rFonts w:hint="eastAsia" w:cs="宋体" w:asciiTheme="minorEastAsia" w:hAnsiTheme="minorEastAsia" w:eastAsiaTheme="minorEastAsia"/>
                <w:spacing w:val="-2"/>
                <w:sz w:val="16"/>
                <w:szCs w:val="16"/>
              </w:rPr>
              <w:t>罪记录。</w:t>
            </w:r>
          </w:p>
          <w:p>
            <w:pPr>
              <w:adjustRightInd w:val="0"/>
              <w:snapToGrid w:val="0"/>
              <w:spacing w:line="360" w:lineRule="auto"/>
              <w:rPr>
                <w:rFonts w:asciiTheme="minorEastAsia" w:hAnsiTheme="minorEastAsia" w:eastAsiaTheme="minorEastAsia"/>
                <w:sz w:val="16"/>
                <w:szCs w:val="16"/>
              </w:rPr>
            </w:pPr>
            <w:r>
              <w:rPr>
                <w:rFonts w:hint="eastAsia" w:cs="宋体" w:asciiTheme="minorEastAsia" w:hAnsiTheme="minorEastAsia" w:eastAsiaTheme="minorEastAsia"/>
                <w:spacing w:val="8"/>
                <w:position w:val="1"/>
                <w:sz w:val="16"/>
                <w:szCs w:val="16"/>
              </w:rPr>
              <w:t>2</w:t>
            </w:r>
            <w:r>
              <w:rPr>
                <w:rFonts w:hint="eastAsia" w:cs="宋体" w:asciiTheme="minorEastAsia" w:hAnsiTheme="minorEastAsia" w:eastAsiaTheme="minorEastAsia"/>
                <w:spacing w:val="-1"/>
                <w:sz w:val="16"/>
                <w:szCs w:val="16"/>
                <w:lang w:eastAsia="zh-CN"/>
              </w:rPr>
              <w:t>.</w:t>
            </w:r>
            <w:r>
              <w:rPr>
                <w:rFonts w:hint="eastAsia" w:cs="宋体" w:asciiTheme="minorEastAsia" w:hAnsiTheme="minorEastAsia" w:eastAsiaTheme="minorEastAsia"/>
                <w:spacing w:val="8"/>
                <w:position w:val="1"/>
                <w:sz w:val="16"/>
                <w:szCs w:val="16"/>
              </w:rPr>
              <w:t>不符合要求将不评定等级。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asciiTheme="minorEastAsia" w:hAnsiTheme="minorEastAsia" w:eastAsiaTheme="minorEastAsia"/>
                <w:sz w:val="16"/>
                <w:szCs w:val="16"/>
              </w:rPr>
            </w:pPr>
            <w:r>
              <w:rPr>
                <w:rFonts w:hint="eastAsia" w:asciiTheme="minorEastAsia" w:hAnsiTheme="minorEastAsia" w:eastAsiaTheme="minorEastAsia"/>
                <w:sz w:val="16"/>
                <w:szCs w:val="16"/>
              </w:rPr>
              <w:t>4</w:t>
            </w:r>
          </w:p>
        </w:tc>
        <w:tc>
          <w:tcPr>
            <w:tcW w:w="1554"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asciiTheme="minorEastAsia" w:hAnsiTheme="minorEastAsia" w:eastAsiaTheme="minorEastAsia"/>
                <w:sz w:val="16"/>
                <w:szCs w:val="16"/>
              </w:rPr>
            </w:pPr>
            <w:r>
              <w:rPr>
                <w:rFonts w:hint="eastAsia" w:cs="宋体" w:asciiTheme="minorEastAsia" w:hAnsiTheme="minorEastAsia" w:eastAsiaTheme="minorEastAsia"/>
                <w:spacing w:val="8"/>
                <w:position w:val="1"/>
                <w:sz w:val="16"/>
                <w:szCs w:val="16"/>
              </w:rPr>
              <w:t>消防验收</w:t>
            </w:r>
          </w:p>
        </w:tc>
        <w:tc>
          <w:tcPr>
            <w:tcW w:w="3685"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cs="宋体" w:asciiTheme="minorEastAsia" w:hAnsiTheme="minorEastAsia" w:eastAsiaTheme="minorEastAsia"/>
                <w:spacing w:val="9"/>
                <w:sz w:val="16"/>
                <w:szCs w:val="16"/>
              </w:rPr>
            </w:pPr>
            <w:r>
              <w:rPr>
                <w:rFonts w:hint="eastAsia" w:cs="宋体" w:asciiTheme="minorEastAsia" w:hAnsiTheme="minorEastAsia" w:eastAsiaTheme="minorEastAsia"/>
                <w:spacing w:val="9"/>
                <w:sz w:val="16"/>
                <w:szCs w:val="16"/>
              </w:rPr>
              <w:t>a）应有经营场所消防安全检查合格证。</w:t>
            </w:r>
          </w:p>
          <w:p>
            <w:pPr>
              <w:adjustRightInd w:val="0"/>
              <w:snapToGrid w:val="0"/>
              <w:spacing w:line="360" w:lineRule="auto"/>
              <w:rPr>
                <w:rFonts w:cs="宋体" w:asciiTheme="minorEastAsia" w:hAnsiTheme="minorEastAsia" w:eastAsiaTheme="minorEastAsia"/>
                <w:spacing w:val="9"/>
                <w:sz w:val="16"/>
                <w:szCs w:val="16"/>
              </w:rPr>
            </w:pPr>
            <w:r>
              <w:rPr>
                <w:rFonts w:cs="宋体" w:asciiTheme="minorEastAsia" w:hAnsiTheme="minorEastAsia" w:eastAsiaTheme="minorEastAsia"/>
                <w:spacing w:val="9"/>
                <w:sz w:val="16"/>
                <w:szCs w:val="16"/>
              </w:rPr>
              <w:t>b</w:t>
            </w:r>
            <w:r>
              <w:rPr>
                <w:rFonts w:hint="eastAsia" w:cs="宋体" w:asciiTheme="minorEastAsia" w:hAnsiTheme="minorEastAsia" w:eastAsiaTheme="minorEastAsia"/>
                <w:spacing w:val="9"/>
                <w:sz w:val="16"/>
                <w:szCs w:val="16"/>
              </w:rPr>
              <w:t>)</w:t>
            </w:r>
            <w:r>
              <w:rPr>
                <w:rFonts w:cs="宋体" w:asciiTheme="minorEastAsia" w:hAnsiTheme="minorEastAsia" w:eastAsiaTheme="minorEastAsia"/>
                <w:spacing w:val="9"/>
                <w:sz w:val="16"/>
                <w:szCs w:val="16"/>
              </w:rPr>
              <w:t>建筑物的消防设计应符合国家有关消防技术的规范要求</w:t>
            </w:r>
            <w:r>
              <w:rPr>
                <w:rFonts w:hint="eastAsia" w:cs="宋体" w:asciiTheme="minorEastAsia" w:hAnsiTheme="minorEastAsia" w:eastAsiaTheme="minorEastAsia"/>
                <w:spacing w:val="9"/>
                <w:sz w:val="16"/>
                <w:szCs w:val="16"/>
              </w:rPr>
              <w:t>。</w:t>
            </w:r>
          </w:p>
          <w:p>
            <w:pPr>
              <w:adjustRightInd w:val="0"/>
              <w:snapToGrid w:val="0"/>
              <w:spacing w:line="360" w:lineRule="auto"/>
              <w:rPr>
                <w:rFonts w:cs="宋体" w:asciiTheme="minorEastAsia" w:hAnsiTheme="minorEastAsia" w:eastAsiaTheme="minorEastAsia"/>
                <w:spacing w:val="9"/>
                <w:sz w:val="16"/>
                <w:szCs w:val="16"/>
              </w:rPr>
            </w:pPr>
            <w:r>
              <w:rPr>
                <w:rFonts w:cs="宋体" w:asciiTheme="minorEastAsia" w:hAnsiTheme="minorEastAsia" w:eastAsiaTheme="minorEastAsia"/>
                <w:spacing w:val="9"/>
                <w:sz w:val="16"/>
                <w:szCs w:val="16"/>
              </w:rPr>
              <w:t>c</w:t>
            </w:r>
            <w:r>
              <w:rPr>
                <w:rFonts w:hint="eastAsia" w:cs="宋体" w:asciiTheme="minorEastAsia" w:hAnsiTheme="minorEastAsia" w:eastAsiaTheme="minorEastAsia"/>
                <w:spacing w:val="9"/>
                <w:sz w:val="16"/>
                <w:szCs w:val="16"/>
              </w:rPr>
              <w:t>）按照国家有关规定配置消防设施和器材、设置消防安全标识。定期对消防设施和器材进行检查和维护保养，确保消防设施和器材的完好、有效。</w:t>
            </w:r>
          </w:p>
          <w:p>
            <w:pPr>
              <w:adjustRightInd w:val="0"/>
              <w:snapToGrid w:val="0"/>
              <w:spacing w:line="360" w:lineRule="auto"/>
              <w:rPr>
                <w:rFonts w:cs="宋体" w:asciiTheme="minorEastAsia" w:hAnsiTheme="minorEastAsia" w:eastAsiaTheme="minorEastAsia"/>
                <w:spacing w:val="9"/>
                <w:sz w:val="16"/>
                <w:szCs w:val="16"/>
              </w:rPr>
            </w:pPr>
            <w:r>
              <w:rPr>
                <w:rFonts w:cs="宋体" w:asciiTheme="minorEastAsia" w:hAnsiTheme="minorEastAsia" w:eastAsiaTheme="minorEastAsia"/>
                <w:spacing w:val="9"/>
                <w:sz w:val="16"/>
                <w:szCs w:val="16"/>
              </w:rPr>
              <w:t>d</w:t>
            </w:r>
            <w:r>
              <w:rPr>
                <w:rFonts w:hint="eastAsia" w:cs="宋体" w:asciiTheme="minorEastAsia" w:hAnsiTheme="minorEastAsia" w:eastAsiaTheme="minorEastAsia"/>
                <w:spacing w:val="9"/>
                <w:sz w:val="16"/>
                <w:szCs w:val="16"/>
              </w:rPr>
              <w:t>）</w:t>
            </w:r>
            <w:r>
              <w:rPr>
                <w:rFonts w:cs="宋体" w:asciiTheme="minorEastAsia" w:hAnsiTheme="minorEastAsia" w:eastAsiaTheme="minorEastAsia"/>
                <w:spacing w:val="9"/>
                <w:sz w:val="16"/>
                <w:szCs w:val="16"/>
              </w:rPr>
              <w:t>炭火、燃气和电的使用、储存和管理应符合消防安全规定。</w:t>
            </w:r>
          </w:p>
          <w:p>
            <w:pPr>
              <w:adjustRightInd w:val="0"/>
              <w:snapToGrid w:val="0"/>
              <w:spacing w:line="360" w:lineRule="auto"/>
              <w:rPr>
                <w:rFonts w:cs="宋体" w:asciiTheme="minorEastAsia" w:hAnsiTheme="minorEastAsia" w:eastAsiaTheme="minorEastAsia"/>
                <w:spacing w:val="9"/>
                <w:sz w:val="16"/>
                <w:szCs w:val="16"/>
              </w:rPr>
            </w:pPr>
            <w:r>
              <w:rPr>
                <w:rFonts w:cs="宋体" w:asciiTheme="minorEastAsia" w:hAnsiTheme="minorEastAsia" w:eastAsiaTheme="minorEastAsia"/>
                <w:spacing w:val="9"/>
                <w:sz w:val="16"/>
                <w:szCs w:val="16"/>
              </w:rPr>
              <w:t>e</w:t>
            </w:r>
            <w:r>
              <w:rPr>
                <w:rFonts w:hint="eastAsia" w:cs="宋体" w:asciiTheme="minorEastAsia" w:hAnsiTheme="minorEastAsia" w:eastAsiaTheme="minorEastAsia"/>
                <w:spacing w:val="9"/>
                <w:sz w:val="16"/>
                <w:szCs w:val="16"/>
              </w:rPr>
              <w:t>）室内装修、装饰应采用不燃、难燃的绝缘材料。</w:t>
            </w:r>
          </w:p>
          <w:p>
            <w:pPr>
              <w:adjustRightInd w:val="0"/>
              <w:snapToGrid w:val="0"/>
              <w:spacing w:line="360" w:lineRule="auto"/>
              <w:rPr>
                <w:rFonts w:asciiTheme="minorEastAsia" w:hAnsiTheme="minorEastAsia" w:eastAsiaTheme="minorEastAsia"/>
                <w:sz w:val="16"/>
                <w:szCs w:val="16"/>
              </w:rPr>
            </w:pPr>
            <w:r>
              <w:rPr>
                <w:rFonts w:cs="宋体" w:asciiTheme="minorEastAsia" w:hAnsiTheme="minorEastAsia" w:eastAsiaTheme="minorEastAsia"/>
                <w:spacing w:val="9"/>
                <w:sz w:val="16"/>
                <w:szCs w:val="16"/>
              </w:rPr>
              <w:t>f</w:t>
            </w:r>
            <w:r>
              <w:rPr>
                <w:rFonts w:hint="eastAsia" w:cs="宋体" w:asciiTheme="minorEastAsia" w:hAnsiTheme="minorEastAsia" w:eastAsiaTheme="minorEastAsia"/>
                <w:spacing w:val="9"/>
                <w:sz w:val="16"/>
                <w:szCs w:val="16"/>
              </w:rPr>
              <w:t>）应建立火灾应急预案并进行现场演练，定期进行员工培训。</w:t>
            </w:r>
          </w:p>
        </w:tc>
        <w:tc>
          <w:tcPr>
            <w:tcW w:w="2557"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cs="宋体" w:asciiTheme="minorEastAsia" w:hAnsiTheme="minorEastAsia" w:eastAsiaTheme="minorEastAsia"/>
                <w:spacing w:val="11"/>
                <w:sz w:val="16"/>
                <w:szCs w:val="16"/>
              </w:rPr>
            </w:pPr>
            <w:r>
              <w:rPr>
                <w:rFonts w:hint="eastAsia" w:cs="宋体" w:asciiTheme="minorEastAsia" w:hAnsiTheme="minorEastAsia" w:eastAsiaTheme="minorEastAsia"/>
                <w:spacing w:val="12"/>
                <w:sz w:val="16"/>
                <w:szCs w:val="16"/>
              </w:rPr>
              <w:t>现</w:t>
            </w:r>
            <w:r>
              <w:rPr>
                <w:rFonts w:hint="eastAsia" w:cs="宋体" w:asciiTheme="minorEastAsia" w:hAnsiTheme="minorEastAsia" w:eastAsiaTheme="minorEastAsia"/>
                <w:spacing w:val="11"/>
                <w:sz w:val="16"/>
                <w:szCs w:val="16"/>
              </w:rPr>
              <w:t>场查验。</w:t>
            </w:r>
          </w:p>
          <w:p>
            <w:pPr>
              <w:adjustRightInd w:val="0"/>
              <w:snapToGrid w:val="0"/>
              <w:spacing w:line="360" w:lineRule="auto"/>
              <w:rPr>
                <w:rFonts w:cs="宋体" w:asciiTheme="minorEastAsia" w:hAnsiTheme="minorEastAsia" w:eastAsiaTheme="minorEastAsia"/>
                <w:sz w:val="16"/>
                <w:szCs w:val="16"/>
              </w:rPr>
            </w:pPr>
            <w:r>
              <w:rPr>
                <w:rFonts w:hint="eastAsia" w:cs="宋体" w:asciiTheme="minorEastAsia" w:hAnsiTheme="minorEastAsia" w:eastAsiaTheme="minorEastAsia"/>
                <w:spacing w:val="-1"/>
                <w:sz w:val="16"/>
                <w:szCs w:val="16"/>
              </w:rPr>
              <w:t>1</w:t>
            </w:r>
            <w:r>
              <w:rPr>
                <w:rFonts w:hint="eastAsia" w:cs="宋体" w:asciiTheme="minorEastAsia" w:hAnsiTheme="minorEastAsia" w:eastAsiaTheme="minorEastAsia"/>
                <w:spacing w:val="-1"/>
                <w:sz w:val="16"/>
                <w:szCs w:val="16"/>
                <w:lang w:eastAsia="zh-CN"/>
              </w:rPr>
              <w:t>.</w:t>
            </w:r>
            <w:r>
              <w:rPr>
                <w:rFonts w:hint="eastAsia" w:cs="宋体" w:asciiTheme="minorEastAsia" w:hAnsiTheme="minorEastAsia" w:eastAsiaTheme="minorEastAsia"/>
                <w:spacing w:val="-1"/>
                <w:sz w:val="16"/>
                <w:szCs w:val="16"/>
              </w:rPr>
              <w:t>要求资</w:t>
            </w:r>
            <w:r>
              <w:rPr>
                <w:rFonts w:hint="eastAsia" w:cs="宋体" w:asciiTheme="minorEastAsia" w:hAnsiTheme="minorEastAsia" w:eastAsiaTheme="minorEastAsia"/>
                <w:sz w:val="16"/>
                <w:szCs w:val="16"/>
              </w:rPr>
              <w:t>料齐全有效，内容一致</w:t>
            </w:r>
            <w:r>
              <w:rPr>
                <w:rFonts w:hint="eastAsia" w:cs="宋体" w:asciiTheme="minorEastAsia" w:hAnsiTheme="minorEastAsia" w:eastAsiaTheme="minorEastAsia"/>
                <w:spacing w:val="-8"/>
                <w:sz w:val="16"/>
                <w:szCs w:val="16"/>
              </w:rPr>
              <w:t>。</w:t>
            </w:r>
          </w:p>
          <w:p>
            <w:pPr>
              <w:adjustRightInd w:val="0"/>
              <w:snapToGrid w:val="0"/>
              <w:spacing w:line="360" w:lineRule="auto"/>
              <w:rPr>
                <w:rFonts w:asciiTheme="minorEastAsia" w:hAnsiTheme="minorEastAsia" w:eastAsiaTheme="minorEastAsia"/>
                <w:sz w:val="16"/>
                <w:szCs w:val="16"/>
              </w:rPr>
            </w:pPr>
            <w:r>
              <w:rPr>
                <w:rFonts w:hint="eastAsia" w:cs="宋体" w:asciiTheme="minorEastAsia" w:hAnsiTheme="minorEastAsia" w:eastAsiaTheme="minorEastAsia"/>
                <w:spacing w:val="8"/>
                <w:position w:val="1"/>
                <w:sz w:val="16"/>
                <w:szCs w:val="16"/>
              </w:rPr>
              <w:t>2</w:t>
            </w:r>
            <w:r>
              <w:rPr>
                <w:rFonts w:hint="eastAsia" w:cs="宋体" w:asciiTheme="minorEastAsia" w:hAnsiTheme="minorEastAsia" w:eastAsiaTheme="minorEastAsia"/>
                <w:spacing w:val="-1"/>
                <w:sz w:val="16"/>
                <w:szCs w:val="16"/>
                <w:lang w:eastAsia="zh-CN"/>
              </w:rPr>
              <w:t>.</w:t>
            </w:r>
            <w:r>
              <w:rPr>
                <w:rFonts w:hint="eastAsia" w:cs="宋体" w:asciiTheme="minorEastAsia" w:hAnsiTheme="minorEastAsia" w:eastAsiaTheme="minorEastAsia"/>
                <w:spacing w:val="8"/>
                <w:position w:val="1"/>
                <w:sz w:val="16"/>
                <w:szCs w:val="16"/>
              </w:rPr>
              <w:t>不符合要求将不评定等级。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asciiTheme="minorEastAsia" w:hAnsiTheme="minorEastAsia" w:eastAsiaTheme="minorEastAsia"/>
                <w:sz w:val="16"/>
                <w:szCs w:val="16"/>
              </w:rPr>
            </w:pPr>
            <w:r>
              <w:rPr>
                <w:rFonts w:hint="eastAsia" w:asciiTheme="minorEastAsia" w:hAnsiTheme="minorEastAsia" w:eastAsiaTheme="minorEastAsia"/>
                <w:sz w:val="16"/>
                <w:szCs w:val="16"/>
              </w:rPr>
              <w:t>5</w:t>
            </w:r>
          </w:p>
        </w:tc>
        <w:tc>
          <w:tcPr>
            <w:tcW w:w="1554"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cs="宋体" w:asciiTheme="minorEastAsia" w:hAnsiTheme="minorEastAsia" w:eastAsiaTheme="minorEastAsia"/>
                <w:spacing w:val="8"/>
                <w:position w:val="1"/>
                <w:sz w:val="16"/>
                <w:szCs w:val="16"/>
              </w:rPr>
            </w:pPr>
            <w:r>
              <w:rPr>
                <w:rFonts w:hint="eastAsia" w:cs="宋体" w:asciiTheme="minorEastAsia" w:hAnsiTheme="minorEastAsia" w:eastAsiaTheme="minorEastAsia"/>
                <w:spacing w:val="8"/>
                <w:position w:val="1"/>
                <w:sz w:val="16"/>
                <w:szCs w:val="16"/>
              </w:rPr>
              <w:t>经营场所</w:t>
            </w:r>
          </w:p>
        </w:tc>
        <w:tc>
          <w:tcPr>
            <w:tcW w:w="3685"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cs="宋体" w:asciiTheme="minorEastAsia" w:hAnsiTheme="minorEastAsia" w:eastAsiaTheme="minorEastAsia"/>
                <w:spacing w:val="-6"/>
                <w:sz w:val="16"/>
                <w:szCs w:val="16"/>
              </w:rPr>
            </w:pPr>
            <w:r>
              <w:rPr>
                <w:rFonts w:cs="宋体" w:asciiTheme="minorEastAsia" w:hAnsiTheme="minorEastAsia" w:eastAsiaTheme="minorEastAsia"/>
                <w:spacing w:val="9"/>
                <w:sz w:val="16"/>
                <w:szCs w:val="16"/>
              </w:rPr>
              <w:t>建筑、附属设施、服务项目和运行管理应符合安全、消防、卫生、环保等现行国家、行业和地方的有关规定和标准。</w:t>
            </w:r>
          </w:p>
        </w:tc>
        <w:tc>
          <w:tcPr>
            <w:tcW w:w="2557"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cs="宋体" w:asciiTheme="minorEastAsia" w:hAnsiTheme="minorEastAsia" w:eastAsiaTheme="minorEastAsia"/>
                <w:spacing w:val="11"/>
                <w:sz w:val="16"/>
                <w:szCs w:val="16"/>
              </w:rPr>
            </w:pPr>
            <w:r>
              <w:rPr>
                <w:rFonts w:hint="eastAsia" w:cs="宋体" w:asciiTheme="minorEastAsia" w:hAnsiTheme="minorEastAsia" w:eastAsiaTheme="minorEastAsia"/>
                <w:spacing w:val="12"/>
                <w:sz w:val="16"/>
                <w:szCs w:val="16"/>
              </w:rPr>
              <w:t>现</w:t>
            </w:r>
            <w:r>
              <w:rPr>
                <w:rFonts w:hint="eastAsia" w:cs="宋体" w:asciiTheme="minorEastAsia" w:hAnsiTheme="minorEastAsia" w:eastAsiaTheme="minorEastAsia"/>
                <w:spacing w:val="11"/>
                <w:sz w:val="16"/>
                <w:szCs w:val="16"/>
              </w:rPr>
              <w:t>场查验。</w:t>
            </w:r>
          </w:p>
          <w:p>
            <w:pPr>
              <w:adjustRightInd w:val="0"/>
              <w:snapToGrid w:val="0"/>
              <w:spacing w:line="360" w:lineRule="auto"/>
              <w:rPr>
                <w:rFonts w:cs="宋体" w:asciiTheme="minorEastAsia" w:hAnsiTheme="minorEastAsia" w:eastAsiaTheme="minorEastAsia"/>
                <w:sz w:val="16"/>
                <w:szCs w:val="16"/>
              </w:rPr>
            </w:pPr>
            <w:r>
              <w:rPr>
                <w:rFonts w:hint="eastAsia" w:cs="宋体" w:asciiTheme="minorEastAsia" w:hAnsiTheme="minorEastAsia" w:eastAsiaTheme="minorEastAsia"/>
                <w:spacing w:val="-1"/>
                <w:sz w:val="16"/>
                <w:szCs w:val="16"/>
              </w:rPr>
              <w:t>1</w:t>
            </w:r>
            <w:r>
              <w:rPr>
                <w:rFonts w:hint="eastAsia" w:cs="宋体" w:asciiTheme="minorEastAsia" w:hAnsiTheme="minorEastAsia" w:eastAsiaTheme="minorEastAsia"/>
                <w:spacing w:val="-1"/>
                <w:sz w:val="16"/>
                <w:szCs w:val="16"/>
                <w:lang w:eastAsia="zh-CN"/>
              </w:rPr>
              <w:t>.</w:t>
            </w:r>
            <w:r>
              <w:rPr>
                <w:rFonts w:hint="eastAsia" w:cs="宋体" w:asciiTheme="minorEastAsia" w:hAnsiTheme="minorEastAsia" w:eastAsiaTheme="minorEastAsia"/>
                <w:spacing w:val="-1"/>
                <w:sz w:val="16"/>
                <w:szCs w:val="16"/>
              </w:rPr>
              <w:t>要求证件</w:t>
            </w:r>
            <w:r>
              <w:rPr>
                <w:rFonts w:hint="eastAsia" w:cs="宋体" w:asciiTheme="minorEastAsia" w:hAnsiTheme="minorEastAsia" w:eastAsiaTheme="minorEastAsia"/>
                <w:sz w:val="16"/>
                <w:szCs w:val="16"/>
              </w:rPr>
              <w:t>齐全有效</w:t>
            </w:r>
            <w:r>
              <w:rPr>
                <w:rFonts w:hint="eastAsia" w:cs="宋体" w:asciiTheme="minorEastAsia" w:hAnsiTheme="minorEastAsia" w:eastAsiaTheme="minorEastAsia"/>
                <w:spacing w:val="-8"/>
                <w:sz w:val="16"/>
                <w:szCs w:val="16"/>
              </w:rPr>
              <w:t>。</w:t>
            </w:r>
          </w:p>
          <w:p>
            <w:pPr>
              <w:adjustRightInd w:val="0"/>
              <w:snapToGrid w:val="0"/>
              <w:spacing w:line="360" w:lineRule="auto"/>
              <w:rPr>
                <w:rFonts w:cs="宋体" w:asciiTheme="minorEastAsia" w:hAnsiTheme="minorEastAsia" w:eastAsiaTheme="minorEastAsia"/>
                <w:spacing w:val="12"/>
                <w:sz w:val="16"/>
                <w:szCs w:val="16"/>
              </w:rPr>
            </w:pPr>
            <w:r>
              <w:rPr>
                <w:rFonts w:hint="eastAsia" w:cs="宋体" w:asciiTheme="minorEastAsia" w:hAnsiTheme="minorEastAsia" w:eastAsiaTheme="minorEastAsia"/>
                <w:spacing w:val="8"/>
                <w:position w:val="1"/>
                <w:sz w:val="16"/>
                <w:szCs w:val="16"/>
              </w:rPr>
              <w:t>2</w:t>
            </w:r>
            <w:r>
              <w:rPr>
                <w:rFonts w:hint="eastAsia" w:cs="宋体" w:asciiTheme="minorEastAsia" w:hAnsiTheme="minorEastAsia" w:eastAsiaTheme="minorEastAsia"/>
                <w:spacing w:val="-1"/>
                <w:sz w:val="16"/>
                <w:szCs w:val="16"/>
                <w:lang w:eastAsia="zh-CN"/>
              </w:rPr>
              <w:t>.</w:t>
            </w:r>
            <w:r>
              <w:rPr>
                <w:rFonts w:hint="eastAsia" w:cs="宋体" w:asciiTheme="minorEastAsia" w:hAnsiTheme="minorEastAsia" w:eastAsiaTheme="minorEastAsia"/>
                <w:spacing w:val="8"/>
                <w:position w:val="1"/>
                <w:sz w:val="16"/>
                <w:szCs w:val="16"/>
              </w:rPr>
              <w:t>不符合要求将不评定等级。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asciiTheme="minorEastAsia" w:hAnsiTheme="minorEastAsia" w:eastAsiaTheme="minorEastAsia"/>
                <w:sz w:val="16"/>
                <w:szCs w:val="16"/>
              </w:rPr>
            </w:pPr>
            <w:r>
              <w:rPr>
                <w:rFonts w:hint="eastAsia" w:asciiTheme="minorEastAsia" w:hAnsiTheme="minorEastAsia" w:eastAsiaTheme="minorEastAsia"/>
                <w:sz w:val="16"/>
                <w:szCs w:val="16"/>
              </w:rPr>
              <w:t>6</w:t>
            </w:r>
          </w:p>
        </w:tc>
        <w:tc>
          <w:tcPr>
            <w:tcW w:w="1554"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cs="宋体" w:asciiTheme="minorEastAsia" w:hAnsiTheme="minorEastAsia" w:eastAsiaTheme="minorEastAsia"/>
                <w:spacing w:val="7"/>
                <w:sz w:val="16"/>
                <w:szCs w:val="16"/>
              </w:rPr>
            </w:pPr>
            <w:r>
              <w:rPr>
                <w:rFonts w:hint="eastAsia" w:cs="宋体" w:asciiTheme="minorEastAsia" w:hAnsiTheme="minorEastAsia" w:eastAsiaTheme="minorEastAsia"/>
                <w:spacing w:val="7"/>
                <w:sz w:val="16"/>
                <w:szCs w:val="16"/>
              </w:rPr>
              <w:t>从业人员个</w:t>
            </w:r>
            <w:r>
              <w:rPr>
                <w:rFonts w:hint="eastAsia" w:cs="宋体" w:asciiTheme="minorEastAsia" w:hAnsiTheme="minorEastAsia" w:eastAsiaTheme="minorEastAsia"/>
                <w:spacing w:val="8"/>
                <w:sz w:val="16"/>
                <w:szCs w:val="16"/>
              </w:rPr>
              <w:t>人卫生和保障机制</w:t>
            </w:r>
          </w:p>
        </w:tc>
        <w:tc>
          <w:tcPr>
            <w:tcW w:w="3685"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a</w:t>
            </w:r>
            <w:r>
              <w:rPr>
                <w:rFonts w:hint="eastAsia" w:cs="宋体" w:asciiTheme="minorEastAsia" w:hAnsiTheme="minorEastAsia" w:eastAsiaTheme="minorEastAsia"/>
                <w:spacing w:val="9"/>
                <w:sz w:val="16"/>
                <w:szCs w:val="16"/>
              </w:rPr>
              <w:t>)从业人员应持有合格有效健康证明</w:t>
            </w:r>
            <w:r>
              <w:rPr>
                <w:rFonts w:hint="eastAsia" w:cs="宋体" w:asciiTheme="minorEastAsia" w:hAnsiTheme="minorEastAsia" w:eastAsiaTheme="minorEastAsia"/>
                <w:spacing w:val="8"/>
                <w:sz w:val="16"/>
                <w:szCs w:val="16"/>
              </w:rPr>
              <w:t>。</w:t>
            </w:r>
          </w:p>
          <w:p>
            <w:pPr>
              <w:adjustRightInd w:val="0"/>
              <w:snapToGrid w:val="0"/>
              <w:spacing w:line="360" w:lineRule="auto"/>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b</w:t>
            </w:r>
            <w:r>
              <w:rPr>
                <w:rFonts w:hint="eastAsia" w:cs="宋体" w:asciiTheme="minorEastAsia" w:hAnsiTheme="minorEastAsia" w:eastAsiaTheme="minorEastAsia"/>
                <w:spacing w:val="10"/>
                <w:sz w:val="16"/>
                <w:szCs w:val="16"/>
              </w:rPr>
              <w:t>)严格执行晨检制度。对有碍食品安全疾病的</w:t>
            </w:r>
            <w:r>
              <w:rPr>
                <w:rFonts w:hint="eastAsia" w:cs="宋体" w:asciiTheme="minorEastAsia" w:hAnsiTheme="minorEastAsia" w:eastAsiaTheme="minorEastAsia"/>
                <w:spacing w:val="5"/>
                <w:sz w:val="16"/>
                <w:szCs w:val="16"/>
              </w:rPr>
              <w:t>人</w:t>
            </w:r>
            <w:r>
              <w:rPr>
                <w:rFonts w:hint="eastAsia" w:cs="宋体" w:asciiTheme="minorEastAsia" w:hAnsiTheme="minorEastAsia" w:eastAsiaTheme="minorEastAsia"/>
                <w:spacing w:val="8"/>
                <w:sz w:val="16"/>
                <w:szCs w:val="16"/>
              </w:rPr>
              <w:t>员，有完善的调离制度</w:t>
            </w:r>
            <w:r>
              <w:rPr>
                <w:rFonts w:hint="eastAsia" w:cs="宋体" w:asciiTheme="minorEastAsia" w:hAnsiTheme="minorEastAsia" w:eastAsiaTheme="minorEastAsia"/>
                <w:spacing w:val="5"/>
                <w:sz w:val="16"/>
                <w:szCs w:val="16"/>
              </w:rPr>
              <w:t>。</w:t>
            </w:r>
          </w:p>
        </w:tc>
        <w:tc>
          <w:tcPr>
            <w:tcW w:w="2557"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cs="宋体" w:asciiTheme="minorEastAsia" w:hAnsiTheme="minorEastAsia" w:eastAsiaTheme="minorEastAsia"/>
                <w:spacing w:val="11"/>
                <w:sz w:val="16"/>
                <w:szCs w:val="16"/>
              </w:rPr>
            </w:pPr>
            <w:r>
              <w:rPr>
                <w:rFonts w:hint="eastAsia" w:cs="宋体" w:asciiTheme="minorEastAsia" w:hAnsiTheme="minorEastAsia" w:eastAsiaTheme="minorEastAsia"/>
                <w:spacing w:val="12"/>
                <w:sz w:val="16"/>
                <w:szCs w:val="16"/>
              </w:rPr>
              <w:t>现</w:t>
            </w:r>
            <w:r>
              <w:rPr>
                <w:rFonts w:hint="eastAsia" w:cs="宋体" w:asciiTheme="minorEastAsia" w:hAnsiTheme="minorEastAsia" w:eastAsiaTheme="minorEastAsia"/>
                <w:spacing w:val="11"/>
                <w:sz w:val="16"/>
                <w:szCs w:val="16"/>
              </w:rPr>
              <w:t>场查验。</w:t>
            </w:r>
          </w:p>
          <w:p>
            <w:pPr>
              <w:adjustRightInd w:val="0"/>
              <w:snapToGrid w:val="0"/>
              <w:spacing w:line="360" w:lineRule="auto"/>
              <w:rPr>
                <w:rFonts w:cs="宋体" w:asciiTheme="minorEastAsia" w:hAnsiTheme="minorEastAsia" w:eastAsiaTheme="minorEastAsia"/>
                <w:sz w:val="16"/>
                <w:szCs w:val="16"/>
              </w:rPr>
            </w:pPr>
            <w:r>
              <w:rPr>
                <w:rFonts w:hint="eastAsia" w:cs="宋体" w:asciiTheme="minorEastAsia" w:hAnsiTheme="minorEastAsia" w:eastAsiaTheme="minorEastAsia"/>
                <w:spacing w:val="-1"/>
                <w:sz w:val="16"/>
                <w:szCs w:val="16"/>
              </w:rPr>
              <w:t>1</w:t>
            </w:r>
            <w:r>
              <w:rPr>
                <w:rFonts w:hint="eastAsia" w:cs="宋体" w:asciiTheme="minorEastAsia" w:hAnsiTheme="minorEastAsia" w:eastAsiaTheme="minorEastAsia"/>
                <w:spacing w:val="-1"/>
                <w:sz w:val="16"/>
                <w:szCs w:val="16"/>
                <w:lang w:eastAsia="zh-CN"/>
              </w:rPr>
              <w:t>.</w:t>
            </w:r>
            <w:r>
              <w:rPr>
                <w:rFonts w:hint="eastAsia" w:cs="宋体" w:asciiTheme="minorEastAsia" w:hAnsiTheme="minorEastAsia" w:eastAsiaTheme="minorEastAsia"/>
                <w:spacing w:val="-1"/>
                <w:sz w:val="16"/>
                <w:szCs w:val="16"/>
              </w:rPr>
              <w:t>要求证件</w:t>
            </w:r>
            <w:r>
              <w:rPr>
                <w:rFonts w:hint="eastAsia" w:cs="宋体" w:asciiTheme="minorEastAsia" w:hAnsiTheme="minorEastAsia" w:eastAsiaTheme="minorEastAsia"/>
                <w:sz w:val="16"/>
                <w:szCs w:val="16"/>
              </w:rPr>
              <w:t>齐全有效</w:t>
            </w:r>
            <w:r>
              <w:rPr>
                <w:rFonts w:hint="eastAsia" w:cs="宋体" w:asciiTheme="minorEastAsia" w:hAnsiTheme="minorEastAsia" w:eastAsiaTheme="minorEastAsia"/>
                <w:spacing w:val="-8"/>
                <w:sz w:val="16"/>
                <w:szCs w:val="16"/>
              </w:rPr>
              <w:t>。</w:t>
            </w:r>
          </w:p>
          <w:p>
            <w:pPr>
              <w:adjustRightInd w:val="0"/>
              <w:snapToGrid w:val="0"/>
              <w:spacing w:line="360" w:lineRule="auto"/>
              <w:rPr>
                <w:rFonts w:cs="宋体" w:asciiTheme="minorEastAsia" w:hAnsiTheme="minorEastAsia" w:eastAsiaTheme="minorEastAsia"/>
                <w:spacing w:val="12"/>
                <w:sz w:val="16"/>
                <w:szCs w:val="16"/>
              </w:rPr>
            </w:pPr>
            <w:r>
              <w:rPr>
                <w:rFonts w:hint="eastAsia" w:cs="宋体" w:asciiTheme="minorEastAsia" w:hAnsiTheme="minorEastAsia" w:eastAsiaTheme="minorEastAsia"/>
                <w:spacing w:val="8"/>
                <w:position w:val="1"/>
                <w:sz w:val="16"/>
                <w:szCs w:val="16"/>
              </w:rPr>
              <w:t>2</w:t>
            </w:r>
            <w:r>
              <w:rPr>
                <w:rFonts w:hint="eastAsia" w:cs="宋体" w:asciiTheme="minorEastAsia" w:hAnsiTheme="minorEastAsia" w:eastAsiaTheme="minorEastAsia"/>
                <w:spacing w:val="-1"/>
                <w:sz w:val="16"/>
                <w:szCs w:val="16"/>
                <w:lang w:eastAsia="zh-CN"/>
              </w:rPr>
              <w:t>.</w:t>
            </w:r>
            <w:r>
              <w:rPr>
                <w:rFonts w:hint="eastAsia" w:cs="宋体" w:asciiTheme="minorEastAsia" w:hAnsiTheme="minorEastAsia" w:eastAsiaTheme="minorEastAsia"/>
                <w:spacing w:val="8"/>
                <w:position w:val="1"/>
                <w:sz w:val="16"/>
                <w:szCs w:val="16"/>
              </w:rPr>
              <w:t>不符合要求将不评定等级。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8931" w:type="dxa"/>
            <w:gridSpan w:val="8"/>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asciiTheme="minorEastAsia" w:hAnsiTheme="minorEastAsia" w:eastAsiaTheme="minorEastAsia"/>
                <w:sz w:val="16"/>
                <w:szCs w:val="16"/>
              </w:rPr>
            </w:pPr>
            <w:r>
              <w:rPr>
                <w:rFonts w:hint="eastAsia" w:cs="宋体" w:asciiTheme="minorEastAsia" w:hAnsiTheme="minorEastAsia" w:eastAsiaTheme="minorEastAsia"/>
                <w:sz w:val="16"/>
                <w:szCs w:val="16"/>
              </w:rPr>
              <w:t>河南省火锅餐饮门店等级评价指标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Style w:val="42"/>
                <w:lang w:val="en-US" w:eastAsia="zh-CN" w:bidi="ar"/>
              </w:rPr>
              <w:t>一级指标</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Style w:val="42"/>
                <w:lang w:val="en-US" w:eastAsia="zh-CN" w:bidi="ar"/>
              </w:rPr>
              <w:t>二级指标</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Style w:val="42"/>
                <w:lang w:val="en-US" w:eastAsia="zh-CN" w:bidi="ar"/>
              </w:rPr>
              <w:t>评价内容</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Style w:val="42"/>
                <w:lang w:val="en-US" w:eastAsia="zh-CN" w:bidi="ar"/>
              </w:rPr>
              <w:t>分值</w:t>
            </w:r>
          </w:p>
        </w:tc>
        <w:tc>
          <w:tcPr>
            <w:tcW w:w="7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Style w:val="42"/>
                <w:lang w:val="en-US" w:eastAsia="zh-CN" w:bidi="ar"/>
              </w:rPr>
              <w:t>得分</w:t>
            </w:r>
          </w:p>
        </w:tc>
        <w:tc>
          <w:tcPr>
            <w:tcW w:w="18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Style w:val="42"/>
                <w:lang w:val="en-US" w:eastAsia="zh-CN" w:bidi="ar"/>
              </w:rPr>
              <w:t>评分说明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指标1</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消费者认同（30分）</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1.1 品牌忠诚度</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顾客在多次重复购买行为中对该火锅餐饮门店的偏向性的反映。包括在人群中的推荐度和特定时间段的重复购买行为频率。</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10</w:t>
            </w:r>
          </w:p>
        </w:tc>
        <w:tc>
          <w:tcPr>
            <w:tcW w:w="70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848"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a)现场询问、查验；问卷调查或收集第三方网路平台数据。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b)根据实际情况评分。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1.2 品牌知名度</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该火锅餐饮门店被消费者知晓、了解的程度。包括该火锅餐饮门店对社会公众影响的广度和深度。</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10</w:t>
            </w:r>
          </w:p>
        </w:tc>
        <w:tc>
          <w:tcPr>
            <w:tcW w:w="70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848"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1.3 顾客满意度</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满意度是顾客期望值与体验值之间的关系。</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10</w:t>
            </w:r>
          </w:p>
        </w:tc>
        <w:tc>
          <w:tcPr>
            <w:tcW w:w="70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848" w:type="dxa"/>
            <w:vMerge w:val="continue"/>
            <w:tcBorders>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vMerge w:val="restart"/>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指标2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菜品质量（200分）</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2.1 火锅风味</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具有风味特色，香气突出，味感适宜。</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50</w:t>
            </w:r>
          </w:p>
        </w:tc>
        <w:tc>
          <w:tcPr>
            <w:tcW w:w="70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848"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a)现场询问、查验；问卷调查或收集第三方网路平台数据。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b)根据实际情况评分。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2.2 原材料</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a)原材料多样、精致、新鲜，种类齐全。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b) 食品原料应符合相关产品标准规定的要求。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c)酒水饮品应符合相关产品标准规定的要求。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d)食品添加剂的使用应符合GB 2760-2014相关规定。</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40</w:t>
            </w:r>
          </w:p>
        </w:tc>
        <w:tc>
          <w:tcPr>
            <w:tcW w:w="70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848"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2.3 菜品外观</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菜肴装盘规范，造型自然美观。</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10</w:t>
            </w:r>
          </w:p>
        </w:tc>
        <w:tc>
          <w:tcPr>
            <w:tcW w:w="70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848"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2.4 刀工</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a）刀工均匀，不连不散，花刀出形。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b）有明确的质量要求，重量均匀。</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10</w:t>
            </w:r>
          </w:p>
        </w:tc>
        <w:tc>
          <w:tcPr>
            <w:tcW w:w="70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848"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2.5 口感</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原料处理、加工得当，嫩、滑、爽、脆相宜。</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20</w:t>
            </w:r>
          </w:p>
        </w:tc>
        <w:tc>
          <w:tcPr>
            <w:tcW w:w="70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848"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2.6 器皿</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与菜品相得益彰，各具特色。</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10</w:t>
            </w:r>
          </w:p>
        </w:tc>
        <w:tc>
          <w:tcPr>
            <w:tcW w:w="70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848"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2.7 温度</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菜肴温度符合食品安全要求。</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10</w:t>
            </w:r>
          </w:p>
        </w:tc>
        <w:tc>
          <w:tcPr>
            <w:tcW w:w="70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848"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2.8 主食类</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以米、面、豆类等食材为原料，提供口味、质感、分量适宜的主食。</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10</w:t>
            </w:r>
          </w:p>
        </w:tc>
        <w:tc>
          <w:tcPr>
            <w:tcW w:w="70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848"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2.9 点心及热菜类</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点心大小均匀，造型美观，种类多样，满足消费者的需求</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10</w:t>
            </w:r>
          </w:p>
        </w:tc>
        <w:tc>
          <w:tcPr>
            <w:tcW w:w="70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848"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2.10 招牌菜</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有市场认可的菜品或成套系列菜品。</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10</w:t>
            </w:r>
          </w:p>
        </w:tc>
        <w:tc>
          <w:tcPr>
            <w:tcW w:w="70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848"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2.11 调味品</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品种齐全，新鲜卫生，取用方便。</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20</w:t>
            </w:r>
          </w:p>
        </w:tc>
        <w:tc>
          <w:tcPr>
            <w:tcW w:w="70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848"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8" w:hRule="atLeast"/>
          <w:jc w:val="center"/>
        </w:trPr>
        <w:tc>
          <w:tcPr>
            <w:tcW w:w="1135" w:type="dxa"/>
            <w:vMerge w:val="restart"/>
            <w:tcBorders>
              <w:left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指标3</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服务质量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（50分）</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3.1 制度保障</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cs="宋体"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有完善的服务质量管理体系。(如：统一着装、编制员工手册等) 。</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5</w:t>
            </w:r>
          </w:p>
        </w:tc>
        <w:tc>
          <w:tcPr>
            <w:tcW w:w="70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848" w:type="dxa"/>
            <w:vMerge w:val="restart"/>
            <w:tcBorders>
              <w:left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a)现场询问、查验；问卷调查或收集第三方网路平台数据。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b)根据实际情况评分。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8" w:hRule="atLeast"/>
          <w:jc w:val="center"/>
        </w:trPr>
        <w:tc>
          <w:tcPr>
            <w:tcW w:w="1135"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3.2 礼节礼貌</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有规范统一的礼仪规范，定期培训，执行到位，使用服务敬语、主动热情、姿势端正、站位规范等。</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10</w:t>
            </w:r>
          </w:p>
        </w:tc>
        <w:tc>
          <w:tcPr>
            <w:tcW w:w="70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848"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3.3 餐厅服务</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a）具有餐厅服务细则，能及时响应顾客要求。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b）门店温度适宜，台面整洁美观.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c）门店氛围舒适、运作有序、协调严密。</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30</w:t>
            </w:r>
          </w:p>
        </w:tc>
        <w:tc>
          <w:tcPr>
            <w:tcW w:w="70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848"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3.4 投诉举报渠道</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投诉举报渠道(如电话、邮箱等)畅通，且能有效处理消费者投诉，并有投诉处理记录。</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5</w:t>
            </w:r>
          </w:p>
        </w:tc>
        <w:tc>
          <w:tcPr>
            <w:tcW w:w="70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848"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vMerge w:val="restart"/>
            <w:tcBorders>
              <w:left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指标4</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市场表现（30分）</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4.1 门店存续时间</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门店从创立到评估日的时间。品牌的形成，需要时间的积累。成立时间越久，形成的品牌价值越大</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10</w:t>
            </w:r>
          </w:p>
        </w:tc>
        <w:tc>
          <w:tcPr>
            <w:tcW w:w="70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848" w:type="dxa"/>
            <w:vMerge w:val="restart"/>
            <w:tcBorders>
              <w:left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 xml:space="preserve">a) 资料齐全有效。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b)根据实际情况评分。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4.2 门店开发购置成本</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建立前期总投入成本之和</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10</w:t>
            </w:r>
          </w:p>
        </w:tc>
        <w:tc>
          <w:tcPr>
            <w:tcW w:w="70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848"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4.3 经营稳定性</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销售额是否稳定,是萎缩还是快速增长</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10</w:t>
            </w:r>
          </w:p>
        </w:tc>
        <w:tc>
          <w:tcPr>
            <w:tcW w:w="70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848"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vMerge w:val="restart"/>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指标5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环境卫生</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（60分）</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5.1 场所环境</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a）场所环境定期清洁，保持良好。公共标识规范齐全、清晰醒目、方便识别。消防、燃气设备符合国家标准要求。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b）有满足需要的消除老鼠、蟑螂、苍蝇和其他有害昆虫及孳生条件的防护设施，有害生物防制设施符合食品安全要求。</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10</w:t>
            </w:r>
          </w:p>
        </w:tc>
        <w:tc>
          <w:tcPr>
            <w:tcW w:w="70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848" w:type="dxa"/>
            <w:vMerge w:val="restart"/>
            <w:tcBorders>
              <w:left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a）匿名调查及现场调查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b）根据实际情况评分。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5.2 场所布局</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a)食品加工处理流程应为生进熟出的单一流向；各加工操作场所按照原料进入、原料加工、半成 品加工、成品供应的流程合理布局，并能防止在 存放、操作中产生交叉污染。</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b)按要求设置备餐专用场所，并配有相应设施设备。</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10</w:t>
            </w:r>
          </w:p>
        </w:tc>
        <w:tc>
          <w:tcPr>
            <w:tcW w:w="70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848"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5.3 就餐环境</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sz w:val="16"/>
                <w:szCs w:val="16"/>
                <w:lang w:eastAsia="zh-CN"/>
              </w:rPr>
            </w:pPr>
            <w:r>
              <w:rPr>
                <w:rFonts w:hint="eastAsia" w:ascii="宋体" w:hAnsi="宋体" w:eastAsia="宋体" w:cs="宋体"/>
                <w:i w:val="0"/>
                <w:iCs w:val="0"/>
                <w:color w:val="000000"/>
                <w:kern w:val="0"/>
                <w:sz w:val="16"/>
                <w:szCs w:val="16"/>
                <w:u w:val="none"/>
                <w:lang w:val="en-US" w:eastAsia="zh-CN" w:bidi="ar"/>
              </w:rPr>
              <w:t>a）墙面、门窗整洁无破损，台面有序、合理、整洁、无破损、无灰尘、无污渍。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b）柜台稳固、完好、无灰尘、无污渍，送餐车完好、有效、无污渍。</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10</w:t>
            </w:r>
          </w:p>
        </w:tc>
        <w:tc>
          <w:tcPr>
            <w:tcW w:w="70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848"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5.4 厨房</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a）地面、墙面无油渍、无破损、干燥整洁，设备设施无油渍、无破损、整洁。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b）应建有视频监控系统，实施“明厨亮灶”工程，达到清洁厨房的标准。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c) 食品加工、贮存、陈列等设施设备运转正常， 清洁卫生状况良好，不影响食品安全；定期保养，有完整的保养记录。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d) 冷藏、冷冻柜 (库) 数量满足原料、半成品和成品分开存放要求，有明显区分标识并设有温、 湿度显示装置。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e)冷藏、冷冻的温度应分别符合相应的温度范围要求。冷藏、冷冻柜(库)应定期除霜、清洁和维修，校验温度(指示)计。</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25</w:t>
            </w:r>
          </w:p>
        </w:tc>
        <w:tc>
          <w:tcPr>
            <w:tcW w:w="70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848"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5.5 卫生间</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a) 卫生间不得设置在食品处理区，保持通风、清洁、卫生，定期清理，无异味。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b) 冲洗设施、通风换气设施、防蝇设施、洗手设施维护良好，能正常使用。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c) 提供残疾人无障碍通道及设施。</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5</w:t>
            </w:r>
          </w:p>
        </w:tc>
        <w:tc>
          <w:tcPr>
            <w:tcW w:w="70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848"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vMerge w:val="restart"/>
            <w:tcBorders>
              <w:left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指标6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设备配置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（60分）</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6.1 场所布局及设施设备</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cs="宋体" w:asciiTheme="minorEastAsia" w:hAnsiTheme="minorEastAsia" w:eastAsiaTheme="minorEastAsia"/>
                <w:spacing w:val="3"/>
                <w:sz w:val="16"/>
                <w:szCs w:val="16"/>
              </w:rPr>
            </w:pPr>
            <w:r>
              <w:rPr>
                <w:rFonts w:hint="eastAsia" w:ascii="宋体" w:hAnsi="宋体" w:eastAsia="宋体" w:cs="宋体"/>
                <w:i w:val="0"/>
                <w:iCs w:val="0"/>
                <w:color w:val="000000"/>
                <w:kern w:val="0"/>
                <w:sz w:val="16"/>
                <w:szCs w:val="16"/>
                <w:u w:val="none"/>
                <w:lang w:val="en-US" w:eastAsia="zh-CN" w:bidi="ar"/>
              </w:rPr>
              <w:t>a)食品加工处理流程应为生进熟出的单一流向；各加工操作场所按照原料进入、原料加工、半成 品加工、成品供应的流程合理布局，并能防止在 存放、操作中产生交叉污染。</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b) 具备双路供电系统或自备应急发电系统。有中央空调系统或分体空调，并定期清理，保持清洁。</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10</w:t>
            </w:r>
          </w:p>
        </w:tc>
        <w:tc>
          <w:tcPr>
            <w:tcW w:w="70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848" w:type="dxa"/>
            <w:vMerge w:val="restart"/>
            <w:tcBorders>
              <w:left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a）匿名调查及现场调查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b）根据实际情况评分。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6.2 生产加工设备、设施、工具、 容器</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cs="宋体"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a) 操作加工用设施设备齐全可正常使用，有满足需要的清洗、消毒、保洁和洗手设施。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b) 要求用于原料、半成品、成品的工具和容器有明显的区分标识，宜实行色标管理并分开存放和使用。原料加工中切配动物性食品、植物性食品、水产品的工具和容器具有明显的区分标识，分开存放和使用。以颜色、材质、形状、标记等来区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c) 专间设置专用空调、专用空气消毒设备、专用冷藏设备以及预进间和食品传送窗口，设施设备正常使用。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d）食品应使用密闭容器盛放，容器材料应符合食品安全国家标准或有关规定。</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20</w:t>
            </w:r>
          </w:p>
        </w:tc>
        <w:tc>
          <w:tcPr>
            <w:tcW w:w="70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848"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cs="宋体" w:asciiTheme="minorEastAsia" w:hAnsiTheme="minorEastAsia" w:eastAsiaTheme="minorEastAsia"/>
                <w:spacing w:val="15"/>
                <w:sz w:val="16"/>
                <w:szCs w:val="16"/>
              </w:rPr>
            </w:pPr>
            <w:r>
              <w:rPr>
                <w:rFonts w:hint="eastAsia" w:ascii="宋体" w:hAnsi="宋体" w:eastAsia="宋体" w:cs="宋体"/>
                <w:i w:val="0"/>
                <w:iCs w:val="0"/>
                <w:color w:val="000000"/>
                <w:kern w:val="0"/>
                <w:sz w:val="16"/>
                <w:szCs w:val="16"/>
                <w:u w:val="none"/>
                <w:lang w:val="en-US" w:eastAsia="zh-CN" w:bidi="ar"/>
              </w:rPr>
              <w:t>6.3 节能、环保设备选用</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cs="宋体"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a) 宜在餐厅设计建造阶段预估能源消耗情况，选择与餐厅面积、营业情况相匹配的设备。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b) 应采用符合国家节能标准的厨具、电器等设备，优先采用节能型厨具、灶具、电器及相关节水型设备等。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c) 宜安装油水分离装置。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d) 宜采用能源转换设备。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e) 宜在常年温差大的地区采用外墙保温措施。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f) 客用卫生间宜使用感应式自动控制节水设备，节约用水。有条件的餐饮服务单位可安装废水处理设备，提高水资源利用率。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g) 宜减少一次性用品的消耗。</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h) 打包食品时，应使用可降解餐盒、餐饮具及塑料袋，避免过度使用打包餐具。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i) 宜选用低能耗办公设备，规范办公用品的配备、采购和领用流程, 倡导无纸化办公。</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20</w:t>
            </w:r>
          </w:p>
        </w:tc>
        <w:tc>
          <w:tcPr>
            <w:tcW w:w="70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848"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cs="宋体" w:asciiTheme="minorEastAsia" w:hAnsiTheme="minorEastAsia" w:eastAsiaTheme="minorEastAsia"/>
                <w:spacing w:val="15"/>
                <w:sz w:val="16"/>
                <w:szCs w:val="16"/>
              </w:rPr>
            </w:pPr>
            <w:r>
              <w:rPr>
                <w:rFonts w:hint="eastAsia" w:ascii="宋体" w:hAnsi="宋体" w:eastAsia="宋体" w:cs="宋体"/>
                <w:i w:val="0"/>
                <w:iCs w:val="0"/>
                <w:color w:val="000000"/>
                <w:kern w:val="0"/>
                <w:sz w:val="16"/>
                <w:szCs w:val="16"/>
                <w:u w:val="none"/>
                <w:lang w:val="en-US" w:eastAsia="zh-CN" w:bidi="ar"/>
              </w:rPr>
              <w:t>6.4 通风排烟设施</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cs="宋体"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a）油烟排放应符GB18483-2001的相关规定。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b) 烹调场所采用机械排风通风设施，数量充足、正常使用，1-2 个月清洁一次。</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5</w:t>
            </w:r>
          </w:p>
        </w:tc>
        <w:tc>
          <w:tcPr>
            <w:tcW w:w="70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848"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cs="宋体" w:asciiTheme="minorEastAsia" w:hAnsiTheme="minorEastAsia" w:eastAsiaTheme="minorEastAsia"/>
                <w:spacing w:val="15"/>
                <w:sz w:val="16"/>
                <w:szCs w:val="16"/>
              </w:rPr>
            </w:pPr>
            <w:r>
              <w:rPr>
                <w:rFonts w:hint="eastAsia" w:ascii="宋体" w:hAnsi="宋体" w:eastAsia="宋体" w:cs="宋体"/>
                <w:i w:val="0"/>
                <w:iCs w:val="0"/>
                <w:color w:val="000000"/>
                <w:kern w:val="0"/>
                <w:sz w:val="16"/>
                <w:szCs w:val="16"/>
                <w:u w:val="none"/>
                <w:lang w:val="en-US" w:eastAsia="zh-CN" w:bidi="ar"/>
              </w:rPr>
              <w:t>6.5 供水排水设施</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cs="宋体"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a）污水排放应符合G8978-1996的相关规定。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b）用水水质符合 GB 5749 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c) 排水设施应通畅，便于清洁、维护；排水的流向宜由高清洁操作区流向低清洁操作区，并能防止污水逆流。</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5</w:t>
            </w:r>
          </w:p>
        </w:tc>
        <w:tc>
          <w:tcPr>
            <w:tcW w:w="70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848"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vMerge w:val="restart"/>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指标7</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菜品加工生产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（50分）</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7.1 加工制作</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cs="宋体"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a）食品生产加工过程符合《餐饮服务食品安全操作规范》的要求。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b）应对食材进行科学加工，提高食材利用率。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c）宜根据顾客不同用餐需求，丰富菜品规格设计。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d）宜根据顾客剩菜废弃情况，不断优化菜品口味。</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10</w:t>
            </w:r>
          </w:p>
        </w:tc>
        <w:tc>
          <w:tcPr>
            <w:tcW w:w="70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848" w:type="dxa"/>
            <w:vMerge w:val="restart"/>
            <w:tcBorders>
              <w:left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a）匿名调查及现场调查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b）根据实际情况评分。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7.2 餐厨废弃物 处置</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cs="宋体"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a) 餐厨废弃物应分类放置、及时清理，不得溢出存放容器。餐厨废弃物的存放容器应及时清洁， 定期进行消毒。食品处理区配备带盖的餐厨废弃 物存放容器。要求防渗漏、易于清洁、标识清晰，不使用时盖子保持关闭。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b) 应索取并留存餐厨废弃物收运者的资质证明复印件 (需加盖收运者公章或由收运者签字) ，并与其签订收运合同，明确各自的食品安全责任和义务。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c) 应建立餐厨废弃物处置台账，详细记录餐厨废 弃物的处置时间、种类、数量、收运者等信息。</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15</w:t>
            </w:r>
          </w:p>
        </w:tc>
        <w:tc>
          <w:tcPr>
            <w:tcW w:w="70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848"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7.3 清洗消毒</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cs="宋体"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a) 有满足需要的清洗、消毒设施，清洗消毒程序科学、规范、有效，餐饮具清洗消毒合格。</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b)消毒后的餐饮具、盛放或接触直接入口食品的容器和工具，应符合 GB 14934-2016的规定。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c)使用的洗涤剂、消毒剂应分别符合GB 14930.1和GB 14930.2等食品安全国家标准和有关规定。</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15</w:t>
            </w:r>
          </w:p>
        </w:tc>
        <w:tc>
          <w:tcPr>
            <w:tcW w:w="70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848"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7.4 保洁</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cs="宋体"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a) 消毒后的餐饮具、盛放或接触直接入口食品的容器和工具，应定位存放在专用的密闭保洁设施内，保持清洁。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b)定期清洁保洁设施，防止清洗消毒后的餐用具受到污染。</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10</w:t>
            </w:r>
          </w:p>
        </w:tc>
        <w:tc>
          <w:tcPr>
            <w:tcW w:w="70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848" w:type="dxa"/>
            <w:vMerge w:val="continue"/>
            <w:tcBorders>
              <w:left w:val="single" w:color="000000" w:sz="4" w:space="0"/>
              <w:right w:val="single" w:color="000000" w:sz="4" w:space="0"/>
            </w:tcBorders>
            <w:vAlign w:val="center"/>
          </w:tcPr>
          <w:p>
            <w:pPr>
              <w:jc w:val="center"/>
              <w:rPr>
                <w:rFonts w:asciiTheme="minorEastAsia" w:hAnsiTheme="minorEastAsia" w:eastAsiaTheme="minorEastAsia"/>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35" w:type="dxa"/>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指标8</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反食品浪费规范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（20分）</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8.1 反食品浪费措施及规范</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cs="宋体" w:asciiTheme="minorEastAsia" w:hAnsiTheme="minorEastAsia" w:eastAsiaTheme="minorEastAsia"/>
                <w:spacing w:val="7"/>
                <w:sz w:val="16"/>
                <w:szCs w:val="16"/>
              </w:rPr>
            </w:pPr>
            <w:r>
              <w:rPr>
                <w:rFonts w:hint="eastAsia" w:ascii="宋体" w:hAnsi="宋体" w:eastAsia="宋体" w:cs="宋体"/>
                <w:i w:val="0"/>
                <w:iCs w:val="0"/>
                <w:color w:val="000000"/>
                <w:kern w:val="0"/>
                <w:sz w:val="16"/>
                <w:szCs w:val="16"/>
                <w:u w:val="none"/>
                <w:lang w:val="en-US" w:eastAsia="zh-CN" w:bidi="ar"/>
              </w:rPr>
              <w:t xml:space="preserve">a) 应主动提示消费者理性消费，引导消费者适量、适度点菜。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b)应在就餐区域显著位置设置合理取餐、禁止浪费等提示。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c) 宜提示消费者按需取用餐纸，节约用纸。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d) 应主动提示消费者打包剩菜，并提供打包服务。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e) 提供外卖服务时，外卖平台应依据 GB/T 40041 的要求，运用信息技术引导消费者精准点餐、避免浪费。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f) 提供自助餐服务时，应提醒消费者勤拿少取，宜在显著位置设置提示或主动告知消费者自助餐浪费的处理规定和措施。</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20</w:t>
            </w:r>
          </w:p>
        </w:tc>
        <w:tc>
          <w:tcPr>
            <w:tcW w:w="70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16"/>
                <w:szCs w:val="16"/>
              </w:rPr>
            </w:pPr>
          </w:p>
        </w:tc>
        <w:tc>
          <w:tcPr>
            <w:tcW w:w="1848" w:type="dxa"/>
            <w:tcBorders>
              <w:left w:val="single" w:color="000000" w:sz="4" w:space="0"/>
              <w:right w:val="single" w:color="000000" w:sz="4" w:space="0"/>
            </w:tcBorders>
            <w:vAlign w:val="center"/>
          </w:tcPr>
          <w:p>
            <w:pPr>
              <w:keepNext w:val="0"/>
              <w:keepLines w:val="0"/>
              <w:widowControl/>
              <w:suppressLineNumbers w:val="0"/>
              <w:jc w:val="center"/>
              <w:textAlignment w:val="center"/>
              <w:rPr>
                <w:rFonts w:asciiTheme="minorEastAsia" w:hAnsiTheme="minorEastAsia" w:eastAsiaTheme="minorEastAsia"/>
                <w:sz w:val="16"/>
                <w:szCs w:val="16"/>
              </w:rPr>
            </w:pPr>
            <w:r>
              <w:rPr>
                <w:rFonts w:hint="eastAsia" w:ascii="宋体" w:hAnsi="宋体" w:eastAsia="宋体" w:cs="宋体"/>
                <w:i w:val="0"/>
                <w:iCs w:val="0"/>
                <w:color w:val="000000"/>
                <w:kern w:val="0"/>
                <w:sz w:val="16"/>
                <w:szCs w:val="16"/>
                <w:u w:val="none"/>
                <w:lang w:val="en-US" w:eastAsia="zh-CN" w:bidi="ar"/>
              </w:rPr>
              <w:t>a）匿名调查及现场调查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b）根据实际情况评分。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8931" w:type="dxa"/>
            <w:gridSpan w:val="8"/>
            <w:tcBorders>
              <w:left w:val="single" w:color="000000" w:sz="4" w:space="0"/>
              <w:right w:val="single" w:color="000000" w:sz="4" w:space="0"/>
            </w:tcBorders>
            <w:vAlign w:val="center"/>
          </w:tcPr>
          <w:p>
            <w:pPr>
              <w:pStyle w:val="39"/>
              <w:ind w:firstLine="420"/>
              <w:rPr>
                <w:rFonts w:hAnsi="宋体"/>
                <w:sz w:val="16"/>
                <w:szCs w:val="16"/>
              </w:rPr>
            </w:pPr>
            <w:r>
              <w:rPr>
                <w:rFonts w:hint="eastAsia" w:hAnsi="宋体"/>
                <w:sz w:val="16"/>
                <w:szCs w:val="16"/>
              </w:rPr>
              <w:t>河南省火锅餐饮门店等级划分与评定依据综合指数模型的得分确定：</w:t>
            </w:r>
          </w:p>
          <w:p>
            <w:pPr>
              <w:pStyle w:val="39"/>
              <w:ind w:firstLine="420"/>
              <w:rPr>
                <w:rFonts w:hAnsi="黑体"/>
                <w:color w:val="000000"/>
                <w:sz w:val="16"/>
                <w:szCs w:val="16"/>
              </w:rPr>
            </w:pPr>
            <w:r>
              <w:rPr>
                <w:rFonts w:hint="eastAsia" w:hAnsi="宋体"/>
                <w:sz w:val="16"/>
                <w:szCs w:val="16"/>
              </w:rPr>
              <w:t>五星级：</w:t>
            </w:r>
            <w:r>
              <w:rPr>
                <w:rFonts w:hint="eastAsia"/>
                <w:sz w:val="16"/>
                <w:szCs w:val="15"/>
              </w:rPr>
              <w:t>等级评价</w:t>
            </w:r>
            <w:r>
              <w:rPr>
                <w:rFonts w:hint="eastAsia" w:hAnsi="黑体"/>
                <w:color w:val="000000"/>
                <w:sz w:val="16"/>
                <w:szCs w:val="16"/>
              </w:rPr>
              <w:t>计算得分</w:t>
            </w:r>
            <w:r>
              <w:rPr>
                <w:rFonts w:hAnsi="黑体"/>
                <w:color w:val="000000"/>
                <w:sz w:val="16"/>
                <w:szCs w:val="16"/>
              </w:rPr>
              <w:t>400</w:t>
            </w:r>
            <w:r>
              <w:rPr>
                <w:rFonts w:hint="eastAsia" w:hAnsi="黑体"/>
                <w:color w:val="000000"/>
                <w:sz w:val="16"/>
                <w:szCs w:val="16"/>
              </w:rPr>
              <w:t>分（含</w:t>
            </w:r>
            <w:r>
              <w:rPr>
                <w:rFonts w:hAnsi="黑体"/>
                <w:color w:val="000000"/>
                <w:sz w:val="16"/>
                <w:szCs w:val="16"/>
              </w:rPr>
              <w:t>4</w:t>
            </w:r>
            <w:r>
              <w:rPr>
                <w:rFonts w:hint="eastAsia" w:hAnsi="黑体"/>
                <w:color w:val="000000"/>
                <w:sz w:val="16"/>
                <w:szCs w:val="16"/>
                <w:lang w:val="en-US" w:eastAsia="zh-CN"/>
              </w:rPr>
              <w:t>0</w:t>
            </w:r>
            <w:r>
              <w:rPr>
                <w:rFonts w:hAnsi="黑体"/>
                <w:color w:val="000000"/>
                <w:sz w:val="16"/>
                <w:szCs w:val="16"/>
              </w:rPr>
              <w:t>0</w:t>
            </w:r>
            <w:r>
              <w:rPr>
                <w:rFonts w:hint="eastAsia" w:hAnsi="黑体"/>
                <w:color w:val="000000"/>
                <w:sz w:val="16"/>
                <w:szCs w:val="16"/>
              </w:rPr>
              <w:t>分）以上。</w:t>
            </w:r>
          </w:p>
          <w:p>
            <w:pPr>
              <w:pStyle w:val="39"/>
              <w:ind w:firstLine="420"/>
              <w:rPr>
                <w:rFonts w:hAnsi="黑体"/>
                <w:color w:val="000000"/>
                <w:sz w:val="16"/>
                <w:szCs w:val="16"/>
              </w:rPr>
            </w:pPr>
            <w:r>
              <w:rPr>
                <w:rFonts w:hint="eastAsia" w:hAnsi="黑体"/>
                <w:color w:val="000000"/>
                <w:sz w:val="16"/>
                <w:szCs w:val="16"/>
              </w:rPr>
              <w:t>四星级：</w:t>
            </w:r>
            <w:r>
              <w:rPr>
                <w:rFonts w:hint="eastAsia"/>
                <w:sz w:val="16"/>
                <w:szCs w:val="15"/>
              </w:rPr>
              <w:t>等级评价</w:t>
            </w:r>
            <w:r>
              <w:rPr>
                <w:rFonts w:hint="eastAsia" w:hAnsi="黑体"/>
                <w:color w:val="000000"/>
                <w:sz w:val="16"/>
                <w:szCs w:val="16"/>
              </w:rPr>
              <w:t>计算得分</w:t>
            </w:r>
            <w:r>
              <w:rPr>
                <w:rFonts w:hAnsi="黑体"/>
                <w:color w:val="000000"/>
                <w:sz w:val="16"/>
                <w:szCs w:val="16"/>
              </w:rPr>
              <w:t>350</w:t>
            </w:r>
            <w:r>
              <w:rPr>
                <w:rFonts w:hint="eastAsia" w:hAnsi="黑体"/>
                <w:color w:val="000000"/>
                <w:sz w:val="16"/>
                <w:szCs w:val="16"/>
              </w:rPr>
              <w:t>分（含</w:t>
            </w:r>
            <w:r>
              <w:rPr>
                <w:rFonts w:hint="eastAsia" w:hAnsi="黑体"/>
                <w:color w:val="000000"/>
                <w:sz w:val="16"/>
                <w:szCs w:val="16"/>
                <w:lang w:val="en-US" w:eastAsia="zh-CN"/>
              </w:rPr>
              <w:t>35</w:t>
            </w:r>
            <w:r>
              <w:rPr>
                <w:rFonts w:hAnsi="黑体"/>
                <w:color w:val="000000"/>
                <w:sz w:val="16"/>
                <w:szCs w:val="16"/>
              </w:rPr>
              <w:t>0</w:t>
            </w:r>
            <w:r>
              <w:rPr>
                <w:rFonts w:hint="eastAsia" w:hAnsi="黑体"/>
                <w:color w:val="000000"/>
                <w:sz w:val="16"/>
                <w:szCs w:val="16"/>
              </w:rPr>
              <w:t>分）以上。</w:t>
            </w:r>
          </w:p>
          <w:p>
            <w:pPr>
              <w:pStyle w:val="39"/>
              <w:ind w:firstLine="420"/>
              <w:rPr>
                <w:rFonts w:hAnsi="黑体"/>
                <w:color w:val="000000"/>
                <w:sz w:val="16"/>
                <w:szCs w:val="16"/>
              </w:rPr>
            </w:pPr>
            <w:r>
              <w:rPr>
                <w:rFonts w:hint="eastAsia" w:hAnsi="黑体"/>
                <w:color w:val="000000"/>
                <w:sz w:val="16"/>
                <w:szCs w:val="16"/>
              </w:rPr>
              <w:t>三星级：</w:t>
            </w:r>
            <w:r>
              <w:rPr>
                <w:rFonts w:hint="eastAsia"/>
                <w:sz w:val="16"/>
                <w:szCs w:val="15"/>
              </w:rPr>
              <w:t>等级评价</w:t>
            </w:r>
            <w:r>
              <w:rPr>
                <w:rFonts w:hint="eastAsia" w:hAnsi="黑体"/>
                <w:color w:val="000000"/>
                <w:sz w:val="16"/>
                <w:szCs w:val="16"/>
              </w:rPr>
              <w:t>计算得分</w:t>
            </w:r>
            <w:r>
              <w:rPr>
                <w:rFonts w:hAnsi="黑体"/>
                <w:color w:val="000000"/>
                <w:sz w:val="16"/>
                <w:szCs w:val="16"/>
              </w:rPr>
              <w:t>300</w:t>
            </w:r>
            <w:r>
              <w:rPr>
                <w:rFonts w:hint="eastAsia" w:hAnsi="黑体"/>
                <w:color w:val="000000"/>
                <w:sz w:val="16"/>
                <w:szCs w:val="16"/>
              </w:rPr>
              <w:t>分（含</w:t>
            </w:r>
            <w:r>
              <w:rPr>
                <w:rFonts w:hAnsi="黑体"/>
                <w:color w:val="000000"/>
                <w:sz w:val="16"/>
                <w:szCs w:val="16"/>
              </w:rPr>
              <w:t>3</w:t>
            </w:r>
            <w:r>
              <w:rPr>
                <w:rFonts w:hint="eastAsia" w:hAnsi="黑体"/>
                <w:color w:val="000000"/>
                <w:sz w:val="16"/>
                <w:szCs w:val="16"/>
                <w:lang w:val="en-US" w:eastAsia="zh-CN"/>
              </w:rPr>
              <w:t>0</w:t>
            </w:r>
            <w:r>
              <w:rPr>
                <w:rFonts w:hAnsi="黑体"/>
                <w:color w:val="000000"/>
                <w:sz w:val="16"/>
                <w:szCs w:val="16"/>
              </w:rPr>
              <w:t>0</w:t>
            </w:r>
            <w:r>
              <w:rPr>
                <w:rFonts w:hint="eastAsia" w:hAnsi="黑体"/>
                <w:color w:val="000000"/>
                <w:sz w:val="16"/>
                <w:szCs w:val="16"/>
              </w:rPr>
              <w:t>分）以上。</w:t>
            </w:r>
          </w:p>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bl>
    <w:p>
      <w:pPr>
        <w:spacing w:before="260" w:line="300" w:lineRule="auto"/>
        <w:rPr>
          <w:rFonts w:ascii="宋体" w:hAnsi="宋体"/>
          <w:b/>
          <w:bCs/>
          <w:szCs w:val="21"/>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p>
    <w:p>
      <w:bookmarkStart w:id="1" w:name="_GoBack"/>
      <w:bookmarkEnd w:id="1"/>
    </w:p>
    <w:sectPr>
      <w:headerReference r:id="rId5" w:type="default"/>
      <w:footerReference r:id="rId6" w:type="default"/>
      <w:pgSz w:w="11906" w:h="16838"/>
      <w:pgMar w:top="567" w:right="1134" w:bottom="1134" w:left="1418"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黑体">
    <w:altName w:val="汉仪中黑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right="250"/>
      <w:jc w:val="right"/>
      <w:rPr>
        <w:rFonts w:ascii="宋体" w:hAnsi="宋体" w:cs="宋体"/>
        <w:spacing w:val="-4"/>
        <w:sz w:val="17"/>
        <w:szCs w:val="17"/>
      </w:rPr>
    </w:pPr>
    <w:r>
      <w:rPr>
        <w:sz w:val="17"/>
      </w:rPr>
      <w:pict>
        <v:shape id="文本框 1026" o:spid="_x0000_s1025"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path/>
          <v:fill on="f" focussize="0,0"/>
          <v:stroke on="f" weight="0.5pt" joinstyle="miter"/>
          <v:imagedata o:title=""/>
          <o:lock v:ext="edit"/>
          <v:textbox inset="0mm,0mm,0mm,0mm" style="mso-fit-shape-to-text:t;">
            <w:txbxContent>
              <w:p>
                <w:pPr>
                  <w:pStyle w:val="4"/>
                  <w:tabs>
                    <w:tab w:val="center" w:pos="4153"/>
                    <w:tab w:val="right" w:pos="8306"/>
                  </w:tabs>
                </w:pPr>
                <w:r>
                  <w:fldChar w:fldCharType="begin"/>
                </w:r>
                <w:r>
                  <w:instrText xml:space="preserve"> PAGE  \* MERGEFORMAT </w:instrText>
                </w:r>
                <w:r>
                  <w:fldChar w:fldCharType="separate"/>
                </w:r>
                <w:r>
                  <w:t>13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fldChar w:fldCharType="begin"/>
    </w:r>
    <w:r>
      <w:instrText xml:space="preserve"> PAGE  \* MERGEFORMAT </w:instrText>
    </w:r>
    <w:r>
      <w:fldChar w:fldCharType="separate"/>
    </w:r>
    <w: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t>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25A2B"/>
    <w:multiLevelType w:val="singleLevel"/>
    <w:tmpl w:val="FEF25A2B"/>
    <w:lvl w:ilvl="0" w:tentative="0">
      <w:start w:val="6"/>
      <w:numFmt w:val="decimal"/>
      <w:lvlText w:val="%1."/>
      <w:lvlJc w:val="left"/>
      <w:pPr>
        <w:tabs>
          <w:tab w:val="left" w:pos="312"/>
        </w:tabs>
      </w:pPr>
    </w:lvl>
  </w:abstractNum>
  <w:abstractNum w:abstractNumId="1">
    <w:nsid w:val="6CEA2025"/>
    <w:multiLevelType w:val="multilevel"/>
    <w:tmpl w:val="6CEA2025"/>
    <w:lvl w:ilvl="0" w:tentative="0">
      <w:start w:val="1"/>
      <w:numFmt w:val="none"/>
      <w:pStyle w:val="38"/>
      <w:suff w:val="nothing"/>
      <w:lvlText w:val="%1"/>
      <w:lvlJc w:val="left"/>
      <w:pPr>
        <w:ind w:left="0" w:firstLine="0"/>
      </w:pPr>
      <w:rPr>
        <w:rFonts w:hint="eastAsia"/>
      </w:rPr>
    </w:lvl>
    <w:lvl w:ilvl="1" w:tentative="0">
      <w:start w:val="1"/>
      <w:numFmt w:val="decimal"/>
      <w:pStyle w:val="36"/>
      <w:suff w:val="nothing"/>
      <w:lvlText w:val="%1%2　"/>
      <w:lvlJc w:val="left"/>
      <w:pPr>
        <w:ind w:left="0" w:firstLine="0"/>
      </w:pPr>
      <w:rPr>
        <w:rFonts w:hint="eastAsia" w:ascii="黑体" w:eastAsia="黑体"/>
        <w:b w:val="0"/>
        <w:i w:val="0"/>
        <w:sz w:val="21"/>
      </w:rPr>
    </w:lvl>
    <w:lvl w:ilvl="2" w:tentative="0">
      <w:start w:val="1"/>
      <w:numFmt w:val="decimal"/>
      <w:pStyle w:val="3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32"/>
      <w:suff w:val="nothing"/>
      <w:lvlText w:val="%1%2.%3.%4　"/>
      <w:lvlJc w:val="left"/>
      <w:pPr>
        <w:ind w:left="0" w:firstLine="0"/>
      </w:pPr>
      <w:rPr>
        <w:rFonts w:hint="eastAsia" w:ascii="黑体" w:eastAsia="黑体"/>
        <w:b w:val="0"/>
        <w:i w:val="0"/>
        <w:sz w:val="21"/>
      </w:rPr>
    </w:lvl>
    <w:lvl w:ilvl="4" w:tentative="0">
      <w:start w:val="1"/>
      <w:numFmt w:val="decimal"/>
      <w:pStyle w:val="33"/>
      <w:suff w:val="nothing"/>
      <w:lvlText w:val="%1%2.%3.%4.%5　"/>
      <w:lvlJc w:val="left"/>
      <w:pPr>
        <w:ind w:left="0" w:firstLine="0"/>
      </w:pPr>
      <w:rPr>
        <w:rFonts w:hint="eastAsia" w:ascii="黑体" w:eastAsia="黑体"/>
        <w:b w:val="0"/>
        <w:i w:val="0"/>
        <w:sz w:val="21"/>
      </w:rPr>
    </w:lvl>
    <w:lvl w:ilvl="5" w:tentative="0">
      <w:start w:val="1"/>
      <w:numFmt w:val="decimal"/>
      <w:pStyle w:val="34"/>
      <w:suff w:val="nothing"/>
      <w:lvlText w:val="%1%2.%3.%4.%5.%6　"/>
      <w:lvlJc w:val="left"/>
      <w:pPr>
        <w:ind w:left="0" w:firstLine="0"/>
      </w:pPr>
      <w:rPr>
        <w:rFonts w:hint="eastAsia" w:ascii="黑体" w:eastAsia="黑体"/>
        <w:b w:val="0"/>
        <w:i w:val="0"/>
        <w:sz w:val="21"/>
      </w:rPr>
    </w:lvl>
    <w:lvl w:ilvl="6" w:tentative="0">
      <w:start w:val="1"/>
      <w:numFmt w:val="decimal"/>
      <w:pStyle w:val="3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jMTk5MjRkYmY4ODNiMzI0ODc4NjI3YjVkMTY5NzEifQ=="/>
  </w:docVars>
  <w:rsids>
    <w:rsidRoot w:val="6F5E4C55"/>
    <w:rsid w:val="00012A01"/>
    <w:rsid w:val="00021CC4"/>
    <w:rsid w:val="0005562A"/>
    <w:rsid w:val="001624F2"/>
    <w:rsid w:val="00167DAF"/>
    <w:rsid w:val="00192F0D"/>
    <w:rsid w:val="001B4CAF"/>
    <w:rsid w:val="001B7F44"/>
    <w:rsid w:val="001E5CDD"/>
    <w:rsid w:val="002049C2"/>
    <w:rsid w:val="0025365E"/>
    <w:rsid w:val="00294534"/>
    <w:rsid w:val="002E6F4C"/>
    <w:rsid w:val="00326B1B"/>
    <w:rsid w:val="003D059A"/>
    <w:rsid w:val="003D0BF6"/>
    <w:rsid w:val="003D2885"/>
    <w:rsid w:val="00405D20"/>
    <w:rsid w:val="00447C5C"/>
    <w:rsid w:val="004665B2"/>
    <w:rsid w:val="004A17F4"/>
    <w:rsid w:val="004B0A36"/>
    <w:rsid w:val="005314C4"/>
    <w:rsid w:val="0053203C"/>
    <w:rsid w:val="005534F0"/>
    <w:rsid w:val="005D1091"/>
    <w:rsid w:val="005E3389"/>
    <w:rsid w:val="006112B7"/>
    <w:rsid w:val="00667FC4"/>
    <w:rsid w:val="00693497"/>
    <w:rsid w:val="00733386"/>
    <w:rsid w:val="0074006E"/>
    <w:rsid w:val="00797FC8"/>
    <w:rsid w:val="007A29B4"/>
    <w:rsid w:val="007E2F4C"/>
    <w:rsid w:val="00823F6D"/>
    <w:rsid w:val="00887C55"/>
    <w:rsid w:val="0089132B"/>
    <w:rsid w:val="008B1BA4"/>
    <w:rsid w:val="008B3CC1"/>
    <w:rsid w:val="008C01B8"/>
    <w:rsid w:val="008F4999"/>
    <w:rsid w:val="00A33E7F"/>
    <w:rsid w:val="00A46072"/>
    <w:rsid w:val="00A631E3"/>
    <w:rsid w:val="00A66171"/>
    <w:rsid w:val="00A67C60"/>
    <w:rsid w:val="00A72377"/>
    <w:rsid w:val="00AE4335"/>
    <w:rsid w:val="00B47FEA"/>
    <w:rsid w:val="00B73599"/>
    <w:rsid w:val="00B75CF2"/>
    <w:rsid w:val="00BF5118"/>
    <w:rsid w:val="00BF5631"/>
    <w:rsid w:val="00C12764"/>
    <w:rsid w:val="00C2719D"/>
    <w:rsid w:val="00C42545"/>
    <w:rsid w:val="00CB3431"/>
    <w:rsid w:val="00D048E7"/>
    <w:rsid w:val="00D8162D"/>
    <w:rsid w:val="00D93B18"/>
    <w:rsid w:val="00E515A0"/>
    <w:rsid w:val="00EC6798"/>
    <w:rsid w:val="00F02711"/>
    <w:rsid w:val="00F33FD0"/>
    <w:rsid w:val="00F50BAA"/>
    <w:rsid w:val="00FD4591"/>
    <w:rsid w:val="03012F7E"/>
    <w:rsid w:val="11716160"/>
    <w:rsid w:val="21A125AB"/>
    <w:rsid w:val="252157F8"/>
    <w:rsid w:val="279E360D"/>
    <w:rsid w:val="2DC23096"/>
    <w:rsid w:val="37FF6AEA"/>
    <w:rsid w:val="3AA348DA"/>
    <w:rsid w:val="3DA60DBB"/>
    <w:rsid w:val="41007633"/>
    <w:rsid w:val="4D8E709F"/>
    <w:rsid w:val="54422A68"/>
    <w:rsid w:val="54BF4215"/>
    <w:rsid w:val="553F5788"/>
    <w:rsid w:val="556422EE"/>
    <w:rsid w:val="638917C8"/>
    <w:rsid w:val="6F5E4C55"/>
    <w:rsid w:val="77F7A78E"/>
    <w:rsid w:val="7EDE4A37"/>
    <w:rsid w:val="7F734B3C"/>
    <w:rsid w:val="A6CE81BD"/>
    <w:rsid w:val="B3E72E96"/>
    <w:rsid w:val="FEFE7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outlineLvl w:val="0"/>
    </w:pPr>
    <w:rPr>
      <w:rFonts w:eastAsia="黑体"/>
      <w:kern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Cs w:val="21"/>
      <w:lang w:eastAsia="en-US"/>
    </w:rPr>
  </w:style>
  <w:style w:type="paragraph" w:styleId="4">
    <w:name w:val="footer"/>
    <w:basedOn w:val="1"/>
    <w:uiPriority w:val="0"/>
    <w:pPr>
      <w:snapToGrid w:val="0"/>
      <w:ind w:right="210" w:rightChars="100"/>
      <w:jc w:val="right"/>
    </w:pPr>
    <w:rPr>
      <w:sz w:val="18"/>
      <w:szCs w:val="18"/>
    </w:rPr>
  </w:style>
  <w:style w:type="paragraph" w:styleId="5">
    <w:name w:val="header"/>
    <w:basedOn w:val="1"/>
    <w:qFormat/>
    <w:uiPriority w:val="0"/>
    <w:pPr>
      <w:snapToGrid w:val="0"/>
      <w:jc w:val="left"/>
    </w:pPr>
    <w:rPr>
      <w:sz w:val="18"/>
      <w:szCs w:val="18"/>
    </w:rPr>
  </w:style>
  <w:style w:type="paragraph" w:styleId="6">
    <w:name w:val="toc 1"/>
    <w:basedOn w:val="1"/>
    <w:next w:val="1"/>
    <w:qFormat/>
    <w:uiPriority w:val="39"/>
    <w:pPr>
      <w:tabs>
        <w:tab w:val="right" w:leader="dot" w:pos="9241"/>
      </w:tabs>
      <w:spacing w:before="25" w:beforeLines="25" w:after="25" w:afterLines="25"/>
      <w:jc w:val="left"/>
    </w:pPr>
    <w:rPr>
      <w:rFonts w:ascii="宋体"/>
      <w:szCs w:val="21"/>
    </w:rPr>
  </w:style>
  <w:style w:type="character" w:styleId="9">
    <w:name w:val="Hyperlink"/>
    <w:basedOn w:val="8"/>
    <w:qFormat/>
    <w:uiPriority w:val="0"/>
    <w:rPr>
      <w:color w:val="0000FF"/>
      <w:u w:val="single"/>
    </w:rPr>
  </w:style>
  <w:style w:type="paragraph" w:customStyle="1" w:styleId="1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
    <w:name w:val="封面标准英文名称"/>
    <w:basedOn w:val="10"/>
    <w:qFormat/>
    <w:uiPriority w:val="0"/>
    <w:pPr>
      <w:framePr w:wrap="around"/>
      <w:spacing w:before="370" w:line="400" w:lineRule="exact"/>
    </w:pPr>
    <w:rPr>
      <w:rFonts w:ascii="Times New Roman"/>
      <w:sz w:val="28"/>
      <w:szCs w:val="28"/>
    </w:rPr>
  </w:style>
  <w:style w:type="paragraph" w:customStyle="1" w:styleId="12">
    <w:name w:val="封面一致性程度标识"/>
    <w:basedOn w:val="11"/>
    <w:qFormat/>
    <w:uiPriority w:val="0"/>
    <w:pPr>
      <w:framePr w:wrap="around"/>
      <w:spacing w:before="440"/>
    </w:pPr>
    <w:rPr>
      <w:rFonts w:ascii="宋体" w:eastAsia="宋体"/>
    </w:rPr>
  </w:style>
  <w:style w:type="paragraph" w:customStyle="1" w:styleId="13">
    <w:name w:val="封面标准文稿类别"/>
    <w:basedOn w:val="12"/>
    <w:qFormat/>
    <w:uiPriority w:val="0"/>
    <w:pPr>
      <w:framePr w:wrap="around"/>
      <w:spacing w:after="160" w:line="240" w:lineRule="auto"/>
    </w:pPr>
    <w:rPr>
      <w:sz w:val="24"/>
    </w:rPr>
  </w:style>
  <w:style w:type="paragraph" w:customStyle="1" w:styleId="14">
    <w:name w:val="封面标准文稿编辑信息"/>
    <w:basedOn w:val="13"/>
    <w:qFormat/>
    <w:uiPriority w:val="0"/>
    <w:pPr>
      <w:framePr w:wrap="around"/>
      <w:spacing w:before="180" w:line="180" w:lineRule="exact"/>
    </w:pPr>
    <w:rPr>
      <w:sz w:val="21"/>
    </w:rPr>
  </w:style>
  <w:style w:type="paragraph" w:customStyle="1" w:styleId="15">
    <w:name w:val="其他发布日期"/>
    <w:basedOn w:val="16"/>
    <w:qFormat/>
    <w:uiPriority w:val="0"/>
    <w:pPr>
      <w:framePr w:wrap="around" w:vAnchor="page" w:hAnchor="text" w:x="1419"/>
    </w:pPr>
  </w:style>
  <w:style w:type="paragraph" w:customStyle="1" w:styleId="16">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7">
    <w:name w:val="其他实施日期"/>
    <w:basedOn w:val="18"/>
    <w:qFormat/>
    <w:uiPriority w:val="0"/>
    <w:pPr>
      <w:framePr w:wrap="around"/>
    </w:pPr>
  </w:style>
  <w:style w:type="paragraph" w:customStyle="1" w:styleId="18">
    <w:name w:val="实施日期"/>
    <w:basedOn w:val="16"/>
    <w:qFormat/>
    <w:uiPriority w:val="0"/>
    <w:pPr>
      <w:framePr w:wrap="around" w:vAnchor="page" w:hAnchor="text"/>
      <w:jc w:val="right"/>
    </w:pPr>
  </w:style>
  <w:style w:type="paragraph" w:customStyle="1" w:styleId="19">
    <w:name w:val="其他发布部门"/>
    <w:basedOn w:val="20"/>
    <w:qFormat/>
    <w:uiPriority w:val="0"/>
    <w:pPr>
      <w:framePr w:wrap="around" w:y="15310"/>
      <w:spacing w:line="0" w:lineRule="atLeast"/>
    </w:pPr>
    <w:rPr>
      <w:rFonts w:ascii="黑体" w:eastAsia="黑体"/>
      <w:b w:val="0"/>
    </w:rPr>
  </w:style>
  <w:style w:type="paragraph" w:customStyle="1" w:styleId="20">
    <w:name w:val="发布部门"/>
    <w:next w:val="21"/>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2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2">
    <w:name w:val="发布"/>
    <w:basedOn w:val="8"/>
    <w:qFormat/>
    <w:uiPriority w:val="0"/>
    <w:rPr>
      <w:rFonts w:ascii="黑体" w:eastAsia="黑体"/>
      <w:spacing w:val="85"/>
      <w:w w:val="100"/>
      <w:position w:val="3"/>
      <w:sz w:val="28"/>
      <w:szCs w:val="28"/>
    </w:rPr>
  </w:style>
  <w:style w:type="paragraph" w:customStyle="1" w:styleId="23">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24">
    <w:name w:val="其他标准标志"/>
    <w:basedOn w:val="25"/>
    <w:qFormat/>
    <w:uiPriority w:val="0"/>
    <w:pPr>
      <w:framePr w:w="6101" w:wrap="around" w:vAnchor="page" w:hAnchor="page" w:x="4673" w:y="942"/>
    </w:pPr>
    <w:rPr>
      <w:w w:val="130"/>
    </w:rPr>
  </w:style>
  <w:style w:type="paragraph" w:customStyle="1" w:styleId="2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2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27">
    <w:name w:val="封面标准号2"/>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table" w:customStyle="1" w:styleId="29">
    <w:name w:val="Table Normal"/>
    <w:unhideWhenUsed/>
    <w:qFormat/>
    <w:uiPriority w:val="0"/>
    <w:tblPr>
      <w:tblCellMar>
        <w:top w:w="0" w:type="dxa"/>
        <w:left w:w="0" w:type="dxa"/>
        <w:bottom w:w="0" w:type="dxa"/>
        <w:right w:w="0" w:type="dxa"/>
      </w:tblCellMar>
    </w:tblPr>
  </w:style>
  <w:style w:type="paragraph" w:customStyle="1" w:styleId="30">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1">
    <w:name w:val="标准书脚_奇数页"/>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32">
    <w:name w:val="标准文件_二级条标题"/>
    <w:next w:val="1"/>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33">
    <w:name w:val="标准文件_三级条标题"/>
    <w:basedOn w:val="32"/>
    <w:next w:val="1"/>
    <w:qFormat/>
    <w:uiPriority w:val="0"/>
    <w:pPr>
      <w:widowControl/>
      <w:numPr>
        <w:ilvl w:val="4"/>
      </w:numPr>
      <w:outlineLvl w:val="3"/>
    </w:pPr>
  </w:style>
  <w:style w:type="paragraph" w:customStyle="1" w:styleId="34">
    <w:name w:val="标准文件_四级条标题"/>
    <w:next w:val="1"/>
    <w:qFormat/>
    <w:uiPriority w:val="0"/>
    <w:pPr>
      <w:widowControl w:val="0"/>
      <w:numPr>
        <w:ilvl w:val="5"/>
        <w:numId w:val="1"/>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35">
    <w:name w:val="标准文件_五级条标题"/>
    <w:next w:val="1"/>
    <w:qFormat/>
    <w:uiPriority w:val="0"/>
    <w:pPr>
      <w:widowControl w:val="0"/>
      <w:numPr>
        <w:ilvl w:val="6"/>
        <w:numId w:val="1"/>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36">
    <w:name w:val="标准文件_章标题"/>
    <w:next w:val="1"/>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37">
    <w:name w:val="标准文件_一级条标题"/>
    <w:basedOn w:val="36"/>
    <w:next w:val="1"/>
    <w:qFormat/>
    <w:uiPriority w:val="0"/>
    <w:pPr>
      <w:numPr>
        <w:ilvl w:val="2"/>
      </w:numPr>
      <w:spacing w:before="50" w:beforeLines="50" w:after="50" w:afterLines="50"/>
      <w:outlineLvl w:val="1"/>
    </w:pPr>
  </w:style>
  <w:style w:type="paragraph" w:customStyle="1" w:styleId="38">
    <w:name w:val="前言标题"/>
    <w:next w:val="1"/>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39">
    <w:name w:val="标准文件_段"/>
    <w:link w:val="4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0">
    <w:name w:val="标准文件_段 Char"/>
    <w:link w:val="39"/>
    <w:qFormat/>
    <w:uiPriority w:val="0"/>
    <w:rPr>
      <w:rFonts w:ascii="宋体" w:hAnsi="Times New Roman" w:eastAsia="宋体" w:cs="Times New Roman"/>
      <w:sz w:val="21"/>
    </w:rPr>
  </w:style>
  <w:style w:type="paragraph" w:styleId="41">
    <w:name w:val="List Paragraph"/>
    <w:basedOn w:val="1"/>
    <w:unhideWhenUsed/>
    <w:qFormat/>
    <w:uiPriority w:val="99"/>
    <w:pPr>
      <w:ind w:firstLine="420" w:firstLineChars="200"/>
    </w:pPr>
  </w:style>
  <w:style w:type="character" w:customStyle="1" w:styleId="42">
    <w:name w:val="font11"/>
    <w:basedOn w:val="8"/>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1078</Words>
  <Characters>6149</Characters>
  <Lines>51</Lines>
  <Paragraphs>14</Paragraphs>
  <TotalTime>1</TotalTime>
  <ScaleCrop>false</ScaleCrop>
  <LinksUpToDate>false</LinksUpToDate>
  <CharactersWithSpaces>7213</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2023-12-19T22:27:00Z</dcterms:created>
  <dc:creator>西西嘻嘻</dc:creator>
  <cp:lastModifiedBy>西西嘻嘻</cp:lastModifiedBy>
  <dcterms:modified xsi:type="dcterms:W3CDTF">2024-01-10T23:55:19Z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43466E58F923E2ECA9BD9E65364A8B8E_43</vt:lpwstr>
  </property>
</Properties>
</file>