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default" w:hAnsi="黑体" w:eastAsia="黑体" w:cs="黑体"/>
          <w:szCs w:val="20"/>
          <w:highlight w:val="none"/>
          <w:lang w:val="en-US" w:eastAsia="zh-CN"/>
        </w:rPr>
      </w:pPr>
      <w:bookmarkStart w:id="0" w:name="_Toc530051741"/>
      <w:bookmarkStart w:id="1" w:name="_Toc509826185"/>
      <w:bookmarkStart w:id="2" w:name="_Toc525046548"/>
      <w:bookmarkStart w:id="3" w:name="_Toc873628"/>
      <w:bookmarkStart w:id="4" w:name="_Toc13964"/>
      <w:bookmarkStart w:id="5" w:name="_Toc385602845"/>
      <w:bookmarkStart w:id="6" w:name="_Toc415043548"/>
      <w:bookmarkStart w:id="7" w:name="_Toc415043487"/>
      <w:r>
        <w:rPr>
          <w:rFonts w:hint="default" w:ascii="Times New Roman" w:hAnsi="Times New Roman" w:cs="Times New Roman"/>
          <w:b/>
          <w:bCs/>
          <w:szCs w:val="20"/>
          <w:highlight w:val="none"/>
        </w:rPr>
        <w:t>ICS</w:t>
      </w:r>
      <w:r>
        <w:rPr>
          <w:rFonts w:hint="eastAsia" w:hAnsi="黑体" w:cs="黑体"/>
          <w:szCs w:val="20"/>
          <w:highlight w:val="none"/>
        </w:rPr>
        <w:t xml:space="preserve">  </w:t>
      </w:r>
      <w:r>
        <w:rPr>
          <w:rFonts w:hint="eastAsia" w:hAnsi="黑体" w:cs="黑体"/>
          <w:szCs w:val="20"/>
          <w:highlight w:val="none"/>
          <w:lang w:val="en-US" w:eastAsia="zh-CN"/>
        </w:rPr>
        <w:t>71.100.70</w:t>
      </w:r>
    </w:p>
    <w:p>
      <w:pPr>
        <w:pStyle w:val="36"/>
        <w:rPr>
          <w:rFonts w:hint="default" w:hAnsi="黑体" w:eastAsia="黑体" w:cs="黑体"/>
          <w:szCs w:val="20"/>
          <w:highlight w:val="none"/>
          <w:lang w:val="en-US" w:eastAsia="zh-CN"/>
        </w:rPr>
      </w:pPr>
      <w:r>
        <w:rPr>
          <w:rFonts w:hint="default" w:ascii="Times New Roman" w:hAnsi="Times New Roman" w:cs="Times New Roman"/>
          <w:b/>
          <w:bCs/>
          <w:szCs w:val="20"/>
          <w:highlight w:val="none"/>
        </w:rPr>
        <w:t>CCS</w:t>
      </w:r>
      <w:r>
        <w:rPr>
          <w:rFonts w:hint="eastAsia" w:hAnsi="黑体" w:cs="黑体"/>
          <w:szCs w:val="20"/>
          <w:highlight w:val="none"/>
        </w:rPr>
        <w:t xml:space="preserve"> </w:t>
      </w:r>
      <w:r>
        <w:rPr>
          <w:rFonts w:hint="eastAsia" w:hAnsi="黑体" w:cs="黑体"/>
          <w:szCs w:val="20"/>
          <w:highlight w:val="none"/>
          <w:lang w:val="en-US" w:eastAsia="zh-CN"/>
        </w:rPr>
        <w:t>Y 42</w:t>
      </w:r>
    </w:p>
    <w:p>
      <w:pPr>
        <w:pStyle w:val="36"/>
        <w:rPr>
          <w:rFonts w:hAnsi="黑体" w:cs="黑体"/>
          <w:szCs w:val="20"/>
          <w:highlight w:val="none"/>
        </w:rPr>
      </w:pPr>
    </w:p>
    <w:p>
      <w:pPr>
        <w:rPr>
          <w:rFonts w:ascii="黑体" w:hAnsi="黑体" w:eastAsia="黑体" w:cs="黑体"/>
          <w:sz w:val="18"/>
          <w:szCs w:val="18"/>
          <w:highlight w:val="none"/>
        </w:rPr>
      </w:pPr>
    </w:p>
    <w:p>
      <w:pPr>
        <w:snapToGrid w:val="0"/>
        <w:spacing w:after="57"/>
        <w:jc w:val="center"/>
        <w:rPr>
          <w:rFonts w:ascii="黑体" w:hAnsi="黑体" w:eastAsia="黑体" w:cs="黑体"/>
          <w:sz w:val="72"/>
          <w:szCs w:val="72"/>
          <w:highlight w:val="none"/>
        </w:rPr>
      </w:pPr>
      <w:r>
        <w:rPr>
          <w:rFonts w:hint="eastAsia" w:ascii="黑体" w:hAnsi="黑体" w:eastAsia="黑体" w:cs="黑体"/>
          <w:sz w:val="72"/>
          <w:szCs w:val="72"/>
          <w:highlight w:val="none"/>
        </w:rPr>
        <w:t>团     体     标     准</w:t>
      </w:r>
    </w:p>
    <w:p>
      <w:pPr>
        <w:pStyle w:val="4"/>
        <w:spacing w:line="360" w:lineRule="exact"/>
        <w:ind w:firstLine="0" w:firstLineChars="0"/>
        <w:jc w:val="right"/>
        <w:rPr>
          <w:rFonts w:ascii="Times New Roman" w:hAnsi="Times New Roman" w:eastAsia="黑体" w:cs="Times New Roman"/>
          <w:kern w:val="0"/>
          <w:sz w:val="28"/>
          <w:szCs w:val="20"/>
          <w:highlight w:val="none"/>
        </w:rPr>
      </w:pPr>
      <w:r>
        <w:rPr>
          <w:rFonts w:ascii="Times New Roman" w:hAnsi="Times New Roman" w:eastAsia="黑体" w:cs="Times New Roman"/>
          <w:b/>
          <w:bCs/>
          <w:kern w:val="0"/>
          <w:sz w:val="28"/>
          <w:szCs w:val="20"/>
          <w:highlight w:val="none"/>
        </w:rPr>
        <w:t>T/</w:t>
      </w:r>
      <w:r>
        <w:rPr>
          <w:rFonts w:hint="eastAsia" w:ascii="Times New Roman" w:hAnsi="Times New Roman" w:eastAsia="黑体" w:cs="Times New Roman"/>
          <w:b/>
          <w:bCs/>
          <w:kern w:val="0"/>
          <w:sz w:val="28"/>
          <w:szCs w:val="20"/>
          <w:highlight w:val="none"/>
        </w:rPr>
        <w:t>XXXX</w:t>
      </w:r>
      <w:r>
        <w:rPr>
          <w:rFonts w:ascii="Times New Roman" w:hAnsi="Times New Roman" w:eastAsia="黑体" w:cs="Times New Roman"/>
          <w:kern w:val="0"/>
          <w:sz w:val="28"/>
          <w:szCs w:val="20"/>
          <w:highlight w:val="none"/>
        </w:rPr>
        <w:t xml:space="preserve"> </w:t>
      </w:r>
      <w:r>
        <w:rPr>
          <w:rFonts w:hint="eastAsia" w:ascii="Times New Roman" w:hAnsi="Times New Roman" w:eastAsia="黑体" w:cs="Times New Roman"/>
          <w:kern w:val="0"/>
          <w:sz w:val="28"/>
          <w:szCs w:val="20"/>
          <w:highlight w:val="none"/>
        </w:rPr>
        <w:t>XXXX—XXXX</w:t>
      </w:r>
    </w:p>
    <w:p>
      <w:pPr>
        <w:pStyle w:val="4"/>
        <w:spacing w:line="360" w:lineRule="exact"/>
        <w:ind w:firstLine="0" w:firstLineChars="0"/>
        <w:jc w:val="right"/>
        <w:rPr>
          <w:rFonts w:ascii="Times New Roman" w:hAnsi="Times New Roman" w:eastAsia="黑体" w:cs="Times New Roman"/>
          <w:kern w:val="0"/>
          <w:sz w:val="28"/>
          <w:szCs w:val="20"/>
          <w:highlight w:val="none"/>
        </w:rPr>
      </w:pPr>
      <w:r>
        <w:rPr>
          <w:rFonts w:ascii="Times New Roman" w:hAnsi="Times New Roman" w:eastAsia="黑体" w:cs="Times New Roman"/>
          <w:b/>
          <w:bCs/>
          <w:kern w:val="0"/>
          <w:sz w:val="28"/>
          <w:szCs w:val="20"/>
          <w:highlight w:val="none"/>
        </w:rPr>
        <w:t>T</w:t>
      </w:r>
      <w:r>
        <w:rPr>
          <w:rFonts w:hint="eastAsia" w:ascii="Times New Roman" w:hAnsi="Times New Roman" w:eastAsia="黑体" w:cs="Times New Roman"/>
          <w:b/>
          <w:bCs/>
          <w:kern w:val="0"/>
          <w:sz w:val="28"/>
          <w:szCs w:val="20"/>
          <w:highlight w:val="none"/>
        </w:rPr>
        <w:t>/XXXX</w:t>
      </w:r>
      <w:r>
        <w:rPr>
          <w:rFonts w:ascii="Times New Roman" w:hAnsi="Times New Roman" w:eastAsia="黑体" w:cs="Times New Roman"/>
          <w:kern w:val="0"/>
          <w:sz w:val="28"/>
          <w:szCs w:val="20"/>
          <w:highlight w:val="none"/>
        </w:rPr>
        <w:t xml:space="preserve"> </w:t>
      </w:r>
      <w:r>
        <w:rPr>
          <w:rFonts w:hint="eastAsia" w:ascii="Times New Roman" w:hAnsi="Times New Roman" w:eastAsia="黑体" w:cs="Times New Roman"/>
          <w:kern w:val="0"/>
          <w:sz w:val="28"/>
          <w:szCs w:val="20"/>
          <w:highlight w:val="none"/>
        </w:rPr>
        <w:t>XXXX—XXXX</w:t>
      </w:r>
    </w:p>
    <w:p>
      <w:pPr>
        <w:pStyle w:val="4"/>
        <w:ind w:right="-2" w:firstLine="0" w:firstLineChars="0"/>
        <w:jc w:val="right"/>
        <w:rPr>
          <w:rFonts w:ascii="黑体" w:hAnsi="黑体" w:eastAsia="黑体" w:cs="黑体"/>
          <w:b/>
          <w:sz w:val="24"/>
          <w:szCs w:val="24"/>
          <w:highlight w:val="none"/>
        </w:rPr>
      </w:pPr>
      <w:r>
        <w:rPr>
          <w:rFonts w:hint="eastAsia" w:ascii="黑体" w:hAnsi="黑体" w:eastAsia="黑体" w:cs="黑体"/>
          <w:highlight w:val="none"/>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35pt;margin-top:2.55pt;height:0pt;width:481.9pt;z-index:251660288;mso-width-relative:page;mso-height-relative:page;" filled="f" stroked="t" coordsize="21600,21600" o:gfxdata="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ZtxX1AAAAAUB&#10;AAAPAAAAAAAAAAEAIAAAACIAAABkcnMvZG93bnJldi54bWxQSwECFAAUAAAACACHTuJAvIsAbuYB&#10;AACtAwAADgAAAAAAAAABACAAAAAjAQAAZHJzL2Uyb0RvYy54bWxQSwUGAAAAAAYABgBZAQAAewUA&#10;AAAA&#10;">
                <v:fill on="f" focussize="0,0"/>
                <v:stroke weight="1pt" color="#080000" joinstyle="round"/>
                <v:imagedata o:title=""/>
                <o:lock v:ext="edit" aspectratio="f"/>
              </v:line>
            </w:pict>
          </mc:Fallback>
        </mc:AlternateContent>
      </w:r>
    </w:p>
    <w:p>
      <w:pPr>
        <w:pStyle w:val="4"/>
        <w:ind w:firstLine="0" w:firstLineChars="0"/>
        <w:rPr>
          <w:rFonts w:ascii="黑体" w:hAnsi="黑体" w:eastAsia="黑体" w:cs="黑体"/>
          <w:b/>
          <w:spacing w:val="40"/>
          <w:kern w:val="0"/>
          <w:sz w:val="52"/>
          <w:szCs w:val="52"/>
          <w:highlight w:val="none"/>
        </w:rPr>
      </w:pPr>
    </w:p>
    <w:p>
      <w:pPr>
        <w:pStyle w:val="4"/>
        <w:ind w:firstLine="548" w:firstLineChars="100"/>
        <w:jc w:val="center"/>
        <w:rPr>
          <w:rFonts w:hint="eastAsia" w:ascii="黑体" w:hAnsi="黑体" w:eastAsia="黑体" w:cs="黑体"/>
          <w:bCs/>
          <w:spacing w:val="40"/>
          <w:w w:val="90"/>
          <w:kern w:val="0"/>
          <w:sz w:val="52"/>
          <w:szCs w:val="52"/>
          <w:highlight w:val="none"/>
        </w:rPr>
      </w:pPr>
      <w:r>
        <w:rPr>
          <w:rFonts w:hint="eastAsia" w:ascii="黑体" w:hAnsi="黑体" w:eastAsia="黑体" w:cs="黑体"/>
          <w:bCs/>
          <w:spacing w:val="40"/>
          <w:w w:val="90"/>
          <w:kern w:val="0"/>
          <w:sz w:val="52"/>
          <w:szCs w:val="52"/>
          <w:highlight w:val="none"/>
        </w:rPr>
        <w:t xml:space="preserve">质量分级及“领跑者”评价要求  </w:t>
      </w:r>
    </w:p>
    <w:p>
      <w:pPr>
        <w:pStyle w:val="4"/>
        <w:ind w:firstLine="548" w:firstLineChars="100"/>
        <w:jc w:val="center"/>
        <w:rPr>
          <w:rFonts w:hint="default" w:ascii="黑体" w:hAnsi="黑体" w:eastAsia="黑体" w:cs="黑体"/>
          <w:bCs/>
          <w:spacing w:val="40"/>
          <w:w w:val="90"/>
          <w:kern w:val="0"/>
          <w:sz w:val="52"/>
          <w:szCs w:val="52"/>
          <w:highlight w:val="none"/>
          <w:lang w:val="en-US" w:eastAsia="zh-CN"/>
        </w:rPr>
      </w:pPr>
      <w:r>
        <w:rPr>
          <w:rFonts w:hint="eastAsia" w:ascii="黑体" w:hAnsi="黑体" w:eastAsia="黑体" w:cs="黑体"/>
          <w:bCs/>
          <w:spacing w:val="40"/>
          <w:w w:val="90"/>
          <w:kern w:val="0"/>
          <w:sz w:val="52"/>
          <w:szCs w:val="52"/>
          <w:highlight w:val="none"/>
          <w:lang w:val="en-US" w:eastAsia="zh-CN"/>
        </w:rPr>
        <w:t>化妆笔、化妆笔芯</w:t>
      </w:r>
    </w:p>
    <w:p>
      <w:pPr>
        <w:spacing w:before="156" w:beforeLines="50" w:line="360" w:lineRule="exact"/>
        <w:jc w:val="center"/>
        <w:rPr>
          <w:rFonts w:ascii="黑体" w:hAnsi="黑体" w:eastAsia="黑体" w:cs="黑体"/>
          <w:kern w:val="0"/>
          <w:sz w:val="28"/>
          <w:szCs w:val="28"/>
          <w:highlight w:val="none"/>
          <w:shd w:val="clear" w:color="auto" w:fill="FFFFFF"/>
        </w:rPr>
      </w:pPr>
      <w:r>
        <w:rPr>
          <w:rFonts w:hint="eastAsia" w:ascii="黑体" w:hAnsi="黑体" w:eastAsia="黑体" w:cs="黑体"/>
          <w:kern w:val="0"/>
          <w:sz w:val="28"/>
          <w:szCs w:val="28"/>
          <w:highlight w:val="none"/>
        </w:rPr>
        <w:t xml:space="preserve"> </w:t>
      </w:r>
      <w:r>
        <w:rPr>
          <w:rFonts w:ascii="Times New Roman" w:hAnsi="Times New Roman" w:eastAsia="黑体" w:cs="Times New Roman"/>
          <w:kern w:val="0"/>
          <w:sz w:val="28"/>
          <w:szCs w:val="28"/>
          <w:highlight w:val="none"/>
        </w:rPr>
        <w:t xml:space="preserve"> </w:t>
      </w:r>
      <w:r>
        <w:rPr>
          <w:rFonts w:hint="eastAsia" w:ascii="黑体" w:hAnsi="黑体" w:eastAsia="黑体" w:cs="黑体"/>
          <w:kern w:val="0"/>
          <w:sz w:val="28"/>
          <w:szCs w:val="28"/>
          <w:highlight w:val="none"/>
        </w:rPr>
        <w:t xml:space="preserve">   </w:t>
      </w:r>
      <w:r>
        <w:rPr>
          <w:rFonts w:hint="eastAsia" w:ascii="黑体" w:hAnsi="黑体" w:eastAsia="黑体" w:cs="黑体"/>
          <w:sz w:val="28"/>
          <w:szCs w:val="28"/>
          <w:highlight w:val="none"/>
        </w:rPr>
        <w:t>Assessment requirements for quality grading and forerunner</w:t>
      </w:r>
      <w:r>
        <w:rPr>
          <w:rFonts w:hint="eastAsia" w:ascii="黑体" w:hAnsi="黑体" w:eastAsia="黑体" w:cs="黑体"/>
          <w:kern w:val="0"/>
          <w:sz w:val="28"/>
          <w:szCs w:val="28"/>
          <w:highlight w:val="none"/>
        </w:rPr>
        <w:t xml:space="preserve"> —Cosmetic pencil and cartridge</w:t>
      </w:r>
    </w:p>
    <w:p>
      <w:pPr>
        <w:pStyle w:val="4"/>
        <w:ind w:firstLine="0" w:firstLineChars="0"/>
        <w:rPr>
          <w:rFonts w:ascii="黑体" w:hAnsi="黑体" w:eastAsia="黑体" w:cs="黑体"/>
          <w:kern w:val="0"/>
          <w:sz w:val="36"/>
          <w:szCs w:val="20"/>
          <w:highlight w:val="none"/>
        </w:rPr>
      </w:pPr>
    </w:p>
    <w:p>
      <w:pPr>
        <w:pStyle w:val="4"/>
        <w:ind w:firstLine="0" w:firstLineChars="0"/>
        <w:rPr>
          <w:rFonts w:ascii="黑体" w:hAnsi="黑体" w:eastAsia="黑体" w:cs="黑体"/>
          <w:sz w:val="18"/>
          <w:szCs w:val="18"/>
          <w:highlight w:val="none"/>
        </w:rPr>
      </w:pPr>
    </w:p>
    <w:p>
      <w:pPr>
        <w:pStyle w:val="4"/>
        <w:ind w:firstLine="0" w:firstLineChars="0"/>
        <w:rPr>
          <w:rFonts w:ascii="黑体" w:hAnsi="黑体" w:eastAsia="黑体" w:cs="黑体"/>
          <w:sz w:val="18"/>
          <w:szCs w:val="18"/>
          <w:highlight w:val="none"/>
        </w:rPr>
      </w:pPr>
    </w:p>
    <w:p>
      <w:pPr>
        <w:pStyle w:val="4"/>
        <w:ind w:firstLine="0" w:firstLineChars="0"/>
        <w:rPr>
          <w:rFonts w:ascii="黑体" w:hAnsi="黑体" w:eastAsia="黑体" w:cs="黑体"/>
          <w:sz w:val="18"/>
          <w:szCs w:val="18"/>
          <w:highlight w:val="none"/>
        </w:rPr>
      </w:pPr>
    </w:p>
    <w:p>
      <w:pPr>
        <w:pStyle w:val="4"/>
        <w:ind w:firstLine="0" w:firstLineChars="0"/>
        <w:rPr>
          <w:rFonts w:ascii="黑体" w:hAnsi="黑体" w:eastAsia="黑体" w:cs="黑体"/>
          <w:sz w:val="18"/>
          <w:szCs w:val="18"/>
          <w:highlight w:val="none"/>
        </w:rPr>
      </w:pPr>
    </w:p>
    <w:p>
      <w:pPr>
        <w:pStyle w:val="83"/>
        <w:keepNext w:val="0"/>
        <w:keepLines w:val="0"/>
        <w:pageBreakBefore w:val="0"/>
        <w:framePr w:w="3334" w:h="1340" w:hRule="exact" w:wrap="around" w:vAnchor="page" w:hAnchor="page" w:x="4275" w:y="14734"/>
        <w:widowControl/>
        <w:kinsoku/>
        <w:wordWrap/>
        <w:overflowPunct/>
        <w:topLinePunct w:val="0"/>
        <w:autoSpaceDE/>
        <w:autoSpaceDN/>
        <w:bidi w:val="0"/>
        <w:adjustRightInd w:val="0"/>
        <w:snapToGrid w:val="0"/>
        <w:spacing w:line="240" w:lineRule="auto"/>
        <w:textAlignment w:val="auto"/>
        <w:rPr>
          <w:rFonts w:hint="eastAsia" w:ascii="黑体" w:hAnsi="黑体" w:eastAsia="黑体" w:cs="黑体"/>
          <w:bCs/>
          <w:spacing w:val="0"/>
          <w:w w:val="100"/>
          <w:sz w:val="28"/>
          <w:szCs w:val="28"/>
          <w:highlight w:val="none"/>
          <w:lang w:val="en-US" w:eastAsia="zh-CN"/>
        </w:rPr>
      </w:pPr>
      <w:bookmarkStart w:id="8" w:name="_Hlk131520131"/>
    </w:p>
    <w:p>
      <w:pPr>
        <w:pStyle w:val="83"/>
        <w:framePr w:w="3334" w:h="1340" w:hRule="exact" w:wrap="around" w:vAnchor="page" w:hAnchor="page" w:x="4275" w:y="14734"/>
        <w:spacing w:line="580" w:lineRule="exact"/>
        <w:rPr>
          <w:rFonts w:ascii="黑体" w:hAnsi="黑体" w:eastAsia="黑体" w:cs="黑体"/>
          <w:b w:val="0"/>
          <w:spacing w:val="0"/>
          <w:w w:val="100"/>
          <w:sz w:val="28"/>
          <w:szCs w:val="28"/>
          <w:highlight w:val="none"/>
        </w:rPr>
      </w:pPr>
      <w:r>
        <w:rPr>
          <w:rFonts w:hint="eastAsia" w:ascii="黑体" w:hAnsi="黑体" w:eastAsia="黑体" w:cs="黑体"/>
          <w:bCs/>
          <w:spacing w:val="0"/>
          <w:w w:val="100"/>
          <w:sz w:val="28"/>
          <w:szCs w:val="28"/>
          <w:highlight w:val="none"/>
          <w:lang w:val="en-US" w:eastAsia="zh-CN"/>
        </w:rPr>
        <w:t>浙江省计量与标准化学会</w:t>
      </w:r>
    </w:p>
    <w:bookmarkEnd w:id="0"/>
    <w:bookmarkEnd w:id="1"/>
    <w:bookmarkEnd w:id="2"/>
    <w:bookmarkEnd w:id="3"/>
    <w:bookmarkEnd w:id="8"/>
    <w:p>
      <w:pPr>
        <w:rPr>
          <w:rFonts w:ascii="宋体"/>
          <w:szCs w:val="21"/>
          <w:highlight w:val="none"/>
        </w:rPr>
      </w:pPr>
      <w:bookmarkStart w:id="9" w:name="_Toc65687976"/>
      <w:bookmarkStart w:id="10" w:name="_Toc415043894"/>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hint="eastAsia" w:ascii="宋体"/>
          <w:szCs w:val="21"/>
          <w:highlight w:val="none"/>
          <w:lang w:eastAsia="zh-CN"/>
        </w:rPr>
      </w:pPr>
    </w:p>
    <w:p>
      <w:pPr>
        <w:rPr>
          <w:rFonts w:hint="eastAsia" w:ascii="宋体"/>
          <w:szCs w:val="21"/>
          <w:highlight w:val="none"/>
          <w:lang w:eastAsia="zh-CN"/>
        </w:rPr>
      </w:pPr>
    </w:p>
    <w:p>
      <w:pPr>
        <w:rPr>
          <w:rFonts w:hint="eastAsia" w:ascii="宋体"/>
          <w:szCs w:val="21"/>
          <w:highlight w:val="none"/>
          <w:lang w:eastAsia="zh-CN"/>
        </w:rPr>
      </w:pPr>
      <w:r>
        <w:rPr>
          <w:rFonts w:ascii="宋体"/>
          <w:szCs w:val="21"/>
          <w:highlight w:val="none"/>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387985</wp:posOffset>
                </wp:positionV>
                <wp:extent cx="2273300" cy="381000"/>
                <wp:effectExtent l="0" t="0" r="1270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7pt;margin-top:30.55pt;height:30pt;width:179pt;mso-wrap-distance-bottom:3.6pt;mso-wrap-distance-left:9pt;mso-wrap-distance-right:9pt;mso-wrap-distance-top:3.6pt;z-index:251662336;mso-width-relative:page;mso-height-relative:page;" fillcolor="#FFFFFF [3212]" filled="t" stroked="t" coordsize="21600,21600" o:gfxdata="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FI8/9UAAAAJAQAADwAAAAAAAAABACAAAAAiAAAAZHJzL2Rvd25yZXYu&#10;eG1sUEsBAhQAFAAAAAgAh07iQKm4gvQ3AgAAfQQAAA4AAAAAAAAAAQAgAAAAJAEAAGRycy9lMm9E&#10;b2MueG1sUEsFBgAAAAAGAAYAWQEAAM0FA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v:textbox>
                <w10:wrap type="square"/>
              </v:shape>
            </w:pict>
          </mc:Fallback>
        </mc:AlternateContent>
      </w:r>
      <w:r>
        <w:rPr>
          <w:rFonts w:hint="eastAsia" w:ascii="宋体"/>
          <w:szCs w:val="21"/>
          <w:highlight w:val="none"/>
          <w:lang w:eastAsia="zh-CN"/>
        </w:rPr>
        <w:br w:type="textWrapping"/>
      </w:r>
    </w:p>
    <w:p>
      <w:pPr>
        <w:pStyle w:val="83"/>
        <w:framePr w:w="954" w:h="654" w:hRule="exact" w:vAnchor="page" w:hAnchor="page" w:x="7459" w:y="15083"/>
        <w:spacing w:line="580" w:lineRule="exact"/>
        <w:rPr>
          <w:rFonts w:ascii="黑体" w:hAnsi="黑体" w:eastAsia="黑体" w:cs="黑体"/>
          <w:bCs/>
          <w:spacing w:val="0"/>
          <w:w w:val="100"/>
          <w:sz w:val="28"/>
          <w:szCs w:val="28"/>
          <w:highlight w:val="none"/>
        </w:rPr>
      </w:pPr>
      <w:r>
        <w:rPr>
          <w:rFonts w:hint="eastAsia" w:ascii="黑体" w:hAnsi="黑体" w:eastAsia="黑体" w:cs="黑体"/>
          <w:bCs/>
          <w:spacing w:val="0"/>
          <w:w w:val="100"/>
          <w:sz w:val="28"/>
          <w:szCs w:val="28"/>
          <w:highlight w:val="none"/>
        </w:rPr>
        <w:t>发布</w:t>
      </w:r>
    </w:p>
    <w:p>
      <w:pPr>
        <w:rPr>
          <w:rFonts w:hint="eastAsia" w:ascii="宋体"/>
          <w:szCs w:val="21"/>
          <w:highlight w:val="none"/>
          <w:lang w:eastAsia="zh-CN"/>
        </w:rPr>
      </w:pPr>
      <w:r>
        <w:rPr>
          <w:rFonts w:hint="eastAsia" w:ascii="黑体" w:hAnsi="黑体" w:eastAsia="黑体" w:cs="黑体"/>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187960</wp:posOffset>
                </wp:positionH>
                <wp:positionV relativeFrom="paragraph">
                  <wp:posOffset>431165</wp:posOffset>
                </wp:positionV>
                <wp:extent cx="6121400" cy="0"/>
                <wp:effectExtent l="0" t="0" r="0" b="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4.8pt;margin-top:33.95pt;height:0pt;width:482pt;z-index:251664384;mso-width-relative:page;mso-height-relative:page;" filled="f" stroked="t" coordsize="21600,21600" o:gfxdata="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09otGFr4&#10;/Zefvz9/e/j1lez9j++sqpJKgws1Jc/swieeYmtv3Q2KT4FZnPVgVzJPe7dzBDFOFcWTkuQER72W&#10;wztsKQfWEbNk286bBElisG3ezO60GbmNTNDlxbgavy5paeIYK6A+Fjof4luJhqVDw7WySTSoYXMT&#10;YhoE6mNKurZ4rbTOi9eWDTRt9YagUyigVm2KZsevljPt2QbS27ks6cu0ztI8rm2776LtgXUiupds&#10;ie1u4Y9q0BLzOIcHl17JYz9X//3J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YINVtcAAAAI&#10;AQAADwAAAAAAAAABACAAAAAiAAAAZHJzL2Rvd25yZXYueG1sUEsBAhQAFAAAAAgAh07iQG+6r5Tk&#10;AQAArAMAAA4AAAAAAAAAAQAgAAAAJgEAAGRycy9lMm9Eb2MueG1sUEsFBgAAAAAGAAYAWQEAAHwF&#10;AAAAAA==&#10;">
                <v:fill on="f" focussize="0,0"/>
                <v:stroke weight="1pt" color="#080000" joinstyle="round"/>
                <v:imagedata o:title=""/>
                <o:lock v:ext="edit" aspectratio="f"/>
              </v:line>
            </w:pict>
          </mc:Fallback>
        </mc:AlternateContent>
      </w:r>
      <w:r>
        <w:rPr>
          <w:rFonts w:ascii="宋体"/>
          <w:szCs w:val="21"/>
          <w:highlight w:val="none"/>
        </w:rPr>
        <mc:AlternateContent>
          <mc:Choice Requires="wps">
            <w:drawing>
              <wp:anchor distT="45720" distB="45720" distL="114300" distR="114300" simplePos="0" relativeHeight="251663360" behindDoc="0" locked="0" layoutInCell="1" allowOverlap="1">
                <wp:simplePos x="0" y="0"/>
                <wp:positionH relativeFrom="column">
                  <wp:posOffset>1952625</wp:posOffset>
                </wp:positionH>
                <wp:positionV relativeFrom="paragraph">
                  <wp:posOffset>34290</wp:posOffset>
                </wp:positionV>
                <wp:extent cx="1930400" cy="393700"/>
                <wp:effectExtent l="0" t="0" r="12700" b="2540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0400" cy="3937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3.75pt;margin-top:2.7pt;height:31pt;width:152pt;mso-wrap-distance-bottom:3.6pt;mso-wrap-distance-left:9pt;mso-wrap-distance-right:9pt;mso-wrap-distance-top:3.6pt;z-index:251663360;mso-width-relative:page;mso-height-relative:page;" fillcolor="#FFFFFF [3212]" filled="t" stroked="t" coordsize="21600,21600" o:gfxdata="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mSA1wAAAAgBAAAPAAAAAAAAAAEAIAAAACIAAABkcnMvZG93bnJldi54&#10;bWxQSwECFAAUAAAACACHTuJA8jJ0qTQCAAB8BAAADgAAAAAAAAABACAAAAAmAQAAZHJzL2Uyb0Rv&#10;Yy54bWxQSwUGAAAAAAYABgBZAQAAzAU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v:textbox>
                <w10:wrap type="square"/>
              </v:shape>
            </w:pict>
          </mc:Fallback>
        </mc:AlternateContent>
      </w:r>
    </w:p>
    <w:p>
      <w:pPr>
        <w:jc w:val="left"/>
        <w:rPr>
          <w:rFonts w:ascii="黑体" w:hAnsi="微软雅黑" w:eastAsia="黑体"/>
          <w:sz w:val="28"/>
          <w:szCs w:val="28"/>
          <w:highlight w:val="none"/>
        </w:rPr>
      </w:pPr>
      <w:r>
        <w:rPr>
          <w:rFonts w:hint="eastAsia" w:ascii="黑体" w:hAnsi="黑体" w:eastAsia="黑体"/>
          <w:w w:val="99"/>
          <w:sz w:val="28"/>
          <w:szCs w:val="28"/>
          <w:highlight w:val="none"/>
        </w:rPr>
        <w:t xml:space="preserve">                       </w:t>
      </w: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r>
        <w:rPr>
          <w:rFonts w:ascii="宋体"/>
          <w:szCs w:val="21"/>
          <w:highlight w:val="none"/>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08990" cy="765175"/>
                    </a:xfrm>
                    <a:prstGeom prst="rect">
                      <a:avLst/>
                    </a:prstGeom>
                    <a:noFill/>
                    <a:ln>
                      <a:noFill/>
                    </a:ln>
                  </pic:spPr>
                </pic:pic>
              </a:graphicData>
            </a:graphic>
          </wp:inline>
        </w:drawing>
      </w:r>
      <w:r>
        <w:rPr>
          <w:rFonts w:ascii="宋体"/>
          <w:szCs w:val="21"/>
          <w:highlight w:val="none"/>
        </w:rPr>
        <w:t xml:space="preserve"> </w:t>
      </w:r>
      <w:r>
        <w:rPr>
          <w:rFonts w:hint="eastAsia" w:ascii="宋体"/>
          <w:szCs w:val="21"/>
          <w:highlight w:val="none"/>
        </w:rPr>
        <w:t>版权保护文件</w:t>
      </w:r>
    </w:p>
    <w:p>
      <w:pPr>
        <w:spacing w:before="156" w:beforeLines="50" w:after="156" w:afterLines="50"/>
        <w:rPr>
          <w:rFonts w:ascii="宋体"/>
          <w:szCs w:val="21"/>
          <w:highlight w:val="none"/>
        </w:rPr>
      </w:pPr>
      <w:r>
        <w:rPr>
          <w:rFonts w:hint="eastAsia" w:ascii="宋体"/>
          <w:szCs w:val="21"/>
          <w:highlight w:val="none"/>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2"/>
        <w:rPr>
          <w:highlight w:val="none"/>
        </w:rPr>
      </w:pPr>
      <w:r>
        <w:rPr>
          <w:rFonts w:hint="eastAsia"/>
          <w:highlight w:val="none"/>
        </w:rPr>
        <w:t>前</w:t>
      </w:r>
      <w:bookmarkStart w:id="11" w:name="BKQY"/>
      <w:r>
        <w:rPr>
          <w:rFonts w:hint="eastAsia"/>
          <w:highlight w:val="none"/>
        </w:rPr>
        <w:t>  言</w:t>
      </w:r>
      <w:bookmarkEnd w:id="4"/>
      <w:bookmarkEnd w:id="5"/>
      <w:bookmarkEnd w:id="6"/>
      <w:bookmarkEnd w:id="7"/>
      <w:bookmarkEnd w:id="9"/>
      <w:bookmarkEnd w:id="10"/>
      <w:bookmarkEnd w:id="11"/>
    </w:p>
    <w:p>
      <w:pPr>
        <w:spacing w:line="276" w:lineRule="auto"/>
        <w:ind w:left="210" w:leftChars="100" w:firstLine="210" w:firstLineChars="100"/>
        <w:rPr>
          <w:rFonts w:ascii="宋体" w:hAnsi="宋体"/>
          <w:szCs w:val="21"/>
          <w:highlight w:val="none"/>
        </w:rPr>
      </w:pPr>
      <w:r>
        <w:rPr>
          <w:rFonts w:hint="eastAsia" w:ascii="宋体" w:hAnsi="宋体"/>
          <w:szCs w:val="21"/>
          <w:highlight w:val="none"/>
        </w:rPr>
        <w:t>本文件按照GB/T 1.1—2020《标准化工作导则  第1部分：标准化文件的结构和起草规则》和T/CAS 700—2023、</w:t>
      </w:r>
      <w:r>
        <w:rPr>
          <w:rFonts w:hint="eastAsia" w:ascii="宋体" w:hAnsi="宋体" w:cs="Arial"/>
          <w:szCs w:val="21"/>
          <w:highlight w:val="none"/>
        </w:rPr>
        <w:t>T/CSTE 0321</w:t>
      </w:r>
      <w:r>
        <w:rPr>
          <w:rFonts w:hint="eastAsia" w:ascii="宋体" w:hAnsi="宋体"/>
          <w:szCs w:val="21"/>
          <w:highlight w:val="none"/>
        </w:rPr>
        <w:t>—</w:t>
      </w:r>
      <w:r>
        <w:rPr>
          <w:rFonts w:hint="eastAsia" w:ascii="宋体" w:hAnsi="宋体" w:cs="Arial"/>
          <w:szCs w:val="21"/>
          <w:highlight w:val="none"/>
        </w:rPr>
        <w:t>2023《质量分级及“领跑者”评价标准编制通则》</w:t>
      </w:r>
      <w:r>
        <w:rPr>
          <w:rFonts w:hint="eastAsia" w:ascii="宋体" w:hAnsi="宋体"/>
          <w:szCs w:val="21"/>
          <w:highlight w:val="none"/>
        </w:rPr>
        <w:t>的规定起草。</w:t>
      </w:r>
    </w:p>
    <w:p>
      <w:pPr>
        <w:autoSpaceDE w:val="0"/>
        <w:autoSpaceDN w:val="0"/>
        <w:adjustRightInd w:val="0"/>
        <w:spacing w:line="276" w:lineRule="auto"/>
        <w:ind w:firstLine="420" w:firstLineChars="200"/>
        <w:rPr>
          <w:rFonts w:ascii="宋体" w:hAnsi="宋体" w:eastAsia="宋体" w:cs="Times New Roman"/>
          <w:kern w:val="0"/>
          <w:highlight w:val="none"/>
        </w:rPr>
      </w:pPr>
      <w:r>
        <w:rPr>
          <w:rFonts w:ascii="宋体" w:hAnsi="宋体" w:eastAsia="宋体" w:cs="Times New Roman"/>
          <w:kern w:val="0"/>
          <w:highlight w:val="none"/>
        </w:rPr>
        <w:t>请注意本文件的某些内容可能涉及专利。本文件的发布机构不承担识别专利的责任。</w:t>
      </w:r>
    </w:p>
    <w:p>
      <w:pPr>
        <w:spacing w:line="276" w:lineRule="auto"/>
        <w:ind w:firstLine="420" w:firstLineChars="200"/>
        <w:rPr>
          <w:rFonts w:cs="宋体"/>
          <w:highlight w:val="none"/>
        </w:rPr>
      </w:pPr>
      <w:r>
        <w:rPr>
          <w:rFonts w:cs="宋体"/>
          <w:highlight w:val="none"/>
        </w:rPr>
        <w:t>本</w:t>
      </w:r>
      <w:r>
        <w:rPr>
          <w:rFonts w:hint="eastAsia" w:cs="宋体"/>
          <w:highlight w:val="none"/>
        </w:rPr>
        <w:t>文件</w:t>
      </w:r>
      <w:r>
        <w:rPr>
          <w:rFonts w:cs="宋体"/>
          <w:highlight w:val="none"/>
        </w:rPr>
        <w:t>由</w:t>
      </w:r>
      <w:r>
        <w:rPr>
          <w:rFonts w:hint="eastAsia" w:cs="宋体"/>
          <w:highlight w:val="none"/>
          <w:lang w:val="en-US" w:eastAsia="zh-CN"/>
        </w:rPr>
        <w:t>义乌市标准化研究院</w:t>
      </w:r>
      <w:r>
        <w:rPr>
          <w:rFonts w:hint="eastAsia" w:cs="宋体"/>
          <w:highlight w:val="none"/>
        </w:rPr>
        <w:t>提出。</w:t>
      </w:r>
    </w:p>
    <w:p>
      <w:pPr>
        <w:spacing w:line="276" w:lineRule="auto"/>
        <w:ind w:firstLine="420" w:firstLineChars="200"/>
        <w:rPr>
          <w:rFonts w:cs="宋体"/>
          <w:highlight w:val="none"/>
        </w:rPr>
      </w:pPr>
      <w:r>
        <w:rPr>
          <w:rFonts w:hint="eastAsia" w:cs="宋体"/>
          <w:highlight w:val="none"/>
        </w:rPr>
        <w:t>本文件由浙江省计量与标准化学会归口。</w:t>
      </w:r>
    </w:p>
    <w:p>
      <w:pPr>
        <w:spacing w:line="276" w:lineRule="auto"/>
        <w:ind w:firstLine="420" w:firstLineChars="200"/>
        <w:rPr>
          <w:rFonts w:hint="default" w:cs="宋体" w:eastAsiaTheme="minorEastAsia"/>
          <w:highlight w:val="none"/>
          <w:lang w:val="en-US" w:eastAsia="zh-CN"/>
        </w:rPr>
      </w:pPr>
      <w:r>
        <w:rPr>
          <w:rFonts w:hint="eastAsia" w:cs="宋体"/>
          <w:highlight w:val="none"/>
        </w:rPr>
        <w:t>本文件起草单位</w:t>
      </w:r>
      <w:r>
        <w:rPr>
          <w:rFonts w:cs="宋体"/>
          <w:highlight w:val="none"/>
        </w:rPr>
        <w:t>：</w:t>
      </w:r>
      <w:r>
        <w:rPr>
          <w:rFonts w:hint="eastAsia" w:cs="宋体"/>
          <w:highlight w:val="none"/>
          <w:lang w:val="en-US" w:eastAsia="zh-CN"/>
        </w:rPr>
        <w:t>浙江颜雪化妆品有限公司。</w:t>
      </w:r>
    </w:p>
    <w:p>
      <w:pPr>
        <w:spacing w:line="276" w:lineRule="auto"/>
        <w:ind w:firstLine="420" w:firstLineChars="200"/>
        <w:rPr>
          <w:rFonts w:cs="宋体"/>
          <w:highlight w:val="none"/>
        </w:rPr>
      </w:pPr>
      <w:r>
        <w:rPr>
          <w:rFonts w:hint="eastAsia" w:cs="宋体"/>
          <w:highlight w:val="none"/>
        </w:rPr>
        <w:t>本文件主要起草人：X</w:t>
      </w:r>
      <w:r>
        <w:rPr>
          <w:rFonts w:cs="宋体"/>
          <w:highlight w:val="none"/>
        </w:rPr>
        <w:t>XXX</w:t>
      </w:r>
    </w:p>
    <w:p>
      <w:pPr>
        <w:spacing w:line="276" w:lineRule="auto"/>
        <w:ind w:firstLine="420" w:firstLineChars="200"/>
        <w:rPr>
          <w:szCs w:val="21"/>
          <w:highlight w:val="none"/>
        </w:rPr>
      </w:pPr>
      <w:bookmarkStart w:id="12" w:name="_Toc65687977"/>
      <w:r>
        <w:rPr>
          <w:rFonts w:hint="eastAsia"/>
          <w:szCs w:val="21"/>
          <w:highlight w:val="none"/>
        </w:rPr>
        <w:t>本文件为首次发布。</w:t>
      </w:r>
    </w:p>
    <w:p>
      <w:pPr>
        <w:pStyle w:val="58"/>
        <w:spacing w:before="312" w:beforeLines="100" w:after="312" w:afterLines="100"/>
        <w:outlineLvl w:val="9"/>
        <w:rPr>
          <w:highlight w:val="none"/>
        </w:rPr>
        <w:sectPr>
          <w:headerReference r:id="rId3" w:type="default"/>
          <w:footerReference r:id="rId4" w:type="default"/>
          <w:pgSz w:w="11906" w:h="16838"/>
          <w:pgMar w:top="1134" w:right="1134" w:bottom="1134" w:left="1134" w:header="907" w:footer="850" w:gutter="0"/>
          <w:pgNumType w:fmt="upperRoman" w:start="1"/>
          <w:cols w:space="720" w:num="1"/>
          <w:formProt w:val="0"/>
          <w:docGrid w:type="lines" w:linePitch="312" w:charSpace="0"/>
        </w:sectPr>
      </w:pPr>
    </w:p>
    <w:p>
      <w:pPr>
        <w:pStyle w:val="58"/>
        <w:outlineLvl w:val="9"/>
        <w:rPr>
          <w:rFonts w:hint="default" w:eastAsia="黑体"/>
          <w:highlight w:val="none"/>
          <w:lang w:val="en-US" w:eastAsia="zh-CN"/>
        </w:rPr>
      </w:pPr>
      <w:r>
        <w:rPr>
          <w:highlight w:val="none"/>
        </w:rPr>
        <w:tab/>
      </w:r>
      <w:bookmarkEnd w:id="12"/>
      <w:r>
        <w:rPr>
          <w:rFonts w:hint="eastAsia"/>
          <w:highlight w:val="none"/>
        </w:rPr>
        <w:t xml:space="preserve">质量分级及“领跑者”评价要求  </w:t>
      </w:r>
      <w:r>
        <w:rPr>
          <w:rFonts w:hint="eastAsia"/>
          <w:highlight w:val="none"/>
          <w:lang w:val="en-US" w:eastAsia="zh-CN"/>
        </w:rPr>
        <w:t>化妆笔、化妆笔芯</w:t>
      </w:r>
    </w:p>
    <w:p>
      <w:pPr>
        <w:pStyle w:val="84"/>
        <w:spacing w:before="312" w:after="312"/>
      </w:pPr>
      <w:bookmarkStart w:id="13" w:name="_Toc112679851"/>
      <w:bookmarkStart w:id="14" w:name="_Toc107412111"/>
      <w:bookmarkStart w:id="15" w:name="_Toc107298439"/>
      <w:bookmarkStart w:id="16" w:name="_Toc26648465"/>
      <w:bookmarkStart w:id="17" w:name="_Toc109199004"/>
      <w:bookmarkStart w:id="18" w:name="_Toc109198981"/>
      <w:bookmarkStart w:id="19" w:name="_Toc26718930"/>
      <w:bookmarkStart w:id="20" w:name="_Toc107327237"/>
      <w:bookmarkStart w:id="21" w:name="_Toc17233333"/>
      <w:bookmarkStart w:id="22" w:name="_Toc24884218"/>
      <w:bookmarkStart w:id="23" w:name="_Toc2871"/>
      <w:bookmarkStart w:id="24" w:name="_Toc97191423"/>
      <w:bookmarkStart w:id="25" w:name="_Toc26986530"/>
      <w:bookmarkStart w:id="26" w:name="_Toc17233325"/>
      <w:bookmarkStart w:id="27" w:name="_Toc106980384"/>
      <w:bookmarkStart w:id="28" w:name="_Toc16323"/>
      <w:bookmarkStart w:id="29" w:name="_Toc24884211"/>
      <w:bookmarkStart w:id="30" w:name="_Toc26986771"/>
      <w:bookmarkStart w:id="31" w:name="_Toc385601798"/>
      <w:bookmarkStart w:id="32" w:name="_Toc415043895"/>
      <w:bookmarkStart w:id="33" w:name="_Toc385602847"/>
      <w:bookmarkStart w:id="34" w:name="_Toc23920"/>
      <w:bookmarkStart w:id="35" w:name="_Toc415043549"/>
      <w:bookmarkStart w:id="36" w:name="_Toc415043488"/>
      <w:bookmarkStart w:id="37" w:name="_Toc65687978"/>
      <w:r>
        <w:rPr>
          <w:rFonts w:hint="eastAsia"/>
        </w:rPr>
        <w:t>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bookmarkEnd w:id="31"/>
    <w:bookmarkEnd w:id="32"/>
    <w:bookmarkEnd w:id="33"/>
    <w:bookmarkEnd w:id="34"/>
    <w:bookmarkEnd w:id="35"/>
    <w:bookmarkEnd w:id="36"/>
    <w:bookmarkEnd w:id="37"/>
    <w:p>
      <w:pPr>
        <w:pStyle w:val="4"/>
        <w:spacing w:line="276" w:lineRule="auto"/>
        <w:rPr>
          <w:highlight w:val="none"/>
        </w:rPr>
      </w:pPr>
      <w:r>
        <w:rPr>
          <w:rFonts w:hint="eastAsia"/>
          <w:highlight w:val="none"/>
        </w:rPr>
        <w:t>本文件规定了</w:t>
      </w:r>
      <w:r>
        <w:rPr>
          <w:rFonts w:hint="eastAsia" w:asciiTheme="minorHAnsi"/>
          <w:highlight w:val="none"/>
          <w:lang w:val="en-US" w:eastAsia="zh-CN"/>
        </w:rPr>
        <w:t>化妆笔、化妆笔芯</w:t>
      </w:r>
      <w:r>
        <w:rPr>
          <w:rFonts w:hint="eastAsia"/>
          <w:highlight w:val="none"/>
        </w:rPr>
        <w:t>质量</w:t>
      </w:r>
      <w:r>
        <w:rPr>
          <w:rFonts w:hint="eastAsia"/>
          <w:highlight w:val="none"/>
          <w:lang w:val="en-US" w:eastAsia="zh-CN"/>
        </w:rPr>
        <w:t>分级</w:t>
      </w:r>
      <w:r>
        <w:rPr>
          <w:rFonts w:hint="eastAsia"/>
          <w:highlight w:val="none"/>
        </w:rPr>
        <w:t>及企业标准水平的</w:t>
      </w:r>
      <w:r>
        <w:rPr>
          <w:rFonts w:hint="eastAsia" w:hAnsi="宋体" w:eastAsia="宋体" w:cs="Arial"/>
          <w:szCs w:val="21"/>
          <w:highlight w:val="none"/>
        </w:rPr>
        <w:t>基本要求、评价指标及要求、</w:t>
      </w:r>
      <w:r>
        <w:rPr>
          <w:rFonts w:ascii="Times New Roman"/>
          <w:szCs w:val="21"/>
          <w:highlight w:val="none"/>
        </w:rPr>
        <w:t>评价</w:t>
      </w:r>
      <w:r>
        <w:rPr>
          <w:rFonts w:hint="eastAsia" w:ascii="Times New Roman"/>
          <w:szCs w:val="21"/>
          <w:highlight w:val="none"/>
        </w:rPr>
        <w:t>方法及等级划分</w:t>
      </w:r>
      <w:r>
        <w:rPr>
          <w:rFonts w:hint="eastAsia"/>
          <w:highlight w:val="none"/>
        </w:rPr>
        <w:t>。</w:t>
      </w:r>
    </w:p>
    <w:p>
      <w:pPr>
        <w:pStyle w:val="4"/>
        <w:spacing w:line="276" w:lineRule="auto"/>
        <w:rPr>
          <w:rFonts w:eastAsia="宋体"/>
          <w:highlight w:val="none"/>
        </w:rPr>
      </w:pPr>
      <w:r>
        <w:rPr>
          <w:rFonts w:hint="eastAsia" w:hAnsi="宋体"/>
          <w:highlight w:val="none"/>
        </w:rPr>
        <w:t>本</w:t>
      </w:r>
      <w:r>
        <w:rPr>
          <w:rFonts w:hint="eastAsia"/>
          <w:highlight w:val="none"/>
        </w:rPr>
        <w:t>文件适用于</w:t>
      </w:r>
      <w:bookmarkStart w:id="38" w:name="_Hlk42777362"/>
      <w:r>
        <w:rPr>
          <w:rFonts w:hint="eastAsia"/>
          <w:highlight w:val="none"/>
          <w:lang w:val="en-US" w:eastAsia="zh-CN"/>
        </w:rPr>
        <w:t>化妆笔、化妆笔芯</w:t>
      </w:r>
      <w:r>
        <w:rPr>
          <w:rFonts w:hint="eastAsia"/>
          <w:highlight w:val="none"/>
        </w:rPr>
        <w:t>质量</w:t>
      </w:r>
      <w:r>
        <w:rPr>
          <w:rFonts w:hint="eastAsia"/>
          <w:highlight w:val="none"/>
          <w:lang w:val="en-US" w:eastAsia="zh-CN"/>
        </w:rPr>
        <w:t>分级</w:t>
      </w:r>
      <w:r>
        <w:rPr>
          <w:rFonts w:hint="eastAsia"/>
          <w:highlight w:val="none"/>
        </w:rPr>
        <w:t>及企业标准水平评价</w:t>
      </w:r>
      <w:bookmarkEnd w:id="38"/>
      <w:r>
        <w:rPr>
          <w:rFonts w:hint="eastAsia"/>
          <w:highlight w:val="none"/>
        </w:rPr>
        <w:t>。相关机构开展质量分级和企业标准水平</w:t>
      </w:r>
      <w:r>
        <w:rPr>
          <w:rFonts w:hint="eastAsia"/>
          <w:highlight w:val="none"/>
          <w:lang w:val="en-US" w:eastAsia="zh-CN"/>
        </w:rPr>
        <w:t>评价</w:t>
      </w:r>
      <w:r>
        <w:rPr>
          <w:rFonts w:hint="eastAsia"/>
          <w:highlight w:val="none"/>
        </w:rPr>
        <w:t>、“领跑者”</w:t>
      </w:r>
      <w:r>
        <w:rPr>
          <w:rFonts w:hint="eastAsia"/>
          <w:highlight w:val="none"/>
          <w:lang w:val="en-US" w:eastAsia="zh-CN"/>
        </w:rPr>
        <w:t>产品</w:t>
      </w:r>
      <w:r>
        <w:rPr>
          <w:rFonts w:hint="eastAsia"/>
          <w:highlight w:val="none"/>
        </w:rPr>
        <w:t>评价以及相关认证</w:t>
      </w:r>
      <w:r>
        <w:rPr>
          <w:rFonts w:hint="eastAsia"/>
          <w:highlight w:val="none"/>
          <w:lang w:val="en-US" w:eastAsia="zh-CN"/>
        </w:rPr>
        <w:t>或评价</w:t>
      </w:r>
      <w:r>
        <w:rPr>
          <w:rFonts w:hint="eastAsia"/>
          <w:highlight w:val="none"/>
        </w:rPr>
        <w:t>时可参照使用，相关企业在制定企业标准时也可参照本文件。</w:t>
      </w:r>
    </w:p>
    <w:p>
      <w:pPr>
        <w:pStyle w:val="84"/>
        <w:spacing w:before="312" w:after="312"/>
      </w:pPr>
      <w:bookmarkStart w:id="39" w:name="_Toc109198982"/>
      <w:bookmarkStart w:id="40" w:name="_Toc107412112"/>
      <w:bookmarkStart w:id="41" w:name="_Toc107298440"/>
      <w:bookmarkStart w:id="42" w:name="_Toc28435"/>
      <w:bookmarkStart w:id="43" w:name="_Toc26718931"/>
      <w:bookmarkStart w:id="44" w:name="_Toc26986772"/>
      <w:bookmarkStart w:id="45" w:name="_Toc109199005"/>
      <w:bookmarkStart w:id="46" w:name="_Toc107327238"/>
      <w:bookmarkStart w:id="47" w:name="_Toc97191424"/>
      <w:bookmarkStart w:id="48" w:name="_Toc106980385"/>
      <w:bookmarkStart w:id="49" w:name="_Toc112679852"/>
      <w:bookmarkStart w:id="50" w:name="_Toc26986531"/>
      <w:bookmarkStart w:id="51" w:name="_Toc2011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pPr>
        <w:spacing w:line="276" w:lineRule="auto"/>
        <w:ind w:firstLine="420" w:firstLineChars="200"/>
        <w:rPr>
          <w:rFonts w:hint="eastAsia"/>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kern w:val="0"/>
          <w:szCs w:val="20"/>
          <w:highlight w:val="none"/>
          <w:lang w:val="en-US"/>
        </w:rPr>
      </w:pPr>
      <w:r>
        <w:rPr>
          <w:rFonts w:hint="eastAsia" w:ascii="宋体" w:hAnsi="宋体" w:eastAsia="宋体" w:cs="宋体"/>
          <w:color w:val="auto"/>
          <w:kern w:val="0"/>
          <w:szCs w:val="20"/>
          <w:highlight w:val="none"/>
          <w:lang w:val="en-US" w:eastAsia="zh-CN"/>
        </w:rPr>
        <w:t>GB/T 5009.227—2023  食品安全国家标准  食品中过氧化值的测定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rPr>
        <w:t>GB/T 19001  质量管理体系  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GB/T 23331  能源管理体系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rPr>
        <w:t>GB/T 24001  环境管理体系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GB/T 27575—2011  化妆笔、化妆笔芯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sz w:val="21"/>
          <w:szCs w:val="21"/>
          <w:highlight w:val="none"/>
          <w:lang w:val="en-US" w:eastAsia="zh-CN"/>
        </w:rPr>
        <w:t xml:space="preserve">GB/T 35828  </w:t>
      </w:r>
      <w:r>
        <w:rPr>
          <w:rFonts w:hint="eastAsia" w:ascii="宋体" w:hAnsi="宋体" w:eastAsia="宋体" w:cs="宋体"/>
          <w:color w:val="auto"/>
          <w:kern w:val="0"/>
          <w:szCs w:val="20"/>
          <w:highlight w:val="none"/>
        </w:rPr>
        <w:t xml:space="preserve">化妆品中铬、砷、镉、锑、铅的测定 </w:t>
      </w:r>
      <w:r>
        <w:rPr>
          <w:rFonts w:hint="eastAsia" w:ascii="宋体" w:hAnsi="宋体" w:eastAsia="宋体" w:cs="宋体"/>
          <w:color w:val="auto"/>
          <w:kern w:val="0"/>
          <w:szCs w:val="20"/>
          <w:highlight w:val="none"/>
          <w:lang w:val="en-US" w:eastAsia="zh-CN"/>
        </w:rPr>
        <w:t xml:space="preserve"> </w:t>
      </w:r>
      <w:r>
        <w:rPr>
          <w:rFonts w:hint="eastAsia" w:ascii="宋体" w:hAnsi="宋体" w:eastAsia="宋体" w:cs="宋体"/>
          <w:color w:val="auto"/>
          <w:kern w:val="0"/>
          <w:szCs w:val="20"/>
          <w:highlight w:val="none"/>
        </w:rPr>
        <w:t>电感耦合等离子体质谱法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GB/T 35889—2018  眼线液（膏）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rPr>
        <w:t>GB/T 45001  职业健康安全管理体系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JJF 1070—2023  定量包装商品净含量计量检验规则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sz w:val="21"/>
          <w:szCs w:val="21"/>
          <w:highlight w:val="none"/>
          <w:lang w:val="en-US" w:eastAsia="zh-CN"/>
        </w:rPr>
        <w:t>QB/T 1976—2004</w:t>
      </w:r>
      <w:r>
        <w:rPr>
          <w:rFonts w:hint="eastAsia" w:ascii="宋体" w:hAnsi="宋体" w:eastAsia="宋体" w:cs="宋体"/>
          <w:highlight w:val="none"/>
        </w:rPr>
        <w:t xml:space="preserve">  </w:t>
      </w:r>
      <w:r>
        <w:rPr>
          <w:rFonts w:hint="eastAsia" w:ascii="宋体" w:hAnsi="宋体" w:eastAsia="宋体" w:cs="宋体"/>
          <w:highlight w:val="none"/>
          <w:lang w:val="en-US" w:eastAsia="zh-CN"/>
        </w:rPr>
        <w:t>化妆粉块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T/CSTE 0421/T/CAS 703  质量分级及“领跑者”标识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0"/>
          <w:highlight w:val="none"/>
          <w:lang w:eastAsia="zh-CN"/>
        </w:rPr>
      </w:pPr>
      <w:r>
        <w:rPr>
          <w:rFonts w:hint="eastAsia" w:ascii="宋体" w:hAnsi="宋体" w:eastAsia="宋体" w:cs="宋体"/>
          <w:color w:val="auto"/>
          <w:kern w:val="0"/>
          <w:szCs w:val="20"/>
          <w:highlight w:val="none"/>
        </w:rPr>
        <w:t>化妆品安全技术规范</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kern w:val="0"/>
          <w:szCs w:val="20"/>
          <w:highlight w:val="none"/>
          <w:lang w:val="en-US" w:eastAsia="zh-CN"/>
        </w:rPr>
        <w:t>2015年版</w:t>
      </w:r>
      <w:r>
        <w:rPr>
          <w:rFonts w:hint="eastAsia" w:ascii="宋体" w:hAnsi="宋体" w:eastAsia="宋体" w:cs="宋体"/>
          <w:color w:val="auto"/>
          <w:kern w:val="0"/>
          <w:szCs w:val="20"/>
          <w:highlight w:val="none"/>
          <w:lang w:eastAsia="zh-CN"/>
        </w:rPr>
        <w:t>）</w:t>
      </w:r>
    </w:p>
    <w:p>
      <w:pPr>
        <w:pStyle w:val="84"/>
        <w:spacing w:before="312" w:after="312"/>
        <w:rPr>
          <w:highlight w:val="none"/>
        </w:rPr>
      </w:pPr>
      <w:bookmarkStart w:id="52" w:name="_Toc385601800"/>
      <w:bookmarkEnd w:id="52"/>
      <w:bookmarkStart w:id="53" w:name="_Toc385602849"/>
      <w:bookmarkStart w:id="54" w:name="_Toc19706"/>
      <w:bookmarkStart w:id="55" w:name="_Toc1815"/>
      <w:bookmarkStart w:id="56" w:name="_Toc415043897"/>
      <w:bookmarkStart w:id="57" w:name="_Toc415043490"/>
      <w:bookmarkStart w:id="58" w:name="_Toc65687980"/>
      <w:bookmarkStart w:id="59" w:name="_Toc289"/>
      <w:bookmarkStart w:id="60" w:name="_Toc415043551"/>
      <w:r>
        <w:rPr>
          <w:rFonts w:hint="eastAsia"/>
          <w:szCs w:val="21"/>
        </w:rPr>
        <w:t>术语和定义</w:t>
      </w:r>
      <w:bookmarkEnd w:id="53"/>
      <w:bookmarkEnd w:id="54"/>
      <w:bookmarkEnd w:id="55"/>
      <w:bookmarkEnd w:id="56"/>
      <w:bookmarkEnd w:id="57"/>
      <w:bookmarkEnd w:id="58"/>
      <w:bookmarkEnd w:id="59"/>
      <w:bookmarkEnd w:id="60"/>
      <w:bookmarkStart w:id="61" w:name="_Toc415043491"/>
      <w:bookmarkEnd w:id="61"/>
      <w:bookmarkStart w:id="62" w:name="_Toc415043898"/>
      <w:bookmarkEnd w:id="62"/>
      <w:bookmarkStart w:id="63" w:name="_Toc375076815"/>
      <w:bookmarkEnd w:id="63"/>
      <w:bookmarkStart w:id="64" w:name="_Toc415043492"/>
      <w:bookmarkEnd w:id="64"/>
      <w:bookmarkStart w:id="65" w:name="_Toc415043552"/>
      <w:bookmarkEnd w:id="65"/>
      <w:bookmarkStart w:id="66" w:name="_Toc415043553"/>
      <w:bookmarkEnd w:id="66"/>
      <w:bookmarkStart w:id="67" w:name="_Toc415043899"/>
      <w:bookmarkEnd w:id="67"/>
      <w:bookmarkStart w:id="68" w:name="_Toc65687981"/>
      <w:bookmarkStart w:id="69" w:name="_Toc385602850"/>
      <w:bookmarkStart w:id="70" w:name="_Toc25668"/>
      <w:bookmarkStart w:id="71" w:name="_Toc415043496"/>
      <w:bookmarkStart w:id="72" w:name="_Toc415043903"/>
      <w:bookmarkStart w:id="73" w:name="_Toc415043557"/>
      <w:bookmarkStart w:id="74" w:name="_Toc528835813"/>
    </w:p>
    <w:p>
      <w:pPr>
        <w:pStyle w:val="84"/>
        <w:numPr>
          <w:ilvl w:val="1"/>
          <w:numId w:val="0"/>
        </w:numPr>
        <w:spacing w:before="312" w:after="312"/>
        <w:ind w:leftChars="0" w:firstLine="420" w:firstLineChars="200"/>
        <w:rPr>
          <w:rFonts w:hint="eastAsia" w:ascii="宋体" w:hAnsi="宋体" w:eastAsia="宋体" w:cs="宋体"/>
          <w:highlight w:val="none"/>
        </w:rPr>
      </w:pPr>
      <w:r>
        <w:rPr>
          <w:rFonts w:hint="eastAsia" w:ascii="宋体" w:hAnsi="宋体" w:eastAsia="宋体" w:cs="宋体"/>
          <w:highlight w:val="none"/>
        </w:rPr>
        <w:t>本文件没有</w:t>
      </w:r>
      <w:r>
        <w:rPr>
          <w:rFonts w:hint="eastAsia" w:ascii="宋体" w:hAnsi="宋体" w:eastAsia="宋体" w:cs="宋体"/>
          <w:highlight w:val="none"/>
          <w:lang w:val="en-US" w:eastAsia="zh-CN"/>
        </w:rPr>
        <w:t>需要界定的</w:t>
      </w:r>
      <w:r>
        <w:rPr>
          <w:rFonts w:hint="eastAsia" w:ascii="宋体" w:hAnsi="宋体" w:eastAsia="宋体" w:cs="宋体"/>
          <w:highlight w:val="none"/>
        </w:rPr>
        <w:t>术语和定义。</w:t>
      </w:r>
      <w:bookmarkEnd w:id="68"/>
    </w:p>
    <w:p>
      <w:pPr>
        <w:pStyle w:val="84"/>
        <w:spacing w:before="312" w:after="312"/>
        <w:rPr>
          <w:rFonts w:ascii="黑体" w:hAnsi="黑体" w:eastAsia="黑体"/>
          <w:b w:val="0"/>
          <w:sz w:val="24"/>
          <w:szCs w:val="24"/>
          <w:highlight w:val="none"/>
        </w:rPr>
      </w:pPr>
      <w:r>
        <w:rPr>
          <w:rFonts w:hint="eastAsia" w:ascii="黑体" w:hAnsi="Times New Roman" w:eastAsia="黑体" w:cs="Times New Roman"/>
          <w:b w:val="0"/>
          <w:bCs w:val="0"/>
          <w:kern w:val="0"/>
          <w:sz w:val="21"/>
          <w:szCs w:val="21"/>
          <w:lang w:val="en-US" w:eastAsia="zh-CN" w:bidi="ar-SA"/>
        </w:rPr>
        <w:t>基本要求</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pPr>
      <w:r>
        <w:rPr>
          <w:rFonts w:hint="eastAsia" w:ascii="宋体" w:hAnsi="宋体" w:eastAsia="宋体" w:cs="宋体"/>
        </w:rPr>
        <w:t>近三年，企业无较大及以上质量、环境、安全等事故</w:t>
      </w:r>
      <w:r>
        <w:rPr>
          <w:rFonts w:hint="eastAsia" w:eastAsia="宋体"/>
          <w:lang w:eastAsia="zh-CN"/>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sz w:val="21"/>
          <w:szCs w:val="21"/>
          <w:highlight w:val="none"/>
          <w:lang w:eastAsia="zh-CN"/>
        </w:rPr>
      </w:pPr>
      <w:bookmarkStart w:id="75" w:name="_Toc65687984"/>
      <w:bookmarkStart w:id="76" w:name="_Toc401669933"/>
      <w:bookmarkStart w:id="77" w:name="_Toc35259974"/>
      <w:bookmarkStart w:id="78" w:name="_Toc33563757"/>
      <w:r>
        <w:rPr>
          <w:rFonts w:hint="eastAsia" w:ascii="宋体" w:hAnsi="宋体" w:eastAsia="宋体" w:cs="宋体"/>
          <w:sz w:val="21"/>
          <w:szCs w:val="21"/>
          <w:highlight w:val="none"/>
          <w:lang w:eastAsia="zh-CN"/>
        </w:rPr>
        <w:t>企业未列入国家信用信息严重失信主体相关名录。</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highlight w:val="none"/>
          <w:lang w:eastAsia="zh-CN"/>
        </w:rPr>
      </w:pPr>
      <w:r>
        <w:rPr>
          <w:rFonts w:hint="eastAsia" w:ascii="宋体" w:hAnsi="宋体" w:eastAsia="宋体" w:cs="宋体"/>
          <w:bCs/>
          <w:highlight w:val="none"/>
          <w:lang w:eastAsia="zh-CN"/>
        </w:rPr>
        <w:t>企业可根据</w:t>
      </w:r>
      <w:r>
        <w:rPr>
          <w:rFonts w:hint="eastAsia" w:ascii="宋体" w:hAnsi="宋体" w:eastAsia="宋体" w:cs="宋体"/>
          <w:bCs/>
          <w:sz w:val="21"/>
          <w:szCs w:val="21"/>
          <w:highlight w:val="none"/>
          <w:lang w:eastAsia="zh-CN"/>
        </w:rPr>
        <w:t>GB/T 19001、GB/T 23331、GB/T 24001、GB/T 45001</w:t>
      </w:r>
      <w:r>
        <w:rPr>
          <w:rFonts w:hint="eastAsia" w:ascii="宋体" w:hAnsi="宋体" w:eastAsia="宋体" w:cs="宋体"/>
          <w:bCs/>
          <w:highlight w:val="none"/>
          <w:lang w:eastAsia="zh-CN"/>
        </w:rPr>
        <w:t>建立并运行相应质量、能源、环境和职业健康安全等管理体系，鼓励企业根据自身运营情况建立其他高水平的相关管理体系。</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产品应为量产产品，</w:t>
      </w:r>
      <w:r>
        <w:rPr>
          <w:rFonts w:hint="eastAsia" w:ascii="宋体" w:hAnsi="宋体" w:eastAsia="宋体" w:cs="宋体"/>
          <w:sz w:val="21"/>
          <w:szCs w:val="21"/>
          <w:highlight w:val="none"/>
          <w:lang w:val="en-US" w:eastAsia="zh-CN"/>
        </w:rPr>
        <w:t>化妆笔、化妆笔芯质量分级及领跑者标准</w:t>
      </w:r>
      <w:r>
        <w:rPr>
          <w:rFonts w:hint="eastAsia" w:ascii="宋体" w:hAnsi="宋体" w:eastAsia="宋体" w:cs="宋体"/>
          <w:sz w:val="21"/>
          <w:szCs w:val="21"/>
          <w:highlight w:val="none"/>
          <w:lang w:eastAsia="zh-CN"/>
        </w:rPr>
        <w:t>应满足国家强制性标准、《</w:t>
      </w:r>
      <w:r>
        <w:rPr>
          <w:rFonts w:hint="eastAsia" w:ascii="宋体" w:hAnsi="宋体" w:eastAsia="宋体" w:cs="宋体"/>
          <w:sz w:val="21"/>
          <w:szCs w:val="21"/>
          <w:highlight w:val="none"/>
          <w:lang w:val="en-US" w:eastAsia="zh-CN"/>
        </w:rPr>
        <w:t>化妆品安全技术规范</w:t>
      </w:r>
      <w:r>
        <w:rPr>
          <w:rFonts w:hint="eastAsia" w:ascii="宋体" w:hAnsi="宋体" w:eastAsia="宋体" w:cs="宋体"/>
          <w:sz w:val="21"/>
          <w:szCs w:val="21"/>
          <w:highlight w:val="none"/>
          <w:lang w:eastAsia="zh-CN"/>
        </w:rPr>
        <w:t>》</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kern w:val="0"/>
          <w:szCs w:val="20"/>
          <w:highlight w:val="none"/>
          <w:lang w:val="en-US" w:eastAsia="zh-CN"/>
        </w:rPr>
        <w:t>2015年版</w:t>
      </w:r>
      <w:r>
        <w:rPr>
          <w:rFonts w:hint="eastAsia" w:ascii="宋体" w:hAnsi="宋体" w:eastAsia="宋体" w:cs="宋体"/>
          <w:color w:val="auto"/>
          <w:kern w:val="0"/>
          <w:szCs w:val="20"/>
          <w:highlight w:val="none"/>
          <w:lang w:eastAsia="zh-CN"/>
        </w:rPr>
        <w:t>）</w:t>
      </w:r>
      <w:r>
        <w:rPr>
          <w:rFonts w:hint="eastAsia" w:ascii="宋体" w:hAnsi="宋体" w:eastAsia="宋体" w:cs="宋体"/>
          <w:sz w:val="21"/>
          <w:szCs w:val="21"/>
          <w:highlight w:val="none"/>
          <w:lang w:val="en-US" w:eastAsia="zh-CN"/>
        </w:rPr>
        <w:t>和GB/T 27575</w:t>
      </w:r>
      <w:r>
        <w:rPr>
          <w:rFonts w:hint="eastAsia" w:ascii="宋体" w:hAnsi="宋体" w:eastAsia="宋体" w:cs="宋体"/>
          <w:sz w:val="21"/>
          <w:szCs w:val="21"/>
          <w:highlight w:val="none"/>
          <w:lang w:eastAsia="zh-CN"/>
        </w:rPr>
        <w:t>规定的要求。</w:t>
      </w:r>
    </w:p>
    <w:p>
      <w:pPr>
        <w:pStyle w:val="84"/>
        <w:spacing w:before="312" w:after="312"/>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评价指标及要求</w:t>
      </w:r>
    </w:p>
    <w:p>
      <w:pPr>
        <w:pStyle w:val="86"/>
        <w:spacing w:before="156" w:after="156"/>
        <w:rPr>
          <w:rFonts w:hint="default"/>
          <w:lang w:val="en-US" w:eastAsia="zh-CN"/>
        </w:rPr>
      </w:pPr>
      <w:r>
        <w:rPr>
          <w:rFonts w:hint="eastAsia"/>
          <w:lang w:val="en-US" w:eastAsia="zh-CN"/>
        </w:rPr>
        <w:t>评价指标分类</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化妆</w:t>
      </w:r>
      <w:r>
        <w:rPr>
          <w:rFonts w:hint="eastAsia" w:ascii="宋体" w:hAnsi="宋体" w:eastAsia="宋体" w:cs="宋体"/>
          <w:lang w:val="en-US" w:eastAsia="zh-CN"/>
        </w:rPr>
        <w:t>笔、化妆笔芯</w:t>
      </w:r>
      <w:r>
        <w:rPr>
          <w:rFonts w:hint="eastAsia" w:ascii="宋体" w:hAnsi="宋体" w:eastAsia="宋体" w:cs="宋体"/>
        </w:rPr>
        <w:t>评价指标体系包括基础指标、核心指标和创新指标。</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基础指标包括</w:t>
      </w:r>
      <w:r>
        <w:rPr>
          <w:rFonts w:hint="eastAsia" w:ascii="宋体" w:hAnsi="宋体" w:eastAsia="宋体" w:cs="宋体"/>
          <w:highlight w:val="none"/>
          <w:lang w:val="en-US" w:eastAsia="zh-CN"/>
        </w:rPr>
        <w:t>原料要求、笔芯外观、笔杆外观、色泽、气味、使用性能、耐热大肠菌群、金黄色葡萄球菌、铜绿假单胞菌、石棉和净含量偏差</w:t>
      </w:r>
      <w:r>
        <w:rPr>
          <w:rFonts w:hint="eastAsia" w:ascii="宋体" w:hAnsi="宋体" w:eastAsia="宋体" w:cs="宋体"/>
          <w:highlight w:val="none"/>
        </w:rPr>
        <w:t>。</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hAnsi="宋体" w:eastAsia="宋体"/>
          <w:kern w:val="2"/>
          <w:szCs w:val="24"/>
          <w:highlight w:val="none"/>
        </w:rPr>
      </w:pPr>
      <w:r>
        <w:rPr>
          <w:rFonts w:hint="eastAsia" w:ascii="Times New Roman" w:hAnsi="宋体" w:eastAsia="宋体"/>
          <w:kern w:val="2"/>
          <w:szCs w:val="24"/>
          <w:highlight w:val="none"/>
        </w:rPr>
        <w:t>核心指标包括</w:t>
      </w:r>
      <w:r>
        <w:rPr>
          <w:rFonts w:hint="eastAsia" w:ascii="Times New Roman" w:hAnsi="宋体" w:eastAsia="宋体"/>
          <w:kern w:val="2"/>
          <w:szCs w:val="24"/>
          <w:highlight w:val="none"/>
          <w:lang w:val="en-US" w:eastAsia="zh-CN"/>
        </w:rPr>
        <w:t>耐热、耐寒、</w:t>
      </w:r>
      <w:r>
        <w:rPr>
          <w:rFonts w:hint="eastAsia" w:ascii="宋体" w:hAnsi="宋体" w:eastAsia="宋体" w:cs="宋体"/>
          <w:highlight w:val="none"/>
          <w:lang w:val="en-US" w:eastAsia="zh-CN"/>
        </w:rPr>
        <w:t>铅、汞、砷、镉、二噁烷、菌落总数、霉菌和酵母菌总数</w:t>
      </w:r>
      <w:r>
        <w:rPr>
          <w:rFonts w:hint="eastAsia" w:ascii="Times New Roman" w:hAnsi="宋体" w:eastAsia="宋体"/>
          <w:kern w:val="2"/>
          <w:szCs w:val="24"/>
          <w:highlight w:val="none"/>
          <w:lang w:val="en-US" w:eastAsia="zh-CN"/>
        </w:rPr>
        <w:t>；</w:t>
      </w:r>
      <w:r>
        <w:rPr>
          <w:rFonts w:hint="eastAsia" w:ascii="Times New Roman" w:hAnsi="宋体" w:eastAsia="宋体"/>
          <w:kern w:val="2"/>
          <w:szCs w:val="24"/>
          <w:highlight w:val="none"/>
        </w:rPr>
        <w:t>核心指标分为三个等级，包括</w:t>
      </w:r>
      <w:r>
        <w:rPr>
          <w:rFonts w:hint="eastAsia" w:ascii="Times New Roman" w:hAnsi="宋体" w:eastAsia="宋体"/>
          <w:kern w:val="2"/>
          <w:szCs w:val="24"/>
          <w:highlight w:val="none"/>
          <w:lang w:val="en-US" w:eastAsia="zh-CN"/>
        </w:rPr>
        <w:t>先进</w:t>
      </w:r>
      <w:r>
        <w:rPr>
          <w:rFonts w:hint="eastAsia" w:ascii="Times New Roman" w:hAnsi="宋体" w:eastAsia="宋体"/>
          <w:kern w:val="2"/>
          <w:szCs w:val="24"/>
          <w:highlight w:val="none"/>
          <w:lang w:eastAsia="zh-CN"/>
        </w:rPr>
        <w:t>水平</w:t>
      </w:r>
      <w:r>
        <w:rPr>
          <w:rFonts w:hint="eastAsia" w:ascii="Times New Roman" w:hAnsi="宋体" w:eastAsia="宋体"/>
          <w:kern w:val="2"/>
          <w:szCs w:val="24"/>
          <w:highlight w:val="none"/>
        </w:rPr>
        <w:t>，相当于企业标准排行榜中5星级水平；</w:t>
      </w:r>
      <w:r>
        <w:rPr>
          <w:rFonts w:hint="eastAsia" w:ascii="Times New Roman" w:hAnsi="宋体" w:eastAsia="宋体"/>
          <w:kern w:val="2"/>
          <w:szCs w:val="24"/>
          <w:highlight w:val="none"/>
          <w:lang w:val="en-US" w:eastAsia="zh-CN"/>
        </w:rPr>
        <w:t>平均</w:t>
      </w:r>
      <w:r>
        <w:rPr>
          <w:rFonts w:hint="eastAsia" w:ascii="Times New Roman" w:hAnsi="宋体" w:eastAsia="宋体"/>
          <w:kern w:val="2"/>
          <w:szCs w:val="24"/>
          <w:highlight w:val="none"/>
          <w:lang w:eastAsia="zh-CN"/>
        </w:rPr>
        <w:t>水平</w:t>
      </w:r>
      <w:r>
        <w:rPr>
          <w:rFonts w:hint="eastAsia" w:ascii="Times New Roman" w:hAnsi="宋体" w:eastAsia="宋体"/>
          <w:kern w:val="2"/>
          <w:szCs w:val="24"/>
          <w:highlight w:val="none"/>
        </w:rPr>
        <w:t>，相当于企业标准排行榜中4星级水平；</w:t>
      </w:r>
      <w:r>
        <w:rPr>
          <w:rFonts w:hint="eastAsia" w:ascii="Times New Roman" w:hAnsi="宋体" w:eastAsia="宋体"/>
          <w:kern w:val="2"/>
          <w:szCs w:val="24"/>
          <w:highlight w:val="none"/>
          <w:lang w:val="en-US" w:eastAsia="zh-CN"/>
        </w:rPr>
        <w:t>基准</w:t>
      </w:r>
      <w:r>
        <w:rPr>
          <w:rFonts w:hint="eastAsia" w:ascii="Times New Roman" w:hAnsi="宋体" w:eastAsia="宋体"/>
          <w:kern w:val="2"/>
          <w:szCs w:val="24"/>
          <w:highlight w:val="none"/>
          <w:lang w:eastAsia="zh-CN"/>
        </w:rPr>
        <w:t>水平</w:t>
      </w:r>
      <w:r>
        <w:rPr>
          <w:rFonts w:hint="eastAsia" w:ascii="Times New Roman" w:hAnsi="宋体" w:eastAsia="宋体"/>
          <w:kern w:val="2"/>
          <w:szCs w:val="24"/>
          <w:highlight w:val="none"/>
        </w:rPr>
        <w:t>，相当于企业标准排行榜中3星级水平。</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hAnsi="宋体" w:eastAsia="宋体"/>
          <w:kern w:val="2"/>
          <w:szCs w:val="24"/>
          <w:highlight w:val="none"/>
        </w:rPr>
      </w:pPr>
      <w:r>
        <w:rPr>
          <w:rFonts w:hint="eastAsia" w:ascii="Times New Roman" w:hAnsi="宋体" w:eastAsia="宋体"/>
          <w:kern w:val="2"/>
          <w:szCs w:val="24"/>
          <w:highlight w:val="none"/>
        </w:rPr>
        <w:t>创新指标包括</w:t>
      </w:r>
      <w:r>
        <w:rPr>
          <w:rFonts w:hint="eastAsia" w:ascii="Times New Roman" w:hAnsi="宋体" w:eastAsia="宋体"/>
          <w:kern w:val="2"/>
          <w:szCs w:val="24"/>
          <w:highlight w:val="none"/>
          <w:lang w:val="en-US" w:eastAsia="zh-CN"/>
        </w:rPr>
        <w:t>水平跌落、防水性能、</w:t>
      </w:r>
      <w:r>
        <w:rPr>
          <w:rFonts w:hint="eastAsia" w:ascii="Times New Roman" w:eastAsia="宋体"/>
          <w:highlight w:val="none"/>
          <w:lang w:val="en-US" w:eastAsia="zh-CN"/>
        </w:rPr>
        <w:t>过氧化值、多次皮肤刺激性试验、急性眼刺激性试验和</w:t>
      </w:r>
      <w:r>
        <w:rPr>
          <w:rFonts w:hint="eastAsia" w:ascii="Times New Roman" w:hAnsi="宋体" w:eastAsia="宋体"/>
          <w:kern w:val="2"/>
          <w:szCs w:val="24"/>
          <w:highlight w:val="none"/>
          <w:lang w:val="en-US" w:eastAsia="zh-CN"/>
        </w:rPr>
        <w:t>锑</w:t>
      </w:r>
      <w:r>
        <w:rPr>
          <w:rFonts w:hint="eastAsia" w:ascii="Times New Roman" w:hAnsi="宋体" w:eastAsia="宋体"/>
          <w:kern w:val="2"/>
          <w:szCs w:val="24"/>
          <w:highlight w:val="none"/>
        </w:rPr>
        <w:t>，</w:t>
      </w:r>
      <w:r>
        <w:rPr>
          <w:rFonts w:hint="eastAsia" w:ascii="Times New Roman" w:hAnsi="宋体" w:eastAsia="宋体"/>
          <w:kern w:val="2"/>
          <w:szCs w:val="24"/>
          <w:highlight w:val="none"/>
          <w:lang w:val="en-US" w:eastAsia="zh-CN"/>
        </w:rPr>
        <w:t>不划分等级，相当于企业标准排行中4星级水平。鼓励根据条件成熟情况适时增加与产品性能和消费者关注的相关创新性指标。</w:t>
      </w:r>
    </w:p>
    <w:p>
      <w:pPr>
        <w:pStyle w:val="86"/>
        <w:spacing w:before="156" w:after="156"/>
        <w:rPr>
          <w:rFonts w:eastAsia="黑体"/>
          <w:highlight w:val="none"/>
        </w:rPr>
      </w:pPr>
      <w:r>
        <w:rPr>
          <w:rFonts w:hint="eastAsia" w:ascii="黑体" w:hAnsi="黑体" w:eastAsia="黑体" w:cs="Times New Roman"/>
          <w:szCs w:val="21"/>
          <w:highlight w:val="none"/>
        </w:rPr>
        <w:t>评价指标体系框架</w:t>
      </w:r>
    </w:p>
    <w:bookmarkEnd w:id="75"/>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pPr>
      <w:r>
        <w:rPr>
          <w:rFonts w:hint="eastAsia" w:ascii="宋体" w:hAnsi="宋体" w:eastAsia="宋体" w:cs="宋体"/>
          <w:highlight w:val="none"/>
          <w:lang w:val="en-US" w:eastAsia="zh-CN"/>
        </w:rPr>
        <w:t>化妆笔、化妆笔芯</w:t>
      </w:r>
      <w:r>
        <w:rPr>
          <w:rFonts w:hint="eastAsia" w:ascii="宋体" w:hAnsi="宋体" w:eastAsia="宋体" w:cs="宋体"/>
          <w:highlight w:val="none"/>
        </w:rPr>
        <w:t>评价指标体系框</w:t>
      </w:r>
      <w:r>
        <w:rPr>
          <w:rFonts w:hint="eastAsia" w:ascii="宋体" w:hAnsi="宋体" w:eastAsia="宋体" w:cs="宋体"/>
          <w:b w:val="0"/>
          <w:bCs w:val="0"/>
          <w:highlight w:val="none"/>
        </w:rPr>
        <w:t>架符合表1的规定</w:t>
      </w:r>
      <w:r>
        <w:rPr>
          <w:rFonts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6" w:afterLines="50"/>
        <w:ind w:firstLine="0" w:firstLineChars="0"/>
        <w:jc w:val="center"/>
        <w:textAlignment w:val="auto"/>
        <w:rPr>
          <w:rFonts w:ascii="黑体" w:hAnsi="黑体" w:eastAsia="黑体" w:cs="黑体"/>
          <w:szCs w:val="21"/>
          <w:highlight w:val="none"/>
        </w:rPr>
      </w:pPr>
      <w:r>
        <w:rPr>
          <w:rFonts w:hint="eastAsia" w:ascii="黑体" w:hAnsi="黑体" w:eastAsia="黑体" w:cs="黑体"/>
          <w:szCs w:val="21"/>
          <w:highlight w:val="none"/>
        </w:rPr>
        <w:t>表</w:t>
      </w:r>
      <w:r>
        <w:rPr>
          <w:rFonts w:ascii="黑体" w:hAnsi="黑体" w:eastAsia="黑体" w:cs="黑体"/>
          <w:szCs w:val="21"/>
          <w:highlight w:val="none"/>
        </w:rPr>
        <w:t>1</w:t>
      </w:r>
      <w:bookmarkStart w:id="79" w:name="_Hlk42778042"/>
      <w:r>
        <w:rPr>
          <w:rFonts w:hint="eastAsia" w:ascii="黑体" w:hAnsi="黑体" w:eastAsia="黑体" w:cs="黑体"/>
          <w:szCs w:val="21"/>
          <w:highlight w:val="none"/>
        </w:rPr>
        <w:t xml:space="preserve"> </w:t>
      </w:r>
      <w:r>
        <w:rPr>
          <w:rFonts w:hint="eastAsia" w:ascii="黑体" w:hAnsi="黑体" w:eastAsia="黑体" w:cs="黑体"/>
          <w:szCs w:val="21"/>
          <w:highlight w:val="none"/>
          <w:lang w:val="en-US" w:eastAsia="zh-CN"/>
        </w:rPr>
        <w:t>化妆笔、化妆笔芯</w:t>
      </w:r>
      <w:r>
        <w:rPr>
          <w:rFonts w:hint="eastAsia" w:ascii="黑体" w:hAnsi="黑体" w:eastAsia="黑体" w:cs="黑体"/>
          <w:szCs w:val="21"/>
          <w:highlight w:val="none"/>
        </w:rPr>
        <w:t>评价指标体系</w:t>
      </w:r>
      <w:bookmarkEnd w:id="79"/>
      <w:r>
        <w:rPr>
          <w:rFonts w:hint="eastAsia" w:ascii="黑体" w:hAnsi="黑体" w:eastAsia="黑体" w:cs="黑体"/>
          <w:szCs w:val="21"/>
          <w:highlight w:val="none"/>
        </w:rPr>
        <w:t>框架</w:t>
      </w:r>
    </w:p>
    <w:tbl>
      <w:tblPr>
        <w:tblStyle w:val="24"/>
        <w:tblW w:w="98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79"/>
        <w:gridCol w:w="680"/>
        <w:gridCol w:w="492"/>
        <w:gridCol w:w="1173"/>
        <w:gridCol w:w="1231"/>
        <w:gridCol w:w="1103"/>
        <w:gridCol w:w="1"/>
        <w:gridCol w:w="962"/>
        <w:gridCol w:w="1087"/>
        <w:gridCol w:w="15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vMerge w:val="restart"/>
            <w:tcBorders>
              <w:bottom w:val="single" w:color="auto" w:sz="8" w:space="0"/>
            </w:tcBorders>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479"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指标类型</w:t>
            </w:r>
          </w:p>
        </w:tc>
        <w:tc>
          <w:tcPr>
            <w:tcW w:w="2345" w:type="dxa"/>
            <w:gridSpan w:val="3"/>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评价指标</w:t>
            </w:r>
          </w:p>
        </w:tc>
        <w:tc>
          <w:tcPr>
            <w:tcW w:w="1231"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指标来源</w:t>
            </w:r>
          </w:p>
        </w:tc>
        <w:tc>
          <w:tcPr>
            <w:tcW w:w="3153" w:type="dxa"/>
            <w:gridSpan w:val="4"/>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指标水平分级</w:t>
            </w:r>
          </w:p>
        </w:tc>
        <w:tc>
          <w:tcPr>
            <w:tcW w:w="1584"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vMerge w:val="continue"/>
            <w:tcBorders>
              <w:top w:val="single" w:color="auto" w:sz="8" w:space="0"/>
              <w:bottom w:val="single" w:color="auto" w:sz="8" w:space="0"/>
            </w:tcBorders>
            <w:vAlign w:val="center"/>
          </w:tcPr>
          <w:p>
            <w:pPr>
              <w:widowControl/>
              <w:spacing w:line="240" w:lineRule="exact"/>
              <w:jc w:val="left"/>
              <w:rPr>
                <w:rFonts w:hint="eastAsia" w:ascii="宋体" w:hAnsi="宋体" w:eastAsia="宋体" w:cs="宋体"/>
                <w:kern w:val="0"/>
                <w:sz w:val="18"/>
                <w:szCs w:val="18"/>
                <w:highlight w:val="none"/>
              </w:rPr>
            </w:pPr>
          </w:p>
        </w:tc>
        <w:tc>
          <w:tcPr>
            <w:tcW w:w="479" w:type="dxa"/>
            <w:vMerge w:val="continue"/>
            <w:tcBorders>
              <w:top w:val="single" w:color="auto" w:sz="8" w:space="0"/>
              <w:bottom w:val="single" w:color="auto" w:sz="8" w:space="0"/>
            </w:tcBorders>
            <w:vAlign w:val="center"/>
          </w:tcPr>
          <w:p>
            <w:pPr>
              <w:widowControl/>
              <w:spacing w:line="240" w:lineRule="exact"/>
              <w:jc w:val="left"/>
              <w:rPr>
                <w:rFonts w:hint="eastAsia" w:ascii="宋体" w:hAnsi="宋体" w:eastAsia="宋体" w:cs="宋体"/>
                <w:kern w:val="0"/>
                <w:sz w:val="18"/>
                <w:szCs w:val="18"/>
                <w:highlight w:val="none"/>
              </w:rPr>
            </w:pPr>
          </w:p>
        </w:tc>
        <w:tc>
          <w:tcPr>
            <w:tcW w:w="2345" w:type="dxa"/>
            <w:gridSpan w:val="3"/>
            <w:vMerge w:val="continue"/>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highlight w:val="none"/>
              </w:rPr>
            </w:pPr>
          </w:p>
        </w:tc>
        <w:tc>
          <w:tcPr>
            <w:tcW w:w="1231" w:type="dxa"/>
            <w:vMerge w:val="continue"/>
            <w:tcBorders>
              <w:top w:val="single" w:color="auto" w:sz="8" w:space="0"/>
              <w:bottom w:val="single" w:color="auto" w:sz="8" w:space="0"/>
            </w:tcBorders>
            <w:vAlign w:val="center"/>
          </w:tcPr>
          <w:p>
            <w:pPr>
              <w:widowControl/>
              <w:spacing w:line="240" w:lineRule="exact"/>
              <w:jc w:val="left"/>
              <w:rPr>
                <w:rFonts w:hint="eastAsia" w:ascii="宋体" w:hAnsi="宋体" w:eastAsia="宋体" w:cs="宋体"/>
                <w:kern w:val="0"/>
                <w:sz w:val="18"/>
                <w:szCs w:val="18"/>
                <w:highlight w:val="none"/>
              </w:rPr>
            </w:pPr>
          </w:p>
        </w:tc>
        <w:tc>
          <w:tcPr>
            <w:tcW w:w="1104" w:type="dxa"/>
            <w:gridSpan w:val="2"/>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先进</w:t>
            </w:r>
            <w:r>
              <w:rPr>
                <w:rFonts w:hint="eastAsia" w:ascii="宋体" w:hAnsi="宋体" w:eastAsia="宋体" w:cs="宋体"/>
                <w:kern w:val="0"/>
                <w:sz w:val="18"/>
                <w:szCs w:val="18"/>
                <w:highlight w:val="none"/>
                <w:lang w:eastAsia="zh-CN"/>
              </w:rPr>
              <w:t>水平</w:t>
            </w:r>
            <w:r>
              <w:rPr>
                <w:rFonts w:hint="eastAsia" w:ascii="宋体" w:hAnsi="宋体" w:eastAsia="宋体" w:cs="宋体"/>
                <w:kern w:val="0"/>
                <w:sz w:val="18"/>
                <w:szCs w:val="18"/>
                <w:highlight w:val="none"/>
              </w:rPr>
              <w:t>（5星级）</w:t>
            </w:r>
          </w:p>
        </w:tc>
        <w:tc>
          <w:tcPr>
            <w:tcW w:w="962" w:type="dxa"/>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平均</w:t>
            </w:r>
            <w:r>
              <w:rPr>
                <w:rFonts w:hint="eastAsia" w:ascii="宋体" w:hAnsi="宋体" w:eastAsia="宋体" w:cs="宋体"/>
                <w:kern w:val="0"/>
                <w:sz w:val="18"/>
                <w:szCs w:val="18"/>
                <w:highlight w:val="none"/>
                <w:lang w:eastAsia="zh-CN"/>
              </w:rPr>
              <w:t>水平</w:t>
            </w:r>
          </w:p>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（4星级）</w:t>
            </w:r>
          </w:p>
        </w:tc>
        <w:tc>
          <w:tcPr>
            <w:tcW w:w="1087" w:type="dxa"/>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基准</w:t>
            </w:r>
            <w:r>
              <w:rPr>
                <w:rFonts w:hint="eastAsia" w:ascii="宋体" w:hAnsi="宋体" w:eastAsia="宋体" w:cs="宋体"/>
                <w:kern w:val="0"/>
                <w:sz w:val="18"/>
                <w:szCs w:val="18"/>
                <w:highlight w:val="none"/>
                <w:lang w:eastAsia="zh-CN"/>
              </w:rPr>
              <w:t>水平</w:t>
            </w:r>
          </w:p>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（3星级）</w:t>
            </w:r>
          </w:p>
        </w:tc>
        <w:tc>
          <w:tcPr>
            <w:tcW w:w="1584" w:type="dxa"/>
            <w:vMerge w:val="continue"/>
            <w:tcBorders>
              <w:top w:val="single" w:color="auto" w:sz="8"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0" w:type="dxa"/>
            <w:tcBorders>
              <w:top w:val="single" w:color="auto" w:sz="8"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p>
        </w:tc>
        <w:tc>
          <w:tcPr>
            <w:tcW w:w="479" w:type="dxa"/>
            <w:vMerge w:val="restart"/>
            <w:tcBorders>
              <w:top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基础指标</w:t>
            </w:r>
          </w:p>
        </w:tc>
        <w:tc>
          <w:tcPr>
            <w:tcW w:w="2345" w:type="dxa"/>
            <w:gridSpan w:val="3"/>
            <w:tcBorders>
              <w:top w:val="single" w:color="auto" w:sz="8"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原料要求</w:t>
            </w:r>
          </w:p>
        </w:tc>
        <w:tc>
          <w:tcPr>
            <w:tcW w:w="1231" w:type="dxa"/>
            <w:tcBorders>
              <w:top w:val="single" w:color="auto" w:sz="8"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27575—2011中5.1</w:t>
            </w:r>
          </w:p>
        </w:tc>
        <w:tc>
          <w:tcPr>
            <w:tcW w:w="3153" w:type="dxa"/>
            <w:gridSpan w:val="4"/>
            <w:tcBorders>
              <w:top w:val="single" w:color="auto" w:sz="8"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应符合</w:t>
            </w:r>
            <w:r>
              <w:rPr>
                <w:rFonts w:hint="default" w:ascii="宋体" w:hAnsi="宋体" w:eastAsia="宋体" w:cs="宋体"/>
                <w:color w:val="auto"/>
                <w:sz w:val="18"/>
                <w:szCs w:val="18"/>
                <w:lang w:val="en-US" w:eastAsia="zh-CN"/>
              </w:rPr>
              <w:t>《化妆品安全技术规范》</w:t>
            </w:r>
            <w:r>
              <w:rPr>
                <w:rFonts w:hint="eastAsia" w:ascii="宋体" w:hAnsi="宋体" w:eastAsia="宋体" w:cs="宋体"/>
                <w:color w:val="auto"/>
                <w:sz w:val="18"/>
                <w:szCs w:val="18"/>
                <w:lang w:val="en-US" w:eastAsia="zh-CN"/>
              </w:rPr>
              <w:t>的规定，使用的香精应符合GB/T 22731的要求</w:t>
            </w:r>
          </w:p>
        </w:tc>
        <w:tc>
          <w:tcPr>
            <w:tcW w:w="1584" w:type="dxa"/>
            <w:tcBorders>
              <w:top w:val="single" w:color="auto" w:sz="8"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0" w:type="dxa"/>
            <w:tcBorders>
              <w:top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笔芯外观</w:t>
            </w:r>
          </w:p>
        </w:tc>
        <w:tc>
          <w:tcPr>
            <w:tcW w:w="1231" w:type="dxa"/>
            <w:vMerge w:val="restart"/>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27575—2011中5.2</w:t>
            </w:r>
          </w:p>
        </w:tc>
        <w:tc>
          <w:tcPr>
            <w:tcW w:w="3153" w:type="dxa"/>
            <w:gridSpan w:val="4"/>
            <w:tcBorders>
              <w:top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笔芯无断裂、无明显气孔及异色斑点</w:t>
            </w:r>
          </w:p>
        </w:tc>
        <w:tc>
          <w:tcPr>
            <w:tcW w:w="1584"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27575—2011中6.1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60" w:type="dxa"/>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3</w:t>
            </w:r>
          </w:p>
        </w:tc>
        <w:tc>
          <w:tcPr>
            <w:tcW w:w="479" w:type="dxa"/>
            <w:vMerge w:val="continue"/>
            <w:shd w:val="clear" w:color="auto" w:fill="auto"/>
            <w:vAlign w:val="center"/>
          </w:tcPr>
          <w:p>
            <w:pPr>
              <w:widowControl/>
              <w:spacing w:line="240" w:lineRule="exact"/>
              <w:jc w:val="center"/>
            </w:pPr>
          </w:p>
        </w:tc>
        <w:tc>
          <w:tcPr>
            <w:tcW w:w="2345" w:type="dxa"/>
            <w:gridSpan w:val="3"/>
            <w:tcBorders>
              <w:top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笔杆外观</w:t>
            </w:r>
            <w:r>
              <w:rPr>
                <w:rFonts w:hint="eastAsia" w:ascii="宋体" w:hAnsi="宋体" w:eastAsia="宋体" w:cs="宋体"/>
                <w:sz w:val="18"/>
                <w:szCs w:val="18"/>
                <w:highlight w:val="none"/>
                <w:vertAlign w:val="superscript"/>
                <w:lang w:val="en-US" w:eastAsia="zh-CN"/>
              </w:rPr>
              <w:t>a</w:t>
            </w:r>
          </w:p>
        </w:tc>
        <w:tc>
          <w:tcPr>
            <w:tcW w:w="1231"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3153" w:type="dxa"/>
            <w:gridSpan w:val="4"/>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笔杆表面若有漆膜或涂层，应均匀一致，无脱落，开裂；笔杆标志字迹清晰、易辨认</w:t>
            </w:r>
          </w:p>
        </w:tc>
        <w:tc>
          <w:tcPr>
            <w:tcW w:w="1584"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4</w:t>
            </w:r>
          </w:p>
        </w:tc>
        <w:tc>
          <w:tcPr>
            <w:tcW w:w="479"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345" w:type="dxa"/>
            <w:gridSpan w:val="3"/>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色泽</w:t>
            </w:r>
          </w:p>
        </w:tc>
        <w:tc>
          <w:tcPr>
            <w:tcW w:w="1231"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3153" w:type="dxa"/>
            <w:gridSpan w:val="4"/>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符合规定色泽</w:t>
            </w:r>
          </w:p>
        </w:tc>
        <w:tc>
          <w:tcPr>
            <w:tcW w:w="1584"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0" w:type="dxa"/>
            <w:tcBorders>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5</w:t>
            </w:r>
          </w:p>
        </w:tc>
        <w:tc>
          <w:tcPr>
            <w:tcW w:w="479"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345" w:type="dxa"/>
            <w:gridSpan w:val="3"/>
            <w:tcBorders>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气味</w:t>
            </w:r>
          </w:p>
        </w:tc>
        <w:tc>
          <w:tcPr>
            <w:tcW w:w="1231"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3153" w:type="dxa"/>
            <w:gridSpan w:val="4"/>
            <w:tcBorders>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符合规定香气，无异味</w:t>
            </w:r>
          </w:p>
        </w:tc>
        <w:tc>
          <w:tcPr>
            <w:tcW w:w="1584"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60" w:type="dxa"/>
            <w:vMerge w:val="restart"/>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6</w:t>
            </w:r>
          </w:p>
        </w:tc>
        <w:tc>
          <w:tcPr>
            <w:tcW w:w="479"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680" w:type="dxa"/>
            <w:vMerge w:val="restart"/>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使用性能</w:t>
            </w:r>
          </w:p>
        </w:tc>
        <w:tc>
          <w:tcPr>
            <w:tcW w:w="1665" w:type="dxa"/>
            <w:gridSpan w:val="2"/>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活动型化妆笔、非活动性型化妆笔</w:t>
            </w:r>
          </w:p>
        </w:tc>
        <w:tc>
          <w:tcPr>
            <w:tcW w:w="1231" w:type="dxa"/>
            <w:vMerge w:val="restart"/>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GB/T 27575—2011中5.3</w:t>
            </w:r>
          </w:p>
        </w:tc>
        <w:tc>
          <w:tcPr>
            <w:tcW w:w="3153" w:type="dxa"/>
            <w:gridSpan w:val="4"/>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输芯性能良好；笔芯涂抹效果良好</w:t>
            </w:r>
          </w:p>
        </w:tc>
        <w:tc>
          <w:tcPr>
            <w:tcW w:w="1584" w:type="dxa"/>
            <w:vMerge w:val="restart"/>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GB/T 27575—2011中6.2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60" w:type="dxa"/>
            <w:vMerge w:val="continue"/>
            <w:tcBorders>
              <w:bottom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p>
        </w:tc>
        <w:tc>
          <w:tcPr>
            <w:tcW w:w="479" w:type="dxa"/>
            <w:vMerge w:val="continue"/>
            <w:shd w:val="clear" w:color="auto" w:fill="auto"/>
            <w:vAlign w:val="center"/>
          </w:tcPr>
          <w:p>
            <w:pPr>
              <w:widowControl/>
              <w:spacing w:line="240" w:lineRule="exact"/>
              <w:jc w:val="center"/>
            </w:pPr>
          </w:p>
        </w:tc>
        <w:tc>
          <w:tcPr>
            <w:tcW w:w="680" w:type="dxa"/>
            <w:vMerge w:val="continue"/>
            <w:tcBorders>
              <w:bottom w:val="single" w:color="auto" w:sz="4" w:space="0"/>
            </w:tcBorders>
            <w:shd w:val="clear" w:color="auto" w:fill="auto"/>
            <w:vAlign w:val="center"/>
          </w:tcPr>
          <w:p>
            <w:pPr>
              <w:widowControl/>
              <w:spacing w:line="240" w:lineRule="exact"/>
              <w:jc w:val="center"/>
            </w:pPr>
          </w:p>
        </w:tc>
        <w:tc>
          <w:tcPr>
            <w:tcW w:w="1665" w:type="dxa"/>
            <w:gridSpan w:val="2"/>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活动性化妆笔芯</w:t>
            </w:r>
          </w:p>
        </w:tc>
        <w:tc>
          <w:tcPr>
            <w:tcW w:w="1231" w:type="dxa"/>
            <w:vMerge w:val="continue"/>
            <w:shd w:val="clear" w:color="auto" w:fill="auto"/>
            <w:vAlign w:val="center"/>
          </w:tcPr>
          <w:p>
            <w:pPr>
              <w:widowControl/>
              <w:spacing w:line="240" w:lineRule="exact"/>
              <w:jc w:val="center"/>
            </w:pPr>
          </w:p>
        </w:tc>
        <w:tc>
          <w:tcPr>
            <w:tcW w:w="3153" w:type="dxa"/>
            <w:gridSpan w:val="4"/>
            <w:tcBorders>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笔芯外包裹材料能容易去除；笔芯涂抹效果良好</w:t>
            </w:r>
          </w:p>
        </w:tc>
        <w:tc>
          <w:tcPr>
            <w:tcW w:w="1584" w:type="dxa"/>
            <w:vMerge w:val="continue"/>
            <w:shd w:val="clear" w:color="auto" w:fill="auto"/>
            <w:vAlign w:val="center"/>
          </w:tcPr>
          <w:p>
            <w:pPr>
              <w:widowControl/>
              <w:spacing w:line="24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tcBorders>
              <w:top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7</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耐热大肠菌群/g</w:t>
            </w:r>
          </w:p>
        </w:tc>
        <w:tc>
          <w:tcPr>
            <w:tcW w:w="1231" w:type="dxa"/>
            <w:vMerge w:val="restart"/>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GB/T 27575—2011中5.4</w:t>
            </w:r>
          </w:p>
        </w:tc>
        <w:tc>
          <w:tcPr>
            <w:tcW w:w="3153" w:type="dxa"/>
            <w:gridSpan w:val="4"/>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color w:val="auto"/>
                <w:sz w:val="18"/>
                <w:szCs w:val="18"/>
              </w:rPr>
              <w:t>不得检出</w:t>
            </w:r>
          </w:p>
        </w:tc>
        <w:tc>
          <w:tcPr>
            <w:tcW w:w="1584"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8</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金黄色葡萄球菌/g</w:t>
            </w:r>
          </w:p>
        </w:tc>
        <w:tc>
          <w:tcPr>
            <w:tcW w:w="1231"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3153" w:type="dxa"/>
            <w:gridSpan w:val="4"/>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color w:val="auto"/>
                <w:sz w:val="18"/>
                <w:szCs w:val="18"/>
              </w:rPr>
              <w:t>不得检出</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9</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铜绿假单胞菌/g</w:t>
            </w:r>
          </w:p>
        </w:tc>
        <w:tc>
          <w:tcPr>
            <w:tcW w:w="1231"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3153" w:type="dxa"/>
            <w:gridSpan w:val="4"/>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color w:val="auto"/>
                <w:sz w:val="18"/>
                <w:szCs w:val="18"/>
              </w:rPr>
              <w:t>不得检出</w:t>
            </w:r>
          </w:p>
        </w:tc>
        <w:tc>
          <w:tcPr>
            <w:tcW w:w="1584"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10</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top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石棉</w:t>
            </w:r>
            <w:r>
              <w:rPr>
                <w:rFonts w:hint="eastAsia" w:ascii="宋体" w:hAnsi="宋体" w:eastAsia="宋体" w:cs="宋体"/>
                <w:sz w:val="18"/>
                <w:szCs w:val="18"/>
                <w:highlight w:val="none"/>
                <w:vertAlign w:val="superscript"/>
                <w:lang w:val="en-US" w:eastAsia="zh-CN"/>
              </w:rPr>
              <w:t>b</w:t>
            </w:r>
          </w:p>
        </w:tc>
        <w:tc>
          <w:tcPr>
            <w:tcW w:w="1231" w:type="dxa"/>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3153" w:type="dxa"/>
            <w:gridSpan w:val="4"/>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不得检出</w:t>
            </w:r>
          </w:p>
        </w:tc>
        <w:tc>
          <w:tcPr>
            <w:tcW w:w="1584" w:type="dxa"/>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四</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11</w:t>
            </w:r>
          </w:p>
        </w:tc>
        <w:tc>
          <w:tcPr>
            <w:tcW w:w="479"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净含量偏差</w:t>
            </w:r>
          </w:p>
        </w:tc>
        <w:tc>
          <w:tcPr>
            <w:tcW w:w="1231" w:type="dxa"/>
            <w:tcBorders>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default" w:ascii="宋体" w:hAnsi="宋体" w:eastAsia="宋体" w:cs="宋体"/>
                <w:color w:val="000000" w:themeColor="text1"/>
                <w:kern w:val="0"/>
                <w:sz w:val="18"/>
                <w:szCs w:val="18"/>
                <w:highlight w:val="none"/>
                <w:lang w:val="en-US" w:eastAsia="zh-CN"/>
                <w14:textFill>
                  <w14:solidFill>
                    <w14:schemeClr w14:val="tx1"/>
                  </w14:solidFill>
                </w14:textFill>
              </w:rPr>
              <w:t>JJF 1070—2023</w:t>
            </w:r>
          </w:p>
        </w:tc>
        <w:tc>
          <w:tcPr>
            <w:tcW w:w="3153" w:type="dxa"/>
            <w:gridSpan w:val="4"/>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符合《定量包装商品计量监督管理办法》</w:t>
            </w:r>
          </w:p>
        </w:tc>
        <w:tc>
          <w:tcPr>
            <w:tcW w:w="1584"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rPr>
            </w:pPr>
            <w:r>
              <w:rPr>
                <w:rFonts w:hint="eastAsia" w:ascii="宋体" w:hAnsi="宋体" w:eastAsia="宋体" w:cs="宋体"/>
                <w:sz w:val="18"/>
                <w:szCs w:val="18"/>
                <w:highlight w:val="none"/>
                <w:lang w:val="en-US" w:eastAsia="zh-CN"/>
              </w:rPr>
              <w:t>JJF 1070—2023中6.1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12</w:t>
            </w:r>
          </w:p>
        </w:tc>
        <w:tc>
          <w:tcPr>
            <w:tcW w:w="479" w:type="dxa"/>
            <w:vMerge w:val="restart"/>
            <w:tcBorders>
              <w:top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核心指标</w:t>
            </w: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耐热</w:t>
            </w:r>
          </w:p>
        </w:tc>
        <w:tc>
          <w:tcPr>
            <w:tcW w:w="1231" w:type="dxa"/>
            <w:vMerge w:val="restart"/>
            <w:tcBorders>
              <w:top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27575—2011中5.3</w:t>
            </w:r>
          </w:p>
        </w:tc>
        <w:tc>
          <w:tcPr>
            <w:tcW w:w="1103" w:type="dxa"/>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55±1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恢复室温后无明显性状变化，能正常使用</w:t>
            </w:r>
          </w:p>
        </w:tc>
        <w:tc>
          <w:tcPr>
            <w:tcW w:w="963" w:type="dxa"/>
            <w:gridSpan w:val="2"/>
            <w:shd w:val="clear" w:color="auto" w:fill="auto"/>
            <w:vAlign w:val="center"/>
          </w:tcPr>
          <w:p>
            <w:pPr>
              <w:widowControl/>
              <w:spacing w:line="240" w:lineRule="exact"/>
              <w:jc w:val="center"/>
              <w:rPr>
                <w:rFonts w:hint="eastAsia" w:ascii="宋体" w:hAnsi="宋体" w:eastAsia="宋体" w:cs="宋体"/>
                <w:sz w:val="18"/>
                <w:szCs w:val="18"/>
                <w:highlight w:val="yellow"/>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50±1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恢复室温后无明显性状变化，能正常使用</w:t>
            </w:r>
          </w:p>
        </w:tc>
        <w:tc>
          <w:tcPr>
            <w:tcW w:w="1087" w:type="dxa"/>
            <w:shd w:val="clear" w:color="auto" w:fill="auto"/>
            <w:vAlign w:val="center"/>
          </w:tcPr>
          <w:p>
            <w:pPr>
              <w:widowControl/>
              <w:spacing w:line="240" w:lineRule="exact"/>
              <w:jc w:val="center"/>
              <w:rPr>
                <w:rFonts w:hint="eastAsia" w:ascii="宋体" w:hAnsi="宋体" w:eastAsia="宋体" w:cs="宋体"/>
                <w:sz w:val="18"/>
                <w:szCs w:val="18"/>
                <w:highlight w:val="yellow"/>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45±1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恢复室温后无明显性状变化，能正常使用</w:t>
            </w:r>
          </w:p>
        </w:tc>
        <w:tc>
          <w:tcPr>
            <w:tcW w:w="1584"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27575—2011中6.2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13</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bookmarkStart w:id="86" w:name="_GoBack"/>
            <w:bookmarkEnd w:id="86"/>
            <w:r>
              <w:rPr>
                <w:rFonts w:hint="eastAsia" w:ascii="宋体" w:hAnsi="宋体" w:eastAsia="宋体" w:cs="宋体"/>
                <w:sz w:val="18"/>
                <w:szCs w:val="18"/>
                <w:highlight w:val="none"/>
                <w:lang w:val="en-US" w:eastAsia="zh-CN"/>
              </w:rPr>
              <w:t>耐寒</w:t>
            </w:r>
          </w:p>
        </w:tc>
        <w:tc>
          <w:tcPr>
            <w:tcW w:w="1231"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103" w:type="dxa"/>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（-15±2）℃，保持24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恢复室温后无明显性状变化，能正常使用</w:t>
            </w:r>
          </w:p>
        </w:tc>
        <w:tc>
          <w:tcPr>
            <w:tcW w:w="963" w:type="dxa"/>
            <w:gridSpan w:val="2"/>
            <w:shd w:val="clear" w:color="auto" w:fill="auto"/>
            <w:vAlign w:val="center"/>
          </w:tcPr>
          <w:p>
            <w:pPr>
              <w:widowControl/>
              <w:spacing w:line="240" w:lineRule="exact"/>
              <w:jc w:val="center"/>
              <w:rPr>
                <w:rFonts w:hint="eastAsia" w:ascii="宋体" w:hAnsi="宋体" w:eastAsia="宋体" w:cs="宋体"/>
                <w:sz w:val="18"/>
                <w:szCs w:val="18"/>
                <w:highlight w:val="yellow"/>
                <w:lang w:val="en-US" w:eastAsia="zh-CN"/>
              </w:rPr>
            </w:pPr>
            <w:r>
              <w:rPr>
                <w:rFonts w:hint="eastAsia" w:ascii="宋体" w:hAnsi="宋体" w:eastAsia="宋体" w:cs="宋体"/>
                <w:sz w:val="18"/>
                <w:szCs w:val="18"/>
                <w:highlight w:val="none"/>
                <w:lang w:val="en-US" w:eastAsia="zh-CN"/>
              </w:rPr>
              <w:t>（-12±2）℃，保持24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恢复室温后无明显性状变化，能正常使用</w:t>
            </w:r>
          </w:p>
        </w:tc>
        <w:tc>
          <w:tcPr>
            <w:tcW w:w="1087" w:type="dxa"/>
            <w:shd w:val="clear" w:color="auto" w:fill="auto"/>
            <w:vAlign w:val="center"/>
          </w:tcPr>
          <w:p>
            <w:pPr>
              <w:widowControl/>
              <w:spacing w:line="240" w:lineRule="exact"/>
              <w:jc w:val="center"/>
              <w:rPr>
                <w:rFonts w:hint="eastAsia" w:ascii="宋体" w:hAnsi="宋体" w:eastAsia="宋体" w:cs="宋体"/>
                <w:sz w:val="18"/>
                <w:szCs w:val="18"/>
                <w:highlight w:val="yellow"/>
                <w:lang w:val="en-US" w:eastAsia="zh-CN"/>
              </w:rPr>
            </w:pPr>
            <w:r>
              <w:rPr>
                <w:rFonts w:hint="eastAsia" w:ascii="宋体" w:hAnsi="宋体" w:eastAsia="宋体" w:cs="宋体"/>
                <w:sz w:val="18"/>
                <w:szCs w:val="18"/>
                <w:highlight w:val="none"/>
                <w:lang w:val="en-US" w:eastAsia="zh-CN"/>
              </w:rPr>
              <w:t>-10℃～-5℃，保持24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恢复室温后无明显性状变化，能正常使用</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14</w:t>
            </w:r>
          </w:p>
        </w:tc>
        <w:tc>
          <w:tcPr>
            <w:tcW w:w="479" w:type="dxa"/>
            <w:vMerge w:val="continue"/>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铅/(mg/kg)</w:t>
            </w:r>
          </w:p>
        </w:tc>
        <w:tc>
          <w:tcPr>
            <w:tcW w:w="1231" w:type="dxa"/>
            <w:vMerge w:val="restart"/>
            <w:tcBorders>
              <w:top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化妆品安全技术规范（2015年版）；德国BVL法规</w:t>
            </w:r>
          </w:p>
        </w:tc>
        <w:tc>
          <w:tcPr>
            <w:tcW w:w="110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c>
          <w:tcPr>
            <w:tcW w:w="963" w:type="dxa"/>
            <w:gridSpan w:val="2"/>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1087" w:type="dxa"/>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1584"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四</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15</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汞/(mg/kg)</w:t>
            </w:r>
          </w:p>
        </w:tc>
        <w:tc>
          <w:tcPr>
            <w:tcW w:w="1231"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10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≤0.1</w:t>
            </w:r>
          </w:p>
        </w:tc>
        <w:tc>
          <w:tcPr>
            <w:tcW w:w="963" w:type="dxa"/>
            <w:gridSpan w:val="2"/>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≤0.5</w:t>
            </w:r>
          </w:p>
        </w:tc>
        <w:tc>
          <w:tcPr>
            <w:tcW w:w="1087" w:type="dxa"/>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16</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砷/(mg/kg)</w:t>
            </w:r>
          </w:p>
        </w:tc>
        <w:tc>
          <w:tcPr>
            <w:tcW w:w="1231"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10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≤0.5</w:t>
            </w:r>
          </w:p>
        </w:tc>
        <w:tc>
          <w:tcPr>
            <w:tcW w:w="963" w:type="dxa"/>
            <w:gridSpan w:val="2"/>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w:t>
            </w:r>
          </w:p>
        </w:tc>
        <w:tc>
          <w:tcPr>
            <w:tcW w:w="1087" w:type="dxa"/>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17</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镉/(mg/kg)</w:t>
            </w:r>
          </w:p>
        </w:tc>
        <w:tc>
          <w:tcPr>
            <w:tcW w:w="1231"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110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≤0.1</w:t>
            </w:r>
          </w:p>
        </w:tc>
        <w:tc>
          <w:tcPr>
            <w:tcW w:w="963" w:type="dxa"/>
            <w:gridSpan w:val="2"/>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≤2.5</w:t>
            </w:r>
          </w:p>
        </w:tc>
        <w:tc>
          <w:tcPr>
            <w:tcW w:w="1087" w:type="dxa"/>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18</w:t>
            </w:r>
          </w:p>
        </w:tc>
        <w:tc>
          <w:tcPr>
            <w:tcW w:w="479" w:type="dxa"/>
            <w:vMerge w:val="continue"/>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p>
        </w:tc>
        <w:tc>
          <w:tcPr>
            <w:tcW w:w="2345" w:type="dxa"/>
            <w:gridSpan w:val="3"/>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二噁烷</w:t>
            </w:r>
            <w:r>
              <w:rPr>
                <w:rFonts w:hint="eastAsia" w:ascii="宋体" w:hAnsi="宋体" w:eastAsia="宋体" w:cs="宋体"/>
                <w:sz w:val="18"/>
                <w:szCs w:val="18"/>
                <w:highlight w:val="none"/>
                <w:vertAlign w:val="superscript"/>
                <w:lang w:val="en-US" w:eastAsia="zh-CN"/>
              </w:rPr>
              <w:t>c</w:t>
            </w:r>
            <w:r>
              <w:rPr>
                <w:rFonts w:hint="eastAsia" w:ascii="宋体" w:hAnsi="宋体" w:eastAsia="宋体" w:cs="宋体"/>
                <w:sz w:val="18"/>
                <w:szCs w:val="18"/>
                <w:highlight w:val="none"/>
                <w:lang w:val="en-US" w:eastAsia="zh-CN"/>
              </w:rPr>
              <w:t>/(mg/kg)</w:t>
            </w:r>
          </w:p>
        </w:tc>
        <w:tc>
          <w:tcPr>
            <w:tcW w:w="1231" w:type="dxa"/>
            <w:tcBorders>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110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963" w:type="dxa"/>
            <w:gridSpan w:val="2"/>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1087" w:type="dxa"/>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w:t>
            </w:r>
          </w:p>
        </w:tc>
        <w:tc>
          <w:tcPr>
            <w:tcW w:w="1584"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60" w:type="dxa"/>
            <w:vMerge w:val="restart"/>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19</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172" w:type="dxa"/>
            <w:gridSpan w:val="2"/>
            <w:vMerge w:val="restart"/>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菌落总数/(CFU/g)</w:t>
            </w:r>
          </w:p>
        </w:tc>
        <w:tc>
          <w:tcPr>
            <w:tcW w:w="117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眼部、口唇和儿童用</w:t>
            </w:r>
          </w:p>
        </w:tc>
        <w:tc>
          <w:tcPr>
            <w:tcW w:w="1231"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1103" w:type="dxa"/>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963" w:type="dxa"/>
            <w:gridSpan w:val="2"/>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0</w:t>
            </w:r>
          </w:p>
        </w:tc>
        <w:tc>
          <w:tcPr>
            <w:tcW w:w="1087" w:type="dxa"/>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1584"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60" w:type="dxa"/>
            <w:vMerge w:val="continue"/>
            <w:vAlign w:val="center"/>
          </w:tcPr>
          <w:p>
            <w:pPr>
              <w:widowControl/>
              <w:spacing w:line="240" w:lineRule="exact"/>
              <w:jc w:val="center"/>
            </w:pPr>
          </w:p>
        </w:tc>
        <w:tc>
          <w:tcPr>
            <w:tcW w:w="479" w:type="dxa"/>
            <w:vMerge w:val="continue"/>
            <w:shd w:val="clear" w:color="auto" w:fill="auto"/>
            <w:vAlign w:val="center"/>
          </w:tcPr>
          <w:p>
            <w:pPr>
              <w:widowControl/>
              <w:spacing w:line="240" w:lineRule="exact"/>
              <w:jc w:val="center"/>
            </w:pPr>
          </w:p>
        </w:tc>
        <w:tc>
          <w:tcPr>
            <w:tcW w:w="1172" w:type="dxa"/>
            <w:gridSpan w:val="2"/>
            <w:vMerge w:val="continue"/>
            <w:shd w:val="clear" w:color="auto" w:fill="auto"/>
            <w:vAlign w:val="center"/>
          </w:tcPr>
          <w:p>
            <w:pPr>
              <w:widowControl/>
              <w:spacing w:line="240" w:lineRule="exact"/>
              <w:jc w:val="center"/>
            </w:pPr>
          </w:p>
        </w:tc>
        <w:tc>
          <w:tcPr>
            <w:tcW w:w="117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其他</w:t>
            </w:r>
          </w:p>
        </w:tc>
        <w:tc>
          <w:tcPr>
            <w:tcW w:w="1231" w:type="dxa"/>
            <w:vMerge w:val="continue"/>
            <w:shd w:val="clear" w:color="auto" w:fill="auto"/>
            <w:vAlign w:val="center"/>
          </w:tcPr>
          <w:p>
            <w:pPr>
              <w:widowControl/>
              <w:spacing w:line="240" w:lineRule="exact"/>
              <w:jc w:val="center"/>
            </w:pPr>
          </w:p>
        </w:tc>
        <w:tc>
          <w:tcPr>
            <w:tcW w:w="1103" w:type="dxa"/>
            <w:shd w:val="clear" w:color="auto" w:fill="auto"/>
            <w:vAlign w:val="center"/>
          </w:tcPr>
          <w:p>
            <w:pPr>
              <w:widowControl/>
              <w:spacing w:line="240" w:lineRule="exact"/>
              <w:jc w:val="center"/>
            </w:pPr>
            <w:r>
              <w:rPr>
                <w:rFonts w:hint="eastAsia" w:ascii="宋体" w:hAnsi="宋体" w:eastAsia="宋体" w:cs="宋体"/>
                <w:sz w:val="18"/>
                <w:szCs w:val="18"/>
                <w:highlight w:val="none"/>
                <w:lang w:val="en-US" w:eastAsia="zh-CN"/>
              </w:rPr>
              <w:t>＜10</w:t>
            </w:r>
          </w:p>
        </w:tc>
        <w:tc>
          <w:tcPr>
            <w:tcW w:w="963" w:type="dxa"/>
            <w:gridSpan w:val="2"/>
            <w:shd w:val="clear" w:color="auto" w:fill="auto"/>
            <w:vAlign w:val="center"/>
          </w:tcPr>
          <w:p>
            <w:pPr>
              <w:widowControl/>
              <w:spacing w:line="240" w:lineRule="exact"/>
              <w:jc w:val="cente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50</w:t>
            </w:r>
            <w:r>
              <w:rPr>
                <w:rFonts w:hint="eastAsia" w:ascii="宋体" w:hAnsi="宋体" w:eastAsia="宋体" w:cs="宋体"/>
                <w:color w:val="auto"/>
                <w:sz w:val="18"/>
                <w:szCs w:val="18"/>
                <w:highlight w:val="none"/>
              </w:rPr>
              <w:t>0</w:t>
            </w:r>
          </w:p>
        </w:tc>
        <w:tc>
          <w:tcPr>
            <w:tcW w:w="1087" w:type="dxa"/>
            <w:shd w:val="clear" w:color="auto" w:fill="auto"/>
            <w:vAlign w:val="center"/>
          </w:tcPr>
          <w:p>
            <w:pPr>
              <w:widowControl/>
              <w:spacing w:line="240" w:lineRule="exact"/>
              <w:jc w:val="cente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1000</w:t>
            </w:r>
          </w:p>
        </w:tc>
        <w:tc>
          <w:tcPr>
            <w:tcW w:w="1584" w:type="dxa"/>
            <w:vMerge w:val="continue"/>
            <w:shd w:val="clear" w:color="auto" w:fill="auto"/>
            <w:vAlign w:val="center"/>
          </w:tcPr>
          <w:p>
            <w:pPr>
              <w:widowControl/>
              <w:spacing w:line="24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20</w:t>
            </w:r>
          </w:p>
        </w:tc>
        <w:tc>
          <w:tcPr>
            <w:tcW w:w="479"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45" w:type="dxa"/>
            <w:gridSpan w:val="3"/>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霉菌和酵母菌总数/(CFU/g)</w:t>
            </w:r>
          </w:p>
        </w:tc>
        <w:tc>
          <w:tcPr>
            <w:tcW w:w="1231"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103" w:type="dxa"/>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ascii="宋体" w:hAnsi="宋体" w:eastAsia="宋体" w:cs="宋体"/>
                <w:color w:val="auto"/>
                <w:sz w:val="18"/>
                <w:szCs w:val="18"/>
                <w:lang w:val="en-US" w:eastAsia="zh-CN"/>
              </w:rPr>
              <w:t>10</w:t>
            </w:r>
          </w:p>
        </w:tc>
        <w:tc>
          <w:tcPr>
            <w:tcW w:w="963" w:type="dxa"/>
            <w:gridSpan w:val="2"/>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50</w:t>
            </w:r>
          </w:p>
        </w:tc>
        <w:tc>
          <w:tcPr>
            <w:tcW w:w="1087" w:type="dxa"/>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color w:val="auto"/>
                <w:sz w:val="18"/>
                <w:szCs w:val="18"/>
              </w:rPr>
              <w:t>≤100</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21</w:t>
            </w:r>
          </w:p>
        </w:tc>
        <w:tc>
          <w:tcPr>
            <w:tcW w:w="479" w:type="dxa"/>
            <w:vMerge w:val="restart"/>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创新指标</w:t>
            </w:r>
          </w:p>
        </w:tc>
        <w:tc>
          <w:tcPr>
            <w:tcW w:w="2345" w:type="dxa"/>
            <w:gridSpan w:val="3"/>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水平跌落</w:t>
            </w:r>
          </w:p>
        </w:tc>
        <w:tc>
          <w:tcPr>
            <w:tcW w:w="1231" w:type="dxa"/>
            <w:vMerge w:val="restart"/>
            <w:shd w:val="clear" w:color="auto" w:fill="auto"/>
            <w:vAlign w:val="center"/>
          </w:tcPr>
          <w:p>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高端客户</w:t>
            </w:r>
            <w:r>
              <w:rPr>
                <w:rFonts w:hint="eastAsia" w:ascii="宋体" w:hAnsi="宋体" w:eastAsia="宋体" w:cs="宋体"/>
                <w:sz w:val="18"/>
                <w:szCs w:val="18"/>
                <w:highlight w:val="none"/>
              </w:rPr>
              <w:t>需求</w:t>
            </w:r>
          </w:p>
        </w:tc>
        <w:tc>
          <w:tcPr>
            <w:tcW w:w="3153" w:type="dxa"/>
            <w:gridSpan w:val="4"/>
            <w:shd w:val="clear" w:color="auto" w:fill="auto"/>
            <w:vAlign w:val="center"/>
          </w:tcPr>
          <w:p>
            <w:pPr>
              <w:widowControl/>
              <w:spacing w:line="240" w:lineRule="exact"/>
              <w:jc w:val="center"/>
              <w:rPr>
                <w:rFonts w:hint="eastAsia" w:ascii="宋体" w:hAnsi="宋体" w:eastAsia="宋体" w:cs="宋体"/>
                <w:kern w:val="2"/>
                <w:sz w:val="18"/>
                <w:szCs w:val="18"/>
                <w:highlight w:val="yellow"/>
                <w:lang w:val="en-US" w:eastAsia="zh-CN" w:bidi="ar-SA"/>
              </w:rPr>
            </w:pPr>
            <w:r>
              <w:rPr>
                <w:rFonts w:hint="eastAsia" w:ascii="宋体" w:hAnsi="宋体" w:eastAsia="宋体" w:cs="宋体"/>
                <w:sz w:val="18"/>
                <w:szCs w:val="18"/>
                <w:highlight w:val="none"/>
                <w:lang w:val="en-US" w:eastAsia="zh-CN"/>
              </w:rPr>
              <w:t>30cm高度水平跌落3次，无断芯、脱芯</w:t>
            </w:r>
          </w:p>
        </w:tc>
        <w:tc>
          <w:tcPr>
            <w:tcW w:w="1584" w:type="dxa"/>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1976—2004中5.3.2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22</w:t>
            </w:r>
          </w:p>
        </w:tc>
        <w:tc>
          <w:tcPr>
            <w:tcW w:w="479" w:type="dxa"/>
            <w:vMerge w:val="continue"/>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防水性能</w:t>
            </w:r>
          </w:p>
        </w:tc>
        <w:tc>
          <w:tcPr>
            <w:tcW w:w="1231" w:type="dxa"/>
            <w:vMerge w:val="continue"/>
            <w:shd w:val="clear" w:color="auto" w:fill="auto"/>
            <w:vAlign w:val="center"/>
          </w:tcPr>
          <w:p>
            <w:pPr>
              <w:spacing w:line="240" w:lineRule="exact"/>
              <w:jc w:val="center"/>
              <w:rPr>
                <w:rFonts w:hint="eastAsia" w:ascii="宋体" w:hAnsi="宋体" w:eastAsia="宋体" w:cs="宋体"/>
                <w:sz w:val="18"/>
                <w:szCs w:val="18"/>
                <w:highlight w:val="none"/>
              </w:rPr>
            </w:pPr>
          </w:p>
        </w:tc>
        <w:tc>
          <w:tcPr>
            <w:tcW w:w="3153" w:type="dxa"/>
            <w:gridSpan w:val="4"/>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通过测试</w:t>
            </w:r>
          </w:p>
        </w:tc>
        <w:tc>
          <w:tcPr>
            <w:tcW w:w="1584" w:type="dxa"/>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35889—2018中5.3.2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23</w:t>
            </w:r>
          </w:p>
        </w:tc>
        <w:tc>
          <w:tcPr>
            <w:tcW w:w="479" w:type="dxa"/>
            <w:vMerge w:val="continue"/>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过氧化值</w:t>
            </w:r>
          </w:p>
        </w:tc>
        <w:tc>
          <w:tcPr>
            <w:tcW w:w="1231" w:type="dxa"/>
            <w:vMerge w:val="continue"/>
            <w:shd w:val="clear" w:color="auto" w:fill="auto"/>
            <w:vAlign w:val="center"/>
          </w:tcPr>
          <w:p>
            <w:pPr>
              <w:spacing w:line="240" w:lineRule="exact"/>
              <w:jc w:val="center"/>
              <w:rPr>
                <w:rFonts w:hint="eastAsia" w:ascii="宋体" w:hAnsi="宋体" w:eastAsia="宋体" w:cs="宋体"/>
                <w:sz w:val="18"/>
                <w:szCs w:val="18"/>
                <w:highlight w:val="none"/>
              </w:rPr>
            </w:pPr>
          </w:p>
        </w:tc>
        <w:tc>
          <w:tcPr>
            <w:tcW w:w="3153" w:type="dxa"/>
            <w:gridSpan w:val="4"/>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≤0.1％</w:t>
            </w:r>
          </w:p>
        </w:tc>
        <w:tc>
          <w:tcPr>
            <w:tcW w:w="1584" w:type="dxa"/>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5009.227—2023中第二法（电位滴定法）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24</w:t>
            </w:r>
          </w:p>
        </w:tc>
        <w:tc>
          <w:tcPr>
            <w:tcW w:w="479" w:type="dxa"/>
            <w:vMerge w:val="continue"/>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多次皮肤刺激性试验</w:t>
            </w:r>
          </w:p>
        </w:tc>
        <w:tc>
          <w:tcPr>
            <w:tcW w:w="1231" w:type="dxa"/>
            <w:vMerge w:val="restart"/>
            <w:shd w:val="clear" w:color="auto" w:fill="auto"/>
            <w:vAlign w:val="center"/>
          </w:tcPr>
          <w:p>
            <w:pPr>
              <w:spacing w:line="240" w:lineRule="exact"/>
              <w:jc w:val="center"/>
              <w:rPr>
                <w:rFonts w:hint="eastAsia" w:ascii="宋体" w:hAnsi="宋体" w:eastAsia="宋体" w:cs="宋体"/>
                <w:sz w:val="18"/>
                <w:szCs w:val="18"/>
                <w:highlight w:val="none"/>
              </w:rPr>
            </w:pPr>
            <w:r>
              <w:rPr>
                <w:rFonts w:hint="eastAsia" w:ascii="宋体" w:hAnsi="宋体" w:eastAsia="宋体" w:cs="宋体"/>
                <w:color w:val="auto"/>
                <w:kern w:val="0"/>
                <w:sz w:val="18"/>
                <w:szCs w:val="18"/>
              </w:rPr>
              <w:t>《化妆品安全技术规范》</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2015年版</w:t>
            </w:r>
            <w:r>
              <w:rPr>
                <w:rFonts w:hint="eastAsia" w:ascii="宋体" w:hAnsi="宋体" w:eastAsia="宋体" w:cs="宋体"/>
                <w:color w:val="auto"/>
                <w:kern w:val="0"/>
                <w:sz w:val="18"/>
                <w:szCs w:val="18"/>
                <w:lang w:eastAsia="zh-CN"/>
              </w:rPr>
              <w:t>）</w:t>
            </w:r>
          </w:p>
        </w:tc>
        <w:tc>
          <w:tcPr>
            <w:tcW w:w="3153" w:type="dxa"/>
            <w:gridSpan w:val="4"/>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无刺激</w:t>
            </w:r>
          </w:p>
        </w:tc>
        <w:tc>
          <w:tcPr>
            <w:tcW w:w="1584"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六</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25</w:t>
            </w:r>
          </w:p>
        </w:tc>
        <w:tc>
          <w:tcPr>
            <w:tcW w:w="479" w:type="dxa"/>
            <w:vMerge w:val="continue"/>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急性眼刺激性试验</w:t>
            </w:r>
          </w:p>
        </w:tc>
        <w:tc>
          <w:tcPr>
            <w:tcW w:w="1231" w:type="dxa"/>
            <w:vMerge w:val="continue"/>
            <w:shd w:val="clear" w:color="auto" w:fill="auto"/>
            <w:vAlign w:val="center"/>
          </w:tcPr>
          <w:p>
            <w:pPr>
              <w:spacing w:line="240" w:lineRule="exact"/>
              <w:jc w:val="center"/>
              <w:rPr>
                <w:rFonts w:hint="eastAsia" w:ascii="宋体" w:hAnsi="宋体" w:eastAsia="宋体" w:cs="宋体"/>
                <w:sz w:val="18"/>
                <w:szCs w:val="18"/>
                <w:highlight w:val="none"/>
              </w:rPr>
            </w:pPr>
          </w:p>
        </w:tc>
        <w:tc>
          <w:tcPr>
            <w:tcW w:w="3153" w:type="dxa"/>
            <w:gridSpan w:val="4"/>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无刺激</w:t>
            </w:r>
          </w:p>
        </w:tc>
        <w:tc>
          <w:tcPr>
            <w:tcW w:w="1584"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tcBorders>
              <w:bottom w:val="single" w:color="auto" w:sz="8"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26</w:t>
            </w:r>
          </w:p>
        </w:tc>
        <w:tc>
          <w:tcPr>
            <w:tcW w:w="479" w:type="dxa"/>
            <w:vMerge w:val="continue"/>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45" w:type="dxa"/>
            <w:gridSpan w:val="3"/>
            <w:tcBorders>
              <w:bottom w:val="single" w:color="auto" w:sz="8"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锑/(mg/kg)</w:t>
            </w:r>
          </w:p>
        </w:tc>
        <w:tc>
          <w:tcPr>
            <w:tcW w:w="1231" w:type="dxa"/>
            <w:tcBorders>
              <w:bottom w:val="single" w:color="auto" w:sz="8" w:space="0"/>
            </w:tcBorders>
            <w:shd w:val="clear" w:color="auto" w:fill="auto"/>
            <w:vAlign w:val="center"/>
          </w:tcPr>
          <w:p>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德国BVL法规</w:t>
            </w:r>
          </w:p>
        </w:tc>
        <w:tc>
          <w:tcPr>
            <w:tcW w:w="3153" w:type="dxa"/>
            <w:gridSpan w:val="4"/>
            <w:tcBorders>
              <w:bottom w:val="single" w:color="auto" w:sz="8" w:space="0"/>
            </w:tcBorders>
            <w:shd w:val="clear" w:color="auto" w:fill="auto"/>
            <w:vAlign w:val="center"/>
          </w:tcPr>
          <w:p>
            <w:pPr>
              <w:widowControl/>
              <w:spacing w:line="240" w:lineRule="exact"/>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≤0.5</w:t>
            </w:r>
          </w:p>
        </w:tc>
        <w:tc>
          <w:tcPr>
            <w:tcW w:w="1584" w:type="dxa"/>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35828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2" w:type="dxa"/>
            <w:gridSpan w:val="11"/>
            <w:tcBorders>
              <w:top w:val="single" w:color="auto" w:sz="8" w:space="0"/>
            </w:tcBorders>
            <w:vAlign w:val="center"/>
          </w:tcPr>
          <w:p>
            <w:pPr>
              <w:ind w:firstLine="360" w:firstLineChars="200"/>
              <w:jc w:val="left"/>
              <w:rPr>
                <w:rFonts w:hint="eastAsia" w:ascii="宋体" w:hAnsi="宋体" w:eastAsia="宋体" w:cs="宋体"/>
                <w:color w:val="auto"/>
                <w:sz w:val="18"/>
                <w:szCs w:val="18"/>
                <w:vertAlign w:val="superscript"/>
              </w:rPr>
            </w:pPr>
            <w:r>
              <w:rPr>
                <w:rFonts w:hint="eastAsia" w:ascii="宋体" w:hAnsi="宋体" w:eastAsia="宋体" w:cs="宋体"/>
                <w:color w:val="auto"/>
                <w:sz w:val="18"/>
                <w:szCs w:val="18"/>
                <w:vertAlign w:val="superscript"/>
              </w:rPr>
              <w:t xml:space="preserve">a  </w:t>
            </w:r>
            <w:r>
              <w:rPr>
                <w:rFonts w:hint="eastAsia" w:ascii="Times New Roman" w:hAnsi="Times New Roman" w:eastAsia="宋体" w:cs="Times New Roman"/>
                <w:sz w:val="18"/>
                <w:szCs w:val="18"/>
                <w:highlight w:val="none"/>
                <w:lang w:val="en-US" w:eastAsia="zh-CN"/>
              </w:rPr>
              <w:t>仅考核</w:t>
            </w:r>
            <w:r>
              <w:rPr>
                <w:rFonts w:hint="default" w:ascii="Times New Roman" w:hAnsi="Times New Roman" w:eastAsia="宋体" w:cs="Times New Roman"/>
                <w:sz w:val="18"/>
                <w:szCs w:val="18"/>
                <w:highlight w:val="none"/>
                <w:lang w:val="en-US" w:eastAsia="zh-CN"/>
              </w:rPr>
              <w:t>活动型化妆笔、非活动性型化妆笔</w:t>
            </w:r>
            <w:r>
              <w:rPr>
                <w:rFonts w:hint="eastAsia" w:ascii="Times New Roman" w:hAnsi="Times New Roman" w:eastAsia="宋体" w:cs="Times New Roman"/>
                <w:sz w:val="18"/>
                <w:szCs w:val="18"/>
                <w:highlight w:val="none"/>
                <w:lang w:val="en-US" w:eastAsia="zh-CN"/>
              </w:rPr>
              <w:t>，不考核</w:t>
            </w:r>
            <w:r>
              <w:rPr>
                <w:rFonts w:hint="default" w:ascii="Times New Roman" w:hAnsi="Times New Roman" w:eastAsia="宋体" w:cs="Times New Roman"/>
                <w:sz w:val="18"/>
                <w:szCs w:val="18"/>
                <w:highlight w:val="none"/>
                <w:lang w:val="en-US" w:eastAsia="zh-CN"/>
              </w:rPr>
              <w:t>活动</w:t>
            </w:r>
            <w:r>
              <w:rPr>
                <w:rFonts w:hint="eastAsia" w:ascii="Times New Roman" w:hAnsi="Times New Roman" w:eastAsia="宋体" w:cs="Times New Roman"/>
                <w:sz w:val="18"/>
                <w:szCs w:val="18"/>
                <w:highlight w:val="none"/>
                <w:lang w:val="en-US" w:eastAsia="zh-CN"/>
              </w:rPr>
              <w:t>型</w:t>
            </w:r>
            <w:r>
              <w:rPr>
                <w:rFonts w:hint="default" w:ascii="Times New Roman" w:hAnsi="Times New Roman" w:eastAsia="宋体" w:cs="Times New Roman"/>
                <w:sz w:val="18"/>
                <w:szCs w:val="18"/>
                <w:highlight w:val="none"/>
                <w:lang w:val="en-US" w:eastAsia="zh-CN"/>
              </w:rPr>
              <w:t>化妆笔芯</w:t>
            </w:r>
            <w:r>
              <w:rPr>
                <w:rFonts w:hint="eastAsia" w:ascii="Times New Roman" w:hAnsi="Times New Roman" w:eastAsia="宋体" w:cs="Times New Roman"/>
                <w:sz w:val="18"/>
                <w:szCs w:val="18"/>
                <w:highlight w:val="none"/>
                <w:lang w:val="en-US" w:eastAsia="zh-CN"/>
              </w:rPr>
              <w:t>。</w:t>
            </w:r>
          </w:p>
          <w:p>
            <w:pPr>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vertAlign w:val="superscript"/>
                <w:lang w:val="en-US" w:eastAsia="zh-CN"/>
              </w:rPr>
              <w:t xml:space="preserve">B  </w:t>
            </w:r>
            <w:r>
              <w:rPr>
                <w:rFonts w:hint="eastAsia" w:ascii="宋体" w:hAnsi="宋体" w:eastAsia="宋体" w:cs="宋体"/>
                <w:color w:val="auto"/>
                <w:sz w:val="18"/>
                <w:szCs w:val="18"/>
              </w:rPr>
              <w:t>仅考核含有滑石粉</w:t>
            </w:r>
            <w:r>
              <w:rPr>
                <w:rFonts w:hint="eastAsia" w:ascii="宋体" w:hAnsi="宋体" w:eastAsia="宋体" w:cs="宋体"/>
                <w:color w:val="auto"/>
                <w:sz w:val="18"/>
                <w:szCs w:val="18"/>
                <w:lang w:val="en-US" w:eastAsia="zh-CN"/>
              </w:rPr>
              <w:t>原料</w:t>
            </w:r>
            <w:r>
              <w:rPr>
                <w:rFonts w:hint="eastAsia" w:ascii="宋体" w:hAnsi="宋体" w:eastAsia="宋体" w:cs="宋体"/>
                <w:color w:val="auto"/>
                <w:sz w:val="18"/>
                <w:szCs w:val="18"/>
              </w:rPr>
              <w:t>的产品。</w:t>
            </w:r>
          </w:p>
          <w:p>
            <w:pPr>
              <w:ind w:firstLine="360" w:firstLineChars="200"/>
              <w:jc w:val="left"/>
              <w:rPr>
                <w:rFonts w:hint="eastAsia" w:ascii="宋体" w:hAnsi="宋体" w:eastAsia="宋体" w:cs="宋体"/>
                <w:sz w:val="18"/>
                <w:szCs w:val="18"/>
                <w:highlight w:val="none"/>
                <w:lang w:val="en-US" w:eastAsia="zh-CN"/>
              </w:rPr>
            </w:pPr>
            <w:r>
              <w:rPr>
                <w:rFonts w:hint="eastAsia" w:ascii="宋体" w:hAnsi="宋体" w:eastAsia="宋体" w:cs="宋体"/>
                <w:color w:val="auto"/>
                <w:sz w:val="18"/>
                <w:szCs w:val="18"/>
                <w:vertAlign w:val="superscript"/>
                <w:lang w:val="en-US" w:eastAsia="zh-CN"/>
              </w:rPr>
              <w:t>c</w:t>
            </w:r>
            <w:r>
              <w:rPr>
                <w:rFonts w:hint="eastAsia" w:ascii="宋体" w:hAnsi="宋体" w:eastAsia="宋体" w:cs="宋体"/>
                <w:color w:val="auto"/>
                <w:sz w:val="18"/>
                <w:szCs w:val="18"/>
                <w:vertAlign w:val="superscript"/>
              </w:rPr>
              <w:t xml:space="preserve"> </w:t>
            </w:r>
            <w:r>
              <w:rPr>
                <w:rFonts w:hint="eastAsia" w:hAnsi="Times New Roman"/>
                <w:color w:val="auto"/>
                <w:sz w:val="18"/>
                <w:szCs w:val="18"/>
                <w:vertAlign w:val="superscript"/>
              </w:rPr>
              <w:t xml:space="preserve"> </w:t>
            </w:r>
            <w:r>
              <w:rPr>
                <w:rFonts w:hint="eastAsia" w:hAnsi="宋体"/>
                <w:color w:val="auto"/>
                <w:kern w:val="2"/>
                <w:sz w:val="18"/>
                <w:szCs w:val="18"/>
              </w:rPr>
              <w:t>仅考核配方中含有</w:t>
            </w:r>
            <w:r>
              <w:rPr>
                <w:rFonts w:hint="eastAsia" w:hAnsi="宋体"/>
                <w:color w:val="auto"/>
                <w:sz w:val="18"/>
                <w:szCs w:val="18"/>
              </w:rPr>
              <w:t>乙氧基结构</w:t>
            </w:r>
            <w:r>
              <w:rPr>
                <w:rFonts w:hint="eastAsia" w:hAnsi="宋体"/>
                <w:color w:val="auto"/>
                <w:sz w:val="18"/>
                <w:szCs w:val="18"/>
                <w:lang w:val="en-US" w:eastAsia="zh-CN"/>
              </w:rPr>
              <w:t>原料成分</w:t>
            </w:r>
            <w:r>
              <w:rPr>
                <w:rFonts w:hint="eastAsia" w:hAnsi="宋体"/>
                <w:color w:val="auto"/>
                <w:sz w:val="18"/>
                <w:szCs w:val="18"/>
              </w:rPr>
              <w:t>的产品。</w:t>
            </w:r>
          </w:p>
        </w:tc>
      </w:tr>
    </w:tbl>
    <w:p>
      <w:pPr>
        <w:pStyle w:val="84"/>
        <w:spacing w:before="312" w:after="312"/>
        <w:rPr>
          <w:rFonts w:hint="eastAsia" w:ascii="黑体" w:hAnsi="Times New Roman" w:eastAsia="黑体" w:cs="Times New Roman"/>
          <w:b w:val="0"/>
          <w:bCs w:val="0"/>
          <w:kern w:val="0"/>
          <w:sz w:val="21"/>
          <w:szCs w:val="21"/>
          <w:lang w:val="en-US" w:eastAsia="zh-CN" w:bidi="ar-SA"/>
        </w:rPr>
      </w:pPr>
      <w:r>
        <w:rPr>
          <w:rFonts w:hint="eastAsia" w:cs="Times New Roman"/>
          <w:b w:val="0"/>
          <w:bCs w:val="0"/>
          <w:kern w:val="0"/>
          <w:sz w:val="21"/>
          <w:szCs w:val="21"/>
          <w:lang w:val="en-US" w:eastAsia="zh-CN" w:bidi="ar-SA"/>
        </w:rPr>
        <w:t>评价方法及等级划分</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bookmarkStart w:id="80" w:name="_Toc323891329"/>
      <w:bookmarkStart w:id="81" w:name="_Toc353278168"/>
      <w:bookmarkStart w:id="82" w:name="_Toc324165077"/>
      <w:bookmarkStart w:id="83" w:name="_Toc324165027"/>
      <w:bookmarkStart w:id="84" w:name="_Toc323891250"/>
      <w:r>
        <w:rPr>
          <w:rFonts w:hint="eastAsia" w:ascii="宋体" w:hAnsi="宋体" w:eastAsia="宋体" w:cs="宋体"/>
        </w:rPr>
        <w:t>对具体产品企业标准的全部指标进行综合评价，评价结果划分为先进水平（5星级）、平均水平（4星级）和基准水平（3星级），划分依据见表</w:t>
      </w:r>
      <w:r>
        <w:rPr>
          <w:rFonts w:hint="eastAsia" w:ascii="宋体" w:hAnsi="宋体" w:eastAsia="宋体" w:cs="宋体"/>
          <w:lang w:val="en-US" w:eastAsia="zh-CN"/>
        </w:rPr>
        <w:t>2</w:t>
      </w:r>
      <w:r>
        <w:rPr>
          <w:rFonts w:hint="eastAsia" w:ascii="宋体" w:hAnsi="宋体" w:eastAsia="宋体" w:cs="宋体"/>
        </w:rPr>
        <w:t>。</w:t>
      </w:r>
    </w:p>
    <w:bookmarkEnd w:id="80"/>
    <w:bookmarkEnd w:id="81"/>
    <w:bookmarkEnd w:id="82"/>
    <w:bookmarkEnd w:id="83"/>
    <w:bookmarkEnd w:id="84"/>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w:t>
      </w:r>
      <w:r>
        <w:rPr>
          <w:rFonts w:hint="eastAsia" w:ascii="宋体" w:hAnsi="宋体" w:eastAsia="宋体" w:cs="宋体"/>
          <w:lang w:val="en-US" w:eastAsia="zh-CN"/>
        </w:rPr>
        <w:t>2</w:t>
      </w:r>
      <w:r>
        <w:rPr>
          <w:rFonts w:hint="eastAsia" w:ascii="宋体" w:hAnsi="宋体" w:eastAsia="宋体" w:cs="宋体"/>
        </w:rPr>
        <w:t>中</w:t>
      </w:r>
      <w:r>
        <w:rPr>
          <w:rFonts w:hint="eastAsia" w:ascii="宋体" w:hAnsi="宋体" w:eastAsia="宋体" w:cs="宋体"/>
          <w:lang w:val="en-US" w:eastAsia="zh-CN"/>
        </w:rPr>
        <w:t>先进水平</w:t>
      </w:r>
      <w:r>
        <w:rPr>
          <w:rFonts w:hint="eastAsia" w:ascii="宋体" w:hAnsi="宋体" w:eastAsia="宋体" w:cs="宋体"/>
        </w:rPr>
        <w:t>的</w:t>
      </w:r>
      <w:r>
        <w:rPr>
          <w:rFonts w:hint="eastAsia" w:ascii="宋体" w:hAnsi="宋体" w:eastAsia="宋体" w:cs="宋体"/>
          <w:lang w:val="en-US" w:eastAsia="zh-CN"/>
        </w:rPr>
        <w:t>企业标准为先进水平（5星级），企业标准进入所对应具体产品的企业标准“领跑者”入围名单。符合表2中先进水平</w:t>
      </w:r>
      <w:r>
        <w:rPr>
          <w:rFonts w:hint="eastAsia" w:ascii="宋体" w:hAnsi="宋体" w:eastAsia="宋体"/>
          <w:sz w:val="21"/>
          <w:szCs w:val="24"/>
        </w:rPr>
        <w:t>标准等级要求的产品为5 星级产品，即“领跑者”产品</w:t>
      </w:r>
      <w:r>
        <w:rPr>
          <w:rFonts w:hint="eastAsia" w:ascii="宋体" w:hAnsi="宋体" w:eastAsia="宋体"/>
          <w:sz w:val="21"/>
          <w:szCs w:val="24"/>
          <w:lang w:eastAsia="zh-CN"/>
        </w:rPr>
        <w:t>。</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1中4.4图4-1自我声明“领跑者”标识，认证标识可使用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1中4.5图5-1“领跑者”认证标识</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w:t>
      </w:r>
      <w:r>
        <w:rPr>
          <w:rFonts w:hint="eastAsia" w:ascii="宋体" w:hAnsi="宋体" w:eastAsia="宋体" w:cs="宋体"/>
          <w:lang w:val="en-US" w:eastAsia="zh-CN"/>
        </w:rPr>
        <w:t>2</w:t>
      </w:r>
      <w:r>
        <w:rPr>
          <w:rFonts w:hint="eastAsia" w:ascii="宋体" w:hAnsi="宋体" w:eastAsia="宋体" w:cs="宋体"/>
        </w:rPr>
        <w:t>中</w:t>
      </w:r>
      <w:r>
        <w:rPr>
          <w:rFonts w:hint="eastAsia" w:ascii="宋体" w:hAnsi="宋体" w:eastAsia="宋体" w:cs="宋体"/>
          <w:lang w:val="en-US" w:eastAsia="zh-CN"/>
        </w:rPr>
        <w:t>平均</w:t>
      </w:r>
      <w:r>
        <w:rPr>
          <w:rFonts w:hint="eastAsia" w:ascii="宋体" w:hAnsi="宋体" w:eastAsia="宋体" w:cs="宋体"/>
        </w:rPr>
        <w:t>水平</w:t>
      </w:r>
      <w:r>
        <w:rPr>
          <w:rFonts w:hint="eastAsia" w:ascii="宋体" w:hAnsi="宋体" w:eastAsia="宋体" w:cs="宋体"/>
          <w:lang w:val="en-US" w:eastAsia="zh-CN"/>
        </w:rPr>
        <w:t>要求的企业标准为平均水平（4星级），符合表2中平均水平</w:t>
      </w:r>
      <w:r>
        <w:rPr>
          <w:rFonts w:hint="eastAsia" w:ascii="宋体" w:hAnsi="宋体" w:eastAsia="宋体"/>
          <w:sz w:val="21"/>
          <w:szCs w:val="24"/>
        </w:rPr>
        <w:t>标准等级要求的产品为4 星级产品，即“优质”产品。</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1中4.4图4-2自我声明“优质”标识，认证标识可使用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1中4.5图5-2“优质”认证标识</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综合评价满足表2中</w:t>
      </w:r>
      <w:r>
        <w:rPr>
          <w:rFonts w:hint="eastAsia" w:ascii="宋体" w:hAnsi="宋体" w:eastAsia="宋体" w:cs="宋体"/>
          <w:lang w:val="en-US" w:eastAsia="zh-CN"/>
        </w:rPr>
        <w:t>基准</w:t>
      </w:r>
      <w:r>
        <w:rPr>
          <w:rFonts w:hint="eastAsia" w:ascii="宋体" w:hAnsi="宋体" w:eastAsia="宋体" w:cs="宋体"/>
        </w:rPr>
        <w:t>水平</w:t>
      </w:r>
      <w:r>
        <w:rPr>
          <w:rFonts w:hint="eastAsia" w:ascii="宋体" w:hAnsi="宋体" w:eastAsia="宋体" w:cs="宋体"/>
          <w:lang w:val="en-US" w:eastAsia="zh-CN"/>
        </w:rPr>
        <w:t>要求</w:t>
      </w:r>
      <w:r>
        <w:rPr>
          <w:rFonts w:hint="eastAsia" w:ascii="宋体" w:hAnsi="宋体" w:eastAsia="宋体" w:cs="宋体"/>
        </w:rPr>
        <w:t>的</w:t>
      </w:r>
      <w:r>
        <w:rPr>
          <w:rFonts w:hint="eastAsia" w:ascii="宋体" w:hAnsi="宋体" w:eastAsia="宋体" w:cs="宋体"/>
          <w:lang w:val="en-US" w:eastAsia="zh-CN"/>
        </w:rPr>
        <w:t>企业标准为基准水平（3星级），符合表2中基准水平</w:t>
      </w:r>
      <w:r>
        <w:rPr>
          <w:rFonts w:hint="eastAsia" w:ascii="宋体" w:hAnsi="宋体" w:eastAsia="宋体"/>
          <w:sz w:val="21"/>
          <w:szCs w:val="24"/>
        </w:rPr>
        <w:t>标准等级要求的产品为3 星级产品，即“达标”产品。</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1中4.4图4-3自我声明“达标”标识，认证标识可使用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1中4.5图5-3“达标”认证标识</w:t>
      </w:r>
      <w:r>
        <w:rPr>
          <w:rFonts w:hint="eastAsia" w:ascii="宋体" w:hAnsi="宋体" w:eastAsia="宋体" w:cs="宋体"/>
        </w:rPr>
        <w:t>。</w:t>
      </w:r>
    </w:p>
    <w:p>
      <w:pPr>
        <w:rPr>
          <w:rFonts w:hint="eastAsia"/>
        </w:rPr>
      </w:pPr>
      <w:r>
        <w:rPr>
          <w:rFonts w:hint="eastAsia"/>
        </w:rPr>
        <w:br w:type="page"/>
      </w:r>
    </w:p>
    <w:p>
      <w:pPr>
        <w:pStyle w:val="4"/>
        <w:numPr>
          <w:ilvl w:val="0"/>
          <w:numId w:val="2"/>
        </w:numPr>
        <w:spacing w:before="156" w:beforeLines="50" w:line="240" w:lineRule="exact"/>
        <w:ind w:firstLineChars="0"/>
        <w:jc w:val="center"/>
        <w:rPr>
          <w:rFonts w:ascii="黑体" w:eastAsia="黑体"/>
          <w:highlight w:val="none"/>
        </w:rPr>
      </w:pPr>
      <w:r>
        <w:rPr>
          <w:rFonts w:hint="eastAsia" w:ascii="黑体" w:eastAsia="黑体"/>
          <w:highlight w:val="none"/>
        </w:rPr>
        <w:t>表2 指标评价要求及等级划分</w:t>
      </w:r>
    </w:p>
    <w:tbl>
      <w:tblPr>
        <w:tblStyle w:val="24"/>
        <w:tblpPr w:leftFromText="180" w:rightFromText="180" w:vertAnchor="text" w:horzAnchor="page" w:tblpX="1146" w:tblpY="295"/>
        <w:tblOverlap w:val="never"/>
        <w:tblW w:w="983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20"/>
        <w:gridCol w:w="1403"/>
        <w:gridCol w:w="3686"/>
        <w:gridCol w:w="234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76" w:type="dxa"/>
            <w:tcBorders>
              <w:bottom w:val="single" w:color="auto" w:sz="8" w:space="0"/>
            </w:tcBorders>
            <w:shd w:val="clear" w:color="auto" w:fill="auto"/>
            <w:vAlign w:val="center"/>
          </w:tcPr>
          <w:p>
            <w:pPr>
              <w:pStyle w:val="4"/>
              <w:ind w:firstLine="0" w:firstLineChars="0"/>
              <w:jc w:val="center"/>
              <w:rPr>
                <w:rFonts w:ascii="黑体" w:hAnsi="黑体" w:eastAsia="黑体" w:cs="黑体"/>
                <w:sz w:val="18"/>
                <w:szCs w:val="18"/>
                <w:highlight w:val="none"/>
              </w:rPr>
            </w:pPr>
            <w:bookmarkStart w:id="85" w:name="_Hlk35975549"/>
            <w:r>
              <w:rPr>
                <w:rFonts w:hint="eastAsia" w:ascii="黑体" w:hAnsi="黑体" w:eastAsia="黑体" w:cs="黑体"/>
                <w:sz w:val="18"/>
                <w:szCs w:val="18"/>
                <w:highlight w:val="none"/>
                <w:lang w:val="en-US" w:eastAsia="zh-CN"/>
              </w:rPr>
              <w:t>评价</w:t>
            </w:r>
            <w:r>
              <w:rPr>
                <w:rFonts w:hint="eastAsia" w:ascii="黑体" w:hAnsi="黑体" w:eastAsia="黑体" w:cs="黑体"/>
                <w:sz w:val="18"/>
                <w:szCs w:val="18"/>
                <w:highlight w:val="none"/>
              </w:rPr>
              <w:t>等级</w:t>
            </w:r>
          </w:p>
        </w:tc>
        <w:tc>
          <w:tcPr>
            <w:tcW w:w="8558" w:type="dxa"/>
            <w:gridSpan w:val="4"/>
            <w:tcBorders>
              <w:bottom w:val="single" w:color="auto" w:sz="8" w:space="0"/>
            </w:tcBorders>
            <w:shd w:val="clear" w:color="auto" w:fill="auto"/>
            <w:vAlign w:val="center"/>
          </w:tcPr>
          <w:p>
            <w:pPr>
              <w:spacing w:line="360" w:lineRule="auto"/>
              <w:jc w:val="center"/>
              <w:rPr>
                <w:rFonts w:ascii="黑体" w:hAnsi="黑体" w:eastAsia="黑体" w:cs="黑体"/>
                <w:sz w:val="18"/>
                <w:szCs w:val="18"/>
                <w:highlight w:val="none"/>
              </w:rPr>
            </w:pPr>
            <w:r>
              <w:rPr>
                <w:rFonts w:hint="eastAsia" w:ascii="黑体" w:hAnsi="黑体" w:eastAsia="黑体" w:cs="黑体"/>
                <w:sz w:val="18"/>
                <w:szCs w:val="18"/>
                <w:highlight w:val="none"/>
              </w:rPr>
              <w:t>满足条件</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auto" w:sz="8" w:space="0"/>
            </w:tcBorders>
            <w:shd w:val="clear" w:color="auto" w:fill="auto"/>
            <w:vAlign w:val="center"/>
          </w:tcPr>
          <w:p>
            <w:pPr>
              <w:pStyle w:val="4"/>
              <w:ind w:firstLine="0" w:firstLineChars="0"/>
              <w:jc w:val="center"/>
              <w:rPr>
                <w:rFonts w:hint="eastAsia" w:hAnsi="宋体" w:eastAsia="宋体" w:cs="宋体"/>
                <w:sz w:val="18"/>
                <w:szCs w:val="18"/>
                <w:highlight w:val="none"/>
                <w:lang w:eastAsia="zh-CN"/>
              </w:rPr>
            </w:pPr>
            <w:r>
              <w:rPr>
                <w:rFonts w:hint="eastAsia" w:hAnsi="宋体" w:eastAsia="宋体" w:cs="宋体"/>
                <w:sz w:val="18"/>
                <w:szCs w:val="18"/>
                <w:highlight w:val="none"/>
                <w:lang w:val="en-US" w:eastAsia="zh-CN"/>
              </w:rPr>
              <w:t>先进</w:t>
            </w:r>
            <w:r>
              <w:rPr>
                <w:rFonts w:hint="eastAsia" w:hAnsi="宋体" w:eastAsia="宋体" w:cs="宋体"/>
                <w:sz w:val="18"/>
                <w:szCs w:val="18"/>
                <w:highlight w:val="none"/>
                <w:lang w:eastAsia="zh-CN"/>
              </w:rPr>
              <w:t>水平</w:t>
            </w:r>
          </w:p>
          <w:p>
            <w:pPr>
              <w:pStyle w:val="4"/>
              <w:ind w:firstLine="0" w:firstLineChars="0"/>
              <w:jc w:val="center"/>
              <w:rPr>
                <w:rFonts w:hint="eastAsia" w:hAnsi="宋体" w:eastAsia="宋体" w:cs="宋体"/>
                <w:sz w:val="18"/>
                <w:szCs w:val="18"/>
                <w:highlight w:val="none"/>
                <w:lang w:eastAsia="zh-CN"/>
              </w:rPr>
            </w:pPr>
            <w:r>
              <w:rPr>
                <w:rFonts w:hint="eastAsia" w:hAnsi="宋体" w:eastAsia="宋体" w:cs="宋体"/>
                <w:sz w:val="18"/>
                <w:szCs w:val="18"/>
                <w:highlight w:val="none"/>
                <w:lang w:eastAsia="zh-CN"/>
              </w:rPr>
              <w:t>（</w:t>
            </w:r>
            <w:r>
              <w:rPr>
                <w:rFonts w:hint="eastAsia" w:hAnsi="宋体" w:eastAsia="宋体" w:cs="宋体"/>
                <w:sz w:val="18"/>
                <w:szCs w:val="18"/>
                <w:highlight w:val="none"/>
                <w:lang w:val="en-US" w:eastAsia="zh-CN"/>
              </w:rPr>
              <w:t>5星级</w:t>
            </w:r>
            <w:r>
              <w:rPr>
                <w:rFonts w:hint="eastAsia" w:hAnsi="宋体" w:eastAsia="宋体" w:cs="宋体"/>
                <w:sz w:val="18"/>
                <w:szCs w:val="18"/>
                <w:highlight w:val="none"/>
                <w:lang w:eastAsia="zh-CN"/>
              </w:rPr>
              <w:t>）</w:t>
            </w:r>
          </w:p>
        </w:tc>
        <w:tc>
          <w:tcPr>
            <w:tcW w:w="1120"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基本要求</w:t>
            </w:r>
          </w:p>
        </w:tc>
        <w:tc>
          <w:tcPr>
            <w:tcW w:w="1403"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基础指标要求</w:t>
            </w:r>
          </w:p>
        </w:tc>
        <w:tc>
          <w:tcPr>
            <w:tcW w:w="3686" w:type="dxa"/>
            <w:tcBorders>
              <w:top w:val="single" w:color="auto" w:sz="8"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先进</w:t>
            </w:r>
            <w:r>
              <w:rPr>
                <w:rFonts w:hint="eastAsia" w:ascii="宋体" w:hAnsi="宋体" w:eastAsia="宋体" w:cs="宋体"/>
                <w:sz w:val="18"/>
                <w:szCs w:val="18"/>
                <w:highlight w:val="none"/>
                <w:lang w:eastAsia="zh-CN"/>
              </w:rPr>
              <w:t>水平</w:t>
            </w:r>
            <w:r>
              <w:rPr>
                <w:rFonts w:hint="eastAsia" w:ascii="宋体" w:hAnsi="宋体" w:eastAsia="宋体" w:cs="宋体"/>
                <w:sz w:val="18"/>
                <w:szCs w:val="18"/>
                <w:highlight w:val="none"/>
              </w:rPr>
              <w:t>（5星级）要求</w:t>
            </w:r>
          </w:p>
        </w:tc>
        <w:tc>
          <w:tcPr>
            <w:tcW w:w="2349" w:type="dxa"/>
            <w:tcBorders>
              <w:top w:val="single" w:color="auto" w:sz="8" w:space="0"/>
            </w:tcBorders>
            <w:shd w:val="clear" w:color="auto" w:fill="auto"/>
            <w:vAlign w:val="center"/>
          </w:tcPr>
          <w:p>
            <w:pPr>
              <w:adjustRightInd w:val="0"/>
              <w:snapToGrid w:val="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创新指标要求</w:t>
            </w:r>
            <w:r>
              <w:rPr>
                <w:rFonts w:hint="eastAsia" w:ascii="宋体" w:hAnsi="宋体" w:eastAsia="宋体" w:cs="宋体"/>
                <w:sz w:val="18"/>
                <w:szCs w:val="18"/>
                <w:highlight w:val="none"/>
                <w:lang w:val="en-US" w:eastAsia="zh-CN"/>
              </w:rPr>
              <w:t>至少达到2项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bottom w:val="single" w:color="000000" w:sz="4" w:space="0"/>
            </w:tcBorders>
            <w:shd w:val="clear" w:color="auto" w:fill="auto"/>
            <w:vAlign w:val="center"/>
          </w:tcPr>
          <w:p>
            <w:pPr>
              <w:pStyle w:val="4"/>
              <w:ind w:firstLine="0" w:firstLineChars="0"/>
              <w:jc w:val="center"/>
              <w:rPr>
                <w:rFonts w:hint="eastAsia" w:hAnsi="宋体" w:eastAsia="宋体" w:cs="宋体"/>
                <w:sz w:val="18"/>
                <w:szCs w:val="18"/>
                <w:highlight w:val="none"/>
                <w:lang w:eastAsia="zh-CN"/>
              </w:rPr>
            </w:pPr>
            <w:r>
              <w:rPr>
                <w:rFonts w:hint="eastAsia" w:hAnsi="宋体" w:eastAsia="宋体" w:cs="宋体"/>
                <w:sz w:val="18"/>
                <w:szCs w:val="18"/>
                <w:highlight w:val="none"/>
                <w:lang w:val="en-US" w:eastAsia="zh-CN"/>
              </w:rPr>
              <w:t>平均</w:t>
            </w:r>
            <w:r>
              <w:rPr>
                <w:rFonts w:hint="eastAsia" w:hAnsi="宋体" w:eastAsia="宋体" w:cs="宋体"/>
                <w:sz w:val="18"/>
                <w:szCs w:val="18"/>
                <w:highlight w:val="none"/>
                <w:lang w:eastAsia="zh-CN"/>
              </w:rPr>
              <w:t>水平</w:t>
            </w:r>
          </w:p>
          <w:p>
            <w:pPr>
              <w:pStyle w:val="4"/>
              <w:ind w:firstLine="0" w:firstLineChars="0"/>
              <w:jc w:val="center"/>
              <w:rPr>
                <w:rFonts w:hint="eastAsia" w:hAnsi="宋体" w:eastAsia="宋体" w:cs="宋体"/>
                <w:sz w:val="18"/>
                <w:szCs w:val="18"/>
                <w:highlight w:val="none"/>
                <w:lang w:eastAsia="zh-CN"/>
              </w:rPr>
            </w:pPr>
            <w:r>
              <w:rPr>
                <w:rFonts w:hint="eastAsia" w:hAnsi="宋体" w:eastAsia="宋体" w:cs="宋体"/>
                <w:sz w:val="18"/>
                <w:szCs w:val="18"/>
                <w:highlight w:val="none"/>
                <w:lang w:eastAsia="zh-CN"/>
              </w:rPr>
              <w:t>（</w:t>
            </w:r>
            <w:r>
              <w:rPr>
                <w:rFonts w:hint="eastAsia" w:hAnsi="宋体" w:eastAsia="宋体" w:cs="宋体"/>
                <w:sz w:val="18"/>
                <w:szCs w:val="18"/>
                <w:highlight w:val="none"/>
                <w:lang w:val="en-US" w:eastAsia="zh-CN"/>
              </w:rPr>
              <w:t>4星级</w:t>
            </w:r>
            <w:r>
              <w:rPr>
                <w:rFonts w:hint="eastAsia" w:hAnsi="宋体" w:eastAsia="宋体" w:cs="宋体"/>
                <w:sz w:val="18"/>
                <w:szCs w:val="18"/>
                <w:highlight w:val="none"/>
                <w:lang w:eastAsia="zh-CN"/>
              </w:rPr>
              <w:t>）</w:t>
            </w:r>
          </w:p>
        </w:tc>
        <w:tc>
          <w:tcPr>
            <w:tcW w:w="1120"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3686" w:type="dxa"/>
            <w:tcBorders>
              <w:bottom w:val="single" w:color="000000" w:sz="4" w:space="0"/>
            </w:tcBorders>
            <w:shd w:val="clear" w:color="auto" w:fill="auto"/>
            <w:vAlign w:val="center"/>
          </w:tcPr>
          <w:p>
            <w:pPr>
              <w:adjustRightInd w:val="0"/>
              <w:snapToGrid w:val="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平均</w:t>
            </w:r>
            <w:r>
              <w:rPr>
                <w:rFonts w:hint="eastAsia" w:ascii="宋体" w:hAnsi="宋体" w:eastAsia="宋体" w:cs="宋体"/>
                <w:sz w:val="18"/>
                <w:szCs w:val="18"/>
                <w:highlight w:val="none"/>
                <w:lang w:eastAsia="zh-CN"/>
              </w:rPr>
              <w:t>水平</w:t>
            </w:r>
            <w:r>
              <w:rPr>
                <w:rFonts w:hint="eastAsia" w:ascii="宋体" w:hAnsi="宋体" w:eastAsia="宋体" w:cs="宋体"/>
                <w:sz w:val="18"/>
                <w:szCs w:val="18"/>
                <w:highlight w:val="none"/>
              </w:rPr>
              <w:t>（4星级）要求</w:t>
            </w:r>
          </w:p>
        </w:tc>
        <w:tc>
          <w:tcPr>
            <w:tcW w:w="2349" w:type="dxa"/>
            <w:tcBorders>
              <w:bottom w:val="single" w:color="000000" w:sz="4"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创新指标要求</w:t>
            </w:r>
            <w:r>
              <w:rPr>
                <w:rFonts w:hint="eastAsia" w:ascii="宋体" w:hAnsi="宋体" w:eastAsia="宋体" w:cs="宋体"/>
                <w:sz w:val="18"/>
                <w:szCs w:val="18"/>
                <w:highlight w:val="none"/>
                <w:lang w:val="en-US" w:eastAsia="zh-CN"/>
              </w:rPr>
              <w:t>至少达到1项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000000" w:sz="4" w:space="0"/>
            </w:tcBorders>
            <w:shd w:val="clear" w:color="auto" w:fill="auto"/>
            <w:vAlign w:val="center"/>
          </w:tcPr>
          <w:p>
            <w:pPr>
              <w:pStyle w:val="4"/>
              <w:ind w:firstLine="0" w:firstLineChars="0"/>
              <w:jc w:val="center"/>
              <w:rPr>
                <w:rFonts w:hint="eastAsia" w:hAnsi="宋体" w:eastAsia="宋体" w:cs="宋体"/>
                <w:sz w:val="18"/>
                <w:szCs w:val="18"/>
                <w:highlight w:val="none"/>
                <w:lang w:eastAsia="zh-CN"/>
              </w:rPr>
            </w:pPr>
            <w:r>
              <w:rPr>
                <w:rFonts w:hint="eastAsia" w:hAnsi="宋体" w:eastAsia="宋体" w:cs="宋体"/>
                <w:sz w:val="18"/>
                <w:szCs w:val="18"/>
                <w:highlight w:val="none"/>
                <w:lang w:val="en-US" w:eastAsia="zh-CN"/>
              </w:rPr>
              <w:t>基准</w:t>
            </w:r>
            <w:r>
              <w:rPr>
                <w:rFonts w:hint="eastAsia" w:hAnsi="宋体" w:eastAsia="宋体" w:cs="宋体"/>
                <w:sz w:val="18"/>
                <w:szCs w:val="18"/>
                <w:highlight w:val="none"/>
                <w:lang w:eastAsia="zh-CN"/>
              </w:rPr>
              <w:t>水平</w:t>
            </w:r>
          </w:p>
          <w:p>
            <w:pPr>
              <w:pStyle w:val="4"/>
              <w:ind w:firstLine="0" w:firstLineChars="0"/>
              <w:jc w:val="center"/>
              <w:rPr>
                <w:rFonts w:hint="eastAsia" w:hAnsi="宋体" w:eastAsia="宋体" w:cs="宋体"/>
                <w:sz w:val="18"/>
                <w:szCs w:val="18"/>
                <w:highlight w:val="none"/>
                <w:lang w:eastAsia="zh-CN"/>
              </w:rPr>
            </w:pPr>
            <w:r>
              <w:rPr>
                <w:rFonts w:hint="eastAsia" w:hAnsi="宋体" w:eastAsia="宋体" w:cs="宋体"/>
                <w:sz w:val="18"/>
                <w:szCs w:val="18"/>
                <w:highlight w:val="none"/>
                <w:lang w:eastAsia="zh-CN"/>
              </w:rPr>
              <w:t>（</w:t>
            </w:r>
            <w:r>
              <w:rPr>
                <w:rFonts w:hint="eastAsia" w:hAnsi="宋体" w:eastAsia="宋体" w:cs="宋体"/>
                <w:sz w:val="18"/>
                <w:szCs w:val="18"/>
                <w:highlight w:val="none"/>
                <w:lang w:val="en-US" w:eastAsia="zh-CN"/>
              </w:rPr>
              <w:t>3星级</w:t>
            </w:r>
            <w:r>
              <w:rPr>
                <w:rFonts w:hint="eastAsia" w:hAnsi="宋体" w:eastAsia="宋体" w:cs="宋体"/>
                <w:sz w:val="18"/>
                <w:szCs w:val="18"/>
                <w:highlight w:val="none"/>
                <w:lang w:eastAsia="zh-CN"/>
              </w:rPr>
              <w:t>）</w:t>
            </w:r>
          </w:p>
        </w:tc>
        <w:tc>
          <w:tcPr>
            <w:tcW w:w="1120"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3686" w:type="dxa"/>
            <w:tcBorders>
              <w:top w:val="single" w:color="000000" w:sz="4"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基准</w:t>
            </w:r>
            <w:r>
              <w:rPr>
                <w:rFonts w:hint="eastAsia" w:ascii="宋体" w:hAnsi="宋体" w:eastAsia="宋体" w:cs="宋体"/>
                <w:sz w:val="18"/>
                <w:szCs w:val="18"/>
                <w:highlight w:val="none"/>
                <w:lang w:eastAsia="zh-CN"/>
              </w:rPr>
              <w:t>水平</w:t>
            </w:r>
            <w:r>
              <w:rPr>
                <w:rFonts w:hint="eastAsia" w:ascii="宋体" w:hAnsi="宋体" w:eastAsia="宋体" w:cs="宋体"/>
                <w:sz w:val="18"/>
                <w:szCs w:val="18"/>
                <w:highlight w:val="none"/>
              </w:rPr>
              <w:t>（3星级）要求</w:t>
            </w:r>
          </w:p>
        </w:tc>
        <w:tc>
          <w:tcPr>
            <w:tcW w:w="2349"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highlight w:val="none"/>
              </w:rPr>
            </w:pPr>
            <w:r>
              <w:rPr>
                <w:rFonts w:hint="eastAsia" w:hAnsi="宋体" w:eastAsia="宋体" w:cs="宋体"/>
                <w:sz w:val="18"/>
                <w:szCs w:val="18"/>
                <w:highlight w:val="none"/>
              </w:rPr>
              <w:t>—</w:t>
            </w:r>
          </w:p>
        </w:tc>
      </w:tr>
      <w:bookmarkEnd w:id="85"/>
    </w:tbl>
    <w:p>
      <w:pPr>
        <w:pStyle w:val="4"/>
        <w:numPr>
          <w:ilvl w:val="0"/>
          <w:numId w:val="0"/>
        </w:numPr>
        <w:spacing w:before="156" w:beforeLines="50" w:after="156" w:afterLines="50"/>
        <w:ind w:leftChars="0"/>
        <w:jc w:val="both"/>
        <w:rPr>
          <w:rFonts w:ascii="黑体" w:eastAsia="黑体"/>
          <w:highlight w:val="none"/>
        </w:rPr>
      </w:pPr>
      <w:r>
        <w:rPr>
          <w:rFonts w:ascii="Times New Roman" w:hAnsi="Times New Roman"/>
          <w:highlight w:val="none"/>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1931670</wp:posOffset>
                </wp:positionV>
                <wp:extent cx="2272665" cy="0"/>
                <wp:effectExtent l="5080" t="5080" r="8255" b="1397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62.5pt;margin-top:152.1pt;height:0pt;width:178.95pt;z-index:251661312;mso-width-relative:page;mso-height-relative:page;" filled="f" stroked="t" coordsize="21600,21600" o:gfxdata="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aSZy2AAAAAsBAAAPAAAAAAAAAAEA&#10;IAAAACIAAABkcnMvZG93bnJldi54bWxQSwECFAAUAAAACACHTuJAEM42idYBAACzAwAADgAAAAAA&#10;AAABACAAAAAnAQAAZHJzL2Uyb0RvYy54bWxQSwUGAAAAAAYABgBZAQAAbwUAAAAA&#10;">
                <v:fill on="f" focussize="0,0"/>
                <v:stroke color="#000000" joinstyle="round"/>
                <v:imagedata o:title=""/>
                <o:lock v:ext="edit" aspectratio="f"/>
              </v:shape>
            </w:pict>
          </mc:Fallback>
        </mc:AlternateContent>
      </w:r>
      <w:bookmarkEnd w:id="69"/>
      <w:bookmarkEnd w:id="70"/>
      <w:bookmarkEnd w:id="71"/>
      <w:bookmarkEnd w:id="72"/>
      <w:bookmarkEnd w:id="73"/>
      <w:bookmarkEnd w:id="74"/>
      <w:bookmarkEnd w:id="76"/>
      <w:bookmarkEnd w:id="77"/>
      <w:bookmarkEnd w:id="78"/>
    </w:p>
    <w:sectPr>
      <w:footerReference r:id="rId5" w:type="default"/>
      <w:pgSz w:w="11906" w:h="16838"/>
      <w:pgMar w:top="1134" w:right="1134" w:bottom="1134" w:left="1134" w:header="907" w:footer="85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Times New Roman" w:hAnsi="Times New Roman" w:cs="Times New Roman"/>
      </w:rPr>
    </w:pPr>
    <w:r>
      <w:rPr>
        <w:rFonts w:ascii="Times New Roman" w:hAnsi="Times New Roman" w:cs="Times New Roman"/>
      </w:rP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3"/>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4"/>
      <w:suff w:val="nothing"/>
      <w:lvlText w:val="%1%2　"/>
      <w:lvlJc w:val="left"/>
      <w:pPr>
        <w:ind w:left="0" w:firstLine="0"/>
      </w:pPr>
      <w:rPr>
        <w:rFonts w:hint="eastAsia" w:ascii="黑体" w:hAnsi="Times New Roman"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OWY4NzlhM2UyNmY1ODEzYWNmYzM0ZmE1NjZjYjAifQ=="/>
  </w:docVars>
  <w:rsids>
    <w:rsidRoot w:val="00172A27"/>
    <w:rsid w:val="000300A6"/>
    <w:rsid w:val="000D746D"/>
    <w:rsid w:val="0010549C"/>
    <w:rsid w:val="00113B38"/>
    <w:rsid w:val="001F17FA"/>
    <w:rsid w:val="001F1A83"/>
    <w:rsid w:val="00291BD6"/>
    <w:rsid w:val="00294203"/>
    <w:rsid w:val="002A43B9"/>
    <w:rsid w:val="0036091F"/>
    <w:rsid w:val="00383BFC"/>
    <w:rsid w:val="00432B0E"/>
    <w:rsid w:val="00456864"/>
    <w:rsid w:val="004C70C8"/>
    <w:rsid w:val="004D5A24"/>
    <w:rsid w:val="00510E7A"/>
    <w:rsid w:val="00575322"/>
    <w:rsid w:val="005E5918"/>
    <w:rsid w:val="00674783"/>
    <w:rsid w:val="00743E65"/>
    <w:rsid w:val="00764771"/>
    <w:rsid w:val="007B529A"/>
    <w:rsid w:val="007E26A9"/>
    <w:rsid w:val="008803BF"/>
    <w:rsid w:val="00987042"/>
    <w:rsid w:val="00A137E4"/>
    <w:rsid w:val="00B51C1B"/>
    <w:rsid w:val="00BC2766"/>
    <w:rsid w:val="00D71493"/>
    <w:rsid w:val="00D87475"/>
    <w:rsid w:val="00E5036C"/>
    <w:rsid w:val="00E52B5B"/>
    <w:rsid w:val="00F70A05"/>
    <w:rsid w:val="00FB7C61"/>
    <w:rsid w:val="00FF5F7D"/>
    <w:rsid w:val="013D1161"/>
    <w:rsid w:val="0157144D"/>
    <w:rsid w:val="017A10E5"/>
    <w:rsid w:val="017F0419"/>
    <w:rsid w:val="01A22C15"/>
    <w:rsid w:val="01A40D00"/>
    <w:rsid w:val="01B13D6C"/>
    <w:rsid w:val="023736B1"/>
    <w:rsid w:val="02985DC6"/>
    <w:rsid w:val="033E3BD6"/>
    <w:rsid w:val="03D351A4"/>
    <w:rsid w:val="04231082"/>
    <w:rsid w:val="0430275A"/>
    <w:rsid w:val="04396DED"/>
    <w:rsid w:val="0463049D"/>
    <w:rsid w:val="04BC5D9C"/>
    <w:rsid w:val="052E6005"/>
    <w:rsid w:val="0532620C"/>
    <w:rsid w:val="054162A1"/>
    <w:rsid w:val="056C1E37"/>
    <w:rsid w:val="05724EA8"/>
    <w:rsid w:val="0590560B"/>
    <w:rsid w:val="05AB4C03"/>
    <w:rsid w:val="060A00C1"/>
    <w:rsid w:val="06603FA5"/>
    <w:rsid w:val="06B223B0"/>
    <w:rsid w:val="06C31FE9"/>
    <w:rsid w:val="0715674C"/>
    <w:rsid w:val="07E47470"/>
    <w:rsid w:val="08314631"/>
    <w:rsid w:val="08430582"/>
    <w:rsid w:val="08652BE4"/>
    <w:rsid w:val="08CB026F"/>
    <w:rsid w:val="08D916B3"/>
    <w:rsid w:val="08FF41FE"/>
    <w:rsid w:val="09374DB2"/>
    <w:rsid w:val="09761182"/>
    <w:rsid w:val="099771D4"/>
    <w:rsid w:val="09B034BB"/>
    <w:rsid w:val="0A0E0485"/>
    <w:rsid w:val="0A670478"/>
    <w:rsid w:val="0AB84C2C"/>
    <w:rsid w:val="0B3B6FFB"/>
    <w:rsid w:val="0B5B072C"/>
    <w:rsid w:val="0B914450"/>
    <w:rsid w:val="0BBA4FFF"/>
    <w:rsid w:val="0BC773BD"/>
    <w:rsid w:val="0C0C5CC9"/>
    <w:rsid w:val="0C4548C9"/>
    <w:rsid w:val="0C8D346B"/>
    <w:rsid w:val="0CA91BCB"/>
    <w:rsid w:val="0CEC743A"/>
    <w:rsid w:val="0CFD51A3"/>
    <w:rsid w:val="0D2563C4"/>
    <w:rsid w:val="0D970F8B"/>
    <w:rsid w:val="0DC91474"/>
    <w:rsid w:val="0DFC3F18"/>
    <w:rsid w:val="0E0662D9"/>
    <w:rsid w:val="0E337A7A"/>
    <w:rsid w:val="0E364E7D"/>
    <w:rsid w:val="0E7E0566"/>
    <w:rsid w:val="0EB73455"/>
    <w:rsid w:val="0EBD6C3D"/>
    <w:rsid w:val="0EF279EF"/>
    <w:rsid w:val="0F4C0664"/>
    <w:rsid w:val="0F5C0C86"/>
    <w:rsid w:val="0F7F3E70"/>
    <w:rsid w:val="0F900551"/>
    <w:rsid w:val="0F9A13CF"/>
    <w:rsid w:val="0F9B1A19"/>
    <w:rsid w:val="0FA062BA"/>
    <w:rsid w:val="100A1F35"/>
    <w:rsid w:val="101C784D"/>
    <w:rsid w:val="10617814"/>
    <w:rsid w:val="106519DD"/>
    <w:rsid w:val="112E3AE6"/>
    <w:rsid w:val="116D17AA"/>
    <w:rsid w:val="11946955"/>
    <w:rsid w:val="11993255"/>
    <w:rsid w:val="11AF4661"/>
    <w:rsid w:val="11C3029D"/>
    <w:rsid w:val="12132744"/>
    <w:rsid w:val="123950D3"/>
    <w:rsid w:val="1247326C"/>
    <w:rsid w:val="124A7371"/>
    <w:rsid w:val="13386D6B"/>
    <w:rsid w:val="135209F1"/>
    <w:rsid w:val="13904FC3"/>
    <w:rsid w:val="13C52E49"/>
    <w:rsid w:val="13D70D51"/>
    <w:rsid w:val="14025795"/>
    <w:rsid w:val="140908D1"/>
    <w:rsid w:val="141A7667"/>
    <w:rsid w:val="143E2655"/>
    <w:rsid w:val="14553B17"/>
    <w:rsid w:val="14574345"/>
    <w:rsid w:val="14741101"/>
    <w:rsid w:val="14991245"/>
    <w:rsid w:val="14C81A79"/>
    <w:rsid w:val="14FE5F5C"/>
    <w:rsid w:val="15616904"/>
    <w:rsid w:val="1565422D"/>
    <w:rsid w:val="158F3762"/>
    <w:rsid w:val="15B34F99"/>
    <w:rsid w:val="15D40117"/>
    <w:rsid w:val="16B77FD1"/>
    <w:rsid w:val="173125FF"/>
    <w:rsid w:val="174F2A9F"/>
    <w:rsid w:val="17991F6C"/>
    <w:rsid w:val="17D17958"/>
    <w:rsid w:val="17DA13A7"/>
    <w:rsid w:val="180E4A95"/>
    <w:rsid w:val="185D743E"/>
    <w:rsid w:val="18DD79A1"/>
    <w:rsid w:val="18FE652B"/>
    <w:rsid w:val="1915467C"/>
    <w:rsid w:val="194D55A9"/>
    <w:rsid w:val="19530BC8"/>
    <w:rsid w:val="19C76021"/>
    <w:rsid w:val="19FF1A47"/>
    <w:rsid w:val="1A7123F6"/>
    <w:rsid w:val="1A887C80"/>
    <w:rsid w:val="1ABA1D83"/>
    <w:rsid w:val="1AE80243"/>
    <w:rsid w:val="1B240FCE"/>
    <w:rsid w:val="1B886580"/>
    <w:rsid w:val="1B910DB4"/>
    <w:rsid w:val="1BEA3F71"/>
    <w:rsid w:val="1C116575"/>
    <w:rsid w:val="1C13738E"/>
    <w:rsid w:val="1C2D7829"/>
    <w:rsid w:val="1C5C03A3"/>
    <w:rsid w:val="1CE31C2F"/>
    <w:rsid w:val="1D1B2CB8"/>
    <w:rsid w:val="1DCF0496"/>
    <w:rsid w:val="1DD54CF5"/>
    <w:rsid w:val="1E704E6F"/>
    <w:rsid w:val="1ED17431"/>
    <w:rsid w:val="1EF66055"/>
    <w:rsid w:val="1F117EF7"/>
    <w:rsid w:val="1F365B58"/>
    <w:rsid w:val="1F5A062B"/>
    <w:rsid w:val="1F9C4CF0"/>
    <w:rsid w:val="1FB05E2C"/>
    <w:rsid w:val="1FBB41D0"/>
    <w:rsid w:val="1FE20197"/>
    <w:rsid w:val="20286583"/>
    <w:rsid w:val="205828FC"/>
    <w:rsid w:val="20BF5065"/>
    <w:rsid w:val="21076199"/>
    <w:rsid w:val="2118156D"/>
    <w:rsid w:val="212E7BC9"/>
    <w:rsid w:val="216364D8"/>
    <w:rsid w:val="21E6650E"/>
    <w:rsid w:val="2208545E"/>
    <w:rsid w:val="22927EB5"/>
    <w:rsid w:val="22AE5D73"/>
    <w:rsid w:val="235F050E"/>
    <w:rsid w:val="239038EC"/>
    <w:rsid w:val="23962050"/>
    <w:rsid w:val="23C245F9"/>
    <w:rsid w:val="24170DE9"/>
    <w:rsid w:val="244F54A0"/>
    <w:rsid w:val="250F1AC0"/>
    <w:rsid w:val="25770F38"/>
    <w:rsid w:val="25DE2943"/>
    <w:rsid w:val="25EF789C"/>
    <w:rsid w:val="26F725F1"/>
    <w:rsid w:val="27111B1F"/>
    <w:rsid w:val="275613EA"/>
    <w:rsid w:val="27651E6B"/>
    <w:rsid w:val="27A62658"/>
    <w:rsid w:val="27A75FE0"/>
    <w:rsid w:val="27DA27C2"/>
    <w:rsid w:val="28011B94"/>
    <w:rsid w:val="28212236"/>
    <w:rsid w:val="2829057B"/>
    <w:rsid w:val="28404E9B"/>
    <w:rsid w:val="286F11F3"/>
    <w:rsid w:val="2888032F"/>
    <w:rsid w:val="28E717BF"/>
    <w:rsid w:val="29104EC2"/>
    <w:rsid w:val="29347ACD"/>
    <w:rsid w:val="298A4D77"/>
    <w:rsid w:val="29EA7DDC"/>
    <w:rsid w:val="2A093583"/>
    <w:rsid w:val="2A135BAE"/>
    <w:rsid w:val="2A4B17EC"/>
    <w:rsid w:val="2A621607"/>
    <w:rsid w:val="2AA607D0"/>
    <w:rsid w:val="2AD27734"/>
    <w:rsid w:val="2ADC41F2"/>
    <w:rsid w:val="2B003D2F"/>
    <w:rsid w:val="2B1B665A"/>
    <w:rsid w:val="2B591CE7"/>
    <w:rsid w:val="2BE710A1"/>
    <w:rsid w:val="2BEE3000"/>
    <w:rsid w:val="2BFD08C4"/>
    <w:rsid w:val="2C516C94"/>
    <w:rsid w:val="2C5219A4"/>
    <w:rsid w:val="2C6E21E4"/>
    <w:rsid w:val="2C932FD6"/>
    <w:rsid w:val="2CD7257D"/>
    <w:rsid w:val="2CF972DD"/>
    <w:rsid w:val="2D0F6DD8"/>
    <w:rsid w:val="2D2770B2"/>
    <w:rsid w:val="2D502C75"/>
    <w:rsid w:val="2DCF003E"/>
    <w:rsid w:val="2E450564"/>
    <w:rsid w:val="2E494294"/>
    <w:rsid w:val="2EFF2BA5"/>
    <w:rsid w:val="2F0270F7"/>
    <w:rsid w:val="2F61666C"/>
    <w:rsid w:val="30734518"/>
    <w:rsid w:val="307B44AD"/>
    <w:rsid w:val="30B23898"/>
    <w:rsid w:val="3102072B"/>
    <w:rsid w:val="317E4255"/>
    <w:rsid w:val="31C205E6"/>
    <w:rsid w:val="31C6519A"/>
    <w:rsid w:val="31C73034"/>
    <w:rsid w:val="32087FC3"/>
    <w:rsid w:val="320F4EAD"/>
    <w:rsid w:val="322A6C7A"/>
    <w:rsid w:val="322D5960"/>
    <w:rsid w:val="32356F54"/>
    <w:rsid w:val="327862EE"/>
    <w:rsid w:val="32856C03"/>
    <w:rsid w:val="32A76BDA"/>
    <w:rsid w:val="32B33085"/>
    <w:rsid w:val="32E160FF"/>
    <w:rsid w:val="32F13CE5"/>
    <w:rsid w:val="32F32A21"/>
    <w:rsid w:val="32F553A9"/>
    <w:rsid w:val="330172C6"/>
    <w:rsid w:val="334131D3"/>
    <w:rsid w:val="33423060"/>
    <w:rsid w:val="33557238"/>
    <w:rsid w:val="33D33712"/>
    <w:rsid w:val="3459484B"/>
    <w:rsid w:val="34597BA1"/>
    <w:rsid w:val="34800CEE"/>
    <w:rsid w:val="34C6027F"/>
    <w:rsid w:val="350F0BFE"/>
    <w:rsid w:val="35200BA1"/>
    <w:rsid w:val="35365462"/>
    <w:rsid w:val="355B006D"/>
    <w:rsid w:val="35643AD5"/>
    <w:rsid w:val="356B689E"/>
    <w:rsid w:val="357240D1"/>
    <w:rsid w:val="35D864E2"/>
    <w:rsid w:val="35FA5E74"/>
    <w:rsid w:val="364A32AA"/>
    <w:rsid w:val="37115A71"/>
    <w:rsid w:val="374313BA"/>
    <w:rsid w:val="376B630F"/>
    <w:rsid w:val="378B382E"/>
    <w:rsid w:val="37AB1B1C"/>
    <w:rsid w:val="37CE641A"/>
    <w:rsid w:val="38037262"/>
    <w:rsid w:val="380C5996"/>
    <w:rsid w:val="382F44FB"/>
    <w:rsid w:val="386F3515"/>
    <w:rsid w:val="38B30E35"/>
    <w:rsid w:val="38E0098C"/>
    <w:rsid w:val="38EB45FD"/>
    <w:rsid w:val="39237490"/>
    <w:rsid w:val="392E6A78"/>
    <w:rsid w:val="395826CA"/>
    <w:rsid w:val="39677413"/>
    <w:rsid w:val="397622BB"/>
    <w:rsid w:val="39AF5FE9"/>
    <w:rsid w:val="3A2F1D60"/>
    <w:rsid w:val="3A687850"/>
    <w:rsid w:val="3A8C2C0D"/>
    <w:rsid w:val="3A9B669F"/>
    <w:rsid w:val="3B637FCA"/>
    <w:rsid w:val="3BAE6A8A"/>
    <w:rsid w:val="3C3E4D0D"/>
    <w:rsid w:val="3C876AF0"/>
    <w:rsid w:val="3D5B369C"/>
    <w:rsid w:val="3D613D22"/>
    <w:rsid w:val="3DFC02BF"/>
    <w:rsid w:val="3E3143FD"/>
    <w:rsid w:val="3E38307B"/>
    <w:rsid w:val="3E614CE2"/>
    <w:rsid w:val="3EC95459"/>
    <w:rsid w:val="3F941E72"/>
    <w:rsid w:val="3FD30A15"/>
    <w:rsid w:val="40062ACB"/>
    <w:rsid w:val="40313A54"/>
    <w:rsid w:val="40644392"/>
    <w:rsid w:val="40882F15"/>
    <w:rsid w:val="40B32EF6"/>
    <w:rsid w:val="40C663C9"/>
    <w:rsid w:val="412F1B65"/>
    <w:rsid w:val="417D1041"/>
    <w:rsid w:val="41A315F9"/>
    <w:rsid w:val="41D105DE"/>
    <w:rsid w:val="4265671D"/>
    <w:rsid w:val="42B05964"/>
    <w:rsid w:val="42BA0E65"/>
    <w:rsid w:val="42CD6DEA"/>
    <w:rsid w:val="430E5A01"/>
    <w:rsid w:val="431C1B20"/>
    <w:rsid w:val="438D0328"/>
    <w:rsid w:val="43A30364"/>
    <w:rsid w:val="43A7763B"/>
    <w:rsid w:val="43C85745"/>
    <w:rsid w:val="442D1921"/>
    <w:rsid w:val="44E66AD2"/>
    <w:rsid w:val="454C2D25"/>
    <w:rsid w:val="461F6BBA"/>
    <w:rsid w:val="46200F7E"/>
    <w:rsid w:val="464A0752"/>
    <w:rsid w:val="46715CDF"/>
    <w:rsid w:val="468130DF"/>
    <w:rsid w:val="46D36999"/>
    <w:rsid w:val="47471001"/>
    <w:rsid w:val="476A2C78"/>
    <w:rsid w:val="47777325"/>
    <w:rsid w:val="478005D2"/>
    <w:rsid w:val="47992888"/>
    <w:rsid w:val="479D3534"/>
    <w:rsid w:val="47C307BC"/>
    <w:rsid w:val="47FD16F0"/>
    <w:rsid w:val="4854142E"/>
    <w:rsid w:val="4858276E"/>
    <w:rsid w:val="48A51834"/>
    <w:rsid w:val="48AD7515"/>
    <w:rsid w:val="48E94252"/>
    <w:rsid w:val="49022A4B"/>
    <w:rsid w:val="490A726C"/>
    <w:rsid w:val="498336EE"/>
    <w:rsid w:val="49A92BA2"/>
    <w:rsid w:val="49CF169A"/>
    <w:rsid w:val="49D15550"/>
    <w:rsid w:val="49FE3D2D"/>
    <w:rsid w:val="4A3E47FB"/>
    <w:rsid w:val="4A5A086E"/>
    <w:rsid w:val="4ABE67CE"/>
    <w:rsid w:val="4ACF7A36"/>
    <w:rsid w:val="4B7F2A04"/>
    <w:rsid w:val="4B8A73EF"/>
    <w:rsid w:val="4BBF0072"/>
    <w:rsid w:val="4BD036A7"/>
    <w:rsid w:val="4C5F3DED"/>
    <w:rsid w:val="4C777E93"/>
    <w:rsid w:val="4CAA1F4A"/>
    <w:rsid w:val="4CDC29F0"/>
    <w:rsid w:val="4CDF5BD4"/>
    <w:rsid w:val="4D212310"/>
    <w:rsid w:val="4D4C0D5E"/>
    <w:rsid w:val="4D6A2190"/>
    <w:rsid w:val="4D912C72"/>
    <w:rsid w:val="4DB17F72"/>
    <w:rsid w:val="4DDA060D"/>
    <w:rsid w:val="4DF220DA"/>
    <w:rsid w:val="4E781177"/>
    <w:rsid w:val="4EA60F65"/>
    <w:rsid w:val="4EAC13CA"/>
    <w:rsid w:val="4EC16AC8"/>
    <w:rsid w:val="4EFB6A8D"/>
    <w:rsid w:val="4F3F4BCC"/>
    <w:rsid w:val="4FD95020"/>
    <w:rsid w:val="50342257"/>
    <w:rsid w:val="50B047BD"/>
    <w:rsid w:val="51083017"/>
    <w:rsid w:val="515423B5"/>
    <w:rsid w:val="519C6B90"/>
    <w:rsid w:val="51AE2EB6"/>
    <w:rsid w:val="51CF2D8E"/>
    <w:rsid w:val="52A953C7"/>
    <w:rsid w:val="52CA1B96"/>
    <w:rsid w:val="531A4198"/>
    <w:rsid w:val="539B6B72"/>
    <w:rsid w:val="53EA723C"/>
    <w:rsid w:val="53EE5CD3"/>
    <w:rsid w:val="5406286E"/>
    <w:rsid w:val="54071A30"/>
    <w:rsid w:val="547122F8"/>
    <w:rsid w:val="54C6369A"/>
    <w:rsid w:val="550545DD"/>
    <w:rsid w:val="550A7A2A"/>
    <w:rsid w:val="5536754D"/>
    <w:rsid w:val="5539030F"/>
    <w:rsid w:val="556967CA"/>
    <w:rsid w:val="565754EE"/>
    <w:rsid w:val="56DC79F4"/>
    <w:rsid w:val="56EF4237"/>
    <w:rsid w:val="570F7EDB"/>
    <w:rsid w:val="571E77BD"/>
    <w:rsid w:val="573C74B5"/>
    <w:rsid w:val="57715B3F"/>
    <w:rsid w:val="584D7B4E"/>
    <w:rsid w:val="58935F89"/>
    <w:rsid w:val="58995112"/>
    <w:rsid w:val="58A70D79"/>
    <w:rsid w:val="58D35E49"/>
    <w:rsid w:val="58DF56DB"/>
    <w:rsid w:val="58F85DEC"/>
    <w:rsid w:val="59260FC8"/>
    <w:rsid w:val="596D2336"/>
    <w:rsid w:val="59E771C6"/>
    <w:rsid w:val="5A6D3BE8"/>
    <w:rsid w:val="5AB2291B"/>
    <w:rsid w:val="5ACE14FA"/>
    <w:rsid w:val="5B09250D"/>
    <w:rsid w:val="5B4E0CD7"/>
    <w:rsid w:val="5BCC0429"/>
    <w:rsid w:val="5BE909A8"/>
    <w:rsid w:val="5C0C22DA"/>
    <w:rsid w:val="5C121CF5"/>
    <w:rsid w:val="5C5509A8"/>
    <w:rsid w:val="5C5B5D44"/>
    <w:rsid w:val="5C5D27F2"/>
    <w:rsid w:val="5C7F6BB4"/>
    <w:rsid w:val="5CAC586B"/>
    <w:rsid w:val="5CF818C1"/>
    <w:rsid w:val="5D4B35CE"/>
    <w:rsid w:val="5D727DDC"/>
    <w:rsid w:val="5D804D2D"/>
    <w:rsid w:val="5DA00EB0"/>
    <w:rsid w:val="5DDD3E9C"/>
    <w:rsid w:val="5DE84681"/>
    <w:rsid w:val="5E8C7702"/>
    <w:rsid w:val="5ED42BA2"/>
    <w:rsid w:val="5EE00D94"/>
    <w:rsid w:val="5F072BE8"/>
    <w:rsid w:val="5F0A2F96"/>
    <w:rsid w:val="5F4B34F8"/>
    <w:rsid w:val="5F61293D"/>
    <w:rsid w:val="5FBA3DFB"/>
    <w:rsid w:val="602773EC"/>
    <w:rsid w:val="602E62B4"/>
    <w:rsid w:val="60413278"/>
    <w:rsid w:val="609A21B5"/>
    <w:rsid w:val="60E00B61"/>
    <w:rsid w:val="60F8107F"/>
    <w:rsid w:val="61AE4166"/>
    <w:rsid w:val="61EC6EDC"/>
    <w:rsid w:val="623460E6"/>
    <w:rsid w:val="62462C07"/>
    <w:rsid w:val="637349EC"/>
    <w:rsid w:val="638C3D00"/>
    <w:rsid w:val="63DE6250"/>
    <w:rsid w:val="64312FEF"/>
    <w:rsid w:val="64371CD5"/>
    <w:rsid w:val="64627F4B"/>
    <w:rsid w:val="646E12F6"/>
    <w:rsid w:val="64801AB7"/>
    <w:rsid w:val="65493C57"/>
    <w:rsid w:val="666A0801"/>
    <w:rsid w:val="66736D0A"/>
    <w:rsid w:val="668D2269"/>
    <w:rsid w:val="678A0557"/>
    <w:rsid w:val="67A96A9E"/>
    <w:rsid w:val="67B24FE9"/>
    <w:rsid w:val="67C41CBB"/>
    <w:rsid w:val="67CA3D41"/>
    <w:rsid w:val="67D674D2"/>
    <w:rsid w:val="67F26902"/>
    <w:rsid w:val="686D5EAE"/>
    <w:rsid w:val="687234C5"/>
    <w:rsid w:val="689E02F8"/>
    <w:rsid w:val="68A634BD"/>
    <w:rsid w:val="68BC5C16"/>
    <w:rsid w:val="68D4417F"/>
    <w:rsid w:val="68D8128A"/>
    <w:rsid w:val="69670B4F"/>
    <w:rsid w:val="698A0CE2"/>
    <w:rsid w:val="69C04FFF"/>
    <w:rsid w:val="69C6217D"/>
    <w:rsid w:val="69CC1A39"/>
    <w:rsid w:val="69EF1BC6"/>
    <w:rsid w:val="69F73655"/>
    <w:rsid w:val="6A0953F6"/>
    <w:rsid w:val="6A416B04"/>
    <w:rsid w:val="6AEC2351"/>
    <w:rsid w:val="6AF32471"/>
    <w:rsid w:val="6B0C5E52"/>
    <w:rsid w:val="6B351850"/>
    <w:rsid w:val="6B517D09"/>
    <w:rsid w:val="6B794260"/>
    <w:rsid w:val="6C2C48AC"/>
    <w:rsid w:val="6C64581A"/>
    <w:rsid w:val="6C7D068A"/>
    <w:rsid w:val="6C8E5718"/>
    <w:rsid w:val="6CC22328"/>
    <w:rsid w:val="6CD56AF4"/>
    <w:rsid w:val="6D105413"/>
    <w:rsid w:val="6D8E6A33"/>
    <w:rsid w:val="6DB620A5"/>
    <w:rsid w:val="6DC5678C"/>
    <w:rsid w:val="6DCC7B1B"/>
    <w:rsid w:val="6DDE0181"/>
    <w:rsid w:val="6DEE7A91"/>
    <w:rsid w:val="6E361438"/>
    <w:rsid w:val="6E732C64"/>
    <w:rsid w:val="6F154B2D"/>
    <w:rsid w:val="6F2511CB"/>
    <w:rsid w:val="6F2968A7"/>
    <w:rsid w:val="6F751AEC"/>
    <w:rsid w:val="6F815805"/>
    <w:rsid w:val="6FB50225"/>
    <w:rsid w:val="6FC53298"/>
    <w:rsid w:val="6FD74555"/>
    <w:rsid w:val="707F6CDF"/>
    <w:rsid w:val="709624A3"/>
    <w:rsid w:val="70B623BC"/>
    <w:rsid w:val="70EC5DDE"/>
    <w:rsid w:val="716A6CEF"/>
    <w:rsid w:val="7174629C"/>
    <w:rsid w:val="71771B4C"/>
    <w:rsid w:val="728F7C9A"/>
    <w:rsid w:val="72914E8F"/>
    <w:rsid w:val="736507F6"/>
    <w:rsid w:val="738348E4"/>
    <w:rsid w:val="73AD321F"/>
    <w:rsid w:val="73B434AA"/>
    <w:rsid w:val="73C71690"/>
    <w:rsid w:val="741E09A4"/>
    <w:rsid w:val="74A11E5A"/>
    <w:rsid w:val="75042A89"/>
    <w:rsid w:val="75056276"/>
    <w:rsid w:val="75267B11"/>
    <w:rsid w:val="76361FD5"/>
    <w:rsid w:val="76C27424"/>
    <w:rsid w:val="76C3229F"/>
    <w:rsid w:val="76CE1080"/>
    <w:rsid w:val="76FC03FE"/>
    <w:rsid w:val="771C0DB4"/>
    <w:rsid w:val="772136AF"/>
    <w:rsid w:val="774A788F"/>
    <w:rsid w:val="77565BBE"/>
    <w:rsid w:val="781F13F3"/>
    <w:rsid w:val="78537DE8"/>
    <w:rsid w:val="786966E6"/>
    <w:rsid w:val="78895CA5"/>
    <w:rsid w:val="79157851"/>
    <w:rsid w:val="79202BB4"/>
    <w:rsid w:val="793937B5"/>
    <w:rsid w:val="79490272"/>
    <w:rsid w:val="798C5AA7"/>
    <w:rsid w:val="79AA5B6F"/>
    <w:rsid w:val="79C36276"/>
    <w:rsid w:val="79E76A6B"/>
    <w:rsid w:val="7A0B1FEC"/>
    <w:rsid w:val="7A140B64"/>
    <w:rsid w:val="7A20184B"/>
    <w:rsid w:val="7A6212D3"/>
    <w:rsid w:val="7A86426A"/>
    <w:rsid w:val="7A8E0021"/>
    <w:rsid w:val="7AB90A1C"/>
    <w:rsid w:val="7B0D1124"/>
    <w:rsid w:val="7B2956D5"/>
    <w:rsid w:val="7B67393B"/>
    <w:rsid w:val="7C190ABB"/>
    <w:rsid w:val="7C305674"/>
    <w:rsid w:val="7C440929"/>
    <w:rsid w:val="7C7A77AE"/>
    <w:rsid w:val="7C9570F1"/>
    <w:rsid w:val="7D6F6B54"/>
    <w:rsid w:val="7DB859C6"/>
    <w:rsid w:val="7DE47DC2"/>
    <w:rsid w:val="7E4941CF"/>
    <w:rsid w:val="7E9815D8"/>
    <w:rsid w:val="7EC23C02"/>
    <w:rsid w:val="7ED038B2"/>
    <w:rsid w:val="7ED24865"/>
    <w:rsid w:val="7EF548B9"/>
    <w:rsid w:val="7F0B7D77"/>
    <w:rsid w:val="7F34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6"/>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
    <w:name w:val="段"/>
    <w:link w:val="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7">
    <w:name w:val="toc 7"/>
    <w:basedOn w:val="1"/>
    <w:next w:val="1"/>
    <w:unhideWhenUsed/>
    <w:qFormat/>
    <w:uiPriority w:val="39"/>
    <w:pPr>
      <w:ind w:left="1260"/>
      <w:jc w:val="left"/>
    </w:pPr>
    <w:rPr>
      <w:rFonts w:cstheme="minorHAnsi"/>
      <w:sz w:val="18"/>
      <w:szCs w:val="18"/>
    </w:rPr>
  </w:style>
  <w:style w:type="paragraph" w:styleId="8">
    <w:name w:val="annotation text"/>
    <w:basedOn w:val="1"/>
    <w:link w:val="72"/>
    <w:unhideWhenUsed/>
    <w:qFormat/>
    <w:uiPriority w:val="0"/>
    <w:pPr>
      <w:jc w:val="left"/>
    </w:pPr>
  </w:style>
  <w:style w:type="paragraph" w:styleId="9">
    <w:name w:val="Body Text"/>
    <w:basedOn w:val="1"/>
    <w:link w:val="67"/>
    <w:qFormat/>
    <w:uiPriority w:val="1"/>
    <w:pPr>
      <w:spacing w:before="116"/>
      <w:ind w:left="117"/>
      <w:jc w:val="left"/>
    </w:pPr>
    <w:rPr>
      <w:rFonts w:ascii="宋体" w:hAnsi="宋体" w:eastAsia="宋体"/>
      <w:kern w:val="0"/>
      <w:szCs w:val="21"/>
      <w:lang w:eastAsia="en-US"/>
    </w:rPr>
  </w:style>
  <w:style w:type="paragraph" w:styleId="10">
    <w:name w:val="toc 5"/>
    <w:basedOn w:val="1"/>
    <w:next w:val="1"/>
    <w:unhideWhenUsed/>
    <w:qFormat/>
    <w:uiPriority w:val="39"/>
    <w:pPr>
      <w:ind w:left="840"/>
      <w:jc w:val="left"/>
    </w:pPr>
    <w:rPr>
      <w:rFonts w:cstheme="minorHAnsi"/>
      <w:sz w:val="18"/>
      <w:szCs w:val="18"/>
    </w:rPr>
  </w:style>
  <w:style w:type="paragraph" w:styleId="11">
    <w:name w:val="toc 3"/>
    <w:basedOn w:val="1"/>
    <w:next w:val="1"/>
    <w:qFormat/>
    <w:uiPriority w:val="39"/>
    <w:pPr>
      <w:ind w:left="420"/>
      <w:jc w:val="left"/>
    </w:pPr>
    <w:rPr>
      <w:rFonts w:cstheme="minorHAnsi"/>
      <w:i/>
      <w:iCs/>
      <w:sz w:val="20"/>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Date"/>
    <w:basedOn w:val="1"/>
    <w:next w:val="1"/>
    <w:link w:val="69"/>
    <w:semiHidden/>
    <w:unhideWhenUsed/>
    <w:qFormat/>
    <w:uiPriority w:val="99"/>
    <w:pPr>
      <w:ind w:left="100" w:leftChars="2500"/>
    </w:pPr>
  </w:style>
  <w:style w:type="paragraph" w:styleId="14">
    <w:name w:val="Balloon Text"/>
    <w:basedOn w:val="1"/>
    <w:link w:val="6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630"/>
      <w:jc w:val="left"/>
    </w:pPr>
    <w:rPr>
      <w:rFonts w:cstheme="minorHAnsi"/>
      <w:sz w:val="18"/>
      <w:szCs w:val="18"/>
    </w:rPr>
  </w:style>
  <w:style w:type="paragraph" w:styleId="19">
    <w:name w:val="toc 6"/>
    <w:basedOn w:val="1"/>
    <w:next w:val="1"/>
    <w:unhideWhenUsed/>
    <w:qFormat/>
    <w:uiPriority w:val="39"/>
    <w:pPr>
      <w:ind w:left="1050"/>
      <w:jc w:val="left"/>
    </w:pPr>
    <w:rPr>
      <w:rFonts w:cstheme="minorHAnsi"/>
      <w:sz w:val="18"/>
      <w:szCs w:val="18"/>
    </w:rPr>
  </w:style>
  <w:style w:type="paragraph" w:styleId="20">
    <w:name w:val="toc 2"/>
    <w:basedOn w:val="1"/>
    <w:next w:val="1"/>
    <w:unhideWhenUsed/>
    <w:qFormat/>
    <w:uiPriority w:val="39"/>
    <w:pPr>
      <w:ind w:left="210"/>
      <w:jc w:val="left"/>
    </w:pPr>
    <w:rPr>
      <w:rFonts w:cstheme="minorHAnsi"/>
      <w:smallCaps/>
      <w:sz w:val="20"/>
      <w:szCs w:val="20"/>
    </w:rPr>
  </w:style>
  <w:style w:type="paragraph" w:styleId="21">
    <w:name w:val="toc 9"/>
    <w:basedOn w:val="1"/>
    <w:next w:val="1"/>
    <w:unhideWhenUsed/>
    <w:qFormat/>
    <w:uiPriority w:val="39"/>
    <w:pPr>
      <w:ind w:left="1680"/>
      <w:jc w:val="left"/>
    </w:pPr>
    <w:rPr>
      <w:rFonts w:cstheme="minorHAnsi"/>
      <w:sz w:val="18"/>
      <w:szCs w:val="18"/>
    </w:r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73"/>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99"/>
    <w:rPr>
      <w:color w:val="0000FF"/>
      <w:spacing w:val="0"/>
      <w:w w:val="100"/>
      <w:szCs w:val="21"/>
      <w:u w:val="single"/>
      <w:lang w:val="en-US" w:eastAsia="zh-CN"/>
    </w:rPr>
  </w:style>
  <w:style w:type="character" w:styleId="29">
    <w:name w:val="annotation reference"/>
    <w:basedOn w:val="26"/>
    <w:unhideWhenUsed/>
    <w:qFormat/>
    <w:uiPriority w:val="0"/>
    <w:rPr>
      <w:sz w:val="21"/>
      <w:szCs w:val="21"/>
    </w:rPr>
  </w:style>
  <w:style w:type="character" w:customStyle="1" w:styleId="30">
    <w:name w:val="页眉 字符"/>
    <w:basedOn w:val="26"/>
    <w:link w:val="16"/>
    <w:qFormat/>
    <w:uiPriority w:val="99"/>
    <w:rPr>
      <w:sz w:val="18"/>
      <w:szCs w:val="18"/>
    </w:rPr>
  </w:style>
  <w:style w:type="character" w:customStyle="1" w:styleId="31">
    <w:name w:val="页脚 字符"/>
    <w:basedOn w:val="26"/>
    <w:link w:val="15"/>
    <w:qFormat/>
    <w:uiPriority w:val="99"/>
    <w:rPr>
      <w:sz w:val="18"/>
      <w:szCs w:val="18"/>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0"/>
    <w:pPr>
      <w:spacing w:before="370" w:line="400" w:lineRule="exact"/>
    </w:pPr>
    <w:rPr>
      <w:rFonts w:ascii="Times New Roman"/>
      <w:sz w:val="28"/>
      <w:szCs w:val="28"/>
    </w:rPr>
  </w:style>
  <w:style w:type="character" w:customStyle="1" w:styleId="34">
    <w:name w:val="段 Char"/>
    <w:link w:val="4"/>
    <w:qFormat/>
    <w:uiPriority w:val="0"/>
    <w:rPr>
      <w:rFonts w:ascii="宋体"/>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7">
    <w:name w:val="二级条标题"/>
    <w:basedOn w:val="38"/>
    <w:next w:val="4"/>
    <w:qFormat/>
    <w:uiPriority w:val="0"/>
    <w:pPr>
      <w:numPr>
        <w:ilvl w:val="2"/>
      </w:numPr>
      <w:spacing w:beforeLines="0" w:afterLines="0"/>
      <w:outlineLvl w:val="3"/>
    </w:pPr>
  </w:style>
  <w:style w:type="paragraph" w:customStyle="1" w:styleId="38">
    <w:name w:val="一级条标题"/>
    <w:next w:val="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附录表标号"/>
    <w:basedOn w:val="1"/>
    <w:next w:val="4"/>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40">
    <w:name w:val="正文表标题"/>
    <w:next w:val="4"/>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1">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2">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3"/>
    <w:qFormat/>
    <w:uiPriority w:val="0"/>
    <w:pPr>
      <w:spacing w:before="440"/>
    </w:pPr>
    <w:rPr>
      <w:rFonts w:ascii="宋体" w:eastAsia="宋体"/>
    </w:rPr>
  </w:style>
  <w:style w:type="paragraph" w:customStyle="1" w:styleId="45">
    <w:name w:val="终结线"/>
    <w:basedOn w:val="1"/>
    <w:qFormat/>
    <w:uiPriority w:val="0"/>
    <w:rPr>
      <w:rFonts w:ascii="Times New Roman" w:hAnsi="Times New Roman" w:eastAsia="宋体"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1">
    <w:name w:val="标题 1 字符"/>
    <w:basedOn w:val="26"/>
    <w:link w:val="2"/>
    <w:qFormat/>
    <w:uiPriority w:val="9"/>
    <w:rPr>
      <w:b/>
      <w:bCs/>
      <w:kern w:val="44"/>
      <w:sz w:val="44"/>
      <w:szCs w:val="44"/>
    </w:rPr>
  </w:style>
  <w:style w:type="character" w:customStyle="1" w:styleId="62">
    <w:name w:val="标题 2 字符"/>
    <w:basedOn w:val="26"/>
    <w:link w:val="5"/>
    <w:qFormat/>
    <w:uiPriority w:val="9"/>
    <w:rPr>
      <w:rFonts w:asciiTheme="majorHAnsi" w:hAnsiTheme="majorHAnsi" w:eastAsiaTheme="majorEastAsia" w:cstheme="majorBidi"/>
      <w:b/>
      <w:bCs/>
      <w:sz w:val="32"/>
      <w:szCs w:val="32"/>
    </w:rPr>
  </w:style>
  <w:style w:type="paragraph" w:customStyle="1" w:styleId="6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批注框文本 字符"/>
    <w:basedOn w:val="26"/>
    <w:link w:val="14"/>
    <w:semiHidden/>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字符"/>
    <w:basedOn w:val="26"/>
    <w:link w:val="6"/>
    <w:qFormat/>
    <w:uiPriority w:val="9"/>
    <w:rPr>
      <w:b/>
      <w:bCs/>
      <w:sz w:val="32"/>
      <w:szCs w:val="32"/>
    </w:rPr>
  </w:style>
  <w:style w:type="character" w:customStyle="1" w:styleId="67">
    <w:name w:val="正文文本 字符"/>
    <w:basedOn w:val="26"/>
    <w:link w:val="9"/>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字符"/>
    <w:basedOn w:val="26"/>
    <w:link w:val="13"/>
    <w:semiHidden/>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字符"/>
    <w:basedOn w:val="26"/>
    <w:link w:val="8"/>
    <w:qFormat/>
    <w:uiPriority w:val="0"/>
  </w:style>
  <w:style w:type="character" w:customStyle="1" w:styleId="73">
    <w:name w:val="批注主题 字符"/>
    <w:basedOn w:val="72"/>
    <w:link w:val="23"/>
    <w:semiHidden/>
    <w:qFormat/>
    <w:uiPriority w:val="99"/>
    <w:rPr>
      <w:b/>
      <w:bCs/>
    </w:rPr>
  </w:style>
  <w:style w:type="paragraph" w:customStyle="1" w:styleId="74">
    <w:name w:val="条2"/>
    <w:basedOn w:val="1"/>
    <w:next w:val="4"/>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style01"/>
    <w:basedOn w:val="26"/>
    <w:qFormat/>
    <w:uiPriority w:val="0"/>
    <w:rPr>
      <w:rFonts w:hint="eastAsia" w:ascii="宋体" w:hAnsi="宋体" w:eastAsia="宋体"/>
      <w:color w:val="000000"/>
      <w:sz w:val="42"/>
      <w:szCs w:val="42"/>
    </w:rPr>
  </w:style>
  <w:style w:type="paragraph" w:customStyle="1" w:styleId="77">
    <w:name w:val="三级条标题"/>
    <w:basedOn w:val="37"/>
    <w:next w:val="1"/>
    <w:qFormat/>
    <w:uiPriority w:val="0"/>
    <w:pPr>
      <w:numPr>
        <w:ilvl w:val="0"/>
        <w:numId w:val="0"/>
      </w:numPr>
      <w:spacing w:beforeLines="50" w:afterLines="50"/>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3"/>
    <w:qFormat/>
    <w:uiPriority w:val="0"/>
    <w:rPr>
      <w:rFonts w:ascii="黑体" w:hAnsi="Times New Roman" w:eastAsia="黑体" w:cs="Times New Roman"/>
      <w:kern w:val="0"/>
      <w:szCs w:val="20"/>
    </w:rPr>
  </w:style>
  <w:style w:type="paragraph" w:customStyle="1" w:styleId="82">
    <w:name w:val="二级无"/>
    <w:basedOn w:val="37"/>
    <w:qFormat/>
    <w:uiPriority w:val="0"/>
    <w:pPr>
      <w:numPr>
        <w:numId w:val="2"/>
      </w:numPr>
    </w:pPr>
    <w:rPr>
      <w:rFonts w:ascii="宋体" w:eastAsia="宋体"/>
    </w:rPr>
  </w:style>
  <w:style w:type="paragraph" w:customStyle="1" w:styleId="8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4">
    <w:name w:val="标准文件_章标题"/>
    <w:next w:val="85"/>
    <w:qFormat/>
    <w:uiPriority w:val="0"/>
    <w:pPr>
      <w:numPr>
        <w:ilvl w:val="1"/>
        <w:numId w:val="3"/>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8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标准文件_一级条标题"/>
    <w:basedOn w:val="84"/>
    <w:next w:val="85"/>
    <w:qFormat/>
    <w:uiPriority w:val="0"/>
    <w:pPr>
      <w:numPr>
        <w:ilvl w:val="2"/>
      </w:numPr>
      <w:spacing w:before="50" w:beforeLines="50" w:after="50" w:afterLines="50"/>
      <w:outlineLvl w:val="1"/>
    </w:pPr>
  </w:style>
  <w:style w:type="paragraph" w:customStyle="1" w:styleId="87">
    <w:name w:val="标准文件_二级条标题"/>
    <w:next w:val="85"/>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58455-53AE-4886-9D99-CC4DC38AC97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1857</Words>
  <Characters>2324</Characters>
  <Lines>18</Lines>
  <Paragraphs>5</Paragraphs>
  <TotalTime>2</TotalTime>
  <ScaleCrop>false</ScaleCrop>
  <LinksUpToDate>false</LinksUpToDate>
  <CharactersWithSpaces>2479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2023-04-04T09:04:00Z</dcterms:created>
  <dc:creator>Lenovo</dc:creator>
  <cp:lastModifiedBy>lenovo06</cp:lastModifiedBy>
  <cp:lastPrinted>2019-02-12T09:03:00Z</cp:lastPrinted>
  <dcterms:modified xsi:type="dcterms:W3CDTF">2024-06-18T08:56:08Z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5E5A35E1C3554DA6BC66BD1A00015A88</vt:lpwstr>
  </property>
</Properties>
</file>