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_GB2312" w:cs="Times New Roman"/>
          <w:sz w:val="32"/>
          <w:szCs w:val="32"/>
        </w:rPr>
      </w:pPr>
      <w:r>
        <w:rPr>
          <w:rFonts w:hint="eastAsia" w:ascii="方正小标宋简体" w:hAnsi="Times New Roman" w:eastAsia="方正小标宋简体" w:cs="Times New Roman"/>
          <w:sz w:val="44"/>
          <w:szCs w:val="44"/>
        </w:rPr>
        <w:t xml:space="preserve">《质量分级及“领跑者”评价要求  </w:t>
      </w:r>
      <w:r>
        <w:rPr>
          <w:rFonts w:hint="eastAsia" w:ascii="方正小标宋简体" w:hAnsi="Times New Roman" w:eastAsia="方正小标宋简体" w:cs="Times New Roman"/>
          <w:sz w:val="44"/>
          <w:szCs w:val="44"/>
          <w:lang w:val="en-US" w:eastAsia="zh-CN"/>
        </w:rPr>
        <w:t>指甲油</w:t>
      </w:r>
      <w:r>
        <w:rPr>
          <w:rFonts w:hint="eastAsia" w:ascii="方正小标宋简体" w:hAnsi="Times New Roman" w:eastAsia="方正小标宋简体" w:cs="Times New Roman"/>
          <w:sz w:val="44"/>
          <w:szCs w:val="44"/>
        </w:rPr>
        <w:t>》</w:t>
      </w:r>
      <w:r>
        <w:rPr>
          <w:rFonts w:hint="eastAsia" w:ascii="方正小标宋简体" w:hAnsi="Times New Roman" w:eastAsia="方正小标宋简体" w:cs="Times New Roman"/>
          <w:sz w:val="44"/>
          <w:szCs w:val="44"/>
          <w:lang w:val="en-US" w:eastAsia="zh-CN"/>
        </w:rPr>
        <w:t>团体标准</w:t>
      </w:r>
      <w:r>
        <w:rPr>
          <w:rFonts w:hint="eastAsia" w:ascii="方正小标宋简体" w:hAnsi="Times New Roman" w:eastAsia="方正小标宋简体" w:cs="Times New Roman"/>
          <w:sz w:val="44"/>
          <w:szCs w:val="44"/>
        </w:rPr>
        <w:t>编制说明</w:t>
      </w: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标准制定项目背景</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甲油是化妆品市场中的一个重要细分领域，指甲油是用来修饰和增加指甲美观的化妆品，它能在指甲表面形成一层耐摩擦的薄膜，起到保护、美化指甲的作用。作为美丽的重要环节，美甲行业蓬勃发展。据数据统计显示，2024年，全球美甲市场规模达到130亿美元（约904亿人民币）。在发达国家，美甲行业通常可以占到整个美容行业的12%的市场份额，在中国美甲行业的营业额达9.52亿元，占到美容行业2.8%的市场份额，存在的提升空间非常庞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人们生活水平的不断提高，消费者对指甲油的需求也日益多样化，除了基本的原料要求、感官和卫生性能外，消费者还越来越注重产品的安全性、持久性和产品品质等方面，而市场上指甲油产品质量参差不齐，消费者在选择时面临诸多困惑。指甲油目前执行标准为行业标准QB/T 2287—2011《指甲油》，但该标准已经发布了13年，标准中未体现出指甲油的耐热、耐寒、锑、硬度、毒理指标等特性，一些企业纷纷制定企业标准，以宣传其卖点。但指甲油企业标准水平差异较大，部分标准在规范性、内容完备性方面存在欠缺。</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落实《国家标准化发展纲要》以及国家市场监督管理总局等八部门联合印发《关于实施企业标准“领跑者”制度的意见》的有关要求，强化企业标准引领，树立行业标杆，促进全面质量提升，推动指甲油领域的企业标准“领跑者”，建立健全企业标准“领跑者”标准规范，有必要制定《质量分级及“领跑者”评价要求 指甲油》团体标准。通过提高我国指甲油企业标准质量和建立评价机制，有助于企业标准指标选取和指标值确定，改善考核项目多寡不一和评价指标高低不齐等现象，有助于提升整体产业发展水平、激发企业技术，引领产品质量升级</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标准制定工作概况</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（一）任务来源</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义乌市标准化研究院提出，由浙江中意美实业有限公司等单位起草，</w:t>
      </w:r>
      <w:r>
        <w:rPr>
          <w:rFonts w:hint="eastAsia" w:ascii="仿宋_GB2312" w:hAnsi="仿宋_GB2312" w:eastAsia="仿宋_GB2312" w:cs="仿宋_GB2312"/>
          <w:sz w:val="32"/>
          <w:szCs w:val="32"/>
        </w:rPr>
        <w:t>经浙江省计量与标准化学会</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立项论证答辩通过，立项情况在浙江省计量与标准化学会发布的《关于</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质量分级及“领跑者”评价要求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化妆粉块</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等6项团体标准立项的函》（</w:t>
      </w:r>
      <w:r>
        <w:rPr>
          <w:rFonts w:hint="eastAsia" w:ascii="仿宋_GB2312" w:hAnsi="仿宋_GB2312" w:eastAsia="仿宋_GB2312" w:cs="仿宋_GB2312"/>
          <w:sz w:val="32"/>
          <w:szCs w:val="32"/>
          <w:lang w:val="en-US" w:eastAsia="zh-CN"/>
        </w:rPr>
        <w:t>浙计标学发[2024]052号</w:t>
      </w:r>
      <w:r>
        <w:rPr>
          <w:rFonts w:hint="eastAsia" w:ascii="仿宋_GB2312" w:hAnsi="仿宋_GB2312" w:eastAsia="仿宋_GB2312" w:cs="仿宋_GB2312"/>
          <w:sz w:val="32"/>
          <w:szCs w:val="32"/>
        </w:rPr>
        <w:t>）文件上发布。立项名称为《</w:t>
      </w:r>
      <w:r>
        <w:rPr>
          <w:rFonts w:hint="eastAsia" w:ascii="FangSong_GB2312" w:hAnsi="FangSong_GB2312" w:eastAsia="FangSong_GB2312"/>
          <w:sz w:val="32"/>
          <w:szCs w:val="24"/>
        </w:rPr>
        <w:t>质量分级及“领跑者”评价要求</w:t>
      </w:r>
      <w:r>
        <w:rPr>
          <w:rFonts w:hint="eastAsia" w:ascii="FangSong_GB2312" w:hAnsi="FangSong_GB2312" w:eastAsia="FangSong_GB2312"/>
          <w:sz w:val="32"/>
          <w:szCs w:val="24"/>
          <w:lang w:val="en-US" w:eastAsia="zh-CN"/>
        </w:rPr>
        <w:t xml:space="preserve">  指甲油</w:t>
      </w:r>
      <w:r>
        <w:rPr>
          <w:rFonts w:hint="eastAsia" w:ascii="仿宋_GB2312" w:hAnsi="仿宋_GB2312" w:eastAsia="仿宋_GB2312" w:cs="仿宋_GB2312"/>
          <w:sz w:val="32"/>
          <w:szCs w:val="32"/>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主要工作过程</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1.调研</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收集化妆品产业现状；化妆品、指甲油国内外技术法规、标准；消费者、客户对指甲油产品的需求；企业标准信息公共服务平台上指甲油现有企业标准技术内容；质量分级及“领跑者”评价要求中基础指标、核心指标、创新指标设置依据等情况，为制定标准打下基础，形成标准工作组讨论稿。</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2.成立工作组，撰写立项资料</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为了更好地开展编制工作，召开了标准起草准备会，</w:t>
      </w:r>
      <w:r>
        <w:rPr>
          <w:rFonts w:hint="eastAsia" w:ascii="仿宋_GB2312" w:hAnsi="仿宋_GB2312" w:eastAsia="仿宋_GB2312" w:cs="仿宋_GB2312"/>
          <w:sz w:val="32"/>
          <w:szCs w:val="32"/>
          <w:lang w:val="en-US" w:eastAsia="zh-CN"/>
        </w:rPr>
        <w:t>并</w:t>
      </w:r>
      <w:r>
        <w:rPr>
          <w:rFonts w:hint="default" w:ascii="仿宋_GB2312" w:hAnsi="仿宋_GB2312" w:eastAsia="仿宋_GB2312" w:cs="仿宋_GB2312"/>
          <w:sz w:val="32"/>
          <w:szCs w:val="32"/>
          <w:lang w:val="en-US" w:eastAsia="zh-CN"/>
        </w:rPr>
        <w:t>成立了标准工作组，明确了本标准研制的重点方向</w:t>
      </w:r>
      <w:r>
        <w:rPr>
          <w:rFonts w:hint="eastAsia" w:ascii="仿宋_GB2312" w:hAnsi="仿宋_GB2312" w:eastAsia="仿宋_GB2312" w:cs="仿宋_GB2312"/>
          <w:sz w:val="32"/>
          <w:szCs w:val="32"/>
          <w:lang w:val="en-US" w:eastAsia="zh-CN"/>
        </w:rPr>
        <w:t>，工作组名单见表1。根据前期调研的资料，分析了项目可行性和必要性，撰写立项建议书、标准草案。</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表1</w:t>
      </w:r>
    </w:p>
    <w:tbl>
      <w:tblPr>
        <w:tblStyle w:val="10"/>
        <w:tblW w:w="499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57" w:type="dxa"/>
          <w:bottom w:w="0" w:type="dxa"/>
          <w:right w:w="57" w:type="dxa"/>
        </w:tblCellMar>
      </w:tblPr>
      <w:tblGrid>
        <w:gridCol w:w="704"/>
        <w:gridCol w:w="994"/>
        <w:gridCol w:w="2369"/>
        <w:gridCol w:w="1836"/>
        <w:gridCol w:w="25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680" w:hRule="atLeast"/>
        </w:trPr>
        <w:tc>
          <w:tcPr>
            <w:tcW w:w="418" w:type="pct"/>
            <w:vAlign w:val="center"/>
          </w:tcPr>
          <w:p>
            <w:pPr>
              <w:spacing w:after="0"/>
              <w:jc w:val="center"/>
              <w:rPr>
                <w:rFonts w:ascii="Times New Roman" w:hAnsi="Times New Roman" w:eastAsia="仿宋_GB2312" w:cs="Times New Roman"/>
                <w:b/>
                <w:kern w:val="0"/>
                <w:sz w:val="24"/>
                <w:szCs w:val="24"/>
              </w:rPr>
            </w:pPr>
            <w:r>
              <w:rPr>
                <w:rFonts w:hint="eastAsia" w:ascii="Times New Roman" w:hAnsi="Times New Roman" w:eastAsia="仿宋_GB2312" w:cs="Times New Roman"/>
                <w:b/>
                <w:kern w:val="0"/>
                <w:sz w:val="24"/>
                <w:szCs w:val="24"/>
              </w:rPr>
              <w:t>序号</w:t>
            </w:r>
          </w:p>
        </w:tc>
        <w:tc>
          <w:tcPr>
            <w:tcW w:w="590" w:type="pct"/>
            <w:vAlign w:val="center"/>
          </w:tcPr>
          <w:p>
            <w:pPr>
              <w:spacing w:after="0"/>
              <w:jc w:val="center"/>
              <w:rPr>
                <w:rFonts w:ascii="Times New Roman" w:hAnsi="Times New Roman" w:eastAsia="仿宋_GB2312" w:cs="Times New Roman"/>
                <w:b/>
                <w:kern w:val="0"/>
                <w:sz w:val="24"/>
                <w:szCs w:val="24"/>
              </w:rPr>
            </w:pPr>
            <w:r>
              <w:rPr>
                <w:rFonts w:hint="eastAsia" w:ascii="Times New Roman" w:hAnsi="Times New Roman" w:eastAsia="仿宋_GB2312" w:cs="Times New Roman"/>
                <w:b/>
                <w:kern w:val="0"/>
                <w:sz w:val="24"/>
                <w:szCs w:val="24"/>
              </w:rPr>
              <w:t>姓名</w:t>
            </w:r>
          </w:p>
        </w:tc>
        <w:tc>
          <w:tcPr>
            <w:tcW w:w="1407" w:type="pct"/>
            <w:vAlign w:val="center"/>
          </w:tcPr>
          <w:p>
            <w:pPr>
              <w:spacing w:after="0"/>
              <w:jc w:val="center"/>
              <w:rPr>
                <w:rFonts w:ascii="Times New Roman" w:hAnsi="Times New Roman" w:eastAsia="仿宋_GB2312" w:cs="Times New Roman"/>
                <w:b/>
                <w:kern w:val="0"/>
                <w:sz w:val="24"/>
                <w:szCs w:val="24"/>
              </w:rPr>
            </w:pPr>
            <w:r>
              <w:rPr>
                <w:rFonts w:hint="eastAsia" w:ascii="Times New Roman" w:hAnsi="Times New Roman" w:eastAsia="仿宋_GB2312" w:cs="Times New Roman"/>
                <w:b/>
                <w:kern w:val="0"/>
                <w:sz w:val="24"/>
                <w:szCs w:val="24"/>
              </w:rPr>
              <w:t>工作单位</w:t>
            </w:r>
          </w:p>
        </w:tc>
        <w:tc>
          <w:tcPr>
            <w:tcW w:w="1090" w:type="pct"/>
            <w:vAlign w:val="center"/>
          </w:tcPr>
          <w:p>
            <w:pPr>
              <w:spacing w:after="0"/>
              <w:jc w:val="center"/>
              <w:rPr>
                <w:rFonts w:ascii="Times New Roman" w:hAnsi="Times New Roman" w:eastAsia="仿宋_GB2312" w:cs="Times New Roman"/>
                <w:b/>
                <w:kern w:val="0"/>
                <w:sz w:val="24"/>
                <w:szCs w:val="24"/>
              </w:rPr>
            </w:pPr>
            <w:r>
              <w:rPr>
                <w:rFonts w:hint="eastAsia" w:ascii="Times New Roman" w:hAnsi="Times New Roman" w:eastAsia="仿宋_GB2312" w:cs="Times New Roman"/>
                <w:b/>
                <w:kern w:val="0"/>
                <w:sz w:val="24"/>
                <w:szCs w:val="24"/>
              </w:rPr>
              <w:t>职务/职称</w:t>
            </w:r>
          </w:p>
        </w:tc>
        <w:tc>
          <w:tcPr>
            <w:tcW w:w="1493" w:type="pct"/>
            <w:vAlign w:val="center"/>
          </w:tcPr>
          <w:p>
            <w:pPr>
              <w:spacing w:after="0"/>
              <w:jc w:val="center"/>
              <w:rPr>
                <w:rFonts w:ascii="Times New Roman" w:hAnsi="Times New Roman" w:eastAsia="仿宋_GB2312" w:cs="Times New Roman"/>
                <w:b/>
                <w:kern w:val="0"/>
                <w:sz w:val="24"/>
                <w:szCs w:val="24"/>
              </w:rPr>
            </w:pPr>
            <w:r>
              <w:rPr>
                <w:rFonts w:hint="eastAsia" w:ascii="仿宋_GB2312" w:hAnsi="仿宋_GB2312" w:eastAsia="仿宋_GB2312" w:cs="仿宋_GB2312"/>
                <w:b/>
                <w:sz w:val="24"/>
                <w:szCs w:val="24"/>
                <w:lang w:val="en-US" w:eastAsia="zh-CN"/>
              </w:rPr>
              <w:t>工作内容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680" w:hRule="atLeast"/>
        </w:trPr>
        <w:tc>
          <w:tcPr>
            <w:tcW w:w="418" w:type="pct"/>
            <w:vAlign w:val="center"/>
          </w:tcPr>
          <w:p>
            <w:pPr>
              <w:spacing w:after="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w:t>
            </w:r>
          </w:p>
        </w:tc>
        <w:tc>
          <w:tcPr>
            <w:tcW w:w="590" w:type="pct"/>
            <w:vAlign w:val="center"/>
          </w:tcPr>
          <w:p>
            <w:pPr>
              <w:spacing w:after="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袁永欢</w:t>
            </w:r>
          </w:p>
        </w:tc>
        <w:tc>
          <w:tcPr>
            <w:tcW w:w="1407" w:type="pct"/>
            <w:vAlign w:val="center"/>
          </w:tcPr>
          <w:p>
            <w:pPr>
              <w:spacing w:after="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浙江中意美实业有限公司</w:t>
            </w:r>
          </w:p>
        </w:tc>
        <w:tc>
          <w:tcPr>
            <w:tcW w:w="1090" w:type="pct"/>
            <w:vAlign w:val="center"/>
          </w:tcPr>
          <w:p>
            <w:pPr>
              <w:spacing w:after="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总经理</w:t>
            </w:r>
          </w:p>
        </w:tc>
        <w:tc>
          <w:tcPr>
            <w:tcW w:w="1493" w:type="pct"/>
            <w:shd w:val="clear" w:color="auto" w:fill="auto"/>
            <w:vAlign w:val="center"/>
          </w:tcPr>
          <w:p>
            <w:pPr>
              <w:spacing w:after="0"/>
              <w:jc w:val="center"/>
              <w:rPr>
                <w:rFonts w:ascii="Times New Roman" w:hAnsi="Times New Roman" w:eastAsia="仿宋_GB2312" w:cs="Times New Roman"/>
                <w:kern w:val="0"/>
                <w:sz w:val="24"/>
                <w:szCs w:val="24"/>
              </w:rPr>
            </w:pPr>
            <w:r>
              <w:rPr>
                <w:rFonts w:hint="eastAsia" w:ascii="仿宋_GB2312" w:hAnsi="仿宋_GB2312" w:eastAsia="仿宋_GB2312" w:cs="仿宋_GB2312"/>
                <w:sz w:val="24"/>
                <w:szCs w:val="24"/>
                <w:lang w:val="en-US" w:eastAsia="zh-CN"/>
              </w:rPr>
              <w:t>牵头组织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680" w:hRule="atLeast"/>
        </w:trPr>
        <w:tc>
          <w:tcPr>
            <w:tcW w:w="418" w:type="pct"/>
            <w:vAlign w:val="center"/>
          </w:tcPr>
          <w:p>
            <w:pPr>
              <w:spacing w:after="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p>
        </w:tc>
        <w:tc>
          <w:tcPr>
            <w:tcW w:w="590" w:type="pct"/>
            <w:vAlign w:val="center"/>
          </w:tcPr>
          <w:p>
            <w:pPr>
              <w:spacing w:after="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戴佩璇</w:t>
            </w:r>
          </w:p>
        </w:tc>
        <w:tc>
          <w:tcPr>
            <w:tcW w:w="1407" w:type="pct"/>
            <w:vAlign w:val="center"/>
          </w:tcPr>
          <w:p>
            <w:pPr>
              <w:spacing w:after="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义乌市标准化研究院</w:t>
            </w:r>
          </w:p>
        </w:tc>
        <w:tc>
          <w:tcPr>
            <w:tcW w:w="1090" w:type="pct"/>
            <w:vAlign w:val="center"/>
          </w:tcPr>
          <w:p>
            <w:pPr>
              <w:spacing w:after="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副主任、工程师</w:t>
            </w:r>
          </w:p>
        </w:tc>
        <w:tc>
          <w:tcPr>
            <w:tcW w:w="1493" w:type="pct"/>
            <w:shd w:val="clear" w:color="auto" w:fill="auto"/>
            <w:vAlign w:val="center"/>
          </w:tcPr>
          <w:p>
            <w:pPr>
              <w:spacing w:after="0"/>
              <w:jc w:val="center"/>
              <w:rPr>
                <w:rFonts w:ascii="Times New Roman" w:hAnsi="Times New Roman" w:eastAsia="仿宋_GB2312" w:cs="Times New Roman"/>
                <w:kern w:val="0"/>
                <w:sz w:val="24"/>
                <w:szCs w:val="24"/>
              </w:rPr>
            </w:pPr>
            <w:r>
              <w:rPr>
                <w:rFonts w:hint="eastAsia" w:ascii="仿宋_GB2312" w:hAnsi="仿宋_GB2312" w:eastAsia="仿宋_GB2312" w:cs="仿宋_GB2312"/>
                <w:sz w:val="24"/>
                <w:szCs w:val="24"/>
                <w:lang w:val="en-US" w:eastAsia="zh-CN"/>
              </w:rPr>
              <w:t>负责国内外标准、技术法规搜集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680" w:hRule="atLeast"/>
        </w:trPr>
        <w:tc>
          <w:tcPr>
            <w:tcW w:w="418" w:type="pct"/>
            <w:vAlign w:val="center"/>
          </w:tcPr>
          <w:p>
            <w:pPr>
              <w:spacing w:after="0"/>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3</w:t>
            </w:r>
          </w:p>
        </w:tc>
        <w:tc>
          <w:tcPr>
            <w:tcW w:w="590" w:type="pct"/>
            <w:vAlign w:val="center"/>
          </w:tcPr>
          <w:p>
            <w:pPr>
              <w:spacing w:after="0"/>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rPr>
              <w:t>郑斌</w:t>
            </w:r>
          </w:p>
        </w:tc>
        <w:tc>
          <w:tcPr>
            <w:tcW w:w="1407" w:type="pct"/>
            <w:vAlign w:val="center"/>
          </w:tcPr>
          <w:p>
            <w:pPr>
              <w:spacing w:after="0"/>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rPr>
              <w:t>义乌市标准化研究院</w:t>
            </w:r>
          </w:p>
        </w:tc>
        <w:tc>
          <w:tcPr>
            <w:tcW w:w="1090" w:type="pct"/>
            <w:vAlign w:val="center"/>
          </w:tcPr>
          <w:p>
            <w:pPr>
              <w:spacing w:after="0"/>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rPr>
              <w:t>工作人员</w:t>
            </w:r>
          </w:p>
        </w:tc>
        <w:tc>
          <w:tcPr>
            <w:tcW w:w="1493" w:type="pct"/>
            <w:shd w:val="clear" w:color="auto" w:fill="auto"/>
            <w:vAlign w:val="center"/>
          </w:tcPr>
          <w:p>
            <w:pPr>
              <w:spacing w:after="0"/>
              <w:jc w:val="center"/>
              <w:rPr>
                <w:rFonts w:ascii="Times New Roman" w:hAnsi="Times New Roman" w:eastAsia="仿宋_GB2312" w:cs="Times New Roman"/>
                <w:kern w:val="0"/>
                <w:sz w:val="24"/>
                <w:szCs w:val="24"/>
                <w:lang w:val="en-US" w:eastAsia="zh-CN" w:bidi="ar-SA"/>
              </w:rPr>
            </w:pPr>
            <w:r>
              <w:rPr>
                <w:rFonts w:hint="eastAsia" w:ascii="仿宋_GB2312" w:hAnsi="仿宋_GB2312" w:eastAsia="仿宋_GB2312" w:cs="仿宋_GB2312"/>
                <w:sz w:val="24"/>
                <w:szCs w:val="24"/>
                <w:lang w:val="en-US" w:eastAsia="zh-CN"/>
              </w:rPr>
              <w:t>负责质量分级及“领跑者”评价要求中基础指标、核心指标、创新指标设置依据分析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680" w:hRule="atLeast"/>
        </w:trPr>
        <w:tc>
          <w:tcPr>
            <w:tcW w:w="418" w:type="pct"/>
            <w:vAlign w:val="center"/>
          </w:tcPr>
          <w:p>
            <w:pPr>
              <w:spacing w:after="0"/>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4</w:t>
            </w:r>
          </w:p>
        </w:tc>
        <w:tc>
          <w:tcPr>
            <w:tcW w:w="590" w:type="pct"/>
            <w:vAlign w:val="center"/>
          </w:tcPr>
          <w:p>
            <w:pPr>
              <w:spacing w:after="0"/>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rPr>
              <w:t>方新华</w:t>
            </w:r>
          </w:p>
        </w:tc>
        <w:tc>
          <w:tcPr>
            <w:tcW w:w="1407" w:type="pct"/>
            <w:vAlign w:val="center"/>
          </w:tcPr>
          <w:p>
            <w:pPr>
              <w:spacing w:after="0"/>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rPr>
              <w:t>浙江中意美实业有限公司</w:t>
            </w:r>
          </w:p>
        </w:tc>
        <w:tc>
          <w:tcPr>
            <w:tcW w:w="1090" w:type="pct"/>
            <w:vAlign w:val="center"/>
          </w:tcPr>
          <w:p>
            <w:pPr>
              <w:spacing w:after="0"/>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rPr>
              <w:t>技术总监</w:t>
            </w:r>
          </w:p>
        </w:tc>
        <w:tc>
          <w:tcPr>
            <w:tcW w:w="1493" w:type="pct"/>
            <w:shd w:val="clear" w:color="auto" w:fill="auto"/>
            <w:vAlign w:val="center"/>
          </w:tcPr>
          <w:p>
            <w:pPr>
              <w:spacing w:after="0"/>
              <w:jc w:val="center"/>
              <w:rPr>
                <w:rFonts w:ascii="Times New Roman" w:hAnsi="Times New Roman" w:eastAsia="仿宋_GB2312" w:cs="Times New Roman"/>
                <w:kern w:val="0"/>
                <w:sz w:val="24"/>
                <w:szCs w:val="24"/>
                <w:lang w:val="en-US" w:eastAsia="zh-CN" w:bidi="ar-SA"/>
              </w:rPr>
            </w:pPr>
            <w:r>
              <w:rPr>
                <w:rFonts w:hint="eastAsia" w:ascii="仿宋_GB2312" w:hAnsi="仿宋_GB2312" w:eastAsia="仿宋_GB2312" w:cs="仿宋_GB2312"/>
                <w:kern w:val="0"/>
                <w:sz w:val="24"/>
                <w:szCs w:val="24"/>
                <w:lang w:val="en-US" w:eastAsia="zh-CN" w:bidi="ar-SA"/>
              </w:rPr>
              <w:t>提供化妆品、指甲油行业信息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680" w:hRule="atLeast"/>
        </w:trPr>
        <w:tc>
          <w:tcPr>
            <w:tcW w:w="418" w:type="pct"/>
            <w:vAlign w:val="center"/>
          </w:tcPr>
          <w:p>
            <w:pPr>
              <w:spacing w:after="0"/>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5</w:t>
            </w:r>
          </w:p>
        </w:tc>
        <w:tc>
          <w:tcPr>
            <w:tcW w:w="590" w:type="pct"/>
            <w:vAlign w:val="center"/>
          </w:tcPr>
          <w:p>
            <w:pPr>
              <w:spacing w:after="0"/>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rPr>
              <w:t>何艳文</w:t>
            </w:r>
          </w:p>
        </w:tc>
        <w:tc>
          <w:tcPr>
            <w:tcW w:w="1407" w:type="pct"/>
            <w:vAlign w:val="center"/>
          </w:tcPr>
          <w:p>
            <w:pPr>
              <w:spacing w:after="0"/>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rPr>
              <w:t>浙江中意美实业有限公司</w:t>
            </w:r>
          </w:p>
        </w:tc>
        <w:tc>
          <w:tcPr>
            <w:tcW w:w="1090" w:type="pct"/>
            <w:vAlign w:val="center"/>
          </w:tcPr>
          <w:p>
            <w:pPr>
              <w:spacing w:after="0"/>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技术经理</w:t>
            </w:r>
          </w:p>
        </w:tc>
        <w:tc>
          <w:tcPr>
            <w:tcW w:w="1493" w:type="pct"/>
            <w:shd w:val="clear" w:color="auto" w:fill="auto"/>
            <w:vAlign w:val="center"/>
          </w:tcPr>
          <w:p>
            <w:pPr>
              <w:spacing w:after="0"/>
              <w:jc w:val="center"/>
              <w:rPr>
                <w:rFonts w:ascii="Times New Roman" w:hAnsi="Times New Roman" w:eastAsia="仿宋_GB2312" w:cs="Times New Roman"/>
                <w:kern w:val="0"/>
                <w:sz w:val="24"/>
                <w:szCs w:val="24"/>
                <w:lang w:val="en-US" w:eastAsia="zh-CN" w:bidi="ar-SA"/>
              </w:rPr>
            </w:pPr>
            <w:r>
              <w:rPr>
                <w:rFonts w:hint="eastAsia" w:ascii="仿宋_GB2312" w:hAnsi="仿宋_GB2312" w:eastAsia="仿宋_GB2312" w:cs="仿宋_GB2312"/>
                <w:sz w:val="24"/>
                <w:szCs w:val="24"/>
                <w:lang w:val="en-US" w:eastAsia="zh-CN"/>
              </w:rPr>
              <w:t>负责企业标准信息公共服务平台上指甲油现有企业标准技术内容收集与分析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680" w:hRule="atLeast"/>
        </w:trPr>
        <w:tc>
          <w:tcPr>
            <w:tcW w:w="418" w:type="pct"/>
            <w:vAlign w:val="center"/>
          </w:tcPr>
          <w:p>
            <w:pPr>
              <w:spacing w:after="0"/>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6</w:t>
            </w:r>
          </w:p>
        </w:tc>
        <w:tc>
          <w:tcPr>
            <w:tcW w:w="590" w:type="pct"/>
            <w:vAlign w:val="center"/>
          </w:tcPr>
          <w:p>
            <w:pPr>
              <w:spacing w:after="0"/>
              <w:jc w:val="center"/>
              <w:rPr>
                <w:rFonts w:ascii="Times New Roman" w:hAnsi="Times New Roman" w:eastAsia="仿宋_GB2312" w:cs="Times New Roman"/>
                <w:kern w:val="0"/>
                <w:sz w:val="24"/>
                <w:szCs w:val="24"/>
                <w:lang w:val="en-US" w:eastAsia="zh-CN" w:bidi="ar-SA"/>
              </w:rPr>
            </w:pPr>
            <w:r>
              <w:rPr>
                <w:rFonts w:hint="eastAsia" w:ascii="仿宋_GB2312" w:hAnsi="Times New Roman" w:eastAsia="仿宋_GB2312" w:cs="Times New Roman"/>
                <w:kern w:val="0"/>
                <w:sz w:val="24"/>
                <w:szCs w:val="24"/>
                <w:lang w:val="en-US" w:eastAsia="zh-CN"/>
              </w:rPr>
              <w:t>黄志军</w:t>
            </w:r>
          </w:p>
        </w:tc>
        <w:tc>
          <w:tcPr>
            <w:tcW w:w="1407" w:type="pct"/>
            <w:vAlign w:val="center"/>
          </w:tcPr>
          <w:p>
            <w:pPr>
              <w:spacing w:after="0"/>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rPr>
              <w:t>浙江中意美实业有限公司</w:t>
            </w:r>
          </w:p>
        </w:tc>
        <w:tc>
          <w:tcPr>
            <w:tcW w:w="1090" w:type="pct"/>
            <w:vAlign w:val="center"/>
          </w:tcPr>
          <w:p>
            <w:pPr>
              <w:spacing w:after="0"/>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质量负责人</w:t>
            </w:r>
          </w:p>
        </w:tc>
        <w:tc>
          <w:tcPr>
            <w:tcW w:w="1493" w:type="pct"/>
            <w:shd w:val="clear" w:color="auto" w:fill="auto"/>
            <w:vAlign w:val="center"/>
          </w:tcPr>
          <w:p>
            <w:pPr>
              <w:spacing w:after="0"/>
              <w:jc w:val="center"/>
              <w:rPr>
                <w:rFonts w:ascii="Times New Roman" w:hAnsi="Times New Roman" w:eastAsia="仿宋_GB2312" w:cs="Times New Roman"/>
                <w:kern w:val="0"/>
                <w:sz w:val="24"/>
                <w:szCs w:val="24"/>
                <w:lang w:val="en-US" w:eastAsia="zh-CN" w:bidi="ar-SA"/>
              </w:rPr>
            </w:pPr>
            <w:r>
              <w:rPr>
                <w:rFonts w:hint="eastAsia" w:ascii="仿宋_GB2312" w:hAnsi="仿宋_GB2312" w:eastAsia="仿宋_GB2312" w:cs="仿宋_GB2312"/>
                <w:sz w:val="24"/>
                <w:szCs w:val="24"/>
                <w:lang w:val="en-US" w:eastAsia="zh-CN"/>
              </w:rPr>
              <w:t>负责消费者、客户对指甲油需求收集</w:t>
            </w:r>
          </w:p>
        </w:tc>
      </w:tr>
    </w:tbl>
    <w:p>
      <w:pPr>
        <w:pStyle w:val="2"/>
        <w:rPr>
          <w:rFonts w:hint="default"/>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3.立项论证</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2024年6月13日，通过</w:t>
      </w:r>
      <w:r>
        <w:rPr>
          <w:rFonts w:hint="eastAsia" w:ascii="仿宋_GB2312" w:hAnsi="仿宋_GB2312" w:eastAsia="仿宋_GB2312" w:cs="仿宋_GB2312"/>
          <w:sz w:val="32"/>
          <w:szCs w:val="32"/>
        </w:rPr>
        <w:t>浙江省计量与标准化学会</w:t>
      </w:r>
      <w:r>
        <w:rPr>
          <w:rFonts w:hint="eastAsia" w:ascii="仿宋_GB2312" w:hAnsi="仿宋_GB2312" w:eastAsia="仿宋_GB2312" w:cs="仿宋_GB2312"/>
          <w:sz w:val="32"/>
          <w:szCs w:val="32"/>
          <w:lang w:val="en-US" w:eastAsia="zh-CN"/>
        </w:rPr>
        <w:t>组织的团体标准立项论证会，专家提出以下立项论证意见：</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删除创新指标中的“二氯甲烷”；</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核心指标中“菌落总数”建议按照不同的产品分类设置指标水平分级要求;</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将创新指标中由化妆品安全技术规范(2015年版)中规定的“邻苯二甲酸酯”类指标放入基础指标，其他“邻苯二甲酸酯”类化合物建议进一步明确指标统名称及相关水平分级要求和判定依据。</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4.征求意见【根据标准后续研制流程，补充完善】</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本标准于2024年</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xx</w:t>
      </w:r>
      <w:r>
        <w:rPr>
          <w:rFonts w:hint="default" w:ascii="仿宋_GB2312" w:hAnsi="仿宋_GB2312" w:eastAsia="仿宋_GB2312" w:cs="仿宋_GB2312"/>
          <w:sz w:val="32"/>
          <w:szCs w:val="32"/>
          <w:lang w:val="en-US" w:eastAsia="zh-CN"/>
        </w:rPr>
        <w:t>日向社会公开征求意见，限期1个月，其中重点征求了</w:t>
      </w:r>
      <w:r>
        <w:rPr>
          <w:rFonts w:hint="eastAsia" w:ascii="仿宋_GB2312" w:hAnsi="仿宋_GB2312" w:eastAsia="仿宋_GB2312" w:cs="仿宋_GB2312"/>
          <w:sz w:val="32"/>
          <w:szCs w:val="32"/>
          <w:lang w:val="en-US" w:eastAsia="zh-CN"/>
        </w:rPr>
        <w:t>xxxx</w:t>
      </w:r>
      <w:r>
        <w:rPr>
          <w:rFonts w:hint="default" w:ascii="仿宋_GB2312" w:hAnsi="仿宋_GB2312" w:eastAsia="仿宋_GB2312" w:cs="仿宋_GB2312"/>
          <w:sz w:val="32"/>
          <w:szCs w:val="32"/>
          <w:lang w:val="en-US" w:eastAsia="zh-CN"/>
        </w:rPr>
        <w:t>等单位的意见。征求意见于2024年</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xx</w:t>
      </w:r>
      <w:r>
        <w:rPr>
          <w:rFonts w:hint="default" w:ascii="仿宋_GB2312" w:hAnsi="仿宋_GB2312" w:eastAsia="仿宋_GB2312" w:cs="仿宋_GB2312"/>
          <w:sz w:val="32"/>
          <w:szCs w:val="32"/>
          <w:lang w:val="en-US" w:eastAsia="zh-CN"/>
        </w:rPr>
        <w:t>日截止，标准研制工作组共收到</w:t>
      </w:r>
      <w:r>
        <w:rPr>
          <w:rFonts w:hint="eastAsia" w:ascii="仿宋_GB2312" w:hAnsi="仿宋_GB2312" w:eastAsia="仿宋_GB2312" w:cs="仿宋_GB2312"/>
          <w:sz w:val="32"/>
          <w:szCs w:val="32"/>
          <w:lang w:val="en-US" w:eastAsia="zh-CN"/>
        </w:rPr>
        <w:t>xxx</w:t>
      </w:r>
      <w:r>
        <w:rPr>
          <w:rFonts w:hint="default" w:ascii="仿宋_GB2312" w:hAnsi="仿宋_GB2312" w:eastAsia="仿宋_GB2312" w:cs="仿宋_GB2312"/>
          <w:sz w:val="32"/>
          <w:szCs w:val="32"/>
          <w:lang w:val="en-US" w:eastAsia="zh-CN"/>
        </w:rPr>
        <w:t>份意见反馈表。工作组根据征求意见表的反馈情况，汇总</w:t>
      </w:r>
      <w:r>
        <w:rPr>
          <w:rFonts w:hint="eastAsia" w:ascii="仿宋_GB2312" w:hAnsi="仿宋_GB2312" w:eastAsia="仿宋_GB2312" w:cs="仿宋_GB2312"/>
          <w:sz w:val="32"/>
          <w:szCs w:val="32"/>
          <w:lang w:val="en-US" w:eastAsia="zh-CN"/>
        </w:rPr>
        <w:t>xxx</w:t>
      </w:r>
      <w:r>
        <w:rPr>
          <w:rFonts w:hint="default" w:ascii="仿宋_GB2312" w:hAnsi="仿宋_GB2312" w:eastAsia="仿宋_GB2312" w:cs="仿宋_GB2312"/>
          <w:sz w:val="32"/>
          <w:szCs w:val="32"/>
          <w:lang w:val="en-US" w:eastAsia="zh-CN"/>
        </w:rPr>
        <w:t>条意见，采纳</w:t>
      </w:r>
      <w:r>
        <w:rPr>
          <w:rFonts w:hint="eastAsia" w:ascii="仿宋_GB2312" w:hAnsi="仿宋_GB2312" w:eastAsia="仿宋_GB2312" w:cs="仿宋_GB2312"/>
          <w:sz w:val="32"/>
          <w:szCs w:val="32"/>
          <w:lang w:val="en-US" w:eastAsia="zh-CN"/>
        </w:rPr>
        <w:t>xx</w:t>
      </w:r>
      <w:r>
        <w:rPr>
          <w:rFonts w:hint="default" w:ascii="仿宋_GB2312" w:hAnsi="仿宋_GB2312" w:eastAsia="仿宋_GB2312" w:cs="仿宋_GB2312"/>
          <w:sz w:val="32"/>
          <w:szCs w:val="32"/>
          <w:lang w:val="en-US" w:eastAsia="zh-CN"/>
        </w:rPr>
        <w:t>条，不采纳</w:t>
      </w:r>
      <w:r>
        <w:rPr>
          <w:rFonts w:hint="eastAsia" w:ascii="仿宋_GB2312" w:hAnsi="仿宋_GB2312" w:eastAsia="仿宋_GB2312" w:cs="仿宋_GB2312"/>
          <w:sz w:val="32"/>
          <w:szCs w:val="32"/>
          <w:lang w:val="en-US" w:eastAsia="zh-CN"/>
        </w:rPr>
        <w:t>xx</w:t>
      </w:r>
      <w:r>
        <w:rPr>
          <w:rFonts w:hint="default" w:ascii="仿宋_GB2312" w:hAnsi="仿宋_GB2312" w:eastAsia="仿宋_GB2312" w:cs="仿宋_GB2312"/>
          <w:sz w:val="32"/>
          <w:szCs w:val="32"/>
          <w:lang w:val="en-US" w:eastAsia="zh-CN"/>
        </w:rPr>
        <w:t>条。具体内容见表</w:t>
      </w:r>
      <w:r>
        <w:rPr>
          <w:rFonts w:hint="eastAsia" w:ascii="仿宋_GB2312" w:hAnsi="仿宋_GB2312" w:eastAsia="仿宋_GB2312" w:cs="仿宋_GB2312"/>
          <w:sz w:val="32"/>
          <w:szCs w:val="32"/>
          <w:lang w:val="en-US" w:eastAsia="zh-CN"/>
        </w:rPr>
        <w:t>x</w:t>
      </w:r>
      <w:r>
        <w:rPr>
          <w:rFonts w:hint="default" w:ascii="仿宋_GB2312" w:hAnsi="仿宋_GB2312" w:eastAsia="仿宋_GB2312" w:cs="仿宋_GB2312"/>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5.专家评审【根据标准后续研制流程，补充完善】</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Xxx</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6.标准报批【根据标准后续研制流程，补充完善】</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Xxx</w:t>
      </w: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标准编制的原则和依据</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标准研制工作组充分遵循标准“合规性、必要性、经济性、可操作性”的编制原则，充分考虑到指甲油行业的技术水平。此外，本标准严格按照GB/T 1.1—2020《标准化工作导则 第1部分：标准化文件的结构和起草规则》的规范和要求撰写。</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（一）合规性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本标准的研制主要参考的标准和技术规范有QB/T 2287—2011《指甲油》、《化妆品安全技术规范》（2015版）、德国BVL法规等。本标准符合国家制定的现行法律、法规文件的要求，也与国家和本省制定的各项有关产品标准的法规性文件相适应。</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（二）必要性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1.消费者对指甲油品质有需求</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着人们生活水平和美容意识的不断提高，消费者对指甲油的需求也日益多样化，除了基本的原料要求、感官和卫生性能外，消费者还越来越注重产品的持久性、可靠性和安全性等方面，而市场上指甲油产品质量参差不齐，消费者在选择时面临诸多困惑。</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2.标准现状</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指甲油目前执行标准为行业标准QB/T 2287—2011《指甲油》，但该标准已经发布了13年，标准中未体现出指甲油的耐热、耐寒、锑、硬度、毒理指标等特性，一些企业纷纷制定企业标准，以宣传其卖点。但指甲油企业标准水平差异较大，部分标准在规范性、内容完备性方面存在欠缺。</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3.落实政策文件精神</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我们制定《质量分级及“领跑者”评价要求 </w:t>
      </w:r>
      <w:r>
        <w:rPr>
          <w:rFonts w:hint="eastAsia" w:ascii="仿宋_GB2312" w:hAnsi="仿宋_GB2312" w:eastAsia="仿宋_GB2312" w:cs="仿宋_GB2312"/>
          <w:sz w:val="32"/>
          <w:szCs w:val="32"/>
          <w:lang w:val="en-US" w:eastAsia="zh-CN"/>
        </w:rPr>
        <w:t>指甲油</w:t>
      </w:r>
      <w:r>
        <w:rPr>
          <w:rFonts w:hint="default" w:ascii="仿宋_GB2312" w:hAnsi="仿宋_GB2312" w:eastAsia="仿宋_GB2312" w:cs="仿宋_GB2312"/>
          <w:sz w:val="32"/>
          <w:szCs w:val="32"/>
          <w:lang w:val="en-US" w:eastAsia="zh-CN"/>
        </w:rPr>
        <w:t>》团体标准是落实《国家标准化发展纲要》《关于实施企业标准“领跑者”制度的意见》等政策文件的要求，通过提高我国</w:t>
      </w:r>
      <w:r>
        <w:rPr>
          <w:rFonts w:hint="eastAsia" w:ascii="仿宋_GB2312" w:hAnsi="仿宋_GB2312" w:eastAsia="仿宋_GB2312" w:cs="仿宋_GB2312"/>
          <w:sz w:val="32"/>
          <w:szCs w:val="32"/>
          <w:lang w:val="en-US" w:eastAsia="zh-CN"/>
        </w:rPr>
        <w:t>指甲油</w:t>
      </w:r>
      <w:r>
        <w:rPr>
          <w:rFonts w:hint="default" w:ascii="仿宋_GB2312" w:hAnsi="仿宋_GB2312" w:eastAsia="仿宋_GB2312" w:cs="仿宋_GB2312"/>
          <w:sz w:val="32"/>
          <w:szCs w:val="32"/>
          <w:lang w:val="en-US" w:eastAsia="zh-CN"/>
        </w:rPr>
        <w:t>企业标准质量和建立评价机制，有助于企业标准指标选取和指标值确定，改善考核项目多寡不一和评价指标高低不齐等现象，有助于提升</w:t>
      </w:r>
      <w:r>
        <w:rPr>
          <w:rFonts w:hint="eastAsia" w:ascii="仿宋_GB2312" w:hAnsi="仿宋_GB2312" w:eastAsia="仿宋_GB2312" w:cs="仿宋_GB2312"/>
          <w:sz w:val="32"/>
          <w:szCs w:val="32"/>
          <w:lang w:val="en-US" w:eastAsia="zh-CN"/>
        </w:rPr>
        <w:t>化妆品</w:t>
      </w:r>
      <w:r>
        <w:rPr>
          <w:rFonts w:hint="default" w:ascii="仿宋_GB2312" w:hAnsi="仿宋_GB2312" w:eastAsia="仿宋_GB2312" w:cs="仿宋_GB2312"/>
          <w:sz w:val="32"/>
          <w:szCs w:val="32"/>
          <w:lang w:val="en-US" w:eastAsia="zh-CN"/>
        </w:rPr>
        <w:t>产业发展水平、激发</w:t>
      </w:r>
      <w:r>
        <w:rPr>
          <w:rFonts w:hint="eastAsia" w:ascii="仿宋_GB2312" w:hAnsi="仿宋_GB2312" w:eastAsia="仿宋_GB2312" w:cs="仿宋_GB2312"/>
          <w:sz w:val="32"/>
          <w:szCs w:val="32"/>
          <w:lang w:val="en-US" w:eastAsia="zh-CN"/>
        </w:rPr>
        <w:t>指甲油</w:t>
      </w:r>
      <w:r>
        <w:rPr>
          <w:rFonts w:hint="default" w:ascii="仿宋_GB2312" w:hAnsi="仿宋_GB2312" w:eastAsia="仿宋_GB2312" w:cs="仿宋_GB2312"/>
          <w:sz w:val="32"/>
          <w:szCs w:val="32"/>
          <w:lang w:val="en-US" w:eastAsia="zh-CN"/>
        </w:rPr>
        <w:t>企业技术，引领</w:t>
      </w:r>
      <w:r>
        <w:rPr>
          <w:rFonts w:hint="eastAsia" w:ascii="仿宋_GB2312" w:hAnsi="仿宋_GB2312" w:eastAsia="仿宋_GB2312" w:cs="仿宋_GB2312"/>
          <w:sz w:val="32"/>
          <w:szCs w:val="32"/>
          <w:lang w:val="en-US" w:eastAsia="zh-CN"/>
        </w:rPr>
        <w:t>指甲油</w:t>
      </w:r>
      <w:r>
        <w:rPr>
          <w:rFonts w:hint="default" w:ascii="仿宋_GB2312" w:hAnsi="仿宋_GB2312" w:eastAsia="仿宋_GB2312" w:cs="仿宋_GB2312"/>
          <w:sz w:val="32"/>
          <w:szCs w:val="32"/>
          <w:lang w:val="en-US" w:eastAsia="zh-CN"/>
        </w:rPr>
        <w:t>质量升级。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（三）经济性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甲油基本性状、安全性等都直接关系到消费者对产品的认可度、满意度，也是消费者、客户十分关注的指标。虽然核心指标和创新指标中的部分指标会增加企业一定成本，但是也会进一步的提高产品的质量，增加产品的市场竞争力。因此，本着综合权衡，适当成本的投入是十分有必要的，因此，本标准符合经济性的要求。</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（四）可操作性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标准将技术指标分为基础指标、核心指标和创新指标，标准同时明确了指标评价要求及先进水平、平均水平、基准水平等级划分，指甲油的质量分级及“领跑者”评价要求界定清晰明确，可操作性强。并且，指标的技术要求均有对应的检测方法，且可由第三方实验室检测；基本要求可验证、可核实。</w:t>
      </w: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标准的主要内容、技术论证与效果</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（一）主要技术内容</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本标准主要技术内容包括基本要求、评价指标及要求、评价方法及等级划分。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基本要求依据T/CAS 700—2023 T/CSTE 0321—2023 《质量分级及“领跑者”评价标准 编制通则》给出的规定，提出指甲油产品为量产产品，同时符合明示执行标准及法规的要求，生产企业应满足建立并运行质量、环境、职业健康安全和能源管理体系、诚信、安全等相关要求。</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评价指标及要求依据T/CAS 700—2023 T/CSTE 0321—2023 《质量分级及“领跑者”评价标准 编制通则》给出的规定，对指甲油的基础指标、核心指标和创新性指标开展研究并确定。具体指标见表2。</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表2</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both"/>
        <w:textAlignment w:val="auto"/>
        <w:rPr>
          <w:rFonts w:hint="default" w:ascii="仿宋_GB2312" w:hAnsi="仿宋_GB2312" w:eastAsia="仿宋_GB2312" w:cs="仿宋_GB2312"/>
          <w:sz w:val="32"/>
          <w:szCs w:val="32"/>
          <w:lang w:val="en-US" w:eastAsia="zh-CN"/>
        </w:rPr>
      </w:pPr>
    </w:p>
    <w:tbl>
      <w:tblPr>
        <w:tblStyle w:val="9"/>
        <w:tblW w:w="142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9"/>
        <w:gridCol w:w="584"/>
        <w:gridCol w:w="998"/>
        <w:gridCol w:w="1932"/>
        <w:gridCol w:w="2320"/>
        <w:gridCol w:w="1714"/>
        <w:gridCol w:w="1660"/>
        <w:gridCol w:w="1660"/>
        <w:gridCol w:w="28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59" w:type="dxa"/>
            <w:vMerge w:val="restart"/>
            <w:tcBorders>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序号</w:t>
            </w:r>
          </w:p>
        </w:tc>
        <w:tc>
          <w:tcPr>
            <w:tcW w:w="584" w:type="dxa"/>
            <w:vMerge w:val="restart"/>
            <w:tcBorders>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指标类型</w:t>
            </w:r>
          </w:p>
        </w:tc>
        <w:tc>
          <w:tcPr>
            <w:tcW w:w="2930" w:type="dxa"/>
            <w:gridSpan w:val="2"/>
            <w:vMerge w:val="restart"/>
            <w:tcBorders>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评价指标</w:t>
            </w:r>
          </w:p>
        </w:tc>
        <w:tc>
          <w:tcPr>
            <w:tcW w:w="2320" w:type="dxa"/>
            <w:vMerge w:val="restart"/>
            <w:tcBorders>
              <w:bottom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指标来源</w:t>
            </w:r>
          </w:p>
        </w:tc>
        <w:tc>
          <w:tcPr>
            <w:tcW w:w="5034" w:type="dxa"/>
            <w:gridSpan w:val="3"/>
            <w:tcBorders>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指标水平分级</w:t>
            </w:r>
          </w:p>
        </w:tc>
        <w:tc>
          <w:tcPr>
            <w:tcW w:w="2893" w:type="dxa"/>
            <w:vMerge w:val="restart"/>
            <w:tcBorders>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判定依据/方法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59" w:type="dxa"/>
            <w:vMerge w:val="continue"/>
            <w:tcBorders>
              <w:top w:val="single" w:color="auto" w:sz="8" w:space="0"/>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rPr>
            </w:pPr>
          </w:p>
        </w:tc>
        <w:tc>
          <w:tcPr>
            <w:tcW w:w="584" w:type="dxa"/>
            <w:vMerge w:val="continue"/>
            <w:tcBorders>
              <w:top w:val="single" w:color="auto" w:sz="8" w:space="0"/>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rPr>
            </w:pPr>
          </w:p>
        </w:tc>
        <w:tc>
          <w:tcPr>
            <w:tcW w:w="2930" w:type="dxa"/>
            <w:gridSpan w:val="2"/>
            <w:vMerge w:val="continue"/>
            <w:tcBorders>
              <w:top w:val="single" w:color="auto" w:sz="8" w:space="0"/>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rPr>
            </w:pPr>
          </w:p>
        </w:tc>
        <w:tc>
          <w:tcPr>
            <w:tcW w:w="2320" w:type="dxa"/>
            <w:vMerge w:val="continue"/>
            <w:tcBorders>
              <w:top w:val="single" w:color="auto" w:sz="8"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rPr>
            </w:pPr>
          </w:p>
        </w:tc>
        <w:tc>
          <w:tcPr>
            <w:tcW w:w="1714" w:type="dxa"/>
            <w:tcBorders>
              <w:top w:val="single" w:color="auto" w:sz="4" w:space="0"/>
              <w:left w:val="single" w:color="auto" w:sz="4" w:space="0"/>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先进</w:t>
            </w:r>
            <w:r>
              <w:rPr>
                <w:rFonts w:hint="eastAsia" w:ascii="宋体" w:hAnsi="宋体" w:eastAsia="宋体" w:cs="宋体"/>
                <w:kern w:val="0"/>
                <w:sz w:val="18"/>
                <w:szCs w:val="18"/>
                <w:highlight w:val="none"/>
                <w:lang w:eastAsia="zh-CN"/>
              </w:rPr>
              <w:t>水平</w:t>
            </w: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（5星级）</w:t>
            </w:r>
          </w:p>
        </w:tc>
        <w:tc>
          <w:tcPr>
            <w:tcW w:w="1660" w:type="dxa"/>
            <w:tcBorders>
              <w:top w:val="single" w:color="auto" w:sz="4" w:space="0"/>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平均</w:t>
            </w:r>
            <w:r>
              <w:rPr>
                <w:rFonts w:hint="eastAsia" w:ascii="宋体" w:hAnsi="宋体" w:eastAsia="宋体" w:cs="宋体"/>
                <w:kern w:val="0"/>
                <w:sz w:val="18"/>
                <w:szCs w:val="18"/>
                <w:highlight w:val="none"/>
                <w:lang w:eastAsia="zh-CN"/>
              </w:rPr>
              <w:t>水平</w:t>
            </w: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（4星级）</w:t>
            </w:r>
          </w:p>
        </w:tc>
        <w:tc>
          <w:tcPr>
            <w:tcW w:w="1660" w:type="dxa"/>
            <w:tcBorders>
              <w:top w:val="single" w:color="auto" w:sz="4" w:space="0"/>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基准</w:t>
            </w:r>
            <w:r>
              <w:rPr>
                <w:rFonts w:hint="eastAsia" w:ascii="宋体" w:hAnsi="宋体" w:eastAsia="宋体" w:cs="宋体"/>
                <w:kern w:val="0"/>
                <w:sz w:val="18"/>
                <w:szCs w:val="18"/>
                <w:highlight w:val="none"/>
                <w:lang w:eastAsia="zh-CN"/>
              </w:rPr>
              <w:t>水平</w:t>
            </w: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（3星级）</w:t>
            </w:r>
          </w:p>
        </w:tc>
        <w:tc>
          <w:tcPr>
            <w:tcW w:w="2893" w:type="dxa"/>
            <w:vMerge w:val="continue"/>
            <w:tcBorders>
              <w:top w:val="single" w:color="auto" w:sz="8" w:space="0"/>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59" w:type="dxa"/>
            <w:tcBorders>
              <w:top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w:t>
            </w:r>
          </w:p>
        </w:tc>
        <w:tc>
          <w:tcPr>
            <w:tcW w:w="584" w:type="dxa"/>
            <w:vMerge w:val="restart"/>
            <w:tcBorders>
              <w:top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rPr>
              <w:t>基础指标</w:t>
            </w:r>
          </w:p>
        </w:tc>
        <w:tc>
          <w:tcPr>
            <w:tcW w:w="2930" w:type="dxa"/>
            <w:gridSpan w:val="2"/>
            <w:tcBorders>
              <w:top w:val="single" w:color="auto" w:sz="8"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原料要求</w:t>
            </w:r>
          </w:p>
        </w:tc>
        <w:tc>
          <w:tcPr>
            <w:tcW w:w="2320" w:type="dxa"/>
            <w:tcBorders>
              <w:top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QB/T 2287—2011中5.1</w:t>
            </w:r>
          </w:p>
        </w:tc>
        <w:tc>
          <w:tcPr>
            <w:tcW w:w="5034" w:type="dxa"/>
            <w:gridSpan w:val="3"/>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应符合《化妆品安全技术规范》的规定。</w:t>
            </w:r>
            <w:r>
              <w:rPr>
                <w:rFonts w:hint="eastAsia" w:ascii="宋体" w:hAnsi="宋体" w:eastAsia="宋体" w:cs="宋体"/>
                <w:color w:val="auto"/>
                <w:sz w:val="18"/>
                <w:szCs w:val="18"/>
                <w:highlight w:val="none"/>
                <w:lang w:val="en-US" w:eastAsia="zh-CN"/>
              </w:rPr>
              <w:t>甲苯不得用于儿童指甲油，在其他产品中用量不应大于25%。</w:t>
            </w:r>
            <w:r>
              <w:rPr>
                <w:rFonts w:hint="eastAsia" w:ascii="宋体" w:hAnsi="宋体" w:eastAsia="宋体" w:cs="宋体"/>
                <w:color w:val="auto"/>
                <w:sz w:val="18"/>
                <w:szCs w:val="18"/>
                <w:lang w:val="en-US" w:eastAsia="zh-CN"/>
              </w:rPr>
              <w:t>使用的香精应符合GB/T 22731的规定</w:t>
            </w:r>
          </w:p>
        </w:tc>
        <w:tc>
          <w:tcPr>
            <w:tcW w:w="2893" w:type="dxa"/>
            <w:tcBorders>
              <w:top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59"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2</w:t>
            </w:r>
          </w:p>
        </w:tc>
        <w:tc>
          <w:tcPr>
            <w:tcW w:w="58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rPr>
            </w:pPr>
          </w:p>
        </w:tc>
        <w:tc>
          <w:tcPr>
            <w:tcW w:w="2930" w:type="dxa"/>
            <w:gridSpan w:val="2"/>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包装材料的要求</w:t>
            </w:r>
          </w:p>
        </w:tc>
        <w:tc>
          <w:tcPr>
            <w:tcW w:w="232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QB/T 2287—2011中5.2</w:t>
            </w:r>
          </w:p>
        </w:tc>
        <w:tc>
          <w:tcPr>
            <w:tcW w:w="5034" w:type="dxa"/>
            <w:gridSpan w:val="3"/>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指甲油直接接触的容器应无毒，不得含有或释放可能对使用者造成伤害的有毒物质</w:t>
            </w:r>
          </w:p>
        </w:tc>
        <w:tc>
          <w:tcPr>
            <w:tcW w:w="2893"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59"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3</w:t>
            </w:r>
          </w:p>
        </w:tc>
        <w:tc>
          <w:tcPr>
            <w:tcW w:w="58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rPr>
            </w:pPr>
          </w:p>
        </w:tc>
        <w:tc>
          <w:tcPr>
            <w:tcW w:w="2930" w:type="dxa"/>
            <w:gridSpan w:val="2"/>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外观</w:t>
            </w:r>
          </w:p>
        </w:tc>
        <w:tc>
          <w:tcPr>
            <w:tcW w:w="2320"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QB/T 2287—2011中5.3</w:t>
            </w:r>
          </w:p>
        </w:tc>
        <w:tc>
          <w:tcPr>
            <w:tcW w:w="5034" w:type="dxa"/>
            <w:gridSpan w:val="3"/>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透明指甲油：清晰透明。有色指甲油：符合企业规定</w:t>
            </w:r>
          </w:p>
        </w:tc>
        <w:tc>
          <w:tcPr>
            <w:tcW w:w="2893"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QB/T 2287—2011中6.1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59"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4</w:t>
            </w:r>
          </w:p>
        </w:tc>
        <w:tc>
          <w:tcPr>
            <w:tcW w:w="58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rPr>
            </w:pPr>
          </w:p>
        </w:tc>
        <w:tc>
          <w:tcPr>
            <w:tcW w:w="2930" w:type="dxa"/>
            <w:gridSpan w:val="2"/>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色泽</w:t>
            </w:r>
          </w:p>
        </w:tc>
        <w:tc>
          <w:tcPr>
            <w:tcW w:w="23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rPr>
            </w:pPr>
          </w:p>
        </w:tc>
        <w:tc>
          <w:tcPr>
            <w:tcW w:w="5034" w:type="dxa"/>
            <w:gridSpan w:val="3"/>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符合企业规定</w:t>
            </w:r>
          </w:p>
        </w:tc>
        <w:tc>
          <w:tcPr>
            <w:tcW w:w="2893"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QB/T 2287—2011中6.2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459" w:type="dxa"/>
            <w:vMerge w:val="restart"/>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5</w:t>
            </w:r>
          </w:p>
        </w:tc>
        <w:tc>
          <w:tcPr>
            <w:tcW w:w="58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rPr>
            </w:pPr>
          </w:p>
        </w:tc>
        <w:tc>
          <w:tcPr>
            <w:tcW w:w="998" w:type="dxa"/>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牢固度</w:t>
            </w:r>
          </w:p>
        </w:tc>
        <w:tc>
          <w:tcPr>
            <w:tcW w:w="1932"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有机溶剂型指甲油</w:t>
            </w:r>
          </w:p>
        </w:tc>
        <w:tc>
          <w:tcPr>
            <w:tcW w:w="23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rPr>
            </w:pPr>
          </w:p>
        </w:tc>
        <w:tc>
          <w:tcPr>
            <w:tcW w:w="5034" w:type="dxa"/>
            <w:gridSpan w:val="3"/>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无脱落</w:t>
            </w:r>
          </w:p>
        </w:tc>
        <w:tc>
          <w:tcPr>
            <w:tcW w:w="2893" w:type="dxa"/>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QB/T 2287—2011中6.3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459" w:type="dxa"/>
            <w:vMerge w:val="continue"/>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pPr>
          </w:p>
        </w:tc>
        <w:tc>
          <w:tcPr>
            <w:tcW w:w="58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pPr>
          </w:p>
        </w:tc>
        <w:tc>
          <w:tcPr>
            <w:tcW w:w="998" w:type="dxa"/>
            <w:vMerge w:val="continue"/>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pPr>
          </w:p>
        </w:tc>
        <w:tc>
          <w:tcPr>
            <w:tcW w:w="1932"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水性型指甲油</w:t>
            </w:r>
          </w:p>
        </w:tc>
        <w:tc>
          <w:tcPr>
            <w:tcW w:w="23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18"/>
                <w:szCs w:val="18"/>
                <w:highlight w:val="none"/>
                <w:lang w:val="en-US" w:eastAsia="zh-CN"/>
              </w:rPr>
            </w:pPr>
          </w:p>
        </w:tc>
        <w:tc>
          <w:tcPr>
            <w:tcW w:w="5034" w:type="dxa"/>
            <w:gridSpan w:val="3"/>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w:t>
            </w:r>
          </w:p>
        </w:tc>
        <w:tc>
          <w:tcPr>
            <w:tcW w:w="2893" w:type="dxa"/>
            <w:vMerge w:val="continue"/>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59"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6</w:t>
            </w:r>
          </w:p>
        </w:tc>
        <w:tc>
          <w:tcPr>
            <w:tcW w:w="58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rPr>
            </w:pPr>
          </w:p>
        </w:tc>
        <w:tc>
          <w:tcPr>
            <w:tcW w:w="2930" w:type="dxa"/>
            <w:gridSpan w:val="2"/>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干燥时</w:t>
            </w:r>
            <w:r>
              <w:rPr>
                <w:rFonts w:hint="eastAsia" w:ascii="宋体" w:hAnsi="宋体" w:eastAsia="宋体" w:cs="宋体"/>
                <w:sz w:val="18"/>
                <w:szCs w:val="18"/>
                <w:highlight w:val="none"/>
                <w:shd w:val="clear"/>
                <w:lang w:val="en-US" w:eastAsia="zh-CN"/>
              </w:rPr>
              <w:t>间</w:t>
            </w:r>
            <w:r>
              <w:rPr>
                <w:rFonts w:hint="eastAsia" w:ascii="宋体" w:hAnsi="宋体" w:eastAsia="宋体" w:cs="宋体"/>
                <w:color w:val="auto"/>
                <w:sz w:val="18"/>
                <w:szCs w:val="18"/>
                <w:vertAlign w:val="superscript"/>
              </w:rPr>
              <w:t>a</w:t>
            </w:r>
            <w:r>
              <w:rPr>
                <w:rFonts w:hint="eastAsia" w:ascii="宋体" w:hAnsi="宋体" w:eastAsia="宋体" w:cs="宋体"/>
                <w:sz w:val="18"/>
                <w:szCs w:val="18"/>
                <w:highlight w:val="none"/>
                <w:shd w:val="clear"/>
                <w:lang w:val="en-US" w:eastAsia="zh-CN"/>
              </w:rPr>
              <w:t>/min</w:t>
            </w:r>
          </w:p>
        </w:tc>
        <w:tc>
          <w:tcPr>
            <w:tcW w:w="23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rPr>
            </w:pPr>
          </w:p>
        </w:tc>
        <w:tc>
          <w:tcPr>
            <w:tcW w:w="5034" w:type="dxa"/>
            <w:gridSpan w:val="3"/>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2893"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QB/T 2287—2011中6.4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59"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7</w:t>
            </w:r>
          </w:p>
        </w:tc>
        <w:tc>
          <w:tcPr>
            <w:tcW w:w="58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rPr>
            </w:pPr>
          </w:p>
        </w:tc>
        <w:tc>
          <w:tcPr>
            <w:tcW w:w="2930" w:type="dxa"/>
            <w:gridSpan w:val="2"/>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耐热大肠菌群/g</w:t>
            </w:r>
          </w:p>
        </w:tc>
        <w:tc>
          <w:tcPr>
            <w:tcW w:w="2320"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化妆品安全技术规范（2015年版）</w:t>
            </w:r>
          </w:p>
        </w:tc>
        <w:tc>
          <w:tcPr>
            <w:tcW w:w="5034" w:type="dxa"/>
            <w:gridSpan w:val="3"/>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不得检出</w:t>
            </w:r>
          </w:p>
        </w:tc>
        <w:tc>
          <w:tcPr>
            <w:tcW w:w="2893"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化妆品安全技术规范（2015年版）</w:t>
            </w:r>
            <w:r>
              <w:rPr>
                <w:rFonts w:hint="eastAsia" w:ascii="宋体" w:hAnsi="宋体" w:eastAsia="宋体" w:cs="宋体"/>
                <w:kern w:val="0"/>
                <w:sz w:val="18"/>
                <w:szCs w:val="18"/>
                <w:highlight w:val="none"/>
              </w:rPr>
              <w:t>中第</w:t>
            </w:r>
            <w:r>
              <w:rPr>
                <w:rFonts w:hint="eastAsia" w:ascii="宋体" w:hAnsi="宋体" w:eastAsia="宋体" w:cs="宋体"/>
                <w:kern w:val="0"/>
                <w:sz w:val="18"/>
                <w:szCs w:val="18"/>
                <w:highlight w:val="none"/>
                <w:lang w:val="en-US" w:eastAsia="zh-CN"/>
              </w:rPr>
              <w:t>五</w:t>
            </w:r>
            <w:r>
              <w:rPr>
                <w:rFonts w:hint="eastAsia" w:ascii="宋体" w:hAnsi="宋体" w:eastAsia="宋体" w:cs="宋体"/>
                <w:kern w:val="0"/>
                <w:sz w:val="18"/>
                <w:szCs w:val="18"/>
                <w:highlight w:val="none"/>
              </w:rPr>
              <w:t>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459"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8</w:t>
            </w:r>
          </w:p>
        </w:tc>
        <w:tc>
          <w:tcPr>
            <w:tcW w:w="58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rPr>
            </w:pPr>
          </w:p>
        </w:tc>
        <w:tc>
          <w:tcPr>
            <w:tcW w:w="2930" w:type="dxa"/>
            <w:gridSpan w:val="2"/>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金黄色葡萄球菌/g</w:t>
            </w:r>
          </w:p>
        </w:tc>
        <w:tc>
          <w:tcPr>
            <w:tcW w:w="23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rPr>
            </w:pPr>
          </w:p>
        </w:tc>
        <w:tc>
          <w:tcPr>
            <w:tcW w:w="5034" w:type="dxa"/>
            <w:gridSpan w:val="3"/>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不得检出</w:t>
            </w:r>
          </w:p>
        </w:tc>
        <w:tc>
          <w:tcPr>
            <w:tcW w:w="2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59"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9</w:t>
            </w:r>
          </w:p>
        </w:tc>
        <w:tc>
          <w:tcPr>
            <w:tcW w:w="58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rPr>
            </w:pPr>
          </w:p>
        </w:tc>
        <w:tc>
          <w:tcPr>
            <w:tcW w:w="2930" w:type="dxa"/>
            <w:gridSpan w:val="2"/>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铜绿假单胞菌/g</w:t>
            </w:r>
          </w:p>
        </w:tc>
        <w:tc>
          <w:tcPr>
            <w:tcW w:w="23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rPr>
            </w:pPr>
          </w:p>
        </w:tc>
        <w:tc>
          <w:tcPr>
            <w:tcW w:w="5034" w:type="dxa"/>
            <w:gridSpan w:val="3"/>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不得检出</w:t>
            </w:r>
          </w:p>
        </w:tc>
        <w:tc>
          <w:tcPr>
            <w:tcW w:w="2893" w:type="dxa"/>
            <w:vMerge w:val="continue"/>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459" w:type="dxa"/>
            <w:vMerge w:val="restart"/>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10</w:t>
            </w:r>
          </w:p>
        </w:tc>
        <w:tc>
          <w:tcPr>
            <w:tcW w:w="58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rPr>
            </w:pPr>
          </w:p>
        </w:tc>
        <w:tc>
          <w:tcPr>
            <w:tcW w:w="998" w:type="dxa"/>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邻苯二甲酸酯限量</w:t>
            </w:r>
          </w:p>
        </w:tc>
        <w:tc>
          <w:tcPr>
            <w:tcW w:w="1932"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邻苯二甲酸二正戊酯（DAP）</w:t>
            </w:r>
          </w:p>
        </w:tc>
        <w:tc>
          <w:tcPr>
            <w:tcW w:w="2320"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化妆品安全技术规范（2015年版）</w:t>
            </w:r>
          </w:p>
        </w:tc>
        <w:tc>
          <w:tcPr>
            <w:tcW w:w="5034" w:type="dxa"/>
            <w:gridSpan w:val="3"/>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不得检出</w:t>
            </w:r>
          </w:p>
        </w:tc>
        <w:tc>
          <w:tcPr>
            <w:tcW w:w="2893" w:type="dxa"/>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化妆品安全技术规范（2015年版）第四章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459"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pPr>
          </w:p>
        </w:tc>
        <w:tc>
          <w:tcPr>
            <w:tcW w:w="58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pPr>
          </w:p>
        </w:tc>
        <w:tc>
          <w:tcPr>
            <w:tcW w:w="9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18"/>
                <w:szCs w:val="18"/>
                <w:highlight w:val="none"/>
                <w:lang w:val="en-US" w:eastAsia="zh-CN"/>
              </w:rPr>
            </w:pPr>
          </w:p>
        </w:tc>
        <w:tc>
          <w:tcPr>
            <w:tcW w:w="1932"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邻苯二甲酸丁苄酯(BBP)</w:t>
            </w:r>
          </w:p>
        </w:tc>
        <w:tc>
          <w:tcPr>
            <w:tcW w:w="23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18"/>
                <w:szCs w:val="18"/>
                <w:highlight w:val="none"/>
                <w:lang w:val="en-US" w:eastAsia="zh-CN"/>
              </w:rPr>
            </w:pPr>
          </w:p>
        </w:tc>
        <w:tc>
          <w:tcPr>
            <w:tcW w:w="5034" w:type="dxa"/>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不得检出</w:t>
            </w:r>
          </w:p>
        </w:tc>
        <w:tc>
          <w:tcPr>
            <w:tcW w:w="2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459"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18"/>
                <w:szCs w:val="18"/>
                <w:highlight w:val="none"/>
                <w:lang w:val="en-US" w:eastAsia="zh-CN"/>
              </w:rPr>
            </w:pPr>
          </w:p>
        </w:tc>
        <w:tc>
          <w:tcPr>
            <w:tcW w:w="58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18"/>
                <w:szCs w:val="18"/>
                <w:highlight w:val="none"/>
                <w:lang w:val="en-US" w:eastAsia="zh-CN"/>
              </w:rPr>
            </w:pPr>
          </w:p>
        </w:tc>
        <w:tc>
          <w:tcPr>
            <w:tcW w:w="9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18"/>
                <w:szCs w:val="18"/>
                <w:highlight w:val="none"/>
                <w:lang w:val="en-US" w:eastAsia="zh-CN"/>
              </w:rPr>
            </w:pPr>
          </w:p>
        </w:tc>
        <w:tc>
          <w:tcPr>
            <w:tcW w:w="1932"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邻苯二甲酸二(2-乙基己基)酯(DEHP)</w:t>
            </w:r>
          </w:p>
        </w:tc>
        <w:tc>
          <w:tcPr>
            <w:tcW w:w="23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18"/>
                <w:szCs w:val="18"/>
                <w:highlight w:val="none"/>
                <w:lang w:val="en-US" w:eastAsia="zh-CN"/>
              </w:rPr>
            </w:pPr>
          </w:p>
        </w:tc>
        <w:tc>
          <w:tcPr>
            <w:tcW w:w="5034" w:type="dxa"/>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不得检出</w:t>
            </w:r>
          </w:p>
        </w:tc>
        <w:tc>
          <w:tcPr>
            <w:tcW w:w="2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459"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18"/>
                <w:szCs w:val="18"/>
                <w:highlight w:val="none"/>
                <w:lang w:val="en-US" w:eastAsia="zh-CN"/>
              </w:rPr>
            </w:pPr>
          </w:p>
        </w:tc>
        <w:tc>
          <w:tcPr>
            <w:tcW w:w="58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18"/>
                <w:szCs w:val="18"/>
                <w:highlight w:val="none"/>
                <w:lang w:val="en-US" w:eastAsia="zh-CN"/>
              </w:rPr>
            </w:pPr>
          </w:p>
        </w:tc>
        <w:tc>
          <w:tcPr>
            <w:tcW w:w="9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18"/>
                <w:szCs w:val="18"/>
                <w:highlight w:val="none"/>
                <w:lang w:val="en-US" w:eastAsia="zh-CN"/>
              </w:rPr>
            </w:pPr>
          </w:p>
        </w:tc>
        <w:tc>
          <w:tcPr>
            <w:tcW w:w="1932"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邻苯二甲酸二（2-甲氧乙基）酯(DMEP)</w:t>
            </w:r>
          </w:p>
        </w:tc>
        <w:tc>
          <w:tcPr>
            <w:tcW w:w="23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18"/>
                <w:szCs w:val="18"/>
                <w:highlight w:val="none"/>
                <w:lang w:val="en-US" w:eastAsia="zh-CN"/>
              </w:rPr>
            </w:pPr>
          </w:p>
        </w:tc>
        <w:tc>
          <w:tcPr>
            <w:tcW w:w="5034" w:type="dxa"/>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不得检出</w:t>
            </w:r>
          </w:p>
        </w:tc>
        <w:tc>
          <w:tcPr>
            <w:tcW w:w="2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459" w:type="dxa"/>
            <w:vMerge w:val="continue"/>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18"/>
                <w:szCs w:val="18"/>
                <w:highlight w:val="none"/>
                <w:lang w:val="en-US" w:eastAsia="zh-CN"/>
              </w:rPr>
            </w:pPr>
          </w:p>
        </w:tc>
        <w:tc>
          <w:tcPr>
            <w:tcW w:w="58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18"/>
                <w:szCs w:val="18"/>
                <w:highlight w:val="none"/>
                <w:lang w:val="en-US" w:eastAsia="zh-CN"/>
              </w:rPr>
            </w:pPr>
          </w:p>
        </w:tc>
        <w:tc>
          <w:tcPr>
            <w:tcW w:w="998" w:type="dxa"/>
            <w:vMerge w:val="continue"/>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18"/>
                <w:szCs w:val="18"/>
                <w:highlight w:val="none"/>
                <w:lang w:val="en-US" w:eastAsia="zh-CN"/>
              </w:rPr>
            </w:pPr>
          </w:p>
        </w:tc>
        <w:tc>
          <w:tcPr>
            <w:tcW w:w="1932"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邻苯二甲酸二丁酯(DBP）</w:t>
            </w:r>
          </w:p>
        </w:tc>
        <w:tc>
          <w:tcPr>
            <w:tcW w:w="2320" w:type="dxa"/>
            <w:vMerge w:val="continue"/>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18"/>
                <w:szCs w:val="18"/>
                <w:highlight w:val="none"/>
                <w:lang w:val="en-US" w:eastAsia="zh-CN"/>
              </w:rPr>
            </w:pPr>
          </w:p>
        </w:tc>
        <w:tc>
          <w:tcPr>
            <w:tcW w:w="5034" w:type="dxa"/>
            <w:gridSpan w:val="3"/>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不得检出</w:t>
            </w:r>
          </w:p>
        </w:tc>
        <w:tc>
          <w:tcPr>
            <w:tcW w:w="2893" w:type="dxa"/>
            <w:vMerge w:val="continue"/>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59"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11</w:t>
            </w:r>
          </w:p>
        </w:tc>
        <w:tc>
          <w:tcPr>
            <w:tcW w:w="58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rPr>
            </w:pPr>
          </w:p>
        </w:tc>
        <w:tc>
          <w:tcPr>
            <w:tcW w:w="2930" w:type="dxa"/>
            <w:gridSpan w:val="2"/>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净含量偏差</w:t>
            </w:r>
          </w:p>
        </w:tc>
        <w:tc>
          <w:tcPr>
            <w:tcW w:w="2320" w:type="dxa"/>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eastAsia="宋体" w:cs="宋体"/>
                <w:sz w:val="18"/>
                <w:szCs w:val="18"/>
                <w:highlight w:val="none"/>
                <w:lang w:val="en-US" w:eastAsia="zh-CN"/>
              </w:rPr>
              <w:t>JJF 1070—2023</w:t>
            </w:r>
          </w:p>
        </w:tc>
        <w:tc>
          <w:tcPr>
            <w:tcW w:w="5034" w:type="dxa"/>
            <w:gridSpan w:val="3"/>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sz w:val="18"/>
                <w:szCs w:val="18"/>
                <w:highlight w:val="none"/>
                <w:lang w:val="en-US" w:eastAsia="zh-CN"/>
              </w:rPr>
              <w:t>符合《定量包装商品计量监督管理办法》</w:t>
            </w:r>
          </w:p>
        </w:tc>
        <w:tc>
          <w:tcPr>
            <w:tcW w:w="2893"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rPr>
            </w:pPr>
            <w:r>
              <w:rPr>
                <w:rFonts w:hint="eastAsia" w:ascii="宋体" w:hAnsi="宋体" w:eastAsia="宋体" w:cs="宋体"/>
                <w:sz w:val="18"/>
                <w:szCs w:val="18"/>
                <w:highlight w:val="none"/>
                <w:lang w:val="en-US" w:eastAsia="zh-CN"/>
              </w:rPr>
              <w:t>JJF 1070—2023中6.1.1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59"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12</w:t>
            </w:r>
          </w:p>
        </w:tc>
        <w:tc>
          <w:tcPr>
            <w:tcW w:w="58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核心指标</w:t>
            </w:r>
          </w:p>
        </w:tc>
        <w:tc>
          <w:tcPr>
            <w:tcW w:w="2930" w:type="dxa"/>
            <w:gridSpan w:val="2"/>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铅/(mg/kg)</w:t>
            </w:r>
          </w:p>
        </w:tc>
        <w:tc>
          <w:tcPr>
            <w:tcW w:w="2320"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化妆品安全技术规范（2015年版）、</w:t>
            </w:r>
            <w:r>
              <w:rPr>
                <w:rFonts w:hint="eastAsia" w:ascii="宋体" w:hAnsi="宋体" w:eastAsia="宋体" w:cs="宋体"/>
                <w:sz w:val="18"/>
                <w:szCs w:val="18"/>
                <w:highlight w:val="none"/>
              </w:rPr>
              <w:t>德国BVL法规要求</w:t>
            </w:r>
          </w:p>
        </w:tc>
        <w:tc>
          <w:tcPr>
            <w:tcW w:w="1714"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≤2.0</w:t>
            </w:r>
          </w:p>
        </w:tc>
        <w:tc>
          <w:tcPr>
            <w:tcW w:w="1660"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z w:val="18"/>
                <w:szCs w:val="18"/>
                <w:highlight w:val="none"/>
                <w:lang w:val="en-US" w:eastAsia="zh-CN"/>
              </w:rPr>
              <w:t>≤5</w:t>
            </w:r>
          </w:p>
        </w:tc>
        <w:tc>
          <w:tcPr>
            <w:tcW w:w="1660"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z w:val="18"/>
                <w:szCs w:val="18"/>
                <w:highlight w:val="none"/>
                <w:lang w:val="en-US" w:eastAsia="zh-CN"/>
              </w:rPr>
              <w:t>≤10</w:t>
            </w:r>
          </w:p>
        </w:tc>
        <w:tc>
          <w:tcPr>
            <w:tcW w:w="2893" w:type="dxa"/>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化妆品安全技术规范（2015年版）</w:t>
            </w:r>
            <w:r>
              <w:rPr>
                <w:rFonts w:hint="eastAsia" w:ascii="宋体" w:hAnsi="宋体" w:eastAsia="宋体" w:cs="宋体"/>
                <w:kern w:val="0"/>
                <w:sz w:val="18"/>
                <w:szCs w:val="18"/>
                <w:highlight w:val="none"/>
              </w:rPr>
              <w:t>中第</w:t>
            </w:r>
            <w:r>
              <w:rPr>
                <w:rFonts w:hint="eastAsia" w:ascii="宋体" w:hAnsi="宋体" w:eastAsia="宋体" w:cs="宋体"/>
                <w:kern w:val="0"/>
                <w:sz w:val="18"/>
                <w:szCs w:val="18"/>
                <w:highlight w:val="none"/>
                <w:lang w:val="en-US" w:eastAsia="zh-CN"/>
              </w:rPr>
              <w:t>四</w:t>
            </w:r>
            <w:r>
              <w:rPr>
                <w:rFonts w:hint="eastAsia" w:ascii="宋体" w:hAnsi="宋体" w:eastAsia="宋体" w:cs="宋体"/>
                <w:kern w:val="0"/>
                <w:sz w:val="18"/>
                <w:szCs w:val="18"/>
                <w:highlight w:val="none"/>
              </w:rPr>
              <w:t>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59"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13</w:t>
            </w:r>
          </w:p>
        </w:tc>
        <w:tc>
          <w:tcPr>
            <w:tcW w:w="58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rPr>
            </w:pPr>
          </w:p>
        </w:tc>
        <w:tc>
          <w:tcPr>
            <w:tcW w:w="2930" w:type="dxa"/>
            <w:gridSpan w:val="2"/>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汞/(mg/kg)</w:t>
            </w:r>
          </w:p>
        </w:tc>
        <w:tc>
          <w:tcPr>
            <w:tcW w:w="23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rPr>
            </w:pPr>
          </w:p>
        </w:tc>
        <w:tc>
          <w:tcPr>
            <w:tcW w:w="1714"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≤0.1</w:t>
            </w:r>
          </w:p>
        </w:tc>
        <w:tc>
          <w:tcPr>
            <w:tcW w:w="1660"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sz w:val="18"/>
                <w:szCs w:val="18"/>
                <w:highlight w:val="none"/>
                <w:lang w:val="en-US" w:eastAsia="zh-CN"/>
              </w:rPr>
              <w:t>≤0.5</w:t>
            </w:r>
          </w:p>
        </w:tc>
        <w:tc>
          <w:tcPr>
            <w:tcW w:w="1660"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z w:val="18"/>
                <w:szCs w:val="18"/>
                <w:highlight w:val="none"/>
                <w:lang w:val="en-US" w:eastAsia="zh-CN"/>
              </w:rPr>
              <w:t>≤1</w:t>
            </w:r>
          </w:p>
        </w:tc>
        <w:tc>
          <w:tcPr>
            <w:tcW w:w="2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59"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14</w:t>
            </w:r>
          </w:p>
        </w:tc>
        <w:tc>
          <w:tcPr>
            <w:tcW w:w="58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rPr>
            </w:pPr>
          </w:p>
        </w:tc>
        <w:tc>
          <w:tcPr>
            <w:tcW w:w="2930" w:type="dxa"/>
            <w:gridSpan w:val="2"/>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砷/(mg/kg)</w:t>
            </w:r>
          </w:p>
        </w:tc>
        <w:tc>
          <w:tcPr>
            <w:tcW w:w="23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rPr>
            </w:pPr>
          </w:p>
        </w:tc>
        <w:tc>
          <w:tcPr>
            <w:tcW w:w="1714"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≤0.5</w:t>
            </w:r>
          </w:p>
        </w:tc>
        <w:tc>
          <w:tcPr>
            <w:tcW w:w="1660"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z w:val="18"/>
                <w:szCs w:val="18"/>
                <w:highlight w:val="none"/>
                <w:lang w:val="en-US" w:eastAsia="zh-CN"/>
              </w:rPr>
              <w:t>≤1</w:t>
            </w:r>
          </w:p>
        </w:tc>
        <w:tc>
          <w:tcPr>
            <w:tcW w:w="1660"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z w:val="18"/>
                <w:szCs w:val="18"/>
                <w:highlight w:val="none"/>
                <w:lang w:val="en-US" w:eastAsia="zh-CN"/>
              </w:rPr>
              <w:t>≤2</w:t>
            </w:r>
          </w:p>
        </w:tc>
        <w:tc>
          <w:tcPr>
            <w:tcW w:w="2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59"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15</w:t>
            </w:r>
          </w:p>
        </w:tc>
        <w:tc>
          <w:tcPr>
            <w:tcW w:w="58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rPr>
            </w:pPr>
          </w:p>
        </w:tc>
        <w:tc>
          <w:tcPr>
            <w:tcW w:w="2930" w:type="dxa"/>
            <w:gridSpan w:val="2"/>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镉/(mg/kg)</w:t>
            </w:r>
          </w:p>
        </w:tc>
        <w:tc>
          <w:tcPr>
            <w:tcW w:w="23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rPr>
            </w:pPr>
          </w:p>
        </w:tc>
        <w:tc>
          <w:tcPr>
            <w:tcW w:w="1714"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≤0.1</w:t>
            </w:r>
          </w:p>
        </w:tc>
        <w:tc>
          <w:tcPr>
            <w:tcW w:w="1660"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z w:val="18"/>
                <w:szCs w:val="18"/>
                <w:highlight w:val="none"/>
                <w:lang w:val="en-US" w:eastAsia="zh-CN"/>
              </w:rPr>
              <w:t>≤2.5</w:t>
            </w:r>
          </w:p>
        </w:tc>
        <w:tc>
          <w:tcPr>
            <w:tcW w:w="1660"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z w:val="18"/>
                <w:szCs w:val="18"/>
                <w:highlight w:val="none"/>
                <w:lang w:val="en-US" w:eastAsia="zh-CN"/>
              </w:rPr>
              <w:t>≤5</w:t>
            </w:r>
          </w:p>
        </w:tc>
        <w:tc>
          <w:tcPr>
            <w:tcW w:w="2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59"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16</w:t>
            </w:r>
          </w:p>
        </w:tc>
        <w:tc>
          <w:tcPr>
            <w:tcW w:w="58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rPr>
            </w:pPr>
          </w:p>
        </w:tc>
        <w:tc>
          <w:tcPr>
            <w:tcW w:w="2930" w:type="dxa"/>
            <w:gridSpan w:val="2"/>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二噁烷</w:t>
            </w:r>
            <w:r>
              <w:rPr>
                <w:rFonts w:hint="eastAsia" w:ascii="宋体" w:hAnsi="宋体" w:eastAsia="宋体" w:cs="宋体"/>
                <w:sz w:val="18"/>
                <w:szCs w:val="18"/>
                <w:highlight w:val="none"/>
                <w:shd w:val="clear"/>
                <w:vertAlign w:val="superscript"/>
                <w:lang w:val="en-US" w:eastAsia="zh-CN"/>
              </w:rPr>
              <w:t>b</w:t>
            </w:r>
            <w:r>
              <w:rPr>
                <w:rFonts w:hint="eastAsia" w:ascii="宋体" w:hAnsi="宋体" w:eastAsia="宋体" w:cs="宋体"/>
                <w:sz w:val="18"/>
                <w:szCs w:val="18"/>
                <w:highlight w:val="none"/>
                <w:lang w:val="en-US" w:eastAsia="zh-CN"/>
              </w:rPr>
              <w:t>/(mg/kg)</w:t>
            </w:r>
          </w:p>
        </w:tc>
        <w:tc>
          <w:tcPr>
            <w:tcW w:w="232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化妆品安全技术规范（2015年版）</w:t>
            </w:r>
          </w:p>
        </w:tc>
        <w:tc>
          <w:tcPr>
            <w:tcW w:w="1714"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＜2</w:t>
            </w:r>
          </w:p>
        </w:tc>
        <w:tc>
          <w:tcPr>
            <w:tcW w:w="1660"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≤10</w:t>
            </w:r>
          </w:p>
        </w:tc>
        <w:tc>
          <w:tcPr>
            <w:tcW w:w="1660"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sz w:val="18"/>
                <w:szCs w:val="18"/>
                <w:highlight w:val="none"/>
                <w:lang w:val="en-US" w:eastAsia="zh-CN"/>
              </w:rPr>
              <w:t>≤30</w:t>
            </w:r>
          </w:p>
        </w:tc>
        <w:tc>
          <w:tcPr>
            <w:tcW w:w="2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59"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17</w:t>
            </w:r>
          </w:p>
        </w:tc>
        <w:tc>
          <w:tcPr>
            <w:tcW w:w="58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rPr>
            </w:pPr>
          </w:p>
        </w:tc>
        <w:tc>
          <w:tcPr>
            <w:tcW w:w="2930" w:type="dxa"/>
            <w:gridSpan w:val="2"/>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甲醇</w:t>
            </w:r>
            <w:r>
              <w:rPr>
                <w:rFonts w:hint="eastAsia" w:ascii="宋体" w:hAnsi="宋体" w:eastAsia="宋体" w:cs="宋体"/>
                <w:sz w:val="18"/>
                <w:szCs w:val="18"/>
                <w:highlight w:val="none"/>
                <w:lang w:val="en-US" w:eastAsia="zh-CN"/>
              </w:rPr>
              <w:t>/(mg/kg)</w:t>
            </w:r>
          </w:p>
        </w:tc>
        <w:tc>
          <w:tcPr>
            <w:tcW w:w="2320"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化妆品安全技术规范（2015年版）</w:t>
            </w:r>
          </w:p>
        </w:tc>
        <w:tc>
          <w:tcPr>
            <w:tcW w:w="1714"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z w:val="18"/>
                <w:szCs w:val="18"/>
                <w:highlight w:val="none"/>
                <w:lang w:val="en-US" w:eastAsia="zh-CN"/>
              </w:rPr>
              <w:t>≤200</w:t>
            </w:r>
          </w:p>
        </w:tc>
        <w:tc>
          <w:tcPr>
            <w:tcW w:w="1660"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≤1000</w:t>
            </w:r>
          </w:p>
        </w:tc>
        <w:tc>
          <w:tcPr>
            <w:tcW w:w="1660"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≤2000</w:t>
            </w:r>
          </w:p>
        </w:tc>
        <w:tc>
          <w:tcPr>
            <w:tcW w:w="2893" w:type="dxa"/>
            <w:vMerge w:val="continue"/>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459" w:type="dxa"/>
            <w:vMerge w:val="restart"/>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18</w:t>
            </w:r>
          </w:p>
        </w:tc>
        <w:tc>
          <w:tcPr>
            <w:tcW w:w="58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rPr>
            </w:pPr>
          </w:p>
        </w:tc>
        <w:tc>
          <w:tcPr>
            <w:tcW w:w="998" w:type="dxa"/>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菌落总数/(CFU/g)</w:t>
            </w:r>
          </w:p>
        </w:tc>
        <w:tc>
          <w:tcPr>
            <w:tcW w:w="1932"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儿童</w:t>
            </w:r>
          </w:p>
        </w:tc>
        <w:tc>
          <w:tcPr>
            <w:tcW w:w="23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rPr>
            </w:pPr>
          </w:p>
        </w:tc>
        <w:tc>
          <w:tcPr>
            <w:tcW w:w="1714" w:type="dxa"/>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0</w:t>
            </w:r>
          </w:p>
        </w:tc>
        <w:tc>
          <w:tcPr>
            <w:tcW w:w="1660" w:type="dxa"/>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250</w:t>
            </w:r>
          </w:p>
        </w:tc>
        <w:tc>
          <w:tcPr>
            <w:tcW w:w="1660" w:type="dxa"/>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500</w:t>
            </w:r>
          </w:p>
        </w:tc>
        <w:tc>
          <w:tcPr>
            <w:tcW w:w="2893" w:type="dxa"/>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化妆品安全技术规范（2015年版）</w:t>
            </w:r>
            <w:r>
              <w:rPr>
                <w:rFonts w:hint="eastAsia" w:ascii="宋体" w:hAnsi="宋体" w:eastAsia="宋体" w:cs="宋体"/>
                <w:kern w:val="0"/>
                <w:sz w:val="18"/>
                <w:szCs w:val="18"/>
                <w:highlight w:val="none"/>
              </w:rPr>
              <w:t>中第</w:t>
            </w:r>
            <w:r>
              <w:rPr>
                <w:rFonts w:hint="eastAsia" w:ascii="宋体" w:hAnsi="宋体" w:eastAsia="宋体" w:cs="宋体"/>
                <w:kern w:val="0"/>
                <w:sz w:val="18"/>
                <w:szCs w:val="18"/>
                <w:highlight w:val="none"/>
                <w:lang w:val="en-US" w:eastAsia="zh-CN"/>
              </w:rPr>
              <w:t>五</w:t>
            </w:r>
            <w:r>
              <w:rPr>
                <w:rFonts w:hint="eastAsia" w:ascii="宋体" w:hAnsi="宋体" w:eastAsia="宋体" w:cs="宋体"/>
                <w:kern w:val="0"/>
                <w:sz w:val="18"/>
                <w:szCs w:val="18"/>
                <w:highlight w:val="none"/>
              </w:rPr>
              <w:t>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459" w:type="dxa"/>
            <w:vMerge w:val="continue"/>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bidi="ar-SA"/>
              </w:rPr>
            </w:pPr>
          </w:p>
        </w:tc>
        <w:tc>
          <w:tcPr>
            <w:tcW w:w="58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pPr>
          </w:p>
        </w:tc>
        <w:tc>
          <w:tcPr>
            <w:tcW w:w="998" w:type="dxa"/>
            <w:vMerge w:val="continue"/>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pPr>
          </w:p>
        </w:tc>
        <w:tc>
          <w:tcPr>
            <w:tcW w:w="1932"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其他</w:t>
            </w:r>
          </w:p>
        </w:tc>
        <w:tc>
          <w:tcPr>
            <w:tcW w:w="23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18"/>
                <w:szCs w:val="18"/>
                <w:highlight w:val="none"/>
                <w:lang w:val="en-US" w:eastAsia="zh-CN"/>
              </w:rPr>
            </w:pPr>
          </w:p>
        </w:tc>
        <w:tc>
          <w:tcPr>
            <w:tcW w:w="1714" w:type="dxa"/>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0</w:t>
            </w:r>
          </w:p>
        </w:tc>
        <w:tc>
          <w:tcPr>
            <w:tcW w:w="1660" w:type="dxa"/>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500</w:t>
            </w:r>
          </w:p>
        </w:tc>
        <w:tc>
          <w:tcPr>
            <w:tcW w:w="1660" w:type="dxa"/>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≤100</w:t>
            </w:r>
            <w:r>
              <w:rPr>
                <w:rFonts w:hint="eastAsia" w:ascii="宋体" w:hAnsi="宋体" w:eastAsia="宋体" w:cs="宋体"/>
                <w:color w:val="auto"/>
                <w:sz w:val="18"/>
                <w:szCs w:val="18"/>
                <w:lang w:val="en-US" w:eastAsia="zh-CN"/>
              </w:rPr>
              <w:t>0</w:t>
            </w:r>
          </w:p>
        </w:tc>
        <w:tc>
          <w:tcPr>
            <w:tcW w:w="2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59"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19</w:t>
            </w:r>
          </w:p>
        </w:tc>
        <w:tc>
          <w:tcPr>
            <w:tcW w:w="58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rPr>
            </w:pPr>
          </w:p>
        </w:tc>
        <w:tc>
          <w:tcPr>
            <w:tcW w:w="2930" w:type="dxa"/>
            <w:gridSpan w:val="2"/>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霉菌和酵母菌总数/(CFU/g)</w:t>
            </w:r>
          </w:p>
        </w:tc>
        <w:tc>
          <w:tcPr>
            <w:tcW w:w="23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rPr>
            </w:pPr>
          </w:p>
        </w:tc>
        <w:tc>
          <w:tcPr>
            <w:tcW w:w="1714"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p>
        </w:tc>
        <w:tc>
          <w:tcPr>
            <w:tcW w:w="1660"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50</w:t>
            </w:r>
          </w:p>
        </w:tc>
        <w:tc>
          <w:tcPr>
            <w:tcW w:w="1660"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10</w:t>
            </w:r>
            <w:r>
              <w:rPr>
                <w:rFonts w:hint="eastAsia" w:ascii="宋体" w:hAnsi="宋体" w:eastAsia="宋体" w:cs="宋体"/>
                <w:color w:val="auto"/>
                <w:sz w:val="18"/>
                <w:szCs w:val="18"/>
              </w:rPr>
              <w:t>0</w:t>
            </w:r>
          </w:p>
        </w:tc>
        <w:tc>
          <w:tcPr>
            <w:tcW w:w="2893" w:type="dxa"/>
            <w:vMerge w:val="continue"/>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9"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20</w:t>
            </w:r>
          </w:p>
        </w:tc>
        <w:tc>
          <w:tcPr>
            <w:tcW w:w="58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创新指标</w:t>
            </w:r>
          </w:p>
        </w:tc>
        <w:tc>
          <w:tcPr>
            <w:tcW w:w="2930" w:type="dxa"/>
            <w:gridSpan w:val="2"/>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耐热</w:t>
            </w:r>
          </w:p>
        </w:tc>
        <w:tc>
          <w:tcPr>
            <w:tcW w:w="2320" w:type="dxa"/>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客户需求</w:t>
            </w:r>
          </w:p>
        </w:tc>
        <w:tc>
          <w:tcPr>
            <w:tcW w:w="5034" w:type="dxa"/>
            <w:gridSpan w:val="3"/>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40±1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℃保持24</w:t>
            </w:r>
            <w:r>
              <w:rPr>
                <w:rFonts w:hint="eastAsia" w:ascii="宋体" w:hAnsi="宋体" w:eastAsia="宋体" w:cs="宋体"/>
                <w:w w:val="50"/>
                <w:sz w:val="18"/>
                <w:szCs w:val="18"/>
                <w:highlight w:val="none"/>
                <w:lang w:val="en-US" w:eastAsia="zh-CN"/>
              </w:rPr>
              <w:t xml:space="preserve"> </w:t>
            </w:r>
            <w:r>
              <w:rPr>
                <w:rFonts w:hint="eastAsia" w:ascii="宋体" w:hAnsi="宋体" w:eastAsia="宋体" w:cs="宋体"/>
                <w:sz w:val="18"/>
                <w:szCs w:val="18"/>
                <w:highlight w:val="none"/>
                <w:lang w:val="en-US" w:eastAsia="zh-CN"/>
              </w:rPr>
              <w:t>h</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恢复室温后无分层，能正常使用</w:t>
            </w:r>
          </w:p>
        </w:tc>
        <w:tc>
          <w:tcPr>
            <w:tcW w:w="2893"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GB/T 35889—2018中5.2.2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59"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21</w:t>
            </w:r>
          </w:p>
        </w:tc>
        <w:tc>
          <w:tcPr>
            <w:tcW w:w="58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bidi="ar-SA"/>
              </w:rPr>
            </w:pPr>
          </w:p>
        </w:tc>
        <w:tc>
          <w:tcPr>
            <w:tcW w:w="2930" w:type="dxa"/>
            <w:gridSpan w:val="2"/>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耐寒</w:t>
            </w:r>
          </w:p>
        </w:tc>
        <w:tc>
          <w:tcPr>
            <w:tcW w:w="23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rPr>
            </w:pPr>
          </w:p>
        </w:tc>
        <w:tc>
          <w:tcPr>
            <w:tcW w:w="5034" w:type="dxa"/>
            <w:gridSpan w:val="3"/>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-8±2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℃保持24</w:t>
            </w:r>
            <w:r>
              <w:rPr>
                <w:rFonts w:hint="eastAsia" w:ascii="宋体" w:hAnsi="宋体" w:eastAsia="宋体" w:cs="宋体"/>
                <w:w w:val="50"/>
                <w:sz w:val="18"/>
                <w:szCs w:val="18"/>
                <w:highlight w:val="none"/>
                <w:lang w:val="en-US" w:eastAsia="zh-CN"/>
              </w:rPr>
              <w:t xml:space="preserve"> </w:t>
            </w:r>
            <w:r>
              <w:rPr>
                <w:rFonts w:hint="eastAsia" w:ascii="宋体" w:hAnsi="宋体" w:eastAsia="宋体" w:cs="宋体"/>
                <w:sz w:val="18"/>
                <w:szCs w:val="18"/>
                <w:highlight w:val="none"/>
                <w:lang w:val="en-US" w:eastAsia="zh-CN"/>
              </w:rPr>
              <w:t>h</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恢复室温后无分层，能正常使用</w:t>
            </w:r>
          </w:p>
        </w:tc>
        <w:tc>
          <w:tcPr>
            <w:tcW w:w="2893"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GB/T 35889—2018中5.2.3.2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9"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22</w:t>
            </w:r>
          </w:p>
        </w:tc>
        <w:tc>
          <w:tcPr>
            <w:tcW w:w="58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rPr>
            </w:pPr>
          </w:p>
        </w:tc>
        <w:tc>
          <w:tcPr>
            <w:tcW w:w="2930" w:type="dxa"/>
            <w:gridSpan w:val="2"/>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硬度</w:t>
            </w:r>
          </w:p>
        </w:tc>
        <w:tc>
          <w:tcPr>
            <w:tcW w:w="2320" w:type="dxa"/>
            <w:vMerge w:val="continue"/>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rPr>
            </w:pPr>
          </w:p>
        </w:tc>
        <w:tc>
          <w:tcPr>
            <w:tcW w:w="5034" w:type="dxa"/>
            <w:gridSpan w:val="3"/>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HB～H</w:t>
            </w:r>
          </w:p>
        </w:tc>
        <w:tc>
          <w:tcPr>
            <w:tcW w:w="2893"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按GB/T 6739执行，其中涂层厚度为20μm，底板为表面平整的塑料板。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9"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23</w:t>
            </w:r>
          </w:p>
        </w:tc>
        <w:tc>
          <w:tcPr>
            <w:tcW w:w="58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rPr>
            </w:pPr>
          </w:p>
        </w:tc>
        <w:tc>
          <w:tcPr>
            <w:tcW w:w="2930" w:type="dxa"/>
            <w:gridSpan w:val="2"/>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锑/(mg/kg)</w:t>
            </w:r>
          </w:p>
        </w:tc>
        <w:tc>
          <w:tcPr>
            <w:tcW w:w="2320" w:type="dxa"/>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德国BVL法规要求</w:t>
            </w:r>
          </w:p>
        </w:tc>
        <w:tc>
          <w:tcPr>
            <w:tcW w:w="5034" w:type="dxa"/>
            <w:gridSpan w:val="3"/>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val="en-US" w:eastAsia="zh-CN"/>
              </w:rPr>
              <w:t>≤0.5</w:t>
            </w:r>
          </w:p>
        </w:tc>
        <w:tc>
          <w:tcPr>
            <w:tcW w:w="2893"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GB/T 35828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9" w:type="dxa"/>
            <w:tcBorders>
              <w:top w:val="single" w:color="auto" w:sz="4" w:space="0"/>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24</w:t>
            </w:r>
          </w:p>
        </w:tc>
        <w:tc>
          <w:tcPr>
            <w:tcW w:w="584" w:type="dxa"/>
            <w:vMerge w:val="continue"/>
            <w:tcBorders>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rPr>
            </w:pPr>
          </w:p>
        </w:tc>
        <w:tc>
          <w:tcPr>
            <w:tcW w:w="2930" w:type="dxa"/>
            <w:gridSpan w:val="2"/>
            <w:tcBorders>
              <w:top w:val="single" w:color="auto" w:sz="4" w:space="0"/>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急性皮肤刺激性试验</w:t>
            </w:r>
          </w:p>
        </w:tc>
        <w:tc>
          <w:tcPr>
            <w:tcW w:w="2320" w:type="dxa"/>
            <w:tcBorders>
              <w:top w:val="single" w:color="auto" w:sz="4" w:space="0"/>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rPr>
            </w:pPr>
            <w:r>
              <w:rPr>
                <w:rFonts w:hint="eastAsia" w:ascii="宋体" w:hAnsi="宋体" w:eastAsia="宋体" w:cs="宋体"/>
                <w:sz w:val="18"/>
                <w:szCs w:val="18"/>
                <w:highlight w:val="none"/>
                <w:lang w:val="en-US" w:eastAsia="zh-CN"/>
              </w:rPr>
              <w:t>化妆品安全技术规范（2015年版）</w:t>
            </w:r>
          </w:p>
        </w:tc>
        <w:tc>
          <w:tcPr>
            <w:tcW w:w="5034" w:type="dxa"/>
            <w:gridSpan w:val="3"/>
            <w:tcBorders>
              <w:top w:val="single" w:color="auto" w:sz="4" w:space="0"/>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无刺激</w:t>
            </w:r>
          </w:p>
        </w:tc>
        <w:tc>
          <w:tcPr>
            <w:tcW w:w="2893" w:type="dxa"/>
            <w:tcBorders>
              <w:top w:val="single" w:color="auto" w:sz="4" w:space="0"/>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化妆品安全技术规范（2015年版）</w:t>
            </w:r>
            <w:r>
              <w:rPr>
                <w:rFonts w:hint="eastAsia" w:ascii="宋体" w:hAnsi="宋体" w:eastAsia="宋体" w:cs="宋体"/>
                <w:kern w:val="0"/>
                <w:sz w:val="18"/>
                <w:szCs w:val="18"/>
                <w:highlight w:val="none"/>
              </w:rPr>
              <w:t>中第</w:t>
            </w:r>
            <w:r>
              <w:rPr>
                <w:rFonts w:hint="eastAsia" w:ascii="宋体" w:hAnsi="宋体" w:eastAsia="宋体" w:cs="宋体"/>
                <w:kern w:val="0"/>
                <w:sz w:val="18"/>
                <w:szCs w:val="18"/>
                <w:highlight w:val="none"/>
                <w:lang w:val="en-US" w:eastAsia="zh-CN"/>
              </w:rPr>
              <w:t>六</w:t>
            </w:r>
            <w:r>
              <w:rPr>
                <w:rFonts w:hint="eastAsia" w:ascii="宋体" w:hAnsi="宋体" w:eastAsia="宋体" w:cs="宋体"/>
                <w:kern w:val="0"/>
                <w:sz w:val="18"/>
                <w:szCs w:val="18"/>
                <w:highlight w:val="none"/>
              </w:rPr>
              <w:t>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20" w:type="dxa"/>
            <w:gridSpan w:val="9"/>
            <w:tcBorders>
              <w:top w:val="single" w:color="auto" w:sz="8" w:space="0"/>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360" w:firstLineChars="200"/>
              <w:jc w:val="left"/>
              <w:textAlignment w:val="auto"/>
              <w:rPr>
                <w:rFonts w:hint="default" w:ascii="宋体" w:hAnsi="宋体" w:eastAsia="宋体" w:cs="宋体"/>
                <w:color w:val="auto"/>
                <w:sz w:val="18"/>
                <w:szCs w:val="18"/>
                <w:lang w:val="en-US" w:eastAsia="zh-CN"/>
              </w:rPr>
            </w:pPr>
            <w:r>
              <w:rPr>
                <w:rFonts w:hint="eastAsia" w:ascii="黑体" w:hAnsi="黑体" w:eastAsia="黑体" w:cs="黑体"/>
                <w:color w:val="auto"/>
                <w:sz w:val="18"/>
                <w:szCs w:val="18"/>
                <w:highlight w:val="none"/>
                <w:vertAlign w:val="baseline"/>
                <w:lang w:val="en-US" w:eastAsia="zh-CN"/>
              </w:rPr>
              <w:t>注</w:t>
            </w:r>
            <w:r>
              <w:rPr>
                <w:rFonts w:hint="eastAsia" w:ascii="宋体" w:hAnsi="宋体" w:eastAsia="宋体" w:cs="宋体"/>
                <w:color w:val="auto"/>
                <w:sz w:val="18"/>
                <w:szCs w:val="18"/>
                <w:highlight w:val="none"/>
                <w:vertAlign w:val="baseline"/>
                <w:lang w:val="en-US" w:eastAsia="zh-CN"/>
              </w:rPr>
              <w:t>：有机溶剂型指甲油不测微生物指标。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20" w:type="dxa"/>
            <w:gridSpan w:val="9"/>
            <w:tcBorders>
              <w:top w:val="single" w:color="auto" w:sz="8" w:space="0"/>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after="0"/>
              <w:ind w:firstLine="360" w:firstLineChars="20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vertAlign w:val="superscript"/>
              </w:rPr>
              <w:t>a</w:t>
            </w:r>
            <w:r>
              <w:rPr>
                <w:rFonts w:hint="eastAsia" w:ascii="宋体" w:hAnsi="宋体" w:eastAsia="宋体" w:cs="宋体"/>
                <w:color w:val="auto"/>
                <w:sz w:val="18"/>
                <w:szCs w:val="18"/>
                <w:lang w:val="en-US" w:eastAsia="zh-CN"/>
              </w:rPr>
              <w:t xml:space="preserve">  仅考核有机溶剂型指甲油。</w:t>
            </w:r>
          </w:p>
          <w:p>
            <w:pPr>
              <w:keepNext w:val="0"/>
              <w:keepLines w:val="0"/>
              <w:pageBreakBefore w:val="0"/>
              <w:widowControl/>
              <w:kinsoku/>
              <w:wordWrap/>
              <w:overflowPunct/>
              <w:topLinePunct w:val="0"/>
              <w:autoSpaceDE/>
              <w:autoSpaceDN/>
              <w:bidi w:val="0"/>
              <w:adjustRightInd w:val="0"/>
              <w:snapToGrid w:val="0"/>
              <w:spacing w:after="0"/>
              <w:ind w:firstLine="360" w:firstLineChars="200"/>
              <w:jc w:val="left"/>
              <w:textAlignment w:val="auto"/>
              <w:rPr>
                <w:rFonts w:hint="default" w:ascii="宋体" w:hAnsi="宋体" w:eastAsia="宋体" w:cs="宋体"/>
                <w:color w:val="auto"/>
                <w:sz w:val="18"/>
                <w:szCs w:val="18"/>
                <w:lang w:val="en-US" w:eastAsia="zh-CN"/>
              </w:rPr>
            </w:pPr>
            <w:r>
              <w:rPr>
                <w:rFonts w:hint="eastAsia" w:ascii="宋体" w:hAnsi="宋体" w:eastAsia="宋体" w:cs="宋体"/>
                <w:sz w:val="18"/>
                <w:szCs w:val="18"/>
                <w:highlight w:val="none"/>
                <w:shd w:val="clear"/>
                <w:vertAlign w:val="superscript"/>
                <w:lang w:val="en-US" w:eastAsia="zh-CN"/>
              </w:rPr>
              <w:t>b</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仅</w:t>
            </w:r>
            <w:r>
              <w:rPr>
                <w:rFonts w:hint="eastAsia" w:ascii="宋体" w:hAnsi="宋体" w:eastAsia="宋体" w:cs="宋体"/>
                <w:color w:val="auto"/>
                <w:sz w:val="18"/>
                <w:szCs w:val="18"/>
                <w:lang w:val="en-US" w:eastAsia="zh-CN"/>
              </w:rPr>
              <w:t>考核配方中含有乙氧基结构原料成分</w:t>
            </w:r>
            <w:r>
              <w:rPr>
                <w:rFonts w:hint="eastAsia" w:ascii="宋体" w:hAnsi="宋体" w:eastAsia="宋体" w:cs="宋体"/>
                <w:color w:val="auto"/>
                <w:sz w:val="18"/>
                <w:szCs w:val="18"/>
              </w:rPr>
              <w:t>的产品。</w:t>
            </w:r>
          </w:p>
        </w:tc>
      </w:tr>
    </w:tbl>
    <w:p>
      <w:pPr>
        <w:pStyle w:val="2"/>
        <w:rPr>
          <w:rFonts w:hint="default"/>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（二）技术论证</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1.基础指标</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选取依据：基础指标属于产品应满足的基础性指标，满足产品对应的行业标准和行业技术法规即可，无拔高性要求。来源于QB/T 2287—2011《指甲油》、化妆品安全技术规范（2015年版）。</w:t>
      </w:r>
    </w:p>
    <w:p>
      <w:pPr>
        <w:keepNext w:val="0"/>
        <w:keepLines w:val="0"/>
        <w:pageBreakBefore w:val="0"/>
        <w:widowControl/>
        <w:numPr>
          <w:ilvl w:val="0"/>
          <w:numId w:val="4"/>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原料要求、包装材料的要求、外观、色泽是判断产品质量好坏最基本的要求，指标不宜分级；</w:t>
      </w:r>
    </w:p>
    <w:p>
      <w:pPr>
        <w:keepNext w:val="0"/>
        <w:keepLines w:val="0"/>
        <w:pageBreakBefore w:val="0"/>
        <w:widowControl/>
        <w:numPr>
          <w:ilvl w:val="0"/>
          <w:numId w:val="4"/>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牢固度指标主要针对有机溶剂型指甲油，是保证产品在使用过程中不会轻易脱落的重要判定依据，也是基本要求，但没有具体数值规定，因此不宜分级；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（3）干燥时间也是指甲油的基础指标，干燥时间的长短影响使用人群在一定时间内的正常活动，但干燥时间太短则会影响涂抹时的使用性能，并不是越短越好，因此补不宜分级；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（5）耐热大肠杆菌、金黄色葡萄球菌、铜绿假单胞菌的指标设定主要是为了保证产品的安全性，减少滋生细菌的风险，保证产品的使用安全，指标要求为不得检出，不宜分级；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邻苯二甲酸酯类物质作为增塑剂能增加指甲油的韧性，使指甲油不易脱落，然而邻苯二甲酸酯具有较大的挥发性和水抽出性，可以经消化道、呼吸道、皮肤吸收等多种途径进入人体，严重干扰内分泌功能，侵害机体多个系统，对人体有害长期使用会妨碍人体正常的荷尔蒙平衡，导致生殖损害和其他健康问题，因此对化妆品安全技术规范（2015版）中禁用组分的5邻苯二甲酸酯限量进行规定，指标要求为不得检出，不宜分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（7）净含量偏差是判断产品质量的基本要求，指标不宜分级。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2.核心指标</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选取依据：根据化妆品安全技术规范（2015年版）和德国BVL法规。作为核心指标，能够反映指甲油优劣的关键指标，也是消费者所关注的指标，编制组通过收集指甲油相关产品标准以及销售中消费者关注内容，且可量化、可分级的指标，划分为先进水平（5星级）、平均水平（4星级）和基准水平（3星级）。先进水平以当前国内行业前20%的企业达到的水平为取值依据，平均水平以当前国内行业前20%～50%的企业达到的水平为取值依据，基准水平是相关国家标准、行业标准中的指标值。</w:t>
      </w:r>
    </w:p>
    <w:p>
      <w:pPr>
        <w:keepNext w:val="0"/>
        <w:keepLines w:val="0"/>
        <w:pageBreakBefore w:val="0"/>
        <w:widowControl/>
        <w:numPr>
          <w:ilvl w:val="0"/>
          <w:numId w:val="5"/>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铅、镉、汞、砷是有害污染物，重金属限值要求能反映产品的安全性，限值要求越高，越能保障消费者的使用安全，指标中的先进水平（5星级）来源德国BVL法规，基准水平（3星级）源于化妆品安全技术规范（2015年版），平均水平（4星级）介于先进水平和基准水平之间，主要是根据产品使用实际过程以及客户需求规定；</w:t>
      </w:r>
    </w:p>
    <w:p>
      <w:pPr>
        <w:keepNext w:val="0"/>
        <w:keepLines w:val="0"/>
        <w:pageBreakBefore w:val="0"/>
        <w:widowControl/>
        <w:numPr>
          <w:ilvl w:val="0"/>
          <w:numId w:val="5"/>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噁烷、甲醇也是指甲油中常见的有害物质，对二噁烷、甲醇进行分级限值要求，基准水平（3星级）源于化妆品安全技术规范（2015年版），先进水平（5星级）和平均水平（4星级）主要是根据产品使用实际过程以及客户需求规定，为了提升产品的安全性能，将指标进行分级；</w:t>
      </w:r>
    </w:p>
    <w:p>
      <w:pPr>
        <w:keepNext w:val="0"/>
        <w:keepLines w:val="0"/>
        <w:pageBreakBefore w:val="0"/>
        <w:widowControl/>
        <w:numPr>
          <w:ilvl w:val="0"/>
          <w:numId w:val="5"/>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菌落总数、霉菌和酵母菌总数的基准水平（3星级）源于化妆品安全技术规范（2015年版），先进水平（5星级）和平均水平（4星级）主要是根据产品使用实际过程以及客户需求规定，其中菌落总数根据化妆品安全技术规范（2015年版）对儿童指甲油和其他指甲油分别进行规定，指标要求越高，越能保证产品在使用人群的安全性能。</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3.创新指标</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选取依据：根据化妆品安全技术规范（2015年版）、德国BVL法规同时参考客户需求选取，不划分等级的创新指标以当前国内企业达到的平均水平为取值依据。评价方法及等级划分规定了评价等级划分为先进水平、平均水平、基准水平。并具体规定不同等级企业标准应满足的条件。</w:t>
      </w:r>
    </w:p>
    <w:p>
      <w:pPr>
        <w:keepNext w:val="0"/>
        <w:keepLines w:val="0"/>
        <w:pageBreakBefore w:val="0"/>
        <w:widowControl/>
        <w:numPr>
          <w:ilvl w:val="0"/>
          <w:numId w:val="6"/>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耐热、耐寒可以保证产品在极端条件下运输和贮存的稳定性；</w:t>
      </w:r>
    </w:p>
    <w:p>
      <w:pPr>
        <w:keepNext w:val="0"/>
        <w:keepLines w:val="0"/>
        <w:pageBreakBefore w:val="0"/>
        <w:widowControl/>
        <w:numPr>
          <w:ilvl w:val="0"/>
          <w:numId w:val="6"/>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硬度指标的设置主要是为了提升产品的使用性能，确保产品能更好的修饰和保护指甲；</w:t>
      </w:r>
    </w:p>
    <w:p>
      <w:pPr>
        <w:keepNext w:val="0"/>
        <w:keepLines w:val="0"/>
        <w:pageBreakBefore w:val="0"/>
        <w:widowControl/>
        <w:numPr>
          <w:ilvl w:val="0"/>
          <w:numId w:val="6"/>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锑元素指标的设置参考德国BVL法规，主要考虑到生产指甲油劣质的原材料中往往会含有锑元素，锑对人体及环境生物具有毒性作用，甚至被怀疑为致癌物，锑及其化合物已经被许多国家列为重点污染物，它与很多的化学元素一样对人体有着很多的危害，它的化合物会通过呼吸道、消化道或皮肤等途径进入人体，从而引起锑中毒。设锑的限值，确保产品的使用安全；</w:t>
      </w:r>
    </w:p>
    <w:p>
      <w:pPr>
        <w:keepNext w:val="0"/>
        <w:keepLines w:val="0"/>
        <w:pageBreakBefore w:val="0"/>
        <w:widowControl/>
        <w:numPr>
          <w:ilvl w:val="0"/>
          <w:numId w:val="6"/>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急性皮肤刺激性试验的设置主要是考虑到指甲油在进行涂抹的过程中，容易飞溅或渗漏现象，易接触到皮肤，而指甲油中含部分有毒有害的化学物质会对皮肤造成刺激和危害。规定急性皮肤刺激性试验，确保产品使用的安全性。</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指标验证</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440" w:leftChars="20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1.基础指标</w:t>
      </w:r>
    </w:p>
    <w:p>
      <w:pPr>
        <w:pStyle w:val="2"/>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外观按QB/T 2287—2011中6.1的规定执行；</w:t>
      </w:r>
    </w:p>
    <w:p>
      <w:pPr>
        <w:pStyle w:val="2"/>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色泽按QB/T 2287—2011中6.2的规定执行；</w:t>
      </w:r>
    </w:p>
    <w:p>
      <w:pPr>
        <w:pStyle w:val="2"/>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牢固度按QB/T 2287—2011中6.3的规定执行；</w:t>
      </w:r>
    </w:p>
    <w:p>
      <w:pPr>
        <w:pStyle w:val="2"/>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干燥时间按QB/T 2287—2011中6.4的规定执行；</w:t>
      </w:r>
    </w:p>
    <w:p>
      <w:pPr>
        <w:pStyle w:val="2"/>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耐热大肠菌群、金黄色葡萄球菌、铜绿假单胞菌按《化妆品安全技术规范》（2015年版）第五章的规定执行；</w:t>
      </w:r>
    </w:p>
    <w:p>
      <w:pPr>
        <w:pStyle w:val="2"/>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邻苯二甲酸酯限量按化妆品安全技术规范（2015年版）第四章的规定执行；</w:t>
      </w:r>
    </w:p>
    <w:p>
      <w:pPr>
        <w:pStyle w:val="2"/>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净含量按JJF 1070—2023中6.1.1的规定执行。</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440" w:leftChars="20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2.核心指标</w:t>
      </w:r>
    </w:p>
    <w:p>
      <w:pPr>
        <w:pStyle w:val="2"/>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铅、砷、汞、镉、二噁烷、甲醇按《化妆品安全技术规范》（2015年版）第四章的规定执行；</w:t>
      </w:r>
    </w:p>
    <w:p>
      <w:pPr>
        <w:pStyle w:val="2"/>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菌落总数、霉菌和酵母菌总数按《化妆品安全技术规范》（2015年版）第五章的规定执行。</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440" w:leftChars="200"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3.创新指标</w:t>
      </w:r>
    </w:p>
    <w:p>
      <w:pPr>
        <w:pStyle w:val="2"/>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耐热按GB/T 35889中的5.2.2的规定执行；</w:t>
      </w:r>
    </w:p>
    <w:p>
      <w:pPr>
        <w:pStyle w:val="2"/>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耐寒按GB/T 35889中的5.2.3.2的规定执行；</w:t>
      </w:r>
    </w:p>
    <w:p>
      <w:pPr>
        <w:pStyle w:val="2"/>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硬度按GB/T 6739的规定执行；</w:t>
      </w:r>
    </w:p>
    <w:p>
      <w:pPr>
        <w:pStyle w:val="2"/>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锑按GB/T 35828的规定执行；</w:t>
      </w:r>
    </w:p>
    <w:p>
      <w:pPr>
        <w:pStyle w:val="2"/>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急性皮肤刺激性试验按《化妆品安全技术规范》（2015年版）第六章的规定执行。</w:t>
      </w: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采用国际标准的程序及水平的简要说明</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未采用国际标准。</w:t>
      </w: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与有关的现行法律、法规和国家、行业标准的关系</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美国、加拿大、德国、日本和我国台湾省是企业领跑者工作开展比较早的国家和地区。主要集中于水效、能效、环保等领域，主要为汽车、照明设备、锅炉、吊扇、中央空调、电脑等产品。目前指甲油行业应用比较广泛的要求是QB/T 2287—2011《指甲油》、化妆品安全技术规范（2015年版）。</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目前，已有T/CAS 700—2023 T/CSTE 0321—2023 《质量分级及“领跑者”评价标准 编制通则》标准发布，通则中界定了质量分级及“领跑者”评价标准的编制依据、编制原则、标准框架、基本要求、评价指标及要求、评价方法及等级划分，用于指导具体产品质量分级及“领跑者”评价标准、企业标准的编制以及企业标准水平、产品质量水平的评估。本次申报的指甲油领跑者标准是首次提出，通过企业标准领跑者，评价出产品突出的企业，推进指甲油行业整体质量水平的提升。</w:t>
      </w: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标准实施建议</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已批准发布的《质量分级及“领跑者”评价要求  指甲油》团体标准，在质量分级及</w:t>
      </w:r>
      <w:bookmarkStart w:id="0" w:name="_GoBack"/>
      <w:r>
        <w:rPr>
          <w:rFonts w:hint="eastAsia" w:ascii="仿宋_GB2312" w:hAnsi="仿宋_GB2312" w:eastAsia="仿宋_GB2312" w:cs="仿宋_GB2312"/>
          <w:sz w:val="32"/>
          <w:szCs w:val="32"/>
          <w:lang w:val="en-US" w:eastAsia="zh-CN"/>
        </w:rPr>
        <w:t>领跑者</w:t>
      </w:r>
      <w:bookmarkEnd w:id="0"/>
      <w:r>
        <w:rPr>
          <w:rFonts w:hint="eastAsia" w:ascii="仿宋_GB2312" w:hAnsi="仿宋_GB2312" w:eastAsia="仿宋_GB2312" w:cs="仿宋_GB2312"/>
          <w:sz w:val="32"/>
          <w:szCs w:val="32"/>
          <w:lang w:val="en-US" w:eastAsia="zh-CN"/>
        </w:rPr>
        <w:t>管理信息平台官方网站（https://www.qybzlp.com/）上公开技术指标，供社会查阅。并依据本标准对指甲油企业标准开展指甲油“领跑者”评价工作。</w:t>
      </w: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标准编制过程中重大分歧意见的处理和依据</w:t>
      </w:r>
    </w:p>
    <w:p>
      <w:pPr>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其他应予说明的事项</w:t>
      </w:r>
    </w:p>
    <w:p>
      <w:pPr>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pPr>
        <w:pStyle w:val="2"/>
        <w:rPr>
          <w:rFonts w:hint="eastAsia" w:ascii="Times New Roman" w:hAnsi="Times New Roman" w:eastAsia="仿宋_GB2312" w:cs="Times New Roman"/>
          <w:sz w:val="32"/>
          <w:szCs w:val="32"/>
          <w:lang w:val="en-US" w:eastAsia="zh-CN"/>
        </w:rPr>
      </w:pPr>
    </w:p>
    <w:p>
      <w:pPr>
        <w:pStyle w:val="2"/>
        <w:jc w:val="righ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《质量分级及“领跑者”评价要求  指甲油》工作组</w:t>
      </w:r>
    </w:p>
    <w:p>
      <w:pPr>
        <w:pStyle w:val="2"/>
        <w:jc w:val="righ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2024年6月18日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E4192"/>
    <w:multiLevelType w:val="singleLevel"/>
    <w:tmpl w:val="875E4192"/>
    <w:lvl w:ilvl="0" w:tentative="0">
      <w:start w:val="1"/>
      <w:numFmt w:val="decimal"/>
      <w:suff w:val="nothing"/>
      <w:lvlText w:val="（%1）"/>
      <w:lvlJc w:val="left"/>
    </w:lvl>
  </w:abstractNum>
  <w:abstractNum w:abstractNumId="1">
    <w:nsid w:val="93673431"/>
    <w:multiLevelType w:val="singleLevel"/>
    <w:tmpl w:val="93673431"/>
    <w:lvl w:ilvl="0" w:tentative="0">
      <w:start w:val="2"/>
      <w:numFmt w:val="chineseCounting"/>
      <w:suff w:val="nothing"/>
      <w:lvlText w:val="（%1）"/>
      <w:lvlJc w:val="left"/>
      <w:rPr>
        <w:rFonts w:hint="eastAsia"/>
      </w:rPr>
    </w:lvl>
  </w:abstractNum>
  <w:abstractNum w:abstractNumId="2">
    <w:nsid w:val="CEF7CF13"/>
    <w:multiLevelType w:val="singleLevel"/>
    <w:tmpl w:val="CEF7CF13"/>
    <w:lvl w:ilvl="0" w:tentative="0">
      <w:start w:val="1"/>
      <w:numFmt w:val="chineseCounting"/>
      <w:suff w:val="nothing"/>
      <w:lvlText w:val="%1、"/>
      <w:lvlJc w:val="left"/>
      <w:rPr>
        <w:rFonts w:hint="eastAsia"/>
      </w:rPr>
    </w:lvl>
  </w:abstractNum>
  <w:abstractNum w:abstractNumId="3">
    <w:nsid w:val="E30C1CD3"/>
    <w:multiLevelType w:val="singleLevel"/>
    <w:tmpl w:val="E30C1CD3"/>
    <w:lvl w:ilvl="0" w:tentative="0">
      <w:start w:val="1"/>
      <w:numFmt w:val="decimal"/>
      <w:suff w:val="nothing"/>
      <w:lvlText w:val="（%1）"/>
      <w:lvlJc w:val="left"/>
    </w:lvl>
  </w:abstractNum>
  <w:abstractNum w:abstractNumId="4">
    <w:nsid w:val="F49D33AA"/>
    <w:multiLevelType w:val="singleLevel"/>
    <w:tmpl w:val="F49D33AA"/>
    <w:lvl w:ilvl="0" w:tentative="0">
      <w:start w:val="1"/>
      <w:numFmt w:val="decimal"/>
      <w:suff w:val="nothing"/>
      <w:lvlText w:val="（%1）"/>
      <w:lvlJc w:val="left"/>
    </w:lvl>
  </w:abstractNum>
  <w:abstractNum w:abstractNumId="5">
    <w:nsid w:val="1E560398"/>
    <w:multiLevelType w:val="singleLevel"/>
    <w:tmpl w:val="1E560398"/>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2C2EC5"/>
    <w:rsid w:val="00803D54"/>
    <w:rsid w:val="00857E73"/>
    <w:rsid w:val="00BB1592"/>
    <w:rsid w:val="02080F6C"/>
    <w:rsid w:val="054457B1"/>
    <w:rsid w:val="069825C3"/>
    <w:rsid w:val="07286FF3"/>
    <w:rsid w:val="08666A8F"/>
    <w:rsid w:val="0D242883"/>
    <w:rsid w:val="0E5C239D"/>
    <w:rsid w:val="0F0B0AA5"/>
    <w:rsid w:val="10476F13"/>
    <w:rsid w:val="13EC3D06"/>
    <w:rsid w:val="14EC27EE"/>
    <w:rsid w:val="19F864C3"/>
    <w:rsid w:val="1A334027"/>
    <w:rsid w:val="1B0F79AD"/>
    <w:rsid w:val="1B981CBD"/>
    <w:rsid w:val="1D461794"/>
    <w:rsid w:val="2099410A"/>
    <w:rsid w:val="233C6608"/>
    <w:rsid w:val="23FF7F90"/>
    <w:rsid w:val="24B92A42"/>
    <w:rsid w:val="279956F1"/>
    <w:rsid w:val="2B3F3F2E"/>
    <w:rsid w:val="2D1E619F"/>
    <w:rsid w:val="2D481F7E"/>
    <w:rsid w:val="2D5E0820"/>
    <w:rsid w:val="2D9E34C9"/>
    <w:rsid w:val="2F2A1DB3"/>
    <w:rsid w:val="347A1BD3"/>
    <w:rsid w:val="37AA707D"/>
    <w:rsid w:val="3FEC5F2C"/>
    <w:rsid w:val="48581FC6"/>
    <w:rsid w:val="4B754434"/>
    <w:rsid w:val="4BF663A9"/>
    <w:rsid w:val="4F18734B"/>
    <w:rsid w:val="4F6E3CC3"/>
    <w:rsid w:val="5A0626FA"/>
    <w:rsid w:val="5ABC580A"/>
    <w:rsid w:val="5DB41975"/>
    <w:rsid w:val="5EFC384C"/>
    <w:rsid w:val="5FCE083C"/>
    <w:rsid w:val="600E4A89"/>
    <w:rsid w:val="60FE6784"/>
    <w:rsid w:val="615A3D15"/>
    <w:rsid w:val="61770D1B"/>
    <w:rsid w:val="62DC599A"/>
    <w:rsid w:val="63AE6299"/>
    <w:rsid w:val="652507F9"/>
    <w:rsid w:val="67BF46A4"/>
    <w:rsid w:val="68B73A09"/>
    <w:rsid w:val="68CA517D"/>
    <w:rsid w:val="6A321D4B"/>
    <w:rsid w:val="70641367"/>
    <w:rsid w:val="72A439A3"/>
    <w:rsid w:val="740D6B93"/>
    <w:rsid w:val="74BC2272"/>
    <w:rsid w:val="74E3713C"/>
    <w:rsid w:val="7BEB3DCF"/>
    <w:rsid w:val="7C0F690D"/>
    <w:rsid w:val="7F56412E"/>
    <w:rsid w:val="7FA92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kern w:val="0"/>
      <w:sz w:val="22"/>
      <w:szCs w:val="22"/>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120"/>
      <w:ind w:left="420" w:leftChars="200" w:firstLine="420"/>
    </w:pPr>
    <w:rPr>
      <w:sz w:val="24"/>
    </w:rPr>
  </w:style>
  <w:style w:type="paragraph" w:styleId="3">
    <w:name w:val="Body Text Indent"/>
    <w:basedOn w:val="1"/>
    <w:qFormat/>
    <w:uiPriority w:val="0"/>
    <w:pPr>
      <w:ind w:firstLine="880" w:firstLineChars="200"/>
    </w:pPr>
    <w:rPr>
      <w:sz w:val="44"/>
    </w:rPr>
  </w:style>
  <w:style w:type="paragraph" w:styleId="6">
    <w:name w:val="Body Text"/>
    <w:basedOn w:val="1"/>
    <w:semiHidden/>
    <w:qFormat/>
    <w:uiPriority w:val="0"/>
    <w:rPr>
      <w:rFonts w:ascii="微软雅黑" w:hAnsi="微软雅黑" w:eastAsia="微软雅黑" w:cs="微软雅黑"/>
      <w:sz w:val="31"/>
      <w:szCs w:val="31"/>
    </w:rPr>
  </w:style>
  <w:style w:type="paragraph" w:styleId="7">
    <w:name w:val="footer"/>
    <w:basedOn w:val="1"/>
    <w:link w:val="13"/>
    <w:unhideWhenUsed/>
    <w:qFormat/>
    <w:uiPriority w:val="99"/>
    <w:pPr>
      <w:widowControl w:val="0"/>
      <w:tabs>
        <w:tab w:val="center" w:pos="4153"/>
        <w:tab w:val="right" w:pos="8306"/>
      </w:tabs>
      <w:adjustRightInd/>
      <w:spacing w:after="0"/>
    </w:pPr>
    <w:rPr>
      <w:rFonts w:asciiTheme="minorHAnsi" w:hAnsiTheme="minorHAnsi" w:eastAsiaTheme="minorEastAsia"/>
      <w:kern w:val="2"/>
      <w:sz w:val="18"/>
      <w:szCs w:val="18"/>
    </w:rPr>
  </w:style>
  <w:style w:type="paragraph" w:styleId="8">
    <w:name w:val="header"/>
    <w:basedOn w:val="1"/>
    <w:link w:val="12"/>
    <w:unhideWhenUsed/>
    <w:qFormat/>
    <w:uiPriority w:val="99"/>
    <w:pPr>
      <w:widowControl w:val="0"/>
      <w:tabs>
        <w:tab w:val="center" w:pos="4153"/>
        <w:tab w:val="right" w:pos="8306"/>
      </w:tabs>
      <w:adjustRightInd/>
      <w:spacing w:after="0"/>
      <w:jc w:val="center"/>
    </w:pPr>
    <w:rPr>
      <w:rFonts w:asciiTheme="minorHAnsi" w:hAnsiTheme="minorHAnsi" w:eastAsiaTheme="minorEastAsia"/>
      <w:kern w:val="2"/>
      <w:sz w:val="18"/>
      <w:szCs w:val="18"/>
    </w:rPr>
  </w:style>
  <w:style w:type="table" w:styleId="10">
    <w:name w:val="Table Grid"/>
    <w:basedOn w:val="9"/>
    <w:qFormat/>
    <w:uiPriority w:val="59"/>
    <w:rPr>
      <w:rFonts w:ascii="Times New Roman" w:hAnsi="Times New Roman"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2">
    <w:name w:val="页眉 字符"/>
    <w:basedOn w:val="11"/>
    <w:link w:val="8"/>
    <w:qFormat/>
    <w:uiPriority w:val="99"/>
    <w:rPr>
      <w:sz w:val="18"/>
      <w:szCs w:val="18"/>
    </w:rPr>
  </w:style>
  <w:style w:type="character" w:customStyle="1" w:styleId="13">
    <w:name w:val="页脚 字符"/>
    <w:basedOn w:val="11"/>
    <w:link w:val="7"/>
    <w:qFormat/>
    <w:uiPriority w:val="99"/>
    <w:rPr>
      <w:sz w:val="18"/>
      <w:szCs w:val="18"/>
    </w:rPr>
  </w:style>
  <w:style w:type="paragraph" w:customStyle="1" w:styleId="14">
    <w:name w:val="章标题"/>
    <w:next w:val="1"/>
    <w:qFormat/>
    <w:uiPriority w:val="99"/>
    <w:pPr>
      <w:spacing w:before="156" w:beforeLines="50" w:after="156" w:afterLines="50"/>
      <w:outlineLvl w:val="1"/>
    </w:pPr>
    <w:rPr>
      <w:rFonts w:ascii="宋体" w:hAnsi="宋体" w:eastAsia="宋体" w:cs="Times New Roman"/>
      <w:b/>
      <w:sz w:val="24"/>
      <w:szCs w:val="24"/>
      <w:lang w:val="en-US" w:eastAsia="zh-CN" w:bidi="ar-SA"/>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35</Words>
  <Characters>202</Characters>
  <Lines>1</Lines>
  <Paragraphs>1</Paragraphs>
  <TotalTime>4</TotalTime>
  <ScaleCrop>false</ScaleCrop>
  <LinksUpToDate>false</LinksUpToDate>
  <CharactersWithSpaces>236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2023-01-04T03:05:00Z</dcterms:created>
  <dc:creator>yuan qing</dc:creator>
  <cp:lastModifiedBy>lenovo06</cp:lastModifiedBy>
  <dcterms:modified xsi:type="dcterms:W3CDTF">2024-06-18T09:31:44Z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76A7E7BD65B24BE8882435692B9F1280</vt:lpwstr>
  </property>
</Properties>
</file>