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hint="default" w:hAnsi="黑体" w:eastAsia="黑体" w:cs="黑体"/>
          <w:szCs w:val="20"/>
          <w:highlight w:val="none"/>
          <w:lang w:val="en-US" w:eastAsia="zh-CN"/>
        </w:rPr>
      </w:pPr>
      <w:bookmarkStart w:id="0" w:name="_Toc509826185"/>
      <w:bookmarkStart w:id="1" w:name="_Toc873628"/>
      <w:bookmarkStart w:id="2" w:name="_Toc525046548"/>
      <w:bookmarkStart w:id="3" w:name="_Toc530051741"/>
      <w:bookmarkStart w:id="4" w:name="_Toc415043487"/>
      <w:bookmarkStart w:id="5" w:name="_Toc415043548"/>
      <w:bookmarkStart w:id="6" w:name="_Toc385602845"/>
      <w:bookmarkStart w:id="7" w:name="_Toc13964"/>
      <w:r>
        <w:rPr>
          <w:rFonts w:hint="default" w:ascii="Times New Roman" w:hAnsi="Times New Roman" w:cs="Times New Roman"/>
          <w:b/>
          <w:bCs/>
          <w:szCs w:val="20"/>
          <w:highlight w:val="none"/>
        </w:rPr>
        <w:t>ICS</w:t>
      </w:r>
      <w:r>
        <w:rPr>
          <w:rFonts w:hint="eastAsia" w:hAnsi="黑体" w:cs="黑体"/>
          <w:szCs w:val="20"/>
          <w:highlight w:val="none"/>
        </w:rPr>
        <w:t xml:space="preserve">  </w:t>
      </w:r>
      <w:r>
        <w:rPr>
          <w:rFonts w:hint="eastAsia" w:hAnsi="黑体" w:cs="黑体"/>
          <w:szCs w:val="20"/>
          <w:highlight w:val="none"/>
          <w:lang w:val="en-US" w:eastAsia="zh-CN"/>
        </w:rPr>
        <w:t>71.100.70</w:t>
      </w:r>
    </w:p>
    <w:p>
      <w:pPr>
        <w:pStyle w:val="36"/>
        <w:rPr>
          <w:rFonts w:hint="default" w:hAnsi="黑体" w:eastAsia="黑体" w:cs="黑体"/>
          <w:szCs w:val="20"/>
          <w:highlight w:val="none"/>
          <w:lang w:val="en-US" w:eastAsia="zh-CN"/>
        </w:rPr>
      </w:pPr>
      <w:r>
        <w:rPr>
          <w:rFonts w:hint="default" w:ascii="Times New Roman" w:hAnsi="Times New Roman" w:cs="Times New Roman"/>
          <w:b/>
          <w:bCs/>
          <w:szCs w:val="20"/>
          <w:highlight w:val="none"/>
        </w:rPr>
        <w:t>CCS</w:t>
      </w:r>
      <w:r>
        <w:rPr>
          <w:rFonts w:hint="eastAsia" w:hAnsi="黑体" w:cs="黑体"/>
          <w:szCs w:val="20"/>
          <w:highlight w:val="none"/>
        </w:rPr>
        <w:t xml:space="preserve"> </w:t>
      </w:r>
      <w:r>
        <w:rPr>
          <w:rFonts w:hint="eastAsia" w:hAnsi="黑体" w:cs="黑体"/>
          <w:szCs w:val="20"/>
          <w:highlight w:val="none"/>
          <w:lang w:val="en-US" w:eastAsia="zh-CN"/>
        </w:rPr>
        <w:t>Y 42</w:t>
      </w:r>
    </w:p>
    <w:p>
      <w:pPr>
        <w:pStyle w:val="36"/>
        <w:rPr>
          <w:rFonts w:hAnsi="黑体" w:cs="黑体"/>
          <w:szCs w:val="20"/>
          <w:highlight w:val="none"/>
        </w:rPr>
      </w:pPr>
    </w:p>
    <w:p>
      <w:pPr>
        <w:rPr>
          <w:rFonts w:ascii="黑体" w:hAnsi="黑体" w:eastAsia="黑体" w:cs="黑体"/>
          <w:sz w:val="18"/>
          <w:szCs w:val="18"/>
          <w:highlight w:val="none"/>
        </w:rPr>
      </w:pPr>
    </w:p>
    <w:p>
      <w:pPr>
        <w:snapToGrid w:val="0"/>
        <w:spacing w:after="57"/>
        <w:jc w:val="center"/>
        <w:rPr>
          <w:rFonts w:ascii="黑体" w:hAnsi="黑体" w:eastAsia="黑体" w:cs="黑体"/>
          <w:sz w:val="72"/>
          <w:szCs w:val="72"/>
          <w:highlight w:val="none"/>
        </w:rPr>
      </w:pPr>
      <w:r>
        <w:rPr>
          <w:rFonts w:hint="eastAsia" w:ascii="黑体" w:hAnsi="黑体" w:eastAsia="黑体" w:cs="黑体"/>
          <w:sz w:val="72"/>
          <w:szCs w:val="72"/>
          <w:highlight w:val="none"/>
        </w:rPr>
        <w:t>团     体     标     准</w:t>
      </w:r>
    </w:p>
    <w:p>
      <w:pPr>
        <w:pStyle w:val="4"/>
        <w:spacing w:line="360" w:lineRule="exact"/>
        <w:ind w:firstLine="0" w:firstLineChars="0"/>
        <w:jc w:val="right"/>
        <w:rPr>
          <w:rFonts w:ascii="Times New Roman" w:hAnsi="Times New Roman" w:eastAsia="黑体" w:cs="Times New Roman"/>
          <w:kern w:val="0"/>
          <w:sz w:val="28"/>
          <w:szCs w:val="20"/>
          <w:highlight w:val="none"/>
        </w:rPr>
      </w:pPr>
      <w:r>
        <w:rPr>
          <w:rFonts w:ascii="Times New Roman" w:hAnsi="Times New Roman" w:eastAsia="黑体" w:cs="Times New Roman"/>
          <w:b/>
          <w:bCs/>
          <w:kern w:val="0"/>
          <w:sz w:val="28"/>
          <w:szCs w:val="20"/>
          <w:highlight w:val="none"/>
        </w:rPr>
        <w:t>T/</w:t>
      </w:r>
      <w:r>
        <w:rPr>
          <w:rFonts w:hint="eastAsia" w:ascii="Times New Roman" w:hAnsi="Times New Roman" w:eastAsia="黑体" w:cs="Times New Roman"/>
          <w:b/>
          <w:bCs/>
          <w:kern w:val="0"/>
          <w:sz w:val="28"/>
          <w:szCs w:val="20"/>
          <w:highlight w:val="none"/>
        </w:rPr>
        <w:t>XXXX</w:t>
      </w:r>
      <w:r>
        <w:rPr>
          <w:rFonts w:ascii="Times New Roman" w:hAnsi="Times New Roman" w:eastAsia="黑体" w:cs="Times New Roman"/>
          <w:kern w:val="0"/>
          <w:sz w:val="28"/>
          <w:szCs w:val="20"/>
          <w:highlight w:val="none"/>
        </w:rPr>
        <w:t xml:space="preserve"> </w:t>
      </w:r>
      <w:r>
        <w:rPr>
          <w:rFonts w:hint="eastAsia" w:ascii="Times New Roman" w:hAnsi="Times New Roman" w:eastAsia="黑体" w:cs="Times New Roman"/>
          <w:kern w:val="0"/>
          <w:sz w:val="28"/>
          <w:szCs w:val="20"/>
          <w:highlight w:val="none"/>
        </w:rPr>
        <w:t>XXXX—XXXX</w:t>
      </w:r>
    </w:p>
    <w:p>
      <w:pPr>
        <w:pStyle w:val="4"/>
        <w:spacing w:line="360" w:lineRule="exact"/>
        <w:ind w:firstLine="0" w:firstLineChars="0"/>
        <w:jc w:val="right"/>
        <w:rPr>
          <w:rFonts w:ascii="Times New Roman" w:hAnsi="Times New Roman" w:eastAsia="黑体" w:cs="Times New Roman"/>
          <w:kern w:val="0"/>
          <w:sz w:val="28"/>
          <w:szCs w:val="20"/>
          <w:highlight w:val="none"/>
        </w:rPr>
      </w:pPr>
      <w:r>
        <w:rPr>
          <w:rFonts w:ascii="Times New Roman" w:hAnsi="Times New Roman" w:eastAsia="黑体" w:cs="Times New Roman"/>
          <w:b/>
          <w:bCs/>
          <w:kern w:val="0"/>
          <w:sz w:val="28"/>
          <w:szCs w:val="20"/>
          <w:highlight w:val="none"/>
        </w:rPr>
        <w:t>T</w:t>
      </w:r>
      <w:r>
        <w:rPr>
          <w:rFonts w:hint="eastAsia" w:ascii="Times New Roman" w:hAnsi="Times New Roman" w:eastAsia="黑体" w:cs="Times New Roman"/>
          <w:b/>
          <w:bCs/>
          <w:kern w:val="0"/>
          <w:sz w:val="28"/>
          <w:szCs w:val="20"/>
          <w:highlight w:val="none"/>
        </w:rPr>
        <w:t>/XXXX</w:t>
      </w:r>
      <w:r>
        <w:rPr>
          <w:rFonts w:ascii="Times New Roman" w:hAnsi="Times New Roman" w:eastAsia="黑体" w:cs="Times New Roman"/>
          <w:kern w:val="0"/>
          <w:sz w:val="28"/>
          <w:szCs w:val="20"/>
          <w:highlight w:val="none"/>
        </w:rPr>
        <w:t xml:space="preserve"> </w:t>
      </w:r>
      <w:r>
        <w:rPr>
          <w:rFonts w:hint="eastAsia" w:ascii="Times New Roman" w:hAnsi="Times New Roman" w:eastAsia="黑体" w:cs="Times New Roman"/>
          <w:kern w:val="0"/>
          <w:sz w:val="28"/>
          <w:szCs w:val="20"/>
          <w:highlight w:val="none"/>
        </w:rPr>
        <w:t>XXXX—XXXX</w:t>
      </w:r>
    </w:p>
    <w:p>
      <w:pPr>
        <w:pStyle w:val="4"/>
        <w:ind w:right="-2" w:firstLine="0" w:firstLineChars="0"/>
        <w:jc w:val="right"/>
        <w:rPr>
          <w:rFonts w:ascii="黑体" w:hAnsi="黑体" w:eastAsia="黑体" w:cs="黑体"/>
          <w:b/>
          <w:sz w:val="24"/>
          <w:szCs w:val="24"/>
          <w:highlight w:val="none"/>
        </w:rPr>
      </w:pPr>
      <w:r>
        <w:rPr>
          <w:rFonts w:hint="eastAsia" w:ascii="黑体" w:hAnsi="黑体" w:eastAsia="黑体" w:cs="黑体"/>
          <w:highlight w:val="none"/>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32385</wp:posOffset>
                </wp:positionV>
                <wp:extent cx="6120130" cy="0"/>
                <wp:effectExtent l="0" t="6350" r="4445" b="7620"/>
                <wp:wrapNone/>
                <wp:docPr id="24"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1.35pt;margin-top:2.55pt;height:0pt;width:481.9pt;z-index:251660288;mso-width-relative:page;mso-height-relative:page;" filled="f" stroked="t" coordsize="21600,21600" o:gfxdata="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ZtxX1AAAAAUB&#10;AAAPAAAAAAAAAAEAIAAAACIAAABkcnMvZG93bnJldi54bWxQSwECFAAUAAAACACHTuJAvIsAbuYB&#10;AACtAwAADgAAAAAAAAABACAAAAAjAQAAZHJzL2Uyb0RvYy54bWxQSwUGAAAAAAYABgBZAQAAewUA&#10;AAAA&#10;">
                <v:fill on="f" focussize="0,0"/>
                <v:stroke weight="1pt" color="#080000" joinstyle="round"/>
                <v:imagedata o:title=""/>
                <o:lock v:ext="edit" aspectratio="f"/>
              </v:line>
            </w:pict>
          </mc:Fallback>
        </mc:AlternateContent>
      </w:r>
    </w:p>
    <w:p>
      <w:pPr>
        <w:pStyle w:val="4"/>
        <w:ind w:firstLine="0" w:firstLineChars="0"/>
        <w:rPr>
          <w:rFonts w:ascii="黑体" w:hAnsi="黑体" w:eastAsia="黑体" w:cs="黑体"/>
          <w:b/>
          <w:spacing w:val="40"/>
          <w:kern w:val="0"/>
          <w:sz w:val="52"/>
          <w:szCs w:val="52"/>
          <w:highlight w:val="none"/>
        </w:rPr>
      </w:pPr>
    </w:p>
    <w:p>
      <w:pPr>
        <w:pStyle w:val="4"/>
        <w:ind w:firstLine="548" w:firstLineChars="100"/>
        <w:jc w:val="center"/>
        <w:rPr>
          <w:rFonts w:hint="eastAsia" w:ascii="黑体" w:hAnsi="黑体" w:eastAsia="黑体" w:cs="黑体"/>
          <w:bCs/>
          <w:spacing w:val="40"/>
          <w:w w:val="90"/>
          <w:kern w:val="0"/>
          <w:sz w:val="52"/>
          <w:szCs w:val="52"/>
          <w:highlight w:val="none"/>
        </w:rPr>
      </w:pPr>
      <w:r>
        <w:rPr>
          <w:rFonts w:hint="eastAsia" w:ascii="黑体" w:hAnsi="黑体" w:eastAsia="黑体" w:cs="黑体"/>
          <w:bCs/>
          <w:spacing w:val="40"/>
          <w:w w:val="90"/>
          <w:kern w:val="0"/>
          <w:sz w:val="52"/>
          <w:szCs w:val="52"/>
          <w:highlight w:val="none"/>
        </w:rPr>
        <w:t xml:space="preserve">质量分级及“领跑者”评价要求  </w:t>
      </w:r>
    </w:p>
    <w:p>
      <w:pPr>
        <w:pStyle w:val="4"/>
        <w:ind w:firstLine="548" w:firstLineChars="100"/>
        <w:jc w:val="center"/>
        <w:rPr>
          <w:rFonts w:hint="default" w:ascii="黑体" w:hAnsi="黑体" w:eastAsia="黑体" w:cs="黑体"/>
          <w:bCs/>
          <w:spacing w:val="40"/>
          <w:w w:val="90"/>
          <w:kern w:val="0"/>
          <w:sz w:val="52"/>
          <w:szCs w:val="52"/>
          <w:highlight w:val="none"/>
          <w:lang w:val="en-US" w:eastAsia="zh-CN"/>
        </w:rPr>
      </w:pPr>
      <w:r>
        <w:rPr>
          <w:rFonts w:hint="eastAsia" w:ascii="黑体" w:hAnsi="黑体" w:eastAsia="黑体" w:cs="黑体"/>
          <w:bCs/>
          <w:spacing w:val="40"/>
          <w:w w:val="90"/>
          <w:kern w:val="0"/>
          <w:sz w:val="52"/>
          <w:szCs w:val="52"/>
          <w:highlight w:val="none"/>
          <w:lang w:val="en-US" w:eastAsia="zh-CN"/>
        </w:rPr>
        <w:t>指甲油</w:t>
      </w:r>
    </w:p>
    <w:p>
      <w:pPr>
        <w:spacing w:before="156" w:beforeLines="50" w:line="36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 xml:space="preserve"> </w:t>
      </w:r>
      <w:r>
        <w:rPr>
          <w:rFonts w:ascii="Times New Roman" w:hAnsi="Times New Roman" w:eastAsia="黑体" w:cs="Times New Roman"/>
          <w:kern w:val="0"/>
          <w:sz w:val="28"/>
          <w:szCs w:val="28"/>
          <w:highlight w:val="none"/>
        </w:rPr>
        <w:t xml:space="preserve"> </w:t>
      </w:r>
      <w:r>
        <w:rPr>
          <w:rFonts w:hint="eastAsia" w:ascii="黑体" w:hAnsi="黑体" w:eastAsia="黑体" w:cs="黑体"/>
          <w:kern w:val="0"/>
          <w:sz w:val="28"/>
          <w:szCs w:val="28"/>
          <w:highlight w:val="none"/>
        </w:rPr>
        <w:t xml:space="preserve">   </w:t>
      </w:r>
      <w:r>
        <w:rPr>
          <w:rFonts w:hint="eastAsia" w:ascii="黑体" w:hAnsi="黑体" w:eastAsia="黑体" w:cs="黑体"/>
          <w:sz w:val="28"/>
          <w:szCs w:val="28"/>
          <w:highlight w:val="none"/>
        </w:rPr>
        <w:t>Assessment requirements for quality grading and forerunner</w:t>
      </w:r>
      <w:r>
        <w:rPr>
          <w:rFonts w:hint="eastAsia" w:ascii="黑体" w:hAnsi="黑体" w:eastAsia="黑体" w:cs="黑体"/>
          <w:kern w:val="0"/>
          <w:sz w:val="28"/>
          <w:szCs w:val="28"/>
          <w:highlight w:val="none"/>
        </w:rPr>
        <w:t xml:space="preserve"> —</w:t>
      </w:r>
    </w:p>
    <w:p>
      <w:pPr>
        <w:spacing w:before="156" w:beforeLines="50" w:line="360" w:lineRule="exact"/>
        <w:jc w:val="center"/>
        <w:rPr>
          <w:rFonts w:ascii="黑体" w:hAnsi="黑体" w:eastAsia="黑体" w:cs="黑体"/>
          <w:kern w:val="0"/>
          <w:sz w:val="28"/>
          <w:szCs w:val="28"/>
          <w:highlight w:val="none"/>
          <w:shd w:val="clear" w:color="auto" w:fill="FFFFFF"/>
        </w:rPr>
      </w:pPr>
      <w:r>
        <w:rPr>
          <w:rFonts w:hint="eastAsia" w:ascii="黑体" w:hAnsi="黑体" w:eastAsia="黑体" w:cs="黑体"/>
          <w:kern w:val="0"/>
          <w:sz w:val="28"/>
          <w:szCs w:val="28"/>
          <w:highlight w:val="none"/>
          <w:lang w:val="en-US" w:eastAsia="zh-CN"/>
        </w:rPr>
        <w:t>Nail enamel</w:t>
      </w:r>
    </w:p>
    <w:p>
      <w:pPr>
        <w:pStyle w:val="4"/>
        <w:ind w:firstLine="0" w:firstLineChars="0"/>
        <w:rPr>
          <w:rFonts w:ascii="黑体" w:hAnsi="黑体" w:eastAsia="黑体" w:cs="黑体"/>
          <w:kern w:val="0"/>
          <w:sz w:val="36"/>
          <w:szCs w:val="20"/>
          <w:highlight w:val="none"/>
        </w:rPr>
      </w:pPr>
    </w:p>
    <w:p>
      <w:pPr>
        <w:pStyle w:val="4"/>
        <w:ind w:firstLine="0" w:firstLineChars="0"/>
        <w:rPr>
          <w:rFonts w:ascii="黑体" w:hAnsi="黑体" w:eastAsia="黑体" w:cs="黑体"/>
          <w:sz w:val="18"/>
          <w:szCs w:val="18"/>
          <w:highlight w:val="none"/>
        </w:rPr>
      </w:pPr>
    </w:p>
    <w:p>
      <w:pPr>
        <w:pStyle w:val="4"/>
        <w:ind w:firstLine="0" w:firstLineChars="0"/>
        <w:rPr>
          <w:rFonts w:ascii="黑体" w:hAnsi="黑体" w:eastAsia="黑体" w:cs="黑体"/>
          <w:sz w:val="18"/>
          <w:szCs w:val="18"/>
          <w:highlight w:val="none"/>
        </w:rPr>
      </w:pPr>
    </w:p>
    <w:p>
      <w:pPr>
        <w:pStyle w:val="4"/>
        <w:ind w:firstLine="0" w:firstLineChars="0"/>
        <w:rPr>
          <w:rFonts w:ascii="黑体" w:hAnsi="黑体" w:eastAsia="黑体" w:cs="黑体"/>
          <w:sz w:val="18"/>
          <w:szCs w:val="18"/>
          <w:highlight w:val="none"/>
        </w:rPr>
      </w:pPr>
    </w:p>
    <w:p>
      <w:pPr>
        <w:pStyle w:val="4"/>
        <w:ind w:firstLine="0" w:firstLineChars="0"/>
        <w:rPr>
          <w:rFonts w:ascii="黑体" w:hAnsi="黑体" w:eastAsia="黑体" w:cs="黑体"/>
          <w:sz w:val="18"/>
          <w:szCs w:val="18"/>
          <w:highlight w:val="none"/>
        </w:rPr>
      </w:pPr>
    </w:p>
    <w:p>
      <w:pPr>
        <w:pStyle w:val="83"/>
        <w:framePr w:w="3427" w:h="1340" w:hRule="exact" w:wrap="around" w:vAnchor="page" w:hAnchor="page" w:x="4039" w:y="15129"/>
        <w:spacing w:line="580" w:lineRule="exact"/>
        <w:rPr>
          <w:rFonts w:ascii="黑体" w:hAnsi="黑体" w:eastAsia="黑体" w:cs="黑体"/>
          <w:b w:val="0"/>
          <w:spacing w:val="0"/>
          <w:w w:val="100"/>
          <w:sz w:val="28"/>
          <w:szCs w:val="28"/>
          <w:highlight w:val="none"/>
        </w:rPr>
      </w:pPr>
      <w:bookmarkStart w:id="8" w:name="_Hlk131520131"/>
      <w:r>
        <w:rPr>
          <w:rFonts w:hint="eastAsia" w:ascii="黑体" w:hAnsi="黑体" w:eastAsia="黑体" w:cs="黑体"/>
          <w:bCs/>
          <w:spacing w:val="0"/>
          <w:w w:val="100"/>
          <w:sz w:val="28"/>
          <w:szCs w:val="28"/>
          <w:highlight w:val="none"/>
          <w:lang w:val="en-US" w:eastAsia="zh-CN"/>
        </w:rPr>
        <w:t>浙江省计量与标准化</w:t>
      </w:r>
      <w:r>
        <w:rPr>
          <w:rFonts w:hint="eastAsia" w:ascii="黑体" w:hAnsi="黑体" w:eastAsia="黑体" w:cs="黑体"/>
          <w:bCs/>
          <w:spacing w:val="0"/>
          <w:w w:val="100"/>
          <w:sz w:val="28"/>
          <w:szCs w:val="28"/>
          <w:highlight w:val="none"/>
        </w:rPr>
        <w:t>学会</w:t>
      </w:r>
    </w:p>
    <w:bookmarkEnd w:id="0"/>
    <w:bookmarkEnd w:id="1"/>
    <w:bookmarkEnd w:id="2"/>
    <w:bookmarkEnd w:id="3"/>
    <w:bookmarkEnd w:id="8"/>
    <w:p>
      <w:pPr>
        <w:rPr>
          <w:rFonts w:ascii="宋体"/>
          <w:szCs w:val="21"/>
          <w:highlight w:val="none"/>
        </w:rPr>
      </w:pPr>
      <w:bookmarkStart w:id="9" w:name="_Toc65687976"/>
      <w:bookmarkStart w:id="10" w:name="_Toc415043894"/>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hint="eastAsia" w:ascii="宋体"/>
          <w:szCs w:val="21"/>
          <w:highlight w:val="none"/>
          <w:lang w:eastAsia="zh-CN"/>
        </w:rPr>
      </w:pPr>
    </w:p>
    <w:p>
      <w:pPr>
        <w:rPr>
          <w:rFonts w:hint="eastAsia" w:ascii="宋体"/>
          <w:szCs w:val="21"/>
          <w:highlight w:val="none"/>
          <w:lang w:eastAsia="zh-CN"/>
        </w:rPr>
      </w:pPr>
    </w:p>
    <w:p>
      <w:pPr>
        <w:rPr>
          <w:rFonts w:hint="eastAsia" w:ascii="宋体"/>
          <w:szCs w:val="21"/>
          <w:highlight w:val="none"/>
          <w:lang w:eastAsia="zh-CN"/>
        </w:rPr>
      </w:pPr>
      <w:r>
        <w:rPr>
          <w:rFonts w:ascii="宋体"/>
          <w:szCs w:val="21"/>
          <w:highlight w:val="none"/>
        </w:rPr>
        <mc:AlternateContent>
          <mc:Choice Requires="wps">
            <w:drawing>
              <wp:anchor distT="45720" distB="45720" distL="114300" distR="114300" simplePos="0" relativeHeight="251662336" behindDoc="0" locked="0" layoutInCell="1" allowOverlap="1">
                <wp:simplePos x="0" y="0"/>
                <wp:positionH relativeFrom="column">
                  <wp:posOffset>85090</wp:posOffset>
                </wp:positionH>
                <wp:positionV relativeFrom="paragraph">
                  <wp:posOffset>387985</wp:posOffset>
                </wp:positionV>
                <wp:extent cx="2273300" cy="381000"/>
                <wp:effectExtent l="0" t="0" r="12700" b="190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73300" cy="381000"/>
                        </a:xfrm>
                        <a:prstGeom prst="rect">
                          <a:avLst/>
                        </a:prstGeom>
                        <a:solidFill>
                          <a:schemeClr val="bg1"/>
                        </a:solidFill>
                        <a:ln w="9525">
                          <a:solidFill>
                            <a:schemeClr val="bg1"/>
                          </a:solidFill>
                          <a:miter lim="800000"/>
                        </a:ln>
                      </wps:spPr>
                      <wps:txb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7pt;margin-top:30.55pt;height:30pt;width:179pt;mso-wrap-distance-bottom:3.6pt;mso-wrap-distance-left:9pt;mso-wrap-distance-right:9pt;mso-wrap-distance-top:3.6pt;z-index:251662336;mso-width-relative:page;mso-height-relative:page;" fillcolor="#FFFFFF [3212]" filled="t" stroked="t" coordsize="21600,21600" o:gfxdata="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FI8/9UAAAAJAQAADwAAAAAAAAABACAAAAAiAAAAZHJzL2Rvd25yZXYu&#10;eG1sUEsBAhQAFAAAAAgAh07iQKm4gvQ3AgAAfQQAAA4AAAAAAAAAAQAgAAAAJAEAAGRycy9lMm9E&#10;b2MueG1sUEsFBgAAAAAGAAYAWQEAAM0FAAAAAA==&#10;">
                <v:fill on="t" focussize="0,0"/>
                <v:stroke color="#FFFFFF [3212]" miterlimit="8" joinstyle="miter"/>
                <v:imagedata o:title=""/>
                <o:lock v:ext="edit" aspectratio="f"/>
                <v:textbo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发布</w:t>
                      </w:r>
                    </w:p>
                  </w:txbxContent>
                </v:textbox>
                <w10:wrap type="square"/>
              </v:shape>
            </w:pict>
          </mc:Fallback>
        </mc:AlternateContent>
      </w:r>
      <w:r>
        <w:rPr>
          <w:rFonts w:hint="eastAsia" w:ascii="宋体"/>
          <w:szCs w:val="21"/>
          <w:highlight w:val="none"/>
          <w:lang w:eastAsia="zh-CN"/>
        </w:rPr>
        <w:br w:type="textWrapping"/>
      </w:r>
    </w:p>
    <w:p>
      <w:pPr>
        <w:pStyle w:val="83"/>
        <w:framePr w:w="954" w:h="654" w:hRule="exact" w:vAnchor="page" w:hAnchor="page" w:x="7413" w:y="15083"/>
        <w:spacing w:line="580" w:lineRule="exact"/>
        <w:rPr>
          <w:rFonts w:ascii="黑体" w:hAnsi="黑体" w:eastAsia="黑体" w:cs="黑体"/>
          <w:bCs/>
          <w:spacing w:val="0"/>
          <w:w w:val="100"/>
          <w:sz w:val="28"/>
          <w:szCs w:val="28"/>
          <w:highlight w:val="none"/>
        </w:rPr>
      </w:pPr>
      <w:r>
        <w:rPr>
          <w:rFonts w:hint="eastAsia" w:ascii="黑体" w:hAnsi="黑体" w:eastAsia="黑体" w:cs="黑体"/>
          <w:bCs/>
          <w:spacing w:val="0"/>
          <w:w w:val="100"/>
          <w:sz w:val="28"/>
          <w:szCs w:val="28"/>
          <w:highlight w:val="none"/>
        </w:rPr>
        <w:t>发布</w:t>
      </w:r>
    </w:p>
    <w:p>
      <w:pPr>
        <w:rPr>
          <w:rFonts w:hint="eastAsia" w:ascii="宋体"/>
          <w:szCs w:val="21"/>
          <w:highlight w:val="none"/>
          <w:lang w:eastAsia="zh-CN"/>
        </w:rPr>
      </w:pPr>
      <w:r>
        <w:rPr>
          <w:rFonts w:ascii="宋体"/>
          <w:szCs w:val="21"/>
          <w:highlight w:val="none"/>
        </w:rPr>
        <mc:AlternateContent>
          <mc:Choice Requires="wps">
            <w:drawing>
              <wp:anchor distT="45720" distB="45720" distL="114300" distR="114300" simplePos="0" relativeHeight="251663360" behindDoc="0" locked="0" layoutInCell="1" allowOverlap="1">
                <wp:simplePos x="0" y="0"/>
                <wp:positionH relativeFrom="column">
                  <wp:posOffset>1952625</wp:posOffset>
                </wp:positionH>
                <wp:positionV relativeFrom="paragraph">
                  <wp:posOffset>34290</wp:posOffset>
                </wp:positionV>
                <wp:extent cx="1930400" cy="393700"/>
                <wp:effectExtent l="0" t="0" r="12700" b="25400"/>
                <wp:wrapSquare wrapText="bothSides"/>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30400" cy="393700"/>
                        </a:xfrm>
                        <a:prstGeom prst="rect">
                          <a:avLst/>
                        </a:prstGeom>
                        <a:solidFill>
                          <a:schemeClr val="bg1"/>
                        </a:solidFill>
                        <a:ln w="9525">
                          <a:solidFill>
                            <a:schemeClr val="bg1"/>
                          </a:solidFill>
                          <a:miter lim="800000"/>
                        </a:ln>
                      </wps:spPr>
                      <wps:txb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实施</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3.75pt;margin-top:2.7pt;height:31pt;width:152pt;mso-wrap-distance-bottom:3.6pt;mso-wrap-distance-left:9pt;mso-wrap-distance-right:9pt;mso-wrap-distance-top:3.6pt;z-index:251663360;mso-width-relative:page;mso-height-relative:page;" fillcolor="#FFFFFF [3212]" filled="t" stroked="t" coordsize="21600,21600" o:gfxdata="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mSA1wAAAAgBAAAPAAAAAAAAAAEAIAAAACIAAABkcnMvZG93bnJldi54&#10;bWxQSwECFAAUAAAACACHTuJA8jJ0qTQCAAB8BAAADgAAAAAAAAABACAAAAAmAQAAZHJzL2Uyb0Rv&#10;Yy54bWxQSwUGAAAAAAYABgBZAQAAzAUAAAAA&#10;">
                <v:fill on="t" focussize="0,0"/>
                <v:stroke color="#FFFFFF [3212]" miterlimit="8" joinstyle="miter"/>
                <v:imagedata o:title=""/>
                <o:lock v:ext="edit" aspectratio="f"/>
                <v:textbox>
                  <w:txbxContent>
                    <w:p>
                      <w:r>
                        <w:rPr>
                          <w:rFonts w:hint="eastAsia" w:ascii="黑体" w:hAnsi="微软雅黑" w:eastAsia="黑体"/>
                          <w:w w:val="99"/>
                          <w:sz w:val="28"/>
                          <w:szCs w:val="28"/>
                        </w:rPr>
                        <w:t xml:space="preserve">202X-XX-XX </w:t>
                      </w:r>
                      <w:r>
                        <w:rPr>
                          <w:rFonts w:hint="eastAsia" w:ascii="黑体" w:hAnsi="黑体" w:eastAsia="黑体"/>
                          <w:w w:val="99"/>
                          <w:sz w:val="28"/>
                          <w:szCs w:val="28"/>
                        </w:rPr>
                        <w:t>实施</w:t>
                      </w:r>
                    </w:p>
                  </w:txbxContent>
                </v:textbox>
                <w10:wrap type="square"/>
              </v:shape>
            </w:pict>
          </mc:Fallback>
        </mc:AlternateContent>
      </w:r>
    </w:p>
    <w:p>
      <w:pPr>
        <w:jc w:val="left"/>
        <w:rPr>
          <w:rFonts w:ascii="黑体" w:hAnsi="微软雅黑" w:eastAsia="黑体"/>
          <w:sz w:val="28"/>
          <w:szCs w:val="28"/>
          <w:highlight w:val="none"/>
        </w:rPr>
      </w:pPr>
      <w:r>
        <w:rPr>
          <w:rFonts w:hint="eastAsia" w:ascii="黑体" w:hAnsi="黑体" w:eastAsia="黑体" w:cs="黑体"/>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111125</wp:posOffset>
                </wp:positionH>
                <wp:positionV relativeFrom="paragraph">
                  <wp:posOffset>261620</wp:posOffset>
                </wp:positionV>
                <wp:extent cx="6121400" cy="0"/>
                <wp:effectExtent l="0" t="0" r="0" b="0"/>
                <wp:wrapNone/>
                <wp:docPr id="8"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8.75pt;margin-top:20.6pt;height:0pt;width:482pt;z-index:251664384;mso-width-relative:page;mso-height-relative:page;" filled="f" stroked="t" coordsize="21600,21600" o:gfxdata="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ilWy1gAAAAgB&#10;AAAPAAAAAAAAAAEAIAAAACIAAABkcnMvZG93bnJldi54bWxQSwECFAAUAAAACACHTuJAb7qvlOQB&#10;AACsAwAADgAAAAAAAAABACAAAAAlAQAAZHJzL2Uyb0RvYy54bWxQSwUGAAAAAAYABgBZAQAAewUA&#10;AAAA&#10;">
                <v:fill on="f" focussize="0,0"/>
                <v:stroke weight="1pt" color="#080000" joinstyle="round"/>
                <v:imagedata o:title=""/>
                <o:lock v:ext="edit" aspectratio="f"/>
              </v:line>
            </w:pict>
          </mc:Fallback>
        </mc:AlternateContent>
      </w:r>
      <w:r>
        <w:rPr>
          <w:rFonts w:hint="eastAsia" w:ascii="黑体" w:hAnsi="黑体" w:eastAsia="黑体"/>
          <w:w w:val="99"/>
          <w:sz w:val="28"/>
          <w:szCs w:val="28"/>
          <w:highlight w:val="none"/>
        </w:rPr>
        <w:t xml:space="preserve">                   </w:t>
      </w: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p>
    <w:p>
      <w:pPr>
        <w:rPr>
          <w:rFonts w:ascii="宋体"/>
          <w:szCs w:val="21"/>
          <w:highlight w:val="none"/>
        </w:rPr>
      </w:pPr>
      <w:r>
        <w:rPr>
          <w:rFonts w:ascii="宋体"/>
          <w:szCs w:val="21"/>
          <w:highlight w:val="none"/>
        </w:rPr>
        <w:drawing>
          <wp:inline distT="0" distB="0" distL="114300" distR="114300">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808990" cy="765175"/>
                    </a:xfrm>
                    <a:prstGeom prst="rect">
                      <a:avLst/>
                    </a:prstGeom>
                    <a:noFill/>
                    <a:ln>
                      <a:noFill/>
                    </a:ln>
                  </pic:spPr>
                </pic:pic>
              </a:graphicData>
            </a:graphic>
          </wp:inline>
        </w:drawing>
      </w:r>
      <w:r>
        <w:rPr>
          <w:rFonts w:ascii="宋体"/>
          <w:szCs w:val="21"/>
          <w:highlight w:val="none"/>
        </w:rPr>
        <w:t xml:space="preserve"> </w:t>
      </w:r>
      <w:r>
        <w:rPr>
          <w:rFonts w:hint="eastAsia" w:ascii="宋体"/>
          <w:szCs w:val="21"/>
          <w:highlight w:val="none"/>
        </w:rPr>
        <w:t>版权保护文件</w:t>
      </w:r>
    </w:p>
    <w:p>
      <w:pPr>
        <w:spacing w:before="156" w:beforeLines="50" w:after="156" w:afterLines="50"/>
        <w:rPr>
          <w:rFonts w:ascii="宋体"/>
          <w:szCs w:val="21"/>
          <w:highlight w:val="none"/>
        </w:rPr>
      </w:pPr>
      <w:r>
        <w:rPr>
          <w:rFonts w:hint="eastAsia" w:ascii="宋体"/>
          <w:szCs w:val="21"/>
          <w:highlight w:val="none"/>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pPr>
        <w:pStyle w:val="42"/>
        <w:rPr>
          <w:highlight w:val="none"/>
        </w:rPr>
      </w:pPr>
      <w:r>
        <w:rPr>
          <w:rFonts w:hint="eastAsia"/>
          <w:highlight w:val="none"/>
        </w:rPr>
        <w:t>前</w:t>
      </w:r>
      <w:bookmarkStart w:id="11" w:name="BKQY"/>
      <w:r>
        <w:rPr>
          <w:rFonts w:hint="eastAsia"/>
          <w:highlight w:val="none"/>
        </w:rPr>
        <w:t>  言</w:t>
      </w:r>
      <w:bookmarkEnd w:id="4"/>
      <w:bookmarkEnd w:id="5"/>
      <w:bookmarkEnd w:id="6"/>
      <w:bookmarkEnd w:id="7"/>
      <w:bookmarkEnd w:id="9"/>
      <w:bookmarkEnd w:id="10"/>
      <w:bookmarkEnd w:id="11"/>
    </w:p>
    <w:p>
      <w:pPr>
        <w:spacing w:line="276" w:lineRule="auto"/>
        <w:ind w:left="210" w:leftChars="100" w:firstLine="210" w:firstLineChars="100"/>
        <w:rPr>
          <w:rFonts w:ascii="宋体" w:hAnsi="宋体"/>
          <w:szCs w:val="21"/>
          <w:highlight w:val="none"/>
        </w:rPr>
      </w:pPr>
      <w:r>
        <w:rPr>
          <w:rFonts w:hint="eastAsia" w:ascii="宋体" w:hAnsi="宋体"/>
          <w:szCs w:val="21"/>
          <w:highlight w:val="none"/>
        </w:rPr>
        <w:t>本文件按照GB/T 1.1—2020《标准化工作导则  第1部分：标准化文件的结构和起草规则》和T/CAS 700—2023、</w:t>
      </w:r>
      <w:r>
        <w:rPr>
          <w:rFonts w:hint="eastAsia" w:ascii="宋体" w:hAnsi="宋体" w:cs="Arial"/>
          <w:szCs w:val="21"/>
          <w:highlight w:val="none"/>
        </w:rPr>
        <w:t>T/CSTE 0321</w:t>
      </w:r>
      <w:r>
        <w:rPr>
          <w:rFonts w:hint="eastAsia" w:ascii="宋体" w:hAnsi="宋体"/>
          <w:szCs w:val="21"/>
          <w:highlight w:val="none"/>
        </w:rPr>
        <w:t>—</w:t>
      </w:r>
      <w:r>
        <w:rPr>
          <w:rFonts w:hint="eastAsia" w:ascii="宋体" w:hAnsi="宋体" w:cs="Arial"/>
          <w:szCs w:val="21"/>
          <w:highlight w:val="none"/>
        </w:rPr>
        <w:t>2023《质量分级及“领跑者”评价标准编制通则》</w:t>
      </w:r>
      <w:r>
        <w:rPr>
          <w:rFonts w:hint="eastAsia" w:ascii="宋体" w:hAnsi="宋体"/>
          <w:szCs w:val="21"/>
          <w:highlight w:val="none"/>
        </w:rPr>
        <w:t>的规定起草。</w:t>
      </w:r>
    </w:p>
    <w:p>
      <w:pPr>
        <w:autoSpaceDE w:val="0"/>
        <w:autoSpaceDN w:val="0"/>
        <w:adjustRightInd w:val="0"/>
        <w:spacing w:line="276" w:lineRule="auto"/>
        <w:ind w:firstLine="420" w:firstLineChars="200"/>
        <w:rPr>
          <w:rFonts w:ascii="宋体" w:hAnsi="宋体" w:eastAsia="宋体" w:cs="Times New Roman"/>
          <w:kern w:val="0"/>
          <w:highlight w:val="none"/>
        </w:rPr>
      </w:pPr>
      <w:r>
        <w:rPr>
          <w:rFonts w:ascii="宋体" w:hAnsi="宋体" w:eastAsia="宋体" w:cs="Times New Roman"/>
          <w:kern w:val="0"/>
          <w:highlight w:val="none"/>
        </w:rPr>
        <w:t>请注意本文件的某些内容可能涉及专利。本文件的发布机构不承担识别专利的责任。</w:t>
      </w:r>
    </w:p>
    <w:p>
      <w:pPr>
        <w:spacing w:line="276" w:lineRule="auto"/>
        <w:ind w:firstLine="420" w:firstLineChars="200"/>
        <w:rPr>
          <w:rFonts w:cs="宋体"/>
          <w:highlight w:val="none"/>
        </w:rPr>
      </w:pPr>
      <w:r>
        <w:rPr>
          <w:rFonts w:cs="宋体"/>
          <w:highlight w:val="none"/>
        </w:rPr>
        <w:t>本</w:t>
      </w:r>
      <w:r>
        <w:rPr>
          <w:rFonts w:hint="eastAsia" w:cs="宋体"/>
          <w:highlight w:val="none"/>
        </w:rPr>
        <w:t>文件</w:t>
      </w:r>
      <w:r>
        <w:rPr>
          <w:rFonts w:cs="宋体"/>
          <w:highlight w:val="none"/>
        </w:rPr>
        <w:t>由</w:t>
      </w:r>
      <w:r>
        <w:rPr>
          <w:rFonts w:hint="eastAsia" w:cs="宋体"/>
          <w:highlight w:val="none"/>
          <w:lang w:val="en-US" w:eastAsia="zh-CN"/>
        </w:rPr>
        <w:t>义乌市标准化研究院</w:t>
      </w:r>
      <w:r>
        <w:rPr>
          <w:rFonts w:hint="eastAsia" w:cs="宋体"/>
          <w:highlight w:val="none"/>
        </w:rPr>
        <w:t>提出。</w:t>
      </w:r>
    </w:p>
    <w:p>
      <w:pPr>
        <w:spacing w:line="276" w:lineRule="auto"/>
        <w:ind w:firstLine="420" w:firstLineChars="200"/>
        <w:rPr>
          <w:rFonts w:cs="宋体"/>
          <w:highlight w:val="none"/>
        </w:rPr>
      </w:pPr>
      <w:r>
        <w:rPr>
          <w:rFonts w:hint="eastAsia" w:cs="宋体"/>
          <w:highlight w:val="none"/>
        </w:rPr>
        <w:t>本文件由浙江省计量与标准化学会</w:t>
      </w:r>
      <w:bookmarkStart w:id="86" w:name="_GoBack"/>
      <w:bookmarkEnd w:id="86"/>
      <w:r>
        <w:rPr>
          <w:rFonts w:hint="eastAsia" w:cs="宋体"/>
          <w:highlight w:val="none"/>
        </w:rPr>
        <w:t>归口。</w:t>
      </w:r>
    </w:p>
    <w:p>
      <w:pPr>
        <w:spacing w:line="276" w:lineRule="auto"/>
        <w:ind w:firstLine="420" w:firstLineChars="200"/>
        <w:rPr>
          <w:rFonts w:hint="eastAsia" w:cs="宋体" w:eastAsiaTheme="minorEastAsia"/>
          <w:highlight w:val="none"/>
          <w:lang w:eastAsia="zh-CN"/>
        </w:rPr>
      </w:pPr>
      <w:r>
        <w:rPr>
          <w:rFonts w:hint="eastAsia" w:cs="宋体"/>
          <w:highlight w:val="none"/>
        </w:rPr>
        <w:t>本文件起草单位</w:t>
      </w:r>
      <w:r>
        <w:rPr>
          <w:rFonts w:cs="宋体"/>
          <w:highlight w:val="none"/>
        </w:rPr>
        <w:t>：</w:t>
      </w:r>
      <w:r>
        <w:rPr>
          <w:rFonts w:hint="eastAsia" w:cs="宋体"/>
          <w:highlight w:val="none"/>
        </w:rPr>
        <w:t>浙江中意美实业有限公司</w:t>
      </w:r>
      <w:r>
        <w:rPr>
          <w:rFonts w:hint="eastAsia" w:cs="宋体"/>
          <w:highlight w:val="none"/>
          <w:lang w:eastAsia="zh-CN"/>
        </w:rPr>
        <w:t>。</w:t>
      </w:r>
    </w:p>
    <w:p>
      <w:pPr>
        <w:spacing w:line="276" w:lineRule="auto"/>
        <w:ind w:firstLine="420" w:firstLineChars="200"/>
        <w:rPr>
          <w:rFonts w:cs="宋体"/>
          <w:highlight w:val="none"/>
        </w:rPr>
      </w:pPr>
      <w:r>
        <w:rPr>
          <w:rFonts w:hint="eastAsia" w:cs="宋体"/>
          <w:highlight w:val="none"/>
        </w:rPr>
        <w:t>本文件主要起草人：X</w:t>
      </w:r>
      <w:r>
        <w:rPr>
          <w:rFonts w:cs="宋体"/>
          <w:highlight w:val="none"/>
        </w:rPr>
        <w:t>XXX</w:t>
      </w:r>
    </w:p>
    <w:p>
      <w:pPr>
        <w:spacing w:line="276" w:lineRule="auto"/>
        <w:ind w:firstLine="420" w:firstLineChars="200"/>
        <w:rPr>
          <w:szCs w:val="21"/>
          <w:highlight w:val="none"/>
        </w:rPr>
      </w:pPr>
      <w:bookmarkStart w:id="12" w:name="_Toc65687977"/>
      <w:r>
        <w:rPr>
          <w:rFonts w:hint="eastAsia"/>
          <w:szCs w:val="21"/>
          <w:highlight w:val="none"/>
        </w:rPr>
        <w:t>本文件为首次发布。</w:t>
      </w:r>
    </w:p>
    <w:p>
      <w:pPr>
        <w:pStyle w:val="58"/>
        <w:spacing w:before="312" w:beforeLines="100" w:after="312" w:afterLines="100"/>
        <w:outlineLvl w:val="9"/>
        <w:rPr>
          <w:highlight w:val="none"/>
        </w:rPr>
        <w:sectPr>
          <w:headerReference r:id="rId3" w:type="default"/>
          <w:footerReference r:id="rId4" w:type="default"/>
          <w:pgSz w:w="11906" w:h="16838"/>
          <w:pgMar w:top="1134" w:right="1134" w:bottom="1134" w:left="1134" w:header="907" w:footer="850" w:gutter="0"/>
          <w:pgNumType w:fmt="upperRoman" w:start="1"/>
          <w:cols w:space="720" w:num="1"/>
          <w:formProt w:val="0"/>
          <w:docGrid w:type="lines" w:linePitch="312" w:charSpace="0"/>
        </w:sectPr>
      </w:pPr>
    </w:p>
    <w:p>
      <w:pPr>
        <w:pStyle w:val="58"/>
        <w:outlineLvl w:val="9"/>
        <w:rPr>
          <w:rFonts w:hint="eastAsia" w:eastAsia="黑体"/>
          <w:highlight w:val="none"/>
          <w:lang w:val="en-US" w:eastAsia="zh-CN"/>
        </w:rPr>
      </w:pPr>
      <w:r>
        <w:rPr>
          <w:highlight w:val="none"/>
        </w:rPr>
        <w:tab/>
      </w:r>
      <w:bookmarkEnd w:id="12"/>
      <w:r>
        <w:rPr>
          <w:rFonts w:hint="eastAsia"/>
          <w:highlight w:val="none"/>
        </w:rPr>
        <w:t xml:space="preserve">质量分级及“领跑者”评价要求  </w:t>
      </w:r>
      <w:r>
        <w:rPr>
          <w:rFonts w:hint="eastAsia"/>
          <w:highlight w:val="none"/>
          <w:lang w:val="en-US" w:eastAsia="zh-CN"/>
        </w:rPr>
        <w:t>指甲油</w:t>
      </w:r>
    </w:p>
    <w:p>
      <w:pPr>
        <w:pStyle w:val="84"/>
        <w:spacing w:before="312" w:after="312"/>
      </w:pPr>
      <w:bookmarkStart w:id="13" w:name="_Toc26718930"/>
      <w:bookmarkStart w:id="14" w:name="_Toc24884211"/>
      <w:bookmarkStart w:id="15" w:name="_Toc107412111"/>
      <w:bookmarkStart w:id="16" w:name="_Toc107298439"/>
      <w:bookmarkStart w:id="17" w:name="_Toc109198981"/>
      <w:bookmarkStart w:id="18" w:name="_Toc112679851"/>
      <w:bookmarkStart w:id="19" w:name="_Toc24884218"/>
      <w:bookmarkStart w:id="20" w:name="_Toc97191423"/>
      <w:bookmarkStart w:id="21" w:name="_Toc26986530"/>
      <w:bookmarkStart w:id="22" w:name="_Toc16323"/>
      <w:bookmarkStart w:id="23" w:name="_Toc17233333"/>
      <w:bookmarkStart w:id="24" w:name="_Toc109199004"/>
      <w:bookmarkStart w:id="25" w:name="_Toc26986771"/>
      <w:bookmarkStart w:id="26" w:name="_Toc26648465"/>
      <w:bookmarkStart w:id="27" w:name="_Toc106980384"/>
      <w:bookmarkStart w:id="28" w:name="_Toc107327237"/>
      <w:bookmarkStart w:id="29" w:name="_Toc17233325"/>
      <w:bookmarkStart w:id="30" w:name="_Toc2871"/>
      <w:bookmarkStart w:id="31" w:name="_Toc385601798"/>
      <w:bookmarkStart w:id="32" w:name="_Toc385602847"/>
      <w:bookmarkStart w:id="33" w:name="_Toc415043895"/>
      <w:bookmarkStart w:id="34" w:name="_Toc65687978"/>
      <w:bookmarkStart w:id="35" w:name="_Toc415043488"/>
      <w:bookmarkStart w:id="36" w:name="_Toc23920"/>
      <w:bookmarkStart w:id="37" w:name="_Toc415043549"/>
      <w:r>
        <w:rPr>
          <w:rFonts w:hint="eastAsia"/>
        </w:rPr>
        <w:t>范围</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bookmarkEnd w:id="31"/>
    <w:bookmarkEnd w:id="32"/>
    <w:bookmarkEnd w:id="33"/>
    <w:bookmarkEnd w:id="34"/>
    <w:bookmarkEnd w:id="35"/>
    <w:bookmarkEnd w:id="36"/>
    <w:bookmarkEnd w:id="37"/>
    <w:p>
      <w:pPr>
        <w:pStyle w:val="4"/>
        <w:spacing w:line="276" w:lineRule="auto"/>
        <w:rPr>
          <w:highlight w:val="none"/>
        </w:rPr>
      </w:pPr>
      <w:r>
        <w:rPr>
          <w:rFonts w:hint="eastAsia"/>
          <w:highlight w:val="none"/>
        </w:rPr>
        <w:t>本文件规定了</w:t>
      </w:r>
      <w:r>
        <w:rPr>
          <w:rFonts w:hint="eastAsia" w:asciiTheme="minorHAnsi"/>
          <w:highlight w:val="none"/>
          <w:lang w:val="en-US" w:eastAsia="zh-CN"/>
        </w:rPr>
        <w:t>指甲油</w:t>
      </w:r>
      <w:r>
        <w:rPr>
          <w:rFonts w:hint="eastAsia"/>
          <w:highlight w:val="none"/>
        </w:rPr>
        <w:t>质量</w:t>
      </w:r>
      <w:r>
        <w:rPr>
          <w:rFonts w:hint="eastAsia"/>
          <w:highlight w:val="none"/>
          <w:lang w:val="en-US" w:eastAsia="zh-CN"/>
        </w:rPr>
        <w:t>分级</w:t>
      </w:r>
      <w:r>
        <w:rPr>
          <w:rFonts w:hint="eastAsia"/>
          <w:highlight w:val="none"/>
        </w:rPr>
        <w:t>及企业标准水平的</w:t>
      </w:r>
      <w:r>
        <w:rPr>
          <w:rFonts w:hint="eastAsia" w:hAnsi="宋体" w:eastAsia="宋体" w:cs="Arial"/>
          <w:szCs w:val="21"/>
          <w:highlight w:val="none"/>
        </w:rPr>
        <w:t>基本要求、评价指标及要求、</w:t>
      </w:r>
      <w:r>
        <w:rPr>
          <w:rFonts w:ascii="Times New Roman"/>
          <w:szCs w:val="21"/>
          <w:highlight w:val="none"/>
        </w:rPr>
        <w:t>评价</w:t>
      </w:r>
      <w:r>
        <w:rPr>
          <w:rFonts w:hint="eastAsia" w:ascii="Times New Roman"/>
          <w:szCs w:val="21"/>
          <w:highlight w:val="none"/>
        </w:rPr>
        <w:t>方法及等级划分</w:t>
      </w:r>
      <w:r>
        <w:rPr>
          <w:rFonts w:hint="eastAsia"/>
          <w:highlight w:val="none"/>
        </w:rPr>
        <w:t>。</w:t>
      </w:r>
    </w:p>
    <w:p>
      <w:pPr>
        <w:pStyle w:val="4"/>
        <w:spacing w:line="276" w:lineRule="auto"/>
        <w:rPr>
          <w:rFonts w:eastAsia="宋体"/>
          <w:highlight w:val="none"/>
        </w:rPr>
      </w:pPr>
      <w:r>
        <w:rPr>
          <w:rFonts w:hint="eastAsia" w:hAnsi="宋体"/>
          <w:highlight w:val="none"/>
        </w:rPr>
        <w:t>本</w:t>
      </w:r>
      <w:r>
        <w:rPr>
          <w:rFonts w:hint="eastAsia"/>
          <w:highlight w:val="none"/>
        </w:rPr>
        <w:t>文件适用于</w:t>
      </w:r>
      <w:bookmarkStart w:id="38" w:name="_Hlk42777362"/>
      <w:r>
        <w:rPr>
          <w:rFonts w:hint="eastAsia"/>
          <w:highlight w:val="none"/>
          <w:lang w:val="en-US" w:eastAsia="zh-CN"/>
        </w:rPr>
        <w:t>指甲油</w:t>
      </w:r>
      <w:r>
        <w:rPr>
          <w:rFonts w:hint="eastAsia"/>
          <w:highlight w:val="none"/>
        </w:rPr>
        <w:t>质量</w:t>
      </w:r>
      <w:r>
        <w:rPr>
          <w:rFonts w:hint="eastAsia"/>
          <w:highlight w:val="none"/>
          <w:lang w:val="en-US" w:eastAsia="zh-CN"/>
        </w:rPr>
        <w:t>分级</w:t>
      </w:r>
      <w:r>
        <w:rPr>
          <w:rFonts w:hint="eastAsia"/>
          <w:highlight w:val="none"/>
        </w:rPr>
        <w:t>及企业标准水平评价</w:t>
      </w:r>
      <w:bookmarkEnd w:id="38"/>
      <w:r>
        <w:rPr>
          <w:rFonts w:hint="eastAsia"/>
          <w:highlight w:val="none"/>
        </w:rPr>
        <w:t>。相关机构开展质量分级和企业标准水平</w:t>
      </w:r>
      <w:r>
        <w:rPr>
          <w:rFonts w:hint="eastAsia"/>
          <w:highlight w:val="none"/>
          <w:lang w:val="en-US" w:eastAsia="zh-CN"/>
        </w:rPr>
        <w:t>评价</w:t>
      </w:r>
      <w:r>
        <w:rPr>
          <w:rFonts w:hint="eastAsia"/>
          <w:highlight w:val="none"/>
        </w:rPr>
        <w:t>、“领跑者”</w:t>
      </w:r>
      <w:r>
        <w:rPr>
          <w:rFonts w:hint="eastAsia"/>
          <w:highlight w:val="none"/>
          <w:lang w:val="en-US" w:eastAsia="zh-CN"/>
        </w:rPr>
        <w:t>产品</w:t>
      </w:r>
      <w:r>
        <w:rPr>
          <w:rFonts w:hint="eastAsia"/>
          <w:highlight w:val="none"/>
        </w:rPr>
        <w:t>评价以及相关认证</w:t>
      </w:r>
      <w:r>
        <w:rPr>
          <w:rFonts w:hint="eastAsia"/>
          <w:highlight w:val="none"/>
          <w:lang w:val="en-US" w:eastAsia="zh-CN"/>
        </w:rPr>
        <w:t>或评价</w:t>
      </w:r>
      <w:r>
        <w:rPr>
          <w:rFonts w:hint="eastAsia"/>
          <w:highlight w:val="none"/>
        </w:rPr>
        <w:t>时可参照使用，相关企业在制定企业标准时也可参照本文件。</w:t>
      </w:r>
    </w:p>
    <w:p>
      <w:pPr>
        <w:pStyle w:val="84"/>
        <w:spacing w:before="312" w:after="312"/>
      </w:pPr>
      <w:bookmarkStart w:id="39" w:name="_Toc97191424"/>
      <w:bookmarkStart w:id="40" w:name="_Toc26986531"/>
      <w:bookmarkStart w:id="41" w:name="_Toc109198982"/>
      <w:bookmarkStart w:id="42" w:name="_Toc26986772"/>
      <w:bookmarkStart w:id="43" w:name="_Toc109199005"/>
      <w:bookmarkStart w:id="44" w:name="_Toc106980385"/>
      <w:bookmarkStart w:id="45" w:name="_Toc107298440"/>
      <w:bookmarkStart w:id="46" w:name="_Toc107412112"/>
      <w:bookmarkStart w:id="47" w:name="_Toc26718931"/>
      <w:bookmarkStart w:id="48" w:name="_Toc20114"/>
      <w:bookmarkStart w:id="49" w:name="_Toc112679852"/>
      <w:bookmarkStart w:id="50" w:name="_Toc107327238"/>
      <w:bookmarkStart w:id="51" w:name="_Toc28435"/>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p>
      <w:pPr>
        <w:spacing w:line="276" w:lineRule="auto"/>
        <w:ind w:firstLine="420" w:firstLineChars="200"/>
        <w:rPr>
          <w:rFonts w:hint="eastAsia"/>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"https://std.samr.gov.cn/gb/search/gbDetailed?id=F159DFC2A95D47EFE05397BE0A0AF334" \t "https://std.samr.gov.cn/search/stdPage?q=GB/_blank" </w:instrText>
      </w:r>
      <w:r>
        <w:rPr>
          <w:rFonts w:hint="eastAsia" w:ascii="宋体" w:hAnsi="宋体" w:eastAsia="宋体" w:cs="宋体"/>
          <w:highlight w:val="none"/>
        </w:rPr>
        <w:fldChar w:fldCharType="separate"/>
      </w:r>
      <w:r>
        <w:rPr>
          <w:rFonts w:hint="default" w:ascii="宋体" w:hAnsi="宋体" w:eastAsia="宋体" w:cs="宋体"/>
          <w:highlight w:val="none"/>
        </w:rPr>
        <w:t>GB/T</w:t>
      </w:r>
      <w:r>
        <w:rPr>
          <w:rFonts w:hint="eastAsia" w:ascii="宋体" w:hAnsi="宋体" w:eastAsia="宋体" w:cs="宋体"/>
          <w:highlight w:val="none"/>
          <w:lang w:val="en-US" w:eastAsia="zh-CN"/>
        </w:rPr>
        <w:t xml:space="preserve"> </w:t>
      </w:r>
      <w:r>
        <w:rPr>
          <w:rFonts w:hint="default" w:ascii="宋体" w:hAnsi="宋体" w:eastAsia="宋体" w:cs="宋体"/>
          <w:highlight w:val="none"/>
        </w:rPr>
        <w:t>6739</w:t>
      </w:r>
      <w:r>
        <w:rPr>
          <w:rFonts w:hint="eastAsia" w:ascii="宋体" w:hAnsi="宋体" w:eastAsia="宋体" w:cs="宋体"/>
          <w:highlight w:val="none"/>
          <w:lang w:val="en-US" w:eastAsia="zh-CN"/>
        </w:rPr>
        <w:t xml:space="preserve">  </w:t>
      </w:r>
      <w:r>
        <w:rPr>
          <w:rFonts w:hint="default" w:ascii="宋体" w:hAnsi="宋体" w:eastAsia="宋体" w:cs="宋体"/>
          <w:highlight w:val="none"/>
        </w:rPr>
        <w:t>色漆和清漆</w:t>
      </w:r>
      <w:r>
        <w:rPr>
          <w:rFonts w:hint="eastAsia" w:ascii="宋体" w:hAnsi="宋体" w:eastAsia="宋体" w:cs="宋体"/>
          <w:highlight w:val="none"/>
          <w:lang w:val="en-US" w:eastAsia="zh-CN"/>
        </w:rPr>
        <w:t xml:space="preserve"> </w:t>
      </w:r>
      <w:r>
        <w:rPr>
          <w:rFonts w:hint="default" w:ascii="宋体" w:hAnsi="宋体" w:eastAsia="宋体" w:cs="宋体"/>
          <w:highlight w:val="none"/>
        </w:rPr>
        <w:t xml:space="preserve"> 铅笔法测定漆膜硬度</w:t>
      </w:r>
      <w:r>
        <w:rPr>
          <w:rFonts w:hint="default" w:ascii="宋体" w:hAnsi="宋体" w:eastAsia="宋体" w:cs="宋体"/>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GB/T 19001  质量管理体系  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"https://std.samr.gov.cn/gb/search/gbDetailed?id=F159DFC2A7B947EFE05397BE0A0AF334" \t "https://std.samr.gov.cn/search/stdPage?q=GB/_blank" </w:instrText>
      </w:r>
      <w:r>
        <w:rPr>
          <w:rFonts w:hint="eastAsia" w:ascii="宋体" w:hAnsi="宋体" w:eastAsia="宋体" w:cs="宋体"/>
          <w:highlight w:val="none"/>
        </w:rPr>
        <w:fldChar w:fldCharType="separate"/>
      </w:r>
      <w:r>
        <w:rPr>
          <w:rFonts w:hint="default" w:ascii="宋体" w:hAnsi="宋体" w:eastAsia="宋体" w:cs="宋体"/>
          <w:highlight w:val="none"/>
        </w:rPr>
        <w:t>GB/T</w:t>
      </w:r>
      <w:r>
        <w:rPr>
          <w:rFonts w:hint="eastAsia" w:ascii="宋体" w:hAnsi="宋体" w:eastAsia="宋体" w:cs="宋体"/>
          <w:highlight w:val="none"/>
          <w:lang w:val="en-US" w:eastAsia="zh-CN"/>
        </w:rPr>
        <w:t xml:space="preserve"> </w:t>
      </w:r>
      <w:r>
        <w:rPr>
          <w:rFonts w:hint="default" w:ascii="宋体" w:hAnsi="宋体" w:eastAsia="宋体" w:cs="宋体"/>
          <w:highlight w:val="none"/>
        </w:rPr>
        <w:t>22731</w:t>
      </w:r>
      <w:r>
        <w:rPr>
          <w:rFonts w:hint="eastAsia" w:ascii="宋体" w:hAnsi="宋体" w:eastAsia="宋体" w:cs="宋体"/>
          <w:highlight w:val="none"/>
          <w:lang w:val="en-US" w:eastAsia="zh-CN"/>
        </w:rPr>
        <w:t xml:space="preserve">  </w:t>
      </w:r>
      <w:r>
        <w:rPr>
          <w:rFonts w:hint="default" w:ascii="宋体" w:hAnsi="宋体" w:eastAsia="宋体" w:cs="宋体"/>
          <w:highlight w:val="none"/>
        </w:rPr>
        <w:t>日用香精</w:t>
      </w:r>
      <w:r>
        <w:rPr>
          <w:rFonts w:hint="default" w:ascii="宋体" w:hAnsi="宋体" w:eastAsia="宋体" w:cs="宋体"/>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GB/T 23331  能源管理体系  要求及使用指南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GB/T 24001  环境管理体系  要求及使用指南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35889—2018  眼线液（膏）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GB 31604.30  食品安全国家标准  食品接触材料及制品  邻苯二甲酸酯的测定和迁移量的测定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GB/T 45001  职业健康安全管理体系  要求及使用指南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 xml:space="preserve">QB/T 2287—2011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"https://std.samr.gov.cn/hb/search/stdHBDetailed?id=8B1827F2022EBB19E05397BE0A0AB44A" \t "https://std.samr.gov.cn/search/stdPage?q=QB/_blank" </w:instrText>
      </w:r>
      <w:r>
        <w:rPr>
          <w:rFonts w:hint="eastAsia" w:ascii="宋体" w:hAnsi="宋体" w:eastAsia="宋体" w:cs="宋体"/>
          <w:highlight w:val="none"/>
        </w:rPr>
        <w:fldChar w:fldCharType="separate"/>
      </w:r>
      <w:r>
        <w:rPr>
          <w:rFonts w:hint="default" w:ascii="宋体" w:hAnsi="宋体" w:eastAsia="宋体" w:cs="宋体"/>
          <w:highlight w:val="none"/>
        </w:rPr>
        <w:t>指甲油</w:t>
      </w:r>
      <w:r>
        <w:rPr>
          <w:rFonts w:hint="default" w:ascii="宋体" w:hAnsi="宋体" w:eastAsia="宋体" w:cs="宋体"/>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JJF 1070—2023  定量包装商品净含量计量检验规则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T/CSTE 0421/T/CAS 703  质量分级及“领跑者”标识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化妆品安全技术规范</w:t>
      </w:r>
      <w:r>
        <w:rPr>
          <w:rFonts w:hint="eastAsia" w:ascii="宋体" w:hAnsi="宋体" w:eastAsia="宋体" w:cs="宋体"/>
          <w:highlight w:val="none"/>
          <w:lang w:eastAsia="zh-CN"/>
        </w:rPr>
        <w:t>（</w:t>
      </w:r>
      <w:r>
        <w:rPr>
          <w:rFonts w:hint="eastAsia" w:ascii="宋体" w:hAnsi="宋体" w:eastAsia="宋体" w:cs="宋体"/>
          <w:highlight w:val="none"/>
          <w:lang w:val="en-US" w:eastAsia="zh-CN"/>
        </w:rPr>
        <w:t>2015年版</w:t>
      </w:r>
      <w:r>
        <w:rPr>
          <w:rFonts w:hint="eastAsia" w:ascii="宋体" w:hAnsi="宋体" w:eastAsia="宋体" w:cs="宋体"/>
          <w:highlight w:val="none"/>
          <w:lang w:eastAsia="zh-CN"/>
        </w:rPr>
        <w:t>）</w:t>
      </w:r>
    </w:p>
    <w:p>
      <w:pPr>
        <w:pStyle w:val="84"/>
        <w:spacing w:before="312" w:after="312"/>
        <w:rPr>
          <w:highlight w:val="none"/>
        </w:rPr>
      </w:pPr>
      <w:bookmarkStart w:id="52" w:name="_Toc385601800"/>
      <w:bookmarkEnd w:id="52"/>
      <w:bookmarkStart w:id="53" w:name="_Toc415043551"/>
      <w:bookmarkStart w:id="54" w:name="_Toc415043897"/>
      <w:bookmarkStart w:id="55" w:name="_Toc1815"/>
      <w:bookmarkStart w:id="56" w:name="_Toc385602849"/>
      <w:bookmarkStart w:id="57" w:name="_Toc19706"/>
      <w:bookmarkStart w:id="58" w:name="_Toc415043490"/>
      <w:bookmarkStart w:id="59" w:name="_Toc65687980"/>
      <w:bookmarkStart w:id="60" w:name="_Toc289"/>
      <w:r>
        <w:rPr>
          <w:rFonts w:hint="eastAsia"/>
          <w:szCs w:val="21"/>
        </w:rPr>
        <w:t>术语和定义</w:t>
      </w:r>
      <w:bookmarkEnd w:id="53"/>
      <w:bookmarkEnd w:id="54"/>
      <w:bookmarkEnd w:id="55"/>
      <w:bookmarkEnd w:id="56"/>
      <w:bookmarkEnd w:id="57"/>
      <w:bookmarkEnd w:id="58"/>
      <w:bookmarkEnd w:id="59"/>
      <w:bookmarkEnd w:id="60"/>
      <w:bookmarkStart w:id="61" w:name="_Toc375076815"/>
      <w:bookmarkEnd w:id="61"/>
      <w:bookmarkStart w:id="62" w:name="_Toc415043899"/>
      <w:bookmarkEnd w:id="62"/>
      <w:bookmarkStart w:id="63" w:name="_Toc415043898"/>
      <w:bookmarkEnd w:id="63"/>
      <w:bookmarkStart w:id="64" w:name="_Toc415043492"/>
      <w:bookmarkEnd w:id="64"/>
      <w:bookmarkStart w:id="65" w:name="_Toc415043553"/>
      <w:bookmarkEnd w:id="65"/>
      <w:bookmarkStart w:id="66" w:name="_Toc415043491"/>
      <w:bookmarkEnd w:id="66"/>
      <w:bookmarkStart w:id="67" w:name="_Toc415043552"/>
      <w:bookmarkEnd w:id="67"/>
      <w:bookmarkStart w:id="68" w:name="_Toc65687981"/>
      <w:bookmarkStart w:id="69" w:name="_Toc385602850"/>
      <w:bookmarkStart w:id="70" w:name="_Toc25668"/>
      <w:bookmarkStart w:id="71" w:name="_Toc415043496"/>
      <w:bookmarkStart w:id="72" w:name="_Toc415043903"/>
      <w:bookmarkStart w:id="73" w:name="_Toc528835813"/>
      <w:bookmarkStart w:id="74" w:name="_Toc415043557"/>
    </w:p>
    <w:p>
      <w:pPr>
        <w:pStyle w:val="84"/>
        <w:numPr>
          <w:ilvl w:val="1"/>
          <w:numId w:val="0"/>
        </w:numPr>
        <w:spacing w:before="312" w:after="312"/>
        <w:ind w:leftChars="0" w:firstLine="420" w:firstLineChars="200"/>
        <w:rPr>
          <w:rFonts w:hint="eastAsia" w:ascii="宋体" w:hAnsi="宋体" w:eastAsia="宋体" w:cs="宋体"/>
          <w:highlight w:val="none"/>
        </w:rPr>
      </w:pPr>
      <w:r>
        <w:rPr>
          <w:rFonts w:hint="eastAsia" w:ascii="宋体" w:hAnsi="宋体" w:eastAsia="宋体" w:cs="宋体"/>
          <w:highlight w:val="none"/>
        </w:rPr>
        <w:t>本文件没有</w:t>
      </w:r>
      <w:r>
        <w:rPr>
          <w:rFonts w:hint="eastAsia" w:ascii="宋体" w:hAnsi="宋体" w:eastAsia="宋体" w:cs="宋体"/>
          <w:highlight w:val="none"/>
          <w:lang w:val="en-US" w:eastAsia="zh-CN"/>
        </w:rPr>
        <w:t>需要界定的</w:t>
      </w:r>
      <w:r>
        <w:rPr>
          <w:rFonts w:hint="eastAsia" w:ascii="宋体" w:hAnsi="宋体" w:eastAsia="宋体" w:cs="宋体"/>
          <w:highlight w:val="none"/>
        </w:rPr>
        <w:t>术语和定义。</w:t>
      </w:r>
      <w:bookmarkEnd w:id="68"/>
    </w:p>
    <w:p>
      <w:pPr>
        <w:pStyle w:val="84"/>
        <w:spacing w:before="312" w:after="312"/>
        <w:rPr>
          <w:rFonts w:ascii="黑体" w:hAnsi="黑体" w:eastAsia="黑体"/>
          <w:b w:val="0"/>
          <w:sz w:val="24"/>
          <w:szCs w:val="24"/>
          <w:highlight w:val="none"/>
        </w:rPr>
      </w:pPr>
      <w:r>
        <w:rPr>
          <w:rFonts w:hint="eastAsia" w:ascii="黑体" w:hAnsi="Times New Roman" w:eastAsia="黑体" w:cs="Times New Roman"/>
          <w:b w:val="0"/>
          <w:bCs w:val="0"/>
          <w:kern w:val="0"/>
          <w:sz w:val="21"/>
          <w:szCs w:val="21"/>
          <w:lang w:val="en-US" w:eastAsia="zh-CN" w:bidi="ar-SA"/>
        </w:rPr>
        <w:t>基本要求</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pPr>
      <w:r>
        <w:rPr>
          <w:rFonts w:hint="eastAsia" w:ascii="宋体" w:hAnsi="宋体" w:eastAsia="宋体" w:cs="宋体"/>
        </w:rPr>
        <w:t>近三年，企业无较大及以上质量、环境、安全等事故</w:t>
      </w:r>
      <w:r>
        <w:rPr>
          <w:rFonts w:hint="eastAsia" w:eastAsia="宋体"/>
          <w:lang w:eastAsia="zh-CN"/>
        </w:rPr>
        <w:t>。</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sz w:val="21"/>
          <w:szCs w:val="21"/>
          <w:highlight w:val="none"/>
          <w:lang w:eastAsia="zh-CN"/>
        </w:rPr>
      </w:pPr>
      <w:bookmarkStart w:id="75" w:name="_Toc65687984"/>
      <w:bookmarkStart w:id="76" w:name="_Toc401669933"/>
      <w:bookmarkStart w:id="77" w:name="_Toc35259974"/>
      <w:bookmarkStart w:id="78" w:name="_Toc33563757"/>
      <w:r>
        <w:rPr>
          <w:rFonts w:hint="eastAsia" w:ascii="宋体" w:hAnsi="宋体" w:eastAsia="宋体" w:cs="宋体"/>
          <w:sz w:val="21"/>
          <w:szCs w:val="21"/>
          <w:highlight w:val="none"/>
          <w:lang w:eastAsia="zh-CN"/>
        </w:rPr>
        <w:t>企业未列入国家信用信息严重失信主体相关名录。</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bCs/>
          <w:highlight w:val="none"/>
          <w:lang w:eastAsia="zh-CN"/>
        </w:rPr>
      </w:pPr>
      <w:r>
        <w:rPr>
          <w:rFonts w:hint="eastAsia" w:ascii="宋体" w:hAnsi="宋体" w:eastAsia="宋体" w:cs="宋体"/>
          <w:bCs/>
          <w:highlight w:val="none"/>
          <w:lang w:eastAsia="zh-CN"/>
        </w:rPr>
        <w:t>企业可根据</w:t>
      </w:r>
      <w:r>
        <w:rPr>
          <w:rFonts w:hint="eastAsia" w:ascii="宋体" w:hAnsi="宋体" w:eastAsia="宋体" w:cs="宋体"/>
          <w:bCs/>
          <w:sz w:val="21"/>
          <w:szCs w:val="21"/>
          <w:highlight w:val="none"/>
          <w:lang w:eastAsia="zh-CN"/>
        </w:rPr>
        <w:t>GB/T 19001、GB/T 23331、GB/T 24001、GB/T 45001</w:t>
      </w:r>
      <w:r>
        <w:rPr>
          <w:rFonts w:hint="eastAsia" w:ascii="宋体" w:hAnsi="宋体" w:eastAsia="宋体" w:cs="宋体"/>
          <w:bCs/>
          <w:highlight w:val="none"/>
          <w:lang w:eastAsia="zh-CN"/>
        </w:rPr>
        <w:t>建立并运行相应质量、能源、环境和职业健康安全等管理体系，鼓励企业根据自身运营情况建立其他高水平的相关管理体系。</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产品应为量产产品，</w:t>
      </w:r>
      <w:r>
        <w:rPr>
          <w:rFonts w:hint="eastAsia" w:ascii="宋体" w:hAnsi="宋体" w:eastAsia="宋体" w:cs="宋体"/>
          <w:sz w:val="21"/>
          <w:szCs w:val="21"/>
          <w:highlight w:val="none"/>
          <w:lang w:val="en-US" w:eastAsia="zh-CN"/>
        </w:rPr>
        <w:t>指甲油质量分级及领跑者标准</w:t>
      </w:r>
      <w:r>
        <w:rPr>
          <w:rFonts w:hint="eastAsia" w:ascii="宋体" w:hAnsi="宋体" w:eastAsia="宋体" w:cs="宋体"/>
          <w:sz w:val="21"/>
          <w:szCs w:val="21"/>
          <w:highlight w:val="none"/>
          <w:lang w:eastAsia="zh-CN"/>
        </w:rPr>
        <w:t>应满足国家强制性标准、《</w:t>
      </w:r>
      <w:r>
        <w:rPr>
          <w:rFonts w:hint="eastAsia" w:ascii="宋体" w:hAnsi="宋体" w:eastAsia="宋体" w:cs="宋体"/>
          <w:sz w:val="21"/>
          <w:szCs w:val="21"/>
          <w:highlight w:val="none"/>
          <w:lang w:val="en-US" w:eastAsia="zh-CN"/>
        </w:rPr>
        <w:t>化妆品安全技术规范》</w:t>
      </w:r>
      <w:r>
        <w:rPr>
          <w:rFonts w:hint="eastAsia" w:ascii="宋体" w:hAnsi="宋体" w:eastAsia="宋体" w:cs="宋体"/>
          <w:color w:val="auto"/>
          <w:kern w:val="0"/>
          <w:szCs w:val="20"/>
          <w:highlight w:val="none"/>
          <w:lang w:eastAsia="zh-CN"/>
        </w:rPr>
        <w:t>（</w:t>
      </w:r>
      <w:r>
        <w:rPr>
          <w:rFonts w:hint="eastAsia" w:ascii="宋体" w:hAnsi="宋体" w:eastAsia="宋体" w:cs="宋体"/>
          <w:color w:val="auto"/>
          <w:kern w:val="0"/>
          <w:szCs w:val="20"/>
          <w:highlight w:val="none"/>
          <w:lang w:val="en-US" w:eastAsia="zh-CN"/>
        </w:rPr>
        <w:t>2015年版</w:t>
      </w:r>
      <w:r>
        <w:rPr>
          <w:rFonts w:hint="eastAsia" w:ascii="宋体" w:hAnsi="宋体" w:eastAsia="宋体" w:cs="宋体"/>
          <w:color w:val="auto"/>
          <w:kern w:val="0"/>
          <w:szCs w:val="20"/>
          <w:highlight w:val="none"/>
          <w:lang w:eastAsia="zh-CN"/>
        </w:rPr>
        <w:t>）</w:t>
      </w:r>
      <w:r>
        <w:rPr>
          <w:rFonts w:hint="eastAsia" w:ascii="宋体" w:hAnsi="宋体" w:eastAsia="宋体" w:cs="宋体"/>
          <w:sz w:val="21"/>
          <w:szCs w:val="21"/>
          <w:highlight w:val="none"/>
          <w:lang w:val="en-US" w:eastAsia="zh-CN"/>
        </w:rPr>
        <w:t>和QB/T 2287</w:t>
      </w:r>
      <w:r>
        <w:rPr>
          <w:rFonts w:hint="eastAsia" w:ascii="宋体" w:hAnsi="宋体" w:eastAsia="宋体" w:cs="宋体"/>
          <w:sz w:val="21"/>
          <w:szCs w:val="21"/>
          <w:highlight w:val="none"/>
          <w:lang w:eastAsia="zh-CN"/>
        </w:rPr>
        <w:t>规定的要求。</w:t>
      </w:r>
    </w:p>
    <w:p>
      <w:pPr>
        <w:pStyle w:val="84"/>
        <w:spacing w:before="312" w:after="312"/>
        <w:rPr>
          <w:rFonts w:hint="eastAsia" w:ascii="黑体" w:hAnsi="Times New Roman" w:eastAsia="黑体" w:cs="Times New Roman"/>
          <w:b w:val="0"/>
          <w:bCs w:val="0"/>
          <w:kern w:val="0"/>
          <w:sz w:val="21"/>
          <w:szCs w:val="21"/>
          <w:lang w:val="en-US" w:eastAsia="zh-CN" w:bidi="ar-SA"/>
        </w:rPr>
      </w:pPr>
      <w:r>
        <w:rPr>
          <w:rFonts w:hint="eastAsia" w:ascii="黑体" w:hAnsi="Times New Roman" w:eastAsia="黑体" w:cs="Times New Roman"/>
          <w:b w:val="0"/>
          <w:bCs w:val="0"/>
          <w:kern w:val="0"/>
          <w:sz w:val="21"/>
          <w:szCs w:val="21"/>
          <w:lang w:val="en-US" w:eastAsia="zh-CN" w:bidi="ar-SA"/>
        </w:rPr>
        <w:t>评价指标及要求</w:t>
      </w:r>
    </w:p>
    <w:p>
      <w:pPr>
        <w:pStyle w:val="86"/>
        <w:spacing w:before="156" w:after="156"/>
        <w:rPr>
          <w:rFonts w:hint="default"/>
          <w:lang w:val="en-US" w:eastAsia="zh-CN"/>
        </w:rPr>
      </w:pPr>
      <w:r>
        <w:rPr>
          <w:rFonts w:hint="eastAsia"/>
          <w:lang w:val="en-US" w:eastAsia="zh-CN"/>
        </w:rPr>
        <w:t>评价指标分类</w:t>
      </w:r>
    </w:p>
    <w:p>
      <w:pPr>
        <w:pStyle w:val="87"/>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rPr>
      </w:pPr>
      <w:r>
        <w:rPr>
          <w:rFonts w:hint="eastAsia" w:ascii="宋体" w:hAnsi="宋体" w:eastAsia="宋体" w:cs="宋体"/>
          <w:lang w:val="en-US" w:eastAsia="zh-CN"/>
        </w:rPr>
        <w:t>指甲油</w:t>
      </w:r>
      <w:r>
        <w:rPr>
          <w:rFonts w:hint="eastAsia" w:ascii="宋体" w:hAnsi="宋体" w:eastAsia="宋体" w:cs="宋体"/>
        </w:rPr>
        <w:t>评价指标体系包括基础指标、核心指标和创新指标。</w:t>
      </w:r>
    </w:p>
    <w:p>
      <w:pPr>
        <w:pStyle w:val="87"/>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highlight w:val="none"/>
        </w:rPr>
      </w:pPr>
      <w:r>
        <w:rPr>
          <w:rFonts w:hint="eastAsia" w:ascii="宋体" w:hAnsi="宋体" w:eastAsia="宋体" w:cs="宋体"/>
          <w:highlight w:val="none"/>
        </w:rPr>
        <w:t>基础指标包括</w:t>
      </w:r>
      <w:r>
        <w:rPr>
          <w:rFonts w:hint="eastAsia" w:ascii="宋体" w:hAnsi="宋体" w:eastAsia="宋体" w:cs="宋体"/>
          <w:highlight w:val="none"/>
          <w:lang w:val="en-US" w:eastAsia="zh-CN"/>
        </w:rPr>
        <w:t>原料要求、包装材料的要求、外观、色泽、</w:t>
      </w:r>
      <w:r>
        <w:rPr>
          <w:rFonts w:hint="eastAsia" w:ascii="Times New Roman" w:hAnsi="宋体" w:eastAsia="宋体"/>
          <w:kern w:val="2"/>
          <w:szCs w:val="24"/>
          <w:highlight w:val="none"/>
          <w:lang w:val="en-US" w:eastAsia="zh-CN"/>
        </w:rPr>
        <w:t>牢固度、干燥时间</w:t>
      </w:r>
      <w:r>
        <w:rPr>
          <w:rFonts w:hint="eastAsia" w:ascii="宋体" w:hAnsi="宋体" w:eastAsia="宋体" w:cs="宋体"/>
          <w:highlight w:val="none"/>
          <w:lang w:val="en-US" w:eastAsia="zh-CN"/>
        </w:rPr>
        <w:t>、耐热大肠菌群、金黄色葡萄球菌、铜绿假单胞菌、邻苯二甲酸酯限量、净含量偏差。</w:t>
      </w:r>
    </w:p>
    <w:p>
      <w:pPr>
        <w:pStyle w:val="87"/>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ascii="Times New Roman" w:hAnsi="宋体" w:eastAsia="宋体"/>
          <w:kern w:val="2"/>
          <w:szCs w:val="24"/>
          <w:highlight w:val="none"/>
        </w:rPr>
      </w:pPr>
      <w:r>
        <w:rPr>
          <w:rFonts w:hint="eastAsia" w:ascii="Times New Roman" w:hAnsi="宋体" w:eastAsia="宋体"/>
          <w:kern w:val="2"/>
          <w:szCs w:val="24"/>
          <w:highlight w:val="none"/>
        </w:rPr>
        <w:t>核心指标包括</w:t>
      </w:r>
      <w:r>
        <w:rPr>
          <w:rFonts w:hint="eastAsia" w:ascii="宋体" w:hAnsi="宋体" w:eastAsia="宋体" w:cs="宋体"/>
          <w:highlight w:val="none"/>
          <w:lang w:val="en-US" w:eastAsia="zh-CN"/>
        </w:rPr>
        <w:t>铅、汞、砷、镉、二噁烷、甲醇、菌落总数、霉菌和酵母菌总数</w:t>
      </w:r>
      <w:r>
        <w:rPr>
          <w:rFonts w:hint="eastAsia" w:ascii="Times New Roman" w:hAnsi="宋体" w:eastAsia="宋体"/>
          <w:kern w:val="2"/>
          <w:szCs w:val="24"/>
          <w:highlight w:val="none"/>
          <w:lang w:val="en-US" w:eastAsia="zh-CN"/>
        </w:rPr>
        <w:t>；</w:t>
      </w:r>
      <w:r>
        <w:rPr>
          <w:rFonts w:hint="eastAsia" w:ascii="Times New Roman" w:hAnsi="宋体" w:eastAsia="宋体"/>
          <w:kern w:val="2"/>
          <w:szCs w:val="24"/>
          <w:highlight w:val="none"/>
        </w:rPr>
        <w:t>核心指标分为三个等级，包括</w:t>
      </w:r>
      <w:r>
        <w:rPr>
          <w:rFonts w:hint="eastAsia" w:ascii="Times New Roman" w:hAnsi="宋体" w:eastAsia="宋体"/>
          <w:kern w:val="2"/>
          <w:szCs w:val="24"/>
          <w:highlight w:val="none"/>
          <w:lang w:val="en-US" w:eastAsia="zh-CN"/>
        </w:rPr>
        <w:t>先进</w:t>
      </w:r>
      <w:r>
        <w:rPr>
          <w:rFonts w:hint="eastAsia" w:ascii="Times New Roman" w:hAnsi="宋体" w:eastAsia="宋体"/>
          <w:kern w:val="2"/>
          <w:szCs w:val="24"/>
          <w:highlight w:val="none"/>
          <w:lang w:eastAsia="zh-CN"/>
        </w:rPr>
        <w:t>水平</w:t>
      </w:r>
      <w:r>
        <w:rPr>
          <w:rFonts w:hint="eastAsia" w:ascii="Times New Roman" w:hAnsi="宋体" w:eastAsia="宋体"/>
          <w:kern w:val="2"/>
          <w:szCs w:val="24"/>
          <w:highlight w:val="none"/>
        </w:rPr>
        <w:t>，相当于企业标准排行榜中5星级水平；</w:t>
      </w:r>
      <w:r>
        <w:rPr>
          <w:rFonts w:hint="eastAsia" w:ascii="Times New Roman" w:hAnsi="宋体" w:eastAsia="宋体"/>
          <w:kern w:val="2"/>
          <w:szCs w:val="24"/>
          <w:highlight w:val="none"/>
          <w:lang w:val="en-US" w:eastAsia="zh-CN"/>
        </w:rPr>
        <w:t>平均</w:t>
      </w:r>
      <w:r>
        <w:rPr>
          <w:rFonts w:hint="eastAsia" w:ascii="Times New Roman" w:hAnsi="宋体" w:eastAsia="宋体"/>
          <w:kern w:val="2"/>
          <w:szCs w:val="24"/>
          <w:highlight w:val="none"/>
          <w:lang w:eastAsia="zh-CN"/>
        </w:rPr>
        <w:t>水平</w:t>
      </w:r>
      <w:r>
        <w:rPr>
          <w:rFonts w:hint="eastAsia" w:ascii="Times New Roman" w:hAnsi="宋体" w:eastAsia="宋体"/>
          <w:kern w:val="2"/>
          <w:szCs w:val="24"/>
          <w:highlight w:val="none"/>
        </w:rPr>
        <w:t>，相当于企业标准排行榜中4星级水平；</w:t>
      </w:r>
      <w:r>
        <w:rPr>
          <w:rFonts w:hint="eastAsia" w:ascii="Times New Roman" w:hAnsi="宋体" w:eastAsia="宋体"/>
          <w:kern w:val="2"/>
          <w:szCs w:val="24"/>
          <w:highlight w:val="none"/>
          <w:lang w:val="en-US" w:eastAsia="zh-CN"/>
        </w:rPr>
        <w:t>基准</w:t>
      </w:r>
      <w:r>
        <w:rPr>
          <w:rFonts w:hint="eastAsia" w:ascii="Times New Roman" w:hAnsi="宋体" w:eastAsia="宋体"/>
          <w:kern w:val="2"/>
          <w:szCs w:val="24"/>
          <w:highlight w:val="none"/>
          <w:lang w:eastAsia="zh-CN"/>
        </w:rPr>
        <w:t>水平</w:t>
      </w:r>
      <w:r>
        <w:rPr>
          <w:rFonts w:hint="eastAsia" w:ascii="Times New Roman" w:hAnsi="宋体" w:eastAsia="宋体"/>
          <w:kern w:val="2"/>
          <w:szCs w:val="24"/>
          <w:highlight w:val="none"/>
        </w:rPr>
        <w:t>，相当于企业标准排行榜中3星级水平。。</w:t>
      </w:r>
    </w:p>
    <w:p>
      <w:pPr>
        <w:pStyle w:val="87"/>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imes New Roman" w:hAnsi="宋体" w:eastAsia="宋体"/>
          <w:kern w:val="2"/>
          <w:szCs w:val="24"/>
          <w:highlight w:val="none"/>
          <w:lang w:val="en-US" w:eastAsia="zh-CN"/>
        </w:rPr>
      </w:pPr>
      <w:r>
        <w:rPr>
          <w:rFonts w:hint="eastAsia" w:ascii="Times New Roman" w:hAnsi="宋体" w:eastAsia="宋体"/>
          <w:kern w:val="2"/>
          <w:szCs w:val="24"/>
          <w:highlight w:val="none"/>
          <w:lang w:val="en-US" w:eastAsia="zh-CN"/>
        </w:rPr>
        <w:t>创新指标包括耐热、耐寒、硬度、锑、急性皮肤刺激性试验，不划分等级，相当于企业标准排行中4星级水平。鼓励根据条件成熟情况适时增加与产品性能和消费者关注的相关创新性指标。</w:t>
      </w:r>
    </w:p>
    <w:p>
      <w:pPr>
        <w:pStyle w:val="86"/>
        <w:spacing w:before="156" w:after="156"/>
        <w:rPr>
          <w:rFonts w:eastAsia="黑体"/>
          <w:highlight w:val="none"/>
        </w:rPr>
      </w:pPr>
      <w:r>
        <w:rPr>
          <w:rFonts w:hint="eastAsia" w:ascii="黑体" w:hAnsi="黑体" w:eastAsia="黑体" w:cs="Times New Roman"/>
          <w:szCs w:val="21"/>
          <w:highlight w:val="none"/>
        </w:rPr>
        <w:t>评价指标体系框架</w:t>
      </w:r>
    </w:p>
    <w:bookmarkEnd w:id="75"/>
    <w:p>
      <w:pPr>
        <w:pStyle w:val="87"/>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pPr>
      <w:r>
        <w:rPr>
          <w:rFonts w:hint="eastAsia" w:ascii="宋体" w:hAnsi="宋体" w:eastAsia="宋体" w:cs="宋体"/>
          <w:highlight w:val="none"/>
          <w:lang w:val="en-US" w:eastAsia="zh-CN"/>
        </w:rPr>
        <w:t>指甲油</w:t>
      </w:r>
      <w:r>
        <w:rPr>
          <w:rFonts w:hint="eastAsia" w:ascii="宋体" w:hAnsi="宋体" w:eastAsia="宋体" w:cs="宋体"/>
          <w:highlight w:val="none"/>
        </w:rPr>
        <w:t>评价指标体系框</w:t>
      </w:r>
      <w:r>
        <w:rPr>
          <w:rFonts w:hint="eastAsia" w:ascii="宋体" w:hAnsi="宋体" w:eastAsia="宋体" w:cs="宋体"/>
          <w:b w:val="0"/>
          <w:bCs w:val="0"/>
          <w:highlight w:val="none"/>
        </w:rPr>
        <w:t>架符合表1的规定</w:t>
      </w:r>
      <w:r>
        <w:rPr>
          <w:rFonts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6" w:afterLines="50"/>
        <w:ind w:firstLine="0" w:firstLineChars="0"/>
        <w:jc w:val="center"/>
        <w:textAlignment w:val="auto"/>
        <w:rPr>
          <w:rFonts w:hint="eastAsia" w:ascii="黑体" w:hAnsi="黑体" w:eastAsia="黑体" w:cs="黑体"/>
          <w:szCs w:val="21"/>
          <w:highlight w:val="none"/>
        </w:rPr>
      </w:pPr>
      <w:r>
        <w:rPr>
          <w:rFonts w:hint="eastAsia" w:ascii="黑体" w:hAnsi="黑体" w:eastAsia="黑体" w:cs="黑体"/>
          <w:szCs w:val="21"/>
          <w:highlight w:val="none"/>
        </w:rPr>
        <w:t>表</w:t>
      </w:r>
      <w:r>
        <w:rPr>
          <w:rFonts w:ascii="黑体" w:hAnsi="黑体" w:eastAsia="黑体" w:cs="黑体"/>
          <w:szCs w:val="21"/>
          <w:highlight w:val="none"/>
        </w:rPr>
        <w:t>1</w:t>
      </w:r>
      <w:bookmarkStart w:id="79" w:name="_Hlk42778042"/>
      <w:r>
        <w:rPr>
          <w:rFonts w:hint="eastAsia" w:ascii="黑体" w:hAnsi="黑体" w:eastAsia="黑体" w:cs="黑体"/>
          <w:szCs w:val="21"/>
          <w:highlight w:val="none"/>
        </w:rPr>
        <w:t xml:space="preserve"> </w:t>
      </w:r>
      <w:r>
        <w:rPr>
          <w:rFonts w:hint="eastAsia" w:ascii="黑体" w:hAnsi="黑体" w:eastAsia="黑体" w:cs="黑体"/>
          <w:szCs w:val="21"/>
          <w:highlight w:val="none"/>
          <w:lang w:val="en-US" w:eastAsia="zh-CN"/>
        </w:rPr>
        <w:t>指甲油</w:t>
      </w:r>
      <w:r>
        <w:rPr>
          <w:rFonts w:hint="eastAsia" w:ascii="黑体" w:hAnsi="黑体" w:eastAsia="黑体" w:cs="黑体"/>
          <w:szCs w:val="21"/>
          <w:highlight w:val="none"/>
        </w:rPr>
        <w:t>评价指标体系</w:t>
      </w:r>
      <w:bookmarkEnd w:id="79"/>
      <w:r>
        <w:rPr>
          <w:rFonts w:hint="eastAsia" w:ascii="黑体" w:hAnsi="黑体" w:eastAsia="黑体" w:cs="黑体"/>
          <w:szCs w:val="21"/>
          <w:highlight w:val="none"/>
        </w:rPr>
        <w:t>框架</w:t>
      </w:r>
    </w:p>
    <w:tbl>
      <w:tblPr>
        <w:tblStyle w:val="24"/>
        <w:tblW w:w="985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479"/>
        <w:gridCol w:w="974"/>
        <w:gridCol w:w="1425"/>
        <w:gridCol w:w="1288"/>
        <w:gridCol w:w="993"/>
        <w:gridCol w:w="15"/>
        <w:gridCol w:w="919"/>
        <w:gridCol w:w="28"/>
        <w:gridCol w:w="993"/>
        <w:gridCol w:w="16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60" w:type="dxa"/>
            <w:vMerge w:val="restart"/>
            <w:tcBorders>
              <w:bottom w:val="single" w:color="auto" w:sz="8" w:space="0"/>
            </w:tcBorders>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479" w:type="dxa"/>
            <w:vMerge w:val="restart"/>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指标类型</w:t>
            </w:r>
          </w:p>
        </w:tc>
        <w:tc>
          <w:tcPr>
            <w:tcW w:w="2399" w:type="dxa"/>
            <w:gridSpan w:val="2"/>
            <w:vMerge w:val="restart"/>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评价指标</w:t>
            </w:r>
          </w:p>
        </w:tc>
        <w:tc>
          <w:tcPr>
            <w:tcW w:w="1288" w:type="dxa"/>
            <w:vMerge w:val="restart"/>
            <w:tcBorders>
              <w:bottom w:val="single" w:color="auto" w:sz="8" w:space="0"/>
              <w:right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指标来源</w:t>
            </w:r>
          </w:p>
        </w:tc>
        <w:tc>
          <w:tcPr>
            <w:tcW w:w="2948" w:type="dxa"/>
            <w:gridSpan w:val="5"/>
            <w:tcBorders>
              <w:left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指标水平分级</w:t>
            </w:r>
          </w:p>
        </w:tc>
        <w:tc>
          <w:tcPr>
            <w:tcW w:w="1678" w:type="dxa"/>
            <w:vMerge w:val="restart"/>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判定依据/方法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60" w:type="dxa"/>
            <w:vMerge w:val="continue"/>
            <w:tcBorders>
              <w:top w:val="single" w:color="auto" w:sz="8" w:space="0"/>
              <w:bottom w:val="single" w:color="auto" w:sz="8" w:space="0"/>
            </w:tcBorders>
            <w:vAlign w:val="center"/>
          </w:tcPr>
          <w:p>
            <w:pPr>
              <w:widowControl/>
              <w:spacing w:line="240" w:lineRule="exact"/>
              <w:jc w:val="center"/>
              <w:rPr>
                <w:rFonts w:hint="eastAsia" w:ascii="宋体" w:hAnsi="宋体" w:eastAsia="宋体" w:cs="宋体"/>
                <w:kern w:val="0"/>
                <w:sz w:val="18"/>
                <w:szCs w:val="18"/>
                <w:highlight w:val="none"/>
              </w:rPr>
            </w:pPr>
          </w:p>
        </w:tc>
        <w:tc>
          <w:tcPr>
            <w:tcW w:w="479" w:type="dxa"/>
            <w:vMerge w:val="continue"/>
            <w:tcBorders>
              <w:top w:val="single" w:color="auto" w:sz="8" w:space="0"/>
              <w:bottom w:val="single" w:color="auto" w:sz="8" w:space="0"/>
            </w:tcBorders>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vMerge w:val="continue"/>
            <w:tcBorders>
              <w:top w:val="single" w:color="auto" w:sz="8" w:space="0"/>
              <w:bottom w:val="single" w:color="auto" w:sz="8" w:space="0"/>
            </w:tcBorders>
            <w:vAlign w:val="center"/>
          </w:tcPr>
          <w:p>
            <w:pPr>
              <w:widowControl/>
              <w:spacing w:line="240" w:lineRule="exact"/>
              <w:jc w:val="center"/>
              <w:rPr>
                <w:rFonts w:hint="eastAsia" w:ascii="宋体" w:hAnsi="宋体" w:eastAsia="宋体" w:cs="宋体"/>
                <w:kern w:val="0"/>
                <w:sz w:val="18"/>
                <w:szCs w:val="18"/>
                <w:highlight w:val="none"/>
              </w:rPr>
            </w:pPr>
          </w:p>
        </w:tc>
        <w:tc>
          <w:tcPr>
            <w:tcW w:w="1288" w:type="dxa"/>
            <w:vMerge w:val="continue"/>
            <w:tcBorders>
              <w:top w:val="single" w:color="auto" w:sz="8" w:space="0"/>
              <w:bottom w:val="single" w:color="auto" w:sz="8" w:space="0"/>
              <w:right w:val="single" w:color="auto" w:sz="4" w:space="0"/>
            </w:tcBorders>
            <w:vAlign w:val="center"/>
          </w:tcPr>
          <w:p>
            <w:pPr>
              <w:widowControl/>
              <w:spacing w:line="240" w:lineRule="exact"/>
              <w:jc w:val="center"/>
              <w:rPr>
                <w:rFonts w:hint="eastAsia" w:ascii="宋体" w:hAnsi="宋体" w:eastAsia="宋体" w:cs="宋体"/>
                <w:kern w:val="0"/>
                <w:sz w:val="18"/>
                <w:szCs w:val="18"/>
                <w:highlight w:val="none"/>
              </w:rPr>
            </w:pPr>
          </w:p>
        </w:tc>
        <w:tc>
          <w:tcPr>
            <w:tcW w:w="993" w:type="dxa"/>
            <w:tcBorders>
              <w:top w:val="single" w:color="auto" w:sz="4" w:space="0"/>
              <w:left w:val="single" w:color="auto" w:sz="4" w:space="0"/>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先进水平</w:t>
            </w:r>
            <w:r>
              <w:rPr>
                <w:rFonts w:hint="eastAsia" w:ascii="宋体" w:hAnsi="宋体" w:eastAsia="宋体" w:cs="宋体"/>
                <w:kern w:val="0"/>
                <w:sz w:val="18"/>
                <w:szCs w:val="18"/>
                <w:highlight w:val="none"/>
              </w:rPr>
              <w:t>（5星级）</w:t>
            </w:r>
          </w:p>
        </w:tc>
        <w:tc>
          <w:tcPr>
            <w:tcW w:w="962" w:type="dxa"/>
            <w:gridSpan w:val="3"/>
            <w:tcBorders>
              <w:top w:val="single" w:color="auto" w:sz="4" w:space="0"/>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平均</w:t>
            </w:r>
            <w:r>
              <w:rPr>
                <w:rFonts w:hint="eastAsia" w:ascii="宋体" w:hAnsi="宋体" w:eastAsia="宋体" w:cs="宋体"/>
                <w:kern w:val="0"/>
                <w:sz w:val="18"/>
                <w:szCs w:val="18"/>
                <w:highlight w:val="none"/>
                <w:lang w:eastAsia="zh-CN"/>
              </w:rPr>
              <w:t>水平</w:t>
            </w:r>
          </w:p>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（4星级）</w:t>
            </w:r>
          </w:p>
        </w:tc>
        <w:tc>
          <w:tcPr>
            <w:tcW w:w="993" w:type="dxa"/>
            <w:tcBorders>
              <w:top w:val="single" w:color="auto" w:sz="4" w:space="0"/>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基准</w:t>
            </w:r>
            <w:r>
              <w:rPr>
                <w:rFonts w:hint="eastAsia" w:ascii="宋体" w:hAnsi="宋体" w:eastAsia="宋体" w:cs="宋体"/>
                <w:kern w:val="0"/>
                <w:sz w:val="18"/>
                <w:szCs w:val="18"/>
                <w:highlight w:val="none"/>
                <w:lang w:eastAsia="zh-CN"/>
              </w:rPr>
              <w:t>水平</w:t>
            </w:r>
          </w:p>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（3星级）</w:t>
            </w:r>
          </w:p>
        </w:tc>
        <w:tc>
          <w:tcPr>
            <w:tcW w:w="1678" w:type="dxa"/>
            <w:vMerge w:val="continue"/>
            <w:tcBorders>
              <w:top w:val="single" w:color="auto" w:sz="8" w:space="0"/>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60" w:type="dxa"/>
            <w:tcBorders>
              <w:top w:val="single" w:color="auto" w:sz="8"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w:t>
            </w:r>
          </w:p>
        </w:tc>
        <w:tc>
          <w:tcPr>
            <w:tcW w:w="479" w:type="dxa"/>
            <w:vMerge w:val="restart"/>
            <w:tcBorders>
              <w:top w:val="single" w:color="auto" w:sz="8"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基础指标</w:t>
            </w:r>
          </w:p>
        </w:tc>
        <w:tc>
          <w:tcPr>
            <w:tcW w:w="2399" w:type="dxa"/>
            <w:gridSpan w:val="2"/>
            <w:tcBorders>
              <w:top w:val="single" w:color="auto" w:sz="8" w:space="0"/>
              <w:bottom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原料要求</w:t>
            </w:r>
          </w:p>
        </w:tc>
        <w:tc>
          <w:tcPr>
            <w:tcW w:w="1288" w:type="dxa"/>
            <w:tcBorders>
              <w:top w:val="single" w:color="auto" w:sz="8"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2287—2011中5.1</w:t>
            </w:r>
          </w:p>
        </w:tc>
        <w:tc>
          <w:tcPr>
            <w:tcW w:w="2948" w:type="dxa"/>
            <w:gridSpan w:val="5"/>
            <w:tcBorders>
              <w:top w:val="single" w:color="auto" w:sz="4" w:space="0"/>
            </w:tcBorders>
            <w:shd w:val="clear" w:color="auto" w:fill="auto"/>
            <w:vAlign w:val="center"/>
          </w:tcPr>
          <w:p>
            <w:pPr>
              <w:widowControl/>
              <w:spacing w:line="24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应符合《化妆品安全技术规范》的规定。</w:t>
            </w:r>
            <w:r>
              <w:rPr>
                <w:rFonts w:hint="eastAsia" w:ascii="宋体" w:hAnsi="宋体" w:eastAsia="宋体" w:cs="宋体"/>
                <w:color w:val="auto"/>
                <w:sz w:val="18"/>
                <w:szCs w:val="18"/>
                <w:highlight w:val="none"/>
                <w:lang w:val="en-US" w:eastAsia="zh-CN"/>
              </w:rPr>
              <w:t>甲苯不得用于儿童指甲油，在其他产品中用量不应大于25%。</w:t>
            </w:r>
            <w:r>
              <w:rPr>
                <w:rFonts w:hint="eastAsia" w:ascii="宋体" w:hAnsi="宋体" w:eastAsia="宋体" w:cs="宋体"/>
                <w:color w:val="auto"/>
                <w:sz w:val="18"/>
                <w:szCs w:val="18"/>
                <w:lang w:val="en-US" w:eastAsia="zh-CN"/>
              </w:rPr>
              <w:t>使用的香精应符合GB/T 22731的规定</w:t>
            </w:r>
          </w:p>
        </w:tc>
        <w:tc>
          <w:tcPr>
            <w:tcW w:w="1678" w:type="dxa"/>
            <w:tcBorders>
              <w:top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2</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包装材料的要求</w:t>
            </w:r>
          </w:p>
        </w:tc>
        <w:tc>
          <w:tcPr>
            <w:tcW w:w="1288" w:type="dxa"/>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2287—2011中5.2</w:t>
            </w:r>
          </w:p>
        </w:tc>
        <w:tc>
          <w:tcPr>
            <w:tcW w:w="2948" w:type="dxa"/>
            <w:gridSpan w:val="5"/>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指甲油直接接触的容器应无毒，不得含有或释放可能对使用者造成伤害的有毒物质</w:t>
            </w:r>
          </w:p>
        </w:tc>
        <w:tc>
          <w:tcPr>
            <w:tcW w:w="1678" w:type="dxa"/>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3</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外观</w:t>
            </w:r>
          </w:p>
        </w:tc>
        <w:tc>
          <w:tcPr>
            <w:tcW w:w="1288" w:type="dxa"/>
            <w:vMerge w:val="restart"/>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2287—2011中5.3</w:t>
            </w:r>
          </w:p>
        </w:tc>
        <w:tc>
          <w:tcPr>
            <w:tcW w:w="2948" w:type="dxa"/>
            <w:gridSpan w:val="5"/>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透明指甲油：清晰透明。有色指甲油：符合企业规定</w:t>
            </w:r>
          </w:p>
        </w:tc>
        <w:tc>
          <w:tcPr>
            <w:tcW w:w="1678" w:type="dxa"/>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4</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色泽</w:t>
            </w:r>
          </w:p>
        </w:tc>
        <w:tc>
          <w:tcPr>
            <w:tcW w:w="128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948" w:type="dxa"/>
            <w:gridSpan w:val="5"/>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符合企业规定</w:t>
            </w:r>
          </w:p>
        </w:tc>
        <w:tc>
          <w:tcPr>
            <w:tcW w:w="1678" w:type="dxa"/>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060" w:type="dxa"/>
            <w:vMerge w:val="restart"/>
            <w:tcBorders>
              <w:top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5</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974" w:type="dxa"/>
            <w:vMerge w:val="restart"/>
            <w:tcBorders>
              <w:top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牢固度</w:t>
            </w:r>
          </w:p>
        </w:tc>
        <w:tc>
          <w:tcPr>
            <w:tcW w:w="1425"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有机溶剂型指甲油</w:t>
            </w:r>
          </w:p>
        </w:tc>
        <w:tc>
          <w:tcPr>
            <w:tcW w:w="128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948" w:type="dxa"/>
            <w:gridSpan w:val="5"/>
            <w:tcBorders>
              <w:top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无脱落</w:t>
            </w:r>
          </w:p>
        </w:tc>
        <w:tc>
          <w:tcPr>
            <w:tcW w:w="1678" w:type="dxa"/>
            <w:vMerge w:val="restart"/>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060" w:type="dxa"/>
            <w:vMerge w:val="continue"/>
            <w:tcBorders>
              <w:bottom w:val="single" w:color="auto" w:sz="4" w:space="0"/>
            </w:tcBorders>
            <w:vAlign w:val="center"/>
          </w:tcPr>
          <w:p>
            <w:pPr>
              <w:widowControl/>
              <w:spacing w:line="240" w:lineRule="exact"/>
              <w:jc w:val="center"/>
            </w:pPr>
          </w:p>
        </w:tc>
        <w:tc>
          <w:tcPr>
            <w:tcW w:w="479" w:type="dxa"/>
            <w:vMerge w:val="continue"/>
            <w:shd w:val="clear" w:color="auto" w:fill="auto"/>
            <w:vAlign w:val="center"/>
          </w:tcPr>
          <w:p>
            <w:pPr>
              <w:widowControl/>
              <w:spacing w:line="240" w:lineRule="exact"/>
              <w:jc w:val="center"/>
            </w:pPr>
          </w:p>
        </w:tc>
        <w:tc>
          <w:tcPr>
            <w:tcW w:w="974" w:type="dxa"/>
            <w:vMerge w:val="continue"/>
            <w:tcBorders>
              <w:bottom w:val="single" w:color="auto" w:sz="4" w:space="0"/>
            </w:tcBorders>
            <w:shd w:val="clear" w:color="auto" w:fill="auto"/>
            <w:vAlign w:val="center"/>
          </w:tcPr>
          <w:p>
            <w:pPr>
              <w:widowControl/>
              <w:spacing w:line="240" w:lineRule="exact"/>
              <w:jc w:val="center"/>
            </w:pPr>
          </w:p>
        </w:tc>
        <w:tc>
          <w:tcPr>
            <w:tcW w:w="1425"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水性型指甲油</w:t>
            </w:r>
          </w:p>
        </w:tc>
        <w:tc>
          <w:tcPr>
            <w:tcW w:w="1288"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2948" w:type="dxa"/>
            <w:gridSpan w:val="5"/>
            <w:tcBorders>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w:t>
            </w:r>
          </w:p>
        </w:tc>
        <w:tc>
          <w:tcPr>
            <w:tcW w:w="1678" w:type="dxa"/>
            <w:vMerge w:val="continue"/>
            <w:tcBorders>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6</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干燥时</w:t>
            </w:r>
            <w:r>
              <w:rPr>
                <w:rFonts w:hint="eastAsia" w:ascii="宋体" w:hAnsi="宋体" w:eastAsia="宋体" w:cs="宋体"/>
                <w:sz w:val="18"/>
                <w:szCs w:val="18"/>
                <w:highlight w:val="none"/>
                <w:shd w:val="clear"/>
                <w:lang w:val="en-US" w:eastAsia="zh-CN"/>
              </w:rPr>
              <w:t>间</w:t>
            </w:r>
            <w:r>
              <w:rPr>
                <w:rFonts w:hint="eastAsia" w:ascii="宋体" w:hAnsi="宋体" w:eastAsia="宋体" w:cs="宋体"/>
                <w:color w:val="auto"/>
                <w:sz w:val="18"/>
                <w:szCs w:val="18"/>
                <w:vertAlign w:val="superscript"/>
              </w:rPr>
              <w:t>a</w:t>
            </w:r>
            <w:r>
              <w:rPr>
                <w:rFonts w:hint="eastAsia" w:ascii="宋体" w:hAnsi="宋体" w:eastAsia="宋体" w:cs="宋体"/>
                <w:sz w:val="18"/>
                <w:szCs w:val="18"/>
                <w:highlight w:val="none"/>
                <w:shd w:val="clear"/>
                <w:lang w:val="en-US" w:eastAsia="zh-CN"/>
              </w:rPr>
              <w:t>/min</w:t>
            </w:r>
          </w:p>
        </w:tc>
        <w:tc>
          <w:tcPr>
            <w:tcW w:w="128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948" w:type="dxa"/>
            <w:gridSpan w:val="5"/>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678"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QB/T 2287—2011中6.4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7</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耐热大肠菌群/g</w:t>
            </w:r>
          </w:p>
        </w:tc>
        <w:tc>
          <w:tcPr>
            <w:tcW w:w="1288" w:type="dxa"/>
            <w:vMerge w:val="restart"/>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p>
        </w:tc>
        <w:tc>
          <w:tcPr>
            <w:tcW w:w="2948" w:type="dxa"/>
            <w:gridSpan w:val="5"/>
            <w:tcBorders>
              <w:top w:val="single" w:color="auto" w:sz="4" w:space="0"/>
            </w:tcBorders>
            <w:shd w:val="clear" w:color="auto" w:fill="auto"/>
            <w:vAlign w:val="center"/>
          </w:tcPr>
          <w:p>
            <w:pPr>
              <w:widowControl/>
              <w:spacing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不得检出</w:t>
            </w:r>
          </w:p>
        </w:tc>
        <w:tc>
          <w:tcPr>
            <w:tcW w:w="1678" w:type="dxa"/>
            <w:vMerge w:val="restart"/>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kern w:val="0"/>
                <w:sz w:val="18"/>
                <w:szCs w:val="18"/>
                <w:highlight w:val="none"/>
              </w:rPr>
              <w:t>中第</w:t>
            </w:r>
            <w:r>
              <w:rPr>
                <w:rFonts w:hint="eastAsia" w:ascii="宋体" w:hAnsi="宋体" w:eastAsia="宋体" w:cs="宋体"/>
                <w:kern w:val="0"/>
                <w:sz w:val="18"/>
                <w:szCs w:val="18"/>
                <w:highlight w:val="none"/>
                <w:lang w:val="en-US" w:eastAsia="zh-CN"/>
              </w:rPr>
              <w:t>五</w:t>
            </w:r>
            <w:r>
              <w:rPr>
                <w:rFonts w:hint="eastAsia" w:ascii="宋体" w:hAnsi="宋体" w:eastAsia="宋体" w:cs="宋体"/>
                <w:kern w:val="0"/>
                <w:sz w:val="18"/>
                <w:szCs w:val="18"/>
                <w:highlight w:val="none"/>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8</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金黄色葡萄球菌/g</w:t>
            </w:r>
          </w:p>
        </w:tc>
        <w:tc>
          <w:tcPr>
            <w:tcW w:w="128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948" w:type="dxa"/>
            <w:gridSpan w:val="5"/>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不得检出</w:t>
            </w:r>
          </w:p>
        </w:tc>
        <w:tc>
          <w:tcPr>
            <w:tcW w:w="167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9</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铜绿假单胞菌/g</w:t>
            </w:r>
          </w:p>
        </w:tc>
        <w:tc>
          <w:tcPr>
            <w:tcW w:w="128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948" w:type="dxa"/>
            <w:gridSpan w:val="5"/>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不得检出</w:t>
            </w:r>
          </w:p>
        </w:tc>
        <w:tc>
          <w:tcPr>
            <w:tcW w:w="1678" w:type="dxa"/>
            <w:vMerge w:val="continue"/>
            <w:tcBorders>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60" w:type="dxa"/>
            <w:vMerge w:val="restart"/>
            <w:tcBorders>
              <w:top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974" w:type="dxa"/>
            <w:vMerge w:val="restart"/>
            <w:tcBorders>
              <w:top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邻苯二甲酸酯限量</w:t>
            </w:r>
          </w:p>
        </w:tc>
        <w:tc>
          <w:tcPr>
            <w:tcW w:w="1425"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邻苯二甲酸二正戊酯（DAP）</w:t>
            </w:r>
          </w:p>
        </w:tc>
        <w:tc>
          <w:tcPr>
            <w:tcW w:w="1288" w:type="dxa"/>
            <w:vMerge w:val="restart"/>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p>
        </w:tc>
        <w:tc>
          <w:tcPr>
            <w:tcW w:w="2948" w:type="dxa"/>
            <w:gridSpan w:val="5"/>
            <w:tcBorders>
              <w:top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不得检出</w:t>
            </w:r>
          </w:p>
        </w:tc>
        <w:tc>
          <w:tcPr>
            <w:tcW w:w="1678" w:type="dxa"/>
            <w:vMerge w:val="restart"/>
            <w:tcBorders>
              <w:top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化妆品安全技术规范（2015年版）第四章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60" w:type="dxa"/>
            <w:vMerge w:val="continue"/>
            <w:vAlign w:val="center"/>
          </w:tcPr>
          <w:p>
            <w:pPr>
              <w:widowControl/>
              <w:spacing w:line="240" w:lineRule="exact"/>
              <w:jc w:val="center"/>
            </w:pPr>
          </w:p>
        </w:tc>
        <w:tc>
          <w:tcPr>
            <w:tcW w:w="479" w:type="dxa"/>
            <w:vMerge w:val="continue"/>
            <w:shd w:val="clear" w:color="auto" w:fill="auto"/>
            <w:vAlign w:val="center"/>
          </w:tcPr>
          <w:p>
            <w:pPr>
              <w:widowControl/>
              <w:spacing w:line="240" w:lineRule="exact"/>
              <w:jc w:val="center"/>
            </w:pPr>
          </w:p>
        </w:tc>
        <w:tc>
          <w:tcPr>
            <w:tcW w:w="974"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1425"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邻苯二甲酸丁苄酯(BBP)</w:t>
            </w:r>
          </w:p>
        </w:tc>
        <w:tc>
          <w:tcPr>
            <w:tcW w:w="1288"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2948" w:type="dxa"/>
            <w:gridSpan w:val="5"/>
            <w:shd w:val="clear" w:color="auto" w:fill="auto"/>
            <w:vAlign w:val="center"/>
          </w:tcPr>
          <w:p>
            <w:pPr>
              <w:widowControl/>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不得检出</w:t>
            </w:r>
          </w:p>
        </w:tc>
        <w:tc>
          <w:tcPr>
            <w:tcW w:w="1678"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60" w:type="dxa"/>
            <w:vMerge w:val="continue"/>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479"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974"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1425"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邻苯二甲酸二(2-乙基己基)酯(DEHP)</w:t>
            </w:r>
          </w:p>
        </w:tc>
        <w:tc>
          <w:tcPr>
            <w:tcW w:w="1288"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2948" w:type="dxa"/>
            <w:gridSpan w:val="5"/>
            <w:shd w:val="clear" w:color="auto" w:fill="auto"/>
            <w:vAlign w:val="center"/>
          </w:tcPr>
          <w:p>
            <w:pPr>
              <w:widowControl/>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不得检出</w:t>
            </w:r>
          </w:p>
        </w:tc>
        <w:tc>
          <w:tcPr>
            <w:tcW w:w="1678"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60" w:type="dxa"/>
            <w:vMerge w:val="continue"/>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479"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974"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1425"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邻苯二甲酸二（2-甲氧乙基）酯(DMEP)</w:t>
            </w:r>
          </w:p>
        </w:tc>
        <w:tc>
          <w:tcPr>
            <w:tcW w:w="1288"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2948" w:type="dxa"/>
            <w:gridSpan w:val="5"/>
            <w:shd w:val="clear" w:color="auto" w:fill="auto"/>
            <w:vAlign w:val="center"/>
          </w:tcPr>
          <w:p>
            <w:pPr>
              <w:widowControl/>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不得检出</w:t>
            </w:r>
          </w:p>
        </w:tc>
        <w:tc>
          <w:tcPr>
            <w:tcW w:w="1678"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60" w:type="dxa"/>
            <w:vMerge w:val="continue"/>
            <w:tcBorders>
              <w:bottom w:val="single" w:color="auto" w:sz="4" w:space="0"/>
            </w:tcBorders>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479"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974" w:type="dxa"/>
            <w:vMerge w:val="continue"/>
            <w:tcBorders>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1425"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邻苯二甲酸二丁酯(DBP）</w:t>
            </w:r>
          </w:p>
        </w:tc>
        <w:tc>
          <w:tcPr>
            <w:tcW w:w="1288" w:type="dxa"/>
            <w:vMerge w:val="continue"/>
            <w:tcBorders>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2948" w:type="dxa"/>
            <w:gridSpan w:val="5"/>
            <w:tcBorders>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不得检出</w:t>
            </w:r>
          </w:p>
        </w:tc>
        <w:tc>
          <w:tcPr>
            <w:tcW w:w="1678" w:type="dxa"/>
            <w:vMerge w:val="continue"/>
            <w:tcBorders>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11</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净含量偏差</w:t>
            </w:r>
          </w:p>
        </w:tc>
        <w:tc>
          <w:tcPr>
            <w:tcW w:w="1288" w:type="dxa"/>
            <w:tcBorders>
              <w:bottom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sz w:val="18"/>
                <w:szCs w:val="18"/>
                <w:highlight w:val="none"/>
                <w:lang w:val="en-US" w:eastAsia="zh-CN"/>
              </w:rPr>
              <w:t>JJF 1070—2023</w:t>
            </w:r>
          </w:p>
        </w:tc>
        <w:tc>
          <w:tcPr>
            <w:tcW w:w="2948" w:type="dxa"/>
            <w:gridSpan w:val="5"/>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highlight w:val="none"/>
                <w:lang w:val="en-US" w:eastAsia="zh-CN"/>
              </w:rPr>
              <w:t>符合《定量包装商品计量监督管理办法》</w:t>
            </w:r>
          </w:p>
        </w:tc>
        <w:tc>
          <w:tcPr>
            <w:tcW w:w="1678"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sz w:val="18"/>
                <w:szCs w:val="18"/>
                <w:highlight w:val="none"/>
                <w:lang w:val="en-US" w:eastAsia="zh-CN"/>
              </w:rPr>
              <w:t>JJF 1070—2023中6.1.1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12</w:t>
            </w:r>
          </w:p>
        </w:tc>
        <w:tc>
          <w:tcPr>
            <w:tcW w:w="479" w:type="dxa"/>
            <w:vMerge w:val="restart"/>
            <w:shd w:val="clear" w:color="auto" w:fill="auto"/>
            <w:vAlign w:val="center"/>
          </w:tcPr>
          <w:p>
            <w:pPr>
              <w:widowControl/>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核心指标</w:t>
            </w: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铅/(mg/kg)</w:t>
            </w:r>
          </w:p>
        </w:tc>
        <w:tc>
          <w:tcPr>
            <w:tcW w:w="1288" w:type="dxa"/>
            <w:vMerge w:val="restart"/>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sz w:val="18"/>
                <w:szCs w:val="18"/>
                <w:highlight w:val="none"/>
              </w:rPr>
              <w:t>德国BVL法规要求</w:t>
            </w:r>
          </w:p>
        </w:tc>
        <w:tc>
          <w:tcPr>
            <w:tcW w:w="1008"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≤2.0</w:t>
            </w:r>
          </w:p>
        </w:tc>
        <w:tc>
          <w:tcPr>
            <w:tcW w:w="919"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1021"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1678" w:type="dxa"/>
            <w:vMerge w:val="restart"/>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kern w:val="0"/>
                <w:sz w:val="18"/>
                <w:szCs w:val="18"/>
                <w:highlight w:val="none"/>
              </w:rPr>
              <w:t>中第</w:t>
            </w:r>
            <w:r>
              <w:rPr>
                <w:rFonts w:hint="eastAsia" w:ascii="宋体" w:hAnsi="宋体" w:eastAsia="宋体" w:cs="宋体"/>
                <w:kern w:val="0"/>
                <w:sz w:val="18"/>
                <w:szCs w:val="18"/>
                <w:highlight w:val="none"/>
                <w:lang w:val="en-US" w:eastAsia="zh-CN"/>
              </w:rPr>
              <w:t>四</w:t>
            </w:r>
            <w:r>
              <w:rPr>
                <w:rFonts w:hint="eastAsia" w:ascii="宋体" w:hAnsi="宋体" w:eastAsia="宋体" w:cs="宋体"/>
                <w:kern w:val="0"/>
                <w:sz w:val="18"/>
                <w:szCs w:val="18"/>
                <w:highlight w:val="none"/>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13</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汞/(mg/kg)</w:t>
            </w:r>
          </w:p>
        </w:tc>
        <w:tc>
          <w:tcPr>
            <w:tcW w:w="128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1008"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≤0.1</w:t>
            </w:r>
          </w:p>
        </w:tc>
        <w:tc>
          <w:tcPr>
            <w:tcW w:w="919" w:type="dxa"/>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≤0.5</w:t>
            </w:r>
          </w:p>
        </w:tc>
        <w:tc>
          <w:tcPr>
            <w:tcW w:w="1021"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≤1</w:t>
            </w:r>
          </w:p>
        </w:tc>
        <w:tc>
          <w:tcPr>
            <w:tcW w:w="167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14</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砷/(mg/kg)</w:t>
            </w:r>
          </w:p>
        </w:tc>
        <w:tc>
          <w:tcPr>
            <w:tcW w:w="128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1008"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≤0.5</w:t>
            </w:r>
          </w:p>
        </w:tc>
        <w:tc>
          <w:tcPr>
            <w:tcW w:w="919"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≤1</w:t>
            </w:r>
          </w:p>
        </w:tc>
        <w:tc>
          <w:tcPr>
            <w:tcW w:w="1021"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≤2</w:t>
            </w:r>
          </w:p>
        </w:tc>
        <w:tc>
          <w:tcPr>
            <w:tcW w:w="167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15</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镉/(mg/kg)</w:t>
            </w:r>
          </w:p>
        </w:tc>
        <w:tc>
          <w:tcPr>
            <w:tcW w:w="128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1008"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≤0.1</w:t>
            </w:r>
          </w:p>
        </w:tc>
        <w:tc>
          <w:tcPr>
            <w:tcW w:w="919"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≤2.5</w:t>
            </w:r>
          </w:p>
        </w:tc>
        <w:tc>
          <w:tcPr>
            <w:tcW w:w="1021"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167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16</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二噁烷</w:t>
            </w:r>
            <w:r>
              <w:rPr>
                <w:rFonts w:hint="eastAsia" w:ascii="宋体" w:hAnsi="宋体" w:eastAsia="宋体" w:cs="宋体"/>
                <w:sz w:val="18"/>
                <w:szCs w:val="18"/>
                <w:highlight w:val="none"/>
                <w:shd w:val="clear"/>
                <w:vertAlign w:val="superscript"/>
                <w:lang w:val="en-US" w:eastAsia="zh-CN"/>
              </w:rPr>
              <w:t>b</w:t>
            </w:r>
            <w:r>
              <w:rPr>
                <w:rFonts w:hint="eastAsia" w:ascii="宋体" w:hAnsi="宋体" w:eastAsia="宋体" w:cs="宋体"/>
                <w:sz w:val="18"/>
                <w:szCs w:val="18"/>
                <w:highlight w:val="none"/>
                <w:lang w:val="en-US" w:eastAsia="zh-CN"/>
              </w:rPr>
              <w:t>/(mg/kg)</w:t>
            </w:r>
          </w:p>
        </w:tc>
        <w:tc>
          <w:tcPr>
            <w:tcW w:w="1288" w:type="dxa"/>
            <w:vMerge w:val="restart"/>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p>
        </w:tc>
        <w:tc>
          <w:tcPr>
            <w:tcW w:w="1008"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＜2</w:t>
            </w:r>
          </w:p>
        </w:tc>
        <w:tc>
          <w:tcPr>
            <w:tcW w:w="919" w:type="dxa"/>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1021"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sz w:val="18"/>
                <w:szCs w:val="18"/>
                <w:highlight w:val="none"/>
                <w:lang w:val="en-US" w:eastAsia="zh-CN"/>
              </w:rPr>
              <w:t>≤30</w:t>
            </w:r>
          </w:p>
        </w:tc>
        <w:tc>
          <w:tcPr>
            <w:tcW w:w="167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17</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甲醇</w:t>
            </w:r>
            <w:r>
              <w:rPr>
                <w:rFonts w:hint="eastAsia" w:ascii="宋体" w:hAnsi="宋体" w:eastAsia="宋体" w:cs="宋体"/>
                <w:sz w:val="18"/>
                <w:szCs w:val="18"/>
                <w:highlight w:val="none"/>
                <w:lang w:val="en-US" w:eastAsia="zh-CN"/>
              </w:rPr>
              <w:t>/(mg/kg)</w:t>
            </w:r>
          </w:p>
        </w:tc>
        <w:tc>
          <w:tcPr>
            <w:tcW w:w="1288" w:type="dxa"/>
            <w:vMerge w:val="continue"/>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p>
        </w:tc>
        <w:tc>
          <w:tcPr>
            <w:tcW w:w="1008"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≤200</w:t>
            </w:r>
          </w:p>
        </w:tc>
        <w:tc>
          <w:tcPr>
            <w:tcW w:w="919"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≤1000</w:t>
            </w:r>
          </w:p>
        </w:tc>
        <w:tc>
          <w:tcPr>
            <w:tcW w:w="1021"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≤2000</w:t>
            </w:r>
          </w:p>
        </w:tc>
        <w:tc>
          <w:tcPr>
            <w:tcW w:w="1678" w:type="dxa"/>
            <w:vMerge w:val="continue"/>
            <w:tcBorders>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060" w:type="dxa"/>
            <w:vMerge w:val="restart"/>
            <w:tcBorders>
              <w:top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18</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974" w:type="dxa"/>
            <w:vMerge w:val="restart"/>
            <w:tcBorders>
              <w:top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菌落总数/(CFU/g)</w:t>
            </w:r>
          </w:p>
        </w:tc>
        <w:tc>
          <w:tcPr>
            <w:tcW w:w="1425" w:type="dxa"/>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儿童</w:t>
            </w:r>
          </w:p>
        </w:tc>
        <w:tc>
          <w:tcPr>
            <w:tcW w:w="1288" w:type="dxa"/>
            <w:vMerge w:val="continue"/>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p>
        </w:tc>
        <w:tc>
          <w:tcPr>
            <w:tcW w:w="1008" w:type="dxa"/>
            <w:gridSpan w:val="2"/>
            <w:tcBorders>
              <w:top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p>
        </w:tc>
        <w:tc>
          <w:tcPr>
            <w:tcW w:w="919" w:type="dxa"/>
            <w:tcBorders>
              <w:top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250</w:t>
            </w:r>
          </w:p>
        </w:tc>
        <w:tc>
          <w:tcPr>
            <w:tcW w:w="1021" w:type="dxa"/>
            <w:gridSpan w:val="2"/>
            <w:tcBorders>
              <w:top w:val="single" w:color="auto" w:sz="4" w:space="0"/>
            </w:tcBorders>
            <w:shd w:val="clear" w:color="auto" w:fill="auto"/>
            <w:vAlign w:val="center"/>
          </w:tcPr>
          <w:p>
            <w:pPr>
              <w:widowControl/>
              <w:spacing w:line="240" w:lineRule="exact"/>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500</w:t>
            </w:r>
          </w:p>
        </w:tc>
        <w:tc>
          <w:tcPr>
            <w:tcW w:w="1678" w:type="dxa"/>
            <w:vMerge w:val="restart"/>
            <w:tcBorders>
              <w:top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kern w:val="0"/>
                <w:sz w:val="18"/>
                <w:szCs w:val="18"/>
                <w:highlight w:val="none"/>
              </w:rPr>
              <w:t>中第</w:t>
            </w:r>
            <w:r>
              <w:rPr>
                <w:rFonts w:hint="eastAsia" w:ascii="宋体" w:hAnsi="宋体" w:eastAsia="宋体" w:cs="宋体"/>
                <w:kern w:val="0"/>
                <w:sz w:val="18"/>
                <w:szCs w:val="18"/>
                <w:highlight w:val="none"/>
                <w:lang w:val="en-US" w:eastAsia="zh-CN"/>
              </w:rPr>
              <w:t>五</w:t>
            </w:r>
            <w:r>
              <w:rPr>
                <w:rFonts w:hint="eastAsia" w:ascii="宋体" w:hAnsi="宋体" w:eastAsia="宋体" w:cs="宋体"/>
                <w:kern w:val="0"/>
                <w:sz w:val="18"/>
                <w:szCs w:val="18"/>
                <w:highlight w:val="none"/>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060" w:type="dxa"/>
            <w:vMerge w:val="continue"/>
            <w:tcBorders>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p>
        </w:tc>
        <w:tc>
          <w:tcPr>
            <w:tcW w:w="479" w:type="dxa"/>
            <w:vMerge w:val="continue"/>
            <w:shd w:val="clear" w:color="auto" w:fill="auto"/>
            <w:vAlign w:val="center"/>
          </w:tcPr>
          <w:p>
            <w:pPr>
              <w:widowControl/>
              <w:spacing w:line="240" w:lineRule="exact"/>
              <w:jc w:val="center"/>
            </w:pPr>
          </w:p>
        </w:tc>
        <w:tc>
          <w:tcPr>
            <w:tcW w:w="974" w:type="dxa"/>
            <w:vMerge w:val="continue"/>
            <w:tcBorders>
              <w:bottom w:val="single" w:color="auto" w:sz="4" w:space="0"/>
            </w:tcBorders>
            <w:shd w:val="clear" w:color="auto" w:fill="auto"/>
            <w:vAlign w:val="center"/>
          </w:tcPr>
          <w:p>
            <w:pPr>
              <w:widowControl/>
              <w:spacing w:line="240" w:lineRule="exact"/>
              <w:jc w:val="center"/>
            </w:pPr>
          </w:p>
        </w:tc>
        <w:tc>
          <w:tcPr>
            <w:tcW w:w="1425" w:type="dxa"/>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其他</w:t>
            </w:r>
          </w:p>
        </w:tc>
        <w:tc>
          <w:tcPr>
            <w:tcW w:w="1288"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c>
          <w:tcPr>
            <w:tcW w:w="1008" w:type="dxa"/>
            <w:gridSpan w:val="2"/>
            <w:tcBorders>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p>
        </w:tc>
        <w:tc>
          <w:tcPr>
            <w:tcW w:w="919" w:type="dxa"/>
            <w:tcBorders>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500</w:t>
            </w:r>
          </w:p>
        </w:tc>
        <w:tc>
          <w:tcPr>
            <w:tcW w:w="1021" w:type="dxa"/>
            <w:gridSpan w:val="2"/>
            <w:tcBorders>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≤100</w:t>
            </w:r>
            <w:r>
              <w:rPr>
                <w:rFonts w:hint="eastAsia" w:ascii="宋体" w:hAnsi="宋体" w:eastAsia="宋体" w:cs="宋体"/>
                <w:color w:val="auto"/>
                <w:sz w:val="18"/>
                <w:szCs w:val="18"/>
                <w:lang w:val="en-US" w:eastAsia="zh-CN"/>
              </w:rPr>
              <w:t>0</w:t>
            </w:r>
          </w:p>
        </w:tc>
        <w:tc>
          <w:tcPr>
            <w:tcW w:w="1678" w:type="dxa"/>
            <w:vMerge w:val="continue"/>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19</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霉菌和酵母菌总数/(CFU/g)</w:t>
            </w:r>
          </w:p>
        </w:tc>
        <w:tc>
          <w:tcPr>
            <w:tcW w:w="1288" w:type="dxa"/>
            <w:vMerge w:val="continue"/>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p>
        </w:tc>
        <w:tc>
          <w:tcPr>
            <w:tcW w:w="1008"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919" w:type="dxa"/>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50</w:t>
            </w:r>
          </w:p>
        </w:tc>
        <w:tc>
          <w:tcPr>
            <w:tcW w:w="1021"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0</w:t>
            </w:r>
          </w:p>
        </w:tc>
        <w:tc>
          <w:tcPr>
            <w:tcW w:w="1678" w:type="dxa"/>
            <w:vMerge w:val="continue"/>
            <w:tcBorders>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20</w:t>
            </w:r>
          </w:p>
        </w:tc>
        <w:tc>
          <w:tcPr>
            <w:tcW w:w="479" w:type="dxa"/>
            <w:vMerge w:val="restart"/>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创新指标</w:t>
            </w: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耐热</w:t>
            </w:r>
          </w:p>
        </w:tc>
        <w:tc>
          <w:tcPr>
            <w:tcW w:w="1288" w:type="dxa"/>
            <w:vMerge w:val="restart"/>
            <w:tcBorders>
              <w:top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客户需求</w:t>
            </w:r>
          </w:p>
        </w:tc>
        <w:tc>
          <w:tcPr>
            <w:tcW w:w="2948" w:type="dxa"/>
            <w:gridSpan w:val="5"/>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40±1</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℃保持24</w:t>
            </w:r>
            <w:r>
              <w:rPr>
                <w:rFonts w:hint="eastAsia" w:ascii="宋体" w:hAnsi="宋体" w:eastAsia="宋体" w:cs="宋体"/>
                <w:w w:val="50"/>
                <w:sz w:val="18"/>
                <w:szCs w:val="18"/>
                <w:highlight w:val="none"/>
                <w:lang w:val="en-US" w:eastAsia="zh-CN"/>
              </w:rPr>
              <w:t xml:space="preserve"> </w:t>
            </w:r>
            <w:r>
              <w:rPr>
                <w:rFonts w:hint="eastAsia" w:ascii="宋体" w:hAnsi="宋体" w:eastAsia="宋体" w:cs="宋体"/>
                <w:sz w:val="18"/>
                <w:szCs w:val="18"/>
                <w:highlight w:val="none"/>
                <w:lang w:val="en-US" w:eastAsia="zh-CN"/>
              </w:rPr>
              <w:t>h</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恢复室温后无分层，能正常使用</w:t>
            </w:r>
          </w:p>
        </w:tc>
        <w:tc>
          <w:tcPr>
            <w:tcW w:w="1678" w:type="dxa"/>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GB/T 35889—2018中5.2.2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21</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bidi="ar-SA"/>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耐寒</w:t>
            </w:r>
          </w:p>
        </w:tc>
        <w:tc>
          <w:tcPr>
            <w:tcW w:w="1288"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p>
        </w:tc>
        <w:tc>
          <w:tcPr>
            <w:tcW w:w="2948" w:type="dxa"/>
            <w:gridSpan w:val="5"/>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-8±2</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℃保持24</w:t>
            </w:r>
            <w:r>
              <w:rPr>
                <w:rFonts w:hint="eastAsia" w:ascii="宋体" w:hAnsi="宋体" w:eastAsia="宋体" w:cs="宋体"/>
                <w:w w:val="50"/>
                <w:sz w:val="18"/>
                <w:szCs w:val="18"/>
                <w:highlight w:val="none"/>
                <w:lang w:val="en-US" w:eastAsia="zh-CN"/>
              </w:rPr>
              <w:t xml:space="preserve"> </w:t>
            </w:r>
            <w:r>
              <w:rPr>
                <w:rFonts w:hint="eastAsia" w:ascii="宋体" w:hAnsi="宋体" w:eastAsia="宋体" w:cs="宋体"/>
                <w:sz w:val="18"/>
                <w:szCs w:val="18"/>
                <w:highlight w:val="none"/>
                <w:lang w:val="en-US" w:eastAsia="zh-CN"/>
              </w:rPr>
              <w:t>h</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恢复室温后无分层，能正常使用</w:t>
            </w:r>
          </w:p>
        </w:tc>
        <w:tc>
          <w:tcPr>
            <w:tcW w:w="1678" w:type="dxa"/>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GB/T 35889—2018中5.2.3.2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0" w:type="dxa"/>
            <w:tcBorders>
              <w:top w:val="single" w:color="auto" w:sz="4" w:space="0"/>
              <w:bottom w:val="single" w:color="auto" w:sz="4" w:space="0"/>
            </w:tcBorders>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22</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硬度</w:t>
            </w:r>
          </w:p>
        </w:tc>
        <w:tc>
          <w:tcPr>
            <w:tcW w:w="1288" w:type="dxa"/>
            <w:vMerge w:val="continue"/>
            <w:tcBorders>
              <w:bottom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p>
        </w:tc>
        <w:tc>
          <w:tcPr>
            <w:tcW w:w="2948" w:type="dxa"/>
            <w:gridSpan w:val="5"/>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HB～H</w:t>
            </w:r>
          </w:p>
        </w:tc>
        <w:tc>
          <w:tcPr>
            <w:tcW w:w="1678" w:type="dxa"/>
            <w:tcBorders>
              <w:top w:val="single" w:color="auto" w:sz="4" w:space="0"/>
              <w:bottom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按GB/T 6739执行，其中涂层厚度为20μm，底板为表面平整的塑料板。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0" w:type="dxa"/>
            <w:tcBorders>
              <w:top w:val="single" w:color="auto" w:sz="4" w:space="0"/>
              <w:bottom w:val="single" w:color="auto" w:sz="4" w:space="0"/>
            </w:tcBorders>
            <w:vAlign w:val="center"/>
          </w:tcPr>
          <w:p>
            <w:pPr>
              <w:widowControl/>
              <w:spacing w:line="240" w:lineRule="exact"/>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23</w:t>
            </w:r>
          </w:p>
        </w:tc>
        <w:tc>
          <w:tcPr>
            <w:tcW w:w="479" w:type="dxa"/>
            <w:vMerge w:val="continue"/>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锑/(mg/kg)</w:t>
            </w:r>
          </w:p>
        </w:tc>
        <w:tc>
          <w:tcPr>
            <w:tcW w:w="1288" w:type="dxa"/>
            <w:tcBorders>
              <w:bottom w:val="single" w:color="auto" w:sz="4" w:space="0"/>
            </w:tcBorders>
            <w:shd w:val="clear" w:color="auto" w:fill="auto"/>
            <w:vAlign w:val="center"/>
          </w:tcPr>
          <w:p>
            <w:pPr>
              <w:spacing w:line="24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德国BVL法规要求</w:t>
            </w:r>
          </w:p>
        </w:tc>
        <w:tc>
          <w:tcPr>
            <w:tcW w:w="2948" w:type="dxa"/>
            <w:gridSpan w:val="5"/>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val="en-US" w:eastAsia="zh-CN"/>
              </w:rPr>
              <w:t>≤0.5</w:t>
            </w:r>
          </w:p>
        </w:tc>
        <w:tc>
          <w:tcPr>
            <w:tcW w:w="1678" w:type="dxa"/>
            <w:tcBorders>
              <w:top w:val="single" w:color="auto" w:sz="4" w:space="0"/>
              <w:bottom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GB/T 35828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0" w:type="dxa"/>
            <w:tcBorders>
              <w:top w:val="single" w:color="auto" w:sz="4" w:space="0"/>
              <w:bottom w:val="single" w:color="auto" w:sz="8" w:space="0"/>
            </w:tcBorders>
            <w:vAlign w:val="center"/>
          </w:tcPr>
          <w:p>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24</w:t>
            </w:r>
          </w:p>
        </w:tc>
        <w:tc>
          <w:tcPr>
            <w:tcW w:w="479" w:type="dxa"/>
            <w:vMerge w:val="continue"/>
            <w:tcBorders>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rPr>
            </w:pPr>
          </w:p>
        </w:tc>
        <w:tc>
          <w:tcPr>
            <w:tcW w:w="2399" w:type="dxa"/>
            <w:gridSpan w:val="2"/>
            <w:tcBorders>
              <w:top w:val="single" w:color="auto" w:sz="4" w:space="0"/>
              <w:bottom w:val="single" w:color="auto" w:sz="8" w:space="0"/>
            </w:tcBorders>
            <w:shd w:val="clear" w:color="auto" w:fill="auto"/>
            <w:vAlign w:val="center"/>
          </w:tcPr>
          <w:p>
            <w:pPr>
              <w:widowControl/>
              <w:spacing w:line="24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急性皮肤刺激性试验</w:t>
            </w:r>
          </w:p>
        </w:tc>
        <w:tc>
          <w:tcPr>
            <w:tcW w:w="1288" w:type="dxa"/>
            <w:tcBorders>
              <w:top w:val="single" w:color="auto" w:sz="4" w:space="0"/>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sz w:val="18"/>
                <w:szCs w:val="18"/>
                <w:highlight w:val="none"/>
                <w:lang w:val="en-US" w:eastAsia="zh-CN"/>
              </w:rPr>
              <w:t>化妆品安全技术规范（2015年版）</w:t>
            </w:r>
          </w:p>
        </w:tc>
        <w:tc>
          <w:tcPr>
            <w:tcW w:w="2948" w:type="dxa"/>
            <w:gridSpan w:val="5"/>
            <w:tcBorders>
              <w:top w:val="single" w:color="auto" w:sz="4" w:space="0"/>
              <w:bottom w:val="single" w:color="auto" w:sz="8" w:space="0"/>
            </w:tcBorders>
            <w:shd w:val="clear" w:color="auto" w:fill="auto"/>
            <w:vAlign w:val="center"/>
          </w:tcPr>
          <w:p>
            <w:pPr>
              <w:widowControl/>
              <w:spacing w:line="24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无刺激</w:t>
            </w:r>
          </w:p>
        </w:tc>
        <w:tc>
          <w:tcPr>
            <w:tcW w:w="1678" w:type="dxa"/>
            <w:tcBorders>
              <w:top w:val="single" w:color="auto" w:sz="4" w:space="0"/>
              <w:bottom w:val="single" w:color="auto" w:sz="8"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化妆品安全技术规范（2015年版）</w:t>
            </w:r>
            <w:r>
              <w:rPr>
                <w:rFonts w:hint="eastAsia" w:ascii="宋体" w:hAnsi="宋体" w:eastAsia="宋体" w:cs="宋体"/>
                <w:kern w:val="0"/>
                <w:sz w:val="18"/>
                <w:szCs w:val="18"/>
                <w:highlight w:val="none"/>
              </w:rPr>
              <w:t>中第</w:t>
            </w:r>
            <w:r>
              <w:rPr>
                <w:rFonts w:hint="eastAsia" w:ascii="宋体" w:hAnsi="宋体" w:eastAsia="宋体" w:cs="宋体"/>
                <w:kern w:val="0"/>
                <w:sz w:val="18"/>
                <w:szCs w:val="18"/>
                <w:highlight w:val="none"/>
                <w:lang w:val="en-US" w:eastAsia="zh-CN"/>
              </w:rPr>
              <w:t>六</w:t>
            </w:r>
            <w:r>
              <w:rPr>
                <w:rFonts w:hint="eastAsia" w:ascii="宋体" w:hAnsi="宋体" w:eastAsia="宋体" w:cs="宋体"/>
                <w:kern w:val="0"/>
                <w:sz w:val="18"/>
                <w:szCs w:val="18"/>
                <w:highlight w:val="none"/>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2" w:type="dxa"/>
            <w:gridSpan w:val="11"/>
            <w:tcBorders>
              <w:top w:val="single" w:color="auto" w:sz="8" w:space="0"/>
              <w:bottom w:val="single" w:color="auto" w:sz="8" w:space="0"/>
            </w:tcBorders>
            <w:vAlign w:val="center"/>
          </w:tcPr>
          <w:p>
            <w:pPr>
              <w:ind w:firstLine="360" w:firstLineChars="200"/>
              <w:jc w:val="left"/>
              <w:rPr>
                <w:rFonts w:hint="default" w:ascii="宋体" w:hAnsi="宋体" w:eastAsia="宋体" w:cs="宋体"/>
                <w:color w:val="auto"/>
                <w:sz w:val="18"/>
                <w:szCs w:val="18"/>
                <w:lang w:val="en-US" w:eastAsia="zh-CN"/>
              </w:rPr>
            </w:pPr>
            <w:r>
              <w:rPr>
                <w:rFonts w:hint="eastAsia" w:ascii="黑体" w:hAnsi="黑体" w:eastAsia="黑体" w:cs="黑体"/>
                <w:color w:val="auto"/>
                <w:sz w:val="18"/>
                <w:szCs w:val="18"/>
                <w:highlight w:val="none"/>
                <w:vertAlign w:val="baseline"/>
                <w:lang w:val="en-US" w:eastAsia="zh-CN"/>
              </w:rPr>
              <w:t>注</w:t>
            </w:r>
            <w:r>
              <w:rPr>
                <w:rFonts w:hint="eastAsia" w:ascii="宋体" w:hAnsi="宋体" w:eastAsia="宋体" w:cs="宋体"/>
                <w:color w:val="auto"/>
                <w:sz w:val="18"/>
                <w:szCs w:val="18"/>
                <w:highlight w:val="none"/>
                <w:vertAlign w:val="baseline"/>
                <w:lang w:val="en-US" w:eastAsia="zh-CN"/>
              </w:rPr>
              <w:t>：有机溶剂型指甲油不测微生物指标。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2" w:type="dxa"/>
            <w:gridSpan w:val="11"/>
            <w:tcBorders>
              <w:top w:val="single" w:color="auto" w:sz="8" w:space="0"/>
              <w:bottom w:val="single" w:color="auto" w:sz="8" w:space="0"/>
            </w:tcBorders>
            <w:vAlign w:val="center"/>
          </w:tcPr>
          <w:p>
            <w:pPr>
              <w:ind w:firstLine="360" w:firstLineChars="200"/>
              <w:jc w:val="left"/>
              <w:rPr>
                <w:rFonts w:hint="eastAsia" w:ascii="宋体" w:hAnsi="宋体" w:eastAsia="宋体" w:cs="宋体"/>
                <w:color w:val="auto"/>
                <w:sz w:val="18"/>
                <w:szCs w:val="18"/>
              </w:rPr>
            </w:pPr>
            <w:r>
              <w:rPr>
                <w:rFonts w:hint="eastAsia" w:ascii="宋体" w:hAnsi="宋体" w:eastAsia="宋体" w:cs="宋体"/>
                <w:color w:val="auto"/>
                <w:sz w:val="18"/>
                <w:szCs w:val="18"/>
                <w:vertAlign w:val="superscript"/>
              </w:rPr>
              <w:t>a</w:t>
            </w:r>
            <w:r>
              <w:rPr>
                <w:rFonts w:hint="eastAsia" w:ascii="宋体" w:hAnsi="宋体" w:eastAsia="宋体" w:cs="宋体"/>
                <w:color w:val="auto"/>
                <w:sz w:val="18"/>
                <w:szCs w:val="18"/>
                <w:lang w:val="en-US" w:eastAsia="zh-CN"/>
              </w:rPr>
              <w:t xml:space="preserve">  仅考核有机溶剂型指甲油。</w:t>
            </w:r>
          </w:p>
          <w:p>
            <w:pPr>
              <w:ind w:firstLine="360" w:firstLineChars="200"/>
              <w:jc w:val="left"/>
              <w:rPr>
                <w:rFonts w:hint="default" w:ascii="宋体" w:hAnsi="宋体" w:eastAsia="宋体" w:cs="宋体"/>
                <w:color w:val="auto"/>
                <w:sz w:val="18"/>
                <w:szCs w:val="18"/>
                <w:lang w:val="en-US" w:eastAsia="zh-CN"/>
              </w:rPr>
            </w:pPr>
            <w:r>
              <w:rPr>
                <w:rFonts w:hint="eastAsia" w:ascii="宋体" w:hAnsi="宋体" w:eastAsia="宋体" w:cs="宋体"/>
                <w:sz w:val="18"/>
                <w:szCs w:val="18"/>
                <w:highlight w:val="none"/>
                <w:shd w:val="clear"/>
                <w:vertAlign w:val="superscript"/>
                <w:lang w:val="en-US" w:eastAsia="zh-CN"/>
              </w:rPr>
              <w:t>b</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仅</w:t>
            </w:r>
            <w:r>
              <w:rPr>
                <w:rFonts w:hint="eastAsia" w:ascii="宋体" w:hAnsi="宋体" w:eastAsia="宋体" w:cs="宋体"/>
                <w:color w:val="auto"/>
                <w:sz w:val="18"/>
                <w:szCs w:val="18"/>
                <w:lang w:val="en-US" w:eastAsia="zh-CN"/>
              </w:rPr>
              <w:t>考核配方中含有乙氧基结构原料成分</w:t>
            </w:r>
            <w:r>
              <w:rPr>
                <w:rFonts w:hint="eastAsia" w:ascii="宋体" w:hAnsi="宋体" w:eastAsia="宋体" w:cs="宋体"/>
                <w:color w:val="auto"/>
                <w:sz w:val="18"/>
                <w:szCs w:val="18"/>
              </w:rPr>
              <w:t>的产品。</w:t>
            </w:r>
          </w:p>
        </w:tc>
      </w:tr>
    </w:tbl>
    <w:p>
      <w:pPr>
        <w:pStyle w:val="84"/>
        <w:spacing w:before="312" w:after="312"/>
        <w:rPr>
          <w:rFonts w:hint="eastAsia" w:ascii="黑体" w:hAnsi="Times New Roman" w:eastAsia="黑体" w:cs="Times New Roman"/>
          <w:b w:val="0"/>
          <w:bCs w:val="0"/>
          <w:kern w:val="0"/>
          <w:sz w:val="21"/>
          <w:szCs w:val="21"/>
          <w:lang w:val="en-US" w:eastAsia="zh-CN" w:bidi="ar-SA"/>
        </w:rPr>
      </w:pPr>
      <w:r>
        <w:rPr>
          <w:rFonts w:hint="eastAsia" w:cs="Times New Roman"/>
          <w:b w:val="0"/>
          <w:bCs w:val="0"/>
          <w:kern w:val="0"/>
          <w:sz w:val="21"/>
          <w:szCs w:val="21"/>
          <w:lang w:val="en-US" w:eastAsia="zh-CN" w:bidi="ar-SA"/>
        </w:rPr>
        <w:t>评价方法及等级划分</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bookmarkStart w:id="80" w:name="_Toc324165027"/>
      <w:bookmarkStart w:id="81" w:name="_Toc323891329"/>
      <w:bookmarkStart w:id="82" w:name="_Toc353278168"/>
      <w:bookmarkStart w:id="83" w:name="_Toc324165077"/>
      <w:bookmarkStart w:id="84" w:name="_Toc323891250"/>
      <w:r>
        <w:rPr>
          <w:rFonts w:hint="eastAsia" w:ascii="宋体" w:hAnsi="宋体" w:eastAsia="宋体" w:cs="宋体"/>
        </w:rPr>
        <w:t>对具体产品企业标准的全部指标进行综合评价，评价结果划分为先进水平（5星级）、平均水平（4星级）和基准水平（3星级），划分依据见表</w:t>
      </w:r>
      <w:r>
        <w:rPr>
          <w:rFonts w:hint="eastAsia" w:ascii="宋体" w:hAnsi="宋体" w:eastAsia="宋体" w:cs="宋体"/>
          <w:lang w:val="en-US" w:eastAsia="zh-CN"/>
        </w:rPr>
        <w:t>2</w:t>
      </w:r>
      <w:r>
        <w:rPr>
          <w:rFonts w:hint="eastAsia" w:ascii="宋体" w:hAnsi="宋体" w:eastAsia="宋体" w:cs="宋体"/>
        </w:rPr>
        <w:t>。</w:t>
      </w:r>
    </w:p>
    <w:bookmarkEnd w:id="80"/>
    <w:bookmarkEnd w:id="81"/>
    <w:bookmarkEnd w:id="82"/>
    <w:bookmarkEnd w:id="83"/>
    <w:bookmarkEnd w:id="84"/>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rPr>
        <w:t>综合评价满足表</w:t>
      </w:r>
      <w:r>
        <w:rPr>
          <w:rFonts w:hint="eastAsia" w:ascii="宋体" w:hAnsi="宋体" w:eastAsia="宋体" w:cs="宋体"/>
          <w:lang w:val="en-US" w:eastAsia="zh-CN"/>
        </w:rPr>
        <w:t>2</w:t>
      </w:r>
      <w:r>
        <w:rPr>
          <w:rFonts w:hint="eastAsia" w:ascii="宋体" w:hAnsi="宋体" w:eastAsia="宋体" w:cs="宋体"/>
        </w:rPr>
        <w:t>中</w:t>
      </w:r>
      <w:r>
        <w:rPr>
          <w:rFonts w:hint="eastAsia" w:ascii="宋体" w:hAnsi="宋体" w:eastAsia="宋体" w:cs="宋体"/>
          <w:lang w:val="en-US" w:eastAsia="zh-CN"/>
        </w:rPr>
        <w:t>先进水平</w:t>
      </w:r>
      <w:r>
        <w:rPr>
          <w:rFonts w:hint="eastAsia" w:ascii="宋体" w:hAnsi="宋体" w:eastAsia="宋体" w:cs="宋体"/>
        </w:rPr>
        <w:t>的</w:t>
      </w:r>
      <w:r>
        <w:rPr>
          <w:rFonts w:hint="eastAsia" w:ascii="宋体" w:hAnsi="宋体" w:eastAsia="宋体" w:cs="宋体"/>
          <w:lang w:val="en-US" w:eastAsia="zh-CN"/>
        </w:rPr>
        <w:t>企业标准为先进水平（5星级），企业标准进入所对应具体产品的企业标准“领跑者”入围名单。符合表2中先进水平</w:t>
      </w:r>
      <w:r>
        <w:rPr>
          <w:rFonts w:hint="eastAsia" w:ascii="宋体" w:hAnsi="宋体" w:eastAsia="宋体"/>
          <w:sz w:val="21"/>
          <w:szCs w:val="24"/>
        </w:rPr>
        <w:t>标准等级要求的产品为5 星级产品，即“领跑者”产品</w:t>
      </w:r>
      <w:r>
        <w:rPr>
          <w:rFonts w:hint="eastAsia" w:ascii="宋体" w:hAnsi="宋体" w:eastAsia="宋体"/>
          <w:sz w:val="21"/>
          <w:szCs w:val="24"/>
          <w:lang w:eastAsia="zh-CN"/>
        </w:rPr>
        <w:t>。</w:t>
      </w:r>
      <w:r>
        <w:rPr>
          <w:rFonts w:hint="eastAsia" w:ascii="宋体" w:hAnsi="宋体" w:eastAsia="宋体" w:cs="宋体"/>
          <w:lang w:val="en-US" w:eastAsia="zh-CN"/>
        </w:rPr>
        <w:t>自我声明标识可使用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1中4.4图4-1自我声明“领跑者”标识，认证标识可使用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1中4.5图5-1“领跑者”认证标识</w:t>
      </w:r>
      <w:r>
        <w:rPr>
          <w:rFonts w:hint="eastAsia" w:ascii="宋体" w:hAnsi="宋体" w:eastAsia="宋体" w:cs="宋体"/>
        </w:rPr>
        <w:t>。</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rPr>
        <w:t>综合评价满足表</w:t>
      </w:r>
      <w:r>
        <w:rPr>
          <w:rFonts w:hint="eastAsia" w:ascii="宋体" w:hAnsi="宋体" w:eastAsia="宋体" w:cs="宋体"/>
          <w:lang w:val="en-US" w:eastAsia="zh-CN"/>
        </w:rPr>
        <w:t>2</w:t>
      </w:r>
      <w:r>
        <w:rPr>
          <w:rFonts w:hint="eastAsia" w:ascii="宋体" w:hAnsi="宋体" w:eastAsia="宋体" w:cs="宋体"/>
        </w:rPr>
        <w:t>中</w:t>
      </w:r>
      <w:r>
        <w:rPr>
          <w:rFonts w:hint="eastAsia" w:ascii="宋体" w:hAnsi="宋体" w:eastAsia="宋体" w:cs="宋体"/>
          <w:lang w:val="en-US" w:eastAsia="zh-CN"/>
        </w:rPr>
        <w:t>平均</w:t>
      </w:r>
      <w:r>
        <w:rPr>
          <w:rFonts w:hint="eastAsia" w:ascii="宋体" w:hAnsi="宋体" w:eastAsia="宋体" w:cs="宋体"/>
        </w:rPr>
        <w:t>水平</w:t>
      </w:r>
      <w:r>
        <w:rPr>
          <w:rFonts w:hint="eastAsia" w:ascii="宋体" w:hAnsi="宋体" w:eastAsia="宋体" w:cs="宋体"/>
          <w:lang w:val="en-US" w:eastAsia="zh-CN"/>
        </w:rPr>
        <w:t>要求的企业标准为平均水平（4星级），符合表2中平均水平</w:t>
      </w:r>
      <w:r>
        <w:rPr>
          <w:rFonts w:hint="eastAsia" w:ascii="宋体" w:hAnsi="宋体" w:eastAsia="宋体"/>
          <w:sz w:val="21"/>
          <w:szCs w:val="24"/>
        </w:rPr>
        <w:t>标准等级要求的产品为4 星级产品，即“优质”产品。</w:t>
      </w:r>
      <w:r>
        <w:rPr>
          <w:rFonts w:hint="eastAsia" w:ascii="宋体" w:hAnsi="宋体" w:eastAsia="宋体" w:cs="宋体"/>
          <w:lang w:val="en-US" w:eastAsia="zh-CN"/>
        </w:rPr>
        <w:t>自我声明标识可使用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1中4.4图4-2自我声明“优质”标识，认证标识可使用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1中4.5图5-2“优质”认证标识</w:t>
      </w:r>
      <w:r>
        <w:rPr>
          <w:rFonts w:hint="eastAsia" w:ascii="宋体" w:hAnsi="宋体" w:eastAsia="宋体" w:cs="宋体"/>
        </w:rPr>
        <w:t>。</w:t>
      </w:r>
    </w:p>
    <w:p>
      <w:pPr>
        <w:pStyle w:val="86"/>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rPr>
        <w:t>综合评价满足表2中</w:t>
      </w:r>
      <w:r>
        <w:rPr>
          <w:rFonts w:hint="eastAsia" w:ascii="宋体" w:hAnsi="宋体" w:eastAsia="宋体" w:cs="宋体"/>
          <w:lang w:val="en-US" w:eastAsia="zh-CN"/>
        </w:rPr>
        <w:t>基准</w:t>
      </w:r>
      <w:r>
        <w:rPr>
          <w:rFonts w:hint="eastAsia" w:ascii="宋体" w:hAnsi="宋体" w:eastAsia="宋体" w:cs="宋体"/>
        </w:rPr>
        <w:t>水平</w:t>
      </w:r>
      <w:r>
        <w:rPr>
          <w:rFonts w:hint="eastAsia" w:ascii="宋体" w:hAnsi="宋体" w:eastAsia="宋体" w:cs="宋体"/>
          <w:lang w:val="en-US" w:eastAsia="zh-CN"/>
        </w:rPr>
        <w:t>要求</w:t>
      </w:r>
      <w:r>
        <w:rPr>
          <w:rFonts w:hint="eastAsia" w:ascii="宋体" w:hAnsi="宋体" w:eastAsia="宋体" w:cs="宋体"/>
        </w:rPr>
        <w:t>的</w:t>
      </w:r>
      <w:r>
        <w:rPr>
          <w:rFonts w:hint="eastAsia" w:ascii="宋体" w:hAnsi="宋体" w:eastAsia="宋体" w:cs="宋体"/>
          <w:lang w:val="en-US" w:eastAsia="zh-CN"/>
        </w:rPr>
        <w:t>企业标准为基准水平（3星级），符合表2中基准水平</w:t>
      </w:r>
      <w:r>
        <w:rPr>
          <w:rFonts w:hint="eastAsia" w:ascii="宋体" w:hAnsi="宋体" w:eastAsia="宋体"/>
          <w:sz w:val="21"/>
          <w:szCs w:val="24"/>
        </w:rPr>
        <w:t>标准等级要求的产品为3 星级产品，即“达标”产品。</w:t>
      </w:r>
      <w:r>
        <w:rPr>
          <w:rFonts w:hint="eastAsia" w:ascii="宋体" w:hAnsi="宋体" w:eastAsia="宋体" w:cs="宋体"/>
          <w:lang w:val="en-US" w:eastAsia="zh-CN"/>
        </w:rPr>
        <w:t>自我声明标识可使用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1中4.4图4-3自我声明“达标”标识，认证标识可使用</w:t>
      </w:r>
      <w:r>
        <w:rPr>
          <w:rFonts w:hint="eastAsia" w:ascii="宋体" w:hAnsi="宋体" w:eastAsia="宋体" w:cs="宋体"/>
        </w:rPr>
        <w:t>T/CSTE 0</w:t>
      </w:r>
      <w:r>
        <w:rPr>
          <w:rFonts w:hint="eastAsia" w:ascii="宋体" w:hAnsi="宋体" w:eastAsia="宋体" w:cs="宋体"/>
          <w:lang w:val="en-US" w:eastAsia="zh-CN"/>
        </w:rPr>
        <w:t>4</w:t>
      </w:r>
      <w:r>
        <w:rPr>
          <w:rFonts w:hint="eastAsia" w:ascii="宋体" w:hAnsi="宋体" w:eastAsia="宋体" w:cs="宋体"/>
        </w:rPr>
        <w:t>2</w:t>
      </w:r>
      <w:r>
        <w:rPr>
          <w:rFonts w:hint="eastAsia" w:ascii="宋体" w:hAnsi="宋体" w:eastAsia="宋体" w:cs="宋体"/>
          <w:lang w:val="en-US" w:eastAsia="zh-CN"/>
        </w:rPr>
        <w:t>1中4.5图5-3“达标”认证标识</w:t>
      </w:r>
      <w:r>
        <w:rPr>
          <w:rFonts w:hint="eastAsia" w:ascii="宋体" w:hAnsi="宋体" w:eastAsia="宋体" w:cs="宋体"/>
        </w:rPr>
        <w:t>。</w:t>
      </w:r>
    </w:p>
    <w:p>
      <w:pPr>
        <w:pStyle w:val="85"/>
        <w:rPr>
          <w:rFonts w:hint="eastAsia" w:ascii="宋体" w:hAnsi="宋体" w:eastAsia="宋体" w:cs="宋体"/>
        </w:rPr>
      </w:pPr>
    </w:p>
    <w:p>
      <w:pPr>
        <w:pStyle w:val="85"/>
        <w:rPr>
          <w:rFonts w:hint="eastAsia" w:ascii="宋体" w:hAnsi="宋体" w:eastAsia="宋体" w:cs="宋体"/>
        </w:rPr>
      </w:pPr>
    </w:p>
    <w:p>
      <w:pPr>
        <w:pStyle w:val="85"/>
        <w:rPr>
          <w:rFonts w:hint="eastAsia" w:ascii="宋体" w:hAnsi="宋体" w:eastAsia="宋体" w:cs="宋体"/>
        </w:rPr>
      </w:pPr>
    </w:p>
    <w:p>
      <w:pPr>
        <w:pStyle w:val="85"/>
        <w:rPr>
          <w:rFonts w:hint="eastAsia" w:ascii="宋体" w:hAnsi="宋体" w:eastAsia="宋体" w:cs="宋体"/>
        </w:rPr>
      </w:pPr>
    </w:p>
    <w:p>
      <w:pPr>
        <w:pStyle w:val="85"/>
        <w:rPr>
          <w:rFonts w:hint="eastAsia" w:ascii="宋体" w:hAnsi="宋体" w:eastAsia="宋体" w:cs="宋体"/>
        </w:rPr>
      </w:pPr>
    </w:p>
    <w:p>
      <w:pPr>
        <w:pStyle w:val="85"/>
        <w:rPr>
          <w:rFonts w:hint="eastAsia" w:ascii="宋体" w:hAnsi="宋体" w:eastAsia="宋体" w:cs="宋体"/>
        </w:rPr>
      </w:pPr>
    </w:p>
    <w:p>
      <w:pPr>
        <w:pStyle w:val="85"/>
        <w:rPr>
          <w:rFonts w:hint="eastAsia" w:ascii="宋体" w:hAnsi="宋体" w:eastAsia="宋体" w:cs="宋体"/>
        </w:rPr>
      </w:pPr>
    </w:p>
    <w:p>
      <w:pPr>
        <w:pStyle w:val="85"/>
        <w:rPr>
          <w:rFonts w:hint="eastAsia" w:ascii="宋体" w:hAnsi="宋体" w:eastAsia="宋体" w:cs="宋体"/>
        </w:rPr>
      </w:pPr>
    </w:p>
    <w:p>
      <w:pPr>
        <w:pStyle w:val="4"/>
        <w:numPr>
          <w:ilvl w:val="0"/>
          <w:numId w:val="2"/>
        </w:numPr>
        <w:spacing w:before="156" w:beforeLines="50" w:line="240" w:lineRule="exact"/>
        <w:ind w:firstLineChars="0"/>
        <w:jc w:val="center"/>
        <w:rPr>
          <w:rFonts w:ascii="黑体" w:eastAsia="黑体"/>
          <w:highlight w:val="none"/>
        </w:rPr>
      </w:pPr>
      <w:r>
        <w:rPr>
          <w:rFonts w:hint="eastAsia" w:ascii="黑体" w:eastAsia="黑体"/>
          <w:highlight w:val="none"/>
        </w:rPr>
        <w:t>表2 指标评价要求及等级划分</w:t>
      </w:r>
    </w:p>
    <w:tbl>
      <w:tblPr>
        <w:tblStyle w:val="24"/>
        <w:tblpPr w:leftFromText="180" w:rightFromText="180" w:vertAnchor="text" w:horzAnchor="page" w:tblpX="1146" w:tblpY="295"/>
        <w:tblOverlap w:val="never"/>
        <w:tblW w:w="9834"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20"/>
        <w:gridCol w:w="1403"/>
        <w:gridCol w:w="3686"/>
        <w:gridCol w:w="234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76" w:type="dxa"/>
            <w:tcBorders>
              <w:bottom w:val="single" w:color="auto" w:sz="8" w:space="0"/>
            </w:tcBorders>
            <w:shd w:val="clear" w:color="auto" w:fill="auto"/>
            <w:vAlign w:val="center"/>
          </w:tcPr>
          <w:p>
            <w:pPr>
              <w:pStyle w:val="4"/>
              <w:ind w:firstLine="0" w:firstLineChars="0"/>
              <w:jc w:val="center"/>
              <w:rPr>
                <w:rFonts w:ascii="黑体" w:hAnsi="黑体" w:eastAsia="黑体" w:cs="黑体"/>
                <w:sz w:val="18"/>
                <w:szCs w:val="18"/>
                <w:highlight w:val="none"/>
              </w:rPr>
            </w:pPr>
            <w:bookmarkStart w:id="85" w:name="_Hlk35975549"/>
            <w:r>
              <w:rPr>
                <w:rFonts w:hint="eastAsia" w:ascii="黑体" w:hAnsi="黑体" w:eastAsia="黑体" w:cs="黑体"/>
                <w:sz w:val="18"/>
                <w:szCs w:val="18"/>
                <w:highlight w:val="none"/>
                <w:lang w:val="en-US" w:eastAsia="zh-CN"/>
              </w:rPr>
              <w:t>评价</w:t>
            </w:r>
            <w:r>
              <w:rPr>
                <w:rFonts w:hint="eastAsia" w:ascii="黑体" w:hAnsi="黑体" w:eastAsia="黑体" w:cs="黑体"/>
                <w:sz w:val="18"/>
                <w:szCs w:val="18"/>
                <w:highlight w:val="none"/>
              </w:rPr>
              <w:t>等级</w:t>
            </w:r>
          </w:p>
        </w:tc>
        <w:tc>
          <w:tcPr>
            <w:tcW w:w="8558" w:type="dxa"/>
            <w:gridSpan w:val="4"/>
            <w:tcBorders>
              <w:bottom w:val="single" w:color="auto" w:sz="8" w:space="0"/>
            </w:tcBorders>
            <w:shd w:val="clear" w:color="auto" w:fill="auto"/>
            <w:vAlign w:val="center"/>
          </w:tcPr>
          <w:p>
            <w:pPr>
              <w:spacing w:line="360" w:lineRule="auto"/>
              <w:jc w:val="center"/>
              <w:rPr>
                <w:rFonts w:ascii="黑体" w:hAnsi="黑体" w:eastAsia="黑体" w:cs="黑体"/>
                <w:sz w:val="18"/>
                <w:szCs w:val="18"/>
                <w:highlight w:val="none"/>
              </w:rPr>
            </w:pPr>
            <w:r>
              <w:rPr>
                <w:rFonts w:hint="eastAsia" w:ascii="黑体" w:hAnsi="黑体" w:eastAsia="黑体" w:cs="黑体"/>
                <w:sz w:val="18"/>
                <w:szCs w:val="18"/>
                <w:highlight w:val="none"/>
              </w:rPr>
              <w:t>满足条件</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76" w:type="dxa"/>
            <w:tcBorders>
              <w:top w:val="single" w:color="auto" w:sz="8" w:space="0"/>
            </w:tcBorders>
            <w:shd w:val="clear" w:color="auto" w:fill="auto"/>
            <w:vAlign w:val="center"/>
          </w:tcPr>
          <w:p>
            <w:pPr>
              <w:pStyle w:val="4"/>
              <w:ind w:firstLine="0" w:firstLineChars="0"/>
              <w:jc w:val="center"/>
              <w:rPr>
                <w:rFonts w:hAnsi="宋体" w:eastAsia="宋体" w:cs="宋体"/>
                <w:sz w:val="18"/>
                <w:szCs w:val="18"/>
                <w:highlight w:val="none"/>
              </w:rPr>
            </w:pPr>
            <w:r>
              <w:rPr>
                <w:rFonts w:hint="eastAsia" w:hAnsi="宋体" w:eastAsia="宋体" w:cs="宋体"/>
                <w:sz w:val="18"/>
                <w:szCs w:val="18"/>
                <w:highlight w:val="none"/>
                <w:lang w:val="en-US" w:eastAsia="zh-CN"/>
              </w:rPr>
              <w:t>先进</w:t>
            </w:r>
            <w:r>
              <w:rPr>
                <w:rFonts w:hint="eastAsia" w:hAnsi="宋体" w:eastAsia="宋体" w:cs="宋体"/>
                <w:sz w:val="18"/>
                <w:szCs w:val="18"/>
                <w:highlight w:val="none"/>
                <w:lang w:eastAsia="zh-CN"/>
              </w:rPr>
              <w:t>水平</w:t>
            </w:r>
          </w:p>
        </w:tc>
        <w:tc>
          <w:tcPr>
            <w:tcW w:w="1120" w:type="dxa"/>
            <w:vMerge w:val="restart"/>
            <w:tcBorders>
              <w:top w:val="single" w:color="auto" w:sz="8" w:space="0"/>
            </w:tcBorders>
            <w:shd w:val="clear" w:color="auto" w:fill="auto"/>
            <w:vAlign w:val="center"/>
          </w:tcPr>
          <w:p>
            <w:pPr>
              <w:adjustRightInd w:val="0"/>
              <w:snapToGrid w:val="0"/>
              <w:jc w:val="center"/>
              <w:rPr>
                <w:rFonts w:ascii="宋体" w:hAnsi="宋体" w:eastAsia="宋体" w:cs="宋体"/>
                <w:sz w:val="18"/>
                <w:szCs w:val="18"/>
                <w:highlight w:val="none"/>
              </w:rPr>
            </w:pPr>
            <w:r>
              <w:rPr>
                <w:rFonts w:hint="eastAsia" w:ascii="宋体" w:hAnsi="宋体" w:eastAsia="宋体" w:cs="宋体"/>
                <w:sz w:val="18"/>
                <w:szCs w:val="18"/>
                <w:highlight w:val="none"/>
              </w:rPr>
              <w:t>基本要求</w:t>
            </w:r>
          </w:p>
        </w:tc>
        <w:tc>
          <w:tcPr>
            <w:tcW w:w="1403" w:type="dxa"/>
            <w:vMerge w:val="restart"/>
            <w:tcBorders>
              <w:top w:val="single" w:color="auto" w:sz="8" w:space="0"/>
            </w:tcBorders>
            <w:shd w:val="clear" w:color="auto" w:fill="auto"/>
            <w:vAlign w:val="center"/>
          </w:tcPr>
          <w:p>
            <w:pPr>
              <w:adjustRightInd w:val="0"/>
              <w:snapToGrid w:val="0"/>
              <w:jc w:val="center"/>
              <w:rPr>
                <w:rFonts w:ascii="宋体" w:hAnsi="宋体" w:eastAsia="宋体" w:cs="宋体"/>
                <w:sz w:val="18"/>
                <w:szCs w:val="18"/>
                <w:highlight w:val="none"/>
              </w:rPr>
            </w:pPr>
            <w:r>
              <w:rPr>
                <w:rFonts w:hint="eastAsia" w:ascii="宋体" w:hAnsi="宋体" w:eastAsia="宋体" w:cs="宋体"/>
                <w:sz w:val="18"/>
                <w:szCs w:val="18"/>
                <w:highlight w:val="none"/>
              </w:rPr>
              <w:t>基础指标要求</w:t>
            </w:r>
          </w:p>
        </w:tc>
        <w:tc>
          <w:tcPr>
            <w:tcW w:w="3686" w:type="dxa"/>
            <w:tcBorders>
              <w:top w:val="single" w:color="auto" w:sz="8" w:space="0"/>
            </w:tcBorders>
            <w:shd w:val="clear" w:color="auto" w:fill="auto"/>
            <w:vAlign w:val="center"/>
          </w:tcPr>
          <w:p>
            <w:pPr>
              <w:adjustRightInd w:val="0"/>
              <w:snapToGrid w:val="0"/>
              <w:jc w:val="center"/>
              <w:rPr>
                <w:rFonts w:ascii="宋体" w:hAnsi="宋体" w:eastAsia="宋体" w:cs="宋体"/>
                <w:sz w:val="18"/>
                <w:szCs w:val="18"/>
                <w:highlight w:val="none"/>
              </w:rPr>
            </w:pPr>
            <w:r>
              <w:rPr>
                <w:rFonts w:hint="eastAsia" w:ascii="宋体" w:hAnsi="宋体" w:eastAsia="宋体" w:cs="宋体"/>
                <w:sz w:val="18"/>
                <w:szCs w:val="18"/>
                <w:highlight w:val="none"/>
              </w:rPr>
              <w:t>核心指标</w:t>
            </w:r>
            <w:r>
              <w:rPr>
                <w:rFonts w:hint="eastAsia" w:ascii="宋体" w:hAnsi="宋体" w:eastAsia="宋体" w:cs="宋体"/>
                <w:sz w:val="18"/>
                <w:szCs w:val="18"/>
                <w:highlight w:val="none"/>
                <w:lang w:val="en-US" w:eastAsia="zh-CN"/>
              </w:rPr>
              <w:t>先进</w:t>
            </w:r>
            <w:r>
              <w:rPr>
                <w:rFonts w:hint="eastAsia" w:ascii="宋体" w:hAnsi="宋体" w:eastAsia="宋体" w:cs="宋体"/>
                <w:sz w:val="18"/>
                <w:szCs w:val="18"/>
                <w:highlight w:val="none"/>
                <w:lang w:eastAsia="zh-CN"/>
              </w:rPr>
              <w:t>水平</w:t>
            </w:r>
            <w:r>
              <w:rPr>
                <w:rFonts w:hint="eastAsia" w:ascii="宋体" w:hAnsi="宋体" w:eastAsia="宋体" w:cs="宋体"/>
                <w:sz w:val="18"/>
                <w:szCs w:val="18"/>
                <w:highlight w:val="none"/>
              </w:rPr>
              <w:t>（5星级）要求</w:t>
            </w:r>
          </w:p>
        </w:tc>
        <w:tc>
          <w:tcPr>
            <w:tcW w:w="2349" w:type="dxa"/>
            <w:tcBorders>
              <w:top w:val="single" w:color="auto" w:sz="8" w:space="0"/>
            </w:tcBorders>
            <w:shd w:val="clear" w:color="auto" w:fill="auto"/>
            <w:vAlign w:val="center"/>
          </w:tcPr>
          <w:p>
            <w:pPr>
              <w:adjustRightInd w:val="0"/>
              <w:snapToGrid w:val="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rPr>
              <w:t>创新指标要求</w:t>
            </w:r>
            <w:r>
              <w:rPr>
                <w:rFonts w:hint="eastAsia" w:ascii="宋体" w:hAnsi="宋体" w:eastAsia="宋体" w:cs="宋体"/>
                <w:sz w:val="18"/>
                <w:szCs w:val="18"/>
                <w:highlight w:val="none"/>
                <w:lang w:val="en-US" w:eastAsia="zh-CN"/>
              </w:rPr>
              <w:t>至少达到2项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76" w:type="dxa"/>
            <w:tcBorders>
              <w:bottom w:val="single" w:color="000000" w:sz="4" w:space="0"/>
            </w:tcBorders>
            <w:shd w:val="clear" w:color="auto" w:fill="auto"/>
            <w:vAlign w:val="center"/>
          </w:tcPr>
          <w:p>
            <w:pPr>
              <w:pStyle w:val="4"/>
              <w:ind w:firstLine="0" w:firstLineChars="0"/>
              <w:jc w:val="center"/>
              <w:rPr>
                <w:rFonts w:hAnsi="宋体" w:eastAsia="宋体" w:cs="宋体"/>
                <w:sz w:val="18"/>
                <w:szCs w:val="18"/>
                <w:highlight w:val="none"/>
              </w:rPr>
            </w:pPr>
            <w:r>
              <w:rPr>
                <w:rFonts w:hint="eastAsia" w:hAnsi="宋体" w:eastAsia="宋体" w:cs="宋体"/>
                <w:sz w:val="18"/>
                <w:szCs w:val="18"/>
                <w:highlight w:val="none"/>
                <w:lang w:val="en-US" w:eastAsia="zh-CN"/>
              </w:rPr>
              <w:t>平均</w:t>
            </w:r>
            <w:r>
              <w:rPr>
                <w:rFonts w:hint="eastAsia" w:hAnsi="宋体" w:eastAsia="宋体" w:cs="宋体"/>
                <w:sz w:val="18"/>
                <w:szCs w:val="18"/>
                <w:highlight w:val="none"/>
                <w:lang w:eastAsia="zh-CN"/>
              </w:rPr>
              <w:t>水平</w:t>
            </w:r>
          </w:p>
        </w:tc>
        <w:tc>
          <w:tcPr>
            <w:tcW w:w="1120" w:type="dxa"/>
            <w:vMerge w:val="continue"/>
            <w:shd w:val="clear" w:color="auto" w:fill="auto"/>
            <w:vAlign w:val="center"/>
          </w:tcPr>
          <w:p>
            <w:pPr>
              <w:adjustRightInd w:val="0"/>
              <w:snapToGrid w:val="0"/>
              <w:jc w:val="center"/>
              <w:rPr>
                <w:rFonts w:ascii="宋体" w:hAnsi="宋体" w:eastAsia="宋体" w:cs="宋体"/>
                <w:sz w:val="18"/>
                <w:szCs w:val="18"/>
                <w:highlight w:val="none"/>
              </w:rPr>
            </w:pPr>
          </w:p>
        </w:tc>
        <w:tc>
          <w:tcPr>
            <w:tcW w:w="1403" w:type="dxa"/>
            <w:vMerge w:val="continue"/>
            <w:shd w:val="clear" w:color="auto" w:fill="auto"/>
            <w:vAlign w:val="center"/>
          </w:tcPr>
          <w:p>
            <w:pPr>
              <w:adjustRightInd w:val="0"/>
              <w:snapToGrid w:val="0"/>
              <w:jc w:val="center"/>
              <w:rPr>
                <w:rFonts w:ascii="宋体" w:hAnsi="宋体" w:eastAsia="宋体" w:cs="宋体"/>
                <w:sz w:val="18"/>
                <w:szCs w:val="18"/>
                <w:highlight w:val="none"/>
              </w:rPr>
            </w:pPr>
          </w:p>
        </w:tc>
        <w:tc>
          <w:tcPr>
            <w:tcW w:w="3686" w:type="dxa"/>
            <w:tcBorders>
              <w:bottom w:val="single" w:color="000000" w:sz="4" w:space="0"/>
            </w:tcBorders>
            <w:shd w:val="clear" w:color="auto" w:fill="auto"/>
            <w:vAlign w:val="center"/>
          </w:tcPr>
          <w:p>
            <w:pPr>
              <w:adjustRightInd w:val="0"/>
              <w:snapToGrid w:val="0"/>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rPr>
              <w:t>核心指标</w:t>
            </w:r>
            <w:r>
              <w:rPr>
                <w:rFonts w:hint="eastAsia" w:ascii="宋体" w:hAnsi="宋体" w:eastAsia="宋体" w:cs="宋体"/>
                <w:sz w:val="18"/>
                <w:szCs w:val="18"/>
                <w:highlight w:val="none"/>
                <w:lang w:val="en-US" w:eastAsia="zh-CN"/>
              </w:rPr>
              <w:t>平均</w:t>
            </w:r>
            <w:r>
              <w:rPr>
                <w:rFonts w:hint="eastAsia" w:ascii="宋体" w:hAnsi="宋体" w:eastAsia="宋体" w:cs="宋体"/>
                <w:sz w:val="18"/>
                <w:szCs w:val="18"/>
                <w:highlight w:val="none"/>
                <w:lang w:eastAsia="zh-CN"/>
              </w:rPr>
              <w:t>水平</w:t>
            </w:r>
            <w:r>
              <w:rPr>
                <w:rFonts w:hint="eastAsia" w:ascii="宋体" w:hAnsi="宋体" w:eastAsia="宋体" w:cs="宋体"/>
                <w:sz w:val="18"/>
                <w:szCs w:val="18"/>
                <w:highlight w:val="none"/>
              </w:rPr>
              <w:t>（4星级）要求</w:t>
            </w:r>
          </w:p>
        </w:tc>
        <w:tc>
          <w:tcPr>
            <w:tcW w:w="2349" w:type="dxa"/>
            <w:tcBorders>
              <w:bottom w:val="single" w:color="000000" w:sz="4" w:space="0"/>
            </w:tcBorders>
            <w:shd w:val="clear" w:color="auto" w:fill="auto"/>
            <w:vAlign w:val="center"/>
          </w:tcPr>
          <w:p>
            <w:pPr>
              <w:adjustRightInd w:val="0"/>
              <w:snapToGrid w:val="0"/>
              <w:jc w:val="center"/>
              <w:rPr>
                <w:rFonts w:ascii="宋体" w:hAnsi="宋体" w:eastAsia="宋体" w:cs="宋体"/>
                <w:sz w:val="18"/>
                <w:szCs w:val="18"/>
                <w:highlight w:val="none"/>
              </w:rPr>
            </w:pPr>
            <w:r>
              <w:rPr>
                <w:rFonts w:hint="eastAsia" w:ascii="宋体" w:hAnsi="宋体" w:eastAsia="宋体" w:cs="宋体"/>
                <w:sz w:val="18"/>
                <w:szCs w:val="18"/>
                <w:highlight w:val="none"/>
              </w:rPr>
              <w:t>创新指标要求</w:t>
            </w:r>
            <w:r>
              <w:rPr>
                <w:rFonts w:hint="eastAsia" w:ascii="宋体" w:hAnsi="宋体" w:eastAsia="宋体" w:cs="宋体"/>
                <w:sz w:val="18"/>
                <w:szCs w:val="18"/>
                <w:highlight w:val="none"/>
                <w:lang w:val="en-US" w:eastAsia="zh-CN"/>
              </w:rPr>
              <w:t>至少达到1项</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76" w:type="dxa"/>
            <w:tcBorders>
              <w:top w:val="single" w:color="000000" w:sz="4" w:space="0"/>
            </w:tcBorders>
            <w:shd w:val="clear" w:color="auto" w:fill="auto"/>
            <w:vAlign w:val="center"/>
          </w:tcPr>
          <w:p>
            <w:pPr>
              <w:pStyle w:val="4"/>
              <w:ind w:firstLine="0" w:firstLineChars="0"/>
              <w:jc w:val="center"/>
              <w:rPr>
                <w:rFonts w:hAnsi="宋体" w:eastAsia="宋体" w:cs="宋体"/>
                <w:sz w:val="18"/>
                <w:szCs w:val="18"/>
                <w:highlight w:val="none"/>
              </w:rPr>
            </w:pPr>
            <w:r>
              <w:rPr>
                <w:rFonts w:hint="eastAsia" w:hAnsi="宋体" w:eastAsia="宋体" w:cs="宋体"/>
                <w:sz w:val="18"/>
                <w:szCs w:val="18"/>
                <w:highlight w:val="none"/>
                <w:lang w:val="en-US" w:eastAsia="zh-CN"/>
              </w:rPr>
              <w:t>基准</w:t>
            </w:r>
            <w:r>
              <w:rPr>
                <w:rFonts w:hint="eastAsia" w:hAnsi="宋体" w:eastAsia="宋体" w:cs="宋体"/>
                <w:sz w:val="18"/>
                <w:szCs w:val="18"/>
                <w:highlight w:val="none"/>
                <w:lang w:eastAsia="zh-CN"/>
              </w:rPr>
              <w:t>水平</w:t>
            </w:r>
          </w:p>
        </w:tc>
        <w:tc>
          <w:tcPr>
            <w:tcW w:w="1120" w:type="dxa"/>
            <w:vMerge w:val="continue"/>
            <w:shd w:val="clear" w:color="auto" w:fill="auto"/>
            <w:vAlign w:val="center"/>
          </w:tcPr>
          <w:p>
            <w:pPr>
              <w:adjustRightInd w:val="0"/>
              <w:snapToGrid w:val="0"/>
              <w:jc w:val="center"/>
              <w:rPr>
                <w:rFonts w:ascii="宋体" w:hAnsi="宋体" w:eastAsia="宋体" w:cs="宋体"/>
                <w:sz w:val="18"/>
                <w:szCs w:val="18"/>
                <w:highlight w:val="none"/>
              </w:rPr>
            </w:pPr>
          </w:p>
        </w:tc>
        <w:tc>
          <w:tcPr>
            <w:tcW w:w="1403" w:type="dxa"/>
            <w:vMerge w:val="continue"/>
            <w:shd w:val="clear" w:color="auto" w:fill="auto"/>
            <w:vAlign w:val="center"/>
          </w:tcPr>
          <w:p>
            <w:pPr>
              <w:adjustRightInd w:val="0"/>
              <w:snapToGrid w:val="0"/>
              <w:jc w:val="center"/>
              <w:rPr>
                <w:rFonts w:ascii="宋体" w:hAnsi="宋体" w:eastAsia="宋体" w:cs="宋体"/>
                <w:sz w:val="18"/>
                <w:szCs w:val="18"/>
                <w:highlight w:val="none"/>
              </w:rPr>
            </w:pPr>
          </w:p>
        </w:tc>
        <w:tc>
          <w:tcPr>
            <w:tcW w:w="3686" w:type="dxa"/>
            <w:tcBorders>
              <w:top w:val="single" w:color="000000" w:sz="4" w:space="0"/>
            </w:tcBorders>
            <w:shd w:val="clear" w:color="auto" w:fill="auto"/>
            <w:vAlign w:val="center"/>
          </w:tcPr>
          <w:p>
            <w:pPr>
              <w:adjustRightInd w:val="0"/>
              <w:snapToGrid w:val="0"/>
              <w:jc w:val="center"/>
              <w:rPr>
                <w:rFonts w:ascii="宋体" w:hAnsi="宋体" w:eastAsia="宋体" w:cs="宋体"/>
                <w:sz w:val="18"/>
                <w:szCs w:val="18"/>
                <w:highlight w:val="none"/>
              </w:rPr>
            </w:pPr>
            <w:r>
              <w:rPr>
                <w:rFonts w:hint="eastAsia" w:ascii="宋体" w:hAnsi="宋体" w:eastAsia="宋体" w:cs="宋体"/>
                <w:sz w:val="18"/>
                <w:szCs w:val="18"/>
                <w:highlight w:val="none"/>
              </w:rPr>
              <w:t>核心指标</w:t>
            </w:r>
            <w:r>
              <w:rPr>
                <w:rFonts w:hint="eastAsia" w:ascii="宋体" w:hAnsi="宋体" w:eastAsia="宋体" w:cs="宋体"/>
                <w:sz w:val="18"/>
                <w:szCs w:val="18"/>
                <w:highlight w:val="none"/>
                <w:lang w:val="en-US" w:eastAsia="zh-CN"/>
              </w:rPr>
              <w:t>基准</w:t>
            </w:r>
            <w:r>
              <w:rPr>
                <w:rFonts w:hint="eastAsia" w:ascii="宋体" w:hAnsi="宋体" w:eastAsia="宋体" w:cs="宋体"/>
                <w:sz w:val="18"/>
                <w:szCs w:val="18"/>
                <w:highlight w:val="none"/>
                <w:lang w:eastAsia="zh-CN"/>
              </w:rPr>
              <w:t>水平</w:t>
            </w:r>
            <w:r>
              <w:rPr>
                <w:rFonts w:hint="eastAsia" w:ascii="宋体" w:hAnsi="宋体" w:eastAsia="宋体" w:cs="宋体"/>
                <w:sz w:val="18"/>
                <w:szCs w:val="18"/>
                <w:highlight w:val="none"/>
              </w:rPr>
              <w:t>（3星级）要求</w:t>
            </w:r>
          </w:p>
        </w:tc>
        <w:tc>
          <w:tcPr>
            <w:tcW w:w="2349" w:type="dxa"/>
            <w:tcBorders>
              <w:top w:val="single" w:color="000000" w:sz="4" w:space="0"/>
            </w:tcBorders>
            <w:shd w:val="clear" w:color="auto" w:fill="auto"/>
            <w:vAlign w:val="center"/>
          </w:tcPr>
          <w:p>
            <w:pPr>
              <w:pStyle w:val="4"/>
              <w:ind w:firstLine="0" w:firstLineChars="0"/>
              <w:jc w:val="center"/>
              <w:rPr>
                <w:rFonts w:hAnsi="宋体" w:eastAsia="宋体" w:cs="宋体"/>
                <w:sz w:val="18"/>
                <w:szCs w:val="18"/>
                <w:highlight w:val="none"/>
              </w:rPr>
            </w:pPr>
            <w:r>
              <w:rPr>
                <w:rFonts w:hint="eastAsia" w:hAnsi="宋体" w:eastAsia="宋体" w:cs="宋体"/>
                <w:sz w:val="18"/>
                <w:szCs w:val="18"/>
                <w:highlight w:val="none"/>
              </w:rPr>
              <w:t>—</w:t>
            </w:r>
          </w:p>
        </w:tc>
      </w:tr>
      <w:bookmarkEnd w:id="85"/>
    </w:tbl>
    <w:p>
      <w:pPr>
        <w:pStyle w:val="4"/>
        <w:numPr>
          <w:ilvl w:val="0"/>
          <w:numId w:val="0"/>
        </w:numPr>
        <w:spacing w:before="156" w:beforeLines="50" w:after="156" w:afterLines="50"/>
        <w:ind w:leftChars="0"/>
        <w:jc w:val="both"/>
        <w:rPr>
          <w:rFonts w:ascii="黑体" w:eastAsia="黑体"/>
          <w:highlight w:val="none"/>
        </w:rPr>
      </w:pPr>
      <w:r>
        <w:rPr>
          <w:rFonts w:ascii="Times New Roman" w:hAnsi="Times New Roman"/>
          <w:highlight w:val="none"/>
        </w:rPr>
        <mc:AlternateContent>
          <mc:Choice Requires="wps">
            <w:drawing>
              <wp:anchor distT="0" distB="0" distL="114300" distR="114300" simplePos="0" relativeHeight="251661312" behindDoc="0" locked="0" layoutInCell="1" allowOverlap="1">
                <wp:simplePos x="0" y="0"/>
                <wp:positionH relativeFrom="column">
                  <wp:posOffset>2063750</wp:posOffset>
                </wp:positionH>
                <wp:positionV relativeFrom="paragraph">
                  <wp:posOffset>1931670</wp:posOffset>
                </wp:positionV>
                <wp:extent cx="2272665" cy="0"/>
                <wp:effectExtent l="5080" t="5080" r="8255" b="13970"/>
                <wp:wrapNone/>
                <wp:docPr id="1" name="AutoShape 18"/>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straightConnector1">
                          <a:avLst/>
                        </a:prstGeom>
                        <a:noFill/>
                        <a:ln w="9525">
                          <a:solidFill>
                            <a:srgbClr val="000000"/>
                          </a:solidFill>
                          <a:round/>
                        </a:ln>
                      </wps:spPr>
                      <wps:bodyPr/>
                    </wps:wsp>
                  </a:graphicData>
                </a:graphic>
              </wp:anchor>
            </w:drawing>
          </mc:Choice>
          <mc:Fallback>
            <w:pict>
              <v:shape id="AutoShape 18" o:spid="_x0000_s1026" o:spt="32" type="#_x0000_t32" style="position:absolute;left:0pt;margin-left:162.5pt;margin-top:152.1pt;height:0pt;width:178.95pt;z-index:251661312;mso-width-relative:page;mso-height-relative:page;" filled="f" stroked="t" coordsize="21600,21600" o:gfxdata="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aSZy2AAAAAsBAAAPAAAAAAAAAAEA&#10;IAAAACIAAABkcnMvZG93bnJldi54bWxQSwECFAAUAAAACACHTuJAEM42idYBAACzAwAADgAAAAAA&#10;AAABACAAAAAnAQAAZHJzL2Uyb0RvYy54bWxQSwUGAAAAAAYABgBZAQAAbwUAAAAA&#10;">
                <v:fill on="f" focussize="0,0"/>
                <v:stroke color="#000000" joinstyle="round"/>
                <v:imagedata o:title=""/>
                <o:lock v:ext="edit" aspectratio="f"/>
              </v:shape>
            </w:pict>
          </mc:Fallback>
        </mc:AlternateContent>
      </w:r>
      <w:bookmarkEnd w:id="69"/>
      <w:bookmarkEnd w:id="70"/>
      <w:bookmarkEnd w:id="71"/>
      <w:bookmarkEnd w:id="72"/>
      <w:bookmarkEnd w:id="73"/>
      <w:bookmarkEnd w:id="74"/>
      <w:bookmarkEnd w:id="76"/>
      <w:bookmarkEnd w:id="77"/>
      <w:bookmarkEnd w:id="78"/>
    </w:p>
    <w:sectPr>
      <w:footerReference r:id="rId5" w:type="default"/>
      <w:pgSz w:w="11906" w:h="16838"/>
      <w:pgMar w:top="1134" w:right="1134" w:bottom="1134" w:left="1134" w:header="907" w:footer="850"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rPr>
        <w:rFonts w:ascii="Times New Roman" w:hAnsi="Times New Roman" w:cs="Times New Roman"/>
      </w:rPr>
    </w:pPr>
    <w:r>
      <w:rPr>
        <w:rFonts w:ascii="Times New Roman" w:hAnsi="Times New Roman" w:cs="Times New Roman"/>
      </w:rPr>
      <w:t>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pStyle w:val="3"/>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4"/>
      <w:suff w:val="nothing"/>
      <w:lvlText w:val="%1%2　"/>
      <w:lvlJc w:val="left"/>
      <w:pPr>
        <w:ind w:left="0" w:firstLine="0"/>
      </w:pPr>
      <w:rPr>
        <w:rFonts w:hint="eastAsia" w:ascii="黑体" w:hAnsi="Times New Roman" w:eastAsia="黑体"/>
        <w:b w:val="0"/>
        <w:i w:val="0"/>
        <w:sz w:val="21"/>
      </w:rPr>
    </w:lvl>
    <w:lvl w:ilvl="2" w:tentative="0">
      <w:start w:val="1"/>
      <w:numFmt w:val="decimal"/>
      <w:pStyle w:val="86"/>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yOWY4NzlhM2UyNmY1ODEzYWNmYzM0ZmE1NjZjYjAifQ=="/>
  </w:docVars>
  <w:rsids>
    <w:rsidRoot w:val="008803BF"/>
    <w:rsid w:val="000300A6"/>
    <w:rsid w:val="000D746D"/>
    <w:rsid w:val="0010549C"/>
    <w:rsid w:val="00113B38"/>
    <w:rsid w:val="001F17FA"/>
    <w:rsid w:val="001F1A83"/>
    <w:rsid w:val="00291BD6"/>
    <w:rsid w:val="00294203"/>
    <w:rsid w:val="002A43B9"/>
    <w:rsid w:val="0036091F"/>
    <w:rsid w:val="00383BFC"/>
    <w:rsid w:val="00432B0E"/>
    <w:rsid w:val="00456864"/>
    <w:rsid w:val="004C70C8"/>
    <w:rsid w:val="004D5A24"/>
    <w:rsid w:val="00510E7A"/>
    <w:rsid w:val="00575322"/>
    <w:rsid w:val="005E5918"/>
    <w:rsid w:val="00674783"/>
    <w:rsid w:val="00743E65"/>
    <w:rsid w:val="00764771"/>
    <w:rsid w:val="007E26A9"/>
    <w:rsid w:val="008803BF"/>
    <w:rsid w:val="00987042"/>
    <w:rsid w:val="00A137E4"/>
    <w:rsid w:val="00A3470B"/>
    <w:rsid w:val="00B51C1B"/>
    <w:rsid w:val="00BC2766"/>
    <w:rsid w:val="00D71493"/>
    <w:rsid w:val="00D87475"/>
    <w:rsid w:val="00E5036C"/>
    <w:rsid w:val="00E52B5B"/>
    <w:rsid w:val="00F70A05"/>
    <w:rsid w:val="00FB7C61"/>
    <w:rsid w:val="00FF5F7D"/>
    <w:rsid w:val="013D1161"/>
    <w:rsid w:val="0157144D"/>
    <w:rsid w:val="017A10E5"/>
    <w:rsid w:val="017F0419"/>
    <w:rsid w:val="01A22C15"/>
    <w:rsid w:val="01A40D00"/>
    <w:rsid w:val="023736B1"/>
    <w:rsid w:val="02985DC6"/>
    <w:rsid w:val="02FF0F6E"/>
    <w:rsid w:val="033E3BD6"/>
    <w:rsid w:val="03C377B9"/>
    <w:rsid w:val="03D351A4"/>
    <w:rsid w:val="04231082"/>
    <w:rsid w:val="0430275A"/>
    <w:rsid w:val="04396DED"/>
    <w:rsid w:val="0463049D"/>
    <w:rsid w:val="04BC5D9C"/>
    <w:rsid w:val="052E6005"/>
    <w:rsid w:val="0532620C"/>
    <w:rsid w:val="054162A1"/>
    <w:rsid w:val="056C1E37"/>
    <w:rsid w:val="060A00C1"/>
    <w:rsid w:val="06603FA5"/>
    <w:rsid w:val="06A7015F"/>
    <w:rsid w:val="06B223B0"/>
    <w:rsid w:val="06C31FE9"/>
    <w:rsid w:val="0715674C"/>
    <w:rsid w:val="07E47470"/>
    <w:rsid w:val="07E91CA4"/>
    <w:rsid w:val="08314631"/>
    <w:rsid w:val="08430582"/>
    <w:rsid w:val="08652BE4"/>
    <w:rsid w:val="088017D6"/>
    <w:rsid w:val="08CB026F"/>
    <w:rsid w:val="08FF41FE"/>
    <w:rsid w:val="09374DB2"/>
    <w:rsid w:val="09761182"/>
    <w:rsid w:val="099771D4"/>
    <w:rsid w:val="09B034BB"/>
    <w:rsid w:val="09D8591F"/>
    <w:rsid w:val="0A0E0485"/>
    <w:rsid w:val="0A670478"/>
    <w:rsid w:val="0AB84C2C"/>
    <w:rsid w:val="0B5B072C"/>
    <w:rsid w:val="0B713CD1"/>
    <w:rsid w:val="0B796B51"/>
    <w:rsid w:val="0B914450"/>
    <w:rsid w:val="0BBA4FFF"/>
    <w:rsid w:val="0BC773BD"/>
    <w:rsid w:val="0C0C5CC9"/>
    <w:rsid w:val="0C4548C9"/>
    <w:rsid w:val="0C8D346B"/>
    <w:rsid w:val="0CEC743A"/>
    <w:rsid w:val="0CFD51A3"/>
    <w:rsid w:val="0D2563C4"/>
    <w:rsid w:val="0D970F8B"/>
    <w:rsid w:val="0DC91474"/>
    <w:rsid w:val="0DFC3F18"/>
    <w:rsid w:val="0E0662D9"/>
    <w:rsid w:val="0E337A7A"/>
    <w:rsid w:val="0E364E7D"/>
    <w:rsid w:val="0E7E0566"/>
    <w:rsid w:val="0EB73455"/>
    <w:rsid w:val="0EF279EF"/>
    <w:rsid w:val="0F4C0664"/>
    <w:rsid w:val="0F4F1A2F"/>
    <w:rsid w:val="0F5C0C86"/>
    <w:rsid w:val="0F7F3E70"/>
    <w:rsid w:val="0F900551"/>
    <w:rsid w:val="0F9A13CF"/>
    <w:rsid w:val="0F9B1A19"/>
    <w:rsid w:val="0FA062BA"/>
    <w:rsid w:val="101C784D"/>
    <w:rsid w:val="10617814"/>
    <w:rsid w:val="106519DD"/>
    <w:rsid w:val="10AA4070"/>
    <w:rsid w:val="112E3AE6"/>
    <w:rsid w:val="116B224F"/>
    <w:rsid w:val="116D17AA"/>
    <w:rsid w:val="11946955"/>
    <w:rsid w:val="11993255"/>
    <w:rsid w:val="11AF4661"/>
    <w:rsid w:val="11C3029D"/>
    <w:rsid w:val="120422B6"/>
    <w:rsid w:val="12072EA1"/>
    <w:rsid w:val="12132744"/>
    <w:rsid w:val="123950D3"/>
    <w:rsid w:val="124A7371"/>
    <w:rsid w:val="13386D6B"/>
    <w:rsid w:val="135209F1"/>
    <w:rsid w:val="13553753"/>
    <w:rsid w:val="1371668B"/>
    <w:rsid w:val="13904FC3"/>
    <w:rsid w:val="139C5343"/>
    <w:rsid w:val="13C52E49"/>
    <w:rsid w:val="13D70D51"/>
    <w:rsid w:val="13FC1B46"/>
    <w:rsid w:val="14025795"/>
    <w:rsid w:val="140908D1"/>
    <w:rsid w:val="141A7667"/>
    <w:rsid w:val="143E2655"/>
    <w:rsid w:val="14553B17"/>
    <w:rsid w:val="14574345"/>
    <w:rsid w:val="14741101"/>
    <w:rsid w:val="14991245"/>
    <w:rsid w:val="14C81A79"/>
    <w:rsid w:val="14FE5F5C"/>
    <w:rsid w:val="154D78F1"/>
    <w:rsid w:val="15616904"/>
    <w:rsid w:val="1565422D"/>
    <w:rsid w:val="158F3762"/>
    <w:rsid w:val="15B105E9"/>
    <w:rsid w:val="15B34F99"/>
    <w:rsid w:val="15D40117"/>
    <w:rsid w:val="16B77FD1"/>
    <w:rsid w:val="173125FF"/>
    <w:rsid w:val="174F2A9F"/>
    <w:rsid w:val="1757785B"/>
    <w:rsid w:val="17991F6C"/>
    <w:rsid w:val="17D17958"/>
    <w:rsid w:val="17DA13A7"/>
    <w:rsid w:val="180E4A95"/>
    <w:rsid w:val="185D743E"/>
    <w:rsid w:val="18DD79A1"/>
    <w:rsid w:val="18FE652B"/>
    <w:rsid w:val="194D55A9"/>
    <w:rsid w:val="19C76021"/>
    <w:rsid w:val="19F0281C"/>
    <w:rsid w:val="19FF1A47"/>
    <w:rsid w:val="1A7123F6"/>
    <w:rsid w:val="1A887C80"/>
    <w:rsid w:val="1ABA1D83"/>
    <w:rsid w:val="1AE80243"/>
    <w:rsid w:val="1AEB469F"/>
    <w:rsid w:val="1B240FCE"/>
    <w:rsid w:val="1B886580"/>
    <w:rsid w:val="1B910DB4"/>
    <w:rsid w:val="1BAF7145"/>
    <w:rsid w:val="1BD428CA"/>
    <w:rsid w:val="1C116575"/>
    <w:rsid w:val="1C13738E"/>
    <w:rsid w:val="1C2D7829"/>
    <w:rsid w:val="1C5C03A3"/>
    <w:rsid w:val="1CE31C2F"/>
    <w:rsid w:val="1D1B2CB8"/>
    <w:rsid w:val="1D5C5DDE"/>
    <w:rsid w:val="1DCF0496"/>
    <w:rsid w:val="1DD54CF5"/>
    <w:rsid w:val="1E704E6F"/>
    <w:rsid w:val="1ED17431"/>
    <w:rsid w:val="1F117EF7"/>
    <w:rsid w:val="1F342C07"/>
    <w:rsid w:val="1F365B58"/>
    <w:rsid w:val="1F47475D"/>
    <w:rsid w:val="1F931631"/>
    <w:rsid w:val="1F9C4CF0"/>
    <w:rsid w:val="1FB05E2C"/>
    <w:rsid w:val="1FBB41D0"/>
    <w:rsid w:val="1FC51A6F"/>
    <w:rsid w:val="20286583"/>
    <w:rsid w:val="205828FC"/>
    <w:rsid w:val="209A0CC6"/>
    <w:rsid w:val="20BF5065"/>
    <w:rsid w:val="21076199"/>
    <w:rsid w:val="2118156D"/>
    <w:rsid w:val="212E7BC9"/>
    <w:rsid w:val="216364D8"/>
    <w:rsid w:val="21E6650E"/>
    <w:rsid w:val="22927EB5"/>
    <w:rsid w:val="22AA1F5A"/>
    <w:rsid w:val="22AA736D"/>
    <w:rsid w:val="22B552E0"/>
    <w:rsid w:val="235F050E"/>
    <w:rsid w:val="237E1526"/>
    <w:rsid w:val="239038EC"/>
    <w:rsid w:val="23962050"/>
    <w:rsid w:val="23AA74C2"/>
    <w:rsid w:val="23B26170"/>
    <w:rsid w:val="23C245F9"/>
    <w:rsid w:val="24170DE9"/>
    <w:rsid w:val="250F1AC0"/>
    <w:rsid w:val="25770F38"/>
    <w:rsid w:val="26F725F1"/>
    <w:rsid w:val="27111B1F"/>
    <w:rsid w:val="273D6D65"/>
    <w:rsid w:val="275613EA"/>
    <w:rsid w:val="27651E6B"/>
    <w:rsid w:val="27A62658"/>
    <w:rsid w:val="27A75FE0"/>
    <w:rsid w:val="27DA27C2"/>
    <w:rsid w:val="28011B94"/>
    <w:rsid w:val="28212236"/>
    <w:rsid w:val="2829057B"/>
    <w:rsid w:val="28404E9B"/>
    <w:rsid w:val="286F11F3"/>
    <w:rsid w:val="2888032F"/>
    <w:rsid w:val="28E717BF"/>
    <w:rsid w:val="28F674AA"/>
    <w:rsid w:val="290D7509"/>
    <w:rsid w:val="29104EC2"/>
    <w:rsid w:val="29347ACD"/>
    <w:rsid w:val="298A4D77"/>
    <w:rsid w:val="29EA7DDC"/>
    <w:rsid w:val="2A093583"/>
    <w:rsid w:val="2A135BAE"/>
    <w:rsid w:val="2A4B17EC"/>
    <w:rsid w:val="2A621607"/>
    <w:rsid w:val="2AA607D0"/>
    <w:rsid w:val="2AD27734"/>
    <w:rsid w:val="2ADC41F2"/>
    <w:rsid w:val="2B003D2F"/>
    <w:rsid w:val="2B1B665A"/>
    <w:rsid w:val="2B505CD5"/>
    <w:rsid w:val="2B591CE7"/>
    <w:rsid w:val="2BE710A1"/>
    <w:rsid w:val="2BEE3000"/>
    <w:rsid w:val="2BFD08C4"/>
    <w:rsid w:val="2C155B53"/>
    <w:rsid w:val="2C516C94"/>
    <w:rsid w:val="2C5219A4"/>
    <w:rsid w:val="2C6E21E4"/>
    <w:rsid w:val="2C932FD6"/>
    <w:rsid w:val="2CD7257D"/>
    <w:rsid w:val="2CF972DD"/>
    <w:rsid w:val="2D0F6DD8"/>
    <w:rsid w:val="2D2770B2"/>
    <w:rsid w:val="2D502C75"/>
    <w:rsid w:val="2DCF003E"/>
    <w:rsid w:val="2E450564"/>
    <w:rsid w:val="2E494294"/>
    <w:rsid w:val="2E7623CE"/>
    <w:rsid w:val="2EE90063"/>
    <w:rsid w:val="2EFF2BA5"/>
    <w:rsid w:val="2F0270F7"/>
    <w:rsid w:val="2F511D30"/>
    <w:rsid w:val="2F61666C"/>
    <w:rsid w:val="30734518"/>
    <w:rsid w:val="307B44AD"/>
    <w:rsid w:val="30B23898"/>
    <w:rsid w:val="3102072B"/>
    <w:rsid w:val="317E4255"/>
    <w:rsid w:val="318416A6"/>
    <w:rsid w:val="31C205E6"/>
    <w:rsid w:val="31C6519A"/>
    <w:rsid w:val="31C73034"/>
    <w:rsid w:val="32087FC3"/>
    <w:rsid w:val="320F4EAD"/>
    <w:rsid w:val="322A6C7A"/>
    <w:rsid w:val="32356F54"/>
    <w:rsid w:val="327862EE"/>
    <w:rsid w:val="32856C03"/>
    <w:rsid w:val="32A76BDA"/>
    <w:rsid w:val="32B33085"/>
    <w:rsid w:val="32E160FF"/>
    <w:rsid w:val="32F13CE5"/>
    <w:rsid w:val="32F32A21"/>
    <w:rsid w:val="330172C6"/>
    <w:rsid w:val="334131D3"/>
    <w:rsid w:val="33423060"/>
    <w:rsid w:val="33557238"/>
    <w:rsid w:val="33D33712"/>
    <w:rsid w:val="34597BA1"/>
    <w:rsid w:val="34800CEE"/>
    <w:rsid w:val="34C6027F"/>
    <w:rsid w:val="350F0BFE"/>
    <w:rsid w:val="35200BA1"/>
    <w:rsid w:val="35565393"/>
    <w:rsid w:val="355B006D"/>
    <w:rsid w:val="35643AD5"/>
    <w:rsid w:val="356B689E"/>
    <w:rsid w:val="357240D1"/>
    <w:rsid w:val="35FA5E74"/>
    <w:rsid w:val="364A32AA"/>
    <w:rsid w:val="36660F0F"/>
    <w:rsid w:val="3698530E"/>
    <w:rsid w:val="37115A71"/>
    <w:rsid w:val="374313BA"/>
    <w:rsid w:val="376B630F"/>
    <w:rsid w:val="37AB1B1C"/>
    <w:rsid w:val="38037262"/>
    <w:rsid w:val="380C5996"/>
    <w:rsid w:val="382F44FB"/>
    <w:rsid w:val="386F3515"/>
    <w:rsid w:val="38B30E35"/>
    <w:rsid w:val="38E0098C"/>
    <w:rsid w:val="38EB45FD"/>
    <w:rsid w:val="39237490"/>
    <w:rsid w:val="392E6A78"/>
    <w:rsid w:val="39677413"/>
    <w:rsid w:val="39AF5FE9"/>
    <w:rsid w:val="3A687850"/>
    <w:rsid w:val="3A8C2C0D"/>
    <w:rsid w:val="3A9B669F"/>
    <w:rsid w:val="3B3F02EA"/>
    <w:rsid w:val="3B5150B2"/>
    <w:rsid w:val="3B637FCA"/>
    <w:rsid w:val="3BAE6A8A"/>
    <w:rsid w:val="3C265C15"/>
    <w:rsid w:val="3C3E4D0D"/>
    <w:rsid w:val="3C876AF0"/>
    <w:rsid w:val="3CD90019"/>
    <w:rsid w:val="3D5B369C"/>
    <w:rsid w:val="3D613D22"/>
    <w:rsid w:val="3E155889"/>
    <w:rsid w:val="3E3143FD"/>
    <w:rsid w:val="3E38307B"/>
    <w:rsid w:val="3E614CE2"/>
    <w:rsid w:val="3EC95459"/>
    <w:rsid w:val="3F021D6B"/>
    <w:rsid w:val="3F941E72"/>
    <w:rsid w:val="40062ACB"/>
    <w:rsid w:val="40313A54"/>
    <w:rsid w:val="40644392"/>
    <w:rsid w:val="40882F15"/>
    <w:rsid w:val="40B32EF6"/>
    <w:rsid w:val="40C663C9"/>
    <w:rsid w:val="40C725CB"/>
    <w:rsid w:val="412F1B65"/>
    <w:rsid w:val="417D1041"/>
    <w:rsid w:val="41A315F9"/>
    <w:rsid w:val="4265671D"/>
    <w:rsid w:val="42BA0E65"/>
    <w:rsid w:val="42CD6DEA"/>
    <w:rsid w:val="430E5A01"/>
    <w:rsid w:val="431C1B20"/>
    <w:rsid w:val="43845116"/>
    <w:rsid w:val="438D0328"/>
    <w:rsid w:val="43A30364"/>
    <w:rsid w:val="43A7763B"/>
    <w:rsid w:val="43C85745"/>
    <w:rsid w:val="442D1921"/>
    <w:rsid w:val="44E66AD2"/>
    <w:rsid w:val="461F6BBA"/>
    <w:rsid w:val="46200F7E"/>
    <w:rsid w:val="464A0752"/>
    <w:rsid w:val="46715CDF"/>
    <w:rsid w:val="468130DF"/>
    <w:rsid w:val="46D36999"/>
    <w:rsid w:val="47471001"/>
    <w:rsid w:val="475A2369"/>
    <w:rsid w:val="476A2C78"/>
    <w:rsid w:val="47777325"/>
    <w:rsid w:val="478005D2"/>
    <w:rsid w:val="47992888"/>
    <w:rsid w:val="479D3534"/>
    <w:rsid w:val="47C307BC"/>
    <w:rsid w:val="482014AA"/>
    <w:rsid w:val="48470252"/>
    <w:rsid w:val="4854142E"/>
    <w:rsid w:val="4858276E"/>
    <w:rsid w:val="488B3AF8"/>
    <w:rsid w:val="48A51834"/>
    <w:rsid w:val="48AD7515"/>
    <w:rsid w:val="48B102D4"/>
    <w:rsid w:val="48E94252"/>
    <w:rsid w:val="49022A4B"/>
    <w:rsid w:val="490A726C"/>
    <w:rsid w:val="498336EE"/>
    <w:rsid w:val="49A92BA2"/>
    <w:rsid w:val="49CF169A"/>
    <w:rsid w:val="49FE3D2D"/>
    <w:rsid w:val="4A0B30F5"/>
    <w:rsid w:val="4A3E47FB"/>
    <w:rsid w:val="4A5A086E"/>
    <w:rsid w:val="4ACF7A36"/>
    <w:rsid w:val="4B7F2A04"/>
    <w:rsid w:val="4B8A73EF"/>
    <w:rsid w:val="4BBF0072"/>
    <w:rsid w:val="4BD036A7"/>
    <w:rsid w:val="4C5F3DED"/>
    <w:rsid w:val="4C777E93"/>
    <w:rsid w:val="4CAA1F4A"/>
    <w:rsid w:val="4CBA3672"/>
    <w:rsid w:val="4CDC29F0"/>
    <w:rsid w:val="4CDF5BD4"/>
    <w:rsid w:val="4D212310"/>
    <w:rsid w:val="4D4C0D5E"/>
    <w:rsid w:val="4D6A2190"/>
    <w:rsid w:val="4DB17F72"/>
    <w:rsid w:val="4DDA060D"/>
    <w:rsid w:val="4DF220DA"/>
    <w:rsid w:val="4E781177"/>
    <w:rsid w:val="4E7A24F6"/>
    <w:rsid w:val="4EA60F65"/>
    <w:rsid w:val="4EAC13CA"/>
    <w:rsid w:val="4EC16AC8"/>
    <w:rsid w:val="4EFB6A8D"/>
    <w:rsid w:val="4F3F4BCC"/>
    <w:rsid w:val="4FD95020"/>
    <w:rsid w:val="502E174C"/>
    <w:rsid w:val="50342257"/>
    <w:rsid w:val="50B047BD"/>
    <w:rsid w:val="51083017"/>
    <w:rsid w:val="51273B6A"/>
    <w:rsid w:val="515423B5"/>
    <w:rsid w:val="519C6B90"/>
    <w:rsid w:val="51CF2D8E"/>
    <w:rsid w:val="52A953C7"/>
    <w:rsid w:val="52CA1B96"/>
    <w:rsid w:val="52D1396D"/>
    <w:rsid w:val="531A4198"/>
    <w:rsid w:val="536E4AC5"/>
    <w:rsid w:val="539B6B72"/>
    <w:rsid w:val="53EE5CD3"/>
    <w:rsid w:val="5406286E"/>
    <w:rsid w:val="54071A30"/>
    <w:rsid w:val="547122F8"/>
    <w:rsid w:val="54C6369A"/>
    <w:rsid w:val="550545DD"/>
    <w:rsid w:val="550A7A2A"/>
    <w:rsid w:val="5536754D"/>
    <w:rsid w:val="5539030F"/>
    <w:rsid w:val="556967CA"/>
    <w:rsid w:val="565754EE"/>
    <w:rsid w:val="56DC79F4"/>
    <w:rsid w:val="56EF4237"/>
    <w:rsid w:val="570F7EDB"/>
    <w:rsid w:val="571E77BD"/>
    <w:rsid w:val="573C74B5"/>
    <w:rsid w:val="57715B3F"/>
    <w:rsid w:val="5846092B"/>
    <w:rsid w:val="584D7B4E"/>
    <w:rsid w:val="58935F89"/>
    <w:rsid w:val="58995112"/>
    <w:rsid w:val="58A70D79"/>
    <w:rsid w:val="58D35E49"/>
    <w:rsid w:val="58F12B53"/>
    <w:rsid w:val="58F85DEC"/>
    <w:rsid w:val="596D2336"/>
    <w:rsid w:val="59E771C6"/>
    <w:rsid w:val="5AB2291B"/>
    <w:rsid w:val="5ACE14FA"/>
    <w:rsid w:val="5B09250D"/>
    <w:rsid w:val="5B4E0CD7"/>
    <w:rsid w:val="5BE909A8"/>
    <w:rsid w:val="5C0C22DA"/>
    <w:rsid w:val="5C121CF5"/>
    <w:rsid w:val="5C5509A8"/>
    <w:rsid w:val="5C5B5D44"/>
    <w:rsid w:val="5C5D27F2"/>
    <w:rsid w:val="5C7F6BB4"/>
    <w:rsid w:val="5CAC586B"/>
    <w:rsid w:val="5CF818C1"/>
    <w:rsid w:val="5D727DDC"/>
    <w:rsid w:val="5D804D2D"/>
    <w:rsid w:val="5DA00EB0"/>
    <w:rsid w:val="5DDD3E9C"/>
    <w:rsid w:val="5DE84681"/>
    <w:rsid w:val="5E8C7702"/>
    <w:rsid w:val="5ED42BA2"/>
    <w:rsid w:val="5F072BE8"/>
    <w:rsid w:val="5F0A2F96"/>
    <w:rsid w:val="5F4B34F8"/>
    <w:rsid w:val="5F61293D"/>
    <w:rsid w:val="5F6C2F4A"/>
    <w:rsid w:val="5FBA3DFB"/>
    <w:rsid w:val="602773EC"/>
    <w:rsid w:val="602E62B4"/>
    <w:rsid w:val="60413278"/>
    <w:rsid w:val="609A21B5"/>
    <w:rsid w:val="60E00B61"/>
    <w:rsid w:val="60F8107F"/>
    <w:rsid w:val="613D6494"/>
    <w:rsid w:val="61AE4166"/>
    <w:rsid w:val="623460E6"/>
    <w:rsid w:val="62462C07"/>
    <w:rsid w:val="637349EC"/>
    <w:rsid w:val="638C3D00"/>
    <w:rsid w:val="63C93351"/>
    <w:rsid w:val="63DE6250"/>
    <w:rsid w:val="63F02799"/>
    <w:rsid w:val="63F95413"/>
    <w:rsid w:val="64371CD5"/>
    <w:rsid w:val="64627F4B"/>
    <w:rsid w:val="64801AB7"/>
    <w:rsid w:val="648E73C8"/>
    <w:rsid w:val="64C869E5"/>
    <w:rsid w:val="65493C57"/>
    <w:rsid w:val="666A0801"/>
    <w:rsid w:val="66736D0A"/>
    <w:rsid w:val="668D2269"/>
    <w:rsid w:val="6729552A"/>
    <w:rsid w:val="678A0557"/>
    <w:rsid w:val="67A96A9E"/>
    <w:rsid w:val="67B24FE9"/>
    <w:rsid w:val="67C41CBB"/>
    <w:rsid w:val="67CA3D41"/>
    <w:rsid w:val="67D674D2"/>
    <w:rsid w:val="67F26902"/>
    <w:rsid w:val="686D5EAE"/>
    <w:rsid w:val="687234C5"/>
    <w:rsid w:val="689E02F8"/>
    <w:rsid w:val="68A634BD"/>
    <w:rsid w:val="68BC5C16"/>
    <w:rsid w:val="68D4417F"/>
    <w:rsid w:val="68D8128A"/>
    <w:rsid w:val="69670B4F"/>
    <w:rsid w:val="698A0CE2"/>
    <w:rsid w:val="69C6217D"/>
    <w:rsid w:val="69EF1BC6"/>
    <w:rsid w:val="69F73655"/>
    <w:rsid w:val="6A3A49B8"/>
    <w:rsid w:val="6AEC2351"/>
    <w:rsid w:val="6AF32471"/>
    <w:rsid w:val="6B0C5E52"/>
    <w:rsid w:val="6B351850"/>
    <w:rsid w:val="6B517D09"/>
    <w:rsid w:val="6B76049D"/>
    <w:rsid w:val="6C2C48AC"/>
    <w:rsid w:val="6C5948F2"/>
    <w:rsid w:val="6C64581A"/>
    <w:rsid w:val="6C7D068A"/>
    <w:rsid w:val="6C8E5718"/>
    <w:rsid w:val="6CC22328"/>
    <w:rsid w:val="6CD56AF4"/>
    <w:rsid w:val="6D105413"/>
    <w:rsid w:val="6D8E6A33"/>
    <w:rsid w:val="6DB620A5"/>
    <w:rsid w:val="6DC5678C"/>
    <w:rsid w:val="6DCC7B1B"/>
    <w:rsid w:val="6DDE0181"/>
    <w:rsid w:val="6DEE7A91"/>
    <w:rsid w:val="6E100EAB"/>
    <w:rsid w:val="6E361438"/>
    <w:rsid w:val="6E732C64"/>
    <w:rsid w:val="6F154B2D"/>
    <w:rsid w:val="6F2511CB"/>
    <w:rsid w:val="6F2968A7"/>
    <w:rsid w:val="6F751AEC"/>
    <w:rsid w:val="6F874484"/>
    <w:rsid w:val="6F8A7215"/>
    <w:rsid w:val="6FAB07C2"/>
    <w:rsid w:val="6FB50225"/>
    <w:rsid w:val="6FC53298"/>
    <w:rsid w:val="6FD74555"/>
    <w:rsid w:val="707F6CDF"/>
    <w:rsid w:val="70B623BC"/>
    <w:rsid w:val="70EC5DDE"/>
    <w:rsid w:val="711B191E"/>
    <w:rsid w:val="716A6CEF"/>
    <w:rsid w:val="7174629C"/>
    <w:rsid w:val="71771B4C"/>
    <w:rsid w:val="723329E0"/>
    <w:rsid w:val="72453989"/>
    <w:rsid w:val="728F7C9A"/>
    <w:rsid w:val="72914E8F"/>
    <w:rsid w:val="736507F6"/>
    <w:rsid w:val="738348E4"/>
    <w:rsid w:val="73AD321F"/>
    <w:rsid w:val="73B434AA"/>
    <w:rsid w:val="73C71690"/>
    <w:rsid w:val="741558B7"/>
    <w:rsid w:val="741E09A4"/>
    <w:rsid w:val="74F96CCF"/>
    <w:rsid w:val="75042A89"/>
    <w:rsid w:val="75056276"/>
    <w:rsid w:val="75267B11"/>
    <w:rsid w:val="7560495E"/>
    <w:rsid w:val="76361FD5"/>
    <w:rsid w:val="76C27424"/>
    <w:rsid w:val="76C3229F"/>
    <w:rsid w:val="76CE1080"/>
    <w:rsid w:val="76FC03FE"/>
    <w:rsid w:val="774A788F"/>
    <w:rsid w:val="77565BBE"/>
    <w:rsid w:val="781F13F3"/>
    <w:rsid w:val="786966E6"/>
    <w:rsid w:val="78895CA5"/>
    <w:rsid w:val="79157851"/>
    <w:rsid w:val="79202BB4"/>
    <w:rsid w:val="79490272"/>
    <w:rsid w:val="79AA5B6F"/>
    <w:rsid w:val="79C36276"/>
    <w:rsid w:val="79E76A6B"/>
    <w:rsid w:val="7A0B1FEC"/>
    <w:rsid w:val="7A140B64"/>
    <w:rsid w:val="7A20184B"/>
    <w:rsid w:val="7A6212D3"/>
    <w:rsid w:val="7A86426A"/>
    <w:rsid w:val="7A8E0021"/>
    <w:rsid w:val="7AB90A1C"/>
    <w:rsid w:val="7B0D1124"/>
    <w:rsid w:val="7B2956D5"/>
    <w:rsid w:val="7B2B2654"/>
    <w:rsid w:val="7B67393B"/>
    <w:rsid w:val="7C190ABB"/>
    <w:rsid w:val="7C305674"/>
    <w:rsid w:val="7C440929"/>
    <w:rsid w:val="7C7A77AE"/>
    <w:rsid w:val="7D6F6B54"/>
    <w:rsid w:val="7DB859C6"/>
    <w:rsid w:val="7DE47DC2"/>
    <w:rsid w:val="7DF71A9D"/>
    <w:rsid w:val="7E9815D8"/>
    <w:rsid w:val="7EC23C02"/>
    <w:rsid w:val="7ED038B2"/>
    <w:rsid w:val="7ED24865"/>
    <w:rsid w:val="7EF548B9"/>
    <w:rsid w:val="7F0B7D77"/>
    <w:rsid w:val="7F342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66"/>
    <w:unhideWhenUsed/>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章标题"/>
    <w:next w:val="4"/>
    <w:link w:val="8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
    <w:name w:val="段"/>
    <w:link w:val="3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styleId="7">
    <w:name w:val="toc 7"/>
    <w:basedOn w:val="1"/>
    <w:next w:val="1"/>
    <w:unhideWhenUsed/>
    <w:qFormat/>
    <w:uiPriority w:val="39"/>
    <w:pPr>
      <w:ind w:left="1260"/>
      <w:jc w:val="left"/>
    </w:pPr>
    <w:rPr>
      <w:rFonts w:cstheme="minorHAnsi"/>
      <w:sz w:val="18"/>
      <w:szCs w:val="18"/>
    </w:rPr>
  </w:style>
  <w:style w:type="paragraph" w:styleId="8">
    <w:name w:val="annotation text"/>
    <w:basedOn w:val="1"/>
    <w:link w:val="72"/>
    <w:unhideWhenUsed/>
    <w:qFormat/>
    <w:uiPriority w:val="0"/>
    <w:pPr>
      <w:jc w:val="left"/>
    </w:pPr>
  </w:style>
  <w:style w:type="paragraph" w:styleId="9">
    <w:name w:val="Body Text"/>
    <w:basedOn w:val="1"/>
    <w:link w:val="67"/>
    <w:qFormat/>
    <w:uiPriority w:val="1"/>
    <w:pPr>
      <w:spacing w:before="116"/>
      <w:ind w:left="117"/>
      <w:jc w:val="left"/>
    </w:pPr>
    <w:rPr>
      <w:rFonts w:ascii="宋体" w:hAnsi="宋体" w:eastAsia="宋体"/>
      <w:kern w:val="0"/>
      <w:szCs w:val="21"/>
      <w:lang w:eastAsia="en-US"/>
    </w:rPr>
  </w:style>
  <w:style w:type="paragraph" w:styleId="10">
    <w:name w:val="toc 5"/>
    <w:basedOn w:val="1"/>
    <w:next w:val="1"/>
    <w:unhideWhenUsed/>
    <w:qFormat/>
    <w:uiPriority w:val="39"/>
    <w:pPr>
      <w:ind w:left="840"/>
      <w:jc w:val="left"/>
    </w:pPr>
    <w:rPr>
      <w:rFonts w:cstheme="minorHAnsi"/>
      <w:sz w:val="18"/>
      <w:szCs w:val="18"/>
    </w:rPr>
  </w:style>
  <w:style w:type="paragraph" w:styleId="11">
    <w:name w:val="toc 3"/>
    <w:basedOn w:val="1"/>
    <w:next w:val="1"/>
    <w:qFormat/>
    <w:uiPriority w:val="39"/>
    <w:pPr>
      <w:ind w:left="420"/>
      <w:jc w:val="left"/>
    </w:pPr>
    <w:rPr>
      <w:rFonts w:cstheme="minorHAnsi"/>
      <w:i/>
      <w:iCs/>
      <w:sz w:val="20"/>
      <w:szCs w:val="20"/>
    </w:rPr>
  </w:style>
  <w:style w:type="paragraph" w:styleId="12">
    <w:name w:val="toc 8"/>
    <w:basedOn w:val="1"/>
    <w:next w:val="1"/>
    <w:unhideWhenUsed/>
    <w:qFormat/>
    <w:uiPriority w:val="39"/>
    <w:pPr>
      <w:ind w:left="1470"/>
      <w:jc w:val="left"/>
    </w:pPr>
    <w:rPr>
      <w:rFonts w:cstheme="minorHAnsi"/>
      <w:sz w:val="18"/>
      <w:szCs w:val="18"/>
    </w:rPr>
  </w:style>
  <w:style w:type="paragraph" w:styleId="13">
    <w:name w:val="Date"/>
    <w:basedOn w:val="1"/>
    <w:next w:val="1"/>
    <w:link w:val="69"/>
    <w:semiHidden/>
    <w:unhideWhenUsed/>
    <w:qFormat/>
    <w:uiPriority w:val="99"/>
    <w:pPr>
      <w:ind w:left="100" w:leftChars="2500"/>
    </w:pPr>
  </w:style>
  <w:style w:type="paragraph" w:styleId="14">
    <w:name w:val="Balloon Text"/>
    <w:basedOn w:val="1"/>
    <w:link w:val="64"/>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cstheme="minorHAnsi"/>
      <w:b/>
      <w:bCs/>
      <w:caps/>
      <w:sz w:val="20"/>
      <w:szCs w:val="20"/>
    </w:rPr>
  </w:style>
  <w:style w:type="paragraph" w:styleId="18">
    <w:name w:val="toc 4"/>
    <w:basedOn w:val="1"/>
    <w:next w:val="1"/>
    <w:unhideWhenUsed/>
    <w:qFormat/>
    <w:uiPriority w:val="39"/>
    <w:pPr>
      <w:ind w:left="630"/>
      <w:jc w:val="left"/>
    </w:pPr>
    <w:rPr>
      <w:rFonts w:cstheme="minorHAnsi"/>
      <w:sz w:val="18"/>
      <w:szCs w:val="18"/>
    </w:rPr>
  </w:style>
  <w:style w:type="paragraph" w:styleId="19">
    <w:name w:val="toc 6"/>
    <w:basedOn w:val="1"/>
    <w:next w:val="1"/>
    <w:unhideWhenUsed/>
    <w:qFormat/>
    <w:uiPriority w:val="39"/>
    <w:pPr>
      <w:ind w:left="1050"/>
      <w:jc w:val="left"/>
    </w:pPr>
    <w:rPr>
      <w:rFonts w:cstheme="minorHAnsi"/>
      <w:sz w:val="18"/>
      <w:szCs w:val="18"/>
    </w:rPr>
  </w:style>
  <w:style w:type="paragraph" w:styleId="20">
    <w:name w:val="toc 2"/>
    <w:basedOn w:val="1"/>
    <w:next w:val="1"/>
    <w:unhideWhenUsed/>
    <w:qFormat/>
    <w:uiPriority w:val="39"/>
    <w:pPr>
      <w:ind w:left="210"/>
      <w:jc w:val="left"/>
    </w:pPr>
    <w:rPr>
      <w:rFonts w:cstheme="minorHAnsi"/>
      <w:smallCaps/>
      <w:sz w:val="20"/>
      <w:szCs w:val="20"/>
    </w:rPr>
  </w:style>
  <w:style w:type="paragraph" w:styleId="21">
    <w:name w:val="toc 9"/>
    <w:basedOn w:val="1"/>
    <w:next w:val="1"/>
    <w:unhideWhenUsed/>
    <w:qFormat/>
    <w:uiPriority w:val="39"/>
    <w:pPr>
      <w:ind w:left="1680"/>
      <w:jc w:val="left"/>
    </w:pPr>
    <w:rPr>
      <w:rFonts w:cstheme="minorHAnsi"/>
      <w:sz w:val="18"/>
      <w:szCs w:val="18"/>
    </w:r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8"/>
    <w:next w:val="8"/>
    <w:link w:val="73"/>
    <w:semiHidden/>
    <w:unhideWhenUsed/>
    <w:qFormat/>
    <w:uiPriority w:val="99"/>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8">
    <w:name w:val="Hyperlink"/>
    <w:qFormat/>
    <w:uiPriority w:val="99"/>
    <w:rPr>
      <w:color w:val="0000FF"/>
      <w:spacing w:val="0"/>
      <w:w w:val="100"/>
      <w:szCs w:val="21"/>
      <w:u w:val="single"/>
      <w:lang w:val="en-US" w:eastAsia="zh-CN"/>
    </w:rPr>
  </w:style>
  <w:style w:type="character" w:styleId="29">
    <w:name w:val="annotation reference"/>
    <w:basedOn w:val="26"/>
    <w:unhideWhenUsed/>
    <w:qFormat/>
    <w:uiPriority w:val="0"/>
    <w:rPr>
      <w:sz w:val="21"/>
      <w:szCs w:val="21"/>
    </w:rPr>
  </w:style>
  <w:style w:type="character" w:customStyle="1" w:styleId="30">
    <w:name w:val="页眉 字符"/>
    <w:basedOn w:val="26"/>
    <w:link w:val="16"/>
    <w:qFormat/>
    <w:uiPriority w:val="99"/>
    <w:rPr>
      <w:sz w:val="18"/>
      <w:szCs w:val="18"/>
    </w:rPr>
  </w:style>
  <w:style w:type="character" w:customStyle="1" w:styleId="31">
    <w:name w:val="页脚 字符"/>
    <w:basedOn w:val="26"/>
    <w:link w:val="15"/>
    <w:qFormat/>
    <w:uiPriority w:val="99"/>
    <w:rPr>
      <w:sz w:val="18"/>
      <w:szCs w:val="18"/>
    </w:rPr>
  </w:style>
  <w:style w:type="paragraph" w:customStyle="1" w:styleId="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
    <w:name w:val="封面标准英文名称"/>
    <w:basedOn w:val="32"/>
    <w:qFormat/>
    <w:uiPriority w:val="0"/>
    <w:pPr>
      <w:spacing w:before="370" w:line="400" w:lineRule="exact"/>
    </w:pPr>
    <w:rPr>
      <w:rFonts w:ascii="Times New Roman"/>
      <w:sz w:val="28"/>
      <w:szCs w:val="28"/>
    </w:rPr>
  </w:style>
  <w:style w:type="character" w:customStyle="1" w:styleId="34">
    <w:name w:val="段 Char"/>
    <w:link w:val="4"/>
    <w:qFormat/>
    <w:uiPriority w:val="0"/>
    <w:rPr>
      <w:rFonts w:ascii="宋体"/>
    </w:rPr>
  </w:style>
  <w:style w:type="character" w:customStyle="1" w:styleId="35">
    <w:name w:val="发布"/>
    <w:qFormat/>
    <w:uiPriority w:val="0"/>
    <w:rPr>
      <w:rFonts w:ascii="黑体" w:eastAsia="黑体"/>
      <w:spacing w:val="85"/>
      <w:w w:val="100"/>
      <w:position w:val="3"/>
      <w:sz w:val="28"/>
      <w:szCs w:val="28"/>
    </w:rPr>
  </w:style>
  <w:style w:type="paragraph" w:customStyle="1" w:styleId="36">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7">
    <w:name w:val="二级条标题"/>
    <w:basedOn w:val="38"/>
    <w:next w:val="4"/>
    <w:qFormat/>
    <w:uiPriority w:val="0"/>
    <w:pPr>
      <w:numPr>
        <w:ilvl w:val="2"/>
      </w:numPr>
      <w:spacing w:beforeLines="0" w:afterLines="0"/>
      <w:outlineLvl w:val="3"/>
    </w:pPr>
  </w:style>
  <w:style w:type="paragraph" w:customStyle="1" w:styleId="38">
    <w:name w:val="一级条标题"/>
    <w:next w:val="4"/>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附录表标号"/>
    <w:basedOn w:val="1"/>
    <w:next w:val="4"/>
    <w:qFormat/>
    <w:uiPriority w:val="0"/>
    <w:pPr>
      <w:spacing w:line="14" w:lineRule="exact"/>
      <w:ind w:left="811" w:hanging="448"/>
      <w:jc w:val="center"/>
      <w:outlineLvl w:val="0"/>
    </w:pPr>
    <w:rPr>
      <w:rFonts w:ascii="Times New Roman" w:hAnsi="Times New Roman" w:eastAsia="宋体" w:cs="Times New Roman"/>
      <w:color w:val="FFFFFF"/>
      <w:szCs w:val="24"/>
    </w:rPr>
  </w:style>
  <w:style w:type="paragraph" w:customStyle="1" w:styleId="40">
    <w:name w:val="正文表标题"/>
    <w:next w:val="4"/>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1">
    <w:name w:val="字母编号列项（一级）"/>
    <w:qFormat/>
    <w:uiPriority w:val="0"/>
    <w:pPr>
      <w:tabs>
        <w:tab w:val="left" w:pos="720"/>
        <w:tab w:val="left" w:pos="840"/>
      </w:tabs>
      <w:ind w:left="720" w:hanging="720"/>
      <w:jc w:val="both"/>
    </w:pPr>
    <w:rPr>
      <w:rFonts w:ascii="宋体" w:hAnsi="Times New Roman" w:eastAsia="宋体" w:cs="Times New Roman"/>
      <w:sz w:val="21"/>
      <w:lang w:val="en-US" w:eastAsia="zh-CN" w:bidi="ar-SA"/>
    </w:rPr>
  </w:style>
  <w:style w:type="paragraph" w:customStyle="1" w:styleId="42">
    <w:name w:val="前言、引言标题"/>
    <w:next w:val="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封面一致性程度标识"/>
    <w:basedOn w:val="33"/>
    <w:qFormat/>
    <w:uiPriority w:val="0"/>
    <w:pPr>
      <w:spacing w:before="440"/>
    </w:pPr>
    <w:rPr>
      <w:rFonts w:ascii="宋体" w:eastAsia="宋体"/>
    </w:rPr>
  </w:style>
  <w:style w:type="paragraph" w:customStyle="1" w:styleId="45">
    <w:name w:val="终结线"/>
    <w:basedOn w:val="1"/>
    <w:qFormat/>
    <w:uiPriority w:val="0"/>
    <w:rPr>
      <w:rFonts w:ascii="Times New Roman" w:hAnsi="Times New Roman" w:eastAsia="宋体" w:cs="Times New Roman"/>
      <w:szCs w:val="24"/>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其他发布部门"/>
    <w:basedOn w:val="1"/>
    <w:qFormat/>
    <w:uiPriority w:val="0"/>
    <w:pPr>
      <w:widowControl/>
      <w:spacing w:line="0" w:lineRule="atLeast"/>
      <w:jc w:val="center"/>
    </w:pPr>
    <w:rPr>
      <w:rFonts w:ascii="黑体" w:hAnsi="Times New Roman" w:eastAsia="黑体" w:cs="Times New Roman"/>
      <w:spacing w:val="20"/>
      <w:w w:val="135"/>
      <w:kern w:val="0"/>
      <w:sz w:val="28"/>
      <w:szCs w:val="20"/>
    </w:rPr>
  </w:style>
  <w:style w:type="paragraph" w:customStyle="1" w:styleId="48">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其他发布日期"/>
    <w:basedOn w:val="1"/>
    <w:qFormat/>
    <w:uiPriority w:val="0"/>
    <w:pPr>
      <w:widowControl/>
      <w:jc w:val="left"/>
    </w:pPr>
    <w:rPr>
      <w:rFonts w:ascii="Times New Roman" w:hAnsi="Times New Roman" w:eastAsia="黑体" w:cs="Times New Roman"/>
      <w:kern w:val="0"/>
      <w:sz w:val="28"/>
      <w:szCs w:val="20"/>
    </w:rPr>
  </w:style>
  <w:style w:type="paragraph" w:customStyle="1" w:styleId="50">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51">
    <w:name w:val="封面标准文稿编辑信息"/>
    <w:basedOn w:val="52"/>
    <w:qFormat/>
    <w:uiPriority w:val="0"/>
    <w:pPr>
      <w:spacing w:before="180" w:line="180" w:lineRule="exact"/>
    </w:pPr>
    <w:rPr>
      <w:sz w:val="21"/>
    </w:rPr>
  </w:style>
  <w:style w:type="paragraph" w:customStyle="1" w:styleId="52">
    <w:name w:val="封面标准文稿类别"/>
    <w:basedOn w:val="44"/>
    <w:qFormat/>
    <w:uiPriority w:val="0"/>
    <w:pPr>
      <w:spacing w:after="160" w:line="240" w:lineRule="auto"/>
    </w:pPr>
    <w:rPr>
      <w:sz w:val="24"/>
    </w:rPr>
  </w:style>
  <w:style w:type="paragraph" w:customStyle="1" w:styleId="53">
    <w:name w:val="附录标识"/>
    <w:basedOn w:val="1"/>
    <w:next w:val="4"/>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54">
    <w:name w:val="列项——（一级）"/>
    <w:qFormat/>
    <w:uiPriority w:val="0"/>
    <w:pPr>
      <w:widowControl w:val="0"/>
      <w:ind w:left="623" w:hanging="425"/>
      <w:jc w:val="both"/>
    </w:pPr>
    <w:rPr>
      <w:rFonts w:ascii="宋体" w:hAnsi="Times New Roman" w:eastAsia="宋体" w:cs="Times New Roman"/>
      <w:sz w:val="21"/>
      <w:lang w:val="en-US" w:eastAsia="zh-CN" w:bidi="ar-SA"/>
    </w:rPr>
  </w:style>
  <w:style w:type="paragraph" w:customStyle="1" w:styleId="55">
    <w:name w:val="附录图标号"/>
    <w:basedOn w:val="1"/>
    <w:qFormat/>
    <w:uiPriority w:val="0"/>
    <w:pPr>
      <w:keepNext/>
      <w:pageBreakBefore/>
      <w:widowControl/>
      <w:tabs>
        <w:tab w:val="left" w:pos="720"/>
      </w:tabs>
      <w:spacing w:line="14" w:lineRule="exact"/>
      <w:ind w:left="720" w:firstLine="363"/>
      <w:jc w:val="center"/>
      <w:outlineLvl w:val="0"/>
    </w:pPr>
    <w:rPr>
      <w:rFonts w:ascii="Times New Roman" w:hAnsi="Times New Roman" w:eastAsia="宋体" w:cs="Times New Roman"/>
      <w:color w:val="FFFFFF"/>
      <w:szCs w:val="24"/>
    </w:rPr>
  </w:style>
  <w:style w:type="paragraph" w:customStyle="1" w:styleId="56">
    <w:name w:val="其他标准标志"/>
    <w:basedOn w:val="1"/>
    <w:qFormat/>
    <w:uiPriority w:val="0"/>
    <w:pPr>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57">
    <w:name w:val="其他实施日期"/>
    <w:basedOn w:val="1"/>
    <w:qFormat/>
    <w:uiPriority w:val="0"/>
    <w:pPr>
      <w:widowControl/>
      <w:jc w:val="right"/>
    </w:pPr>
    <w:rPr>
      <w:rFonts w:ascii="Times New Roman" w:hAnsi="Times New Roman" w:eastAsia="黑体" w:cs="Times New Roman"/>
      <w:kern w:val="0"/>
      <w:sz w:val="28"/>
      <w:szCs w:val="20"/>
    </w:rPr>
  </w:style>
  <w:style w:type="paragraph" w:customStyle="1" w:styleId="58">
    <w:name w:val="目次、标准名称标题"/>
    <w:basedOn w:val="1"/>
    <w:next w:val="4"/>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59">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6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61">
    <w:name w:val="标题 1 字符"/>
    <w:basedOn w:val="26"/>
    <w:link w:val="2"/>
    <w:qFormat/>
    <w:uiPriority w:val="9"/>
    <w:rPr>
      <w:b/>
      <w:bCs/>
      <w:kern w:val="44"/>
      <w:sz w:val="44"/>
      <w:szCs w:val="44"/>
    </w:rPr>
  </w:style>
  <w:style w:type="character" w:customStyle="1" w:styleId="62">
    <w:name w:val="标题 2 字符"/>
    <w:basedOn w:val="26"/>
    <w:link w:val="5"/>
    <w:qFormat/>
    <w:uiPriority w:val="9"/>
    <w:rPr>
      <w:rFonts w:asciiTheme="majorHAnsi" w:hAnsiTheme="majorHAnsi" w:eastAsiaTheme="majorEastAsia" w:cstheme="majorBidi"/>
      <w:b/>
      <w:bCs/>
      <w:sz w:val="32"/>
      <w:szCs w:val="32"/>
    </w:rPr>
  </w:style>
  <w:style w:type="paragraph" w:customStyle="1" w:styleId="6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批注框文本 字符"/>
    <w:basedOn w:val="26"/>
    <w:link w:val="14"/>
    <w:semiHidden/>
    <w:qFormat/>
    <w:uiPriority w:val="99"/>
    <w:rPr>
      <w:sz w:val="18"/>
      <w:szCs w:val="18"/>
    </w:rPr>
  </w:style>
  <w:style w:type="paragraph" w:styleId="65">
    <w:name w:val="List Paragraph"/>
    <w:basedOn w:val="1"/>
    <w:qFormat/>
    <w:uiPriority w:val="99"/>
    <w:pPr>
      <w:ind w:firstLine="420" w:firstLineChars="200"/>
    </w:pPr>
  </w:style>
  <w:style w:type="character" w:customStyle="1" w:styleId="66">
    <w:name w:val="标题 3 字符"/>
    <w:basedOn w:val="26"/>
    <w:link w:val="6"/>
    <w:qFormat/>
    <w:uiPriority w:val="9"/>
    <w:rPr>
      <w:b/>
      <w:bCs/>
      <w:sz w:val="32"/>
      <w:szCs w:val="32"/>
    </w:rPr>
  </w:style>
  <w:style w:type="character" w:customStyle="1" w:styleId="67">
    <w:name w:val="正文文本 字符"/>
    <w:basedOn w:val="26"/>
    <w:link w:val="9"/>
    <w:qFormat/>
    <w:uiPriority w:val="1"/>
    <w:rPr>
      <w:rFonts w:ascii="宋体" w:hAnsi="宋体" w:eastAsia="宋体"/>
      <w:kern w:val="0"/>
      <w:szCs w:val="21"/>
      <w:lang w:eastAsia="en-US"/>
    </w:rPr>
  </w:style>
  <w:style w:type="paragraph" w:customStyle="1" w:styleId="68">
    <w:name w:val="标准书眉_偶数页"/>
    <w:basedOn w:val="43"/>
    <w:next w:val="1"/>
    <w:qFormat/>
    <w:uiPriority w:val="0"/>
    <w:pPr>
      <w:jc w:val="left"/>
    </w:pPr>
  </w:style>
  <w:style w:type="character" w:customStyle="1" w:styleId="69">
    <w:name w:val="日期 字符"/>
    <w:basedOn w:val="26"/>
    <w:link w:val="13"/>
    <w:semiHidden/>
    <w:qFormat/>
    <w:uiPriority w:val="99"/>
  </w:style>
  <w:style w:type="paragraph" w:customStyle="1" w:styleId="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customStyle="1" w:styleId="72">
    <w:name w:val="批注文字 字符"/>
    <w:basedOn w:val="26"/>
    <w:link w:val="8"/>
    <w:qFormat/>
    <w:uiPriority w:val="0"/>
  </w:style>
  <w:style w:type="character" w:customStyle="1" w:styleId="73">
    <w:name w:val="批注主题 字符"/>
    <w:basedOn w:val="72"/>
    <w:link w:val="23"/>
    <w:semiHidden/>
    <w:qFormat/>
    <w:uiPriority w:val="99"/>
    <w:rPr>
      <w:b/>
      <w:bCs/>
    </w:rPr>
  </w:style>
  <w:style w:type="paragraph" w:customStyle="1" w:styleId="74">
    <w:name w:val="条2"/>
    <w:basedOn w:val="1"/>
    <w:next w:val="4"/>
    <w:qFormat/>
    <w:uiPriority w:val="0"/>
    <w:pPr>
      <w:spacing w:beforeLines="50" w:afterLines="50"/>
      <w:outlineLvl w:val="1"/>
    </w:pPr>
    <w:rPr>
      <w:rFonts w:ascii="黑体" w:hAnsi="Times New Roman" w:eastAsia="黑体" w:cs="Times New Roman"/>
      <w:kern w:val="21"/>
      <w:szCs w:val="20"/>
    </w:rPr>
  </w:style>
  <w:style w:type="paragraph" w:customStyle="1" w:styleId="7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6">
    <w:name w:val="fontstyle01"/>
    <w:basedOn w:val="26"/>
    <w:qFormat/>
    <w:uiPriority w:val="0"/>
    <w:rPr>
      <w:rFonts w:hint="eastAsia" w:ascii="宋体" w:hAnsi="宋体" w:eastAsia="宋体"/>
      <w:color w:val="000000"/>
      <w:sz w:val="42"/>
      <w:szCs w:val="42"/>
    </w:rPr>
  </w:style>
  <w:style w:type="paragraph" w:customStyle="1" w:styleId="77">
    <w:name w:val="三级条标题"/>
    <w:basedOn w:val="37"/>
    <w:next w:val="1"/>
    <w:qFormat/>
    <w:uiPriority w:val="0"/>
    <w:pPr>
      <w:numPr>
        <w:ilvl w:val="0"/>
        <w:numId w:val="0"/>
      </w:numPr>
      <w:spacing w:beforeLines="50" w:afterLines="50"/>
      <w:outlineLvl w:val="4"/>
    </w:pPr>
  </w:style>
  <w:style w:type="paragraph" w:customStyle="1" w:styleId="78">
    <w:name w:val="四级条标题"/>
    <w:basedOn w:val="77"/>
    <w:next w:val="1"/>
    <w:qFormat/>
    <w:uiPriority w:val="0"/>
    <w:pPr>
      <w:outlineLvl w:val="5"/>
    </w:pPr>
  </w:style>
  <w:style w:type="paragraph" w:customStyle="1" w:styleId="79">
    <w:name w:val="五级条标题"/>
    <w:basedOn w:val="78"/>
    <w:next w:val="1"/>
    <w:qFormat/>
    <w:uiPriority w:val="0"/>
    <w:pPr>
      <w:outlineLvl w:val="6"/>
    </w:pPr>
  </w:style>
  <w:style w:type="paragraph" w:customStyle="1" w:styleId="80">
    <w:name w:val="Table Paragraph"/>
    <w:basedOn w:val="1"/>
    <w:qFormat/>
    <w:uiPriority w:val="1"/>
    <w:pPr>
      <w:spacing w:line="300" w:lineRule="auto"/>
      <w:jc w:val="left"/>
    </w:pPr>
    <w:rPr>
      <w:kern w:val="0"/>
      <w:sz w:val="22"/>
      <w:lang w:eastAsia="en-US"/>
    </w:rPr>
  </w:style>
  <w:style w:type="character" w:customStyle="1" w:styleId="81">
    <w:name w:val="章标题 Char"/>
    <w:link w:val="3"/>
    <w:qFormat/>
    <w:uiPriority w:val="0"/>
    <w:rPr>
      <w:rFonts w:ascii="黑体" w:hAnsi="Times New Roman" w:eastAsia="黑体" w:cs="Times New Roman"/>
      <w:kern w:val="0"/>
      <w:szCs w:val="20"/>
    </w:rPr>
  </w:style>
  <w:style w:type="paragraph" w:customStyle="1" w:styleId="82">
    <w:name w:val="二级无"/>
    <w:basedOn w:val="37"/>
    <w:qFormat/>
    <w:uiPriority w:val="0"/>
    <w:pPr>
      <w:numPr>
        <w:numId w:val="2"/>
      </w:numPr>
    </w:pPr>
    <w:rPr>
      <w:rFonts w:ascii="宋体" w:eastAsia="宋体"/>
    </w:rPr>
  </w:style>
  <w:style w:type="paragraph" w:customStyle="1" w:styleId="8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4">
    <w:name w:val="标准文件_章标题"/>
    <w:next w:val="85"/>
    <w:qFormat/>
    <w:uiPriority w:val="0"/>
    <w:pPr>
      <w:numPr>
        <w:ilvl w:val="1"/>
        <w:numId w:val="3"/>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8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标准文件_一级条标题"/>
    <w:basedOn w:val="84"/>
    <w:next w:val="85"/>
    <w:qFormat/>
    <w:uiPriority w:val="0"/>
    <w:pPr>
      <w:numPr>
        <w:ilvl w:val="2"/>
      </w:numPr>
      <w:spacing w:before="50" w:beforeLines="50" w:after="50" w:afterLines="50"/>
      <w:outlineLvl w:val="1"/>
    </w:pPr>
  </w:style>
  <w:style w:type="paragraph" w:customStyle="1" w:styleId="87">
    <w:name w:val="标准文件_二级条标题"/>
    <w:next w:val="85"/>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58455-53AE-4886-9D99-CC4DC38AC97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1857</Words>
  <Characters>2324</Characters>
  <Lines>18</Lines>
  <Paragraphs>5</Paragraphs>
  <TotalTime>2</TotalTime>
  <ScaleCrop>false</ScaleCrop>
  <LinksUpToDate>false</LinksUpToDate>
  <CharactersWithSpaces>2479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2023-04-04T09:04:00Z</dcterms:created>
  <dc:creator>Lenovo</dc:creator>
  <cp:lastModifiedBy>lenovo06</cp:lastModifiedBy>
  <cp:lastPrinted>2019-02-12T09:03:00Z</cp:lastPrinted>
  <dcterms:modified xsi:type="dcterms:W3CDTF">2024-06-18T09:30:42Z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270A798150A840EB8DBAB911E49F1446</vt:lpwstr>
  </property>
</Properties>
</file>