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Ansi="黑体" w:cs="黑体"/>
          <w:szCs w:val="20"/>
        </w:rPr>
      </w:pPr>
      <w:bookmarkStart w:id="0" w:name="_Toc525046548"/>
      <w:bookmarkStart w:id="1" w:name="_Toc509826185"/>
      <w:bookmarkStart w:id="2" w:name="_Toc530051741"/>
      <w:bookmarkStart w:id="3" w:name="_Toc873628"/>
      <w:bookmarkStart w:id="4" w:name="_Toc415043548"/>
      <w:bookmarkStart w:id="5" w:name="_Toc13964"/>
      <w:bookmarkStart w:id="6" w:name="_Toc385602845"/>
      <w:bookmarkStart w:id="7" w:name="_Toc415043487"/>
      <w:r>
        <w:rPr>
          <w:rFonts w:ascii="Times New Roman"/>
          <w:b/>
          <w:bCs/>
          <w:szCs w:val="20"/>
        </w:rPr>
        <w:t>ICS</w:t>
      </w:r>
      <w:r>
        <w:rPr>
          <w:rFonts w:hint="eastAsia" w:hAnsi="黑体" w:cs="黑体"/>
          <w:szCs w:val="20"/>
        </w:rPr>
        <w:t xml:space="preserve"> 97.180</w:t>
      </w:r>
    </w:p>
    <w:p>
      <w:pPr>
        <w:pStyle w:val="36"/>
        <w:rPr>
          <w:rFonts w:hAnsi="黑体" w:cs="黑体"/>
          <w:szCs w:val="20"/>
        </w:rPr>
      </w:pPr>
      <w:r>
        <w:rPr>
          <w:rFonts w:ascii="Times New Roman"/>
          <w:b/>
          <w:bCs/>
          <w:szCs w:val="20"/>
        </w:rPr>
        <w:t>CCS</w:t>
      </w:r>
      <w:r>
        <w:rPr>
          <w:rFonts w:hint="eastAsia" w:hAnsi="黑体" w:cs="黑体"/>
          <w:szCs w:val="20"/>
        </w:rPr>
        <w:t xml:space="preserve"> Y 50</w:t>
      </w:r>
    </w:p>
    <w:p>
      <w:pPr>
        <w:pStyle w:val="36"/>
        <w:rPr>
          <w:rFonts w:hAnsi="黑体" w:cs="黑体"/>
          <w:szCs w:val="20"/>
        </w:rPr>
      </w:pPr>
    </w:p>
    <w:p>
      <w:pPr>
        <w:rPr>
          <w:rFonts w:ascii="黑体" w:hAnsi="黑体" w:eastAsia="黑体" w:cs="黑体"/>
          <w:sz w:val="18"/>
          <w:szCs w:val="18"/>
        </w:rPr>
      </w:pPr>
    </w:p>
    <w:p>
      <w:pPr>
        <w:snapToGrid w:val="0"/>
        <w:spacing w:after="57"/>
        <w:jc w:val="center"/>
        <w:rPr>
          <w:rFonts w:ascii="黑体" w:hAnsi="黑体" w:eastAsia="黑体" w:cs="黑体"/>
          <w:sz w:val="72"/>
          <w:szCs w:val="72"/>
        </w:rPr>
      </w:pPr>
      <w:r>
        <w:rPr>
          <w:rFonts w:hint="eastAsia" w:ascii="黑体" w:hAnsi="黑体" w:eastAsia="黑体" w:cs="黑体"/>
          <w:sz w:val="72"/>
          <w:szCs w:val="72"/>
        </w:rPr>
        <w:t>团     体     标     准</w:t>
      </w:r>
    </w:p>
    <w:p>
      <w:pPr>
        <w:pStyle w:val="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rPr>
        <w:t>XXXX</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rPr>
        <w:t>XXXX—XXXX</w:t>
      </w:r>
    </w:p>
    <w:p>
      <w:pPr>
        <w:pStyle w:val="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rPr>
        <w:t>/XXXX</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rPr>
        <w:t>XXXX—XXXX</w:t>
      </w:r>
    </w:p>
    <w:p>
      <w:pPr>
        <w:pStyle w:val="4"/>
        <w:ind w:right="-2" w:firstLine="0" w:firstLineChars="0"/>
        <w:jc w:val="right"/>
        <w:rPr>
          <w:rFonts w:ascii="黑体" w:hAnsi="黑体" w:eastAsia="黑体" w:cs="黑体"/>
          <w:b/>
          <w:sz w:val="24"/>
          <w:szCs w:val="24"/>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35pt;margin-top:2.55pt;height:0pt;width:481.9pt;z-index:251660288;mso-width-relative:page;mso-height-relative:page;" filled="f" stroked="t" coordsize="21600,21600" o:gfxdata="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ZtxX1AAAAAUB&#10;AAAPAAAAAAAAAAEAIAAAACIAAABkcnMvZG93bnJldi54bWxQSwECFAAUAAAACACHTuJAvIsAbuYB&#10;AACtAwAADgAAAAAAAAABACAAAAAjAQAAZHJzL2Uyb0RvYy54bWxQSwUGAAAAAAYABgBZAQAAewUA&#10;AAAA&#10;">
                <v:fill on="f" focussize="0,0"/>
                <v:stroke weight="1pt" color="#080000" joinstyle="round"/>
                <v:imagedata o:title=""/>
                <o:lock v:ext="edit" aspectratio="f"/>
              </v:line>
            </w:pict>
          </mc:Fallback>
        </mc:AlternateContent>
      </w:r>
    </w:p>
    <w:p>
      <w:pPr>
        <w:pStyle w:val="4"/>
        <w:ind w:firstLine="0" w:firstLineChars="0"/>
        <w:rPr>
          <w:rFonts w:ascii="黑体" w:hAnsi="黑体" w:eastAsia="黑体" w:cs="黑体"/>
          <w:b/>
          <w:spacing w:val="40"/>
          <w:kern w:val="0"/>
          <w:sz w:val="52"/>
          <w:szCs w:val="52"/>
        </w:rPr>
      </w:pPr>
    </w:p>
    <w:p>
      <w:pPr>
        <w:pStyle w:val="4"/>
        <w:ind w:firstLine="548" w:firstLineChars="100"/>
        <w:jc w:val="center"/>
        <w:rPr>
          <w:rFonts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 xml:space="preserve">质量分级及“领跑者”评价要求  </w:t>
      </w:r>
    </w:p>
    <w:p>
      <w:pPr>
        <w:pStyle w:val="4"/>
        <w:ind w:firstLine="548" w:firstLineChars="100"/>
        <w:jc w:val="center"/>
        <w:rPr>
          <w:rFonts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中性墨水圆珠笔和笔芯</w:t>
      </w:r>
    </w:p>
    <w:p>
      <w:pPr>
        <w:spacing w:before="156" w:beforeLines="50" w:line="360" w:lineRule="exact"/>
        <w:jc w:val="center"/>
        <w:rPr>
          <w:rFonts w:ascii="黑体" w:hAnsi="黑体" w:eastAsia="黑体" w:cs="黑体"/>
          <w:kern w:val="0"/>
          <w:sz w:val="28"/>
          <w:szCs w:val="28"/>
          <w:shd w:val="clear" w:color="auto" w:fill="FFFFFF"/>
        </w:rPr>
      </w:pPr>
      <w:r>
        <w:rPr>
          <w:rFonts w:hint="eastAsia" w:ascii="黑体" w:hAnsi="黑体" w:eastAsia="黑体" w:cs="黑体"/>
          <w:kern w:val="0"/>
          <w:sz w:val="28"/>
          <w:szCs w:val="28"/>
        </w:rPr>
        <w:t xml:space="preserve"> </w:t>
      </w:r>
      <w:r>
        <w:rPr>
          <w:rFonts w:ascii="Times New Roman" w:hAnsi="Times New Roman" w:eastAsia="黑体" w:cs="Times New Roman"/>
          <w:kern w:val="0"/>
          <w:sz w:val="28"/>
          <w:szCs w:val="28"/>
        </w:rPr>
        <w:t xml:space="preserve"> </w:t>
      </w:r>
      <w:r>
        <w:rPr>
          <w:rFonts w:hint="eastAsia" w:ascii="黑体" w:hAnsi="黑体" w:eastAsia="黑体" w:cs="黑体"/>
          <w:kern w:val="0"/>
          <w:sz w:val="28"/>
          <w:szCs w:val="28"/>
        </w:rPr>
        <w:t xml:space="preserve">   </w:t>
      </w:r>
      <w:r>
        <w:rPr>
          <w:rFonts w:hint="eastAsia" w:ascii="黑体" w:hAnsi="黑体" w:eastAsia="黑体" w:cs="黑体"/>
          <w:sz w:val="28"/>
          <w:szCs w:val="28"/>
        </w:rPr>
        <w:t>Assessment requirements for quality grading and forerunner</w:t>
      </w:r>
      <w:r>
        <w:rPr>
          <w:rFonts w:hint="eastAsia" w:ascii="黑体" w:hAnsi="黑体" w:eastAsia="黑体" w:cs="黑体"/>
          <w:kern w:val="0"/>
          <w:sz w:val="28"/>
          <w:szCs w:val="28"/>
        </w:rPr>
        <w:t xml:space="preserve"> —</w:t>
      </w:r>
      <w:r>
        <w:rPr>
          <w:rFonts w:ascii="黑体" w:hAnsi="黑体" w:eastAsia="黑体" w:cs="黑体"/>
          <w:kern w:val="0"/>
          <w:sz w:val="28"/>
          <w:szCs w:val="28"/>
        </w:rPr>
        <w:t>G</w:t>
      </w:r>
      <w:r>
        <w:rPr>
          <w:rFonts w:hint="eastAsia" w:ascii="黑体" w:hAnsi="黑体" w:eastAsia="黑体" w:cs="黑体"/>
          <w:kern w:val="0"/>
          <w:sz w:val="28"/>
          <w:szCs w:val="28"/>
        </w:rPr>
        <w:t>el</w:t>
      </w:r>
      <w:r>
        <w:rPr>
          <w:rFonts w:ascii="黑体" w:hAnsi="黑体" w:eastAsia="黑体" w:cs="黑体"/>
          <w:kern w:val="0"/>
          <w:sz w:val="28"/>
          <w:szCs w:val="28"/>
        </w:rPr>
        <w:t xml:space="preserve"> </w:t>
      </w:r>
      <w:r>
        <w:rPr>
          <w:rFonts w:hint="eastAsia" w:ascii="黑体" w:hAnsi="黑体" w:eastAsia="黑体" w:cs="黑体"/>
          <w:kern w:val="0"/>
          <w:sz w:val="28"/>
          <w:szCs w:val="28"/>
        </w:rPr>
        <w:t>ink</w:t>
      </w:r>
      <w:r>
        <w:rPr>
          <w:rFonts w:ascii="黑体" w:hAnsi="黑体" w:eastAsia="黑体" w:cs="黑体"/>
          <w:kern w:val="0"/>
          <w:sz w:val="28"/>
          <w:szCs w:val="28"/>
        </w:rPr>
        <w:t xml:space="preserve"> </w:t>
      </w:r>
      <w:r>
        <w:rPr>
          <w:rFonts w:hint="eastAsia" w:ascii="黑体" w:hAnsi="黑体" w:eastAsia="黑体" w:cs="黑体"/>
          <w:kern w:val="0"/>
          <w:sz w:val="28"/>
          <w:szCs w:val="28"/>
        </w:rPr>
        <w:t>ball</w:t>
      </w:r>
      <w:r>
        <w:rPr>
          <w:rFonts w:ascii="黑体" w:hAnsi="黑体" w:eastAsia="黑体" w:cs="黑体"/>
          <w:kern w:val="0"/>
          <w:sz w:val="28"/>
          <w:szCs w:val="28"/>
        </w:rPr>
        <w:t xml:space="preserve"> </w:t>
      </w:r>
      <w:r>
        <w:rPr>
          <w:rFonts w:hint="eastAsia" w:ascii="黑体" w:hAnsi="黑体" w:eastAsia="黑体" w:cs="黑体"/>
          <w:kern w:val="0"/>
          <w:sz w:val="28"/>
          <w:szCs w:val="28"/>
        </w:rPr>
        <w:t>pens</w:t>
      </w:r>
      <w:r>
        <w:rPr>
          <w:rFonts w:ascii="黑体" w:hAnsi="黑体" w:eastAsia="黑体" w:cs="黑体"/>
          <w:kern w:val="0"/>
          <w:sz w:val="28"/>
          <w:szCs w:val="28"/>
        </w:rPr>
        <w:t xml:space="preserve"> </w:t>
      </w:r>
      <w:r>
        <w:rPr>
          <w:rFonts w:hint="eastAsia" w:ascii="黑体" w:hAnsi="黑体" w:eastAsia="黑体" w:cs="黑体"/>
          <w:kern w:val="0"/>
          <w:sz w:val="28"/>
          <w:szCs w:val="28"/>
        </w:rPr>
        <w:t>and</w:t>
      </w:r>
      <w:r>
        <w:rPr>
          <w:rFonts w:ascii="黑体" w:hAnsi="黑体" w:eastAsia="黑体" w:cs="黑体"/>
          <w:kern w:val="0"/>
          <w:sz w:val="28"/>
          <w:szCs w:val="28"/>
        </w:rPr>
        <w:t xml:space="preserve"> </w:t>
      </w:r>
      <w:r>
        <w:rPr>
          <w:rFonts w:hint="eastAsia" w:ascii="黑体" w:hAnsi="黑体" w:eastAsia="黑体" w:cs="黑体"/>
          <w:kern w:val="0"/>
          <w:sz w:val="28"/>
          <w:szCs w:val="28"/>
        </w:rPr>
        <w:t xml:space="preserve">refills </w:t>
      </w:r>
    </w:p>
    <w:p>
      <w:pPr>
        <w:pStyle w:val="4"/>
        <w:ind w:firstLine="0" w:firstLineChars="0"/>
        <w:rPr>
          <w:rFonts w:ascii="黑体" w:hAnsi="黑体" w:eastAsia="黑体" w:cs="黑体"/>
          <w:kern w:val="0"/>
          <w:sz w:val="36"/>
          <w:szCs w:val="20"/>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83"/>
        <w:framePr w:w="3469" w:h="665" w:hRule="exact" w:wrap="around" w:vAnchor="page" w:hAnchor="page" w:x="4147" w:y="15116"/>
        <w:spacing w:line="560" w:lineRule="exact"/>
        <w:rPr>
          <w:rFonts w:ascii="黑体" w:hAnsi="黑体" w:eastAsia="黑体" w:cs="黑体"/>
          <w:b w:val="0"/>
          <w:spacing w:val="0"/>
          <w:w w:val="100"/>
          <w:sz w:val="28"/>
          <w:szCs w:val="28"/>
        </w:rPr>
      </w:pPr>
      <w:bookmarkStart w:id="8" w:name="_Hlk131520131"/>
      <w:r>
        <w:rPr>
          <w:rFonts w:ascii="黑体" w:hAnsi="黑体" w:eastAsia="黑体" w:cs="黑体"/>
          <w:b w:val="0"/>
          <w:spacing w:val="0"/>
          <w:w w:val="100"/>
          <w:sz w:val="28"/>
          <w:szCs w:val="28"/>
        </w:rPr>
        <w:t>浙江省计量与标准化学会</w:t>
      </w:r>
    </w:p>
    <w:bookmarkEnd w:id="0"/>
    <w:bookmarkEnd w:id="1"/>
    <w:bookmarkEnd w:id="2"/>
    <w:bookmarkEnd w:id="3"/>
    <w:bookmarkEnd w:id="8"/>
    <w:p>
      <w:pPr>
        <w:rPr>
          <w:rFonts w:ascii="宋体"/>
          <w:szCs w:val="21"/>
        </w:rPr>
      </w:pPr>
      <w:bookmarkStart w:id="9" w:name="_Toc65687976"/>
      <w:bookmarkStart w:id="10" w:name="_Toc415043894"/>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mc:AlternateContent>
          <mc:Choice Requires="wps">
            <w:drawing>
              <wp:anchor distT="45720" distB="45720" distL="114300" distR="114300" simplePos="0" relativeHeight="251662336" behindDoc="0" locked="0" layoutInCell="1" allowOverlap="1">
                <wp:simplePos x="0" y="0"/>
                <wp:positionH relativeFrom="column">
                  <wp:posOffset>89535</wp:posOffset>
                </wp:positionH>
                <wp:positionV relativeFrom="paragraph">
                  <wp:posOffset>384175</wp:posOffset>
                </wp:positionV>
                <wp:extent cx="1581150" cy="381000"/>
                <wp:effectExtent l="0" t="0" r="1905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05pt;margin-top:30.25pt;height:30pt;width:124.5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jhSh9UAAAAJAQAADwAAAAAAAAABACAAAAAiAAAAZHJzL2Rvd25yZXYu&#10;eG1sUEsBAhQAFAAAAAgAh07iQKi6b4I3AgAAfQQAAA4AAAAAAAAAAQAgAAAAJAEAAGRycy9lMm9E&#10;b2MueG1sUEsFBgAAAAAGAAYAWQEAAM0FA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v:textbox>
                <w10:wrap type="square"/>
              </v:shape>
            </w:pict>
          </mc:Fallback>
        </mc:AlternateContent>
      </w:r>
      <w:r>
        <w:rPr>
          <w:rFonts w:hint="eastAsia" w:ascii="宋体"/>
          <w:szCs w:val="21"/>
        </w:rPr>
        <w:br w:type="textWrapping"/>
      </w:r>
    </w:p>
    <w:p>
      <w:pPr>
        <w:pStyle w:val="83"/>
        <w:framePr w:w="954" w:h="654" w:hRule="exact" w:wrap="around" w:vAnchor="page" w:hAnchor="page" w:x="7459" w:y="15083"/>
        <w:spacing w:line="580" w:lineRule="exact"/>
        <w:rPr>
          <w:rFonts w:ascii="黑体" w:hAnsi="黑体" w:eastAsia="黑体" w:cs="黑体"/>
          <w:bCs/>
          <w:spacing w:val="0"/>
          <w:w w:val="100"/>
          <w:sz w:val="28"/>
          <w:szCs w:val="28"/>
        </w:rPr>
      </w:pPr>
      <w:r>
        <w:rPr>
          <w:rFonts w:hint="eastAsia" w:ascii="黑体" w:hAnsi="黑体" w:eastAsia="黑体" w:cs="黑体"/>
          <w:bCs/>
          <w:spacing w:val="0"/>
          <w:w w:val="100"/>
          <w:sz w:val="28"/>
          <w:szCs w:val="28"/>
        </w:rPr>
        <w:t>发布</w:t>
      </w:r>
    </w:p>
    <w:p>
      <w:pPr>
        <w:rPr>
          <w:rFonts w:ascii="宋体"/>
          <w:szCs w:val="21"/>
        </w:rPr>
      </w:pPr>
      <w:r>
        <w:rPr>
          <w:rFonts w:ascii="宋体"/>
          <w:szCs w:val="21"/>
        </w:rPr>
        <mc:AlternateContent>
          <mc:Choice Requires="wps">
            <w:drawing>
              <wp:anchor distT="45720" distB="45720" distL="114300" distR="114300" simplePos="0" relativeHeight="251663360" behindDoc="0" locked="0" layoutInCell="1" allowOverlap="1">
                <wp:simplePos x="0" y="0"/>
                <wp:positionH relativeFrom="column">
                  <wp:posOffset>2940685</wp:posOffset>
                </wp:positionH>
                <wp:positionV relativeFrom="paragraph">
                  <wp:posOffset>6985</wp:posOffset>
                </wp:positionV>
                <wp:extent cx="1558925" cy="393700"/>
                <wp:effectExtent l="0" t="0" r="22225" b="2540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8925" cy="393700"/>
                        </a:xfrm>
                        <a:prstGeom prst="rect">
                          <a:avLst/>
                        </a:prstGeom>
                        <a:solidFill>
                          <a:schemeClr val="bg1"/>
                        </a:solidFill>
                        <a:ln w="9525">
                          <a:solidFill>
                            <a:schemeClr val="bg1"/>
                          </a:solidFill>
                          <a:miter lim="800000"/>
                        </a:ln>
                      </wps:spPr>
                      <wps:txbx>
                        <w:txbxContent>
                          <w:p>
                            <w:pPr>
                              <w:jc w:val="center"/>
                            </w:pPr>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1.55pt;margin-top:0.55pt;height:31pt;width:122.75pt;mso-wrap-distance-bottom:3.6pt;mso-wrap-distance-left:9pt;mso-wrap-distance-right:9pt;mso-wrap-distance-top:3.6pt;z-index:251663360;mso-width-relative:page;mso-height-relative:page;" fillcolor="#FFFFFF [3212]" filled="t" stroked="t" coordsize="21600,21600" o:gfxdata="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kWcZ9YAAAAIAQAADwAAAAAAAAABACAAAAAiAAAAZHJzL2Rvd25yZXYu&#10;eG1sUEsBAhQAFAAAAAgAh07iQBSpckc2AgAAfAQAAA4AAAAAAAAAAQAgAAAAJQEAAGRycy9lMm9E&#10;b2MueG1sUEsFBgAAAAAGAAYAWQEAAM0FAAAAAA==&#10;">
                <v:fill on="t" focussize="0,0"/>
                <v:stroke color="#FFFFFF [3212]" miterlimit="8" joinstyle="miter"/>
                <v:imagedata o:title=""/>
                <o:lock v:ext="edit" aspectratio="f"/>
                <v:textbox>
                  <w:txbxContent>
                    <w:p>
                      <w:pPr>
                        <w:jc w:val="center"/>
                      </w:pPr>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v:textbox>
                <w10:wrap type="square"/>
              </v:shape>
            </w:pict>
          </mc:Fallback>
        </mc:AlternateContent>
      </w:r>
    </w:p>
    <w:p>
      <w:pPr>
        <w:jc w:val="left"/>
        <w:rPr>
          <w:rFonts w:ascii="黑体" w:hAnsi="微软雅黑" w:eastAsia="黑体"/>
          <w:sz w:val="28"/>
          <w:szCs w:val="28"/>
        </w:rPr>
      </w:pPr>
      <w:r>
        <w:rPr>
          <w:rFonts w:hint="eastAsia" w:ascii="黑体" w:hAnsi="黑体" w:eastAsia="黑体" w:cs="黑体"/>
          <w:sz w:val="28"/>
          <w:szCs w:val="28"/>
        </w:rPr>
        <mc:AlternateContent>
          <mc:Choice Requires="wps">
            <w:drawing>
              <wp:anchor distT="0" distB="0" distL="114300" distR="114300" simplePos="0" relativeHeight="251664384" behindDoc="0" locked="0" layoutInCell="1" allowOverlap="1">
                <wp:simplePos x="0" y="0"/>
                <wp:positionH relativeFrom="column">
                  <wp:posOffset>201295</wp:posOffset>
                </wp:positionH>
                <wp:positionV relativeFrom="paragraph">
                  <wp:posOffset>233045</wp:posOffset>
                </wp:positionV>
                <wp:extent cx="6121400" cy="0"/>
                <wp:effectExtent l="0" t="0" r="0" b="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5.85pt;margin-top:18.35pt;height:0pt;width:482pt;z-index:251664384;mso-width-relative:page;mso-height-relative:page;" filled="f" stroked="t" coordsize="21600,21600" o:gfxdata="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nqvn1gAAAAgB&#10;AAAPAAAAAAAAAAEAIAAAACIAAABkcnMvZG93bnJldi54bWxQSwECFAAUAAAACACHTuJAb7qvlOQB&#10;AACsAwAADgAAAAAAAAABACAAAAAlAQAAZHJzL2Uyb0RvYy54bWxQSwUGAAAAAAYABgBZAQAAewUA&#10;AAAA&#10;">
                <v:fill on="f" focussize="0,0"/>
                <v:stroke weight="1pt" color="#080000" joinstyle="round"/>
                <v:imagedata o:title=""/>
                <o:lock v:ext="edit" aspectratio="f"/>
              </v:line>
            </w:pict>
          </mc:Fallback>
        </mc:AlternateContent>
      </w:r>
      <w:r>
        <w:rPr>
          <w:rFonts w:hint="eastAsia" w:ascii="黑体" w:hAnsi="黑体" w:eastAsia="黑体"/>
          <w:w w:val="99"/>
          <w:sz w:val="28"/>
          <w:szCs w:val="28"/>
        </w:rPr>
        <w:t xml:space="preserve">                       </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2"/>
      </w:pPr>
      <w:r>
        <w:rPr>
          <w:rFonts w:hint="eastAsia"/>
        </w:rPr>
        <w:t>前</w:t>
      </w:r>
      <w:bookmarkStart w:id="11" w:name="BKQY"/>
      <w:r>
        <w:rPr>
          <w:rFonts w:hint="eastAsia"/>
        </w:rPr>
        <w:t>  言</w:t>
      </w:r>
      <w:bookmarkEnd w:id="4"/>
      <w:bookmarkEnd w:id="5"/>
      <w:bookmarkEnd w:id="6"/>
      <w:bookmarkEnd w:id="7"/>
      <w:bookmarkEnd w:id="9"/>
      <w:bookmarkEnd w:id="10"/>
      <w:bookmarkEnd w:id="11"/>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ascii="宋体" w:hAnsi="宋体"/>
          <w:szCs w:val="21"/>
        </w:rPr>
      </w:pPr>
      <w:r>
        <w:rPr>
          <w:rFonts w:hint="eastAsia" w:ascii="宋体" w:hAnsi="宋体"/>
          <w:szCs w:val="21"/>
        </w:rPr>
        <w:t>本文件按照GB/T 1.1—2020《标准化工作导则  第1部分：标准化文件的结构和起草规则》和T/CAS 700—2023、</w:t>
      </w:r>
      <w:r>
        <w:rPr>
          <w:rFonts w:hint="eastAsia" w:ascii="宋体" w:hAnsi="宋体" w:cs="Arial"/>
          <w:szCs w:val="21"/>
        </w:rPr>
        <w:t>T/CSTE 0321</w:t>
      </w:r>
      <w:r>
        <w:rPr>
          <w:rFonts w:hint="eastAsia" w:ascii="宋体" w:hAnsi="宋体"/>
          <w:szCs w:val="21"/>
        </w:rPr>
        <w:t>—</w:t>
      </w:r>
      <w:r>
        <w:rPr>
          <w:rFonts w:hint="eastAsia" w:ascii="宋体" w:hAnsi="宋体" w:cs="Arial"/>
          <w:szCs w:val="21"/>
        </w:rPr>
        <w:t>2023《质量分级及“领跑者”评价标准</w:t>
      </w:r>
      <w:r>
        <w:rPr>
          <w:rFonts w:hint="eastAsia" w:ascii="宋体" w:hAnsi="宋体" w:cs="Arial"/>
          <w:szCs w:val="21"/>
          <w:lang w:val="en-US" w:eastAsia="zh-CN"/>
        </w:rPr>
        <w:t xml:space="preserve">  </w:t>
      </w:r>
      <w:r>
        <w:rPr>
          <w:rFonts w:hint="eastAsia" w:ascii="宋体" w:hAnsi="宋体" w:cs="Arial"/>
          <w:szCs w:val="21"/>
        </w:rPr>
        <w:t>编制通则》</w:t>
      </w:r>
      <w:r>
        <w:rPr>
          <w:rFonts w:hint="eastAsia" w:ascii="宋体" w:hAnsi="宋体"/>
          <w:szCs w:val="21"/>
        </w:rPr>
        <w:t>的规定起草。</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20" w:firstLineChars="200"/>
        <w:textAlignment w:val="auto"/>
        <w:rPr>
          <w:rFonts w:ascii="宋体" w:hAnsi="宋体" w:eastAsia="宋体" w:cs="Times New Roman"/>
          <w:kern w:val="0"/>
        </w:rPr>
      </w:pPr>
      <w:r>
        <w:rPr>
          <w:rFonts w:ascii="宋体" w:hAnsi="宋体" w:eastAsia="宋体" w:cs="Times New Roman"/>
          <w:kern w:val="0"/>
        </w:rPr>
        <w:t>请注意本文件的某些内容可能涉及专利。本文件的发布机构不承担识别专利的责任。</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cs="宋体"/>
        </w:rPr>
      </w:pPr>
      <w:r>
        <w:rPr>
          <w:rFonts w:cs="宋体"/>
        </w:rPr>
        <w:t>本</w:t>
      </w:r>
      <w:r>
        <w:rPr>
          <w:rFonts w:hint="eastAsia" w:cs="宋体"/>
        </w:rPr>
        <w:t>文件</w:t>
      </w:r>
      <w:r>
        <w:rPr>
          <w:rFonts w:cs="宋体"/>
        </w:rPr>
        <w:t>由</w:t>
      </w:r>
      <w:r>
        <w:rPr>
          <w:rFonts w:hint="eastAsia" w:cs="宋体"/>
          <w:lang w:val="en-US" w:eastAsia="zh-CN"/>
        </w:rPr>
        <w:t>义乌市标准化研究院</w:t>
      </w:r>
      <w:r>
        <w:rPr>
          <w:rFonts w:hint="eastAsia" w:cs="宋体"/>
        </w:rPr>
        <w:t>提出。</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cs="宋体"/>
        </w:rPr>
      </w:pPr>
      <w:r>
        <w:rPr>
          <w:rFonts w:hint="eastAsia" w:cs="宋体"/>
        </w:rPr>
        <w:t>本文件由浙江省计量与标准化学会归口。</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default" w:cs="宋体" w:eastAsiaTheme="minorEastAsia"/>
          <w:lang w:val="en-US" w:eastAsia="zh-CN"/>
        </w:rPr>
      </w:pPr>
      <w:r>
        <w:rPr>
          <w:rFonts w:hint="eastAsia" w:cs="宋体"/>
        </w:rPr>
        <w:t>本文件起草单位</w:t>
      </w:r>
      <w:r>
        <w:rPr>
          <w:rFonts w:cs="宋体"/>
        </w:rPr>
        <w:t>：</w:t>
      </w:r>
      <w:r>
        <w:rPr>
          <w:rFonts w:hint="eastAsia" w:cs="宋体"/>
          <w:lang w:val="en-US" w:eastAsia="zh-CN"/>
        </w:rPr>
        <w:t>义乌市瑞升笔业有限公司、义乌市制笔行业协会、浙江省标准化研究院。</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default" w:cs="宋体" w:eastAsiaTheme="minorEastAsia"/>
          <w:lang w:val="en-US" w:eastAsia="zh-CN"/>
        </w:rPr>
      </w:pPr>
      <w:r>
        <w:rPr>
          <w:rFonts w:hint="eastAsia" w:cs="宋体"/>
        </w:rPr>
        <w:t>本文件主要起草人：</w:t>
      </w:r>
      <w:r>
        <w:rPr>
          <w:rFonts w:hint="eastAsia" w:cs="宋体"/>
          <w:lang w:val="en-US" w:eastAsia="zh-CN"/>
        </w:rPr>
        <w:t>周天航、赵国庆、陈晓毅、余子英、王江义。</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szCs w:val="21"/>
        </w:rPr>
      </w:pPr>
      <w:bookmarkStart w:id="12" w:name="_Toc65687977"/>
      <w:r>
        <w:rPr>
          <w:rFonts w:hint="eastAsia"/>
          <w:szCs w:val="21"/>
        </w:rPr>
        <w:t>本文件为首次发布。</w:t>
      </w:r>
    </w:p>
    <w:p>
      <w:pPr>
        <w:pStyle w:val="58"/>
        <w:spacing w:before="312" w:beforeLines="100" w:after="312" w:afterLines="100"/>
        <w:outlineLvl w:val="9"/>
        <w:sectPr>
          <w:headerReference r:id="rId3" w:type="default"/>
          <w:footerReference r:id="rId4" w:type="default"/>
          <w:pgSz w:w="11906" w:h="16838"/>
          <w:pgMar w:top="1134" w:right="1134" w:bottom="1134" w:left="1134" w:header="907" w:footer="850" w:gutter="0"/>
          <w:pgNumType w:fmt="upperRoman" w:start="1"/>
          <w:cols w:space="720" w:num="1"/>
          <w:formProt w:val="0"/>
          <w:docGrid w:type="lines" w:linePitch="312" w:charSpace="0"/>
        </w:sectPr>
      </w:pPr>
      <w:bookmarkStart w:id="86" w:name="_GoBack"/>
      <w:bookmarkEnd w:id="86"/>
    </w:p>
    <w:p>
      <w:pPr>
        <w:pStyle w:val="58"/>
        <w:outlineLvl w:val="9"/>
      </w:pPr>
      <w:r>
        <w:tab/>
      </w:r>
      <w:bookmarkEnd w:id="12"/>
      <w:r>
        <w:rPr>
          <w:rFonts w:hint="eastAsia"/>
        </w:rPr>
        <w:t>质量分级及“领跑者”评价要求  中性墨水圆珠笔和笔芯</w:t>
      </w:r>
    </w:p>
    <w:p>
      <w:pPr>
        <w:pStyle w:val="84"/>
        <w:spacing w:before="312" w:after="312"/>
      </w:pPr>
      <w:bookmarkStart w:id="13" w:name="_Toc26986771"/>
      <w:bookmarkStart w:id="14" w:name="_Toc16323"/>
      <w:bookmarkStart w:id="15" w:name="_Toc107298439"/>
      <w:bookmarkStart w:id="16" w:name="_Toc17233325"/>
      <w:bookmarkStart w:id="17" w:name="_Toc109198981"/>
      <w:bookmarkStart w:id="18" w:name="_Toc107327237"/>
      <w:bookmarkStart w:id="19" w:name="_Toc97191423"/>
      <w:bookmarkStart w:id="20" w:name="_Toc112679851"/>
      <w:bookmarkStart w:id="21" w:name="_Toc24884218"/>
      <w:bookmarkStart w:id="22" w:name="_Toc2871"/>
      <w:bookmarkStart w:id="23" w:name="_Toc24884211"/>
      <w:bookmarkStart w:id="24" w:name="_Toc17233333"/>
      <w:bookmarkStart w:id="25" w:name="_Toc26648465"/>
      <w:bookmarkStart w:id="26" w:name="_Toc109199004"/>
      <w:bookmarkStart w:id="27" w:name="_Toc26986530"/>
      <w:bookmarkStart w:id="28" w:name="_Toc106980384"/>
      <w:bookmarkStart w:id="29" w:name="_Toc26718930"/>
      <w:bookmarkStart w:id="30" w:name="_Toc107412111"/>
      <w:bookmarkStart w:id="31" w:name="_Toc415043895"/>
      <w:bookmarkStart w:id="32" w:name="_Toc385601798"/>
      <w:bookmarkStart w:id="33" w:name="_Toc23920"/>
      <w:bookmarkStart w:id="34" w:name="_Toc65687978"/>
      <w:bookmarkStart w:id="35" w:name="_Toc415043488"/>
      <w:bookmarkStart w:id="36" w:name="_Toc385602847"/>
      <w:bookmarkStart w:id="37" w:name="_Toc415043549"/>
      <w:r>
        <w:rPr>
          <w:rFonts w:hint="eastAsia"/>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bookmarkEnd w:id="31"/>
    <w:bookmarkEnd w:id="32"/>
    <w:bookmarkEnd w:id="33"/>
    <w:bookmarkEnd w:id="34"/>
    <w:bookmarkEnd w:id="35"/>
    <w:bookmarkEnd w:id="36"/>
    <w:bookmarkEnd w:id="37"/>
    <w:p>
      <w:pPr>
        <w:pStyle w:val="4"/>
        <w:spacing w:line="276" w:lineRule="auto"/>
      </w:pPr>
      <w:r>
        <w:rPr>
          <w:rFonts w:hint="eastAsia"/>
        </w:rPr>
        <w:t>本文件规定了</w:t>
      </w:r>
      <w:r>
        <w:rPr>
          <w:rFonts w:hint="eastAsia" w:asciiTheme="minorHAnsi"/>
        </w:rPr>
        <w:t>中性墨水圆珠笔和笔芯</w:t>
      </w:r>
      <w:r>
        <w:rPr>
          <w:rFonts w:hint="eastAsia"/>
        </w:rPr>
        <w:t>质量分级及企业标准水平的</w:t>
      </w:r>
      <w:r>
        <w:rPr>
          <w:rFonts w:hint="eastAsia" w:hAnsi="宋体" w:eastAsia="宋体" w:cs="Arial"/>
          <w:szCs w:val="21"/>
        </w:rPr>
        <w:t>基本要求、评价指标及要求、</w:t>
      </w:r>
      <w:r>
        <w:rPr>
          <w:rFonts w:ascii="Times New Roman"/>
          <w:szCs w:val="21"/>
        </w:rPr>
        <w:t>评价</w:t>
      </w:r>
      <w:r>
        <w:rPr>
          <w:rFonts w:hint="eastAsia" w:ascii="Times New Roman"/>
          <w:szCs w:val="21"/>
        </w:rPr>
        <w:t>方法及等级划分</w:t>
      </w:r>
      <w:r>
        <w:rPr>
          <w:rFonts w:hint="eastAsia"/>
        </w:rPr>
        <w:t>。</w:t>
      </w:r>
    </w:p>
    <w:p>
      <w:pPr>
        <w:pStyle w:val="4"/>
        <w:spacing w:line="276" w:lineRule="auto"/>
        <w:rPr>
          <w:rFonts w:eastAsia="宋体"/>
        </w:rPr>
      </w:pPr>
      <w:r>
        <w:rPr>
          <w:rFonts w:hint="eastAsia" w:hAnsi="宋体"/>
        </w:rPr>
        <w:t>本</w:t>
      </w:r>
      <w:r>
        <w:rPr>
          <w:rFonts w:hint="eastAsia"/>
        </w:rPr>
        <w:t>文件适用于</w:t>
      </w:r>
      <w:bookmarkStart w:id="38" w:name="_Hlk42777362"/>
      <w:r>
        <w:rPr>
          <w:rFonts w:hint="eastAsia"/>
        </w:rPr>
        <w:t>中性墨水圆珠笔和笔芯质量分级及企业标准水平评价</w:t>
      </w:r>
      <w:bookmarkEnd w:id="38"/>
      <w:r>
        <w:rPr>
          <w:rFonts w:hint="eastAsia"/>
        </w:rPr>
        <w:t>。相关机构开展质量分级和企业标准水平评价、“领跑者”产品评价以及相关认证或评价时可参照使用，相关企业在制定企业标准时也可参照本文件。</w:t>
      </w:r>
    </w:p>
    <w:p>
      <w:pPr>
        <w:pStyle w:val="84"/>
        <w:spacing w:before="312" w:after="312"/>
      </w:pPr>
      <w:bookmarkStart w:id="39" w:name="_Toc97191424"/>
      <w:bookmarkStart w:id="40" w:name="_Toc109199005"/>
      <w:bookmarkStart w:id="41" w:name="_Toc109198982"/>
      <w:bookmarkStart w:id="42" w:name="_Toc106980385"/>
      <w:bookmarkStart w:id="43" w:name="_Toc26986531"/>
      <w:bookmarkStart w:id="44" w:name="_Toc28435"/>
      <w:bookmarkStart w:id="45" w:name="_Toc107412112"/>
      <w:bookmarkStart w:id="46" w:name="_Toc20114"/>
      <w:bookmarkStart w:id="47" w:name="_Toc26986772"/>
      <w:bookmarkStart w:id="48" w:name="_Toc107298440"/>
      <w:bookmarkStart w:id="49" w:name="_Toc107327238"/>
      <w:bookmarkStart w:id="50" w:name="_Toc112679852"/>
      <w:bookmarkStart w:id="51" w:name="_Toc267189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pPr>
        <w:spacing w:line="276" w:lineRule="auto"/>
        <w:ind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eastAsia="宋体" w:cs="宋体"/>
        </w:rPr>
      </w:pPr>
      <w:r>
        <w:rPr>
          <w:rFonts w:ascii="宋体" w:hAnsi="宋体" w:eastAsia="宋体" w:cs="宋体"/>
        </w:rPr>
        <w:t xml:space="preserve">GB 6675.4  </w:t>
      </w:r>
      <w:r>
        <w:rPr>
          <w:rFonts w:hint="eastAsia" w:ascii="宋体" w:hAnsi="宋体" w:eastAsia="宋体" w:cs="宋体"/>
        </w:rPr>
        <w:t xml:space="preserve">玩具安全 </w:t>
      </w:r>
      <w:r>
        <w:rPr>
          <w:rFonts w:ascii="宋体" w:hAnsi="宋体" w:eastAsia="宋体" w:cs="宋体"/>
        </w:rPr>
        <w:t xml:space="preserve"> </w:t>
      </w:r>
      <w:r>
        <w:rPr>
          <w:rFonts w:hint="eastAsia" w:ascii="宋体" w:hAnsi="宋体" w:eastAsia="宋体" w:cs="宋体"/>
        </w:rPr>
        <w:t>第4部分：特定元素的迁移</w:t>
      </w:r>
    </w:p>
    <w:p>
      <w:pPr>
        <w:ind w:firstLine="420" w:firstLineChars="200"/>
        <w:rPr>
          <w:rFonts w:ascii="宋体" w:hAnsi="宋体" w:eastAsia="宋体" w:cs="宋体"/>
          <w:szCs w:val="21"/>
        </w:rPr>
      </w:pPr>
      <w:r>
        <w:rPr>
          <w:rFonts w:hint="eastAsia" w:ascii="宋体" w:hAnsi="宋体" w:eastAsia="宋体" w:cs="宋体"/>
        </w:rPr>
        <w:t>GB/T 19001  质量管理体系  要求</w:t>
      </w:r>
      <w:r>
        <w:rPr>
          <w:rFonts w:ascii="宋体" w:hAnsi="宋体" w:eastAsia="宋体" w:cs="宋体"/>
          <w:szCs w:val="21"/>
        </w:rPr>
        <w:t xml:space="preserve"> </w:t>
      </w:r>
    </w:p>
    <w:p>
      <w:pPr>
        <w:ind w:firstLine="420" w:firstLineChars="200"/>
        <w:rPr>
          <w:rFonts w:ascii="宋体" w:hAnsi="宋体" w:eastAsia="宋体" w:cs="宋体"/>
        </w:rPr>
      </w:pPr>
      <w:r>
        <w:rPr>
          <w:rFonts w:ascii="宋体" w:hAnsi="宋体" w:eastAsia="宋体" w:cs="宋体"/>
        </w:rPr>
        <w:t xml:space="preserve">GB 21027—2020  </w:t>
      </w:r>
      <w:r>
        <w:rPr>
          <w:rFonts w:hint="eastAsia" w:ascii="宋体" w:hAnsi="宋体" w:eastAsia="宋体" w:cs="宋体"/>
        </w:rPr>
        <w:t>学生用品的安全通用要求</w:t>
      </w:r>
    </w:p>
    <w:p>
      <w:pPr>
        <w:ind w:firstLine="420" w:firstLineChars="200"/>
        <w:rPr>
          <w:rFonts w:ascii="宋体" w:hAnsi="宋体" w:eastAsia="宋体" w:cs="宋体"/>
        </w:rPr>
      </w:pPr>
      <w:r>
        <w:rPr>
          <w:rFonts w:ascii="宋体" w:hAnsi="宋体" w:eastAsia="宋体" w:cs="宋体"/>
        </w:rPr>
        <w:t xml:space="preserve">GB 22048  </w:t>
      </w:r>
      <w:r>
        <w:rPr>
          <w:rFonts w:hint="eastAsia" w:ascii="宋体" w:hAnsi="宋体" w:eastAsia="宋体" w:cs="宋体"/>
        </w:rPr>
        <w:t>玩具及儿童用品中特定邻苯二甲酸酯增塑剂的测定</w:t>
      </w:r>
    </w:p>
    <w:p>
      <w:pPr>
        <w:ind w:firstLine="420" w:firstLineChars="200"/>
        <w:rPr>
          <w:rFonts w:ascii="宋体" w:hAnsi="宋体" w:eastAsia="宋体" w:cs="宋体"/>
        </w:rPr>
      </w:pPr>
      <w:r>
        <w:rPr>
          <w:rFonts w:hint="eastAsia" w:ascii="宋体" w:hAnsi="宋体" w:eastAsia="宋体" w:cs="宋体"/>
        </w:rPr>
        <w:t>GB/T 23331  能源管理体系  要求及使用指南</w:t>
      </w:r>
    </w:p>
    <w:p>
      <w:pPr>
        <w:ind w:firstLine="420" w:firstLineChars="200"/>
        <w:rPr>
          <w:rFonts w:ascii="宋体" w:hAnsi="宋体" w:eastAsia="宋体" w:cs="宋体"/>
        </w:rPr>
      </w:pPr>
      <w:r>
        <w:rPr>
          <w:rFonts w:hint="eastAsia" w:ascii="宋体" w:hAnsi="宋体" w:eastAsia="宋体" w:cs="宋体"/>
        </w:rPr>
        <w:t>GB/T 24001  环境管理体系  要求及使用指南</w:t>
      </w:r>
    </w:p>
    <w:p>
      <w:pPr>
        <w:ind w:firstLine="420" w:firstLineChars="200"/>
        <w:rPr>
          <w:rFonts w:hint="eastAsia" w:ascii="宋体" w:hAnsi="宋体" w:eastAsia="宋体" w:cs="宋体"/>
        </w:rPr>
      </w:pPr>
      <w:r>
        <w:rPr>
          <w:rFonts w:hint="eastAsia" w:ascii="宋体" w:hAnsi="宋体" w:eastAsia="宋体" w:cs="宋体"/>
        </w:rPr>
        <w:t>GB/T 37853—2019</w:t>
      </w:r>
      <w:r>
        <w:rPr>
          <w:rFonts w:ascii="宋体" w:hAnsi="宋体" w:eastAsia="宋体" w:cs="宋体"/>
        </w:rPr>
        <w:t xml:space="preserve">  </w:t>
      </w:r>
      <w:r>
        <w:rPr>
          <w:rFonts w:hint="eastAsia" w:ascii="宋体" w:hAnsi="宋体" w:eastAsia="宋体" w:cs="宋体"/>
        </w:rPr>
        <w:t>中性墨水圆珠笔和笔芯</w:t>
      </w:r>
    </w:p>
    <w:p>
      <w:pPr>
        <w:ind w:firstLine="420" w:firstLineChars="200"/>
        <w:rPr>
          <w:rFonts w:ascii="宋体" w:hAnsi="宋体" w:eastAsia="宋体" w:cs="宋体"/>
        </w:rPr>
      </w:pPr>
      <w:r>
        <w:rPr>
          <w:rFonts w:hint="eastAsia" w:ascii="宋体" w:hAnsi="宋体" w:eastAsia="宋体" w:cs="宋体"/>
        </w:rPr>
        <w:t>GB/T 45001  职业健康安全管理体系  要求及使用指南</w:t>
      </w:r>
    </w:p>
    <w:p>
      <w:pPr>
        <w:ind w:firstLine="420" w:firstLineChars="200"/>
        <w:rPr>
          <w:rFonts w:hint="eastAsia" w:ascii="宋体" w:hAnsi="宋体" w:eastAsia="宋体" w:cs="宋体"/>
          <w:szCs w:val="21"/>
        </w:rPr>
      </w:pPr>
      <w:r>
        <w:rPr>
          <w:rFonts w:ascii="宋体" w:hAnsi="宋体" w:eastAsia="宋体" w:cs="宋体"/>
          <w:szCs w:val="21"/>
        </w:rPr>
        <w:t xml:space="preserve">QB/T 5255—2018  </w:t>
      </w:r>
      <w:r>
        <w:rPr>
          <w:rFonts w:hint="eastAsia" w:ascii="宋体" w:hAnsi="宋体" w:eastAsia="宋体" w:cs="宋体"/>
          <w:szCs w:val="21"/>
        </w:rPr>
        <w:t>圆珠笔笔头与墨水匹配检测技术规范</w:t>
      </w:r>
    </w:p>
    <w:p>
      <w:pPr>
        <w:ind w:firstLine="420" w:firstLineChars="200"/>
        <w:rPr>
          <w:rFonts w:ascii="宋体" w:hAnsi="宋体" w:eastAsia="宋体" w:cs="宋体"/>
        </w:rPr>
      </w:pPr>
      <w:r>
        <w:rPr>
          <w:rFonts w:hint="eastAsia" w:ascii="宋体" w:hAnsi="宋体" w:eastAsia="宋体" w:cs="宋体"/>
        </w:rPr>
        <w:t>T/CSTE 0421/T/CAS 703  质量分级及“领跑者”标识</w:t>
      </w:r>
    </w:p>
    <w:p>
      <w:pPr>
        <w:pStyle w:val="84"/>
        <w:spacing w:before="312" w:after="312"/>
      </w:pPr>
      <w:bookmarkStart w:id="52" w:name="_Toc385601800"/>
      <w:bookmarkEnd w:id="52"/>
      <w:bookmarkStart w:id="53" w:name="_Toc19706"/>
      <w:bookmarkStart w:id="54" w:name="_Toc1815"/>
      <w:bookmarkStart w:id="55" w:name="_Toc415043897"/>
      <w:bookmarkStart w:id="56" w:name="_Toc289"/>
      <w:bookmarkStart w:id="57" w:name="_Toc385602849"/>
      <w:bookmarkStart w:id="58" w:name="_Toc415043490"/>
      <w:bookmarkStart w:id="59" w:name="_Toc415043551"/>
      <w:bookmarkStart w:id="60" w:name="_Toc65687980"/>
      <w:r>
        <w:rPr>
          <w:rFonts w:hint="eastAsia"/>
          <w:szCs w:val="21"/>
        </w:rPr>
        <w:t>术语和定义</w:t>
      </w:r>
      <w:bookmarkEnd w:id="53"/>
      <w:bookmarkEnd w:id="54"/>
      <w:bookmarkEnd w:id="55"/>
      <w:bookmarkEnd w:id="56"/>
      <w:bookmarkEnd w:id="57"/>
      <w:bookmarkEnd w:id="58"/>
      <w:bookmarkEnd w:id="59"/>
      <w:bookmarkEnd w:id="60"/>
      <w:bookmarkStart w:id="61" w:name="_Toc415043492"/>
      <w:bookmarkEnd w:id="61"/>
      <w:bookmarkStart w:id="62" w:name="_Toc415043552"/>
      <w:bookmarkEnd w:id="62"/>
      <w:bookmarkStart w:id="63" w:name="_Toc415043898"/>
      <w:bookmarkEnd w:id="63"/>
      <w:bookmarkStart w:id="64" w:name="_Toc415043553"/>
      <w:bookmarkEnd w:id="64"/>
      <w:bookmarkStart w:id="65" w:name="_Toc375076815"/>
      <w:bookmarkEnd w:id="65"/>
      <w:bookmarkStart w:id="66" w:name="_Toc415043491"/>
      <w:bookmarkEnd w:id="66"/>
      <w:bookmarkStart w:id="67" w:name="_Toc415043899"/>
      <w:bookmarkEnd w:id="67"/>
      <w:bookmarkStart w:id="68" w:name="_Toc65687981"/>
      <w:bookmarkStart w:id="69" w:name="_Toc528835813"/>
      <w:bookmarkStart w:id="70" w:name="_Toc415043903"/>
      <w:bookmarkStart w:id="71" w:name="_Toc385602850"/>
      <w:bookmarkStart w:id="72" w:name="_Toc415043557"/>
      <w:bookmarkStart w:id="73" w:name="_Toc415043496"/>
      <w:bookmarkStart w:id="74" w:name="_Toc25668"/>
    </w:p>
    <w:p>
      <w:pPr>
        <w:pStyle w:val="84"/>
        <w:numPr>
          <w:ilvl w:val="1"/>
          <w:numId w:val="0"/>
        </w:numPr>
        <w:spacing w:before="312" w:after="312"/>
        <w:ind w:firstLine="420" w:firstLineChars="200"/>
        <w:rPr>
          <w:rFonts w:ascii="宋体" w:hAnsi="宋体" w:eastAsia="宋体" w:cs="宋体"/>
        </w:rPr>
      </w:pPr>
      <w:r>
        <w:rPr>
          <w:rFonts w:hint="eastAsia" w:ascii="宋体" w:hAnsi="宋体" w:eastAsia="宋体" w:cs="宋体"/>
        </w:rPr>
        <w:t>本文件没有需要界定的术语和定义。</w:t>
      </w:r>
      <w:bookmarkEnd w:id="68"/>
    </w:p>
    <w:p>
      <w:pPr>
        <w:pStyle w:val="84"/>
        <w:spacing w:before="312" w:after="312"/>
        <w:rPr>
          <w:rFonts w:hAnsi="黑体"/>
          <w:sz w:val="24"/>
          <w:szCs w:val="24"/>
        </w:rPr>
      </w:pPr>
      <w:r>
        <w:rPr>
          <w:rFonts w:hint="eastAsia"/>
          <w:szCs w:val="21"/>
        </w:rPr>
        <w:t>基本要求</w:t>
      </w:r>
    </w:p>
    <w:p>
      <w:pPr>
        <w:pStyle w:val="86"/>
        <w:spacing w:before="0" w:beforeLines="0" w:after="0" w:afterLines="0"/>
      </w:pPr>
      <w:r>
        <w:rPr>
          <w:rFonts w:hint="eastAsia" w:ascii="宋体" w:hAnsi="宋体" w:eastAsia="宋体" w:cs="宋体"/>
        </w:rPr>
        <w:t>近三年，企业无较大及以上质量、环境、安全等事故</w:t>
      </w:r>
      <w:r>
        <w:rPr>
          <w:rFonts w:hint="eastAsia" w:eastAsia="宋体"/>
        </w:rPr>
        <w:t>。</w:t>
      </w:r>
    </w:p>
    <w:p>
      <w:pPr>
        <w:pStyle w:val="86"/>
        <w:spacing w:before="0" w:beforeLines="0" w:after="0" w:afterLines="0"/>
        <w:rPr>
          <w:rFonts w:ascii="宋体" w:hAnsi="宋体" w:eastAsia="宋体" w:cs="宋体"/>
          <w:szCs w:val="21"/>
        </w:rPr>
      </w:pPr>
      <w:bookmarkStart w:id="75" w:name="_Toc65687984"/>
      <w:bookmarkStart w:id="76" w:name="_Toc401669933"/>
      <w:bookmarkStart w:id="77" w:name="_Toc33563757"/>
      <w:bookmarkStart w:id="78" w:name="_Toc35259974"/>
      <w:r>
        <w:rPr>
          <w:rFonts w:hint="eastAsia" w:ascii="宋体" w:hAnsi="宋体" w:eastAsia="宋体" w:cs="宋体"/>
          <w:szCs w:val="21"/>
        </w:rPr>
        <w:t>企业未列入国家信用信息严重失信主体相关名录。</w:t>
      </w:r>
    </w:p>
    <w:p>
      <w:pPr>
        <w:pStyle w:val="86"/>
        <w:spacing w:before="0" w:beforeLines="0" w:after="0" w:afterLines="0"/>
        <w:rPr>
          <w:rFonts w:ascii="宋体" w:hAnsi="宋体" w:eastAsia="宋体" w:cs="宋体"/>
          <w:bCs/>
        </w:rPr>
      </w:pPr>
      <w:r>
        <w:rPr>
          <w:rFonts w:hint="eastAsia" w:ascii="宋体" w:hAnsi="宋体" w:eastAsia="宋体" w:cs="宋体"/>
          <w:bCs/>
        </w:rPr>
        <w:t>企业可根据</w:t>
      </w:r>
      <w:r>
        <w:rPr>
          <w:rFonts w:hint="eastAsia" w:ascii="宋体" w:hAnsi="宋体" w:eastAsia="宋体" w:cs="宋体"/>
          <w:bCs/>
          <w:szCs w:val="21"/>
        </w:rPr>
        <w:t>GB/T 19001、GB/T 23331、GB/T 24001、GB/T 45001</w:t>
      </w:r>
      <w:r>
        <w:rPr>
          <w:rFonts w:hint="eastAsia" w:ascii="宋体" w:hAnsi="宋体" w:eastAsia="宋体" w:cs="宋体"/>
          <w:bCs/>
        </w:rPr>
        <w:t>建立并运行相应质量、能源、环境和职业健康安全等管理体系，鼓励企业根据自身运营情况建立其他高水平的相关管理体系。</w:t>
      </w:r>
    </w:p>
    <w:p>
      <w:pPr>
        <w:pStyle w:val="86"/>
        <w:spacing w:before="0" w:beforeLines="0" w:after="0" w:afterLines="0"/>
        <w:rPr>
          <w:rFonts w:ascii="宋体" w:hAnsi="宋体" w:eastAsia="宋体" w:cs="宋体"/>
          <w:szCs w:val="21"/>
        </w:rPr>
      </w:pPr>
      <w:r>
        <w:rPr>
          <w:rFonts w:hint="eastAsia" w:ascii="宋体" w:hAnsi="宋体" w:eastAsia="宋体" w:cs="宋体"/>
          <w:szCs w:val="21"/>
        </w:rPr>
        <w:t>产品应为量产产品，中性墨水圆珠笔和笔芯质量分级及领跑者标准应满足国家强制性标准及</w:t>
      </w:r>
      <w:r>
        <w:rPr>
          <w:rFonts w:hint="eastAsia" w:ascii="宋体" w:hAnsi="宋体" w:eastAsia="宋体" w:cs="宋体"/>
          <w:lang w:val="en-US" w:eastAsia="zh-CN"/>
        </w:rPr>
        <w:t>Q</w:t>
      </w:r>
      <w:r>
        <w:rPr>
          <w:rFonts w:hint="eastAsia" w:ascii="宋体" w:hAnsi="宋体" w:eastAsia="宋体" w:cs="宋体"/>
        </w:rPr>
        <w:t xml:space="preserve">B/T </w:t>
      </w:r>
      <w:r>
        <w:rPr>
          <w:rFonts w:hint="eastAsia" w:ascii="宋体" w:hAnsi="宋体" w:eastAsia="宋体" w:cs="宋体"/>
          <w:lang w:val="en-US" w:eastAsia="zh-CN"/>
        </w:rPr>
        <w:t>1976</w:t>
      </w:r>
      <w:r>
        <w:rPr>
          <w:rFonts w:hint="eastAsia" w:ascii="宋体" w:hAnsi="宋体" w:eastAsia="宋体" w:cs="宋体"/>
          <w:szCs w:val="21"/>
        </w:rPr>
        <w:t>规定的要求。</w:t>
      </w:r>
    </w:p>
    <w:p>
      <w:pPr>
        <w:pStyle w:val="84"/>
        <w:spacing w:before="312" w:after="312"/>
        <w:rPr>
          <w:szCs w:val="21"/>
        </w:rPr>
      </w:pPr>
      <w:r>
        <w:rPr>
          <w:rFonts w:hint="eastAsia"/>
          <w:szCs w:val="21"/>
        </w:rPr>
        <w:t>评价指标及要求</w:t>
      </w:r>
    </w:p>
    <w:p>
      <w:pPr>
        <w:pStyle w:val="86"/>
        <w:spacing w:before="156" w:after="156"/>
      </w:pPr>
      <w:r>
        <w:rPr>
          <w:rFonts w:hint="eastAsia"/>
        </w:rPr>
        <w:t>评价指标分类</w:t>
      </w:r>
    </w:p>
    <w:p>
      <w:pPr>
        <w:pStyle w:val="87"/>
        <w:spacing w:before="0" w:beforeLines="0" w:after="0" w:afterLines="0"/>
        <w:rPr>
          <w:rFonts w:ascii="宋体" w:hAnsi="宋体" w:eastAsia="宋体" w:cs="宋体"/>
        </w:rPr>
      </w:pPr>
      <w:r>
        <w:rPr>
          <w:rFonts w:hint="eastAsia" w:ascii="宋体" w:hAnsi="宋体" w:eastAsia="宋体" w:cs="宋体"/>
        </w:rPr>
        <w:t>中性墨水圆珠笔和笔芯评价指标体系包括基础指标、核心指标和创新指标。</w:t>
      </w:r>
    </w:p>
    <w:p>
      <w:pPr>
        <w:pStyle w:val="87"/>
        <w:spacing w:before="0" w:beforeLines="0" w:after="0" w:afterLines="0"/>
        <w:rPr>
          <w:rFonts w:ascii="宋体" w:hAnsi="宋体" w:eastAsia="宋体" w:cs="宋体"/>
        </w:rPr>
      </w:pPr>
      <w:r>
        <w:rPr>
          <w:rFonts w:hint="eastAsia" w:ascii="宋体" w:hAnsi="宋体" w:eastAsia="宋体" w:cs="宋体"/>
        </w:rPr>
        <w:t>基础指标包括渗透性、干燥性、复印性、耐水性、耐光性、保存性、耐擦性、耐乙醇性、耐盐酸性、耐氨水性、耐漂白性、出芯机构灵活性、笔杆头部孔径与笔头外径差值、耐冲击性、镀层抗蚀性、可迁移元素限量、笔套安全</w:t>
      </w:r>
      <w:r>
        <w:rPr>
          <w:rFonts w:hint="eastAsia" w:ascii="Times New Roman" w:hAnsi="宋体" w:eastAsia="宋体"/>
          <w:kern w:val="2"/>
          <w:szCs w:val="24"/>
        </w:rPr>
        <w:t>、邻苯二甲酸酯</w:t>
      </w:r>
      <w:r>
        <w:rPr>
          <w:rFonts w:hint="eastAsia" w:ascii="宋体" w:hAnsi="宋体" w:eastAsia="宋体" w:cs="宋体"/>
        </w:rPr>
        <w:t>。</w:t>
      </w:r>
    </w:p>
    <w:p>
      <w:pPr>
        <w:pStyle w:val="87"/>
        <w:spacing w:before="0" w:beforeLines="0" w:after="0" w:afterLines="0"/>
        <w:rPr>
          <w:rFonts w:ascii="Times New Roman" w:hAnsi="宋体" w:eastAsia="宋体"/>
          <w:kern w:val="2"/>
          <w:szCs w:val="24"/>
        </w:rPr>
      </w:pPr>
      <w:r>
        <w:rPr>
          <w:rFonts w:hint="eastAsia" w:ascii="Times New Roman" w:hAnsi="宋体" w:eastAsia="宋体"/>
          <w:kern w:val="2"/>
          <w:szCs w:val="24"/>
        </w:rPr>
        <w:t>核心指标包括初写性能、书写性能、阅读书写、书写润滑度；核心指标分为三个等级，包括领跑者水平，相当于企业标准排行榜中5星级水平；优质水平，相当于企业标准排行榜中4星级水平；达标水平，相当于企业标准排行榜中3星级水平。</w:t>
      </w:r>
    </w:p>
    <w:p>
      <w:pPr>
        <w:pStyle w:val="87"/>
        <w:spacing w:before="0" w:beforeLines="0" w:after="0" w:afterLines="0"/>
        <w:rPr>
          <w:rFonts w:ascii="Times New Roman" w:hAnsi="宋体" w:eastAsia="宋体"/>
          <w:kern w:val="2"/>
          <w:szCs w:val="24"/>
        </w:rPr>
      </w:pPr>
      <w:r>
        <w:rPr>
          <w:rFonts w:hint="eastAsia" w:ascii="Times New Roman" w:hAnsi="宋体" w:eastAsia="宋体"/>
          <w:kern w:val="2"/>
          <w:szCs w:val="24"/>
        </w:rPr>
        <w:t>创新指标包括耐低温性、墨水溶剂残留量，其中领跑者水平相当于企业标准排行榜中的5星级水平，优质水平相当于企业标准排行榜中4星级水平</w:t>
      </w:r>
      <w:r>
        <w:rPr>
          <w:rFonts w:ascii="Times New Roman" w:hAnsi="宋体" w:eastAsia="宋体"/>
          <w:kern w:val="2"/>
          <w:szCs w:val="24"/>
        </w:rPr>
        <w:t>。</w:t>
      </w:r>
    </w:p>
    <w:p>
      <w:pPr>
        <w:pStyle w:val="86"/>
        <w:spacing w:before="156" w:after="156"/>
      </w:pPr>
      <w:r>
        <w:rPr>
          <w:rFonts w:hint="eastAsia" w:hAnsi="黑体"/>
          <w:szCs w:val="21"/>
        </w:rPr>
        <w:t>评价指标体系框架</w:t>
      </w:r>
    </w:p>
    <w:bookmarkEnd w:id="75"/>
    <w:p>
      <w:pPr>
        <w:pStyle w:val="87"/>
        <w:spacing w:before="0" w:beforeLines="0" w:after="0" w:afterLines="0"/>
      </w:pPr>
      <w:r>
        <w:rPr>
          <w:rFonts w:hint="eastAsia" w:ascii="宋体" w:hAnsi="宋体" w:eastAsia="宋体" w:cs="宋体"/>
        </w:rPr>
        <w:t>中性墨水圆珠笔和笔芯评价指标体系框架符合表1的规定</w:t>
      </w:r>
      <w:r>
        <w:rPr>
          <w:rFonts w:ascii="Times New Roman"/>
        </w:rPr>
        <w:t>。</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bookmarkStart w:id="79" w:name="_Hlk42778042"/>
      <w:r>
        <w:rPr>
          <w:rFonts w:hint="eastAsia" w:ascii="黑体" w:hAnsi="黑体" w:eastAsia="黑体" w:cs="黑体"/>
          <w:szCs w:val="21"/>
        </w:rPr>
        <w:t xml:space="preserve"> 中性墨水圆珠笔和笔芯评价指标体系</w:t>
      </w:r>
      <w:bookmarkEnd w:id="79"/>
      <w:r>
        <w:rPr>
          <w:rFonts w:hint="eastAsia" w:ascii="黑体" w:hAnsi="黑体" w:eastAsia="黑体" w:cs="黑体"/>
          <w:szCs w:val="21"/>
        </w:rPr>
        <w:t>框架</w:t>
      </w:r>
    </w:p>
    <w:tbl>
      <w:tblPr>
        <w:tblStyle w:val="24"/>
        <w:tblW w:w="98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25"/>
        <w:gridCol w:w="709"/>
        <w:gridCol w:w="992"/>
        <w:gridCol w:w="992"/>
        <w:gridCol w:w="1843"/>
        <w:gridCol w:w="1701"/>
        <w:gridCol w:w="1778"/>
        <w:gridCol w:w="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6" w:type="dxa"/>
            <w:vMerge w:val="restart"/>
            <w:tcBorders>
              <w:bottom w:val="single" w:color="auto" w:sz="8"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r>
              <w:rPr>
                <w:rFonts w:hint="eastAsia" w:ascii="宋体" w:hAnsi="宋体" w:eastAsia="宋体" w:cs="宋体"/>
                <w:kern w:val="0"/>
                <w:sz w:val="18"/>
                <w:szCs w:val="18"/>
                <w:lang w:val="en-US" w:eastAsia="zh-CN"/>
              </w:rPr>
              <w:t>28</w:t>
            </w:r>
          </w:p>
        </w:tc>
        <w:tc>
          <w:tcPr>
            <w:tcW w:w="425"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指标类型</w:t>
            </w:r>
          </w:p>
        </w:tc>
        <w:tc>
          <w:tcPr>
            <w:tcW w:w="1701" w:type="dxa"/>
            <w:gridSpan w:val="2"/>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评价指标</w:t>
            </w:r>
          </w:p>
        </w:tc>
        <w:tc>
          <w:tcPr>
            <w:tcW w:w="992"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指标来源</w:t>
            </w:r>
          </w:p>
        </w:tc>
        <w:tc>
          <w:tcPr>
            <w:tcW w:w="5322" w:type="dxa"/>
            <w:gridSpan w:val="3"/>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指标水平分级</w:t>
            </w:r>
          </w:p>
        </w:tc>
        <w:tc>
          <w:tcPr>
            <w:tcW w:w="996"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6" w:type="dxa"/>
            <w:vMerge w:val="continue"/>
            <w:tcBorders>
              <w:top w:val="single" w:color="auto" w:sz="8" w:space="0"/>
              <w:bottom w:val="single" w:color="auto" w:sz="12" w:space="0"/>
            </w:tcBorders>
            <w:vAlign w:val="center"/>
          </w:tcPr>
          <w:p>
            <w:pPr>
              <w:widowControl/>
              <w:spacing w:line="240" w:lineRule="exact"/>
              <w:jc w:val="left"/>
              <w:rPr>
                <w:rFonts w:hint="eastAsia" w:ascii="宋体" w:hAnsi="宋体" w:eastAsia="宋体" w:cs="宋体"/>
                <w:kern w:val="0"/>
                <w:sz w:val="18"/>
                <w:szCs w:val="18"/>
              </w:rPr>
            </w:pPr>
          </w:p>
        </w:tc>
        <w:tc>
          <w:tcPr>
            <w:tcW w:w="425" w:type="dxa"/>
            <w:vMerge w:val="continue"/>
            <w:tcBorders>
              <w:top w:val="single" w:color="auto" w:sz="8" w:space="0"/>
              <w:bottom w:val="single" w:color="auto" w:sz="12" w:space="0"/>
            </w:tcBorders>
            <w:vAlign w:val="center"/>
          </w:tcPr>
          <w:p>
            <w:pPr>
              <w:widowControl/>
              <w:spacing w:line="240" w:lineRule="exact"/>
              <w:jc w:val="left"/>
              <w:rPr>
                <w:rFonts w:hint="eastAsia" w:ascii="宋体" w:hAnsi="宋体" w:eastAsia="宋体" w:cs="宋体"/>
                <w:kern w:val="0"/>
                <w:sz w:val="18"/>
                <w:szCs w:val="18"/>
              </w:rPr>
            </w:pPr>
          </w:p>
        </w:tc>
        <w:tc>
          <w:tcPr>
            <w:tcW w:w="1701" w:type="dxa"/>
            <w:gridSpan w:val="2"/>
            <w:vMerge w:val="continue"/>
            <w:tcBorders>
              <w:top w:val="single" w:color="auto" w:sz="8" w:space="0"/>
              <w:bottom w:val="single" w:color="auto" w:sz="12" w:space="0"/>
            </w:tcBorders>
            <w:vAlign w:val="center"/>
          </w:tcPr>
          <w:p>
            <w:pPr>
              <w:widowControl/>
              <w:spacing w:line="240" w:lineRule="exact"/>
              <w:jc w:val="center"/>
              <w:rPr>
                <w:rFonts w:hint="eastAsia" w:ascii="宋体" w:hAnsi="宋体" w:eastAsia="宋体" w:cs="宋体"/>
                <w:kern w:val="0"/>
                <w:sz w:val="18"/>
                <w:szCs w:val="18"/>
              </w:rPr>
            </w:pPr>
          </w:p>
        </w:tc>
        <w:tc>
          <w:tcPr>
            <w:tcW w:w="992" w:type="dxa"/>
            <w:vMerge w:val="continue"/>
            <w:tcBorders>
              <w:top w:val="single" w:color="auto" w:sz="8" w:space="0"/>
              <w:bottom w:val="single" w:color="auto" w:sz="12" w:space="0"/>
            </w:tcBorders>
            <w:vAlign w:val="center"/>
          </w:tcPr>
          <w:p>
            <w:pPr>
              <w:widowControl/>
              <w:spacing w:line="240" w:lineRule="exact"/>
              <w:jc w:val="left"/>
              <w:rPr>
                <w:rFonts w:hint="eastAsia" w:ascii="宋体" w:hAnsi="宋体" w:eastAsia="宋体" w:cs="宋体"/>
                <w:kern w:val="0"/>
                <w:sz w:val="18"/>
                <w:szCs w:val="18"/>
              </w:rPr>
            </w:pPr>
          </w:p>
        </w:tc>
        <w:tc>
          <w:tcPr>
            <w:tcW w:w="1843" w:type="dxa"/>
            <w:tcBorders>
              <w:top w:val="single" w:color="auto" w:sz="8" w:space="0"/>
              <w:bottom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领跑者水平</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（5星级）</w:t>
            </w:r>
          </w:p>
        </w:tc>
        <w:tc>
          <w:tcPr>
            <w:tcW w:w="1701" w:type="dxa"/>
            <w:tcBorders>
              <w:top w:val="single" w:color="auto" w:sz="8" w:space="0"/>
              <w:bottom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优质水平</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（4星级）</w:t>
            </w:r>
          </w:p>
        </w:tc>
        <w:tc>
          <w:tcPr>
            <w:tcW w:w="1778" w:type="dxa"/>
            <w:tcBorders>
              <w:top w:val="single" w:color="auto" w:sz="8" w:space="0"/>
              <w:bottom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达标水平</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（3星级）</w:t>
            </w:r>
          </w:p>
        </w:tc>
        <w:tc>
          <w:tcPr>
            <w:tcW w:w="996" w:type="dxa"/>
            <w:vMerge w:val="continue"/>
            <w:tcBorders>
              <w:top w:val="single" w:color="auto" w:sz="8" w:space="0"/>
              <w:bottom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6" w:type="dxa"/>
            <w:tcBorders>
              <w:top w:val="single" w:color="auto" w:sz="12"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25" w:type="dxa"/>
            <w:vMerge w:val="restart"/>
            <w:tcBorders>
              <w:top w:val="single" w:color="auto" w:sz="12"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基础指标</w:t>
            </w:r>
          </w:p>
        </w:tc>
        <w:tc>
          <w:tcPr>
            <w:tcW w:w="1701" w:type="dxa"/>
            <w:gridSpan w:val="2"/>
            <w:tcBorders>
              <w:top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渗透性</w:t>
            </w:r>
          </w:p>
        </w:tc>
        <w:tc>
          <w:tcPr>
            <w:tcW w:w="992" w:type="dxa"/>
            <w:vMerge w:val="restart"/>
            <w:tcBorders>
              <w:top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GB/T 37853—2019</w:t>
            </w:r>
          </w:p>
        </w:tc>
        <w:tc>
          <w:tcPr>
            <w:tcW w:w="5322" w:type="dxa"/>
            <w:gridSpan w:val="3"/>
            <w:tcBorders>
              <w:top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h，书写纸背面无明显痕迹</w:t>
            </w:r>
          </w:p>
        </w:tc>
        <w:tc>
          <w:tcPr>
            <w:tcW w:w="996" w:type="dxa"/>
            <w:vMerge w:val="restart"/>
            <w:tcBorders>
              <w:top w:val="single" w:color="auto" w:sz="12"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GB/T 37853—2019中第6章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干燥性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s，覆盖纸无墨迹</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复印性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复印线迹保持可见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耐水性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一般书写：≥1</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h，线迹保持可见</w:t>
            </w:r>
            <w:r>
              <w:rPr>
                <w:rFonts w:hint="eastAsia" w:ascii="宋体" w:hAnsi="宋体" w:eastAsia="宋体" w:cs="宋体"/>
                <w:kern w:val="0"/>
                <w:sz w:val="18"/>
                <w:szCs w:val="18"/>
                <w:vertAlign w:val="superscript"/>
              </w:rPr>
              <w:t>a</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耐光性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≥72</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保存性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（50±2）℃，10天，应符合初写性能和书写性能要求</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耐擦性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文件书写：线迹经擦拭后保持可见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耐乙醇性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文件书写：≥10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min，线迹保持可见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耐盐酸性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耐氨水性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耐漂白性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文件书写：≥5</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min，线迹保持可见</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出芯机构灵活性</w:t>
            </w:r>
            <w:r>
              <w:rPr>
                <w:rFonts w:hint="eastAsia" w:ascii="宋体" w:hAnsi="宋体" w:eastAsia="宋体" w:cs="宋体"/>
                <w:kern w:val="0"/>
                <w:sz w:val="18"/>
                <w:szCs w:val="18"/>
                <w:vertAlign w:val="superscript"/>
              </w:rPr>
              <w:t>b</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使用、复位转换灵活、复位时球珠不外露</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笔杆头部孔径与笔头外径差值</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耐冲击性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m高度水平跌落，能书写正常、零部件无开裂、变形、脱落</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镀层抗蚀性</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min，不露基材</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可迁移元素限量</w:t>
            </w:r>
            <w:r>
              <w:rPr>
                <w:rFonts w:hint="eastAsia" w:ascii="宋体" w:hAnsi="宋体" w:eastAsia="宋体" w:cs="宋体"/>
                <w:kern w:val="0"/>
                <w:sz w:val="18"/>
                <w:szCs w:val="18"/>
                <w:vertAlign w:val="superscript"/>
              </w:rPr>
              <w:t>c</w:t>
            </w: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锑</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GB 6675.4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砷</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≤25</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钡</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镉</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≤75</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铬</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i/>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铅</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汞</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硒</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09"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笔套安全</w:t>
            </w:r>
            <w:r>
              <w:rPr>
                <w:rFonts w:hint="eastAsia" w:ascii="宋体" w:hAnsi="宋体" w:eastAsia="宋体" w:cs="宋体"/>
                <w:kern w:val="0"/>
                <w:sz w:val="18"/>
                <w:szCs w:val="18"/>
                <w:vertAlign w:val="superscript"/>
              </w:rPr>
              <w:t>d</w:t>
            </w: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笔套尺寸</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当笔套在自身重量作用下，沿轴线方向垂直进人直径为16</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mm、厚度不小于19</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mm环形量规时，未进人环形量规的笔套长度应至少为5</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w:t>
            </w:r>
          </w:p>
        </w:tc>
        <w:tc>
          <w:tcPr>
            <w:tcW w:w="996"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GB 21027—2020中第5章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c>
          <w:tcPr>
            <w:tcW w:w="425" w:type="dxa"/>
            <w:vMerge w:val="restart"/>
            <w:shd w:val="clear" w:color="auto" w:fill="auto"/>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基础指标</w:t>
            </w:r>
          </w:p>
        </w:tc>
        <w:tc>
          <w:tcPr>
            <w:tcW w:w="709" w:type="dxa"/>
            <w:shd w:val="clear" w:color="auto" w:fill="auto"/>
            <w:vAlign w:val="center"/>
          </w:tcPr>
          <w:p>
            <w:pPr>
              <w:widowControl/>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笔套安全</w:t>
            </w:r>
            <w:r>
              <w:rPr>
                <w:rFonts w:hint="eastAsia" w:ascii="宋体" w:hAnsi="宋体" w:eastAsia="宋体" w:cs="宋体"/>
                <w:kern w:val="0"/>
                <w:sz w:val="18"/>
                <w:szCs w:val="18"/>
                <w:vertAlign w:val="superscript"/>
              </w:rPr>
              <w:t>d</w:t>
            </w:r>
          </w:p>
        </w:tc>
        <w:tc>
          <w:tcPr>
            <w:tcW w:w="992" w:type="dxa"/>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笔套空气流量</w:t>
            </w:r>
          </w:p>
        </w:tc>
        <w:tc>
          <w:tcPr>
            <w:tcW w:w="992" w:type="dxa"/>
            <w:shd w:val="clear" w:color="auto" w:fill="auto"/>
            <w:vAlign w:val="center"/>
          </w:tcPr>
          <w:p>
            <w:pPr>
              <w:widowControl/>
              <w:spacing w:line="240" w:lineRule="exact"/>
              <w:jc w:val="center"/>
              <w:rPr>
                <w:rFonts w:hint="eastAsia" w:ascii="宋体" w:hAnsi="宋体" w:eastAsia="宋体" w:cs="宋体"/>
                <w:sz w:val="18"/>
                <w:szCs w:val="18"/>
              </w:rPr>
            </w:pP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在室温下最大压差为1.33</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kPa时，流经笔套的空气流量应至少为8</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L/min</w:t>
            </w:r>
          </w:p>
        </w:tc>
        <w:tc>
          <w:tcPr>
            <w:tcW w:w="996" w:type="dxa"/>
            <w:shd w:val="clear" w:color="auto" w:fill="auto"/>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GB 21027—2020中第5章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26</w:t>
            </w:r>
          </w:p>
        </w:tc>
        <w:tc>
          <w:tcPr>
            <w:tcW w:w="425" w:type="dxa"/>
            <w:vMerge w:val="continue"/>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邻苯二甲酸酯</w:t>
            </w:r>
            <w:r>
              <w:rPr>
                <w:rFonts w:hint="eastAsia" w:ascii="宋体" w:hAnsi="宋体" w:eastAsia="宋体" w:cs="宋体"/>
                <w:sz w:val="18"/>
                <w:szCs w:val="18"/>
                <w:vertAlign w:val="superscript"/>
              </w:rPr>
              <w:t>e</w:t>
            </w:r>
          </w:p>
        </w:tc>
        <w:tc>
          <w:tcPr>
            <w:tcW w:w="992" w:type="dxa"/>
            <w:shd w:val="clear" w:color="auto" w:fill="auto"/>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GB 21027—2020</w:t>
            </w:r>
          </w:p>
        </w:tc>
        <w:tc>
          <w:tcPr>
            <w:tcW w:w="5322" w:type="dxa"/>
            <w:gridSpan w:val="3"/>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可触及的塑料件中邻苯二甲酸二己酯(DEHP)、邻苯二甲酸二丁酯(DBP),邻苯二甲酸丁苄酯(BBP)三种邻苯二甲酸酯总含量应不超过1000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mg/kg</w:t>
            </w:r>
          </w:p>
        </w:tc>
        <w:tc>
          <w:tcPr>
            <w:tcW w:w="996"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GB 22048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27</w:t>
            </w:r>
          </w:p>
        </w:tc>
        <w:tc>
          <w:tcPr>
            <w:tcW w:w="425"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核心指标</w:t>
            </w: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初写性能</w:t>
            </w:r>
          </w:p>
        </w:tc>
        <w:tc>
          <w:tcPr>
            <w:tcW w:w="992"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GB/T 37853—2019</w:t>
            </w: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75</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996"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GB/T 37853—2019中第6章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416" w:type="dxa"/>
            <w:vMerge w:val="restart"/>
            <w:vAlign w:val="center"/>
          </w:tcPr>
          <w:p>
            <w:pPr>
              <w:widowControl/>
              <w:spacing w:line="240" w:lineRule="exact"/>
              <w:jc w:val="center"/>
              <w:rPr>
                <w:rFonts w:hint="eastAsia" w:ascii="宋体" w:hAnsi="宋体" w:eastAsia="宋体" w:cs="宋体"/>
                <w:kern w:val="0"/>
                <w:sz w:val="18"/>
                <w:szCs w:val="18"/>
                <w:lang w:val="en-US" w:eastAsia="zh-CN"/>
              </w:rPr>
            </w:pP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书写性能</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UF、EF：划线800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UF、EF：划线600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UF、EF：划线400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416" w:type="dxa"/>
            <w:vMerge w:val="continue"/>
            <w:vAlign w:val="center"/>
          </w:tcPr>
          <w:p>
            <w:pPr>
              <w:widowControl/>
              <w:spacing w:line="240" w:lineRule="exact"/>
              <w:jc w:val="center"/>
              <w:rPr>
                <w:rFonts w:hint="eastAsia" w:ascii="宋体" w:hAnsi="宋体" w:eastAsia="宋体" w:cs="宋体"/>
                <w:kern w:val="0"/>
                <w:sz w:val="18"/>
                <w:szCs w:val="18"/>
              </w:rPr>
            </w:pP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F：划线600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F：划线400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F：划线300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416" w:type="dxa"/>
            <w:vMerge w:val="continue"/>
            <w:vAlign w:val="center"/>
          </w:tcPr>
          <w:p>
            <w:pPr>
              <w:widowControl/>
              <w:spacing w:line="240" w:lineRule="exact"/>
              <w:jc w:val="center"/>
              <w:rPr>
                <w:rFonts w:hint="eastAsia" w:ascii="宋体" w:hAnsi="宋体" w:eastAsia="宋体" w:cs="宋体"/>
                <w:kern w:val="0"/>
                <w:sz w:val="18"/>
                <w:szCs w:val="18"/>
              </w:rPr>
            </w:pP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M：划线400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M：划线200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M：划线150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416" w:type="dxa"/>
            <w:vMerge w:val="continue"/>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B：划线200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B：划线150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B：划线100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m以上，线迹无明显断线、变淡现象</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29</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间歇书写</w:t>
            </w:r>
          </w:p>
        </w:tc>
        <w:tc>
          <w:tcPr>
            <w:tcW w:w="992"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843"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≥72</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1701"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1778" w:type="dxa"/>
            <w:shd w:val="clear" w:color="auto" w:fill="auto"/>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h，100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996"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30</w:t>
            </w:r>
          </w:p>
        </w:tc>
        <w:tc>
          <w:tcPr>
            <w:tcW w:w="425" w:type="dxa"/>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书写润滑度（摩擦系数）</w:t>
            </w:r>
          </w:p>
        </w:tc>
        <w:tc>
          <w:tcPr>
            <w:tcW w:w="992" w:type="dxa"/>
            <w:vMerge w:val="continue"/>
            <w:shd w:val="clear" w:color="auto" w:fill="auto"/>
            <w:vAlign w:val="center"/>
          </w:tcPr>
          <w:p>
            <w:pPr>
              <w:widowControl/>
              <w:spacing w:line="240" w:lineRule="exact"/>
              <w:jc w:val="center"/>
              <w:rPr>
                <w:rFonts w:hint="eastAsia" w:ascii="宋体" w:hAnsi="宋体" w:eastAsia="宋体" w:cs="宋体"/>
                <w:sz w:val="18"/>
                <w:szCs w:val="18"/>
              </w:rPr>
            </w:pPr>
          </w:p>
        </w:tc>
        <w:tc>
          <w:tcPr>
            <w:tcW w:w="1843"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≤0.30</w:t>
            </w:r>
          </w:p>
        </w:tc>
        <w:tc>
          <w:tcPr>
            <w:tcW w:w="1701"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≤0.35</w:t>
            </w:r>
          </w:p>
        </w:tc>
        <w:tc>
          <w:tcPr>
            <w:tcW w:w="1778"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≤0.42</w:t>
            </w:r>
          </w:p>
        </w:tc>
        <w:tc>
          <w:tcPr>
            <w:tcW w:w="996" w:type="dxa"/>
            <w:vMerge w:val="continue"/>
            <w:shd w:val="clear" w:color="auto" w:fill="auto"/>
            <w:vAlign w:val="center"/>
          </w:tcPr>
          <w:p>
            <w:pPr>
              <w:pStyle w:val="4"/>
              <w:spacing w:before="156" w:after="156" w:line="240" w:lineRule="exact"/>
              <w:ind w:firstLine="0" w:firstLineChars="0"/>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dxa"/>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31</w:t>
            </w:r>
          </w:p>
        </w:tc>
        <w:tc>
          <w:tcPr>
            <w:tcW w:w="425" w:type="dxa"/>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创新指标</w:t>
            </w:r>
          </w:p>
        </w:tc>
        <w:tc>
          <w:tcPr>
            <w:tcW w:w="1701"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耐低温性</w:t>
            </w:r>
          </w:p>
        </w:tc>
        <w:tc>
          <w:tcPr>
            <w:tcW w:w="992" w:type="dxa"/>
            <w:vMerge w:val="restart"/>
            <w:shd w:val="clear" w:color="auto" w:fill="auto"/>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QB/T 5255—2018</w:t>
            </w:r>
          </w:p>
        </w:tc>
        <w:tc>
          <w:tcPr>
            <w:tcW w:w="3544" w:type="dxa"/>
            <w:gridSpan w:val="2"/>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(-18±2)℃，24</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h，50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mm内出墨正常</w:t>
            </w:r>
          </w:p>
        </w:tc>
        <w:tc>
          <w:tcPr>
            <w:tcW w:w="1778" w:type="dxa"/>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996" w:type="dxa"/>
            <w:vMerge w:val="restart"/>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QB/T 5255—2018中第7章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dxa"/>
            <w:tcBorders>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32</w:t>
            </w:r>
          </w:p>
        </w:tc>
        <w:tc>
          <w:tcPr>
            <w:tcW w:w="425" w:type="dxa"/>
            <w:vMerge w:val="continue"/>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1701" w:type="dxa"/>
            <w:gridSpan w:val="2"/>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墨水溶剂残留量</w:t>
            </w:r>
          </w:p>
        </w:tc>
        <w:tc>
          <w:tcPr>
            <w:tcW w:w="992" w:type="dxa"/>
            <w:vMerge w:val="continue"/>
            <w:tcBorders>
              <w:bottom w:val="single" w:color="auto" w:sz="8" w:space="0"/>
            </w:tcBorders>
            <w:shd w:val="clear" w:color="auto" w:fill="auto"/>
            <w:vAlign w:val="center"/>
          </w:tcPr>
          <w:p>
            <w:pPr>
              <w:spacing w:line="240" w:lineRule="exact"/>
              <w:jc w:val="center"/>
              <w:rPr>
                <w:rFonts w:hint="eastAsia" w:ascii="宋体" w:hAnsi="宋体" w:eastAsia="宋体" w:cs="宋体"/>
                <w:sz w:val="18"/>
                <w:szCs w:val="18"/>
              </w:rPr>
            </w:pPr>
          </w:p>
        </w:tc>
        <w:tc>
          <w:tcPr>
            <w:tcW w:w="3544" w:type="dxa"/>
            <w:gridSpan w:val="2"/>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r>
              <w:rPr>
                <w:rFonts w:hint="eastAsia" w:ascii="宋体" w:hAnsi="宋体" w:eastAsia="宋体" w:cs="宋体"/>
                <w:w w:val="50"/>
                <w:kern w:val="0"/>
                <w:sz w:val="18"/>
                <w:szCs w:val="18"/>
              </w:rPr>
              <w:t xml:space="preserve"> </w:t>
            </w:r>
            <w:r>
              <w:rPr>
                <w:rFonts w:hint="eastAsia" w:ascii="宋体" w:hAnsi="宋体" w:eastAsia="宋体" w:cs="宋体"/>
                <w:kern w:val="0"/>
                <w:sz w:val="18"/>
                <w:szCs w:val="18"/>
              </w:rPr>
              <w:t>mg/m</w:t>
            </w:r>
            <w:r>
              <w:rPr>
                <w:rFonts w:hint="eastAsia" w:ascii="宋体" w:hAnsi="宋体" w:eastAsia="宋体" w:cs="宋体"/>
                <w:kern w:val="0"/>
                <w:sz w:val="18"/>
                <w:szCs w:val="18"/>
                <w:vertAlign w:val="superscript"/>
              </w:rPr>
              <w:t>2</w:t>
            </w:r>
          </w:p>
        </w:tc>
        <w:tc>
          <w:tcPr>
            <w:tcW w:w="1778" w:type="dxa"/>
            <w:tcBorders>
              <w:bottom w:val="single" w:color="auto" w:sz="8" w:space="0"/>
            </w:tcBorders>
            <w:shd w:val="clear" w:color="auto" w:fill="auto"/>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996" w:type="dxa"/>
            <w:vMerge w:val="continue"/>
            <w:tcBorders>
              <w:bottom w:val="single" w:color="auto" w:sz="8" w:space="0"/>
            </w:tcBorders>
            <w:shd w:val="clear" w:color="auto" w:fill="auto"/>
            <w:vAlign w:val="center"/>
          </w:tcPr>
          <w:p>
            <w:pPr>
              <w:widowControl/>
              <w:jc w:val="cente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2" w:type="dxa"/>
            <w:gridSpan w:val="9"/>
            <w:tcBorders>
              <w:top w:val="single" w:color="auto" w:sz="8" w:space="0"/>
            </w:tcBorders>
            <w:vAlign w:val="center"/>
          </w:tcPr>
          <w:p>
            <w:pPr>
              <w:ind w:firstLine="360" w:firstLineChars="200"/>
              <w:jc w:val="left"/>
              <w:rPr>
                <w:rFonts w:hint="eastAsia" w:ascii="宋体" w:hAnsi="宋体" w:eastAsia="宋体" w:cs="宋体"/>
                <w:sz w:val="18"/>
                <w:szCs w:val="18"/>
              </w:rPr>
            </w:pPr>
            <w:r>
              <w:rPr>
                <w:rFonts w:hint="eastAsia" w:ascii="宋体" w:hAnsi="宋体" w:eastAsia="宋体" w:cs="宋体"/>
                <w:sz w:val="18"/>
                <w:szCs w:val="18"/>
                <w:vertAlign w:val="superscript"/>
              </w:rPr>
              <w:t xml:space="preserve">a  </w:t>
            </w:r>
            <w:r>
              <w:rPr>
                <w:rFonts w:hint="eastAsia" w:ascii="宋体" w:hAnsi="宋体" w:eastAsia="宋体" w:cs="宋体"/>
                <w:sz w:val="18"/>
                <w:szCs w:val="18"/>
              </w:rPr>
              <w:t>适用于有“耐水”或“WR”标志的中性笔和笔芯。</w:t>
            </w:r>
          </w:p>
          <w:p>
            <w:pPr>
              <w:ind w:firstLine="360" w:firstLineChars="200"/>
              <w:jc w:val="left"/>
              <w:rPr>
                <w:rFonts w:hint="eastAsia" w:ascii="宋体" w:hAnsi="宋体" w:eastAsia="宋体" w:cs="宋体"/>
                <w:sz w:val="18"/>
                <w:szCs w:val="18"/>
              </w:rPr>
            </w:pPr>
            <w:r>
              <w:rPr>
                <w:rFonts w:hint="eastAsia" w:ascii="宋体" w:hAnsi="宋体" w:eastAsia="宋体" w:cs="宋体"/>
                <w:sz w:val="18"/>
                <w:szCs w:val="18"/>
                <w:vertAlign w:val="superscript"/>
              </w:rPr>
              <w:t xml:space="preserve">b  </w:t>
            </w:r>
            <w:r>
              <w:rPr>
                <w:rFonts w:hint="eastAsia" w:ascii="宋体" w:hAnsi="宋体" w:eastAsia="宋体" w:cs="宋体"/>
                <w:sz w:val="18"/>
                <w:szCs w:val="18"/>
              </w:rPr>
              <w:t>适用于活动式中性笔。</w:t>
            </w:r>
          </w:p>
          <w:p>
            <w:pPr>
              <w:ind w:firstLine="360" w:firstLineChars="200"/>
              <w:jc w:val="left"/>
              <w:rPr>
                <w:rFonts w:hint="eastAsia" w:ascii="宋体" w:hAnsi="宋体" w:eastAsia="宋体" w:cs="宋体"/>
                <w:sz w:val="18"/>
                <w:szCs w:val="18"/>
              </w:rPr>
            </w:pPr>
            <w:r>
              <w:rPr>
                <w:rFonts w:hint="eastAsia" w:ascii="宋体" w:hAnsi="宋体" w:eastAsia="宋体" w:cs="宋体"/>
                <w:sz w:val="18"/>
                <w:szCs w:val="18"/>
                <w:vertAlign w:val="superscript"/>
              </w:rPr>
              <w:t>C</w:t>
            </w:r>
            <w:r>
              <w:rPr>
                <w:rFonts w:hint="eastAsia" w:ascii="宋体" w:hAnsi="宋体" w:eastAsia="宋体" w:cs="宋体"/>
                <w:sz w:val="18"/>
                <w:szCs w:val="18"/>
              </w:rPr>
              <w:t xml:space="preserve">  适用于14周岁以下学生使用的中性笔或笔芯（墨水、笔杆（包括笔套）涂层）。</w:t>
            </w:r>
          </w:p>
          <w:p>
            <w:pPr>
              <w:ind w:firstLine="360" w:firstLineChars="200"/>
              <w:jc w:val="left"/>
              <w:rPr>
                <w:rFonts w:hint="eastAsia" w:ascii="宋体" w:hAnsi="宋体" w:eastAsia="宋体" w:cs="宋体"/>
                <w:sz w:val="18"/>
                <w:szCs w:val="18"/>
              </w:rPr>
            </w:pPr>
            <w:r>
              <w:rPr>
                <w:rFonts w:hint="eastAsia" w:ascii="宋体" w:hAnsi="宋体" w:eastAsia="宋体" w:cs="宋体"/>
                <w:sz w:val="18"/>
                <w:szCs w:val="18"/>
                <w:vertAlign w:val="superscript"/>
              </w:rPr>
              <w:t>d</w:t>
            </w:r>
            <w:r>
              <w:rPr>
                <w:rFonts w:hint="eastAsia" w:ascii="宋体" w:hAnsi="宋体" w:eastAsia="宋体" w:cs="宋体"/>
                <w:sz w:val="18"/>
                <w:szCs w:val="18"/>
              </w:rPr>
              <w:t xml:space="preserve">  至少符合其中一项要求。</w:t>
            </w:r>
          </w:p>
          <w:p>
            <w:pPr>
              <w:ind w:firstLine="360" w:firstLineChars="200"/>
              <w:jc w:val="left"/>
              <w:rPr>
                <w:rFonts w:hint="eastAsia" w:ascii="宋体" w:hAnsi="宋体" w:eastAsia="宋体" w:cs="宋体"/>
                <w:sz w:val="18"/>
                <w:szCs w:val="18"/>
              </w:rPr>
            </w:pPr>
            <w:r>
              <w:rPr>
                <w:rFonts w:hint="eastAsia" w:ascii="宋体" w:hAnsi="宋体" w:eastAsia="宋体" w:cs="宋体"/>
                <w:sz w:val="18"/>
                <w:szCs w:val="18"/>
                <w:vertAlign w:val="superscript"/>
              </w:rPr>
              <w:t>e</w:t>
            </w:r>
            <w:r>
              <w:rPr>
                <w:rFonts w:hint="eastAsia" w:ascii="宋体" w:hAnsi="宋体" w:eastAsia="宋体" w:cs="宋体"/>
                <w:sz w:val="18"/>
                <w:szCs w:val="18"/>
              </w:rPr>
              <w:t xml:space="preserve">  对于单一样品的单一材料的取样量不足10</w:t>
            </w:r>
            <w:r>
              <w:rPr>
                <w:rFonts w:hint="eastAsia" w:ascii="宋体" w:hAnsi="宋体" w:eastAsia="宋体" w:cs="宋体"/>
                <w:w w:val="50"/>
                <w:kern w:val="0"/>
                <w:sz w:val="18"/>
                <w:szCs w:val="18"/>
              </w:rPr>
              <w:t xml:space="preserve"> </w:t>
            </w:r>
            <w:r>
              <w:rPr>
                <w:rFonts w:hint="eastAsia" w:ascii="宋体" w:hAnsi="宋体" w:eastAsia="宋体" w:cs="宋体"/>
                <w:sz w:val="18"/>
                <w:szCs w:val="18"/>
              </w:rPr>
              <w:t>mg时予以豁免。</w:t>
            </w:r>
          </w:p>
        </w:tc>
      </w:tr>
    </w:tbl>
    <w:p>
      <w:pPr>
        <w:pStyle w:val="84"/>
        <w:spacing w:before="312" w:after="312"/>
        <w:rPr>
          <w:szCs w:val="21"/>
        </w:rPr>
      </w:pPr>
      <w:r>
        <w:rPr>
          <w:rFonts w:hint="eastAsia"/>
          <w:szCs w:val="21"/>
        </w:rPr>
        <w:t>评价方法及等级划分</w:t>
      </w:r>
    </w:p>
    <w:p>
      <w:pPr>
        <w:pStyle w:val="86"/>
        <w:spacing w:before="0" w:beforeLines="0" w:after="0" w:afterLines="0"/>
        <w:rPr>
          <w:rFonts w:ascii="宋体" w:hAnsi="宋体" w:eastAsia="宋体" w:cs="宋体"/>
        </w:rPr>
      </w:pPr>
      <w:bookmarkStart w:id="80" w:name="_Toc323891329"/>
      <w:bookmarkStart w:id="81" w:name="_Toc353278168"/>
      <w:bookmarkStart w:id="82" w:name="_Toc324165077"/>
      <w:bookmarkStart w:id="83" w:name="_Toc324165027"/>
      <w:bookmarkStart w:id="84" w:name="_Toc323891250"/>
      <w:r>
        <w:rPr>
          <w:rFonts w:hint="eastAsia" w:ascii="宋体" w:hAnsi="宋体" w:eastAsia="宋体" w:cs="宋体"/>
        </w:rPr>
        <w:t>对具体产品企业标准的全部指标进行综合评价，评价结果划分为领跑者水平、优质水平、达标水平，划分依据见表2。</w:t>
      </w:r>
    </w:p>
    <w:bookmarkEnd w:id="80"/>
    <w:bookmarkEnd w:id="81"/>
    <w:bookmarkEnd w:id="82"/>
    <w:bookmarkEnd w:id="83"/>
    <w:bookmarkEnd w:id="84"/>
    <w:p>
      <w:pPr>
        <w:pStyle w:val="86"/>
        <w:spacing w:before="0" w:beforeLines="0" w:after="0" w:afterLines="0"/>
        <w:rPr>
          <w:rFonts w:ascii="宋体" w:hAnsi="宋体" w:eastAsia="宋体" w:cs="宋体"/>
        </w:rPr>
      </w:pPr>
      <w:r>
        <w:rPr>
          <w:rFonts w:hint="eastAsia" w:ascii="宋体" w:hAnsi="宋体" w:eastAsia="宋体" w:cs="宋体"/>
        </w:rPr>
        <w:t>综合评价满足表2中领跑者水平的企业标准为“领跑者”标准，符合表2中领跑者水平的产品为“领跑者”产品，自我声明标识可使用T/CSTE 0421中4.4图4-1自我声明“领跑者”标识，认证标识可使用T/CSTE 0421中4.5图5-1“领跑者”认证标识。</w:t>
      </w:r>
    </w:p>
    <w:p>
      <w:pPr>
        <w:pStyle w:val="86"/>
        <w:spacing w:before="0" w:beforeLines="0" w:after="0" w:afterLines="0"/>
        <w:rPr>
          <w:rFonts w:ascii="宋体" w:hAnsi="宋体" w:eastAsia="宋体" w:cs="宋体"/>
        </w:rPr>
      </w:pPr>
      <w:r>
        <w:rPr>
          <w:rFonts w:hint="eastAsia" w:ascii="宋体" w:hAnsi="宋体" w:eastAsia="宋体" w:cs="宋体"/>
        </w:rPr>
        <w:t>综合评价满足表2中优质水平的企业标准为“优质”标准，符合表2中优质水平的产品为“优质”产品，自我声明标识可使用T/CSTE 0421中4.4图4-2自我声明“优质”标识，认证标识可使用T/CSTE 0421中4.5图5-2“优质”认证标识。</w:t>
      </w:r>
    </w:p>
    <w:p>
      <w:pPr>
        <w:pStyle w:val="86"/>
        <w:spacing w:before="0" w:beforeLines="0" w:after="0" w:afterLines="0"/>
        <w:rPr>
          <w:rFonts w:ascii="宋体" w:hAnsi="宋体" w:eastAsia="宋体" w:cs="宋体"/>
        </w:rPr>
      </w:pPr>
      <w:r>
        <w:rPr>
          <w:rFonts w:hint="eastAsia" w:ascii="宋体" w:hAnsi="宋体" w:eastAsia="宋体" w:cs="宋体"/>
        </w:rPr>
        <w:t>综合评价满足表2中达标水平的企业标准为“达标”标准，符合表2中达标水平的产品为“达标”产品，自我声明标识可使用T/CSTE 0421中4.4图4-3自我声明“达标”标识，认证标识可使用T/CSTE 0421中4.5图5-3“达标”认证标识。</w:t>
      </w:r>
    </w:p>
    <w:p>
      <w:pPr>
        <w:pStyle w:val="4"/>
        <w:numPr>
          <w:ilvl w:val="0"/>
          <w:numId w:val="2"/>
        </w:numPr>
        <w:spacing w:before="156" w:beforeLines="50" w:line="240" w:lineRule="exact"/>
        <w:ind w:firstLineChars="0"/>
        <w:jc w:val="center"/>
        <w:rPr>
          <w:rFonts w:ascii="黑体" w:eastAsia="黑体"/>
        </w:rPr>
      </w:pPr>
      <w:r>
        <w:rPr>
          <w:rFonts w:hint="eastAsia" w:ascii="黑体" w:eastAsia="黑体"/>
        </w:rPr>
        <w:t>表2 指标评价要求及等级划分</w:t>
      </w:r>
    </w:p>
    <w:tbl>
      <w:tblPr>
        <w:tblStyle w:val="24"/>
        <w:tblpPr w:leftFromText="180" w:rightFromText="180" w:vertAnchor="text" w:horzAnchor="page" w:tblpX="1146" w:tblpY="295"/>
        <w:tblOverlap w:val="never"/>
        <w:tblW w:w="983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403"/>
        <w:gridCol w:w="3686"/>
        <w:gridCol w:w="234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76" w:type="dxa"/>
            <w:tcBorders>
              <w:bottom w:val="single" w:color="auto" w:sz="8" w:space="0"/>
            </w:tcBorders>
            <w:shd w:val="clear" w:color="auto" w:fill="auto"/>
            <w:vAlign w:val="center"/>
          </w:tcPr>
          <w:p>
            <w:pPr>
              <w:pStyle w:val="4"/>
              <w:ind w:firstLine="0" w:firstLineChars="0"/>
              <w:jc w:val="center"/>
              <w:rPr>
                <w:rFonts w:ascii="黑体" w:hAnsi="黑体" w:eastAsia="黑体" w:cs="黑体"/>
                <w:sz w:val="18"/>
                <w:szCs w:val="18"/>
              </w:rPr>
            </w:pPr>
            <w:bookmarkStart w:id="85" w:name="_Hlk35975549"/>
            <w:r>
              <w:rPr>
                <w:rFonts w:hint="eastAsia" w:ascii="黑体" w:hAnsi="黑体" w:eastAsia="黑体" w:cs="黑体"/>
                <w:sz w:val="18"/>
                <w:szCs w:val="18"/>
              </w:rPr>
              <w:t>标准等级</w:t>
            </w:r>
          </w:p>
        </w:tc>
        <w:tc>
          <w:tcPr>
            <w:tcW w:w="8558" w:type="dxa"/>
            <w:gridSpan w:val="4"/>
            <w:tcBorders>
              <w:bottom w:val="single" w:color="auto" w:sz="8" w:space="0"/>
            </w:tcBorders>
            <w:shd w:val="clear" w:color="auto" w:fill="auto"/>
            <w:vAlign w:val="center"/>
          </w:tcPr>
          <w:p>
            <w:pPr>
              <w:spacing w:line="360" w:lineRule="auto"/>
              <w:jc w:val="center"/>
              <w:rPr>
                <w:rFonts w:ascii="黑体" w:hAnsi="黑体" w:eastAsia="黑体" w:cs="黑体"/>
                <w:sz w:val="18"/>
                <w:szCs w:val="18"/>
              </w:rPr>
            </w:pPr>
            <w:r>
              <w:rPr>
                <w:rFonts w:hint="eastAsia" w:ascii="黑体" w:hAnsi="黑体" w:eastAsia="黑体" w:cs="黑体"/>
                <w:sz w:val="18"/>
                <w:szCs w:val="18"/>
              </w:rPr>
              <w:t>满足条件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auto" w:sz="8"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rPr>
              <w:t>领跑者水平</w:t>
            </w:r>
          </w:p>
        </w:tc>
        <w:tc>
          <w:tcPr>
            <w:tcW w:w="1120"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基本要求</w:t>
            </w:r>
          </w:p>
        </w:tc>
        <w:tc>
          <w:tcPr>
            <w:tcW w:w="1403"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基础指标要求</w:t>
            </w:r>
          </w:p>
        </w:tc>
        <w:tc>
          <w:tcPr>
            <w:tcW w:w="3686"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核心指标领跑者水平（5星级）要求</w:t>
            </w:r>
          </w:p>
        </w:tc>
        <w:tc>
          <w:tcPr>
            <w:tcW w:w="2349"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创新指标要求同时满足达到领跑者水平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bottom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rPr>
              <w:t>优质水平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rPr>
            </w:pPr>
          </w:p>
        </w:tc>
        <w:tc>
          <w:tcPr>
            <w:tcW w:w="3686"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核心指标不低于优质水平（4星级）要求</w:t>
            </w:r>
          </w:p>
        </w:tc>
        <w:tc>
          <w:tcPr>
            <w:tcW w:w="2349"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创新指标要求同时满足达到领跑者水平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rPr>
              <w:t>达标水平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rPr>
            </w:pPr>
          </w:p>
        </w:tc>
        <w:tc>
          <w:tcPr>
            <w:tcW w:w="3686" w:type="dxa"/>
            <w:tcBorders>
              <w:top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核心指标不低于达标水平（3星级）要求</w:t>
            </w:r>
          </w:p>
        </w:tc>
        <w:tc>
          <w:tcPr>
            <w:tcW w:w="2349"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rPr>
              <w:t>—</w:t>
            </w:r>
          </w:p>
        </w:tc>
      </w:tr>
      <w:bookmarkEnd w:id="85"/>
    </w:tbl>
    <w:p>
      <w:pPr>
        <w:pStyle w:val="4"/>
        <w:numPr>
          <w:ilvl w:val="0"/>
          <w:numId w:val="2"/>
        </w:numPr>
        <w:spacing w:before="156" w:beforeLines="50" w:after="156" w:afterLines="50"/>
        <w:ind w:firstLineChars="0"/>
        <w:jc w:val="center"/>
        <w:rPr>
          <w:rFonts w:ascii="黑体" w:eastAsia="黑体"/>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1931670</wp:posOffset>
                </wp:positionV>
                <wp:extent cx="2272665" cy="0"/>
                <wp:effectExtent l="5080" t="5080" r="8255" b="1397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62.5pt;margin-top:152.1pt;height:0pt;width:178.95pt;z-index:251661312;mso-width-relative:page;mso-height-relative:page;" filled="f" stroked="t" coordsize="21600,21600" o:gfxdata="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SZy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bookmarkEnd w:id="69"/>
      <w:bookmarkEnd w:id="70"/>
      <w:bookmarkEnd w:id="71"/>
      <w:bookmarkEnd w:id="72"/>
      <w:bookmarkEnd w:id="73"/>
      <w:bookmarkEnd w:id="74"/>
      <w:bookmarkEnd w:id="76"/>
      <w:bookmarkEnd w:id="77"/>
      <w:bookmarkEnd w:id="78"/>
    </w:p>
    <w:sectPr>
      <w:footerReference r:id="rId5" w:type="default"/>
      <w:pgSz w:w="11906" w:h="16838"/>
      <w:pgMar w:top="1134" w:right="1134" w:bottom="1134" w:left="1134" w:header="907"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4"/>
      <w:suff w:val="nothing"/>
      <w:lvlText w:val="%1%2　"/>
      <w:lvlJc w:val="left"/>
      <w:pPr>
        <w:ind w:left="0" w:firstLine="0"/>
      </w:pPr>
      <w:rPr>
        <w:rFonts w:hint="eastAsia" w:ascii="黑体" w:hAnsi="Times New Roman"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OWY4NzlhM2UyNmY1ODEzYWNmYzM0ZmE1NjZjYjAifQ=="/>
  </w:docVars>
  <w:rsids>
    <w:rsidRoot w:val="008803BF"/>
    <w:rsid w:val="0001781F"/>
    <w:rsid w:val="000300A6"/>
    <w:rsid w:val="000719BD"/>
    <w:rsid w:val="000A7B81"/>
    <w:rsid w:val="000D746D"/>
    <w:rsid w:val="000E4E6B"/>
    <w:rsid w:val="00104085"/>
    <w:rsid w:val="0010549C"/>
    <w:rsid w:val="00113B38"/>
    <w:rsid w:val="00122248"/>
    <w:rsid w:val="00130F9F"/>
    <w:rsid w:val="0015059B"/>
    <w:rsid w:val="00160923"/>
    <w:rsid w:val="0016286C"/>
    <w:rsid w:val="0017600A"/>
    <w:rsid w:val="00182696"/>
    <w:rsid w:val="001877DD"/>
    <w:rsid w:val="001A09ED"/>
    <w:rsid w:val="001B7D38"/>
    <w:rsid w:val="001C355D"/>
    <w:rsid w:val="001F17FA"/>
    <w:rsid w:val="001F1A83"/>
    <w:rsid w:val="00204EC0"/>
    <w:rsid w:val="00212EAC"/>
    <w:rsid w:val="002446A9"/>
    <w:rsid w:val="00263042"/>
    <w:rsid w:val="0028078E"/>
    <w:rsid w:val="00291BD6"/>
    <w:rsid w:val="00294203"/>
    <w:rsid w:val="002A43B9"/>
    <w:rsid w:val="002F1B8C"/>
    <w:rsid w:val="00325F69"/>
    <w:rsid w:val="0033769E"/>
    <w:rsid w:val="0036091F"/>
    <w:rsid w:val="00370C08"/>
    <w:rsid w:val="00381AAB"/>
    <w:rsid w:val="00383BFC"/>
    <w:rsid w:val="00394B1D"/>
    <w:rsid w:val="003B2D72"/>
    <w:rsid w:val="003B3539"/>
    <w:rsid w:val="003B4BB1"/>
    <w:rsid w:val="003E3A58"/>
    <w:rsid w:val="00432B0E"/>
    <w:rsid w:val="00454554"/>
    <w:rsid w:val="00455197"/>
    <w:rsid w:val="00455F83"/>
    <w:rsid w:val="00456864"/>
    <w:rsid w:val="00457BC0"/>
    <w:rsid w:val="00465FB3"/>
    <w:rsid w:val="00474AFF"/>
    <w:rsid w:val="004754E1"/>
    <w:rsid w:val="004760C0"/>
    <w:rsid w:val="004849A2"/>
    <w:rsid w:val="004A2E27"/>
    <w:rsid w:val="004A79AA"/>
    <w:rsid w:val="004C1ECE"/>
    <w:rsid w:val="004C70C8"/>
    <w:rsid w:val="004D5A24"/>
    <w:rsid w:val="00506ACC"/>
    <w:rsid w:val="00510E7A"/>
    <w:rsid w:val="005171D0"/>
    <w:rsid w:val="0053136E"/>
    <w:rsid w:val="00575322"/>
    <w:rsid w:val="005E53E3"/>
    <w:rsid w:val="005E5918"/>
    <w:rsid w:val="0061033D"/>
    <w:rsid w:val="00617617"/>
    <w:rsid w:val="00634262"/>
    <w:rsid w:val="00674783"/>
    <w:rsid w:val="00687B10"/>
    <w:rsid w:val="00697620"/>
    <w:rsid w:val="006D369D"/>
    <w:rsid w:val="006F1280"/>
    <w:rsid w:val="00701E75"/>
    <w:rsid w:val="00717D83"/>
    <w:rsid w:val="00721377"/>
    <w:rsid w:val="0072451C"/>
    <w:rsid w:val="007329E0"/>
    <w:rsid w:val="00734B9C"/>
    <w:rsid w:val="00740AD2"/>
    <w:rsid w:val="00743E65"/>
    <w:rsid w:val="007474FF"/>
    <w:rsid w:val="00764771"/>
    <w:rsid w:val="007D7D98"/>
    <w:rsid w:val="007E26A9"/>
    <w:rsid w:val="0081081C"/>
    <w:rsid w:val="0081753E"/>
    <w:rsid w:val="00830F51"/>
    <w:rsid w:val="00850E64"/>
    <w:rsid w:val="008558D0"/>
    <w:rsid w:val="008803BF"/>
    <w:rsid w:val="008B04FF"/>
    <w:rsid w:val="008C174F"/>
    <w:rsid w:val="008E42FB"/>
    <w:rsid w:val="00925893"/>
    <w:rsid w:val="00940848"/>
    <w:rsid w:val="00946CAA"/>
    <w:rsid w:val="00954A54"/>
    <w:rsid w:val="0095775E"/>
    <w:rsid w:val="00987042"/>
    <w:rsid w:val="0099381E"/>
    <w:rsid w:val="009972FD"/>
    <w:rsid w:val="009B054E"/>
    <w:rsid w:val="009B15E6"/>
    <w:rsid w:val="009E6ECC"/>
    <w:rsid w:val="009F046F"/>
    <w:rsid w:val="009F6FEB"/>
    <w:rsid w:val="00A01B19"/>
    <w:rsid w:val="00A137E4"/>
    <w:rsid w:val="00A31D1C"/>
    <w:rsid w:val="00A43A99"/>
    <w:rsid w:val="00A542A0"/>
    <w:rsid w:val="00A966C8"/>
    <w:rsid w:val="00AD615C"/>
    <w:rsid w:val="00AF4692"/>
    <w:rsid w:val="00B0065A"/>
    <w:rsid w:val="00B016AF"/>
    <w:rsid w:val="00B11510"/>
    <w:rsid w:val="00B46E30"/>
    <w:rsid w:val="00B51C1B"/>
    <w:rsid w:val="00B85532"/>
    <w:rsid w:val="00B91513"/>
    <w:rsid w:val="00BB0372"/>
    <w:rsid w:val="00BC2766"/>
    <w:rsid w:val="00C27F20"/>
    <w:rsid w:val="00C37461"/>
    <w:rsid w:val="00C41EAE"/>
    <w:rsid w:val="00C42B7E"/>
    <w:rsid w:val="00C80D46"/>
    <w:rsid w:val="00CC0BE9"/>
    <w:rsid w:val="00CD784D"/>
    <w:rsid w:val="00CF7167"/>
    <w:rsid w:val="00CF7A51"/>
    <w:rsid w:val="00D23C83"/>
    <w:rsid w:val="00D4141A"/>
    <w:rsid w:val="00D4196E"/>
    <w:rsid w:val="00D4444C"/>
    <w:rsid w:val="00D64778"/>
    <w:rsid w:val="00D71493"/>
    <w:rsid w:val="00D75D5D"/>
    <w:rsid w:val="00D848B5"/>
    <w:rsid w:val="00D87475"/>
    <w:rsid w:val="00DA73D7"/>
    <w:rsid w:val="00DC7C95"/>
    <w:rsid w:val="00DE0B7A"/>
    <w:rsid w:val="00E24FC5"/>
    <w:rsid w:val="00E5036C"/>
    <w:rsid w:val="00E52B5B"/>
    <w:rsid w:val="00E62678"/>
    <w:rsid w:val="00EA2517"/>
    <w:rsid w:val="00EA6845"/>
    <w:rsid w:val="00EF054A"/>
    <w:rsid w:val="00F309E1"/>
    <w:rsid w:val="00F40EE5"/>
    <w:rsid w:val="00F44DBC"/>
    <w:rsid w:val="00F54A09"/>
    <w:rsid w:val="00F62E0F"/>
    <w:rsid w:val="00F70A05"/>
    <w:rsid w:val="00F75CD3"/>
    <w:rsid w:val="00FB0930"/>
    <w:rsid w:val="00FB7C61"/>
    <w:rsid w:val="00FC3B68"/>
    <w:rsid w:val="00FC65AC"/>
    <w:rsid w:val="00FF5F7D"/>
    <w:rsid w:val="013019FE"/>
    <w:rsid w:val="013D1161"/>
    <w:rsid w:val="0157144D"/>
    <w:rsid w:val="017A10E5"/>
    <w:rsid w:val="017F0419"/>
    <w:rsid w:val="01956502"/>
    <w:rsid w:val="01A22C15"/>
    <w:rsid w:val="01A40D00"/>
    <w:rsid w:val="023736B1"/>
    <w:rsid w:val="025C6F9A"/>
    <w:rsid w:val="02985DC6"/>
    <w:rsid w:val="033E3BD6"/>
    <w:rsid w:val="03D351A4"/>
    <w:rsid w:val="04231082"/>
    <w:rsid w:val="0430275A"/>
    <w:rsid w:val="04396DED"/>
    <w:rsid w:val="04BC5D9C"/>
    <w:rsid w:val="052E6005"/>
    <w:rsid w:val="0532620C"/>
    <w:rsid w:val="054162A1"/>
    <w:rsid w:val="056C1E37"/>
    <w:rsid w:val="060A00C1"/>
    <w:rsid w:val="06603FA5"/>
    <w:rsid w:val="06B223B0"/>
    <w:rsid w:val="06C31FE9"/>
    <w:rsid w:val="0715674C"/>
    <w:rsid w:val="07E47470"/>
    <w:rsid w:val="08314631"/>
    <w:rsid w:val="08430582"/>
    <w:rsid w:val="08652BE4"/>
    <w:rsid w:val="08CB026F"/>
    <w:rsid w:val="08FF41FE"/>
    <w:rsid w:val="09374DB2"/>
    <w:rsid w:val="099771D4"/>
    <w:rsid w:val="09B034BB"/>
    <w:rsid w:val="0A0E0485"/>
    <w:rsid w:val="0A670478"/>
    <w:rsid w:val="0B914450"/>
    <w:rsid w:val="0BBA4FFF"/>
    <w:rsid w:val="0BC773BD"/>
    <w:rsid w:val="0C0C5CC9"/>
    <w:rsid w:val="0C4548C9"/>
    <w:rsid w:val="0C8D346B"/>
    <w:rsid w:val="0CEC743A"/>
    <w:rsid w:val="0D2563C4"/>
    <w:rsid w:val="0D970F8B"/>
    <w:rsid w:val="0DC91474"/>
    <w:rsid w:val="0DFC3F18"/>
    <w:rsid w:val="0E0662D9"/>
    <w:rsid w:val="0E364E7D"/>
    <w:rsid w:val="0E7E0566"/>
    <w:rsid w:val="0EB73455"/>
    <w:rsid w:val="0EF279EF"/>
    <w:rsid w:val="0F4C0664"/>
    <w:rsid w:val="0F5C0C86"/>
    <w:rsid w:val="0F7F3E70"/>
    <w:rsid w:val="0F900551"/>
    <w:rsid w:val="0F9A13CF"/>
    <w:rsid w:val="0F9B1A19"/>
    <w:rsid w:val="0FA062BA"/>
    <w:rsid w:val="101C784D"/>
    <w:rsid w:val="10247488"/>
    <w:rsid w:val="106519DD"/>
    <w:rsid w:val="108F73B2"/>
    <w:rsid w:val="112E3AE6"/>
    <w:rsid w:val="116D17AA"/>
    <w:rsid w:val="11946955"/>
    <w:rsid w:val="11993255"/>
    <w:rsid w:val="11AF4661"/>
    <w:rsid w:val="11C3029D"/>
    <w:rsid w:val="12132744"/>
    <w:rsid w:val="123950D3"/>
    <w:rsid w:val="124A7371"/>
    <w:rsid w:val="13386D6B"/>
    <w:rsid w:val="135209F1"/>
    <w:rsid w:val="13904FC3"/>
    <w:rsid w:val="13C52E49"/>
    <w:rsid w:val="13D70D51"/>
    <w:rsid w:val="14025795"/>
    <w:rsid w:val="140908D1"/>
    <w:rsid w:val="141A7667"/>
    <w:rsid w:val="143E2655"/>
    <w:rsid w:val="14553B17"/>
    <w:rsid w:val="14574345"/>
    <w:rsid w:val="14741101"/>
    <w:rsid w:val="14991245"/>
    <w:rsid w:val="14C81A79"/>
    <w:rsid w:val="14FE5F5C"/>
    <w:rsid w:val="15616904"/>
    <w:rsid w:val="1565422D"/>
    <w:rsid w:val="156C31B3"/>
    <w:rsid w:val="158F3762"/>
    <w:rsid w:val="15957362"/>
    <w:rsid w:val="15B34F99"/>
    <w:rsid w:val="15D40117"/>
    <w:rsid w:val="16B77FD1"/>
    <w:rsid w:val="173125FF"/>
    <w:rsid w:val="174F2A9F"/>
    <w:rsid w:val="17991F6C"/>
    <w:rsid w:val="179E3667"/>
    <w:rsid w:val="17D17958"/>
    <w:rsid w:val="17DA13A7"/>
    <w:rsid w:val="180E4A95"/>
    <w:rsid w:val="185D743E"/>
    <w:rsid w:val="18DD79A1"/>
    <w:rsid w:val="18FE652B"/>
    <w:rsid w:val="194D55A9"/>
    <w:rsid w:val="19C76021"/>
    <w:rsid w:val="1A7123F6"/>
    <w:rsid w:val="1A887C80"/>
    <w:rsid w:val="1ABA1D83"/>
    <w:rsid w:val="1AE80243"/>
    <w:rsid w:val="1B240FCE"/>
    <w:rsid w:val="1B886580"/>
    <w:rsid w:val="1B8921F9"/>
    <w:rsid w:val="1B910DB4"/>
    <w:rsid w:val="1C116575"/>
    <w:rsid w:val="1C13738E"/>
    <w:rsid w:val="1C1D5511"/>
    <w:rsid w:val="1C2D7829"/>
    <w:rsid w:val="1C5C03A3"/>
    <w:rsid w:val="1CE31C2F"/>
    <w:rsid w:val="1D1B2CB8"/>
    <w:rsid w:val="1DCF0496"/>
    <w:rsid w:val="1DD54CF5"/>
    <w:rsid w:val="1E704E6F"/>
    <w:rsid w:val="1ED17431"/>
    <w:rsid w:val="1F117EF7"/>
    <w:rsid w:val="1F365B58"/>
    <w:rsid w:val="1F9C4CF0"/>
    <w:rsid w:val="1FB05E2C"/>
    <w:rsid w:val="1FBB41D0"/>
    <w:rsid w:val="20286583"/>
    <w:rsid w:val="205828FC"/>
    <w:rsid w:val="20BF5065"/>
    <w:rsid w:val="21076199"/>
    <w:rsid w:val="2118156D"/>
    <w:rsid w:val="212E7BC9"/>
    <w:rsid w:val="216364D8"/>
    <w:rsid w:val="21E6650E"/>
    <w:rsid w:val="22927EB5"/>
    <w:rsid w:val="235F050E"/>
    <w:rsid w:val="239038EC"/>
    <w:rsid w:val="23962050"/>
    <w:rsid w:val="23C245F9"/>
    <w:rsid w:val="24170DE9"/>
    <w:rsid w:val="250F1AC0"/>
    <w:rsid w:val="25770F38"/>
    <w:rsid w:val="26F725F1"/>
    <w:rsid w:val="27111B1F"/>
    <w:rsid w:val="275613EA"/>
    <w:rsid w:val="27651E6B"/>
    <w:rsid w:val="27A62658"/>
    <w:rsid w:val="27A75FE0"/>
    <w:rsid w:val="27DA27C2"/>
    <w:rsid w:val="28011B94"/>
    <w:rsid w:val="28212236"/>
    <w:rsid w:val="2829057B"/>
    <w:rsid w:val="28404E9B"/>
    <w:rsid w:val="286F11F3"/>
    <w:rsid w:val="2888032F"/>
    <w:rsid w:val="28CE644C"/>
    <w:rsid w:val="28E717BF"/>
    <w:rsid w:val="29104EC2"/>
    <w:rsid w:val="29347ACD"/>
    <w:rsid w:val="298760C9"/>
    <w:rsid w:val="298A4D77"/>
    <w:rsid w:val="29EA7DDC"/>
    <w:rsid w:val="2A093583"/>
    <w:rsid w:val="2A135BAE"/>
    <w:rsid w:val="2A4B17EC"/>
    <w:rsid w:val="2A621607"/>
    <w:rsid w:val="2A6379F0"/>
    <w:rsid w:val="2AA607D0"/>
    <w:rsid w:val="2AD27734"/>
    <w:rsid w:val="2ADC41F2"/>
    <w:rsid w:val="2B003D2F"/>
    <w:rsid w:val="2B1B665A"/>
    <w:rsid w:val="2B591CE7"/>
    <w:rsid w:val="2BE710A1"/>
    <w:rsid w:val="2BEE3000"/>
    <w:rsid w:val="2BFD08C4"/>
    <w:rsid w:val="2C516C94"/>
    <w:rsid w:val="2C5219A4"/>
    <w:rsid w:val="2C6E21E4"/>
    <w:rsid w:val="2C932FD6"/>
    <w:rsid w:val="2CBD3C22"/>
    <w:rsid w:val="2CD7257D"/>
    <w:rsid w:val="2CF972DD"/>
    <w:rsid w:val="2D0F6DD8"/>
    <w:rsid w:val="2D2770B2"/>
    <w:rsid w:val="2D502C75"/>
    <w:rsid w:val="2DCF003E"/>
    <w:rsid w:val="2E450564"/>
    <w:rsid w:val="2E494294"/>
    <w:rsid w:val="2EFF2BA5"/>
    <w:rsid w:val="2F0270F7"/>
    <w:rsid w:val="2F61666C"/>
    <w:rsid w:val="30734518"/>
    <w:rsid w:val="307B44AD"/>
    <w:rsid w:val="30B23898"/>
    <w:rsid w:val="3102072B"/>
    <w:rsid w:val="31234806"/>
    <w:rsid w:val="317E4255"/>
    <w:rsid w:val="31C205E6"/>
    <w:rsid w:val="31C6519A"/>
    <w:rsid w:val="31C73034"/>
    <w:rsid w:val="32087FC3"/>
    <w:rsid w:val="320F4EAD"/>
    <w:rsid w:val="322A6C7A"/>
    <w:rsid w:val="32356F54"/>
    <w:rsid w:val="327862EE"/>
    <w:rsid w:val="32856C03"/>
    <w:rsid w:val="32A76BDA"/>
    <w:rsid w:val="32B33085"/>
    <w:rsid w:val="32E160FF"/>
    <w:rsid w:val="32F13CE5"/>
    <w:rsid w:val="32F32A21"/>
    <w:rsid w:val="330172C6"/>
    <w:rsid w:val="334131D3"/>
    <w:rsid w:val="33423060"/>
    <w:rsid w:val="33557238"/>
    <w:rsid w:val="33D33712"/>
    <w:rsid w:val="34597BA1"/>
    <w:rsid w:val="34800CEE"/>
    <w:rsid w:val="34C6027F"/>
    <w:rsid w:val="350F0BFE"/>
    <w:rsid w:val="35200BA1"/>
    <w:rsid w:val="355B006D"/>
    <w:rsid w:val="35643AD5"/>
    <w:rsid w:val="356B689E"/>
    <w:rsid w:val="357240D1"/>
    <w:rsid w:val="35FA5E74"/>
    <w:rsid w:val="364A32AA"/>
    <w:rsid w:val="37115A71"/>
    <w:rsid w:val="374313BA"/>
    <w:rsid w:val="376B630F"/>
    <w:rsid w:val="37AB1B1C"/>
    <w:rsid w:val="38037262"/>
    <w:rsid w:val="380C5996"/>
    <w:rsid w:val="382F44FB"/>
    <w:rsid w:val="386F3515"/>
    <w:rsid w:val="38B30E35"/>
    <w:rsid w:val="38E0098C"/>
    <w:rsid w:val="38EB45FD"/>
    <w:rsid w:val="39237490"/>
    <w:rsid w:val="392E6A78"/>
    <w:rsid w:val="39677413"/>
    <w:rsid w:val="39AF5FE9"/>
    <w:rsid w:val="3A082DDA"/>
    <w:rsid w:val="3A687850"/>
    <w:rsid w:val="3A8C2C0D"/>
    <w:rsid w:val="3A9B669F"/>
    <w:rsid w:val="3B637FCA"/>
    <w:rsid w:val="3BAE6A8A"/>
    <w:rsid w:val="3C3E4D0D"/>
    <w:rsid w:val="3C876AF0"/>
    <w:rsid w:val="3D5B369C"/>
    <w:rsid w:val="3D613D22"/>
    <w:rsid w:val="3E3143FD"/>
    <w:rsid w:val="3E38307B"/>
    <w:rsid w:val="3E614CE2"/>
    <w:rsid w:val="3E6F34DF"/>
    <w:rsid w:val="3EC95459"/>
    <w:rsid w:val="3F941E72"/>
    <w:rsid w:val="40062ACB"/>
    <w:rsid w:val="40313A54"/>
    <w:rsid w:val="40644392"/>
    <w:rsid w:val="40882F15"/>
    <w:rsid w:val="40B32EF6"/>
    <w:rsid w:val="40C663C9"/>
    <w:rsid w:val="412F1B65"/>
    <w:rsid w:val="417D1041"/>
    <w:rsid w:val="41A315F9"/>
    <w:rsid w:val="4265671D"/>
    <w:rsid w:val="42BA0E65"/>
    <w:rsid w:val="42BE04AF"/>
    <w:rsid w:val="42CD6DEA"/>
    <w:rsid w:val="430E5A01"/>
    <w:rsid w:val="431C1B20"/>
    <w:rsid w:val="438D0328"/>
    <w:rsid w:val="43A30364"/>
    <w:rsid w:val="43C85745"/>
    <w:rsid w:val="442D1921"/>
    <w:rsid w:val="44E66AD2"/>
    <w:rsid w:val="455E5FD8"/>
    <w:rsid w:val="461F6BBA"/>
    <w:rsid w:val="46200F7E"/>
    <w:rsid w:val="464A0752"/>
    <w:rsid w:val="46715CDF"/>
    <w:rsid w:val="468130DF"/>
    <w:rsid w:val="46D27A3E"/>
    <w:rsid w:val="46D36999"/>
    <w:rsid w:val="47471001"/>
    <w:rsid w:val="476A2C78"/>
    <w:rsid w:val="47777325"/>
    <w:rsid w:val="478005D2"/>
    <w:rsid w:val="47992888"/>
    <w:rsid w:val="479D3534"/>
    <w:rsid w:val="47C307BC"/>
    <w:rsid w:val="4854142E"/>
    <w:rsid w:val="4858276E"/>
    <w:rsid w:val="48A51834"/>
    <w:rsid w:val="48AD7515"/>
    <w:rsid w:val="48E94252"/>
    <w:rsid w:val="49022A4B"/>
    <w:rsid w:val="490A726C"/>
    <w:rsid w:val="498336EE"/>
    <w:rsid w:val="49A92BA2"/>
    <w:rsid w:val="49CF169A"/>
    <w:rsid w:val="49FE3D2D"/>
    <w:rsid w:val="4A3E47FB"/>
    <w:rsid w:val="4A5A086E"/>
    <w:rsid w:val="4ACF7A36"/>
    <w:rsid w:val="4B5332A4"/>
    <w:rsid w:val="4B7F2A04"/>
    <w:rsid w:val="4BBF0072"/>
    <w:rsid w:val="4BD036A7"/>
    <w:rsid w:val="4C5F3DED"/>
    <w:rsid w:val="4C72593C"/>
    <w:rsid w:val="4CAA1F4A"/>
    <w:rsid w:val="4CDC29F0"/>
    <w:rsid w:val="4CDF5BD4"/>
    <w:rsid w:val="4D212310"/>
    <w:rsid w:val="4D4C0D5E"/>
    <w:rsid w:val="4DB17F72"/>
    <w:rsid w:val="4DDA060D"/>
    <w:rsid w:val="4DF220DA"/>
    <w:rsid w:val="4E781177"/>
    <w:rsid w:val="4EA60F65"/>
    <w:rsid w:val="4EC16AC8"/>
    <w:rsid w:val="4EFB6A8D"/>
    <w:rsid w:val="4F3F4BCC"/>
    <w:rsid w:val="4FD95020"/>
    <w:rsid w:val="50342257"/>
    <w:rsid w:val="50B047BD"/>
    <w:rsid w:val="51083017"/>
    <w:rsid w:val="515423B5"/>
    <w:rsid w:val="519C6B90"/>
    <w:rsid w:val="51CF2D8E"/>
    <w:rsid w:val="529B315D"/>
    <w:rsid w:val="52A953C7"/>
    <w:rsid w:val="52CA1B96"/>
    <w:rsid w:val="531A4198"/>
    <w:rsid w:val="539B6B72"/>
    <w:rsid w:val="53EE5CD3"/>
    <w:rsid w:val="5406286E"/>
    <w:rsid w:val="54071A30"/>
    <w:rsid w:val="547122F8"/>
    <w:rsid w:val="54C6369A"/>
    <w:rsid w:val="550545DD"/>
    <w:rsid w:val="550A7A2A"/>
    <w:rsid w:val="5536754D"/>
    <w:rsid w:val="5539030F"/>
    <w:rsid w:val="556967CA"/>
    <w:rsid w:val="564140EA"/>
    <w:rsid w:val="56DC79F4"/>
    <w:rsid w:val="56EF4237"/>
    <w:rsid w:val="570F7EDB"/>
    <w:rsid w:val="571E77BD"/>
    <w:rsid w:val="573C74B5"/>
    <w:rsid w:val="57715B3F"/>
    <w:rsid w:val="58935F89"/>
    <w:rsid w:val="58995112"/>
    <w:rsid w:val="58A70D79"/>
    <w:rsid w:val="58D35E49"/>
    <w:rsid w:val="58F85DEC"/>
    <w:rsid w:val="596D2336"/>
    <w:rsid w:val="59E771C6"/>
    <w:rsid w:val="5A69704A"/>
    <w:rsid w:val="5AB2291B"/>
    <w:rsid w:val="5ACE14FA"/>
    <w:rsid w:val="5B09250D"/>
    <w:rsid w:val="5B4E0CD7"/>
    <w:rsid w:val="5BE909A8"/>
    <w:rsid w:val="5C0C22DA"/>
    <w:rsid w:val="5C121CF5"/>
    <w:rsid w:val="5C5509A8"/>
    <w:rsid w:val="5C5B5D44"/>
    <w:rsid w:val="5C5D27F2"/>
    <w:rsid w:val="5C7F6BB4"/>
    <w:rsid w:val="5CAC586B"/>
    <w:rsid w:val="5D727DDC"/>
    <w:rsid w:val="5D804D2D"/>
    <w:rsid w:val="5DA00EB0"/>
    <w:rsid w:val="5DDD3E9C"/>
    <w:rsid w:val="5DE84681"/>
    <w:rsid w:val="5E8C7702"/>
    <w:rsid w:val="5ED42BA2"/>
    <w:rsid w:val="5F072BE8"/>
    <w:rsid w:val="5F0A2F96"/>
    <w:rsid w:val="5F253C48"/>
    <w:rsid w:val="5F4B34F8"/>
    <w:rsid w:val="5F61293D"/>
    <w:rsid w:val="5FBA3DFB"/>
    <w:rsid w:val="602773EC"/>
    <w:rsid w:val="60413278"/>
    <w:rsid w:val="609A21B5"/>
    <w:rsid w:val="60E00B61"/>
    <w:rsid w:val="60F8107F"/>
    <w:rsid w:val="618D7518"/>
    <w:rsid w:val="61AE4166"/>
    <w:rsid w:val="61DE0CF0"/>
    <w:rsid w:val="623460E6"/>
    <w:rsid w:val="637349EC"/>
    <w:rsid w:val="638C3D00"/>
    <w:rsid w:val="63DE6250"/>
    <w:rsid w:val="64371CD5"/>
    <w:rsid w:val="64580CB0"/>
    <w:rsid w:val="64627F4B"/>
    <w:rsid w:val="64801AB7"/>
    <w:rsid w:val="65211DF7"/>
    <w:rsid w:val="65493C57"/>
    <w:rsid w:val="666A0801"/>
    <w:rsid w:val="66736D0A"/>
    <w:rsid w:val="668D2269"/>
    <w:rsid w:val="672A1EE9"/>
    <w:rsid w:val="678A0557"/>
    <w:rsid w:val="67A96A9E"/>
    <w:rsid w:val="67B24FE9"/>
    <w:rsid w:val="67C41CBB"/>
    <w:rsid w:val="67CA3D41"/>
    <w:rsid w:val="67D674D2"/>
    <w:rsid w:val="67F26902"/>
    <w:rsid w:val="68507D87"/>
    <w:rsid w:val="686D5EAE"/>
    <w:rsid w:val="687234C5"/>
    <w:rsid w:val="688A2F04"/>
    <w:rsid w:val="689E02F8"/>
    <w:rsid w:val="68A634BD"/>
    <w:rsid w:val="68BC5C16"/>
    <w:rsid w:val="68D4417F"/>
    <w:rsid w:val="68D8128A"/>
    <w:rsid w:val="69670B4F"/>
    <w:rsid w:val="698A0CE2"/>
    <w:rsid w:val="69C6217D"/>
    <w:rsid w:val="69EF1BC6"/>
    <w:rsid w:val="69F73655"/>
    <w:rsid w:val="6AEC2351"/>
    <w:rsid w:val="6AF32471"/>
    <w:rsid w:val="6B0C5E52"/>
    <w:rsid w:val="6B351850"/>
    <w:rsid w:val="6B517D09"/>
    <w:rsid w:val="6C2C48AC"/>
    <w:rsid w:val="6C64581A"/>
    <w:rsid w:val="6C7D068A"/>
    <w:rsid w:val="6C8E5718"/>
    <w:rsid w:val="6CC22328"/>
    <w:rsid w:val="6CD56AF4"/>
    <w:rsid w:val="6CD932CB"/>
    <w:rsid w:val="6D105413"/>
    <w:rsid w:val="6D8E6A33"/>
    <w:rsid w:val="6DB620A5"/>
    <w:rsid w:val="6DC5678C"/>
    <w:rsid w:val="6DCC7B1B"/>
    <w:rsid w:val="6DDE0181"/>
    <w:rsid w:val="6DEE7A91"/>
    <w:rsid w:val="6E361438"/>
    <w:rsid w:val="6E732C64"/>
    <w:rsid w:val="6F154B2D"/>
    <w:rsid w:val="6F2511CB"/>
    <w:rsid w:val="6F2968A7"/>
    <w:rsid w:val="6F751AEC"/>
    <w:rsid w:val="6FB50225"/>
    <w:rsid w:val="6FC53298"/>
    <w:rsid w:val="6FD74555"/>
    <w:rsid w:val="707F6CDF"/>
    <w:rsid w:val="70B623BC"/>
    <w:rsid w:val="70EC5DDE"/>
    <w:rsid w:val="716A6CEF"/>
    <w:rsid w:val="7174629C"/>
    <w:rsid w:val="71771B4C"/>
    <w:rsid w:val="728F7C9A"/>
    <w:rsid w:val="72914E8F"/>
    <w:rsid w:val="736507F6"/>
    <w:rsid w:val="738348E4"/>
    <w:rsid w:val="73B434AA"/>
    <w:rsid w:val="73C71690"/>
    <w:rsid w:val="741E09A4"/>
    <w:rsid w:val="75042A89"/>
    <w:rsid w:val="75056276"/>
    <w:rsid w:val="75267B11"/>
    <w:rsid w:val="75ED21E5"/>
    <w:rsid w:val="76361FD5"/>
    <w:rsid w:val="76C27424"/>
    <w:rsid w:val="76C3229F"/>
    <w:rsid w:val="76CE1080"/>
    <w:rsid w:val="76FC03FE"/>
    <w:rsid w:val="774A788F"/>
    <w:rsid w:val="774E1408"/>
    <w:rsid w:val="77565BBE"/>
    <w:rsid w:val="77F800D5"/>
    <w:rsid w:val="781F13F3"/>
    <w:rsid w:val="786966E6"/>
    <w:rsid w:val="78895CA5"/>
    <w:rsid w:val="79157851"/>
    <w:rsid w:val="79202BB4"/>
    <w:rsid w:val="79490272"/>
    <w:rsid w:val="79AA5B6F"/>
    <w:rsid w:val="79C36276"/>
    <w:rsid w:val="79E76A6B"/>
    <w:rsid w:val="7A0B1FEC"/>
    <w:rsid w:val="7A140B64"/>
    <w:rsid w:val="7A20184B"/>
    <w:rsid w:val="7A6212D3"/>
    <w:rsid w:val="7A86426A"/>
    <w:rsid w:val="7AB90A1C"/>
    <w:rsid w:val="7B0D1124"/>
    <w:rsid w:val="7B2956D5"/>
    <w:rsid w:val="7B67393B"/>
    <w:rsid w:val="7C190ABB"/>
    <w:rsid w:val="7C305674"/>
    <w:rsid w:val="7C440929"/>
    <w:rsid w:val="7C7A77AE"/>
    <w:rsid w:val="7CD76B5A"/>
    <w:rsid w:val="7D6F6B54"/>
    <w:rsid w:val="7DB859C6"/>
    <w:rsid w:val="7DE47DC2"/>
    <w:rsid w:val="7E9815D8"/>
    <w:rsid w:val="7EC23C02"/>
    <w:rsid w:val="7ED038B2"/>
    <w:rsid w:val="7ED24865"/>
    <w:rsid w:val="7EF548B9"/>
    <w:rsid w:val="7F0B7D77"/>
    <w:rsid w:val="7F34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72"/>
    <w:unhideWhenUsed/>
    <w:qFormat/>
    <w:uiPriority w:val="0"/>
    <w:pPr>
      <w:jc w:val="left"/>
    </w:pPr>
  </w:style>
  <w:style w:type="paragraph" w:styleId="9">
    <w:name w:val="Body Text"/>
    <w:basedOn w:val="1"/>
    <w:link w:val="67"/>
    <w:qFormat/>
    <w:uiPriority w:val="1"/>
    <w:pPr>
      <w:spacing w:before="116"/>
      <w:ind w:left="117"/>
      <w:jc w:val="left"/>
    </w:pPr>
    <w:rPr>
      <w:rFonts w:ascii="宋体" w:hAnsi="宋体" w:eastAsia="宋体"/>
      <w:kern w:val="0"/>
      <w:szCs w:val="21"/>
      <w:lang w:eastAsia="en-US"/>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Date"/>
    <w:basedOn w:val="1"/>
    <w:next w:val="1"/>
    <w:link w:val="69"/>
    <w:semiHidden/>
    <w:unhideWhenUsed/>
    <w:qFormat/>
    <w:uiPriority w:val="99"/>
    <w:pPr>
      <w:ind w:left="100" w:leftChars="2500"/>
    </w:pPr>
  </w:style>
  <w:style w:type="paragraph" w:styleId="14">
    <w:name w:val="Balloon Text"/>
    <w:basedOn w:val="1"/>
    <w:link w:val="6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630"/>
      <w:jc w:val="left"/>
    </w:pPr>
    <w:rPr>
      <w:rFonts w:cstheme="minorHAnsi"/>
      <w:sz w:val="18"/>
      <w:szCs w:val="18"/>
    </w:rPr>
  </w:style>
  <w:style w:type="paragraph" w:styleId="19">
    <w:name w:val="toc 6"/>
    <w:basedOn w:val="1"/>
    <w:next w:val="1"/>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unhideWhenUsed/>
    <w:qFormat/>
    <w:uiPriority w:val="39"/>
    <w:pPr>
      <w:ind w:left="1680"/>
      <w:jc w:val="left"/>
    </w:pPr>
    <w:rPr>
      <w:rFonts w:cstheme="minorHAnsi"/>
      <w:sz w:val="18"/>
      <w:szCs w:val="18"/>
    </w:r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73"/>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spacing w:val="0"/>
      <w:w w:val="100"/>
      <w:szCs w:val="21"/>
      <w:u w:val="single"/>
      <w:lang w:val="en-US" w:eastAsia="zh-CN"/>
    </w:rPr>
  </w:style>
  <w:style w:type="character" w:styleId="29">
    <w:name w:val="annotation reference"/>
    <w:basedOn w:val="26"/>
    <w:unhideWhenUsed/>
    <w:qFormat/>
    <w:uiPriority w:val="0"/>
    <w:rPr>
      <w:sz w:val="21"/>
      <w:szCs w:val="21"/>
    </w:rPr>
  </w:style>
  <w:style w:type="character" w:customStyle="1" w:styleId="30">
    <w:name w:val="页眉 字符"/>
    <w:basedOn w:val="26"/>
    <w:link w:val="16"/>
    <w:qFormat/>
    <w:uiPriority w:val="99"/>
    <w:rPr>
      <w:sz w:val="18"/>
      <w:szCs w:val="18"/>
    </w:rPr>
  </w:style>
  <w:style w:type="character" w:customStyle="1" w:styleId="31">
    <w:name w:val="页脚 字符"/>
    <w:basedOn w:val="26"/>
    <w:link w:val="15"/>
    <w:qFormat/>
    <w:uiPriority w:val="99"/>
    <w:rPr>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0"/>
    <w:pPr>
      <w:spacing w:before="370" w:line="400" w:lineRule="exact"/>
    </w:pPr>
    <w:rPr>
      <w:rFonts w:ascii="Times New Roman"/>
      <w:sz w:val="28"/>
      <w:szCs w:val="28"/>
    </w:rPr>
  </w:style>
  <w:style w:type="character" w:customStyle="1" w:styleId="34">
    <w:name w:val="段 Char"/>
    <w:link w:val="4"/>
    <w:qFormat/>
    <w:uiPriority w:val="0"/>
    <w:rPr>
      <w:rFonts w:ascii="宋体"/>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二级条标题"/>
    <w:basedOn w:val="38"/>
    <w:next w:val="4"/>
    <w:qFormat/>
    <w:uiPriority w:val="0"/>
    <w:pPr>
      <w:numPr>
        <w:ilvl w:val="2"/>
      </w:numPr>
      <w:spacing w:beforeLines="0" w:afterLines="0"/>
      <w:outlineLvl w:val="3"/>
    </w:pPr>
  </w:style>
  <w:style w:type="paragraph" w:customStyle="1" w:styleId="38">
    <w:name w:val="一级条标题"/>
    <w:next w:val="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附录表标号"/>
    <w:basedOn w:val="1"/>
    <w:next w:val="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0">
    <w:name w:val="正文表标题"/>
    <w:next w:val="4"/>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2">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3"/>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字符"/>
    <w:basedOn w:val="26"/>
    <w:link w:val="2"/>
    <w:qFormat/>
    <w:uiPriority w:val="9"/>
    <w:rPr>
      <w:b/>
      <w:bCs/>
      <w:kern w:val="44"/>
      <w:sz w:val="44"/>
      <w:szCs w:val="44"/>
    </w:rPr>
  </w:style>
  <w:style w:type="character" w:customStyle="1" w:styleId="62">
    <w:name w:val="标题 2 字符"/>
    <w:basedOn w:val="26"/>
    <w:link w:val="5"/>
    <w:qFormat/>
    <w:uiPriority w:val="9"/>
    <w:rPr>
      <w:rFonts w:asciiTheme="majorHAnsi" w:hAnsiTheme="majorHAnsi" w:eastAsiaTheme="majorEastAsia" w:cstheme="majorBidi"/>
      <w:b/>
      <w:bCs/>
      <w:sz w:val="32"/>
      <w:szCs w:val="32"/>
    </w:rPr>
  </w:style>
  <w:style w:type="paragraph" w:customStyle="1" w:styleId="63">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字符"/>
    <w:basedOn w:val="26"/>
    <w:link w:val="14"/>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6"/>
    <w:link w:val="6"/>
    <w:qFormat/>
    <w:uiPriority w:val="9"/>
    <w:rPr>
      <w:b/>
      <w:bCs/>
      <w:sz w:val="32"/>
      <w:szCs w:val="32"/>
    </w:rPr>
  </w:style>
  <w:style w:type="character" w:customStyle="1" w:styleId="67">
    <w:name w:val="正文文本 字符"/>
    <w:basedOn w:val="26"/>
    <w:link w:val="9"/>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6"/>
    <w:link w:val="13"/>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6"/>
    <w:link w:val="8"/>
    <w:qFormat/>
    <w:uiPriority w:val="0"/>
  </w:style>
  <w:style w:type="character" w:customStyle="1" w:styleId="73">
    <w:name w:val="批注主题 字符"/>
    <w:basedOn w:val="72"/>
    <w:link w:val="23"/>
    <w:semiHidden/>
    <w:qFormat/>
    <w:uiPriority w:val="99"/>
    <w:rPr>
      <w:b/>
      <w:bCs/>
    </w:rPr>
  </w:style>
  <w:style w:type="paragraph" w:customStyle="1" w:styleId="74">
    <w:name w:val="条2"/>
    <w:basedOn w:val="1"/>
    <w:next w:val="4"/>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6"/>
    <w:qFormat/>
    <w:uiPriority w:val="0"/>
    <w:rPr>
      <w:rFonts w:hint="eastAsia" w:ascii="宋体" w:hAnsi="宋体" w:eastAsia="宋体"/>
      <w:color w:val="000000"/>
      <w:sz w:val="42"/>
      <w:szCs w:val="42"/>
    </w:rPr>
  </w:style>
  <w:style w:type="paragraph" w:customStyle="1" w:styleId="77">
    <w:name w:val="三级条标题"/>
    <w:basedOn w:val="37"/>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3"/>
    <w:qFormat/>
    <w:uiPriority w:val="0"/>
    <w:rPr>
      <w:rFonts w:ascii="黑体" w:hAnsi="Times New Roman" w:eastAsia="黑体" w:cs="Times New Roman"/>
      <w:kern w:val="0"/>
      <w:szCs w:val="20"/>
    </w:rPr>
  </w:style>
  <w:style w:type="paragraph" w:customStyle="1" w:styleId="82">
    <w:name w:val="二级无"/>
    <w:basedOn w:val="37"/>
    <w:qFormat/>
    <w:uiPriority w:val="0"/>
    <w:pPr>
      <w:numPr>
        <w:numId w:val="2"/>
      </w:numPr>
    </w:pPr>
    <w:rPr>
      <w:rFonts w:ascii="宋体" w:eastAsia="宋体"/>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标准文件_章标题"/>
    <w:next w:val="85"/>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标准文件_一级条标题"/>
    <w:basedOn w:val="84"/>
    <w:next w:val="85"/>
    <w:qFormat/>
    <w:uiPriority w:val="0"/>
    <w:pPr>
      <w:numPr>
        <w:ilvl w:val="2"/>
      </w:numPr>
      <w:spacing w:before="50" w:beforeLines="50" w:after="50" w:afterLines="50"/>
      <w:outlineLvl w:val="1"/>
    </w:pPr>
  </w:style>
  <w:style w:type="paragraph" w:customStyle="1" w:styleId="87">
    <w:name w:val="标准文件_二级条标题"/>
    <w:next w:val="8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58455-53AE-4886-9D99-CC4DC38AC97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2988</Words>
  <Characters>1254</Characters>
  <Lines>10</Lines>
  <Paragraphs>8</Paragraphs>
  <TotalTime>7</TotalTime>
  <ScaleCrop>false</ScaleCrop>
  <LinksUpToDate>false</LinksUpToDate>
  <CharactersWithSpaces>4234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2023-04-04T09:04:00Z</dcterms:created>
  <dc:creator>Lenovo</dc:creator>
  <cp:lastModifiedBy>lenovoA120903</cp:lastModifiedBy>
  <cp:lastPrinted>2019-02-12T09:03:00Z</cp:lastPrinted>
  <dcterms:modified xsi:type="dcterms:W3CDTF">2024-06-19T01:32:35Z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949477210C5F4313B1CAF4D3BC2F2C4E</vt:lpwstr>
  </property>
</Properties>
</file>