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Ansi="黑体" w:cs="黑体"/>
          <w:szCs w:val="20"/>
        </w:rPr>
      </w:pPr>
      <w:bookmarkStart w:id="0" w:name="_Toc509826185"/>
      <w:bookmarkStart w:id="1" w:name="_Toc530051741"/>
      <w:bookmarkStart w:id="2" w:name="_Toc873628"/>
      <w:bookmarkStart w:id="3" w:name="_Toc525046548"/>
      <w:bookmarkStart w:id="4" w:name="_Toc385602845"/>
      <w:bookmarkStart w:id="5" w:name="_Toc13964"/>
      <w:bookmarkStart w:id="6" w:name="_Toc415043548"/>
      <w:bookmarkStart w:id="7" w:name="_Toc415043487"/>
      <w:r>
        <w:rPr>
          <w:rFonts w:ascii="Times New Roman"/>
          <w:b/>
          <w:bCs/>
          <w:szCs w:val="20"/>
        </w:rPr>
        <w:t>ICS</w:t>
      </w:r>
      <w:r>
        <w:rPr>
          <w:rFonts w:hint="eastAsia" w:hAnsi="黑体" w:cs="黑体"/>
          <w:szCs w:val="20"/>
        </w:rPr>
        <w:t xml:space="preserve">  11.120.10</w:t>
      </w:r>
    </w:p>
    <w:p>
      <w:pPr>
        <w:pStyle w:val="36"/>
        <w:rPr>
          <w:rFonts w:hAnsi="黑体" w:cs="黑体"/>
          <w:szCs w:val="20"/>
        </w:rPr>
      </w:pPr>
      <w:r>
        <w:rPr>
          <w:rFonts w:ascii="Times New Roman"/>
          <w:b/>
          <w:bCs/>
          <w:szCs w:val="20"/>
        </w:rPr>
        <w:t>CCS</w:t>
      </w:r>
      <w:r>
        <w:rPr>
          <w:rFonts w:hint="eastAsia" w:hAnsi="黑体" w:cs="黑体"/>
          <w:szCs w:val="20"/>
        </w:rPr>
        <w:t xml:space="preserve"> C 23</w:t>
      </w:r>
    </w:p>
    <w:p>
      <w:pPr>
        <w:pStyle w:val="36"/>
        <w:rPr>
          <w:rFonts w:hAnsi="黑体" w:cs="黑体"/>
          <w:szCs w:val="20"/>
        </w:rPr>
      </w:pPr>
    </w:p>
    <w:p>
      <w:pPr>
        <w:rPr>
          <w:rFonts w:ascii="黑体" w:hAnsi="黑体" w:eastAsia="黑体" w:cs="黑体"/>
          <w:sz w:val="18"/>
          <w:szCs w:val="18"/>
        </w:rPr>
      </w:pPr>
    </w:p>
    <w:p>
      <w:pPr>
        <w:snapToGrid w:val="0"/>
        <w:spacing w:after="57"/>
        <w:jc w:val="center"/>
        <w:rPr>
          <w:rFonts w:ascii="黑体" w:hAnsi="黑体" w:eastAsia="黑体" w:cs="黑体"/>
          <w:sz w:val="72"/>
          <w:szCs w:val="72"/>
        </w:rPr>
      </w:pPr>
      <w:r>
        <w:rPr>
          <w:rFonts w:hint="eastAsia" w:ascii="黑体" w:hAnsi="黑体" w:eastAsia="黑体" w:cs="黑体"/>
          <w:sz w:val="72"/>
          <w:szCs w:val="72"/>
        </w:rPr>
        <w:t>团     体     标     准</w:t>
      </w:r>
    </w:p>
    <w:p>
      <w:pPr>
        <w:pStyle w:val="4"/>
        <w:spacing w:line="360" w:lineRule="exact"/>
        <w:ind w:firstLine="0" w:firstLineChars="0"/>
        <w:jc w:val="right"/>
        <w:rPr>
          <w:rFonts w:ascii="Times New Roman" w:hAnsi="Times New Roman" w:eastAsia="黑体" w:cs="Times New Roman"/>
          <w:kern w:val="0"/>
          <w:sz w:val="28"/>
          <w:szCs w:val="20"/>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rPr>
        <w:t>XXXX</w:t>
      </w:r>
      <w:r>
        <w:rPr>
          <w:rFonts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rPr>
        <w:t>XXXX—XXXX</w:t>
      </w:r>
    </w:p>
    <w:p>
      <w:pPr>
        <w:pStyle w:val="4"/>
        <w:spacing w:line="360" w:lineRule="exact"/>
        <w:ind w:firstLine="0" w:firstLineChars="0"/>
        <w:jc w:val="right"/>
        <w:rPr>
          <w:rFonts w:ascii="Times New Roman" w:hAnsi="Times New Roman" w:eastAsia="黑体" w:cs="Times New Roman"/>
          <w:kern w:val="0"/>
          <w:sz w:val="28"/>
          <w:szCs w:val="20"/>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rPr>
        <w:t>/XXXX</w:t>
      </w:r>
      <w:r>
        <w:rPr>
          <w:rFonts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rPr>
        <w:t>XXXX—XXXX</w:t>
      </w:r>
    </w:p>
    <w:p>
      <w:pPr>
        <w:pStyle w:val="4"/>
        <w:ind w:right="-2" w:firstLine="0" w:firstLineChars="0"/>
        <w:jc w:val="right"/>
        <w:rPr>
          <w:rFonts w:ascii="黑体" w:hAnsi="黑体" w:eastAsia="黑体" w:cs="黑体"/>
          <w:b/>
          <w:sz w:val="24"/>
          <w:szCs w:val="24"/>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35pt;margin-top:2.55pt;height:0pt;width:481.9pt;z-index:251660288;mso-width-relative:page;mso-height-relative:page;" filled="f" stroked="t" coordsize="21600,21600" o:gfxdata="UEsDBAoAAAAAAIdO4kAAAAAAAAAAAAAAAAAEAAAAZHJzL1BLAwQUAAAACACHTuJASWbcV9QAAAAF&#10;AQAADwAAAGRycy9kb3ducmV2LnhtbE2OwU7DMBBE70j8g7VIXBB1UilJCXEqEdELtxaEenTjJQnE&#10;ayt22sLXs3CB42hGb161PttRHHEKgyMF6SIBgdQ6M1Cn4OV5c7sCEaImo0dHqOATA6zry4tKl8ad&#10;aIvHXewEQyiUWkEfoy+lDG2PVoeF80jcvbnJ6shx6qSZ9InhdpTLJMml1QPxQ689Nj22H7vZKni/&#10;eZ03lnxTdE+PX0U2b5u9f1Dq+ipN7kFEPMe/MfzoszrU7HRwM5kgRgXLgocKshQEt3d5noE4/GZZ&#10;V/K/ff0NUEsDBBQAAAAIAIdO4kC8iwBu5gEAAK0DAAAOAAAAZHJzL2Uyb0RvYy54bWytU0uOEzEQ&#10;3SNxB8t70p0GDaNWOrNINGwGiDTDARy3O21huyyXk04uwQWQ2MGKJXtuM8MxKDsf5rOZBb2wbFfV&#10;q/deuScXW2vYRgXU4Bo+HpWcKSeh1W7V8E83l6/OOcMoXCsMONXwnUJ+MX35YjL4WlXQg2lVYATi&#10;sB58w/sYfV0UKHtlBY7AK0fBDoIVkY5hVbRBDIRuTVGV5VkxQGh9AKkQ6Xa+D/IDYngOIHSdlmoO&#10;cm2Vi3vUoIyIJAl77ZFPM9uuUzJ+7DpUkZmGk9KYV2pC+2Vai+lE1KsgfK/lgYJ4DoVHmqzQjpqe&#10;oOYiCrYO+gmU1TIAQhdHEmyxF5IdIRXj8pE3173wKmshq9GfTMf/Bys/bBaB6bbh1RvOnLA08buv&#10;v26/fP/z+xutdz9/sKpKNg0ea8qeuUVIQuXWXfsrkJ+ROZj1wq1Upnuz8wQxThXFg5J0QE/NlsN7&#10;aClHrCNkz7ZdsAmS3GDbPJrdaTRqG5mky7Mx+fOapiaPsULUx0IfML5TYFnaNNxol1wTtdhcYUxE&#10;RH1MSdcOLrUxefLGsYHYVm/LMlcgGN2maMrDsFrOTGAbkR7PeUlflkWR+2kB1q7ddzHuoDoJ3Vu2&#10;hHa3CEc3aIqZzuHFpWdy/5yr//1l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ZtxX1AAAAAUB&#10;AAAPAAAAAAAAAAEAIAAAACIAAABkcnMvZG93bnJldi54bWxQSwECFAAUAAAACACHTuJAvIsAbuYB&#10;AACtAwAADgAAAAAAAAABACAAAAAjAQAAZHJzL2Uyb0RvYy54bWxQSwUGAAAAAAYABgBZAQAAewUA&#10;AAAA&#10;">
                <v:fill on="f" focussize="0,0"/>
                <v:stroke weight="1pt" color="#080000" joinstyle="round"/>
                <v:imagedata o:title=""/>
                <o:lock v:ext="edit" aspectratio="f"/>
              </v:line>
            </w:pict>
          </mc:Fallback>
        </mc:AlternateContent>
      </w:r>
    </w:p>
    <w:p>
      <w:pPr>
        <w:pStyle w:val="4"/>
        <w:ind w:firstLine="0" w:firstLineChars="0"/>
        <w:rPr>
          <w:rFonts w:ascii="黑体" w:hAnsi="黑体" w:eastAsia="黑体" w:cs="黑体"/>
          <w:b/>
          <w:spacing w:val="40"/>
          <w:kern w:val="0"/>
          <w:sz w:val="52"/>
          <w:szCs w:val="52"/>
        </w:rPr>
      </w:pPr>
    </w:p>
    <w:p>
      <w:pPr>
        <w:pStyle w:val="4"/>
        <w:ind w:firstLine="548" w:firstLineChars="100"/>
        <w:jc w:val="center"/>
        <w:rPr>
          <w:rFonts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 xml:space="preserve">质量分级及“领跑者”评价要求  </w:t>
      </w:r>
    </w:p>
    <w:p>
      <w:pPr>
        <w:pStyle w:val="4"/>
        <w:ind w:firstLine="548" w:firstLineChars="100"/>
        <w:jc w:val="center"/>
        <w:rPr>
          <w:rFonts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白术</w:t>
      </w:r>
    </w:p>
    <w:p>
      <w:pPr>
        <w:spacing w:before="156" w:beforeLines="50" w:line="360" w:lineRule="exact"/>
        <w:jc w:val="center"/>
        <w:rPr>
          <w:rFonts w:ascii="黑体" w:hAnsi="黑体" w:eastAsia="黑体" w:cs="黑体"/>
          <w:kern w:val="0"/>
          <w:sz w:val="28"/>
          <w:szCs w:val="28"/>
          <w:shd w:val="clear" w:color="auto" w:fill="FFFFFF"/>
        </w:rPr>
      </w:pPr>
      <w:r>
        <w:rPr>
          <w:rFonts w:hint="eastAsia" w:ascii="黑体" w:hAnsi="黑体" w:eastAsia="黑体" w:cs="黑体"/>
          <w:kern w:val="0"/>
          <w:sz w:val="28"/>
          <w:szCs w:val="28"/>
        </w:rPr>
        <w:t xml:space="preserve"> </w:t>
      </w:r>
      <w:r>
        <w:rPr>
          <w:rFonts w:ascii="Times New Roman" w:hAnsi="Times New Roman" w:eastAsia="黑体" w:cs="Times New Roman"/>
          <w:kern w:val="0"/>
          <w:sz w:val="28"/>
          <w:szCs w:val="28"/>
        </w:rPr>
        <w:t xml:space="preserve"> </w:t>
      </w:r>
      <w:r>
        <w:rPr>
          <w:rFonts w:hint="eastAsia" w:ascii="黑体" w:hAnsi="黑体" w:eastAsia="黑体" w:cs="黑体"/>
          <w:kern w:val="0"/>
          <w:sz w:val="28"/>
          <w:szCs w:val="28"/>
        </w:rPr>
        <w:t xml:space="preserve">   </w:t>
      </w:r>
      <w:r>
        <w:rPr>
          <w:rFonts w:hint="eastAsia" w:ascii="黑体" w:hAnsi="黑体" w:eastAsia="黑体" w:cs="黑体"/>
          <w:sz w:val="28"/>
          <w:szCs w:val="28"/>
        </w:rPr>
        <w:t>Assessment requirements for quality grading and forerunner</w:t>
      </w:r>
      <w:r>
        <w:rPr>
          <w:rFonts w:hint="eastAsia" w:ascii="黑体" w:hAnsi="黑体" w:eastAsia="黑体" w:cs="黑体"/>
          <w:kern w:val="0"/>
          <w:sz w:val="28"/>
          <w:szCs w:val="28"/>
        </w:rPr>
        <w:t xml:space="preserve"> —</w:t>
      </w:r>
      <w:bookmarkStart w:id="8" w:name="OLE_LINK1"/>
      <w:r>
        <w:rPr>
          <w:rFonts w:hint="eastAsia" w:ascii="黑体" w:hAnsi="黑体" w:eastAsia="黑体" w:cs="黑体"/>
          <w:kern w:val="0"/>
          <w:sz w:val="28"/>
          <w:szCs w:val="28"/>
        </w:rPr>
        <w:t>ATRACTYLODIS MACROCEPHALAE RHIZOMA</w:t>
      </w:r>
      <w:bookmarkEnd w:id="8"/>
    </w:p>
    <w:p>
      <w:pPr>
        <w:pStyle w:val="4"/>
        <w:ind w:firstLine="0" w:firstLineChars="0"/>
        <w:rPr>
          <w:rFonts w:ascii="黑体" w:hAnsi="黑体" w:eastAsia="黑体" w:cs="黑体"/>
          <w:kern w:val="0"/>
          <w:sz w:val="36"/>
          <w:szCs w:val="20"/>
        </w:rPr>
      </w:pPr>
    </w:p>
    <w:p>
      <w:pPr>
        <w:pStyle w:val="4"/>
        <w:ind w:firstLine="0" w:firstLineChars="0"/>
        <w:rPr>
          <w:rFonts w:ascii="黑体" w:hAnsi="黑体" w:eastAsia="黑体" w:cs="黑体"/>
          <w:sz w:val="18"/>
          <w:szCs w:val="18"/>
        </w:rPr>
      </w:pPr>
    </w:p>
    <w:p>
      <w:pPr>
        <w:pStyle w:val="4"/>
        <w:ind w:firstLine="0" w:firstLineChars="0"/>
        <w:rPr>
          <w:rFonts w:ascii="黑体" w:hAnsi="黑体" w:eastAsia="黑体" w:cs="黑体"/>
          <w:sz w:val="18"/>
          <w:szCs w:val="18"/>
        </w:rPr>
      </w:pPr>
    </w:p>
    <w:p>
      <w:pPr>
        <w:pStyle w:val="4"/>
        <w:ind w:firstLine="0" w:firstLineChars="0"/>
        <w:rPr>
          <w:rFonts w:ascii="黑体" w:hAnsi="黑体" w:eastAsia="黑体" w:cs="黑体"/>
          <w:sz w:val="18"/>
          <w:szCs w:val="18"/>
        </w:rPr>
      </w:pPr>
    </w:p>
    <w:p>
      <w:pPr>
        <w:pStyle w:val="4"/>
        <w:ind w:firstLine="0" w:firstLineChars="0"/>
        <w:rPr>
          <w:rFonts w:ascii="黑体" w:hAnsi="黑体" w:eastAsia="黑体" w:cs="黑体"/>
          <w:sz w:val="18"/>
          <w:szCs w:val="18"/>
        </w:rPr>
      </w:pPr>
    </w:p>
    <w:p>
      <w:pPr>
        <w:pStyle w:val="83"/>
        <w:framePr w:w="3334" w:h="1340" w:hRule="exact" w:wrap="around" w:vAnchor="page" w:hAnchor="page" w:x="4508" w:y="14816"/>
        <w:spacing w:line="580" w:lineRule="exact"/>
        <w:rPr>
          <w:rFonts w:ascii="黑体" w:hAnsi="黑体" w:eastAsia="黑体" w:cs="黑体"/>
          <w:b w:val="0"/>
          <w:spacing w:val="0"/>
          <w:w w:val="100"/>
          <w:sz w:val="28"/>
          <w:szCs w:val="28"/>
        </w:rPr>
      </w:pPr>
      <w:bookmarkStart w:id="9" w:name="_Hlk131520131"/>
      <w:r>
        <w:rPr>
          <w:rFonts w:hint="eastAsia" w:ascii="黑体" w:hAnsi="黑体" w:eastAsia="黑体" w:cs="黑体"/>
          <w:bCs/>
          <w:spacing w:val="0"/>
          <w:w w:val="100"/>
          <w:sz w:val="28"/>
          <w:szCs w:val="28"/>
        </w:rPr>
        <w:t>浙江省计量与标准化学会</w:t>
      </w:r>
    </w:p>
    <w:bookmarkEnd w:id="0"/>
    <w:bookmarkEnd w:id="1"/>
    <w:bookmarkEnd w:id="2"/>
    <w:bookmarkEnd w:id="3"/>
    <w:bookmarkEnd w:id="9"/>
    <w:p>
      <w:pPr>
        <w:rPr>
          <w:rFonts w:ascii="宋体"/>
          <w:szCs w:val="21"/>
        </w:rPr>
      </w:pPr>
      <w:bookmarkStart w:id="10" w:name="_Toc415043894"/>
      <w:bookmarkStart w:id="11" w:name="_Toc65687976"/>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387985</wp:posOffset>
                </wp:positionV>
                <wp:extent cx="2273300" cy="381000"/>
                <wp:effectExtent l="0" t="0" r="1270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7pt;margin-top:30.55pt;height:30pt;width:179pt;mso-wrap-distance-bottom:3.6pt;mso-wrap-distance-left:9pt;mso-wrap-distance-right:9pt;mso-wrap-distance-top:3.6pt;z-index:251662336;mso-width-relative:page;mso-height-relative:page;" fillcolor="#FFFFFF [3212]" filled="t" stroked="t" coordsize="21600,21600" o:gfxdata="UEsDBAoAAAAAAIdO4kAAAAAAAAAAAAAAAAAEAAAAZHJzL1BLAwQUAAAACACHTuJAmFI8/9UAAAAJ&#10;AQAADwAAAGRycy9kb3ducmV2LnhtbE2PwU7DMBBE70j8g7VIXBC1naJSpXEqVIE4t+XCzY23SUS8&#10;TmK3afl6lhMcZ95odrZYX3wnzjjGNpABPVMgkKrgWqoNfOzfHpcgYrLkbBcIDVwxwrq8vSls7sJE&#10;WzzvUi24hGJuDTQp9bmUsWrQ2zgLPRKzYxi9TSzHWrrRTlzuO5kptZDetsQXGtvjpsHqa3fyBsL0&#10;evUBB5U9fH77983LsD1mgzH3d1qtQCS8pL8w/M7n6VDypkM4kYuiYz1/4qSBhdYgmM+fNRsHBhk7&#10;sizk/w/KH1BLAwQUAAAACACHTuJAqbiC9DcCAAB9BAAADgAAAGRycy9lMm9Eb2MueG1srVTNjtMw&#10;EL4j8Q6W7zRt2tJutelqaVWEtPxICw/gOk5jYXuM7TYpDwBvwIkLd55rn4Oxky1luawQOUQzmfE3&#10;830zzuVVqxU5COclmIKOBkNKhOFQSrMr6If3m2dzSnxgpmQKjCjoUXh6tXz65LKxC5FDDaoUjiCI&#10;8YvGFrQOwS6yzPNaaOYHYIXBYAVOs4Cu22WlYw2ia5Xlw+HzrAFXWgdceI9f112Q9ojuMYBQVZKL&#10;NfC9FiZ0qE4oFpCSr6X1dJm6rSrBw9uq8iIQVVBkGtIbi6C9je9seckWO8dsLXnfAntMCw84aSYN&#10;Fj1BrVlgZO/kX1BacgceqjDgoLOOSFIEWYyGD7S5rZkViQtK7e1JdP//YPmbwztHZFnQfDSjxDCN&#10;I7/79vXu+8+7H19IHgVqrF9g3q3FzNC+gBbXJpH19gb4R08MrGpmduLaOWhqwUpscBRPZmdHOxwf&#10;QbbNayixDtsHSEBt5XRUD/UgiI7DOZ6GI9pAOH7M89l4PMQQx9h4PhqiHUuwxf1p63x4KUCTaBTU&#10;4fATOjvc+NCl3qfEYh6ULDdSqeS43XalHDkwXJRNenr0P9KUIU1BL6b5tBPgHyC0DHh/lNQFnSOH&#10;Ewtler2iRJ1Yod22vf5bKI+onINug/H+olGD+0xJg9tbUP9pz5ygRL0yqP7FaDKJ656cyXSWo+PO&#10;I9vzCDMcoQoaKOnMVUhXJApj4BqnVMkkYBxn10nfK25lGkF/g+Lan/sp6/dfY/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FI8/9UAAAAJAQAADwAAAAAAAAABACAAAAAiAAAAZHJzL2Rvd25yZXYu&#10;eG1sUEsBAhQAFAAAAAgAh07iQKm4gvQ3AgAAfQQAAA4AAAAAAAAAAQAgAAAAJAEAAGRycy9lMm9E&#10;b2MueG1sUEsFBgAAAAAGAAYAWQEAAM0FA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v:textbox>
                <w10:wrap type="square"/>
              </v:shape>
            </w:pict>
          </mc:Fallback>
        </mc:AlternateContent>
      </w:r>
      <w:r>
        <w:rPr>
          <w:rFonts w:hint="eastAsia" w:ascii="宋体"/>
          <w:szCs w:val="21"/>
        </w:rPr>
        <w:br w:type="textWrapping"/>
      </w:r>
    </w:p>
    <w:p>
      <w:pPr>
        <w:pStyle w:val="83"/>
        <w:framePr w:w="954" w:h="654" w:hRule="exact" w:wrap="around" w:vAnchor="page" w:hAnchor="page" w:x="7459" w:y="15083"/>
        <w:spacing w:line="580" w:lineRule="exact"/>
        <w:rPr>
          <w:rFonts w:ascii="黑体" w:hAnsi="黑体" w:eastAsia="黑体" w:cs="黑体"/>
          <w:bCs/>
          <w:spacing w:val="0"/>
          <w:w w:val="100"/>
          <w:sz w:val="28"/>
          <w:szCs w:val="28"/>
        </w:rPr>
      </w:pPr>
      <w:r>
        <w:rPr>
          <w:rFonts w:hint="eastAsia" w:ascii="黑体" w:hAnsi="黑体" w:eastAsia="黑体" w:cs="黑体"/>
          <w:bCs/>
          <w:spacing w:val="0"/>
          <w:w w:val="100"/>
          <w:sz w:val="28"/>
          <w:szCs w:val="28"/>
        </w:rPr>
        <w:t>发布</w:t>
      </w:r>
    </w:p>
    <w:p>
      <w:pPr>
        <w:rPr>
          <w:rFonts w:ascii="宋体"/>
          <w:szCs w:val="21"/>
        </w:rPr>
      </w:pPr>
      <w:r>
        <w:rPr>
          <w:rFonts w:hint="eastAsia" w:ascii="黑体" w:hAnsi="黑体" w:eastAsia="黑体" w:cs="黑体"/>
          <w:sz w:val="28"/>
          <w:szCs w:val="28"/>
        </w:rPr>
        <mc:AlternateContent>
          <mc:Choice Requires="wps">
            <w:drawing>
              <wp:anchor distT="0" distB="0" distL="114300" distR="114300" simplePos="0" relativeHeight="251664384" behindDoc="0" locked="0" layoutInCell="1" allowOverlap="1">
                <wp:simplePos x="0" y="0"/>
                <wp:positionH relativeFrom="column">
                  <wp:posOffset>187960</wp:posOffset>
                </wp:positionH>
                <wp:positionV relativeFrom="paragraph">
                  <wp:posOffset>431165</wp:posOffset>
                </wp:positionV>
                <wp:extent cx="6121400" cy="0"/>
                <wp:effectExtent l="0" t="0" r="0" b="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4.8pt;margin-top:33.95pt;height:0pt;width:482pt;z-index:251664384;mso-width-relative:page;mso-height-relative:page;" filled="f" stroked="t" coordsize="21600,21600" o:gfxdata="UEsDBAoAAAAAAIdO4kAAAAAAAAAAAAAAAAAEAAAAZHJzL1BLAwQUAAAACACHTuJAuYINVtcAAAAI&#10;AQAADwAAAGRycy9kb3ducmV2LnhtbE2PwU7DMBBE70j8g7VIXFDrtIiEhDiViOiFWwtCPbrxkgTi&#10;tRU7beHrWdQDHHdmNPumXJ3sIA44ht6RgsU8AYHUONNTq+D1ZT27BxGiJqMHR6jgCwOsqsuLUhfG&#10;HWmDh21sBZdQKLSCLkZfSBmaDq0Oc+eR2Ht3o9WRz7GVZtRHLreDXCZJKq3uiT902mPdYfO5nayC&#10;j5u3aW3J11n7/PSd3U2beucflbq+WiQPICKe4l8YfvEZHSpm2ruJTBCDgmWeclJBmuUg2M/zWxb2&#10;Z0FWpfw/oPoBUEsDBBQAAAAIAIdO4kBvuq+U5AEAAKw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09otGFr4&#10;/Zefvz9/e/j1lez9j++sqpJKgws1Jc/swieeYmtv3Q2KT4FZnPVgVzJPe7dzBDFOFcWTkuQER72W&#10;wztsKQfWEbNk286bBElisG3ezO60GbmNTNDlxbgavy5paeIYK6A+Fjof4luJhqVDw7WySTSoYXMT&#10;YhoE6mNKurZ4rbTOi9eWDTRt9YagUyigVm2KZsevljPt2QbS27ks6cu0ztI8rm2776LtgXUiupds&#10;ie1u4Y9q0BLzOIcHl17JYz9X//3J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YINVtcAAAAI&#10;AQAADwAAAAAAAAABACAAAAAiAAAAZHJzL2Rvd25yZXYueG1sUEsBAhQAFAAAAAgAh07iQG+6r5Tk&#10;AQAArAMAAA4AAAAAAAAAAQAgAAAAJgEAAGRycy9lMm9Eb2MueG1sUEsFBgAAAAAGAAYAWQEAAHwF&#10;AAAAAA==&#10;">
                <v:fill on="f" focussize="0,0"/>
                <v:stroke weight="1pt" color="#080000" joinstyle="round"/>
                <v:imagedata o:title=""/>
                <o:lock v:ext="edit" aspectratio="f"/>
              </v:line>
            </w:pict>
          </mc:Fallback>
        </mc:AlternateContent>
      </w:r>
      <w:r>
        <w:rPr>
          <w:rFonts w:ascii="宋体"/>
          <w:szCs w:val="21"/>
        </w:rPr>
        <mc:AlternateContent>
          <mc:Choice Requires="wps">
            <w:drawing>
              <wp:anchor distT="45720" distB="45720" distL="114300" distR="114300" simplePos="0" relativeHeight="251663360" behindDoc="0" locked="0" layoutInCell="1" allowOverlap="1">
                <wp:simplePos x="0" y="0"/>
                <wp:positionH relativeFrom="column">
                  <wp:posOffset>1952625</wp:posOffset>
                </wp:positionH>
                <wp:positionV relativeFrom="paragraph">
                  <wp:posOffset>34290</wp:posOffset>
                </wp:positionV>
                <wp:extent cx="1930400" cy="393700"/>
                <wp:effectExtent l="0" t="0" r="12700" b="2540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0400" cy="3937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3.75pt;margin-top:2.7pt;height:31pt;width:152pt;mso-wrap-distance-bottom:3.6pt;mso-wrap-distance-left:9pt;mso-wrap-distance-right:9pt;mso-wrap-distance-top:3.6pt;z-index:251663360;mso-width-relative:page;mso-height-relative:page;" fillcolor="#FFFFFF [3212]" filled="t" stroked="t" coordsize="21600,21600" o:gfxdata="UEsDBAoAAAAAAIdO4kAAAAAAAAAAAAAAAAAEAAAAZHJzL1BLAwQUAAAACACHTuJAGf5kgNcAAAAI&#10;AQAADwAAAGRycy9kb3ducmV2LnhtbE2PzU7DMBCE70h9B2srcUHUTugPCnEqVIE4t3Dh5sbbJCJe&#10;J7HbtDw921O57WhGs9/k67NrxQmH0HjSkMwUCKTS24YqDV+f74/PIEI0ZE3rCTVcMMC6mNzlJrN+&#10;pC2edrESXEIhMxrqGLtMylDW6EyY+Q6JvYMfnIksh0rawYxc7lqZKrWUzjTEH2rT4abG8md3dBr8&#10;+HZxHnuVPnz/uo/Na789pL3W99NEvYCIeI63MFzxGR0KZtr7I9kgWg1ParXgqIbFHAT7yyRhvedj&#10;NQdZ5PL/gOIPUEsDBBQAAAAIAIdO4kDyMnSpNAIAAHwEAAAOAAAAZHJzL2Uyb0RvYy54bWytVM2O&#10;0zAQviPxDpbvNOkfu62arpZWRUjLj7TwAK7jNBa2x9huk+UB4A04ceHOc/U5GDvZUpbLCuGDNZMZ&#10;fzPzzUwWV61W5CCcl2AKOhzklAjDoZRmV9AP7zfPLinxgZmSKTCioHfC06vl0yeLxs7FCGpQpXAE&#10;QYyfN7agdQh2nmWe10IzPwArDBorcJoFVN0uKx1rEF2rbJTnz7MGXGkdcOE9fl13RtojuscAQlVJ&#10;LtbA91qY0KE6oVjAknwtrafLlG1VCR7eVpUXgaiCYqUh3RgE5W28s+WCzXeO2VryPgX2mBQe1KSZ&#10;NBj0BLVmgZG9k39BackdeKjCgIPOukISI1jFMH/AzW3NrEi1INXenkj3/w+Wvzm8c0SWOAkTSgzT&#10;2PHjt6/H7z+PP76QUeSnsX6ObrcWHUP7Alr0TbV6ewP8oycGVjUzO3HtHDS1YCXmN4wvs7OnHY6P&#10;INvmNZQYh+0DJKC2cjqSh3QQRMfe3J16I9pAeAw5G+eTHE0cbePZ+ALlGILN719b58NLAZpEoaAO&#10;e5/Q2eHGh8713iUG86BkuZFKJcXttivlyIHhnGzS6dH/cFOGNAWdTUfTjoB/gNAy4PooqQt6mcfT&#10;x1Gm5ytS1JEV2m3b87+F8g6Zc9ANMK4vCjW4z5Q0OLwF9Z/2zAlK1CuD7M+Gk0mc9qRMphcjVNy5&#10;ZXtuYYYjVEEDJZ24CmlDIjEGrrFLlUwExnZ2mfS54lCmFvQLFKf+XE9ev38a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mSA1wAAAAgBAAAPAAAAAAAAAAEAIAAAACIAAABkcnMvZG93bnJldi54&#10;bWxQSwECFAAUAAAACACHTuJA8jJ0qTQCAAB8BAAADgAAAAAAAAABACAAAAAmAQAAZHJzL2Uyb0Rv&#10;Yy54bWxQSwUGAAAAAAYABgBZAQAAzAU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v:textbox>
                <w10:wrap type="square"/>
              </v:shape>
            </w:pict>
          </mc:Fallback>
        </mc:AlternateContent>
      </w:r>
    </w:p>
    <w:p>
      <w:pPr>
        <w:jc w:val="left"/>
        <w:rPr>
          <w:rFonts w:ascii="黑体" w:hAnsi="微软雅黑" w:eastAsia="黑体"/>
          <w:sz w:val="28"/>
          <w:szCs w:val="28"/>
        </w:rPr>
      </w:pPr>
      <w:r>
        <w:rPr>
          <w:rFonts w:hint="eastAsia" w:ascii="黑体" w:hAnsi="黑体" w:eastAsia="黑体"/>
          <w:w w:val="99"/>
          <w:sz w:val="28"/>
          <w:szCs w:val="28"/>
        </w:rPr>
        <w:t xml:space="preserve">                       </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pPr>
        <w:spacing w:before="156" w:beforeLines="50" w:after="156" w:afterLines="5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2"/>
      </w:pPr>
      <w:r>
        <w:rPr>
          <w:rFonts w:hint="eastAsia"/>
        </w:rPr>
        <w:t>前</w:t>
      </w:r>
      <w:bookmarkStart w:id="12" w:name="BKQY"/>
      <w:r>
        <w:rPr>
          <w:rFonts w:hint="eastAsia"/>
        </w:rPr>
        <w:t>  言</w:t>
      </w:r>
      <w:bookmarkEnd w:id="4"/>
      <w:bookmarkEnd w:id="5"/>
      <w:bookmarkEnd w:id="6"/>
      <w:bookmarkEnd w:id="7"/>
      <w:bookmarkEnd w:id="10"/>
      <w:bookmarkEnd w:id="11"/>
      <w:bookmarkEnd w:id="12"/>
    </w:p>
    <w:p>
      <w:pPr>
        <w:spacing w:line="276" w:lineRule="auto"/>
        <w:ind w:left="210" w:leftChars="100" w:firstLine="210" w:firstLineChars="100"/>
        <w:rPr>
          <w:rFonts w:ascii="宋体" w:hAnsi="宋体"/>
          <w:szCs w:val="21"/>
        </w:rPr>
      </w:pPr>
      <w:r>
        <w:rPr>
          <w:rFonts w:hint="eastAsia" w:ascii="宋体" w:hAnsi="宋体"/>
          <w:szCs w:val="21"/>
        </w:rPr>
        <w:t>本文件按照GB/T 1.1—2020《标准化工作导则  第1部分：标准化文件的结构和起草规则》和T/CAS 700—2023、</w:t>
      </w:r>
      <w:r>
        <w:rPr>
          <w:rFonts w:hint="eastAsia" w:ascii="宋体" w:hAnsi="宋体" w:cs="Arial"/>
          <w:szCs w:val="21"/>
        </w:rPr>
        <w:t>T/CSTE 0321</w:t>
      </w:r>
      <w:r>
        <w:rPr>
          <w:rFonts w:hint="eastAsia" w:ascii="宋体" w:hAnsi="宋体"/>
          <w:szCs w:val="21"/>
        </w:rPr>
        <w:t>—</w:t>
      </w:r>
      <w:r>
        <w:rPr>
          <w:rFonts w:hint="eastAsia" w:ascii="宋体" w:hAnsi="宋体" w:cs="Arial"/>
          <w:szCs w:val="21"/>
        </w:rPr>
        <w:t>2023《质量分级及“领跑者”评价标准编制通则》</w:t>
      </w:r>
      <w:r>
        <w:rPr>
          <w:rFonts w:hint="eastAsia" w:ascii="宋体" w:hAnsi="宋体"/>
          <w:szCs w:val="21"/>
        </w:rPr>
        <w:t>的规定起草。</w:t>
      </w:r>
    </w:p>
    <w:p>
      <w:pPr>
        <w:autoSpaceDE w:val="0"/>
        <w:autoSpaceDN w:val="0"/>
        <w:adjustRightInd w:val="0"/>
        <w:spacing w:line="276" w:lineRule="auto"/>
        <w:ind w:firstLine="420" w:firstLineChars="200"/>
        <w:rPr>
          <w:rFonts w:ascii="宋体" w:hAnsi="宋体" w:eastAsia="宋体" w:cs="Times New Roman"/>
          <w:kern w:val="0"/>
        </w:rPr>
      </w:pPr>
      <w:r>
        <w:rPr>
          <w:rFonts w:ascii="宋体" w:hAnsi="宋体" w:eastAsia="宋体" w:cs="Times New Roman"/>
          <w:kern w:val="0"/>
        </w:rPr>
        <w:t>请注意本文件的某些内容可能涉及专利。本文件的发布机构不承担识别专利的责任。</w:t>
      </w:r>
    </w:p>
    <w:p>
      <w:pPr>
        <w:spacing w:line="276" w:lineRule="auto"/>
        <w:ind w:firstLine="420" w:firstLineChars="200"/>
        <w:rPr>
          <w:rFonts w:cs="宋体"/>
        </w:rPr>
      </w:pPr>
      <w:r>
        <w:rPr>
          <w:rFonts w:cs="宋体"/>
        </w:rPr>
        <w:t>本</w:t>
      </w:r>
      <w:r>
        <w:rPr>
          <w:rFonts w:hint="eastAsia" w:cs="宋体"/>
        </w:rPr>
        <w:t>文件</w:t>
      </w:r>
      <w:r>
        <w:rPr>
          <w:rFonts w:cs="宋体"/>
        </w:rPr>
        <w:t>由</w:t>
      </w:r>
      <w:r>
        <w:rPr>
          <w:rFonts w:hint="eastAsia" w:cs="宋体"/>
        </w:rPr>
        <w:t>磐安县市场监督管理局提出。</w:t>
      </w:r>
    </w:p>
    <w:p>
      <w:pPr>
        <w:spacing w:line="276" w:lineRule="auto"/>
        <w:ind w:firstLine="420" w:firstLineChars="200"/>
        <w:rPr>
          <w:rFonts w:cs="宋体"/>
        </w:rPr>
      </w:pPr>
      <w:r>
        <w:rPr>
          <w:rFonts w:hint="eastAsia" w:cs="宋体"/>
        </w:rPr>
        <w:t>本文件由浙江省计量与标准化学会归口。</w:t>
      </w:r>
    </w:p>
    <w:p>
      <w:pPr>
        <w:spacing w:line="276" w:lineRule="auto"/>
        <w:ind w:firstLine="420" w:firstLineChars="200"/>
        <w:rPr>
          <w:rFonts w:cs="宋体"/>
        </w:rPr>
      </w:pPr>
      <w:r>
        <w:rPr>
          <w:rFonts w:hint="eastAsia" w:cs="宋体"/>
        </w:rPr>
        <w:t>本文件起草单位</w:t>
      </w:r>
      <w:r>
        <w:rPr>
          <w:rFonts w:cs="宋体"/>
        </w:rPr>
        <w:t>：</w:t>
      </w:r>
      <w:r>
        <w:rPr>
          <w:rFonts w:hint="eastAsia" w:cs="宋体"/>
        </w:rPr>
        <w:t>磐安县食品药品检验检测中心、磐安县中药材产业协会、</w:t>
      </w:r>
      <w:r>
        <w:rPr>
          <w:rFonts w:hint="eastAsia" w:eastAsia="宋体"/>
        </w:rPr>
        <w:t>浙江一方制药有限公司。</w:t>
      </w:r>
    </w:p>
    <w:p>
      <w:pPr>
        <w:spacing w:line="276" w:lineRule="auto"/>
        <w:ind w:firstLine="420" w:firstLineChars="200"/>
        <w:rPr>
          <w:rFonts w:cs="宋体"/>
        </w:rPr>
      </w:pPr>
      <w:r>
        <w:rPr>
          <w:rFonts w:hint="eastAsia" w:cs="宋体"/>
        </w:rPr>
        <w:t>本文件主要起草人：X</w:t>
      </w:r>
      <w:r>
        <w:rPr>
          <w:rFonts w:cs="宋体"/>
        </w:rPr>
        <w:t>XXX</w:t>
      </w:r>
    </w:p>
    <w:p>
      <w:pPr>
        <w:spacing w:line="276" w:lineRule="auto"/>
        <w:ind w:firstLine="420" w:firstLineChars="200"/>
        <w:rPr>
          <w:szCs w:val="21"/>
        </w:rPr>
      </w:pPr>
      <w:bookmarkStart w:id="13" w:name="_Toc65687977"/>
      <w:r>
        <w:rPr>
          <w:rFonts w:hint="eastAsia"/>
          <w:szCs w:val="21"/>
        </w:rPr>
        <w:t>本文件为首次发布。</w:t>
      </w:r>
    </w:p>
    <w:p>
      <w:pPr>
        <w:pStyle w:val="58"/>
        <w:spacing w:before="312" w:beforeLines="100" w:after="312" w:afterLines="100"/>
        <w:outlineLvl w:val="9"/>
        <w:sectPr>
          <w:headerReference r:id="rId3" w:type="default"/>
          <w:footerReference r:id="rId4" w:type="default"/>
          <w:pgSz w:w="11906" w:h="16838"/>
          <w:pgMar w:top="1134" w:right="1134" w:bottom="1134" w:left="1134" w:header="907" w:footer="850" w:gutter="0"/>
          <w:pgNumType w:fmt="upperRoman" w:start="1"/>
          <w:cols w:space="720" w:num="1"/>
          <w:formProt w:val="0"/>
          <w:docGrid w:type="lines" w:linePitch="312" w:charSpace="0"/>
        </w:sectPr>
      </w:pPr>
    </w:p>
    <w:p>
      <w:pPr>
        <w:pStyle w:val="58"/>
        <w:outlineLvl w:val="9"/>
      </w:pPr>
      <w:r>
        <w:tab/>
      </w:r>
      <w:bookmarkEnd w:id="13"/>
      <w:r>
        <w:rPr>
          <w:rFonts w:hint="eastAsia"/>
        </w:rPr>
        <w:t>质量分级及“领跑者”评价要求  白术</w:t>
      </w:r>
    </w:p>
    <w:p>
      <w:pPr>
        <w:pStyle w:val="84"/>
        <w:spacing w:before="312" w:after="312"/>
      </w:pPr>
      <w:bookmarkStart w:id="14" w:name="_Toc17233325"/>
      <w:bookmarkStart w:id="15" w:name="_Toc26718930"/>
      <w:bookmarkStart w:id="16" w:name="_Toc26648465"/>
      <w:bookmarkStart w:id="17" w:name="_Toc2871"/>
      <w:bookmarkStart w:id="18" w:name="_Toc24884211"/>
      <w:bookmarkStart w:id="19" w:name="_Toc109199004"/>
      <w:bookmarkStart w:id="20" w:name="_Toc17233333"/>
      <w:bookmarkStart w:id="21" w:name="_Toc106980384"/>
      <w:bookmarkStart w:id="22" w:name="_Toc107412111"/>
      <w:bookmarkStart w:id="23" w:name="_Toc112679851"/>
      <w:bookmarkStart w:id="24" w:name="_Toc107298439"/>
      <w:bookmarkStart w:id="25" w:name="_Toc109198981"/>
      <w:bookmarkStart w:id="26" w:name="_Toc26986771"/>
      <w:bookmarkStart w:id="27" w:name="_Toc26986530"/>
      <w:bookmarkStart w:id="28" w:name="_Toc16323"/>
      <w:bookmarkStart w:id="29" w:name="_Toc24884218"/>
      <w:bookmarkStart w:id="30" w:name="_Toc97191423"/>
      <w:bookmarkStart w:id="31" w:name="_Toc107327237"/>
      <w:bookmarkStart w:id="32" w:name="_Toc415043895"/>
      <w:bookmarkStart w:id="33" w:name="_Toc385602847"/>
      <w:bookmarkStart w:id="34" w:name="_Toc65687978"/>
      <w:bookmarkStart w:id="35" w:name="_Toc23920"/>
      <w:bookmarkStart w:id="36" w:name="_Toc415043488"/>
      <w:bookmarkStart w:id="37" w:name="_Toc385601798"/>
      <w:bookmarkStart w:id="38" w:name="_Toc415043549"/>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End w:id="32"/>
    <w:bookmarkEnd w:id="33"/>
    <w:bookmarkEnd w:id="34"/>
    <w:bookmarkEnd w:id="35"/>
    <w:bookmarkEnd w:id="36"/>
    <w:bookmarkEnd w:id="37"/>
    <w:bookmarkEnd w:id="38"/>
    <w:p>
      <w:pPr>
        <w:pStyle w:val="4"/>
        <w:spacing w:line="276" w:lineRule="auto"/>
      </w:pPr>
      <w:r>
        <w:rPr>
          <w:rFonts w:hint="eastAsia"/>
        </w:rPr>
        <w:t>本文件规定了白术质量分级及企业标准水平的</w:t>
      </w:r>
      <w:r>
        <w:rPr>
          <w:rFonts w:hint="eastAsia" w:hAnsi="宋体" w:eastAsia="宋体" w:cs="Arial"/>
          <w:szCs w:val="21"/>
        </w:rPr>
        <w:t>基本要求、评价指标及要求、</w:t>
      </w:r>
      <w:r>
        <w:rPr>
          <w:rFonts w:ascii="Times New Roman"/>
          <w:szCs w:val="21"/>
        </w:rPr>
        <w:t>评价</w:t>
      </w:r>
      <w:r>
        <w:rPr>
          <w:rFonts w:hint="eastAsia" w:ascii="Times New Roman"/>
          <w:szCs w:val="21"/>
        </w:rPr>
        <w:t>方法及等级划分</w:t>
      </w:r>
      <w:r>
        <w:rPr>
          <w:rFonts w:hint="eastAsia"/>
        </w:rPr>
        <w:t>。</w:t>
      </w:r>
    </w:p>
    <w:p>
      <w:pPr>
        <w:pStyle w:val="4"/>
        <w:spacing w:line="276" w:lineRule="auto"/>
        <w:rPr>
          <w:rFonts w:eastAsia="宋体"/>
        </w:rPr>
      </w:pPr>
      <w:r>
        <w:rPr>
          <w:rFonts w:hint="eastAsia" w:hAnsi="宋体"/>
        </w:rPr>
        <w:t>本</w:t>
      </w:r>
      <w:r>
        <w:rPr>
          <w:rFonts w:hint="eastAsia"/>
        </w:rPr>
        <w:t>文件适用于</w:t>
      </w:r>
      <w:bookmarkStart w:id="39" w:name="_Hlk42777362"/>
      <w:r>
        <w:rPr>
          <w:rFonts w:hint="eastAsia"/>
        </w:rPr>
        <w:t>白术质量分级及企业标准水平评价</w:t>
      </w:r>
      <w:bookmarkEnd w:id="39"/>
      <w:r>
        <w:rPr>
          <w:rFonts w:hint="eastAsia"/>
        </w:rPr>
        <w:t>。相关机构开展质量分级和企业标准水平评价、“领跑者”产品评价以及相关认证或评价时可参照使用，相关企业在制定企业标准时也可参照本文件。</w:t>
      </w:r>
    </w:p>
    <w:p>
      <w:pPr>
        <w:pStyle w:val="84"/>
        <w:spacing w:before="312" w:after="312"/>
      </w:pPr>
      <w:bookmarkStart w:id="40" w:name="_Toc20114"/>
      <w:bookmarkStart w:id="41" w:name="_Toc109198982"/>
      <w:bookmarkStart w:id="42" w:name="_Toc97191424"/>
      <w:bookmarkStart w:id="43" w:name="_Toc28435"/>
      <w:bookmarkStart w:id="44" w:name="_Toc26718931"/>
      <w:bookmarkStart w:id="45" w:name="_Toc107412112"/>
      <w:bookmarkStart w:id="46" w:name="_Toc26986772"/>
      <w:bookmarkStart w:id="47" w:name="_Toc112679852"/>
      <w:bookmarkStart w:id="48" w:name="_Toc107298440"/>
      <w:bookmarkStart w:id="49" w:name="_Toc26986531"/>
      <w:bookmarkStart w:id="50" w:name="_Toc109199005"/>
      <w:bookmarkStart w:id="51" w:name="_Toc107327238"/>
      <w:bookmarkStart w:id="52" w:name="_Toc10698038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p>
      <w:pPr>
        <w:spacing w:line="276" w:lineRule="auto"/>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eastAsia="宋体" w:cs="宋体"/>
          <w:kern w:val="0"/>
          <w:szCs w:val="20"/>
        </w:rPr>
      </w:pPr>
      <w:r>
        <w:rPr>
          <w:rFonts w:hint="eastAsia" w:ascii="宋体" w:hAnsi="宋体" w:eastAsia="宋体" w:cs="宋体"/>
          <w:kern w:val="0"/>
          <w:szCs w:val="20"/>
        </w:rPr>
        <w:t>DB33/T 381—2012  《白术生产技术规程》</w:t>
      </w:r>
    </w:p>
    <w:p>
      <w:pPr>
        <w:ind w:firstLine="420" w:firstLineChars="200"/>
        <w:rPr>
          <w:rFonts w:ascii="宋体" w:hAnsi="宋体" w:eastAsia="宋体" w:cs="宋体"/>
          <w:kern w:val="0"/>
          <w:szCs w:val="20"/>
        </w:rPr>
      </w:pPr>
      <w:bookmarkStart w:id="53" w:name="_Hlk168476007"/>
      <w:r>
        <w:rPr>
          <w:rFonts w:hint="eastAsia" w:ascii="宋体" w:hAnsi="宋体" w:eastAsia="宋体" w:cs="宋体"/>
          <w:kern w:val="0"/>
          <w:szCs w:val="20"/>
        </w:rPr>
        <w:t>《中华人民共和国药典》</w:t>
      </w:r>
      <w:bookmarkEnd w:id="53"/>
      <w:r>
        <w:rPr>
          <w:rFonts w:hint="eastAsia" w:ascii="宋体" w:hAnsi="宋体" w:eastAsia="宋体" w:cs="宋体"/>
          <w:kern w:val="0"/>
          <w:szCs w:val="20"/>
        </w:rPr>
        <w:t>（2020版）</w:t>
      </w:r>
    </w:p>
    <w:p>
      <w:pPr>
        <w:ind w:firstLine="420" w:firstLineChars="200"/>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kern w:val="0"/>
          <w:szCs w:val="20"/>
        </w:rPr>
        <w:t>《香港中药材</w:t>
      </w:r>
      <w:r>
        <w:rPr>
          <w:rFonts w:hint="eastAsia" w:ascii="宋体" w:hAnsi="宋体" w:eastAsia="宋体" w:cs="宋体"/>
          <w:color w:val="000000" w:themeColor="text1"/>
          <w:kern w:val="0"/>
          <w:szCs w:val="20"/>
          <w14:textFill>
            <w14:solidFill>
              <w14:schemeClr w14:val="tx1"/>
            </w14:solidFill>
          </w14:textFill>
        </w:rPr>
        <w:t>标准》</w:t>
      </w:r>
    </w:p>
    <w:p>
      <w:pPr>
        <w:pStyle w:val="84"/>
        <w:spacing w:before="312" w:after="312"/>
        <w:rPr>
          <w:color w:val="000000" w:themeColor="text1"/>
          <w14:textFill>
            <w14:solidFill>
              <w14:schemeClr w14:val="tx1"/>
            </w14:solidFill>
          </w14:textFill>
        </w:rPr>
      </w:pPr>
      <w:bookmarkStart w:id="54" w:name="_Toc385601800"/>
      <w:bookmarkEnd w:id="54"/>
      <w:bookmarkStart w:id="55" w:name="_Toc415043490"/>
      <w:bookmarkStart w:id="56" w:name="_Toc385602849"/>
      <w:bookmarkStart w:id="57" w:name="_Toc19706"/>
      <w:bookmarkStart w:id="58" w:name="_Toc1815"/>
      <w:bookmarkStart w:id="59" w:name="_Toc415043897"/>
      <w:bookmarkStart w:id="60" w:name="_Toc65687980"/>
      <w:bookmarkStart w:id="61" w:name="_Toc289"/>
      <w:bookmarkStart w:id="62" w:name="_Toc415043551"/>
      <w:r>
        <w:rPr>
          <w:rFonts w:hint="eastAsia"/>
          <w:color w:val="000000" w:themeColor="text1"/>
          <w:szCs w:val="21"/>
          <w14:textFill>
            <w14:solidFill>
              <w14:schemeClr w14:val="tx1"/>
            </w14:solidFill>
          </w14:textFill>
        </w:rPr>
        <w:t>术语和定义</w:t>
      </w:r>
      <w:bookmarkEnd w:id="55"/>
      <w:bookmarkEnd w:id="56"/>
      <w:bookmarkEnd w:id="57"/>
      <w:bookmarkEnd w:id="58"/>
      <w:bookmarkEnd w:id="59"/>
      <w:bookmarkEnd w:id="60"/>
      <w:bookmarkEnd w:id="61"/>
      <w:bookmarkEnd w:id="62"/>
      <w:bookmarkStart w:id="63" w:name="_Toc415043553"/>
      <w:bookmarkEnd w:id="63"/>
      <w:bookmarkStart w:id="64" w:name="_Toc375076815"/>
      <w:bookmarkEnd w:id="64"/>
      <w:bookmarkStart w:id="65" w:name="_Toc415043552"/>
      <w:bookmarkEnd w:id="65"/>
      <w:bookmarkStart w:id="66" w:name="_Toc415043492"/>
      <w:bookmarkEnd w:id="66"/>
      <w:bookmarkStart w:id="67" w:name="_Toc415043899"/>
      <w:bookmarkEnd w:id="67"/>
      <w:bookmarkStart w:id="68" w:name="_Toc415043491"/>
      <w:bookmarkEnd w:id="68"/>
      <w:bookmarkStart w:id="69" w:name="_Toc415043898"/>
      <w:bookmarkEnd w:id="69"/>
      <w:bookmarkStart w:id="70" w:name="_Toc65687981"/>
      <w:bookmarkStart w:id="71" w:name="_Toc415043496"/>
      <w:bookmarkStart w:id="72" w:name="_Toc25668"/>
      <w:bookmarkStart w:id="73" w:name="_Toc415043557"/>
      <w:bookmarkStart w:id="74" w:name="_Toc415043903"/>
      <w:bookmarkStart w:id="75" w:name="_Toc385602850"/>
      <w:bookmarkStart w:id="76" w:name="_Toc528835813"/>
    </w:p>
    <w:bookmarkEnd w:id="70"/>
    <w:p>
      <w:pPr>
        <w:widowControl/>
        <w:jc w:val="left"/>
        <w:rPr>
          <w:rFonts w:ascii="黑体" w:hAnsi="宋体" w:eastAsia="黑体" w:cs="黑体"/>
          <w:color w:val="000000" w:themeColor="text1"/>
          <w:kern w:val="0"/>
          <w:sz w:val="20"/>
          <w:szCs w:val="20"/>
          <w:lang w:bidi="ar"/>
          <w14:textFill>
            <w14:solidFill>
              <w14:schemeClr w14:val="tx1"/>
            </w14:solidFill>
          </w14:textFill>
        </w:rPr>
      </w:pPr>
      <w:r>
        <w:rPr>
          <w:rFonts w:hint="eastAsia" w:ascii="黑体" w:hAnsi="宋体" w:eastAsia="黑体" w:cs="黑体"/>
          <w:color w:val="000000" w:themeColor="text1"/>
          <w:kern w:val="0"/>
          <w:sz w:val="20"/>
          <w:szCs w:val="20"/>
          <w:lang w:bidi="ar"/>
          <w14:textFill>
            <w14:solidFill>
              <w14:schemeClr w14:val="tx1"/>
            </w14:solidFill>
          </w14:textFill>
        </w:rPr>
        <w:t xml:space="preserve">3.1  </w:t>
      </w:r>
    </w:p>
    <w:p>
      <w:pPr>
        <w:widowControl/>
        <w:ind w:firstLine="420" w:firstLineChars="200"/>
        <w:jc w:val="left"/>
        <w:rPr>
          <w:rFonts w:ascii="黑体" w:hAnsi="黑体" w:eastAsia="黑体"/>
          <w:color w:val="000000" w:themeColor="text1"/>
          <w:szCs w:val="21"/>
          <w14:textFill>
            <w14:solidFill>
              <w14:schemeClr w14:val="tx1"/>
            </w14:solidFill>
          </w14:textFill>
        </w:rPr>
      </w:pPr>
      <w:r>
        <w:rPr>
          <w:rFonts w:ascii="黑体" w:hAnsi="黑体" w:eastAsia="黑体" w:cs="黑体"/>
          <w:color w:val="000000" w:themeColor="text1"/>
          <w:kern w:val="0"/>
          <w:szCs w:val="21"/>
          <w:lang w:bidi="ar"/>
          <w14:textFill>
            <w14:solidFill>
              <w14:schemeClr w14:val="tx1"/>
            </w14:solidFill>
          </w14:textFill>
        </w:rPr>
        <w:t xml:space="preserve">白术 </w:t>
      </w:r>
      <w:r>
        <w:rPr>
          <w:rFonts w:ascii="黑体" w:hAnsi="黑体" w:eastAsia="黑体" w:cs="Times New Roman"/>
          <w:color w:val="000000" w:themeColor="text1"/>
          <w:kern w:val="0"/>
          <w:szCs w:val="21"/>
          <w:lang w:bidi="ar"/>
          <w14:textFill>
            <w14:solidFill>
              <w14:schemeClr w14:val="tx1"/>
            </w14:solidFill>
          </w14:textFill>
        </w:rPr>
        <w:t xml:space="preserve">Atractylodis macrocephalae rhizoma </w:t>
      </w:r>
    </w:p>
    <w:p>
      <w:pPr>
        <w:widowControl/>
        <w:ind w:firstLine="420" w:firstLineChars="2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为菊科植物白术 </w:t>
      </w:r>
      <w:r>
        <w:rPr>
          <w:rFonts w:ascii="Times New Roman" w:hAnsi="Times New Roman" w:eastAsia="宋体" w:cs="Times New Roman"/>
          <w:i/>
          <w:iCs/>
          <w:color w:val="000000" w:themeColor="text1"/>
          <w:kern w:val="0"/>
          <w:szCs w:val="21"/>
          <w:lang w:bidi="ar"/>
          <w14:textFill>
            <w14:solidFill>
              <w14:schemeClr w14:val="tx1"/>
            </w14:solidFill>
          </w14:textFill>
        </w:rPr>
        <w:t xml:space="preserve">Atractylodes macrocephala </w:t>
      </w:r>
      <w:r>
        <w:rPr>
          <w:rFonts w:ascii="Times New Roman" w:hAnsi="Times New Roman" w:eastAsia="宋体" w:cs="Times New Roman"/>
          <w:color w:val="000000" w:themeColor="text1"/>
          <w:kern w:val="0"/>
          <w:szCs w:val="21"/>
          <w:lang w:bidi="ar"/>
          <w14:textFill>
            <w14:solidFill>
              <w14:schemeClr w14:val="tx1"/>
            </w14:solidFill>
          </w14:textFill>
        </w:rPr>
        <w:t xml:space="preserve">Koidz. </w:t>
      </w:r>
      <w:r>
        <w:rPr>
          <w:rFonts w:hint="eastAsia" w:ascii="宋体" w:hAnsi="宋体" w:eastAsia="宋体" w:cs="宋体"/>
          <w:color w:val="000000" w:themeColor="text1"/>
          <w:kern w:val="0"/>
          <w:szCs w:val="21"/>
          <w:lang w:bidi="ar"/>
          <w14:textFill>
            <w14:solidFill>
              <w14:schemeClr w14:val="tx1"/>
            </w14:solidFill>
          </w14:textFill>
        </w:rPr>
        <w:t>的干燥根茎。</w:t>
      </w:r>
    </w:p>
    <w:p>
      <w:pPr>
        <w:widowControl/>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[来源：《中华人民共和国药典》一部（2020版）]</w:t>
      </w:r>
    </w:p>
    <w:p>
      <w:pPr>
        <w:pStyle w:val="84"/>
        <w:spacing w:before="312" w:after="312"/>
        <w:rPr>
          <w:rFonts w:hAnsi="黑体"/>
          <w:sz w:val="24"/>
          <w:szCs w:val="24"/>
        </w:rPr>
      </w:pPr>
      <w:r>
        <w:rPr>
          <w:rFonts w:hint="eastAsia"/>
          <w:szCs w:val="21"/>
        </w:rPr>
        <w:t>基本要求</w:t>
      </w:r>
    </w:p>
    <w:p>
      <w:pPr>
        <w:pStyle w:val="86"/>
        <w:spacing w:before="0" w:beforeLines="0" w:after="0" w:afterLines="0"/>
      </w:pPr>
      <w:r>
        <w:rPr>
          <w:rFonts w:hint="eastAsia" w:ascii="宋体" w:hAnsi="宋体" w:eastAsia="宋体" w:cs="宋体"/>
        </w:rPr>
        <w:t>近三年，企业无较大及以上质量、环境、安全等事故</w:t>
      </w:r>
      <w:r>
        <w:rPr>
          <w:rFonts w:hint="eastAsia" w:eastAsia="宋体"/>
        </w:rPr>
        <w:t>。</w:t>
      </w:r>
    </w:p>
    <w:p>
      <w:pPr>
        <w:pStyle w:val="86"/>
        <w:spacing w:before="0" w:beforeLines="0" w:after="0" w:afterLines="0"/>
        <w:rPr>
          <w:rFonts w:ascii="宋体" w:hAnsi="宋体" w:eastAsia="宋体" w:cs="宋体"/>
          <w:szCs w:val="21"/>
        </w:rPr>
      </w:pPr>
      <w:bookmarkStart w:id="77" w:name="_Toc65687984"/>
      <w:bookmarkStart w:id="78" w:name="_Toc401669933"/>
      <w:bookmarkStart w:id="79" w:name="_Toc33563757"/>
      <w:bookmarkStart w:id="80" w:name="_Toc35259974"/>
      <w:r>
        <w:rPr>
          <w:rFonts w:hint="eastAsia" w:ascii="宋体" w:hAnsi="宋体" w:eastAsia="宋体" w:cs="宋体"/>
          <w:szCs w:val="21"/>
        </w:rPr>
        <w:t>企业未列入国家信用信息严重失信主体相关名录。</w:t>
      </w:r>
    </w:p>
    <w:p>
      <w:pPr>
        <w:pStyle w:val="86"/>
        <w:spacing w:before="0" w:beforeLines="0" w:after="0" w:afterLines="0"/>
        <w:rPr>
          <w:rFonts w:ascii="宋体" w:hAnsi="宋体" w:eastAsia="宋体" w:cs="宋体"/>
          <w:bCs/>
        </w:rPr>
      </w:pPr>
      <w:r>
        <w:rPr>
          <w:rFonts w:hint="eastAsia" w:ascii="宋体" w:hAnsi="宋体" w:eastAsia="宋体" w:cs="宋体"/>
          <w:bCs/>
        </w:rPr>
        <w:t>企业可根据</w:t>
      </w:r>
      <w:r>
        <w:rPr>
          <w:rFonts w:hint="eastAsia" w:ascii="宋体" w:hAnsi="宋体" w:eastAsia="宋体" w:cs="宋体"/>
          <w:bCs/>
          <w:szCs w:val="21"/>
        </w:rPr>
        <w:t>GB/T 19001、GB/T 23331、GB/T 24001、GB/T 45001</w:t>
      </w:r>
      <w:r>
        <w:rPr>
          <w:rFonts w:hint="eastAsia" w:ascii="宋体" w:hAnsi="宋体" w:eastAsia="宋体" w:cs="宋体"/>
          <w:bCs/>
        </w:rPr>
        <w:t>建立并运行相应质量、能源、环境和职业健康安全等管理体系，鼓励企业根据自身运营情况建立其他高水平的相关管理体系。</w:t>
      </w:r>
    </w:p>
    <w:p>
      <w:pPr>
        <w:pStyle w:val="86"/>
        <w:spacing w:before="0" w:beforeLines="0" w:after="0" w:afterLines="0"/>
        <w:rPr>
          <w:rFonts w:ascii="宋体" w:hAnsi="宋体" w:eastAsia="宋体" w:cs="宋体"/>
          <w:szCs w:val="21"/>
        </w:rPr>
      </w:pPr>
      <w:r>
        <w:rPr>
          <w:rFonts w:hint="eastAsia" w:ascii="宋体" w:hAnsi="宋体" w:eastAsia="宋体" w:cs="宋体"/>
          <w:szCs w:val="21"/>
        </w:rPr>
        <w:t>产品应为量产产品，白术质量分级及领跑者标准应符合《中华人民共和国药典》（2020版）的规定。</w:t>
      </w:r>
    </w:p>
    <w:p>
      <w:pPr>
        <w:pStyle w:val="84"/>
        <w:spacing w:before="312" w:after="312"/>
        <w:rPr>
          <w:szCs w:val="21"/>
        </w:rPr>
      </w:pPr>
      <w:r>
        <w:rPr>
          <w:rFonts w:hint="eastAsia"/>
          <w:szCs w:val="21"/>
        </w:rPr>
        <w:t>评价指标及要求</w:t>
      </w:r>
    </w:p>
    <w:p>
      <w:pPr>
        <w:pStyle w:val="86"/>
        <w:spacing w:before="156" w:after="156"/>
      </w:pPr>
      <w:r>
        <w:rPr>
          <w:rFonts w:hint="eastAsia"/>
        </w:rPr>
        <w:t>评价指标分类</w:t>
      </w:r>
    </w:p>
    <w:p>
      <w:pPr>
        <w:pStyle w:val="87"/>
        <w:spacing w:before="0" w:beforeLines="0" w:after="0" w:afterLines="0"/>
        <w:rPr>
          <w:rFonts w:ascii="宋体" w:hAnsi="宋体" w:eastAsia="宋体" w:cs="宋体"/>
        </w:rPr>
      </w:pPr>
      <w:r>
        <w:rPr>
          <w:rFonts w:hint="eastAsia" w:ascii="宋体" w:hAnsi="宋体" w:eastAsia="宋体" w:cs="宋体"/>
        </w:rPr>
        <w:t>白术评价指标体系包括基础指标、核心指标和创新指标。</w:t>
      </w:r>
    </w:p>
    <w:p>
      <w:pPr>
        <w:pStyle w:val="87"/>
        <w:spacing w:before="0" w:beforeLines="0" w:after="0" w:afterLines="0"/>
        <w:rPr>
          <w:rFonts w:ascii="宋体" w:hAnsi="宋体" w:eastAsia="宋体" w:cs="宋体"/>
        </w:rPr>
      </w:pPr>
      <w:r>
        <w:rPr>
          <w:rFonts w:hint="eastAsia" w:ascii="宋体" w:hAnsi="宋体" w:eastAsia="宋体" w:cs="宋体"/>
        </w:rPr>
        <w:t>基础指标包括性状、</w:t>
      </w:r>
      <w:r>
        <w:rPr>
          <w:rFonts w:hint="eastAsia" w:ascii="宋体" w:hAnsi="宋体" w:eastAsia="宋体" w:cs="宋体"/>
          <w:lang w:val="en-US" w:eastAsia="zh-CN"/>
        </w:rPr>
        <w:t>鉴别、</w:t>
      </w:r>
      <w:r>
        <w:rPr>
          <w:rFonts w:hint="eastAsia" w:ascii="宋体" w:hAnsi="宋体" w:eastAsia="宋体" w:cs="宋体"/>
        </w:rPr>
        <w:t>色度、水分、总灰分</w:t>
      </w:r>
      <w:r>
        <w:rPr>
          <w:rFonts w:hint="eastAsia" w:ascii="宋体" w:hAnsi="宋体" w:eastAsia="宋体" w:cs="宋体"/>
          <w:lang w:eastAsia="zh-CN"/>
        </w:rPr>
        <w:t>、</w:t>
      </w:r>
      <w:r>
        <w:rPr>
          <w:rFonts w:hint="eastAsia" w:ascii="宋体" w:hAnsi="宋体" w:eastAsia="宋体" w:cs="宋体"/>
        </w:rPr>
        <w:t>醇溶性浸出物</w:t>
      </w:r>
      <w:r>
        <w:rPr>
          <w:rFonts w:hint="eastAsia" w:ascii="宋体" w:hAnsi="宋体" w:eastAsia="宋体" w:cs="宋体"/>
          <w:lang w:val="en-US" w:eastAsia="zh-CN"/>
        </w:rPr>
        <w:t>和33种禁用农残</w:t>
      </w:r>
      <w:r>
        <w:rPr>
          <w:rFonts w:hint="eastAsia" w:ascii="宋体" w:hAnsi="宋体" w:eastAsia="宋体" w:cs="宋体"/>
        </w:rPr>
        <w:t>。</w:t>
      </w:r>
    </w:p>
    <w:p>
      <w:pPr>
        <w:pStyle w:val="87"/>
        <w:spacing w:before="0" w:beforeLines="0" w:after="0" w:afterLines="0"/>
        <w:rPr>
          <w:rFonts w:ascii="Times New Roman" w:hAnsi="宋体" w:eastAsia="宋体"/>
          <w:kern w:val="2"/>
          <w:szCs w:val="24"/>
        </w:rPr>
      </w:pPr>
      <w:r>
        <w:rPr>
          <w:rFonts w:hint="eastAsia" w:ascii="Times New Roman" w:hAnsi="宋体" w:eastAsia="宋体"/>
          <w:kern w:val="2"/>
          <w:szCs w:val="24"/>
        </w:rPr>
        <w:t>核心指标包括二氧化硫残留量、白术内酯III、铅、汞、砷和镉；核心指标分为三个等级，包括</w:t>
      </w:r>
      <w:r>
        <w:rPr>
          <w:rFonts w:hint="eastAsia" w:ascii="Times New Roman" w:hAnsi="宋体" w:eastAsia="宋体"/>
          <w:kern w:val="2"/>
          <w:szCs w:val="24"/>
          <w:lang w:val="en-US" w:eastAsia="zh-CN"/>
        </w:rPr>
        <w:t>先进</w:t>
      </w:r>
      <w:r>
        <w:rPr>
          <w:rFonts w:hint="eastAsia" w:ascii="Times New Roman" w:hAnsi="宋体" w:eastAsia="宋体"/>
          <w:kern w:val="2"/>
          <w:szCs w:val="24"/>
        </w:rPr>
        <w:t>水平，相当于企业标准排行榜中5星级水平；</w:t>
      </w:r>
      <w:r>
        <w:rPr>
          <w:rFonts w:hint="eastAsia" w:ascii="Times New Roman" w:hAnsi="宋体" w:eastAsia="宋体"/>
          <w:kern w:val="2"/>
          <w:szCs w:val="24"/>
          <w:lang w:val="en-US" w:eastAsia="zh-CN"/>
        </w:rPr>
        <w:t>平均</w:t>
      </w:r>
      <w:r>
        <w:rPr>
          <w:rFonts w:hint="eastAsia" w:ascii="Times New Roman" w:hAnsi="宋体" w:eastAsia="宋体"/>
          <w:kern w:val="2"/>
          <w:szCs w:val="24"/>
        </w:rPr>
        <w:t>水平，相当于企业标准排行榜中4星级水平；</w:t>
      </w:r>
      <w:r>
        <w:rPr>
          <w:rFonts w:hint="eastAsia" w:ascii="Times New Roman" w:hAnsi="宋体" w:eastAsia="宋体"/>
          <w:kern w:val="2"/>
          <w:szCs w:val="24"/>
          <w:lang w:val="en-US" w:eastAsia="zh-CN"/>
        </w:rPr>
        <w:t>基准</w:t>
      </w:r>
      <w:r>
        <w:rPr>
          <w:rFonts w:hint="eastAsia" w:ascii="Times New Roman" w:hAnsi="宋体" w:eastAsia="宋体"/>
          <w:kern w:val="2"/>
          <w:szCs w:val="24"/>
        </w:rPr>
        <w:t>水平，相当于企业标准排行榜中3星级水平。</w:t>
      </w:r>
    </w:p>
    <w:p>
      <w:pPr>
        <w:pStyle w:val="87"/>
        <w:spacing w:before="0" w:beforeLines="0" w:after="0" w:afterLines="0"/>
        <w:rPr>
          <w:rFonts w:ascii="Times New Roman" w:hAnsi="宋体" w:eastAsia="宋体"/>
          <w:kern w:val="2"/>
          <w:szCs w:val="24"/>
        </w:rPr>
      </w:pPr>
      <w:r>
        <w:rPr>
          <w:rFonts w:hint="eastAsia" w:ascii="Times New Roman" w:hAnsi="宋体" w:eastAsia="宋体"/>
          <w:kern w:val="2"/>
          <w:szCs w:val="24"/>
        </w:rPr>
        <w:t>创新指标包括酸不溶性灰分、挥发油、水溶性浸出物、铜，不划分等级，相当于企业标准排行中4星级水平。鼓励根据条件成熟情况适时增加与产品性能和消费者关注的相关创新性指标。</w:t>
      </w:r>
    </w:p>
    <w:p>
      <w:pPr>
        <w:pStyle w:val="86"/>
        <w:spacing w:before="156" w:after="156"/>
      </w:pPr>
      <w:r>
        <w:rPr>
          <w:rFonts w:hint="eastAsia" w:hAnsi="黑体"/>
          <w:szCs w:val="21"/>
        </w:rPr>
        <w:t>评价指标体系框架</w:t>
      </w:r>
    </w:p>
    <w:bookmarkEnd w:id="77"/>
    <w:p>
      <w:pPr>
        <w:pStyle w:val="87"/>
        <w:spacing w:before="0" w:beforeLines="0" w:after="0" w:afterLines="0"/>
      </w:pPr>
      <w:r>
        <w:rPr>
          <w:rFonts w:hint="eastAsia" w:ascii="宋体" w:hAnsi="宋体" w:eastAsia="宋体" w:cs="宋体"/>
        </w:rPr>
        <w:t>白术评价指标体系框架符合表1的规定</w:t>
      </w:r>
      <w:r>
        <w:rPr>
          <w:rFonts w:ascii="Times New Roman"/>
        </w:rPr>
        <w:t>。</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1</w:t>
      </w:r>
      <w:bookmarkStart w:id="81" w:name="_Hlk42778042"/>
      <w:r>
        <w:rPr>
          <w:rFonts w:hint="eastAsia" w:ascii="黑体" w:hAnsi="黑体" w:eastAsia="黑体" w:cs="黑体"/>
          <w:szCs w:val="21"/>
        </w:rPr>
        <w:t xml:space="preserve"> 白术评价指标体系</w:t>
      </w:r>
      <w:bookmarkEnd w:id="81"/>
      <w:r>
        <w:rPr>
          <w:rFonts w:hint="eastAsia" w:ascii="黑体" w:hAnsi="黑体" w:eastAsia="黑体" w:cs="黑体"/>
          <w:szCs w:val="21"/>
        </w:rPr>
        <w:t>框架</w:t>
      </w:r>
    </w:p>
    <w:tbl>
      <w:tblPr>
        <w:tblStyle w:val="24"/>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03"/>
        <w:gridCol w:w="1585"/>
        <w:gridCol w:w="1382"/>
        <w:gridCol w:w="1272"/>
        <w:gridCol w:w="1181"/>
        <w:gridCol w:w="1104"/>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63" w:type="pct"/>
            <w:vMerge w:val="restart"/>
            <w:tcBorders>
              <w:bottom w:val="single" w:color="auto" w:sz="8"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306" w:type="pct"/>
            <w:vMerge w:val="restart"/>
            <w:tcBorders>
              <w:bottom w:val="single" w:color="auto" w:sz="8"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指标类型</w:t>
            </w:r>
          </w:p>
        </w:tc>
        <w:tc>
          <w:tcPr>
            <w:tcW w:w="804" w:type="pct"/>
            <w:vMerge w:val="restart"/>
            <w:tcBorders>
              <w:bottom w:val="single" w:color="auto" w:sz="8"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评价指标</w:t>
            </w:r>
          </w:p>
        </w:tc>
        <w:tc>
          <w:tcPr>
            <w:tcW w:w="701" w:type="pct"/>
            <w:vMerge w:val="restart"/>
            <w:tcBorders>
              <w:bottom w:val="single" w:color="auto" w:sz="8"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指标来源</w:t>
            </w:r>
          </w:p>
        </w:tc>
        <w:tc>
          <w:tcPr>
            <w:tcW w:w="1806" w:type="pct"/>
            <w:gridSpan w:val="3"/>
            <w:tcBorders>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指标水平分级</w:t>
            </w:r>
          </w:p>
        </w:tc>
        <w:tc>
          <w:tcPr>
            <w:tcW w:w="917" w:type="pct"/>
            <w:vMerge w:val="restart"/>
            <w:tcBorders>
              <w:bottom w:val="single" w:color="auto" w:sz="8"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3" w:type="pct"/>
            <w:vMerge w:val="continue"/>
            <w:tcBorders>
              <w:top w:val="single" w:color="auto" w:sz="8" w:space="0"/>
              <w:bottom w:val="single" w:color="auto" w:sz="12" w:space="0"/>
            </w:tcBorders>
            <w:vAlign w:val="center"/>
          </w:tcPr>
          <w:p>
            <w:pPr>
              <w:rPr>
                <w:rFonts w:ascii="宋体" w:hAnsi="宋体" w:eastAsia="宋体" w:cs="宋体"/>
                <w:sz w:val="18"/>
                <w:szCs w:val="18"/>
              </w:rPr>
            </w:pPr>
          </w:p>
        </w:tc>
        <w:tc>
          <w:tcPr>
            <w:tcW w:w="306" w:type="pct"/>
            <w:vMerge w:val="continue"/>
            <w:tcBorders>
              <w:top w:val="single" w:color="auto" w:sz="8" w:space="0"/>
              <w:bottom w:val="single" w:color="auto" w:sz="12" w:space="0"/>
            </w:tcBorders>
            <w:vAlign w:val="center"/>
          </w:tcPr>
          <w:p>
            <w:pPr>
              <w:rPr>
                <w:rFonts w:ascii="宋体" w:hAnsi="宋体" w:eastAsia="宋体" w:cs="宋体"/>
                <w:sz w:val="18"/>
                <w:szCs w:val="18"/>
              </w:rPr>
            </w:pPr>
          </w:p>
        </w:tc>
        <w:tc>
          <w:tcPr>
            <w:tcW w:w="804" w:type="pct"/>
            <w:vMerge w:val="continue"/>
            <w:tcBorders>
              <w:top w:val="single" w:color="auto" w:sz="8" w:space="0"/>
              <w:bottom w:val="single" w:color="auto" w:sz="12" w:space="0"/>
            </w:tcBorders>
            <w:vAlign w:val="center"/>
          </w:tcPr>
          <w:p>
            <w:pPr>
              <w:rPr>
                <w:rFonts w:ascii="宋体" w:hAnsi="宋体" w:eastAsia="宋体" w:cs="宋体"/>
                <w:sz w:val="18"/>
                <w:szCs w:val="18"/>
              </w:rPr>
            </w:pPr>
          </w:p>
        </w:tc>
        <w:tc>
          <w:tcPr>
            <w:tcW w:w="701" w:type="pct"/>
            <w:vMerge w:val="continue"/>
            <w:tcBorders>
              <w:top w:val="single" w:color="auto" w:sz="8" w:space="0"/>
              <w:bottom w:val="single" w:color="auto" w:sz="12" w:space="0"/>
            </w:tcBorders>
            <w:vAlign w:val="center"/>
          </w:tcPr>
          <w:p>
            <w:pPr>
              <w:rPr>
                <w:rFonts w:ascii="宋体" w:hAnsi="宋体" w:eastAsia="宋体" w:cs="宋体"/>
                <w:sz w:val="18"/>
                <w:szCs w:val="18"/>
              </w:rPr>
            </w:pPr>
          </w:p>
        </w:tc>
        <w:tc>
          <w:tcPr>
            <w:tcW w:w="645" w:type="pct"/>
            <w:tcBorders>
              <w:top w:val="single" w:color="auto" w:sz="4" w:space="0"/>
              <w:bottom w:val="single" w:color="auto" w:sz="12"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lang w:val="en-US" w:eastAsia="zh-CN"/>
              </w:rPr>
              <w:t>先进</w:t>
            </w:r>
            <w:r>
              <w:rPr>
                <w:rFonts w:hint="eastAsia" w:ascii="宋体" w:hAnsi="宋体" w:eastAsia="宋体" w:cs="宋体"/>
                <w:sz w:val="18"/>
                <w:szCs w:val="18"/>
              </w:rPr>
              <w:t>水平</w:t>
            </w:r>
          </w:p>
          <w:p>
            <w:pPr>
              <w:jc w:val="center"/>
              <w:rPr>
                <w:rFonts w:ascii="宋体" w:hAnsi="宋体" w:eastAsia="宋体" w:cs="宋体"/>
                <w:sz w:val="18"/>
                <w:szCs w:val="18"/>
              </w:rPr>
            </w:pPr>
            <w:r>
              <w:rPr>
                <w:rFonts w:hint="eastAsia" w:ascii="宋体" w:hAnsi="宋体" w:eastAsia="宋体" w:cs="宋体"/>
                <w:sz w:val="18"/>
                <w:szCs w:val="18"/>
              </w:rPr>
              <w:t>（5星级）</w:t>
            </w:r>
          </w:p>
        </w:tc>
        <w:tc>
          <w:tcPr>
            <w:tcW w:w="599" w:type="pct"/>
            <w:tcBorders>
              <w:top w:val="single" w:color="auto" w:sz="4" w:space="0"/>
              <w:bottom w:val="single" w:color="auto" w:sz="12"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lang w:val="en-US" w:eastAsia="zh-CN"/>
              </w:rPr>
              <w:t>平均</w:t>
            </w:r>
            <w:r>
              <w:rPr>
                <w:rFonts w:hint="eastAsia" w:ascii="宋体" w:hAnsi="宋体" w:eastAsia="宋体" w:cs="宋体"/>
                <w:sz w:val="18"/>
                <w:szCs w:val="18"/>
              </w:rPr>
              <w:t>水平</w:t>
            </w:r>
          </w:p>
          <w:p>
            <w:pPr>
              <w:jc w:val="center"/>
              <w:rPr>
                <w:rFonts w:ascii="宋体" w:hAnsi="宋体" w:eastAsia="宋体" w:cs="宋体"/>
                <w:sz w:val="18"/>
                <w:szCs w:val="18"/>
              </w:rPr>
            </w:pPr>
            <w:r>
              <w:rPr>
                <w:rFonts w:hint="eastAsia" w:ascii="宋体" w:hAnsi="宋体" w:eastAsia="宋体" w:cs="宋体"/>
                <w:sz w:val="18"/>
                <w:szCs w:val="18"/>
              </w:rPr>
              <w:t>（4星级）</w:t>
            </w:r>
          </w:p>
        </w:tc>
        <w:tc>
          <w:tcPr>
            <w:tcW w:w="560" w:type="pct"/>
            <w:tcBorders>
              <w:top w:val="single" w:color="auto" w:sz="4" w:space="0"/>
              <w:bottom w:val="single" w:color="auto" w:sz="12"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lang w:val="en-US" w:eastAsia="zh-CN"/>
              </w:rPr>
              <w:t>基准</w:t>
            </w:r>
            <w:r>
              <w:rPr>
                <w:rFonts w:hint="eastAsia" w:ascii="宋体" w:hAnsi="宋体" w:eastAsia="宋体" w:cs="宋体"/>
                <w:sz w:val="18"/>
                <w:szCs w:val="18"/>
              </w:rPr>
              <w:t>水平</w:t>
            </w:r>
          </w:p>
          <w:p>
            <w:pPr>
              <w:jc w:val="center"/>
              <w:rPr>
                <w:rFonts w:ascii="宋体" w:hAnsi="宋体" w:eastAsia="宋体" w:cs="宋体"/>
                <w:sz w:val="18"/>
                <w:szCs w:val="18"/>
              </w:rPr>
            </w:pPr>
            <w:r>
              <w:rPr>
                <w:rFonts w:hint="eastAsia" w:ascii="宋体" w:hAnsi="宋体" w:eastAsia="宋体" w:cs="宋体"/>
                <w:sz w:val="18"/>
                <w:szCs w:val="18"/>
              </w:rPr>
              <w:t>（3星级）</w:t>
            </w:r>
          </w:p>
        </w:tc>
        <w:tc>
          <w:tcPr>
            <w:tcW w:w="917" w:type="pct"/>
            <w:vMerge w:val="continue"/>
            <w:tcBorders>
              <w:top w:val="single" w:color="auto" w:sz="8" w:space="0"/>
              <w:bottom w:val="single" w:color="auto" w:sz="12" w:space="0"/>
            </w:tcBorders>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463" w:type="pct"/>
            <w:tcBorders>
              <w:top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306" w:type="pct"/>
            <w:vMerge w:val="restart"/>
            <w:tcBorders>
              <w:top w:val="single" w:color="auto" w:sz="12"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基础指标</w:t>
            </w:r>
          </w:p>
        </w:tc>
        <w:tc>
          <w:tcPr>
            <w:tcW w:w="804" w:type="pct"/>
            <w:tcBorders>
              <w:top w:val="single" w:color="auto" w:sz="12"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性状</w:t>
            </w:r>
          </w:p>
        </w:tc>
        <w:tc>
          <w:tcPr>
            <w:tcW w:w="701" w:type="pct"/>
            <w:vMerge w:val="restart"/>
            <w:tcBorders>
              <w:top w:val="single" w:color="auto" w:sz="12"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《中华人民共和国药典》2020版一部</w:t>
            </w:r>
          </w:p>
        </w:tc>
        <w:tc>
          <w:tcPr>
            <w:tcW w:w="1806" w:type="pct"/>
            <w:gridSpan w:val="3"/>
            <w:tcBorders>
              <w:top w:val="single" w:color="auto" w:sz="12"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不规则的肥厚团块，长3~13cm，直径1.5~7cm，表面灰黄色或灰棕色，有瘤状突起及断续的纵皱和沟纹，并有须根瘤，顶端有残留茎基和芽痕。质坚硬不易折断，断面不平坦，黄白色至淡棕色，有棕黄色的点状油室散在。烘干者断面角质样，色较深或有裂隙。气清香，味甘、微辛，嚼之略带黏性。</w:t>
            </w:r>
          </w:p>
        </w:tc>
        <w:tc>
          <w:tcPr>
            <w:tcW w:w="917" w:type="pct"/>
            <w:vMerge w:val="restart"/>
            <w:tcBorders>
              <w:top w:val="single" w:color="auto" w:sz="12"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《中华人民共和国药典》2020版一部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2</w:t>
            </w:r>
          </w:p>
        </w:tc>
        <w:tc>
          <w:tcPr>
            <w:tcW w:w="306" w:type="pct"/>
            <w:vMerge w:val="continue"/>
            <w:shd w:val="clear" w:color="auto" w:fill="auto"/>
            <w:vAlign w:val="center"/>
          </w:tcPr>
          <w:p>
            <w:pPr>
              <w:rPr>
                <w:rFonts w:ascii="宋体" w:hAnsi="宋体" w:eastAsia="宋体" w:cs="宋体"/>
                <w:sz w:val="18"/>
                <w:szCs w:val="18"/>
              </w:rPr>
            </w:pPr>
          </w:p>
        </w:tc>
        <w:tc>
          <w:tcPr>
            <w:tcW w:w="804"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色度</w:t>
            </w:r>
          </w:p>
        </w:tc>
        <w:tc>
          <w:tcPr>
            <w:tcW w:w="701" w:type="pct"/>
            <w:vMerge w:val="continue"/>
            <w:shd w:val="clear" w:color="auto" w:fill="auto"/>
            <w:vAlign w:val="center"/>
          </w:tcPr>
          <w:p>
            <w:pPr>
              <w:jc w:val="center"/>
              <w:rPr>
                <w:rFonts w:ascii="宋体" w:hAnsi="宋体" w:eastAsia="宋体" w:cs="宋体"/>
                <w:sz w:val="18"/>
                <w:szCs w:val="18"/>
              </w:rPr>
            </w:pPr>
          </w:p>
        </w:tc>
        <w:tc>
          <w:tcPr>
            <w:tcW w:w="1806" w:type="pct"/>
            <w:gridSpan w:val="3"/>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与同量对照液相比，显色不得较深</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水分/</w:t>
            </w:r>
            <w:r>
              <w:rPr>
                <w:rFonts w:hint="eastAsia" w:ascii="Times New Roman" w:hAnsi="宋体" w:eastAsia="宋体"/>
                <w:sz w:val="18"/>
                <w:szCs w:val="21"/>
              </w:rPr>
              <w:t>%</w:t>
            </w:r>
          </w:p>
        </w:tc>
        <w:tc>
          <w:tcPr>
            <w:tcW w:w="701" w:type="pct"/>
            <w:vMerge w:val="continue"/>
            <w:shd w:val="clear" w:color="auto" w:fill="auto"/>
            <w:vAlign w:val="center"/>
          </w:tcPr>
          <w:p>
            <w:pPr>
              <w:jc w:val="center"/>
              <w:rPr>
                <w:rFonts w:ascii="宋体" w:hAnsi="宋体" w:eastAsia="宋体" w:cs="宋体"/>
                <w:sz w:val="18"/>
                <w:szCs w:val="18"/>
              </w:rPr>
            </w:pPr>
          </w:p>
        </w:tc>
        <w:tc>
          <w:tcPr>
            <w:tcW w:w="1806" w:type="pct"/>
            <w:gridSpan w:val="3"/>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总灰分/</w:t>
            </w:r>
            <w:r>
              <w:rPr>
                <w:rFonts w:hint="eastAsia" w:ascii="Times New Roman" w:hAnsi="宋体" w:eastAsia="宋体"/>
                <w:sz w:val="18"/>
                <w:szCs w:val="21"/>
              </w:rPr>
              <w:t>%</w:t>
            </w:r>
          </w:p>
        </w:tc>
        <w:tc>
          <w:tcPr>
            <w:tcW w:w="701" w:type="pct"/>
            <w:vMerge w:val="continue"/>
            <w:shd w:val="clear" w:color="auto" w:fill="auto"/>
            <w:vAlign w:val="center"/>
          </w:tcPr>
          <w:p>
            <w:pPr>
              <w:jc w:val="center"/>
              <w:rPr>
                <w:rFonts w:ascii="宋体" w:hAnsi="宋体" w:eastAsia="宋体" w:cs="宋体"/>
                <w:sz w:val="18"/>
                <w:szCs w:val="18"/>
              </w:rPr>
            </w:pPr>
          </w:p>
        </w:tc>
        <w:tc>
          <w:tcPr>
            <w:tcW w:w="1806" w:type="pct"/>
            <w:gridSpan w:val="3"/>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5</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醇溶性浸出物/</w:t>
            </w:r>
            <w:r>
              <w:rPr>
                <w:rFonts w:hint="eastAsia" w:ascii="Times New Roman" w:hAnsi="宋体" w:eastAsia="宋体"/>
                <w:sz w:val="18"/>
                <w:szCs w:val="21"/>
              </w:rPr>
              <w:t>%</w:t>
            </w:r>
          </w:p>
        </w:tc>
        <w:tc>
          <w:tcPr>
            <w:tcW w:w="701" w:type="pct"/>
            <w:vMerge w:val="continue"/>
            <w:shd w:val="clear" w:color="auto" w:fill="auto"/>
            <w:vAlign w:val="center"/>
          </w:tcPr>
          <w:p>
            <w:pPr>
              <w:jc w:val="center"/>
              <w:rPr>
                <w:rFonts w:ascii="宋体" w:hAnsi="宋体" w:eastAsia="宋体" w:cs="宋体"/>
                <w:sz w:val="18"/>
                <w:szCs w:val="18"/>
              </w:rPr>
            </w:pPr>
          </w:p>
        </w:tc>
        <w:tc>
          <w:tcPr>
            <w:tcW w:w="1806" w:type="pct"/>
            <w:gridSpan w:val="3"/>
            <w:shd w:val="clear" w:color="auto" w:fill="auto"/>
            <w:vAlign w:val="center"/>
          </w:tcPr>
          <w:p>
            <w:pPr>
              <w:jc w:val="center"/>
              <w:rPr>
                <w:rFonts w:ascii="宋体" w:hAnsi="宋体" w:eastAsia="宋体" w:cs="宋体"/>
                <w:color w:val="C00000"/>
                <w:sz w:val="18"/>
                <w:szCs w:val="18"/>
                <w:highlight w:val="yellow"/>
              </w:rPr>
            </w:pPr>
            <w:r>
              <w:rPr>
                <w:rFonts w:hint="eastAsia" w:ascii="宋体" w:hAnsi="宋体" w:eastAsia="宋体" w:cs="宋体"/>
                <w:sz w:val="18"/>
                <w:szCs w:val="18"/>
              </w:rPr>
              <w:t>≥35.0</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bottom w:val="single" w:color="auto" w:sz="4" w:space="0"/>
            </w:tcBorders>
            <w:shd w:val="clear" w:color="auto" w:fill="auto"/>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33种禁用农残</w:t>
            </w:r>
          </w:p>
        </w:tc>
        <w:tc>
          <w:tcPr>
            <w:tcW w:w="701" w:type="pct"/>
            <w:shd w:val="clear" w:color="auto" w:fill="auto"/>
            <w:vAlign w:val="center"/>
          </w:tcPr>
          <w:p>
            <w:pPr>
              <w:rPr>
                <w:rFonts w:ascii="宋体" w:hAnsi="宋体" w:eastAsia="宋体" w:cs="宋体"/>
                <w:kern w:val="2"/>
                <w:sz w:val="18"/>
                <w:szCs w:val="18"/>
                <w:lang w:val="en-US" w:eastAsia="zh-CN" w:bidi="ar-SA"/>
              </w:rPr>
            </w:pPr>
            <w:r>
              <w:rPr>
                <w:rFonts w:hint="eastAsia" w:ascii="宋体" w:hAnsi="宋体" w:eastAsia="宋体" w:cs="宋体"/>
                <w:sz w:val="18"/>
                <w:szCs w:val="18"/>
              </w:rPr>
              <w:t>《中华人民共和国药典》2020版四部0212</w:t>
            </w:r>
          </w:p>
        </w:tc>
        <w:tc>
          <w:tcPr>
            <w:tcW w:w="1806" w:type="pct"/>
            <w:gridSpan w:val="3"/>
            <w:shd w:val="clear" w:color="auto" w:fill="auto"/>
            <w:vAlign w:val="center"/>
          </w:tcPr>
          <w:p>
            <w:pPr>
              <w:jc w:val="center"/>
              <w:rPr>
                <w:rFonts w:hint="eastAsia" w:ascii="宋体" w:hAnsi="宋体" w:eastAsia="宋体" w:cs="宋体"/>
                <w:kern w:val="2"/>
                <w:sz w:val="18"/>
                <w:szCs w:val="18"/>
                <w:highlight w:val="yellow"/>
                <w:lang w:val="en-US" w:eastAsia="zh-CN" w:bidi="ar-SA"/>
              </w:rPr>
            </w:pPr>
            <w:r>
              <w:rPr>
                <w:rFonts w:hint="eastAsia" w:ascii="宋体" w:hAnsi="宋体" w:eastAsia="宋体" w:cs="宋体"/>
                <w:sz w:val="18"/>
                <w:szCs w:val="18"/>
              </w:rPr>
              <w:t>不得检出</w:t>
            </w:r>
          </w:p>
        </w:tc>
        <w:tc>
          <w:tcPr>
            <w:tcW w:w="917" w:type="pct"/>
            <w:shd w:val="clear" w:color="auto" w:fill="auto"/>
            <w:vAlign w:val="center"/>
          </w:tcPr>
          <w:p>
            <w:pPr>
              <w:rPr>
                <w:rFonts w:ascii="宋体" w:hAnsi="宋体" w:eastAsia="宋体" w:cs="宋体"/>
                <w:kern w:val="2"/>
                <w:sz w:val="18"/>
                <w:szCs w:val="18"/>
                <w:lang w:val="en-US" w:eastAsia="zh-CN" w:bidi="ar-SA"/>
              </w:rPr>
            </w:pPr>
            <w:r>
              <w:rPr>
                <w:rFonts w:hint="eastAsia" w:ascii="宋体" w:hAnsi="宋体" w:eastAsia="宋体" w:cs="宋体"/>
                <w:sz w:val="18"/>
                <w:szCs w:val="18"/>
              </w:rPr>
              <w:t>《中华人民共和国药典》2020版四部2341第五法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7</w:t>
            </w:r>
          </w:p>
        </w:tc>
        <w:tc>
          <w:tcPr>
            <w:tcW w:w="306" w:type="pct"/>
            <w:vMerge w:val="restar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核心指标</w:t>
            </w:r>
          </w:p>
        </w:tc>
        <w:tc>
          <w:tcPr>
            <w:tcW w:w="804" w:type="pct"/>
            <w:tcBorders>
              <w:top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二氧化硫残留量</w:t>
            </w:r>
          </w:p>
          <w:p>
            <w:pPr>
              <w:rPr>
                <w:rFonts w:ascii="宋体" w:hAnsi="宋体" w:eastAsia="宋体" w:cs="宋体"/>
                <w:sz w:val="18"/>
                <w:szCs w:val="18"/>
              </w:rPr>
            </w:pPr>
            <w:r>
              <w:rPr>
                <w:rFonts w:hint="eastAsia" w:ascii="宋体" w:hAnsi="宋体" w:eastAsia="宋体" w:cs="宋体"/>
                <w:sz w:val="18"/>
                <w:szCs w:val="18"/>
              </w:rPr>
              <w:t xml:space="preserve">/mg/kg </w:t>
            </w:r>
          </w:p>
        </w:tc>
        <w:tc>
          <w:tcPr>
            <w:tcW w:w="701" w:type="pc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《中华人民共和国药典》2020版一部</w:t>
            </w:r>
          </w:p>
        </w:tc>
        <w:tc>
          <w:tcPr>
            <w:tcW w:w="645"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≤30</w:t>
            </w:r>
          </w:p>
        </w:tc>
        <w:tc>
          <w:tcPr>
            <w:tcW w:w="599" w:type="pct"/>
            <w:shd w:val="clear" w:color="auto" w:fill="auto"/>
            <w:vAlign w:val="center"/>
          </w:tcPr>
          <w:p>
            <w:pPr>
              <w:jc w:val="center"/>
              <w:rPr>
                <w:rFonts w:ascii="宋体" w:hAnsi="宋体" w:eastAsia="宋体" w:cs="宋体"/>
                <w:color w:val="C00000"/>
                <w:sz w:val="18"/>
                <w:szCs w:val="18"/>
                <w:highlight w:val="yellow"/>
              </w:rPr>
            </w:pPr>
            <w:r>
              <w:rPr>
                <w:rFonts w:hint="eastAsia" w:ascii="宋体" w:hAnsi="宋体" w:eastAsia="宋体" w:cs="宋体"/>
                <w:sz w:val="18"/>
                <w:szCs w:val="18"/>
              </w:rPr>
              <w:t>≤150</w:t>
            </w:r>
          </w:p>
        </w:tc>
        <w:tc>
          <w:tcPr>
            <w:tcW w:w="560" w:type="pct"/>
            <w:shd w:val="clear" w:color="auto" w:fill="auto"/>
            <w:vAlign w:val="center"/>
          </w:tcPr>
          <w:p>
            <w:pPr>
              <w:jc w:val="center"/>
              <w:rPr>
                <w:rFonts w:ascii="宋体" w:hAnsi="宋体" w:eastAsia="宋体" w:cs="宋体"/>
                <w:color w:val="C00000"/>
                <w:sz w:val="18"/>
                <w:szCs w:val="18"/>
                <w:highlight w:val="yellow"/>
              </w:rPr>
            </w:pPr>
            <w:r>
              <w:rPr>
                <w:rFonts w:hint="eastAsia" w:ascii="宋体" w:hAnsi="宋体" w:eastAsia="宋体" w:cs="宋体"/>
                <w:sz w:val="18"/>
                <w:szCs w:val="18"/>
              </w:rPr>
              <w:t>≤400</w:t>
            </w:r>
          </w:p>
        </w:tc>
        <w:tc>
          <w:tcPr>
            <w:tcW w:w="917" w:type="pc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《中华人民共和国药典》2020版一部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8</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白术内酯III/</w:t>
            </w:r>
            <w:r>
              <w:rPr>
                <w:rFonts w:hint="eastAsia" w:ascii="Times New Roman" w:hAnsi="宋体" w:eastAsia="宋体"/>
                <w:sz w:val="18"/>
                <w:szCs w:val="21"/>
              </w:rPr>
              <w:t>%</w:t>
            </w:r>
            <w:r>
              <w:rPr>
                <w:rFonts w:hint="eastAsia" w:ascii="宋体" w:hAnsi="宋体" w:eastAsia="宋体" w:cs="宋体"/>
                <w:sz w:val="18"/>
                <w:szCs w:val="18"/>
              </w:rPr>
              <w:t>（以干燥品计</w:t>
            </w:r>
            <w:r>
              <w:rPr>
                <w:rFonts w:hint="eastAsia" w:ascii="宋体" w:hAnsi="宋体" w:eastAsia="宋体" w:cs="宋体"/>
                <w:color w:val="376092" w:themeColor="accent1" w:themeShade="BF"/>
                <w:sz w:val="18"/>
                <w:szCs w:val="18"/>
              </w:rPr>
              <w:t>）</w:t>
            </w:r>
          </w:p>
        </w:tc>
        <w:tc>
          <w:tcPr>
            <w:tcW w:w="701"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《香港中药材标准》</w:t>
            </w:r>
          </w:p>
        </w:tc>
        <w:tc>
          <w:tcPr>
            <w:tcW w:w="645"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≥0.030</w:t>
            </w:r>
          </w:p>
        </w:tc>
        <w:tc>
          <w:tcPr>
            <w:tcW w:w="599"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≥0.025</w:t>
            </w:r>
          </w:p>
        </w:tc>
        <w:tc>
          <w:tcPr>
            <w:tcW w:w="560"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≥0.019</w:t>
            </w:r>
          </w:p>
        </w:tc>
        <w:tc>
          <w:tcPr>
            <w:tcW w:w="917" w:type="pc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《香港中药材标准》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9</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铅/(mg/kg)</w:t>
            </w:r>
          </w:p>
        </w:tc>
        <w:tc>
          <w:tcPr>
            <w:tcW w:w="701" w:type="pct"/>
            <w:vMerge w:val="restar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《中华人民共和国药典》2020版四部9302</w:t>
            </w:r>
          </w:p>
        </w:tc>
        <w:tc>
          <w:tcPr>
            <w:tcW w:w="645"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599"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≤2.0</w:t>
            </w:r>
          </w:p>
        </w:tc>
        <w:tc>
          <w:tcPr>
            <w:tcW w:w="560"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917" w:type="pct"/>
            <w:vMerge w:val="restar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《中华人民共和国药典》2020版四部9302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10</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汞/(mg/kg)</w:t>
            </w:r>
          </w:p>
        </w:tc>
        <w:tc>
          <w:tcPr>
            <w:tcW w:w="701" w:type="pct"/>
            <w:vMerge w:val="continue"/>
            <w:shd w:val="clear" w:color="auto" w:fill="auto"/>
            <w:vAlign w:val="center"/>
          </w:tcPr>
          <w:p>
            <w:pPr>
              <w:jc w:val="center"/>
              <w:rPr>
                <w:rFonts w:ascii="宋体" w:hAnsi="宋体" w:eastAsia="宋体" w:cs="宋体"/>
                <w:sz w:val="18"/>
                <w:szCs w:val="18"/>
              </w:rPr>
            </w:pPr>
          </w:p>
        </w:tc>
        <w:tc>
          <w:tcPr>
            <w:tcW w:w="645"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≤0.02</w:t>
            </w:r>
          </w:p>
        </w:tc>
        <w:tc>
          <w:tcPr>
            <w:tcW w:w="599"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≤0.1</w:t>
            </w:r>
          </w:p>
        </w:tc>
        <w:tc>
          <w:tcPr>
            <w:tcW w:w="560"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≤0.2</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11</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bottom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砷/(mg/kg)</w:t>
            </w:r>
          </w:p>
        </w:tc>
        <w:tc>
          <w:tcPr>
            <w:tcW w:w="701" w:type="pct"/>
            <w:vMerge w:val="continue"/>
            <w:shd w:val="clear" w:color="auto" w:fill="auto"/>
            <w:vAlign w:val="center"/>
          </w:tcPr>
          <w:p>
            <w:pPr>
              <w:jc w:val="center"/>
              <w:rPr>
                <w:rFonts w:ascii="宋体" w:hAnsi="宋体" w:eastAsia="宋体" w:cs="宋体"/>
                <w:sz w:val="18"/>
                <w:szCs w:val="18"/>
              </w:rPr>
            </w:pPr>
          </w:p>
        </w:tc>
        <w:tc>
          <w:tcPr>
            <w:tcW w:w="645"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≤0.5</w:t>
            </w:r>
          </w:p>
        </w:tc>
        <w:tc>
          <w:tcPr>
            <w:tcW w:w="599"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560"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12</w:t>
            </w:r>
          </w:p>
        </w:tc>
        <w:tc>
          <w:tcPr>
            <w:tcW w:w="306" w:type="pct"/>
            <w:vMerge w:val="continue"/>
            <w:shd w:val="clear" w:color="auto" w:fill="auto"/>
            <w:vAlign w:val="center"/>
          </w:tcPr>
          <w:p>
            <w:pPr>
              <w:rPr>
                <w:rFonts w:ascii="宋体" w:hAnsi="宋体" w:eastAsia="宋体" w:cs="宋体"/>
                <w:sz w:val="18"/>
                <w:szCs w:val="18"/>
              </w:rPr>
            </w:pPr>
          </w:p>
        </w:tc>
        <w:tc>
          <w:tcPr>
            <w:tcW w:w="804" w:type="pct"/>
            <w:tcBorders>
              <w:top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镉/(mg/kg)</w:t>
            </w:r>
          </w:p>
        </w:tc>
        <w:tc>
          <w:tcPr>
            <w:tcW w:w="701" w:type="pct"/>
            <w:vMerge w:val="continue"/>
            <w:shd w:val="clear" w:color="auto" w:fill="auto"/>
            <w:vAlign w:val="center"/>
          </w:tcPr>
          <w:p>
            <w:pPr>
              <w:jc w:val="center"/>
              <w:rPr>
                <w:rFonts w:ascii="宋体" w:hAnsi="宋体" w:eastAsia="宋体" w:cs="宋体"/>
                <w:sz w:val="18"/>
                <w:szCs w:val="18"/>
              </w:rPr>
            </w:pPr>
          </w:p>
        </w:tc>
        <w:tc>
          <w:tcPr>
            <w:tcW w:w="645"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≤0.3</w:t>
            </w:r>
          </w:p>
        </w:tc>
        <w:tc>
          <w:tcPr>
            <w:tcW w:w="599"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≤0.6</w:t>
            </w:r>
          </w:p>
        </w:tc>
        <w:tc>
          <w:tcPr>
            <w:tcW w:w="560"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4" w:hRule="atLeast"/>
          <w:jc w:val="center"/>
        </w:trPr>
        <w:tc>
          <w:tcPr>
            <w:tcW w:w="463" w:type="pct"/>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13</w:t>
            </w:r>
          </w:p>
        </w:tc>
        <w:tc>
          <w:tcPr>
            <w:tcW w:w="306" w:type="pct"/>
            <w:vMerge w:val="restart"/>
            <w:tcBorders>
              <w:top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创新指标</w:t>
            </w:r>
          </w:p>
        </w:tc>
        <w:tc>
          <w:tcPr>
            <w:tcW w:w="804"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酸不溶性灰分/</w:t>
            </w:r>
            <w:r>
              <w:rPr>
                <w:rFonts w:hint="eastAsia" w:ascii="Times New Roman" w:hAnsi="宋体" w:eastAsia="宋体"/>
                <w:sz w:val="18"/>
                <w:szCs w:val="21"/>
              </w:rPr>
              <w:t>%</w:t>
            </w:r>
          </w:p>
        </w:tc>
        <w:tc>
          <w:tcPr>
            <w:tcW w:w="701" w:type="pct"/>
            <w:vMerge w:val="restart"/>
            <w:shd w:val="clear" w:color="auto" w:fill="auto"/>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欧洲药典</w:t>
            </w:r>
          </w:p>
        </w:tc>
        <w:tc>
          <w:tcPr>
            <w:tcW w:w="1806" w:type="pct"/>
            <w:gridSpan w:val="3"/>
            <w:shd w:val="clear" w:color="auto" w:fill="auto"/>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1.0</w:t>
            </w:r>
          </w:p>
        </w:tc>
        <w:tc>
          <w:tcPr>
            <w:tcW w:w="917" w:type="pct"/>
            <w:vMerge w:val="restart"/>
            <w:shd w:val="clear" w:color="auto" w:fill="auto"/>
            <w:vAlign w:val="center"/>
          </w:tcPr>
          <w:p>
            <w:pPr>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欧洲药典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14</w:t>
            </w:r>
          </w:p>
        </w:tc>
        <w:tc>
          <w:tcPr>
            <w:tcW w:w="306" w:type="pct"/>
            <w:vMerge w:val="continue"/>
            <w:shd w:val="clear" w:color="auto" w:fill="auto"/>
            <w:vAlign w:val="center"/>
          </w:tcPr>
          <w:p>
            <w:pPr>
              <w:rPr>
                <w:rFonts w:ascii="宋体" w:hAnsi="宋体" w:eastAsia="宋体" w:cs="宋体"/>
                <w:sz w:val="18"/>
                <w:szCs w:val="18"/>
              </w:rPr>
            </w:pPr>
          </w:p>
        </w:tc>
        <w:tc>
          <w:tcPr>
            <w:tcW w:w="804"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挥发油/</w:t>
            </w:r>
            <w:r>
              <w:rPr>
                <w:rFonts w:hint="eastAsia" w:ascii="Times New Roman" w:hAnsi="宋体" w:eastAsia="宋体"/>
                <w:sz w:val="18"/>
                <w:szCs w:val="21"/>
              </w:rPr>
              <w:t>%</w:t>
            </w:r>
          </w:p>
        </w:tc>
        <w:tc>
          <w:tcPr>
            <w:tcW w:w="701" w:type="pct"/>
            <w:vMerge w:val="continue"/>
            <w:shd w:val="clear" w:color="auto" w:fill="auto"/>
            <w:vAlign w:val="center"/>
          </w:tcPr>
          <w:p>
            <w:pPr>
              <w:jc w:val="center"/>
              <w:rPr>
                <w:rFonts w:hint="default" w:ascii="宋体" w:hAnsi="宋体" w:eastAsia="宋体" w:cs="宋体"/>
                <w:sz w:val="18"/>
                <w:szCs w:val="18"/>
                <w:lang w:val="en-US" w:eastAsia="zh-CN"/>
              </w:rPr>
            </w:pPr>
          </w:p>
        </w:tc>
        <w:tc>
          <w:tcPr>
            <w:tcW w:w="1806" w:type="pct"/>
            <w:gridSpan w:val="3"/>
            <w:shd w:val="clear" w:color="auto" w:fill="auto"/>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0.9</w:t>
            </w:r>
          </w:p>
        </w:tc>
        <w:tc>
          <w:tcPr>
            <w:tcW w:w="917" w:type="pct"/>
            <w:vMerge w:val="continue"/>
            <w:shd w:val="clear" w:color="auto" w:fill="auto"/>
            <w:vAlign w:val="center"/>
          </w:tcPr>
          <w:p>
            <w:pPr>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p>
        </w:tc>
        <w:tc>
          <w:tcPr>
            <w:tcW w:w="306" w:type="pct"/>
            <w:vMerge w:val="continue"/>
            <w:shd w:val="clear" w:color="auto" w:fill="auto"/>
            <w:vAlign w:val="center"/>
          </w:tcPr>
          <w:p>
            <w:pPr>
              <w:rPr>
                <w:rFonts w:ascii="宋体" w:hAnsi="宋体" w:eastAsia="宋体" w:cs="宋体"/>
                <w:sz w:val="18"/>
                <w:szCs w:val="18"/>
              </w:rPr>
            </w:pPr>
          </w:p>
        </w:tc>
        <w:tc>
          <w:tcPr>
            <w:tcW w:w="804"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水溶性浸出物/%</w:t>
            </w:r>
          </w:p>
        </w:tc>
        <w:tc>
          <w:tcPr>
            <w:tcW w:w="701"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《香港中药材标准》</w:t>
            </w:r>
          </w:p>
        </w:tc>
        <w:tc>
          <w:tcPr>
            <w:tcW w:w="1806" w:type="pct"/>
            <w:gridSpan w:val="3"/>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≥60.0</w:t>
            </w:r>
          </w:p>
        </w:tc>
        <w:tc>
          <w:tcPr>
            <w:tcW w:w="917" w:type="pc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《香港中药材标准》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306" w:type="pct"/>
            <w:vMerge w:val="continue"/>
            <w:shd w:val="clear" w:color="auto" w:fill="auto"/>
            <w:vAlign w:val="center"/>
          </w:tcPr>
          <w:p>
            <w:pPr>
              <w:rPr>
                <w:rFonts w:ascii="宋体" w:hAnsi="宋体" w:eastAsia="宋体" w:cs="宋体"/>
                <w:sz w:val="18"/>
                <w:szCs w:val="18"/>
              </w:rPr>
            </w:pPr>
          </w:p>
        </w:tc>
        <w:tc>
          <w:tcPr>
            <w:tcW w:w="804" w:type="pct"/>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铜/(mg/kg)</w:t>
            </w:r>
          </w:p>
        </w:tc>
        <w:tc>
          <w:tcPr>
            <w:tcW w:w="701" w:type="pc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《中华人民共和国药典》2020版四部9302</w:t>
            </w:r>
          </w:p>
        </w:tc>
        <w:tc>
          <w:tcPr>
            <w:tcW w:w="1806" w:type="pct"/>
            <w:gridSpan w:val="3"/>
            <w:shd w:val="clear" w:color="auto" w:fill="auto"/>
            <w:vAlign w:val="center"/>
          </w:tcPr>
          <w:p>
            <w:pPr>
              <w:jc w:val="center"/>
              <w:rPr>
                <w:rFonts w:ascii="宋体" w:hAnsi="宋体" w:eastAsia="宋体" w:cs="宋体"/>
                <w:sz w:val="18"/>
                <w:szCs w:val="18"/>
                <w:highlight w:val="yellow"/>
              </w:rPr>
            </w:pPr>
            <w:r>
              <w:rPr>
                <w:rFonts w:hint="eastAsia" w:ascii="宋体" w:hAnsi="宋体" w:eastAsia="宋体" w:cs="宋体"/>
                <w:sz w:val="18"/>
                <w:szCs w:val="18"/>
              </w:rPr>
              <w:t>≤20</w:t>
            </w:r>
          </w:p>
        </w:tc>
        <w:tc>
          <w:tcPr>
            <w:tcW w:w="917" w:type="pct"/>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《中华人民共和国药典》2020版四部9302</w:t>
            </w:r>
          </w:p>
        </w:tc>
      </w:tr>
    </w:tbl>
    <w:p>
      <w:pPr>
        <w:spacing w:before="156" w:beforeLines="50" w:after="156" w:afterLines="50"/>
        <w:jc w:val="center"/>
        <w:rPr>
          <w:rFonts w:ascii="黑体" w:hAnsi="黑体" w:eastAsia="黑体" w:cs="黑体"/>
          <w:szCs w:val="21"/>
        </w:rPr>
      </w:pPr>
    </w:p>
    <w:p>
      <w:pPr>
        <w:pStyle w:val="84"/>
        <w:spacing w:before="312" w:after="312"/>
        <w:rPr>
          <w:szCs w:val="21"/>
        </w:rPr>
      </w:pPr>
      <w:r>
        <w:rPr>
          <w:rFonts w:hint="eastAsia"/>
          <w:szCs w:val="21"/>
        </w:rPr>
        <w:t>评价方法及等级划分</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对具体产品企业标准的全部指标进行综合评价，评价结果划分为先进水平（5星级）、平均水平（4星级）和基准水平（3星级），划分依据见表</w:t>
      </w:r>
      <w:r>
        <w:rPr>
          <w:rFonts w:hint="eastAsia" w:ascii="宋体" w:hAnsi="宋体" w:eastAsia="宋体" w:cs="宋体"/>
          <w:lang w:val="en-US" w:eastAsia="zh-CN"/>
        </w:rPr>
        <w:t>2</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w:t>
      </w:r>
      <w:r>
        <w:rPr>
          <w:rFonts w:hint="eastAsia" w:ascii="宋体" w:hAnsi="宋体" w:eastAsia="宋体" w:cs="宋体"/>
          <w:lang w:val="en-US" w:eastAsia="zh-CN"/>
        </w:rPr>
        <w:t>2</w:t>
      </w:r>
      <w:r>
        <w:rPr>
          <w:rFonts w:hint="eastAsia" w:ascii="宋体" w:hAnsi="宋体" w:eastAsia="宋体" w:cs="宋体"/>
        </w:rPr>
        <w:t>中</w:t>
      </w:r>
      <w:r>
        <w:rPr>
          <w:rFonts w:hint="eastAsia" w:ascii="宋体" w:hAnsi="宋体" w:eastAsia="宋体" w:cs="宋体"/>
          <w:lang w:val="en-US" w:eastAsia="zh-CN"/>
        </w:rPr>
        <w:t>先进水平</w:t>
      </w:r>
      <w:r>
        <w:rPr>
          <w:rFonts w:hint="eastAsia" w:ascii="宋体" w:hAnsi="宋体" w:eastAsia="宋体" w:cs="宋体"/>
        </w:rPr>
        <w:t>的</w:t>
      </w:r>
      <w:r>
        <w:rPr>
          <w:rFonts w:hint="eastAsia" w:ascii="宋体" w:hAnsi="宋体" w:eastAsia="宋体" w:cs="宋体"/>
          <w:lang w:val="en-US" w:eastAsia="zh-CN"/>
        </w:rPr>
        <w:t>企业标准为先进水平（5星级），企业标准进入所对应具体产品的企业标准“领跑者”入围名单。符合表2中先进水平</w:t>
      </w:r>
      <w:r>
        <w:rPr>
          <w:rFonts w:hint="eastAsia" w:ascii="宋体" w:hAnsi="宋体" w:eastAsia="宋体"/>
          <w:sz w:val="21"/>
          <w:szCs w:val="24"/>
        </w:rPr>
        <w:t>标准等级要求的产品为5 星级产品，即“领跑者”产品</w:t>
      </w:r>
      <w:r>
        <w:rPr>
          <w:rFonts w:hint="eastAsia" w:ascii="宋体" w:hAnsi="宋体" w:eastAsia="宋体"/>
          <w:sz w:val="21"/>
          <w:szCs w:val="24"/>
          <w:lang w:eastAsia="zh-CN"/>
        </w:rPr>
        <w:t>。</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1中4.4图4-1自我声明“领跑者”标识，认证标识可使用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1中4.5图5-1“领跑者”认证标识</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w:t>
      </w:r>
      <w:r>
        <w:rPr>
          <w:rFonts w:hint="eastAsia" w:ascii="宋体" w:hAnsi="宋体" w:eastAsia="宋体" w:cs="宋体"/>
          <w:lang w:val="en-US" w:eastAsia="zh-CN"/>
        </w:rPr>
        <w:t>2</w:t>
      </w:r>
      <w:r>
        <w:rPr>
          <w:rFonts w:hint="eastAsia" w:ascii="宋体" w:hAnsi="宋体" w:eastAsia="宋体" w:cs="宋体"/>
        </w:rPr>
        <w:t>中</w:t>
      </w:r>
      <w:r>
        <w:rPr>
          <w:rFonts w:hint="eastAsia" w:ascii="宋体" w:hAnsi="宋体" w:eastAsia="宋体" w:cs="宋体"/>
          <w:lang w:val="en-US" w:eastAsia="zh-CN"/>
        </w:rPr>
        <w:t>平均</w:t>
      </w:r>
      <w:r>
        <w:rPr>
          <w:rFonts w:hint="eastAsia" w:ascii="宋体" w:hAnsi="宋体" w:eastAsia="宋体" w:cs="宋体"/>
        </w:rPr>
        <w:t>水平</w:t>
      </w:r>
      <w:r>
        <w:rPr>
          <w:rFonts w:hint="eastAsia" w:ascii="宋体" w:hAnsi="宋体" w:eastAsia="宋体" w:cs="宋体"/>
          <w:lang w:val="en-US" w:eastAsia="zh-CN"/>
        </w:rPr>
        <w:t>要求的企业标准为平均水平（4星级），符合表2中平均水平</w:t>
      </w:r>
      <w:r>
        <w:rPr>
          <w:rFonts w:hint="eastAsia" w:ascii="宋体" w:hAnsi="宋体" w:eastAsia="宋体"/>
          <w:sz w:val="21"/>
          <w:szCs w:val="24"/>
        </w:rPr>
        <w:t>标准等级要求的产品为4 星级产品，即“优质”产品。</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1中4.4图4-2自我声明“优质”标识，认证标识可使用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1中4.5图5-2“优质”认证标识</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ascii="宋体" w:hAnsi="宋体" w:eastAsia="宋体" w:cs="宋体"/>
          <w:kern w:val="0"/>
          <w:szCs w:val="20"/>
        </w:rPr>
      </w:pPr>
      <w:r>
        <w:rPr>
          <w:rFonts w:hint="eastAsia" w:ascii="宋体" w:hAnsi="宋体" w:eastAsia="宋体" w:cs="宋体"/>
        </w:rPr>
        <w:t>综合评价满足表2中</w:t>
      </w:r>
      <w:r>
        <w:rPr>
          <w:rFonts w:hint="eastAsia" w:ascii="宋体" w:hAnsi="宋体" w:eastAsia="宋体" w:cs="宋体"/>
          <w:lang w:val="en-US" w:eastAsia="zh-CN"/>
        </w:rPr>
        <w:t>基准</w:t>
      </w:r>
      <w:r>
        <w:rPr>
          <w:rFonts w:hint="eastAsia" w:ascii="宋体" w:hAnsi="宋体" w:eastAsia="宋体" w:cs="宋体"/>
        </w:rPr>
        <w:t>水平</w:t>
      </w:r>
      <w:r>
        <w:rPr>
          <w:rFonts w:hint="eastAsia" w:ascii="宋体" w:hAnsi="宋体" w:eastAsia="宋体" w:cs="宋体"/>
          <w:lang w:val="en-US" w:eastAsia="zh-CN"/>
        </w:rPr>
        <w:t>要求</w:t>
      </w:r>
      <w:r>
        <w:rPr>
          <w:rFonts w:hint="eastAsia" w:ascii="宋体" w:hAnsi="宋体" w:eastAsia="宋体" w:cs="宋体"/>
        </w:rPr>
        <w:t>的</w:t>
      </w:r>
      <w:r>
        <w:rPr>
          <w:rFonts w:hint="eastAsia" w:ascii="宋体" w:hAnsi="宋体" w:eastAsia="宋体" w:cs="宋体"/>
          <w:lang w:val="en-US" w:eastAsia="zh-CN"/>
        </w:rPr>
        <w:t>企业标准为基准水平（3星级），符合表2中基准水平</w:t>
      </w:r>
      <w:r>
        <w:rPr>
          <w:rFonts w:hint="eastAsia" w:ascii="宋体" w:hAnsi="宋体" w:eastAsia="宋体"/>
          <w:sz w:val="21"/>
          <w:szCs w:val="24"/>
        </w:rPr>
        <w:t>标准等级要求的产品为3 星级产品，即“达标”产品。</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1中4.4图4-3自我声明“达标”标识，认证标识可使用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1中4.5图5-3“达标”认证标识</w:t>
      </w:r>
      <w:r>
        <w:rPr>
          <w:rFonts w:hint="eastAsia" w:ascii="宋体" w:hAnsi="宋体" w:eastAsia="宋体" w:cs="宋体"/>
        </w:rPr>
        <w:t>。</w:t>
      </w:r>
    </w:p>
    <w:p>
      <w:pPr>
        <w:pStyle w:val="4"/>
        <w:numPr>
          <w:ilvl w:val="0"/>
          <w:numId w:val="2"/>
        </w:numPr>
        <w:spacing w:before="156" w:beforeLines="50" w:line="240" w:lineRule="exact"/>
        <w:ind w:firstLineChars="0"/>
        <w:jc w:val="center"/>
        <w:rPr>
          <w:rFonts w:ascii="黑体" w:eastAsia="黑体"/>
        </w:rPr>
      </w:pPr>
      <w:r>
        <w:rPr>
          <w:rFonts w:hint="eastAsia" w:ascii="黑体" w:eastAsia="黑体"/>
        </w:rPr>
        <w:t>表2 指标评价要求及等级划分</w:t>
      </w:r>
    </w:p>
    <w:tbl>
      <w:tblPr>
        <w:tblStyle w:val="24"/>
        <w:tblpPr w:leftFromText="180" w:rightFromText="180" w:vertAnchor="text" w:horzAnchor="page" w:tblpX="1146" w:tblpY="295"/>
        <w:tblOverlap w:val="never"/>
        <w:tblW w:w="983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20"/>
        <w:gridCol w:w="1403"/>
        <w:gridCol w:w="3686"/>
        <w:gridCol w:w="234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76" w:type="dxa"/>
            <w:tcBorders>
              <w:bottom w:val="single" w:color="auto" w:sz="8" w:space="0"/>
            </w:tcBorders>
            <w:shd w:val="clear" w:color="auto" w:fill="auto"/>
            <w:vAlign w:val="center"/>
          </w:tcPr>
          <w:p>
            <w:pPr>
              <w:pStyle w:val="4"/>
              <w:ind w:firstLine="0" w:firstLineChars="0"/>
              <w:jc w:val="center"/>
              <w:rPr>
                <w:rFonts w:ascii="黑体" w:hAnsi="黑体" w:eastAsia="黑体" w:cs="黑体"/>
                <w:sz w:val="18"/>
                <w:szCs w:val="18"/>
              </w:rPr>
            </w:pPr>
            <w:bookmarkStart w:id="82" w:name="_Hlk35975549"/>
            <w:r>
              <w:rPr>
                <w:rFonts w:hint="eastAsia" w:ascii="黑体" w:hAnsi="黑体" w:eastAsia="黑体" w:cs="黑体"/>
                <w:sz w:val="18"/>
                <w:szCs w:val="18"/>
              </w:rPr>
              <w:t>标准等级</w:t>
            </w:r>
          </w:p>
        </w:tc>
        <w:tc>
          <w:tcPr>
            <w:tcW w:w="8558" w:type="dxa"/>
            <w:gridSpan w:val="4"/>
            <w:tcBorders>
              <w:bottom w:val="single" w:color="auto" w:sz="8" w:space="0"/>
            </w:tcBorders>
            <w:shd w:val="clear" w:color="auto" w:fill="auto"/>
            <w:vAlign w:val="center"/>
          </w:tcPr>
          <w:p>
            <w:pPr>
              <w:spacing w:line="360" w:lineRule="auto"/>
              <w:jc w:val="center"/>
              <w:rPr>
                <w:rFonts w:ascii="黑体" w:hAnsi="黑体" w:eastAsia="黑体" w:cs="黑体"/>
                <w:sz w:val="18"/>
                <w:szCs w:val="18"/>
              </w:rPr>
            </w:pPr>
            <w:r>
              <w:rPr>
                <w:rFonts w:hint="eastAsia" w:ascii="黑体" w:hAnsi="黑体" w:eastAsia="黑体" w:cs="黑体"/>
                <w:sz w:val="18"/>
                <w:szCs w:val="18"/>
              </w:rPr>
              <w:t>满足条件</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567" w:hRule="atLeast"/>
        </w:trPr>
        <w:tc>
          <w:tcPr>
            <w:tcW w:w="1276" w:type="dxa"/>
            <w:tcBorders>
              <w:top w:val="single" w:color="auto" w:sz="8"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lang w:val="en-US" w:eastAsia="zh-CN"/>
              </w:rPr>
              <w:t>先进</w:t>
            </w:r>
            <w:r>
              <w:rPr>
                <w:rFonts w:hint="eastAsia" w:hAnsi="宋体" w:eastAsia="宋体" w:cs="宋体"/>
                <w:sz w:val="18"/>
                <w:szCs w:val="18"/>
              </w:rPr>
              <w:t>水平</w:t>
            </w:r>
          </w:p>
        </w:tc>
        <w:tc>
          <w:tcPr>
            <w:tcW w:w="1120"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基本要求</w:t>
            </w:r>
          </w:p>
        </w:tc>
        <w:tc>
          <w:tcPr>
            <w:tcW w:w="1403"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基础指标要求</w:t>
            </w:r>
          </w:p>
        </w:tc>
        <w:tc>
          <w:tcPr>
            <w:tcW w:w="3686" w:type="dxa"/>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w:t>
            </w:r>
            <w:r>
              <w:rPr>
                <w:rFonts w:hint="eastAsia" w:ascii="宋体" w:hAnsi="宋体" w:eastAsia="宋体" w:cs="宋体"/>
                <w:sz w:val="18"/>
                <w:szCs w:val="18"/>
                <w:lang w:val="en-US" w:eastAsia="zh-CN"/>
              </w:rPr>
              <w:t>先进</w:t>
            </w:r>
            <w:r>
              <w:rPr>
                <w:rFonts w:hint="eastAsia" w:ascii="宋体" w:hAnsi="宋体" w:eastAsia="宋体" w:cs="宋体"/>
                <w:sz w:val="18"/>
                <w:szCs w:val="18"/>
              </w:rPr>
              <w:t>水平（5星级）要求</w:t>
            </w:r>
          </w:p>
        </w:tc>
        <w:tc>
          <w:tcPr>
            <w:tcW w:w="2349" w:type="dxa"/>
            <w:tcBorders>
              <w:top w:val="single" w:color="auto" w:sz="8"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创新指标要求至少达到2项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bottom w:val="single" w:color="000000" w:sz="4"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lang w:val="en-US" w:eastAsia="zh-CN"/>
              </w:rPr>
              <w:t>平均</w:t>
            </w:r>
            <w:r>
              <w:rPr>
                <w:rFonts w:hint="eastAsia" w:hAnsi="宋体" w:eastAsia="宋体" w:cs="宋体"/>
                <w:sz w:val="18"/>
                <w:szCs w:val="18"/>
              </w:rPr>
              <w:t>水平</w:t>
            </w:r>
          </w:p>
        </w:tc>
        <w:tc>
          <w:tcPr>
            <w:tcW w:w="1120" w:type="dxa"/>
            <w:vMerge w:val="continue"/>
            <w:shd w:val="clear" w:color="auto" w:fill="auto"/>
            <w:vAlign w:val="center"/>
          </w:tcPr>
          <w:p>
            <w:pPr>
              <w:adjustRightInd w:val="0"/>
              <w:snapToGrid w:val="0"/>
              <w:jc w:val="center"/>
              <w:rPr>
                <w:rFonts w:ascii="宋体" w:hAnsi="宋体" w:eastAsia="宋体" w:cs="宋体"/>
                <w:sz w:val="18"/>
                <w:szCs w:val="18"/>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rPr>
            </w:pPr>
          </w:p>
        </w:tc>
        <w:tc>
          <w:tcPr>
            <w:tcW w:w="3686" w:type="dxa"/>
            <w:tcBorders>
              <w:bottom w:val="single" w:color="000000" w:sz="4"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w:t>
            </w:r>
            <w:r>
              <w:rPr>
                <w:rFonts w:hint="eastAsia" w:ascii="宋体" w:hAnsi="宋体" w:eastAsia="宋体" w:cs="宋体"/>
                <w:sz w:val="18"/>
                <w:szCs w:val="18"/>
                <w:lang w:val="en-US" w:eastAsia="zh-CN"/>
              </w:rPr>
              <w:t>平均</w:t>
            </w:r>
            <w:r>
              <w:rPr>
                <w:rFonts w:hint="eastAsia" w:ascii="宋体" w:hAnsi="宋体" w:eastAsia="宋体" w:cs="宋体"/>
                <w:sz w:val="18"/>
                <w:szCs w:val="18"/>
              </w:rPr>
              <w:t>水平（4星级）要求</w:t>
            </w:r>
          </w:p>
        </w:tc>
        <w:tc>
          <w:tcPr>
            <w:tcW w:w="2349" w:type="dxa"/>
            <w:tcBorders>
              <w:bottom w:val="single" w:color="000000" w:sz="4"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创新指标要求至少达到1项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lang w:val="en-US" w:eastAsia="zh-CN"/>
              </w:rPr>
              <w:t>基准</w:t>
            </w:r>
            <w:bookmarkStart w:id="83" w:name="_GoBack"/>
            <w:bookmarkEnd w:id="83"/>
            <w:r>
              <w:rPr>
                <w:rFonts w:hint="eastAsia" w:hAnsi="宋体" w:eastAsia="宋体" w:cs="宋体"/>
                <w:sz w:val="18"/>
                <w:szCs w:val="18"/>
              </w:rPr>
              <w:t>水平</w:t>
            </w:r>
          </w:p>
        </w:tc>
        <w:tc>
          <w:tcPr>
            <w:tcW w:w="1120" w:type="dxa"/>
            <w:vMerge w:val="continue"/>
            <w:shd w:val="clear" w:color="auto" w:fill="auto"/>
            <w:vAlign w:val="center"/>
          </w:tcPr>
          <w:p>
            <w:pPr>
              <w:adjustRightInd w:val="0"/>
              <w:snapToGrid w:val="0"/>
              <w:jc w:val="center"/>
              <w:rPr>
                <w:rFonts w:ascii="宋体" w:hAnsi="宋体" w:eastAsia="宋体" w:cs="宋体"/>
                <w:sz w:val="18"/>
                <w:szCs w:val="18"/>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rPr>
            </w:pPr>
          </w:p>
        </w:tc>
        <w:tc>
          <w:tcPr>
            <w:tcW w:w="3686" w:type="dxa"/>
            <w:tcBorders>
              <w:top w:val="single" w:color="000000" w:sz="4" w:space="0"/>
            </w:tcBorders>
            <w:shd w:val="clear" w:color="auto" w:fill="auto"/>
            <w:vAlign w:val="center"/>
          </w:tcPr>
          <w:p>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w:t>
            </w:r>
            <w:r>
              <w:rPr>
                <w:rFonts w:hint="eastAsia" w:ascii="宋体" w:hAnsi="宋体" w:eastAsia="宋体" w:cs="宋体"/>
                <w:sz w:val="18"/>
                <w:szCs w:val="18"/>
                <w:lang w:val="en-US" w:eastAsia="zh-CN"/>
              </w:rPr>
              <w:t>基准</w:t>
            </w:r>
            <w:r>
              <w:rPr>
                <w:rFonts w:hint="eastAsia" w:ascii="宋体" w:hAnsi="宋体" w:eastAsia="宋体" w:cs="宋体"/>
                <w:sz w:val="18"/>
                <w:szCs w:val="18"/>
              </w:rPr>
              <w:t>水平（3星级）要求</w:t>
            </w:r>
          </w:p>
        </w:tc>
        <w:tc>
          <w:tcPr>
            <w:tcW w:w="2349"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rPr>
            </w:pPr>
            <w:r>
              <w:rPr>
                <w:rFonts w:hint="eastAsia" w:hAnsi="宋体" w:eastAsia="宋体" w:cs="宋体"/>
                <w:sz w:val="18"/>
                <w:szCs w:val="18"/>
              </w:rPr>
              <w:t>—</w:t>
            </w:r>
          </w:p>
        </w:tc>
      </w:tr>
      <w:bookmarkEnd w:id="82"/>
    </w:tbl>
    <w:p>
      <w:pPr>
        <w:pStyle w:val="4"/>
        <w:spacing w:before="156" w:beforeLines="50" w:after="156" w:afterLines="50"/>
        <w:ind w:firstLine="0" w:firstLineChars="0"/>
        <w:rPr>
          <w:rFonts w:ascii="黑体" w:eastAsia="黑体"/>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1931670</wp:posOffset>
                </wp:positionV>
                <wp:extent cx="2272665" cy="0"/>
                <wp:effectExtent l="5080" t="5080" r="8255" b="1397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62.5pt;margin-top:152.1pt;height:0pt;width:178.95pt;z-index:251661312;mso-width-relative:page;mso-height-relative:page;" filled="f" stroked="t" coordsize="21600,21600" o:gfxdata="UEsDBAoAAAAAAIdO4kAAAAAAAAAAAAAAAAAEAAAAZHJzL1BLAwQUAAAACACHTuJARGkmctgAAAAL&#10;AQAADwAAAGRycy9kb3ducmV2LnhtbE2PQU/DMAyF70j8h8hIXBBLGti0dU0nhMSBI9skrlnjtYXG&#10;qZp0Hfv1GAkJbrbf0/P3is3Zd+KEQ2wDGchmCgRSFVxLtYH97uV+CSImS852gdDAF0bYlNdXhc1d&#10;mOgNT9tUCw6hmFsDTUp9LmWsGvQ2zkKPxNoxDN4mXodausFOHO47qZVaSG9b4g+N7fG5wepzO3oD&#10;GMd5pp5Wvt6/Xqa7d335mPqdMbc3mVqDSHhOf2b4wWd0KJnpEEZyUXQGHvScuyQe1KMGwY7FUq9A&#10;HH4vsizk/w7lN1BLAwQUAAAACACHTuJAEM42idYBAACzAwAADgAAAGRycy9lMm9Eb2MueG1srVNN&#10;b9swDL0P2H8QdF+cGEjWGXGKIUF36bYA7X6AIsu2MFkUSCVO/v0o5aNdd+lhPgiWSb7H90gv74+D&#10;EweDZMHXcjaZSmG8hsb6rpa/nh8+3UlBUflGOfCmlidD8n718cNyDJUpoQfXGBQM4qkaQy37GENV&#10;FKR7MyiaQDCegy3goCJfsSsaVCOjD64op9NFMQI2AUEbIv66OQflBRHfAwhta7XZgN4PxsczKhqn&#10;Ikui3gaSq9xt2xodf7YtmShcLVlpzCeT8PsuncVqqaoOVeitvrSg3tPCG02Dsp5Jb1AbFZXYo/0H&#10;arAagaCNEw1DcRaSHWEVs+kbb556FUzWwlZTuJlO/w9W/zhsUdiGN0EKrwYe+Nd9hMwsZnfJnzFQ&#10;xWlrv8WkUB/9U3gE/ZuEh3WvfGdy9vMpcPEsVRR/laQLBWbZjd+h4RzFBNmsY4tDgmQbxDHP5HSb&#10;iTlGofljWX4uF4u5FPoaK1R1LQxI8ZuBQaSXWlJEZbs+rsF7njzgLNOowyPF1JaqrgWJ1cODdS4v&#10;gPNirOWXeTnPBQTONimY0gi73dqhOKi0QvnJGjnyOg1h75szifMXC5Lqs387aE5bvFrDs8zdXPYu&#10;Lcvre65++d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aSZy2AAAAAsBAAAPAAAAAAAAAAEA&#10;IAAAACIAAABkcnMvZG93bnJldi54bWxQSwECFAAUAAAACACHTuJAEM42idYBAACzAwAADgAAAAAA&#10;AAABACAAAAAnAQAAZHJzL2Uyb0RvYy54bWxQSwUGAAAAAAYABgBZAQAAbwUAAAAA&#10;">
                <v:fill on="f" focussize="0,0"/>
                <v:stroke color="#000000" joinstyle="round"/>
                <v:imagedata o:title=""/>
                <o:lock v:ext="edit" aspectratio="f"/>
              </v:shape>
            </w:pict>
          </mc:Fallback>
        </mc:AlternateContent>
      </w:r>
      <w:bookmarkEnd w:id="71"/>
      <w:bookmarkEnd w:id="72"/>
      <w:bookmarkEnd w:id="73"/>
      <w:bookmarkEnd w:id="74"/>
      <w:bookmarkEnd w:id="75"/>
      <w:bookmarkEnd w:id="76"/>
      <w:bookmarkEnd w:id="78"/>
      <w:bookmarkEnd w:id="79"/>
      <w:bookmarkEnd w:id="80"/>
    </w:p>
    <w:sectPr>
      <w:footerReference r:id="rId5" w:type="default"/>
      <w:pgSz w:w="11906" w:h="16838"/>
      <w:pgMar w:top="1134" w:right="1134" w:bottom="1134" w:left="1134" w:header="907" w:footer="85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Times New Roman" w:hAnsi="Times New Roman" w:cs="Times New Roman"/>
      </w:rPr>
    </w:pPr>
    <w:r>
      <w:rPr>
        <w:rFonts w:ascii="Times New Roman" w:hAnsi="Times New Roman" w:cs="Times New Roman"/>
      </w:rP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3"/>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4"/>
      <w:suff w:val="nothing"/>
      <w:lvlText w:val="%1%2　"/>
      <w:lvlJc w:val="left"/>
      <w:pPr>
        <w:ind w:left="0" w:firstLine="0"/>
      </w:pPr>
      <w:rPr>
        <w:rFonts w:hint="eastAsia" w:ascii="黑体" w:hAnsi="Times New Roman"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YWQ3NGMwZTIzMjRjYmEwY2VlYWRhNDlhZGNlMjMifQ=="/>
  </w:docVars>
  <w:rsids>
    <w:rsidRoot w:val="008803BF"/>
    <w:rsid w:val="000035D8"/>
    <w:rsid w:val="000300A6"/>
    <w:rsid w:val="000D746D"/>
    <w:rsid w:val="000E7A24"/>
    <w:rsid w:val="0010549C"/>
    <w:rsid w:val="00113B38"/>
    <w:rsid w:val="001F17FA"/>
    <w:rsid w:val="001F1A83"/>
    <w:rsid w:val="00291BD6"/>
    <w:rsid w:val="00294203"/>
    <w:rsid w:val="002A43B9"/>
    <w:rsid w:val="0036091F"/>
    <w:rsid w:val="00381190"/>
    <w:rsid w:val="00383BFC"/>
    <w:rsid w:val="003F477A"/>
    <w:rsid w:val="00432B0E"/>
    <w:rsid w:val="00456864"/>
    <w:rsid w:val="004C70C8"/>
    <w:rsid w:val="004D5A24"/>
    <w:rsid w:val="00510E7A"/>
    <w:rsid w:val="00514D22"/>
    <w:rsid w:val="00574B55"/>
    <w:rsid w:val="00575322"/>
    <w:rsid w:val="005E5918"/>
    <w:rsid w:val="00674783"/>
    <w:rsid w:val="00743E65"/>
    <w:rsid w:val="0074782D"/>
    <w:rsid w:val="00764771"/>
    <w:rsid w:val="007E26A9"/>
    <w:rsid w:val="008318ED"/>
    <w:rsid w:val="008803BF"/>
    <w:rsid w:val="009705AB"/>
    <w:rsid w:val="00987042"/>
    <w:rsid w:val="00A137E4"/>
    <w:rsid w:val="00A41B62"/>
    <w:rsid w:val="00B51C1B"/>
    <w:rsid w:val="00BC2766"/>
    <w:rsid w:val="00CC54A8"/>
    <w:rsid w:val="00D50BC6"/>
    <w:rsid w:val="00D71493"/>
    <w:rsid w:val="00D87475"/>
    <w:rsid w:val="00E5036C"/>
    <w:rsid w:val="00E52B5B"/>
    <w:rsid w:val="00F3350F"/>
    <w:rsid w:val="00F70A05"/>
    <w:rsid w:val="00FB7C61"/>
    <w:rsid w:val="00FF5F7D"/>
    <w:rsid w:val="013D1161"/>
    <w:rsid w:val="0157144D"/>
    <w:rsid w:val="017A10E5"/>
    <w:rsid w:val="017F0419"/>
    <w:rsid w:val="01A22C15"/>
    <w:rsid w:val="01A40D00"/>
    <w:rsid w:val="01B13D6C"/>
    <w:rsid w:val="023736B1"/>
    <w:rsid w:val="02985DC6"/>
    <w:rsid w:val="033E3BD6"/>
    <w:rsid w:val="03D351A4"/>
    <w:rsid w:val="04231082"/>
    <w:rsid w:val="0430275A"/>
    <w:rsid w:val="04396DED"/>
    <w:rsid w:val="0463049D"/>
    <w:rsid w:val="04BC5D9C"/>
    <w:rsid w:val="052E6005"/>
    <w:rsid w:val="0532620C"/>
    <w:rsid w:val="054162A1"/>
    <w:rsid w:val="056C1E37"/>
    <w:rsid w:val="05724EA8"/>
    <w:rsid w:val="0590560B"/>
    <w:rsid w:val="060A00C1"/>
    <w:rsid w:val="06603FA5"/>
    <w:rsid w:val="06B223B0"/>
    <w:rsid w:val="06C31FE9"/>
    <w:rsid w:val="0715674C"/>
    <w:rsid w:val="07E47470"/>
    <w:rsid w:val="08314631"/>
    <w:rsid w:val="08430582"/>
    <w:rsid w:val="08652BE4"/>
    <w:rsid w:val="08CB026F"/>
    <w:rsid w:val="08FF41FE"/>
    <w:rsid w:val="09374DB2"/>
    <w:rsid w:val="09761182"/>
    <w:rsid w:val="099771D4"/>
    <w:rsid w:val="09B034BB"/>
    <w:rsid w:val="0A0E0485"/>
    <w:rsid w:val="0A670478"/>
    <w:rsid w:val="0AB84C2C"/>
    <w:rsid w:val="0B3B6FFB"/>
    <w:rsid w:val="0B5B072C"/>
    <w:rsid w:val="0B914450"/>
    <w:rsid w:val="0BA92B46"/>
    <w:rsid w:val="0BBA4FFF"/>
    <w:rsid w:val="0BC773BD"/>
    <w:rsid w:val="0C0C5CC9"/>
    <w:rsid w:val="0C4548C9"/>
    <w:rsid w:val="0C7A571B"/>
    <w:rsid w:val="0C8D346B"/>
    <w:rsid w:val="0CEC743A"/>
    <w:rsid w:val="0CFD51A3"/>
    <w:rsid w:val="0D2563C4"/>
    <w:rsid w:val="0D970F8B"/>
    <w:rsid w:val="0DC91474"/>
    <w:rsid w:val="0DFC3F18"/>
    <w:rsid w:val="0E0662D9"/>
    <w:rsid w:val="0E337A7A"/>
    <w:rsid w:val="0E364E7D"/>
    <w:rsid w:val="0E7E0566"/>
    <w:rsid w:val="0EB73455"/>
    <w:rsid w:val="0EBD6C3D"/>
    <w:rsid w:val="0EF279EF"/>
    <w:rsid w:val="0F4C0664"/>
    <w:rsid w:val="0F5C0C86"/>
    <w:rsid w:val="0F7F3E70"/>
    <w:rsid w:val="0F900551"/>
    <w:rsid w:val="0F9A13CF"/>
    <w:rsid w:val="0F9B1A19"/>
    <w:rsid w:val="0FA062BA"/>
    <w:rsid w:val="100A1F35"/>
    <w:rsid w:val="101C784D"/>
    <w:rsid w:val="10617814"/>
    <w:rsid w:val="106519DD"/>
    <w:rsid w:val="112E3AE6"/>
    <w:rsid w:val="116D17AA"/>
    <w:rsid w:val="11946955"/>
    <w:rsid w:val="11993255"/>
    <w:rsid w:val="11AF4661"/>
    <w:rsid w:val="11C3029D"/>
    <w:rsid w:val="12132744"/>
    <w:rsid w:val="123950D3"/>
    <w:rsid w:val="1247326C"/>
    <w:rsid w:val="124A7371"/>
    <w:rsid w:val="13386D6B"/>
    <w:rsid w:val="135209F1"/>
    <w:rsid w:val="13904FC3"/>
    <w:rsid w:val="13C52E49"/>
    <w:rsid w:val="13D70D51"/>
    <w:rsid w:val="14025795"/>
    <w:rsid w:val="140908D1"/>
    <w:rsid w:val="141A7667"/>
    <w:rsid w:val="143E2655"/>
    <w:rsid w:val="14553B17"/>
    <w:rsid w:val="14574345"/>
    <w:rsid w:val="14741101"/>
    <w:rsid w:val="14991245"/>
    <w:rsid w:val="14C81A79"/>
    <w:rsid w:val="14FE5F5C"/>
    <w:rsid w:val="15616904"/>
    <w:rsid w:val="1565422D"/>
    <w:rsid w:val="158F3762"/>
    <w:rsid w:val="15B34F99"/>
    <w:rsid w:val="15D40117"/>
    <w:rsid w:val="16B77FD1"/>
    <w:rsid w:val="173125FF"/>
    <w:rsid w:val="174F2A9F"/>
    <w:rsid w:val="17991F6C"/>
    <w:rsid w:val="17D17958"/>
    <w:rsid w:val="17DA13A7"/>
    <w:rsid w:val="180E4A95"/>
    <w:rsid w:val="185D743E"/>
    <w:rsid w:val="18DD79A1"/>
    <w:rsid w:val="18FE652B"/>
    <w:rsid w:val="194D55A9"/>
    <w:rsid w:val="19C76021"/>
    <w:rsid w:val="19FF1A47"/>
    <w:rsid w:val="1A7123F6"/>
    <w:rsid w:val="1A887C80"/>
    <w:rsid w:val="1ABA1D83"/>
    <w:rsid w:val="1AE80243"/>
    <w:rsid w:val="1B240FCE"/>
    <w:rsid w:val="1B886580"/>
    <w:rsid w:val="1B910DB4"/>
    <w:rsid w:val="1C116575"/>
    <w:rsid w:val="1C13738E"/>
    <w:rsid w:val="1C2D7829"/>
    <w:rsid w:val="1C5C03A3"/>
    <w:rsid w:val="1CE31C2F"/>
    <w:rsid w:val="1D1B2CB8"/>
    <w:rsid w:val="1DCF0496"/>
    <w:rsid w:val="1DD54CF5"/>
    <w:rsid w:val="1E704E6F"/>
    <w:rsid w:val="1ED17431"/>
    <w:rsid w:val="1F117EF7"/>
    <w:rsid w:val="1F365B58"/>
    <w:rsid w:val="1F9C4CF0"/>
    <w:rsid w:val="1FB05E2C"/>
    <w:rsid w:val="1FBB41D0"/>
    <w:rsid w:val="1FE20197"/>
    <w:rsid w:val="20286583"/>
    <w:rsid w:val="205828FC"/>
    <w:rsid w:val="20BF5065"/>
    <w:rsid w:val="21076199"/>
    <w:rsid w:val="2118156D"/>
    <w:rsid w:val="212E7BC9"/>
    <w:rsid w:val="216364D8"/>
    <w:rsid w:val="21E6650E"/>
    <w:rsid w:val="2208545E"/>
    <w:rsid w:val="22927EB5"/>
    <w:rsid w:val="22AE5D73"/>
    <w:rsid w:val="230A02A5"/>
    <w:rsid w:val="235F050E"/>
    <w:rsid w:val="239038EC"/>
    <w:rsid w:val="23962050"/>
    <w:rsid w:val="23C245F9"/>
    <w:rsid w:val="24170DE9"/>
    <w:rsid w:val="244F54A0"/>
    <w:rsid w:val="250F1AC0"/>
    <w:rsid w:val="25770F38"/>
    <w:rsid w:val="26F725F1"/>
    <w:rsid w:val="27111B1F"/>
    <w:rsid w:val="275613EA"/>
    <w:rsid w:val="27651E6B"/>
    <w:rsid w:val="27A62658"/>
    <w:rsid w:val="27A75FE0"/>
    <w:rsid w:val="27DA27C2"/>
    <w:rsid w:val="28011B94"/>
    <w:rsid w:val="28212236"/>
    <w:rsid w:val="2829057B"/>
    <w:rsid w:val="28404E9B"/>
    <w:rsid w:val="286F11F3"/>
    <w:rsid w:val="2888032F"/>
    <w:rsid w:val="28E717BF"/>
    <w:rsid w:val="29104EC2"/>
    <w:rsid w:val="29347ACD"/>
    <w:rsid w:val="298A4D77"/>
    <w:rsid w:val="29EA7DDC"/>
    <w:rsid w:val="2A093583"/>
    <w:rsid w:val="2A135BAE"/>
    <w:rsid w:val="2A4B17EC"/>
    <w:rsid w:val="2A621607"/>
    <w:rsid w:val="2AA607D0"/>
    <w:rsid w:val="2AD27734"/>
    <w:rsid w:val="2ADC41F2"/>
    <w:rsid w:val="2B003D2F"/>
    <w:rsid w:val="2B1B665A"/>
    <w:rsid w:val="2B591CE7"/>
    <w:rsid w:val="2BE710A1"/>
    <w:rsid w:val="2BEE3000"/>
    <w:rsid w:val="2BFD08C4"/>
    <w:rsid w:val="2C516C94"/>
    <w:rsid w:val="2C5219A4"/>
    <w:rsid w:val="2C6E21E4"/>
    <w:rsid w:val="2C932FD6"/>
    <w:rsid w:val="2CD7257D"/>
    <w:rsid w:val="2CF972DD"/>
    <w:rsid w:val="2D0F6DD8"/>
    <w:rsid w:val="2D1718DD"/>
    <w:rsid w:val="2D2770B2"/>
    <w:rsid w:val="2D502C75"/>
    <w:rsid w:val="2DCF003E"/>
    <w:rsid w:val="2E450564"/>
    <w:rsid w:val="2E494294"/>
    <w:rsid w:val="2EFF2BA5"/>
    <w:rsid w:val="2F0270F7"/>
    <w:rsid w:val="2F61666C"/>
    <w:rsid w:val="30734518"/>
    <w:rsid w:val="307B44AD"/>
    <w:rsid w:val="30B23898"/>
    <w:rsid w:val="3102072B"/>
    <w:rsid w:val="31690AEA"/>
    <w:rsid w:val="317E4255"/>
    <w:rsid w:val="31C205E6"/>
    <w:rsid w:val="31C6519A"/>
    <w:rsid w:val="31C73034"/>
    <w:rsid w:val="32087FC3"/>
    <w:rsid w:val="320F4EAD"/>
    <w:rsid w:val="322A6C7A"/>
    <w:rsid w:val="32356F54"/>
    <w:rsid w:val="327862EE"/>
    <w:rsid w:val="32856C03"/>
    <w:rsid w:val="32A76BDA"/>
    <w:rsid w:val="32B33085"/>
    <w:rsid w:val="32E160FF"/>
    <w:rsid w:val="32F13CE5"/>
    <w:rsid w:val="32F32A21"/>
    <w:rsid w:val="32F553A9"/>
    <w:rsid w:val="330172C6"/>
    <w:rsid w:val="334131D3"/>
    <w:rsid w:val="33423060"/>
    <w:rsid w:val="33557238"/>
    <w:rsid w:val="33D33712"/>
    <w:rsid w:val="3459484B"/>
    <w:rsid w:val="34597BA1"/>
    <w:rsid w:val="34800CEE"/>
    <w:rsid w:val="34C6027F"/>
    <w:rsid w:val="350F0BFE"/>
    <w:rsid w:val="35200BA1"/>
    <w:rsid w:val="35365462"/>
    <w:rsid w:val="355B006D"/>
    <w:rsid w:val="35643AD5"/>
    <w:rsid w:val="356B689E"/>
    <w:rsid w:val="357240D1"/>
    <w:rsid w:val="35D864E2"/>
    <w:rsid w:val="35FA5E74"/>
    <w:rsid w:val="364A32AA"/>
    <w:rsid w:val="37115A71"/>
    <w:rsid w:val="374313BA"/>
    <w:rsid w:val="376B630F"/>
    <w:rsid w:val="378B382E"/>
    <w:rsid w:val="37AB1B1C"/>
    <w:rsid w:val="38037262"/>
    <w:rsid w:val="380C5996"/>
    <w:rsid w:val="382F44FB"/>
    <w:rsid w:val="386F3515"/>
    <w:rsid w:val="38B30E35"/>
    <w:rsid w:val="38E0098C"/>
    <w:rsid w:val="38EB45FD"/>
    <w:rsid w:val="39237490"/>
    <w:rsid w:val="392E6A78"/>
    <w:rsid w:val="395826CA"/>
    <w:rsid w:val="39677413"/>
    <w:rsid w:val="397622BB"/>
    <w:rsid w:val="39AF5FE9"/>
    <w:rsid w:val="3A687850"/>
    <w:rsid w:val="3A8C2C0D"/>
    <w:rsid w:val="3A9B669F"/>
    <w:rsid w:val="3B637FCA"/>
    <w:rsid w:val="3BAE6A8A"/>
    <w:rsid w:val="3C3E4D0D"/>
    <w:rsid w:val="3C876AF0"/>
    <w:rsid w:val="3D5B369C"/>
    <w:rsid w:val="3D613D22"/>
    <w:rsid w:val="3DFC02BF"/>
    <w:rsid w:val="3E3143FD"/>
    <w:rsid w:val="3E38307B"/>
    <w:rsid w:val="3E614CE2"/>
    <w:rsid w:val="3EC95459"/>
    <w:rsid w:val="3F941E72"/>
    <w:rsid w:val="40062ACB"/>
    <w:rsid w:val="40313A54"/>
    <w:rsid w:val="40644392"/>
    <w:rsid w:val="40882F15"/>
    <w:rsid w:val="40B32EF6"/>
    <w:rsid w:val="40C663C9"/>
    <w:rsid w:val="412F1B65"/>
    <w:rsid w:val="417D1041"/>
    <w:rsid w:val="41A315F9"/>
    <w:rsid w:val="4265671D"/>
    <w:rsid w:val="42BA0E65"/>
    <w:rsid w:val="42CD6DEA"/>
    <w:rsid w:val="430E5A01"/>
    <w:rsid w:val="431C1B20"/>
    <w:rsid w:val="438D0328"/>
    <w:rsid w:val="43A30364"/>
    <w:rsid w:val="43A7763B"/>
    <w:rsid w:val="43C85745"/>
    <w:rsid w:val="442D1921"/>
    <w:rsid w:val="44E66AD2"/>
    <w:rsid w:val="461F6BBA"/>
    <w:rsid w:val="46200F7E"/>
    <w:rsid w:val="464A0752"/>
    <w:rsid w:val="46715CDF"/>
    <w:rsid w:val="468130DF"/>
    <w:rsid w:val="46D36999"/>
    <w:rsid w:val="47471001"/>
    <w:rsid w:val="476A2C78"/>
    <w:rsid w:val="47777325"/>
    <w:rsid w:val="478005D2"/>
    <w:rsid w:val="47992888"/>
    <w:rsid w:val="479D3534"/>
    <w:rsid w:val="47C307BC"/>
    <w:rsid w:val="47FD16F0"/>
    <w:rsid w:val="4854142E"/>
    <w:rsid w:val="4858276E"/>
    <w:rsid w:val="48A51834"/>
    <w:rsid w:val="48AD7515"/>
    <w:rsid w:val="48E94252"/>
    <w:rsid w:val="49022A4B"/>
    <w:rsid w:val="490A726C"/>
    <w:rsid w:val="498336EE"/>
    <w:rsid w:val="49A92BA2"/>
    <w:rsid w:val="49CF169A"/>
    <w:rsid w:val="49FE3D2D"/>
    <w:rsid w:val="4A3E47FB"/>
    <w:rsid w:val="4A5A086E"/>
    <w:rsid w:val="4ACF7A36"/>
    <w:rsid w:val="4B7F2A04"/>
    <w:rsid w:val="4B8A73EF"/>
    <w:rsid w:val="4BBF0072"/>
    <w:rsid w:val="4BD036A7"/>
    <w:rsid w:val="4C5F3DED"/>
    <w:rsid w:val="4C777E93"/>
    <w:rsid w:val="4CAA1F4A"/>
    <w:rsid w:val="4CDC29F0"/>
    <w:rsid w:val="4CDF5BD4"/>
    <w:rsid w:val="4D212310"/>
    <w:rsid w:val="4D4C0D5E"/>
    <w:rsid w:val="4D53613A"/>
    <w:rsid w:val="4D6A2190"/>
    <w:rsid w:val="4D912C72"/>
    <w:rsid w:val="4DB17F72"/>
    <w:rsid w:val="4DDA060D"/>
    <w:rsid w:val="4DF220DA"/>
    <w:rsid w:val="4E781177"/>
    <w:rsid w:val="4EA60F65"/>
    <w:rsid w:val="4EAC13CA"/>
    <w:rsid w:val="4EC16AC8"/>
    <w:rsid w:val="4EFB6A8D"/>
    <w:rsid w:val="4F3F4BCC"/>
    <w:rsid w:val="4FD95020"/>
    <w:rsid w:val="50342257"/>
    <w:rsid w:val="50B047BD"/>
    <w:rsid w:val="51083017"/>
    <w:rsid w:val="515423B5"/>
    <w:rsid w:val="519C6B90"/>
    <w:rsid w:val="51CF2D8E"/>
    <w:rsid w:val="52A953C7"/>
    <w:rsid w:val="52CA1B96"/>
    <w:rsid w:val="531A4198"/>
    <w:rsid w:val="539B6B72"/>
    <w:rsid w:val="53EA723C"/>
    <w:rsid w:val="53EE5CD3"/>
    <w:rsid w:val="5406286E"/>
    <w:rsid w:val="54071A30"/>
    <w:rsid w:val="547122F8"/>
    <w:rsid w:val="54C6369A"/>
    <w:rsid w:val="550545DD"/>
    <w:rsid w:val="550A7A2A"/>
    <w:rsid w:val="5536754D"/>
    <w:rsid w:val="5539030F"/>
    <w:rsid w:val="556967CA"/>
    <w:rsid w:val="565754EE"/>
    <w:rsid w:val="56DC79F4"/>
    <w:rsid w:val="56EF4237"/>
    <w:rsid w:val="570F7EDB"/>
    <w:rsid w:val="571E77BD"/>
    <w:rsid w:val="573C74B5"/>
    <w:rsid w:val="57715B3F"/>
    <w:rsid w:val="584D7B4E"/>
    <w:rsid w:val="58935F89"/>
    <w:rsid w:val="58995112"/>
    <w:rsid w:val="58A70D79"/>
    <w:rsid w:val="58D35E49"/>
    <w:rsid w:val="58DF56DB"/>
    <w:rsid w:val="58F85DEC"/>
    <w:rsid w:val="596D2336"/>
    <w:rsid w:val="59E771C6"/>
    <w:rsid w:val="5A6D3BE8"/>
    <w:rsid w:val="5AB2291B"/>
    <w:rsid w:val="5ACE14FA"/>
    <w:rsid w:val="5B09250D"/>
    <w:rsid w:val="5B4E0CD7"/>
    <w:rsid w:val="5BE909A8"/>
    <w:rsid w:val="5C0C22DA"/>
    <w:rsid w:val="5C121CF5"/>
    <w:rsid w:val="5C5509A8"/>
    <w:rsid w:val="5C5B5D44"/>
    <w:rsid w:val="5C5D27F2"/>
    <w:rsid w:val="5C7F6BB4"/>
    <w:rsid w:val="5CAC586B"/>
    <w:rsid w:val="5CF818C1"/>
    <w:rsid w:val="5D4B35CE"/>
    <w:rsid w:val="5D727DDC"/>
    <w:rsid w:val="5D804D2D"/>
    <w:rsid w:val="5DA00EB0"/>
    <w:rsid w:val="5DDD3E9C"/>
    <w:rsid w:val="5DE84681"/>
    <w:rsid w:val="5E8C7702"/>
    <w:rsid w:val="5ED42BA2"/>
    <w:rsid w:val="5F072BE8"/>
    <w:rsid w:val="5F0A2F96"/>
    <w:rsid w:val="5F4B34F8"/>
    <w:rsid w:val="5F61293D"/>
    <w:rsid w:val="5FBA3DFB"/>
    <w:rsid w:val="602773EC"/>
    <w:rsid w:val="602E62B4"/>
    <w:rsid w:val="60413278"/>
    <w:rsid w:val="609A21B5"/>
    <w:rsid w:val="60E00B61"/>
    <w:rsid w:val="60F8107F"/>
    <w:rsid w:val="61AE4166"/>
    <w:rsid w:val="61FD68D2"/>
    <w:rsid w:val="623460E6"/>
    <w:rsid w:val="62462C07"/>
    <w:rsid w:val="637349EC"/>
    <w:rsid w:val="638C3D00"/>
    <w:rsid w:val="63DE6250"/>
    <w:rsid w:val="64312FEF"/>
    <w:rsid w:val="64371CD5"/>
    <w:rsid w:val="64627F4B"/>
    <w:rsid w:val="64801AB7"/>
    <w:rsid w:val="65493C57"/>
    <w:rsid w:val="665328C5"/>
    <w:rsid w:val="666A0801"/>
    <w:rsid w:val="66736D0A"/>
    <w:rsid w:val="668D2269"/>
    <w:rsid w:val="678A0557"/>
    <w:rsid w:val="67A96A9E"/>
    <w:rsid w:val="67B24FE9"/>
    <w:rsid w:val="67C41CBB"/>
    <w:rsid w:val="67CA3D41"/>
    <w:rsid w:val="67D674D2"/>
    <w:rsid w:val="67F26902"/>
    <w:rsid w:val="686D5EAE"/>
    <w:rsid w:val="687234C5"/>
    <w:rsid w:val="689E02F8"/>
    <w:rsid w:val="68A634BD"/>
    <w:rsid w:val="68BC5C16"/>
    <w:rsid w:val="68D4417F"/>
    <w:rsid w:val="68D8128A"/>
    <w:rsid w:val="69670B4F"/>
    <w:rsid w:val="698A0CE2"/>
    <w:rsid w:val="69AD7E1F"/>
    <w:rsid w:val="69C6217D"/>
    <w:rsid w:val="69CC1A39"/>
    <w:rsid w:val="69EF1BC6"/>
    <w:rsid w:val="69F73655"/>
    <w:rsid w:val="6AEC2351"/>
    <w:rsid w:val="6AF32471"/>
    <w:rsid w:val="6B0C5E52"/>
    <w:rsid w:val="6B351850"/>
    <w:rsid w:val="6B517D09"/>
    <w:rsid w:val="6B794260"/>
    <w:rsid w:val="6BBC24BC"/>
    <w:rsid w:val="6C2C48AC"/>
    <w:rsid w:val="6C64581A"/>
    <w:rsid w:val="6C7D068A"/>
    <w:rsid w:val="6C8E5718"/>
    <w:rsid w:val="6CC22328"/>
    <w:rsid w:val="6CD56AF4"/>
    <w:rsid w:val="6D105413"/>
    <w:rsid w:val="6D8E6A33"/>
    <w:rsid w:val="6DB620A5"/>
    <w:rsid w:val="6DC5678C"/>
    <w:rsid w:val="6DCC7B1B"/>
    <w:rsid w:val="6DDE0181"/>
    <w:rsid w:val="6DEE7A91"/>
    <w:rsid w:val="6E361438"/>
    <w:rsid w:val="6E732C64"/>
    <w:rsid w:val="6F154B2D"/>
    <w:rsid w:val="6F2511CB"/>
    <w:rsid w:val="6F2968A7"/>
    <w:rsid w:val="6F751AEC"/>
    <w:rsid w:val="6F815805"/>
    <w:rsid w:val="6FB50225"/>
    <w:rsid w:val="6FC53298"/>
    <w:rsid w:val="6FD74555"/>
    <w:rsid w:val="707F6CDF"/>
    <w:rsid w:val="70B623BC"/>
    <w:rsid w:val="70EC5DDE"/>
    <w:rsid w:val="716A6CEF"/>
    <w:rsid w:val="7174629C"/>
    <w:rsid w:val="71771B4C"/>
    <w:rsid w:val="728F7C9A"/>
    <w:rsid w:val="72914E8F"/>
    <w:rsid w:val="736507F6"/>
    <w:rsid w:val="738348E4"/>
    <w:rsid w:val="73AD321F"/>
    <w:rsid w:val="73B434AA"/>
    <w:rsid w:val="73C71690"/>
    <w:rsid w:val="741E09A4"/>
    <w:rsid w:val="75042A89"/>
    <w:rsid w:val="75056276"/>
    <w:rsid w:val="75267B11"/>
    <w:rsid w:val="76361FD5"/>
    <w:rsid w:val="76C27424"/>
    <w:rsid w:val="76C3229F"/>
    <w:rsid w:val="76CE1080"/>
    <w:rsid w:val="76FC03FE"/>
    <w:rsid w:val="771C0DB4"/>
    <w:rsid w:val="772136AF"/>
    <w:rsid w:val="774A788F"/>
    <w:rsid w:val="77565BBE"/>
    <w:rsid w:val="781F13F3"/>
    <w:rsid w:val="786966E6"/>
    <w:rsid w:val="78895CA5"/>
    <w:rsid w:val="79157851"/>
    <w:rsid w:val="79202BB4"/>
    <w:rsid w:val="79490272"/>
    <w:rsid w:val="79AA5B6F"/>
    <w:rsid w:val="79C36276"/>
    <w:rsid w:val="79E76A6B"/>
    <w:rsid w:val="7A0B1FEC"/>
    <w:rsid w:val="7A140B64"/>
    <w:rsid w:val="7A20184B"/>
    <w:rsid w:val="7A6212D3"/>
    <w:rsid w:val="7A86426A"/>
    <w:rsid w:val="7A8E0021"/>
    <w:rsid w:val="7AB90A1C"/>
    <w:rsid w:val="7B0D1124"/>
    <w:rsid w:val="7B2956D5"/>
    <w:rsid w:val="7B67393B"/>
    <w:rsid w:val="7C190ABB"/>
    <w:rsid w:val="7C305674"/>
    <w:rsid w:val="7C440929"/>
    <w:rsid w:val="7C7A77AE"/>
    <w:rsid w:val="7C9570F1"/>
    <w:rsid w:val="7D6F6B54"/>
    <w:rsid w:val="7DB859C6"/>
    <w:rsid w:val="7DE47DC2"/>
    <w:rsid w:val="7E4941CF"/>
    <w:rsid w:val="7E9815D8"/>
    <w:rsid w:val="7EC23C02"/>
    <w:rsid w:val="7ED038B2"/>
    <w:rsid w:val="7ED24865"/>
    <w:rsid w:val="7EF548B9"/>
    <w:rsid w:val="7F0B7D77"/>
    <w:rsid w:val="7F34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6"/>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
    <w:name w:val="段"/>
    <w:link w:val="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7">
    <w:name w:val="toc 7"/>
    <w:basedOn w:val="1"/>
    <w:next w:val="1"/>
    <w:unhideWhenUsed/>
    <w:qFormat/>
    <w:uiPriority w:val="39"/>
    <w:pPr>
      <w:ind w:left="1260"/>
      <w:jc w:val="left"/>
    </w:pPr>
    <w:rPr>
      <w:rFonts w:cstheme="minorHAnsi"/>
      <w:sz w:val="18"/>
      <w:szCs w:val="18"/>
    </w:rPr>
  </w:style>
  <w:style w:type="paragraph" w:styleId="8">
    <w:name w:val="annotation text"/>
    <w:basedOn w:val="1"/>
    <w:link w:val="72"/>
    <w:unhideWhenUsed/>
    <w:qFormat/>
    <w:uiPriority w:val="0"/>
    <w:pPr>
      <w:jc w:val="left"/>
    </w:pPr>
  </w:style>
  <w:style w:type="paragraph" w:styleId="9">
    <w:name w:val="Body Text"/>
    <w:basedOn w:val="1"/>
    <w:link w:val="67"/>
    <w:qFormat/>
    <w:uiPriority w:val="1"/>
    <w:pPr>
      <w:spacing w:before="116"/>
      <w:ind w:left="117"/>
      <w:jc w:val="left"/>
    </w:pPr>
    <w:rPr>
      <w:rFonts w:ascii="宋体" w:hAnsi="宋体" w:eastAsia="宋体"/>
      <w:kern w:val="0"/>
      <w:szCs w:val="21"/>
      <w:lang w:eastAsia="en-US"/>
    </w:rPr>
  </w:style>
  <w:style w:type="paragraph" w:styleId="10">
    <w:name w:val="toc 5"/>
    <w:basedOn w:val="1"/>
    <w:next w:val="1"/>
    <w:unhideWhenUsed/>
    <w:qFormat/>
    <w:uiPriority w:val="39"/>
    <w:pPr>
      <w:ind w:left="840"/>
      <w:jc w:val="left"/>
    </w:pPr>
    <w:rPr>
      <w:rFonts w:cstheme="minorHAnsi"/>
      <w:sz w:val="18"/>
      <w:szCs w:val="18"/>
    </w:rPr>
  </w:style>
  <w:style w:type="paragraph" w:styleId="11">
    <w:name w:val="toc 3"/>
    <w:basedOn w:val="1"/>
    <w:next w:val="1"/>
    <w:qFormat/>
    <w:uiPriority w:val="39"/>
    <w:pPr>
      <w:ind w:left="420"/>
      <w:jc w:val="left"/>
    </w:pPr>
    <w:rPr>
      <w:rFonts w:cstheme="minorHAnsi"/>
      <w:i/>
      <w:iCs/>
      <w:sz w:val="20"/>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Date"/>
    <w:basedOn w:val="1"/>
    <w:next w:val="1"/>
    <w:link w:val="69"/>
    <w:semiHidden/>
    <w:unhideWhenUsed/>
    <w:qFormat/>
    <w:uiPriority w:val="99"/>
    <w:pPr>
      <w:ind w:left="100" w:leftChars="2500"/>
    </w:pPr>
  </w:style>
  <w:style w:type="paragraph" w:styleId="14">
    <w:name w:val="Balloon Text"/>
    <w:basedOn w:val="1"/>
    <w:link w:val="6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630"/>
      <w:jc w:val="left"/>
    </w:pPr>
    <w:rPr>
      <w:rFonts w:cstheme="minorHAnsi"/>
      <w:sz w:val="18"/>
      <w:szCs w:val="18"/>
    </w:rPr>
  </w:style>
  <w:style w:type="paragraph" w:styleId="19">
    <w:name w:val="toc 6"/>
    <w:basedOn w:val="1"/>
    <w:next w:val="1"/>
    <w:unhideWhenUsed/>
    <w:qFormat/>
    <w:uiPriority w:val="39"/>
    <w:pPr>
      <w:ind w:left="1050"/>
      <w:jc w:val="left"/>
    </w:pPr>
    <w:rPr>
      <w:rFonts w:cstheme="minorHAnsi"/>
      <w:sz w:val="18"/>
      <w:szCs w:val="18"/>
    </w:rPr>
  </w:style>
  <w:style w:type="paragraph" w:styleId="20">
    <w:name w:val="toc 2"/>
    <w:basedOn w:val="1"/>
    <w:next w:val="1"/>
    <w:unhideWhenUsed/>
    <w:qFormat/>
    <w:uiPriority w:val="39"/>
    <w:pPr>
      <w:ind w:left="210"/>
      <w:jc w:val="left"/>
    </w:pPr>
    <w:rPr>
      <w:rFonts w:cstheme="minorHAnsi"/>
      <w:smallCaps/>
      <w:sz w:val="20"/>
      <w:szCs w:val="20"/>
    </w:rPr>
  </w:style>
  <w:style w:type="paragraph" w:styleId="21">
    <w:name w:val="toc 9"/>
    <w:basedOn w:val="1"/>
    <w:next w:val="1"/>
    <w:unhideWhenUsed/>
    <w:qFormat/>
    <w:uiPriority w:val="39"/>
    <w:pPr>
      <w:ind w:left="1680"/>
      <w:jc w:val="left"/>
    </w:pPr>
    <w:rPr>
      <w:rFonts w:cstheme="minorHAnsi"/>
      <w:sz w:val="18"/>
      <w:szCs w:val="18"/>
    </w:r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73"/>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99"/>
    <w:rPr>
      <w:color w:val="0000FF"/>
      <w:spacing w:val="0"/>
      <w:w w:val="100"/>
      <w:szCs w:val="21"/>
      <w:u w:val="single"/>
      <w:lang w:val="en-US" w:eastAsia="zh-CN"/>
    </w:rPr>
  </w:style>
  <w:style w:type="character" w:styleId="29">
    <w:name w:val="annotation reference"/>
    <w:basedOn w:val="26"/>
    <w:unhideWhenUsed/>
    <w:qFormat/>
    <w:uiPriority w:val="0"/>
    <w:rPr>
      <w:sz w:val="21"/>
      <w:szCs w:val="21"/>
    </w:rPr>
  </w:style>
  <w:style w:type="character" w:customStyle="1" w:styleId="30">
    <w:name w:val="页眉 字符"/>
    <w:basedOn w:val="26"/>
    <w:link w:val="16"/>
    <w:qFormat/>
    <w:uiPriority w:val="99"/>
    <w:rPr>
      <w:sz w:val="18"/>
      <w:szCs w:val="18"/>
    </w:rPr>
  </w:style>
  <w:style w:type="character" w:customStyle="1" w:styleId="31">
    <w:name w:val="页脚 字符"/>
    <w:basedOn w:val="26"/>
    <w:link w:val="15"/>
    <w:qFormat/>
    <w:uiPriority w:val="99"/>
    <w:rPr>
      <w:sz w:val="18"/>
      <w:szCs w:val="18"/>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0"/>
    <w:pPr>
      <w:spacing w:before="370" w:line="400" w:lineRule="exact"/>
    </w:pPr>
    <w:rPr>
      <w:rFonts w:ascii="Times New Roman"/>
      <w:sz w:val="28"/>
      <w:szCs w:val="28"/>
    </w:rPr>
  </w:style>
  <w:style w:type="character" w:customStyle="1" w:styleId="34">
    <w:name w:val="段 Char"/>
    <w:link w:val="4"/>
    <w:qFormat/>
    <w:uiPriority w:val="0"/>
    <w:rPr>
      <w:rFonts w:ascii="宋体"/>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7">
    <w:name w:val="二级条标题"/>
    <w:basedOn w:val="38"/>
    <w:next w:val="4"/>
    <w:qFormat/>
    <w:uiPriority w:val="0"/>
    <w:pPr>
      <w:numPr>
        <w:ilvl w:val="2"/>
      </w:numPr>
      <w:spacing w:beforeLines="0" w:afterLines="0"/>
      <w:outlineLvl w:val="3"/>
    </w:pPr>
  </w:style>
  <w:style w:type="paragraph" w:customStyle="1" w:styleId="38">
    <w:name w:val="一级条标题"/>
    <w:next w:val="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附录表标号"/>
    <w:basedOn w:val="1"/>
    <w:next w:val="4"/>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40">
    <w:name w:val="正文表标题"/>
    <w:next w:val="4"/>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1">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2">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3"/>
    <w:qFormat/>
    <w:uiPriority w:val="0"/>
    <w:pPr>
      <w:spacing w:before="440"/>
    </w:pPr>
    <w:rPr>
      <w:rFonts w:ascii="宋体" w:eastAsia="宋体"/>
    </w:rPr>
  </w:style>
  <w:style w:type="paragraph" w:customStyle="1" w:styleId="45">
    <w:name w:val="终结线"/>
    <w:basedOn w:val="1"/>
    <w:qFormat/>
    <w:uiPriority w:val="0"/>
    <w:rPr>
      <w:rFonts w:ascii="Times New Roman" w:hAnsi="Times New Roman" w:eastAsia="宋体"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1">
    <w:name w:val="标题 1 字符"/>
    <w:basedOn w:val="26"/>
    <w:link w:val="2"/>
    <w:qFormat/>
    <w:uiPriority w:val="9"/>
    <w:rPr>
      <w:b/>
      <w:bCs/>
      <w:kern w:val="44"/>
      <w:sz w:val="44"/>
      <w:szCs w:val="44"/>
    </w:rPr>
  </w:style>
  <w:style w:type="character" w:customStyle="1" w:styleId="62">
    <w:name w:val="标题 2 字符"/>
    <w:basedOn w:val="26"/>
    <w:link w:val="5"/>
    <w:qFormat/>
    <w:uiPriority w:val="9"/>
    <w:rPr>
      <w:rFonts w:asciiTheme="majorHAnsi" w:hAnsiTheme="majorHAnsi" w:eastAsiaTheme="majorEastAsia" w:cstheme="majorBidi"/>
      <w:b/>
      <w:bCs/>
      <w:sz w:val="32"/>
      <w:szCs w:val="32"/>
    </w:rPr>
  </w:style>
  <w:style w:type="paragraph" w:customStyle="1" w:styleId="63">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批注框文本 字符"/>
    <w:basedOn w:val="26"/>
    <w:link w:val="14"/>
    <w:semiHidden/>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字符"/>
    <w:basedOn w:val="26"/>
    <w:link w:val="6"/>
    <w:qFormat/>
    <w:uiPriority w:val="9"/>
    <w:rPr>
      <w:b/>
      <w:bCs/>
      <w:sz w:val="32"/>
      <w:szCs w:val="32"/>
    </w:rPr>
  </w:style>
  <w:style w:type="character" w:customStyle="1" w:styleId="67">
    <w:name w:val="正文文本 字符"/>
    <w:basedOn w:val="26"/>
    <w:link w:val="9"/>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字符"/>
    <w:basedOn w:val="26"/>
    <w:link w:val="13"/>
    <w:semiHidden/>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字符"/>
    <w:basedOn w:val="26"/>
    <w:link w:val="8"/>
    <w:qFormat/>
    <w:uiPriority w:val="0"/>
  </w:style>
  <w:style w:type="character" w:customStyle="1" w:styleId="73">
    <w:name w:val="批注主题 字符"/>
    <w:basedOn w:val="72"/>
    <w:link w:val="23"/>
    <w:semiHidden/>
    <w:qFormat/>
    <w:uiPriority w:val="99"/>
    <w:rPr>
      <w:b/>
      <w:bCs/>
    </w:rPr>
  </w:style>
  <w:style w:type="paragraph" w:customStyle="1" w:styleId="74">
    <w:name w:val="条2"/>
    <w:basedOn w:val="1"/>
    <w:next w:val="4"/>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style01"/>
    <w:basedOn w:val="26"/>
    <w:qFormat/>
    <w:uiPriority w:val="0"/>
    <w:rPr>
      <w:rFonts w:hint="eastAsia" w:ascii="宋体" w:hAnsi="宋体" w:eastAsia="宋体"/>
      <w:color w:val="000000"/>
      <w:sz w:val="42"/>
      <w:szCs w:val="42"/>
    </w:rPr>
  </w:style>
  <w:style w:type="paragraph" w:customStyle="1" w:styleId="77">
    <w:name w:val="三级条标题"/>
    <w:basedOn w:val="37"/>
    <w:next w:val="1"/>
    <w:qFormat/>
    <w:uiPriority w:val="0"/>
    <w:pPr>
      <w:numPr>
        <w:ilvl w:val="0"/>
        <w:numId w:val="0"/>
      </w:numPr>
      <w:spacing w:beforeLines="50" w:afterLines="50"/>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3"/>
    <w:qFormat/>
    <w:uiPriority w:val="0"/>
    <w:rPr>
      <w:rFonts w:ascii="黑体" w:hAnsi="Times New Roman" w:eastAsia="黑体" w:cs="Times New Roman"/>
      <w:kern w:val="0"/>
      <w:szCs w:val="20"/>
    </w:rPr>
  </w:style>
  <w:style w:type="paragraph" w:customStyle="1" w:styleId="82">
    <w:name w:val="二级无"/>
    <w:basedOn w:val="37"/>
    <w:qFormat/>
    <w:uiPriority w:val="0"/>
    <w:pPr>
      <w:numPr>
        <w:numId w:val="2"/>
      </w:numPr>
    </w:pPr>
    <w:rPr>
      <w:rFonts w:ascii="宋体" w:eastAsia="宋体"/>
    </w:rPr>
  </w:style>
  <w:style w:type="paragraph" w:customStyle="1" w:styleId="8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4">
    <w:name w:val="标准文件_章标题"/>
    <w:next w:val="85"/>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标准文件_一级条标题"/>
    <w:basedOn w:val="84"/>
    <w:next w:val="85"/>
    <w:qFormat/>
    <w:uiPriority w:val="0"/>
    <w:pPr>
      <w:numPr>
        <w:ilvl w:val="2"/>
      </w:numPr>
      <w:spacing w:before="50" w:beforeLines="50" w:after="50" w:afterLines="50"/>
      <w:outlineLvl w:val="1"/>
    </w:pPr>
  </w:style>
  <w:style w:type="paragraph" w:customStyle="1" w:styleId="87">
    <w:name w:val="标准文件_二级条标题"/>
    <w:next w:val="85"/>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58455-53AE-4886-9D99-CC4DC38AC97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2189</Words>
  <Characters>2677</Characters>
  <Lines>23</Lines>
  <Paragraphs>6</Paragraphs>
  <TotalTime>1</TotalTime>
  <ScaleCrop>false</ScaleCrop>
  <LinksUpToDate>false</LinksUpToDate>
  <CharactersWithSpaces>2772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2023-04-04T09:04:00Z</dcterms:created>
  <dc:creator>Lenovo</dc:creator>
  <cp:lastModifiedBy>lenovo06</cp:lastModifiedBy>
  <cp:lastPrinted>2019-02-12T09:03:00Z</cp:lastPrinted>
  <dcterms:modified xsi:type="dcterms:W3CDTF">2024-06-18T09:19:38Z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5E5A35E1C3554DA6BC66BD1A00015A88</vt:lpwstr>
  </property>
</Properties>
</file>