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8F938" w14:textId="77777777" w:rsidR="004D2F64" w:rsidRDefault="004D2F64" w:rsidP="00415916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6F5D50">
        <w:rPr>
          <w:rFonts w:asciiTheme="minorEastAsia" w:hAnsiTheme="minorEastAsia" w:hint="eastAsia"/>
          <w:sz w:val="24"/>
          <w:szCs w:val="24"/>
        </w:rPr>
        <w:t>附件2：</w:t>
      </w:r>
    </w:p>
    <w:p w14:paraId="675DCDDB" w14:textId="77777777" w:rsidR="00EE055D" w:rsidRPr="006F5D50" w:rsidRDefault="00EE055D" w:rsidP="0041591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4AF35B6" w14:textId="77777777" w:rsidR="004D2F64" w:rsidRDefault="00F618B6" w:rsidP="006F5D50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r w:rsidRPr="00F618B6">
        <w:rPr>
          <w:rFonts w:ascii="黑体" w:eastAsia="黑体" w:hAnsi="黑体" w:hint="eastAsia"/>
          <w:b/>
          <w:sz w:val="28"/>
          <w:szCs w:val="28"/>
        </w:rPr>
        <w:t>乳制品企业有害生物防制技术规范</w:t>
      </w:r>
      <w:r w:rsidR="004D2F64" w:rsidRPr="006F5D50">
        <w:rPr>
          <w:rFonts w:ascii="黑体" w:eastAsia="黑体" w:hAnsi="黑体" w:hint="eastAsia"/>
          <w:b/>
          <w:sz w:val="28"/>
          <w:szCs w:val="28"/>
        </w:rPr>
        <w:t>编制说明</w:t>
      </w:r>
    </w:p>
    <w:p w14:paraId="20AC30DB" w14:textId="77777777" w:rsidR="00EE055D" w:rsidRPr="006F5D50" w:rsidRDefault="00EE055D" w:rsidP="006F5D50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</w:p>
    <w:tbl>
      <w:tblPr>
        <w:tblStyle w:val="af7"/>
        <w:tblW w:w="5137" w:type="pct"/>
        <w:tblLook w:val="04A0" w:firstRow="1" w:lastRow="0" w:firstColumn="1" w:lastColumn="0" w:noHBand="0" w:noVBand="1"/>
      </w:tblPr>
      <w:tblGrid>
        <w:gridCol w:w="1809"/>
        <w:gridCol w:w="6947"/>
      </w:tblGrid>
      <w:tr w:rsidR="00872158" w:rsidRPr="006F5D50" w14:paraId="53F7006E" w14:textId="77777777" w:rsidTr="00540BC2">
        <w:trPr>
          <w:trHeight w:val="665"/>
        </w:trPr>
        <w:tc>
          <w:tcPr>
            <w:tcW w:w="5000" w:type="pct"/>
            <w:gridSpan w:val="2"/>
            <w:vAlign w:val="center"/>
          </w:tcPr>
          <w:p w14:paraId="08DAFBB5" w14:textId="77777777" w:rsidR="00872158" w:rsidRPr="0035011D" w:rsidRDefault="00872158" w:rsidP="006F5D50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35011D">
              <w:rPr>
                <w:rFonts w:ascii="黑体" w:eastAsia="黑体" w:hAnsi="黑体" w:hint="eastAsia"/>
                <w:szCs w:val="21"/>
              </w:rPr>
              <w:t>工作简况</w:t>
            </w:r>
            <w:r w:rsidR="007D5572" w:rsidRPr="004C1AC4">
              <w:rPr>
                <w:rFonts w:ascii="黑体" w:eastAsia="黑体" w:hAnsi="黑体"/>
                <w:szCs w:val="21"/>
              </w:rPr>
              <w:t>包括任务来源、协作单位、主要工作过程、</w:t>
            </w:r>
            <w:r w:rsidR="007D5572" w:rsidRPr="004C1AC4">
              <w:rPr>
                <w:rFonts w:ascii="黑体" w:eastAsia="黑体" w:hAnsi="黑体" w:hint="eastAsia"/>
                <w:szCs w:val="21"/>
              </w:rPr>
              <w:t>标准</w:t>
            </w:r>
            <w:r w:rsidR="007D5572" w:rsidRPr="004C1AC4">
              <w:rPr>
                <w:rFonts w:ascii="黑体" w:eastAsia="黑体" w:hAnsi="黑体"/>
                <w:szCs w:val="21"/>
              </w:rPr>
              <w:t>主要起草人及其所做的工作等</w:t>
            </w:r>
          </w:p>
        </w:tc>
      </w:tr>
      <w:tr w:rsidR="0035011D" w:rsidRPr="006F5D50" w14:paraId="3F37D9E3" w14:textId="77777777" w:rsidTr="004640D0">
        <w:trPr>
          <w:trHeight w:val="1979"/>
        </w:trPr>
        <w:tc>
          <w:tcPr>
            <w:tcW w:w="1033" w:type="pct"/>
            <w:vAlign w:val="center"/>
          </w:tcPr>
          <w:p w14:paraId="45D86636" w14:textId="77777777" w:rsidR="0035011D" w:rsidRPr="0035011D" w:rsidRDefault="007D5572" w:rsidP="006F5D50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9E478C">
              <w:rPr>
                <w:rFonts w:hint="eastAsia"/>
                <w:szCs w:val="21"/>
              </w:rPr>
              <w:t>任务来源</w:t>
            </w:r>
          </w:p>
        </w:tc>
        <w:tc>
          <w:tcPr>
            <w:tcW w:w="3967" w:type="pct"/>
            <w:vAlign w:val="center"/>
          </w:tcPr>
          <w:p w14:paraId="19D5EED3" w14:textId="5CE2792E" w:rsidR="0035011D" w:rsidRPr="00540BC2" w:rsidRDefault="007D5572" w:rsidP="00540BC2">
            <w:pPr>
              <w:tabs>
                <w:tab w:val="left" w:pos="1190"/>
              </w:tabs>
              <w:snapToGrid w:val="0"/>
              <w:spacing w:line="300" w:lineRule="auto"/>
              <w:ind w:firstLineChars="200" w:firstLine="420"/>
              <w:rPr>
                <w:rFonts w:ascii="宋体" w:eastAsia="宋体" w:hAnsi="Times New Roman" w:cs="Times New Roman"/>
                <w:noProof/>
                <w:kern w:val="0"/>
                <w:szCs w:val="21"/>
              </w:rPr>
            </w:pPr>
            <w:r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202</w:t>
            </w:r>
            <w:r w:rsidR="00F618B6"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4</w:t>
            </w:r>
            <w:r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年</w:t>
            </w:r>
            <w:r w:rsidR="00F618B6"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2</w:t>
            </w:r>
            <w:r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月</w:t>
            </w:r>
            <w:r w:rsidR="00F618B6"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，</w:t>
            </w:r>
            <w:r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由</w:t>
            </w:r>
            <w:r w:rsidR="00F618B6"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上海鹏展清洁有限公司</w:t>
            </w:r>
            <w:r w:rsidR="00C0422E" w:rsidRPr="00C445A1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、上海捷康环保科技有限公司联合</w:t>
            </w:r>
            <w:r w:rsidRPr="00C445A1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向上海奶业行业协会提起申请制定团体标准《</w:t>
            </w:r>
            <w:r w:rsidR="00F618B6" w:rsidRPr="00C445A1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乳制品企业有害生物防制技术规范</w:t>
            </w:r>
            <w:r w:rsidRPr="00C445A1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》，</w:t>
            </w:r>
            <w:proofErr w:type="gramStart"/>
            <w:r w:rsidR="00C0422E" w:rsidRPr="00C445A1">
              <w:rPr>
                <w:rFonts w:hint="eastAsia"/>
                <w:szCs w:val="21"/>
              </w:rPr>
              <w:t>沪奶协</w:t>
            </w:r>
            <w:proofErr w:type="gramEnd"/>
            <w:r w:rsidR="00C0422E" w:rsidRPr="00C445A1">
              <w:rPr>
                <w:rFonts w:hint="eastAsia"/>
                <w:szCs w:val="21"/>
              </w:rPr>
              <w:t>【</w:t>
            </w:r>
            <w:r w:rsidR="00C0422E" w:rsidRPr="00C445A1">
              <w:rPr>
                <w:rFonts w:hint="eastAsia"/>
                <w:szCs w:val="21"/>
              </w:rPr>
              <w:t>2</w:t>
            </w:r>
            <w:r w:rsidR="00C0422E" w:rsidRPr="00C445A1">
              <w:rPr>
                <w:szCs w:val="21"/>
              </w:rPr>
              <w:t>02</w:t>
            </w:r>
            <w:r w:rsidR="00852285" w:rsidRPr="00C445A1">
              <w:rPr>
                <w:rFonts w:hint="eastAsia"/>
                <w:szCs w:val="21"/>
              </w:rPr>
              <w:t>4</w:t>
            </w:r>
            <w:r w:rsidR="00C0422E" w:rsidRPr="00C445A1">
              <w:rPr>
                <w:rFonts w:hint="eastAsia"/>
                <w:szCs w:val="21"/>
              </w:rPr>
              <w:t>】第</w:t>
            </w:r>
            <w:r w:rsidR="00852285" w:rsidRPr="00C445A1">
              <w:rPr>
                <w:rFonts w:hint="eastAsia"/>
                <w:szCs w:val="21"/>
              </w:rPr>
              <w:t>5</w:t>
            </w:r>
            <w:r w:rsidR="00C0422E" w:rsidRPr="00C445A1">
              <w:rPr>
                <w:szCs w:val="21"/>
              </w:rPr>
              <w:t>号文件同意立项。</w:t>
            </w:r>
          </w:p>
        </w:tc>
      </w:tr>
      <w:tr w:rsidR="007D5572" w:rsidRPr="006F5D50" w14:paraId="33772C4D" w14:textId="77777777" w:rsidTr="004640D0">
        <w:trPr>
          <w:trHeight w:val="1695"/>
        </w:trPr>
        <w:tc>
          <w:tcPr>
            <w:tcW w:w="1033" w:type="pct"/>
            <w:vAlign w:val="center"/>
          </w:tcPr>
          <w:p w14:paraId="5CAEAD02" w14:textId="77777777" w:rsidR="007D5572" w:rsidRPr="009E478C" w:rsidRDefault="007D5572" w:rsidP="006F5D50">
            <w:pPr>
              <w:spacing w:line="360" w:lineRule="auto"/>
              <w:jc w:val="center"/>
              <w:rPr>
                <w:szCs w:val="21"/>
              </w:rPr>
            </w:pPr>
            <w:r w:rsidRPr="009E478C">
              <w:rPr>
                <w:rFonts w:hint="eastAsia"/>
                <w:szCs w:val="21"/>
              </w:rPr>
              <w:t>协作单位</w:t>
            </w:r>
          </w:p>
        </w:tc>
        <w:tc>
          <w:tcPr>
            <w:tcW w:w="3967" w:type="pct"/>
            <w:vAlign w:val="center"/>
          </w:tcPr>
          <w:p w14:paraId="343013DF" w14:textId="4F580708" w:rsidR="007D5572" w:rsidRPr="00540BC2" w:rsidRDefault="00AA6F1B" w:rsidP="00540BC2">
            <w:pPr>
              <w:tabs>
                <w:tab w:val="left" w:pos="1190"/>
              </w:tabs>
              <w:snapToGrid w:val="0"/>
              <w:spacing w:line="300" w:lineRule="auto"/>
              <w:ind w:firstLineChars="200" w:firstLine="420"/>
              <w:rPr>
                <w:rFonts w:ascii="宋体" w:eastAsia="宋体" w:hAnsi="Times New Roman" w:cs="Times New Roman"/>
                <w:noProof/>
                <w:kern w:val="0"/>
                <w:szCs w:val="21"/>
              </w:rPr>
            </w:pPr>
            <w:r w:rsidRPr="00083F11">
              <w:rPr>
                <w:rFonts w:hint="eastAsia"/>
              </w:rPr>
              <w:t>上海市疾病预防控制中心</w:t>
            </w:r>
            <w:r>
              <w:rPr>
                <w:rFonts w:hint="eastAsia"/>
              </w:rPr>
              <w:t>、</w:t>
            </w:r>
            <w:r w:rsidR="00F618B6"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上海鹏展清洁有限公司、</w:t>
            </w:r>
            <w:r w:rsidR="00C0422E"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上海捷康环保科技有限公司</w:t>
            </w:r>
            <w:r w:rsidR="00C0422E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、</w:t>
            </w:r>
            <w:r w:rsidR="007D5572"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光明乳业股份有限公司</w:t>
            </w:r>
            <w:r w:rsidR="00C0422E">
              <w:rPr>
                <w:rFonts w:hint="eastAsia"/>
                <w:szCs w:val="21"/>
              </w:rPr>
              <w:t>等单位负责起草，</w:t>
            </w:r>
            <w:r w:rsidR="00C0422E" w:rsidRPr="009E478C">
              <w:rPr>
                <w:rFonts w:hint="eastAsia"/>
                <w:szCs w:val="21"/>
              </w:rPr>
              <w:t>由上海</w:t>
            </w:r>
            <w:r w:rsidR="00C0422E">
              <w:rPr>
                <w:rFonts w:hint="eastAsia"/>
                <w:szCs w:val="21"/>
              </w:rPr>
              <w:t>奶业行业</w:t>
            </w:r>
            <w:r w:rsidR="00C0422E" w:rsidRPr="009E478C">
              <w:rPr>
                <w:rFonts w:hint="eastAsia"/>
                <w:szCs w:val="21"/>
              </w:rPr>
              <w:t>协会归口</w:t>
            </w:r>
          </w:p>
        </w:tc>
      </w:tr>
      <w:tr w:rsidR="0035011D" w:rsidRPr="006F5D50" w14:paraId="174BBDC3" w14:textId="77777777" w:rsidTr="00EE055D">
        <w:trPr>
          <w:trHeight w:val="4286"/>
        </w:trPr>
        <w:tc>
          <w:tcPr>
            <w:tcW w:w="1033" w:type="pct"/>
            <w:vAlign w:val="center"/>
          </w:tcPr>
          <w:p w14:paraId="7DEB5B16" w14:textId="77777777" w:rsidR="0035011D" w:rsidRPr="007D5572" w:rsidRDefault="0035011D" w:rsidP="006F5D5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7D5572">
              <w:rPr>
                <w:rFonts w:asciiTheme="minorEastAsia" w:hAnsiTheme="minorEastAsia" w:hint="eastAsia"/>
                <w:szCs w:val="21"/>
              </w:rPr>
              <w:t>主要工作过程</w:t>
            </w:r>
          </w:p>
        </w:tc>
        <w:tc>
          <w:tcPr>
            <w:tcW w:w="3967" w:type="pct"/>
            <w:vAlign w:val="center"/>
          </w:tcPr>
          <w:p w14:paraId="49126862" w14:textId="5147FCE1" w:rsidR="00F61E27" w:rsidRPr="00540BC2" w:rsidRDefault="000F2B12" w:rsidP="00540BC2">
            <w:pPr>
              <w:tabs>
                <w:tab w:val="left" w:pos="1190"/>
              </w:tabs>
              <w:snapToGrid w:val="0"/>
              <w:spacing w:line="300" w:lineRule="auto"/>
              <w:ind w:firstLineChars="200" w:firstLine="420"/>
              <w:rPr>
                <w:rFonts w:ascii="宋体" w:eastAsia="宋体" w:hAnsi="Times New Roman" w:cs="Times New Roman"/>
                <w:noProof/>
                <w:kern w:val="0"/>
                <w:szCs w:val="21"/>
              </w:rPr>
            </w:pPr>
            <w:r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2月5日</w:t>
            </w:r>
            <w:r w:rsidR="00F61E27"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标准立项，起草组</w:t>
            </w:r>
            <w:r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开始</w:t>
            </w:r>
            <w:r w:rsidR="00F61E27"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收集</w:t>
            </w:r>
            <w:r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、</w:t>
            </w:r>
            <w:r w:rsidR="00F61E27"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整理国内外</w:t>
            </w:r>
            <w:r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相关标准资料</w:t>
            </w:r>
            <w:r w:rsidR="0022143B"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；</w:t>
            </w:r>
            <w:r w:rsidR="00F618B6"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2</w:t>
            </w:r>
            <w:r w:rsidR="00F61E27"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月</w:t>
            </w:r>
            <w:r w:rsidR="00F618B6"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18</w:t>
            </w:r>
            <w:r w:rsidR="00F61E27"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日</w:t>
            </w:r>
            <w:r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，标准编写小组开始编</w:t>
            </w:r>
            <w:r w:rsidRPr="00C445A1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写标准初稿</w:t>
            </w:r>
            <w:r w:rsidR="0022143B" w:rsidRPr="00C445A1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；</w:t>
            </w:r>
            <w:r w:rsidRPr="00C445A1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3</w:t>
            </w:r>
            <w:r w:rsidR="0022143B" w:rsidRPr="00C445A1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～5</w:t>
            </w:r>
            <w:r w:rsidRPr="00C445A1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月，</w:t>
            </w:r>
            <w:r w:rsidR="00F61E27" w:rsidRPr="00C445A1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起草完成了标准初稿，主要起草单位</w:t>
            </w:r>
            <w:r w:rsidR="0022143B" w:rsidRPr="00C445A1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上海鹏展清洁有限公司</w:t>
            </w:r>
            <w:r w:rsidR="005D3760" w:rsidRPr="00C445A1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等</w:t>
            </w:r>
            <w:r w:rsidR="00F61E27" w:rsidRPr="00C445A1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与归口单位上海奶业行业协会分别组织专家召开了多次标准研讨会，与会代表本着对行业认真负责的态度、科学严谨的工作作风，展开了对该标准的讨论；</w:t>
            </w:r>
            <w:r w:rsidR="00160FE5"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经</w:t>
            </w:r>
            <w:r w:rsidR="00F61E27"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过研讨，确定了该标准</w:t>
            </w:r>
            <w:r w:rsidR="0022143B"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以</w:t>
            </w:r>
            <w:r w:rsidR="0022143B" w:rsidRPr="00540BC2">
              <w:rPr>
                <w:rFonts w:ascii="宋体" w:eastAsia="宋体" w:hAnsi="Times New Roman" w:cs="Times New Roman"/>
                <w:noProof/>
                <w:kern w:val="0"/>
                <w:szCs w:val="21"/>
              </w:rPr>
              <w:t>乳制品企业发生鼠、蚊、蝇</w:t>
            </w:r>
            <w:r w:rsidR="0022143B"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、</w:t>
            </w:r>
            <w:r w:rsidR="0022143B" w:rsidRPr="00540BC2">
              <w:rPr>
                <w:rFonts w:ascii="宋体" w:eastAsia="宋体" w:hAnsi="Times New Roman" w:cs="Times New Roman"/>
                <w:noProof/>
                <w:kern w:val="0"/>
                <w:szCs w:val="21"/>
              </w:rPr>
              <w:t>蜚蠊及</w:t>
            </w:r>
            <w:r w:rsidR="0022143B"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果蝇、蚤蝇、蛾蠓等为控制</w:t>
            </w:r>
            <w:r w:rsidR="0022143B" w:rsidRPr="00540BC2">
              <w:rPr>
                <w:rFonts w:ascii="宋体" w:eastAsia="宋体" w:hAnsi="Times New Roman" w:cs="Times New Roman"/>
                <w:noProof/>
                <w:kern w:val="0"/>
                <w:szCs w:val="21"/>
              </w:rPr>
              <w:t>对象</w:t>
            </w:r>
            <w:r w:rsidR="0022143B"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、</w:t>
            </w:r>
            <w:r w:rsidR="0022143B" w:rsidRPr="00540BC2">
              <w:rPr>
                <w:rFonts w:ascii="宋体" w:eastAsia="宋体" w:hAnsi="Times New Roman" w:cs="Times New Roman"/>
                <w:noProof/>
                <w:kern w:val="0"/>
                <w:szCs w:val="21"/>
              </w:rPr>
              <w:t>要求、方法、评估、记录与报告</w:t>
            </w:r>
            <w:r w:rsidR="00F61E27"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的</w:t>
            </w:r>
            <w:r w:rsidR="0022143B"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主要</w:t>
            </w:r>
            <w:r w:rsidR="00F61E27"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技术指标内容。</w:t>
            </w:r>
          </w:p>
          <w:p w14:paraId="623B4826" w14:textId="77777777" w:rsidR="00EE055D" w:rsidRPr="00EE055D" w:rsidRDefault="0022143B" w:rsidP="00540BC2">
            <w:pPr>
              <w:tabs>
                <w:tab w:val="left" w:pos="1190"/>
              </w:tabs>
              <w:snapToGrid w:val="0"/>
              <w:spacing w:line="300" w:lineRule="auto"/>
              <w:ind w:firstLineChars="200" w:firstLine="420"/>
              <w:rPr>
                <w:rFonts w:asciiTheme="minorEastAsia" w:hAnsiTheme="minorEastAsia"/>
                <w:b/>
                <w:color w:val="000000"/>
                <w:szCs w:val="21"/>
              </w:rPr>
            </w:pPr>
            <w:r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6</w:t>
            </w:r>
            <w:r w:rsidR="007D5572"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月，</w:t>
            </w:r>
            <w:r w:rsidR="00EE055D"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《乳制品企业有害生物防制技术规范》</w:t>
            </w:r>
            <w:r w:rsidR="007D5572"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（征求意见稿）</w:t>
            </w:r>
            <w:r w:rsidR="00EE055D"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的</w:t>
            </w:r>
            <w:r w:rsidR="007D5572"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团体标准</w:t>
            </w:r>
            <w:r w:rsidR="00EE055D"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，开始征求意见，听取专家、</w:t>
            </w:r>
            <w:r w:rsidR="007D5572"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行业</w:t>
            </w:r>
            <w:r w:rsidR="00EE055D"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意见，</w:t>
            </w:r>
            <w:r w:rsidR="007D5572"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并对征求意见中的反馈意见进行</w:t>
            </w:r>
            <w:r w:rsidR="00927D82"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整理、研讨、反馈，形成标准送审稿。</w:t>
            </w:r>
          </w:p>
        </w:tc>
      </w:tr>
      <w:tr w:rsidR="007D5572" w:rsidRPr="006F5D50" w14:paraId="46814D79" w14:textId="77777777" w:rsidTr="004640D0">
        <w:trPr>
          <w:trHeight w:val="2915"/>
        </w:trPr>
        <w:tc>
          <w:tcPr>
            <w:tcW w:w="1033" w:type="pct"/>
            <w:vAlign w:val="center"/>
          </w:tcPr>
          <w:p w14:paraId="4FBBA127" w14:textId="77777777" w:rsidR="007D5572" w:rsidRPr="0035011D" w:rsidRDefault="007D5572" w:rsidP="006F5D50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9E478C">
              <w:rPr>
                <w:rFonts w:hint="eastAsia"/>
                <w:szCs w:val="21"/>
              </w:rPr>
              <w:t>主要起草人及主要工作</w:t>
            </w:r>
          </w:p>
        </w:tc>
        <w:tc>
          <w:tcPr>
            <w:tcW w:w="3967" w:type="pct"/>
            <w:vAlign w:val="center"/>
          </w:tcPr>
          <w:p w14:paraId="6C2241A9" w14:textId="77777777" w:rsidR="00F618B6" w:rsidRPr="00540BC2" w:rsidRDefault="00F618B6" w:rsidP="00540BC2">
            <w:pPr>
              <w:tabs>
                <w:tab w:val="left" w:pos="1190"/>
              </w:tabs>
              <w:snapToGrid w:val="0"/>
              <w:spacing w:line="300" w:lineRule="auto"/>
              <w:ind w:firstLineChars="200" w:firstLine="420"/>
              <w:rPr>
                <w:rFonts w:ascii="宋体" w:eastAsia="宋体" w:hAnsi="Times New Roman" w:cs="Times New Roman"/>
                <w:noProof/>
                <w:kern w:val="0"/>
                <w:szCs w:val="21"/>
              </w:rPr>
            </w:pPr>
            <w:r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刘洪霞</w:t>
            </w:r>
            <w:r w:rsidRPr="00540BC2">
              <w:rPr>
                <w:rFonts w:ascii="宋体" w:eastAsia="宋体" w:hAnsi="Times New Roman" w:cs="Times New Roman"/>
                <w:noProof/>
                <w:kern w:val="0"/>
                <w:szCs w:val="21"/>
              </w:rPr>
              <w:t>：全面负责标准制定和实施</w:t>
            </w:r>
          </w:p>
          <w:p w14:paraId="793DF131" w14:textId="77777777" w:rsidR="000F2B12" w:rsidRPr="00540BC2" w:rsidRDefault="000F2B12" w:rsidP="00540BC2">
            <w:pPr>
              <w:tabs>
                <w:tab w:val="left" w:pos="1190"/>
              </w:tabs>
              <w:snapToGrid w:val="0"/>
              <w:spacing w:line="300" w:lineRule="auto"/>
              <w:ind w:firstLineChars="200" w:firstLine="420"/>
              <w:rPr>
                <w:rFonts w:ascii="宋体" w:eastAsia="宋体" w:hAnsi="Times New Roman" w:cs="Times New Roman"/>
                <w:noProof/>
                <w:kern w:val="0"/>
                <w:szCs w:val="21"/>
              </w:rPr>
            </w:pPr>
            <w:r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王燕琳：</w:t>
            </w:r>
            <w:r w:rsidRPr="00540BC2">
              <w:rPr>
                <w:rFonts w:ascii="宋体" w:eastAsia="宋体" w:hAnsi="Times New Roman" w:cs="Times New Roman"/>
                <w:noProof/>
                <w:kern w:val="0"/>
                <w:szCs w:val="21"/>
              </w:rPr>
              <w:t>标准起草人</w:t>
            </w:r>
            <w:r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，参与</w:t>
            </w:r>
            <w:r w:rsidRPr="00540BC2">
              <w:rPr>
                <w:rFonts w:ascii="宋体" w:eastAsia="宋体" w:hAnsi="Times New Roman" w:cs="Times New Roman"/>
                <w:noProof/>
                <w:kern w:val="0"/>
                <w:szCs w:val="21"/>
              </w:rPr>
              <w:t>标准制定，协助</w:t>
            </w:r>
            <w:r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现场</w:t>
            </w:r>
            <w:r w:rsidRPr="00540BC2">
              <w:rPr>
                <w:rFonts w:ascii="宋体" w:eastAsia="宋体" w:hAnsi="Times New Roman" w:cs="Times New Roman"/>
                <w:noProof/>
                <w:kern w:val="0"/>
                <w:szCs w:val="21"/>
              </w:rPr>
              <w:t>应用验证</w:t>
            </w:r>
          </w:p>
          <w:p w14:paraId="585AEE4B" w14:textId="77777777" w:rsidR="00F618B6" w:rsidRPr="00540BC2" w:rsidRDefault="00F618B6" w:rsidP="00540BC2">
            <w:pPr>
              <w:tabs>
                <w:tab w:val="left" w:pos="1190"/>
              </w:tabs>
              <w:snapToGrid w:val="0"/>
              <w:spacing w:line="300" w:lineRule="auto"/>
              <w:ind w:firstLineChars="200" w:firstLine="420"/>
              <w:rPr>
                <w:rFonts w:ascii="宋体" w:eastAsia="宋体" w:hAnsi="Times New Roman" w:cs="Times New Roman"/>
                <w:noProof/>
                <w:kern w:val="0"/>
                <w:szCs w:val="21"/>
              </w:rPr>
            </w:pPr>
            <w:r w:rsidRPr="00540BC2">
              <w:rPr>
                <w:rFonts w:ascii="宋体" w:eastAsia="宋体" w:hAnsi="Times New Roman" w:cs="Times New Roman"/>
                <w:noProof/>
                <w:kern w:val="0"/>
                <w:szCs w:val="21"/>
              </w:rPr>
              <w:t>胡</w:t>
            </w:r>
            <w:r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 xml:space="preserve">  </w:t>
            </w:r>
            <w:r w:rsidRPr="00540BC2">
              <w:rPr>
                <w:rFonts w:ascii="宋体" w:eastAsia="宋体" w:hAnsi="Times New Roman" w:cs="Times New Roman"/>
                <w:noProof/>
                <w:kern w:val="0"/>
                <w:szCs w:val="21"/>
              </w:rPr>
              <w:t>忠：标准起草人</w:t>
            </w:r>
            <w:r w:rsidR="000F2B12"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，参与</w:t>
            </w:r>
            <w:r w:rsidR="000F2B12" w:rsidRPr="00540BC2">
              <w:rPr>
                <w:rFonts w:ascii="宋体" w:eastAsia="宋体" w:hAnsi="Times New Roman" w:cs="Times New Roman"/>
                <w:noProof/>
                <w:kern w:val="0"/>
                <w:szCs w:val="21"/>
              </w:rPr>
              <w:t>标准制定和</w:t>
            </w:r>
            <w:r w:rsidR="000F2B12"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现场</w:t>
            </w:r>
            <w:r w:rsidR="000F2B12" w:rsidRPr="00540BC2">
              <w:rPr>
                <w:rFonts w:ascii="宋体" w:eastAsia="宋体" w:hAnsi="Times New Roman" w:cs="Times New Roman"/>
                <w:noProof/>
                <w:kern w:val="0"/>
                <w:szCs w:val="21"/>
              </w:rPr>
              <w:t>应用</w:t>
            </w:r>
            <w:r w:rsidRPr="00540BC2">
              <w:rPr>
                <w:rFonts w:ascii="宋体" w:eastAsia="宋体" w:hAnsi="Times New Roman" w:cs="Times New Roman"/>
                <w:noProof/>
                <w:kern w:val="0"/>
                <w:szCs w:val="21"/>
              </w:rPr>
              <w:t>实施</w:t>
            </w:r>
          </w:p>
          <w:p w14:paraId="33749913" w14:textId="77777777" w:rsidR="00F618B6" w:rsidRPr="00540BC2" w:rsidRDefault="00F618B6" w:rsidP="00540BC2">
            <w:pPr>
              <w:tabs>
                <w:tab w:val="left" w:pos="1190"/>
              </w:tabs>
              <w:snapToGrid w:val="0"/>
              <w:spacing w:line="300" w:lineRule="auto"/>
              <w:ind w:firstLineChars="200" w:firstLine="420"/>
              <w:rPr>
                <w:rFonts w:ascii="宋体" w:eastAsia="宋体" w:hAnsi="Times New Roman" w:cs="Times New Roman"/>
                <w:noProof/>
                <w:kern w:val="0"/>
                <w:szCs w:val="21"/>
              </w:rPr>
            </w:pPr>
            <w:r w:rsidRPr="00540BC2">
              <w:rPr>
                <w:rFonts w:ascii="宋体" w:eastAsia="宋体" w:hAnsi="Times New Roman" w:cs="Times New Roman"/>
                <w:noProof/>
                <w:kern w:val="0"/>
                <w:szCs w:val="21"/>
              </w:rPr>
              <w:t>乔恩军：标准起草人</w:t>
            </w:r>
            <w:r w:rsidR="000F2B12"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，</w:t>
            </w:r>
            <w:r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参与</w:t>
            </w:r>
            <w:r w:rsidRPr="00540BC2">
              <w:rPr>
                <w:rFonts w:ascii="宋体" w:eastAsia="宋体" w:hAnsi="Times New Roman" w:cs="Times New Roman"/>
                <w:noProof/>
                <w:kern w:val="0"/>
                <w:szCs w:val="21"/>
              </w:rPr>
              <w:t>标准制定和</w:t>
            </w:r>
            <w:r w:rsidR="000F2B12"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现场</w:t>
            </w:r>
            <w:r w:rsidR="000F2B12" w:rsidRPr="00540BC2">
              <w:rPr>
                <w:rFonts w:ascii="宋体" w:eastAsia="宋体" w:hAnsi="Times New Roman" w:cs="Times New Roman"/>
                <w:noProof/>
                <w:kern w:val="0"/>
                <w:szCs w:val="21"/>
              </w:rPr>
              <w:t>应用</w:t>
            </w:r>
            <w:r w:rsidRPr="00540BC2">
              <w:rPr>
                <w:rFonts w:ascii="宋体" w:eastAsia="宋体" w:hAnsi="Times New Roman" w:cs="Times New Roman"/>
                <w:noProof/>
                <w:kern w:val="0"/>
                <w:szCs w:val="21"/>
              </w:rPr>
              <w:t>实施</w:t>
            </w:r>
          </w:p>
          <w:p w14:paraId="1B2141F9" w14:textId="77777777" w:rsidR="00F618B6" w:rsidRPr="00540BC2" w:rsidRDefault="00F618B6" w:rsidP="00540BC2">
            <w:pPr>
              <w:tabs>
                <w:tab w:val="left" w:pos="1190"/>
              </w:tabs>
              <w:snapToGrid w:val="0"/>
              <w:spacing w:line="300" w:lineRule="auto"/>
              <w:ind w:firstLineChars="200" w:firstLine="420"/>
              <w:rPr>
                <w:rFonts w:ascii="宋体" w:eastAsia="宋体" w:hAnsi="Times New Roman" w:cs="Times New Roman"/>
                <w:noProof/>
                <w:kern w:val="0"/>
                <w:szCs w:val="21"/>
              </w:rPr>
            </w:pPr>
            <w:r w:rsidRPr="00540BC2">
              <w:rPr>
                <w:rFonts w:ascii="宋体" w:eastAsia="宋体" w:hAnsi="Times New Roman" w:cs="Times New Roman"/>
                <w:noProof/>
                <w:kern w:val="0"/>
                <w:szCs w:val="21"/>
              </w:rPr>
              <w:t>钱建国</w:t>
            </w:r>
            <w:r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：</w:t>
            </w:r>
            <w:r w:rsidRPr="00540BC2">
              <w:rPr>
                <w:rFonts w:ascii="宋体" w:eastAsia="宋体" w:hAnsi="Times New Roman" w:cs="Times New Roman"/>
                <w:noProof/>
                <w:kern w:val="0"/>
                <w:szCs w:val="21"/>
              </w:rPr>
              <w:t>参与标准起草</w:t>
            </w:r>
            <w:r w:rsidR="000F2B12"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，</w:t>
            </w:r>
            <w:r w:rsidRPr="00540BC2">
              <w:rPr>
                <w:rFonts w:ascii="宋体" w:eastAsia="宋体" w:hAnsi="Times New Roman" w:cs="Times New Roman"/>
                <w:noProof/>
                <w:kern w:val="0"/>
                <w:szCs w:val="21"/>
              </w:rPr>
              <w:t>协助</w:t>
            </w:r>
            <w:r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现场</w:t>
            </w:r>
            <w:r w:rsidRPr="00540BC2">
              <w:rPr>
                <w:rFonts w:ascii="宋体" w:eastAsia="宋体" w:hAnsi="Times New Roman" w:cs="Times New Roman"/>
                <w:noProof/>
                <w:kern w:val="0"/>
                <w:szCs w:val="21"/>
              </w:rPr>
              <w:t>应用验证</w:t>
            </w:r>
          </w:p>
          <w:p w14:paraId="65ECBFA7" w14:textId="77777777" w:rsidR="007D5572" w:rsidRDefault="00F618B6" w:rsidP="00540BC2">
            <w:pPr>
              <w:tabs>
                <w:tab w:val="left" w:pos="1190"/>
              </w:tabs>
              <w:snapToGrid w:val="0"/>
              <w:spacing w:line="300" w:lineRule="auto"/>
              <w:ind w:firstLineChars="200" w:firstLine="420"/>
              <w:rPr>
                <w:rFonts w:ascii="Calibri" w:eastAsia="宋体" w:hAnsi="Calibri" w:cs="Times New Roman"/>
                <w:szCs w:val="21"/>
              </w:rPr>
            </w:pPr>
            <w:r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陈小弟：</w:t>
            </w:r>
            <w:r w:rsidRPr="00540BC2">
              <w:rPr>
                <w:rFonts w:ascii="宋体" w:eastAsia="宋体" w:hAnsi="Times New Roman" w:cs="Times New Roman"/>
                <w:noProof/>
                <w:kern w:val="0"/>
                <w:szCs w:val="21"/>
              </w:rPr>
              <w:t>参与标准起草</w:t>
            </w:r>
            <w:r w:rsidR="000F2B12"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，</w:t>
            </w:r>
            <w:r w:rsidRPr="00540BC2">
              <w:rPr>
                <w:rFonts w:ascii="宋体" w:eastAsia="宋体" w:hAnsi="Times New Roman" w:cs="Times New Roman"/>
                <w:noProof/>
                <w:kern w:val="0"/>
                <w:szCs w:val="21"/>
              </w:rPr>
              <w:t>协助</w:t>
            </w:r>
            <w:r w:rsidRPr="00540BC2">
              <w:rPr>
                <w:rFonts w:ascii="宋体" w:eastAsia="宋体" w:hAnsi="Times New Roman" w:cs="Times New Roman" w:hint="eastAsia"/>
                <w:noProof/>
                <w:kern w:val="0"/>
                <w:szCs w:val="21"/>
              </w:rPr>
              <w:t>现场</w:t>
            </w:r>
            <w:r w:rsidRPr="00540BC2">
              <w:rPr>
                <w:rFonts w:ascii="宋体" w:eastAsia="宋体" w:hAnsi="Times New Roman" w:cs="Times New Roman"/>
                <w:noProof/>
                <w:kern w:val="0"/>
                <w:szCs w:val="21"/>
              </w:rPr>
              <w:t>应用验证</w:t>
            </w:r>
          </w:p>
        </w:tc>
      </w:tr>
    </w:tbl>
    <w:p w14:paraId="6985F2B2" w14:textId="77777777" w:rsidR="00EE055D" w:rsidRDefault="00EE055D"/>
    <w:p w14:paraId="52BC8B67" w14:textId="77777777" w:rsidR="00EE055D" w:rsidRDefault="00EE055D"/>
    <w:tbl>
      <w:tblPr>
        <w:tblStyle w:val="af7"/>
        <w:tblW w:w="5053" w:type="pct"/>
        <w:tblLayout w:type="fixed"/>
        <w:tblLook w:val="04A0" w:firstRow="1" w:lastRow="0" w:firstColumn="1" w:lastColumn="0" w:noHBand="0" w:noVBand="1"/>
      </w:tblPr>
      <w:tblGrid>
        <w:gridCol w:w="1809"/>
        <w:gridCol w:w="6803"/>
      </w:tblGrid>
      <w:tr w:rsidR="0035011D" w:rsidRPr="006F5D50" w14:paraId="04D59DE9" w14:textId="77777777" w:rsidTr="001726ED">
        <w:trPr>
          <w:trHeight w:val="210"/>
        </w:trPr>
        <w:tc>
          <w:tcPr>
            <w:tcW w:w="5000" w:type="pct"/>
            <w:gridSpan w:val="2"/>
            <w:vAlign w:val="center"/>
          </w:tcPr>
          <w:p w14:paraId="263CC81C" w14:textId="77777777" w:rsidR="0035011D" w:rsidRPr="007D5572" w:rsidRDefault="007D5572" w:rsidP="004C1AC4">
            <w:pPr>
              <w:spacing w:line="360" w:lineRule="auto"/>
              <w:jc w:val="center"/>
              <w:rPr>
                <w:rFonts w:ascii="Verdana" w:eastAsia="宋体" w:hAnsi="Verdana"/>
                <w:color w:val="363636"/>
                <w:szCs w:val="24"/>
              </w:rPr>
            </w:pPr>
            <w:r w:rsidRPr="004C1AC4">
              <w:rPr>
                <w:rFonts w:ascii="黑体" w:eastAsia="黑体" w:hAnsi="黑体"/>
                <w:szCs w:val="21"/>
              </w:rPr>
              <w:lastRenderedPageBreak/>
              <w:t>标准编制原则和确定标准主要内容（如技术指标、参数、公式、性能要求、试验方法、检验规则等）的依据</w:t>
            </w:r>
            <w:r w:rsidRPr="004C1AC4">
              <w:rPr>
                <w:rFonts w:ascii="黑体" w:eastAsia="黑体" w:hAnsi="黑体" w:hint="eastAsia"/>
                <w:szCs w:val="21"/>
              </w:rPr>
              <w:t>（包括试验、统计数据）</w:t>
            </w:r>
          </w:p>
        </w:tc>
      </w:tr>
      <w:tr w:rsidR="00903CD3" w:rsidRPr="006F5D50" w14:paraId="7698B661" w14:textId="77777777" w:rsidTr="00540BC2">
        <w:trPr>
          <w:trHeight w:val="1744"/>
        </w:trPr>
        <w:tc>
          <w:tcPr>
            <w:tcW w:w="1050" w:type="pct"/>
            <w:vAlign w:val="center"/>
          </w:tcPr>
          <w:p w14:paraId="1217AEEA" w14:textId="77777777" w:rsidR="0035011D" w:rsidRDefault="00903CD3" w:rsidP="0035011D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35011D">
              <w:rPr>
                <w:rFonts w:ascii="黑体" w:eastAsia="黑体" w:hAnsi="黑体" w:hint="eastAsia"/>
                <w:szCs w:val="21"/>
              </w:rPr>
              <w:t>标准编制</w:t>
            </w:r>
          </w:p>
          <w:p w14:paraId="319E147C" w14:textId="77777777" w:rsidR="00903CD3" w:rsidRPr="0035011D" w:rsidRDefault="00903CD3" w:rsidP="0035011D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35011D">
              <w:rPr>
                <w:rFonts w:ascii="黑体" w:eastAsia="黑体" w:hAnsi="黑体" w:hint="eastAsia"/>
                <w:szCs w:val="21"/>
              </w:rPr>
              <w:t>原则</w:t>
            </w:r>
          </w:p>
        </w:tc>
        <w:tc>
          <w:tcPr>
            <w:tcW w:w="3950" w:type="pct"/>
            <w:vAlign w:val="center"/>
          </w:tcPr>
          <w:p w14:paraId="1884ABD8" w14:textId="77777777" w:rsidR="00AF77AA" w:rsidRPr="004C4248" w:rsidRDefault="00AF77AA" w:rsidP="00540BC2">
            <w:pPr>
              <w:pStyle w:val="aff2"/>
              <w:spacing w:line="276" w:lineRule="auto"/>
              <w:ind w:firstLine="420"/>
              <w:rPr>
                <w:szCs w:val="21"/>
              </w:rPr>
            </w:pPr>
            <w:r w:rsidRPr="004C4248">
              <w:rPr>
                <w:szCs w:val="21"/>
              </w:rPr>
              <w:t>遵照GB/T 1.1</w:t>
            </w:r>
            <w:r w:rsidRPr="004C4248">
              <w:rPr>
                <w:rFonts w:hint="eastAsia"/>
                <w:szCs w:val="21"/>
              </w:rPr>
              <w:t>-</w:t>
            </w:r>
            <w:r w:rsidRPr="004C4248">
              <w:rPr>
                <w:szCs w:val="21"/>
              </w:rPr>
              <w:t>2020《标准化工作导则 第1部分：标准化文件的结构和起草规则》的规定</w:t>
            </w:r>
            <w:r w:rsidRPr="004C4248">
              <w:rPr>
                <w:rFonts w:hint="eastAsia"/>
                <w:szCs w:val="21"/>
              </w:rPr>
              <w:t>要求</w:t>
            </w:r>
            <w:r w:rsidRPr="004C4248">
              <w:rPr>
                <w:szCs w:val="21"/>
              </w:rPr>
              <w:t>编辑。</w:t>
            </w:r>
          </w:p>
          <w:p w14:paraId="34C14C4B" w14:textId="77777777" w:rsidR="00AF77AA" w:rsidRPr="00AF77AA" w:rsidRDefault="006C7974" w:rsidP="00540BC2">
            <w:pPr>
              <w:pStyle w:val="aff2"/>
              <w:spacing w:line="276" w:lineRule="auto"/>
              <w:ind w:firstLine="420"/>
              <w:rPr>
                <w:rFonts w:hAnsi="宋体" w:cstheme="minorBidi"/>
                <w:b/>
                <w:color w:val="000000"/>
                <w:szCs w:val="21"/>
              </w:rPr>
            </w:pPr>
            <w:r w:rsidRPr="004C4248">
              <w:rPr>
                <w:rFonts w:hint="eastAsia"/>
                <w:szCs w:val="21"/>
              </w:rPr>
              <w:t>本文件编制遵循“科学性、</w:t>
            </w:r>
            <w:r w:rsidR="00AF77AA" w:rsidRPr="004C4248">
              <w:rPr>
                <w:rFonts w:hint="eastAsia"/>
                <w:szCs w:val="21"/>
              </w:rPr>
              <w:t>规范性、</w:t>
            </w:r>
            <w:r w:rsidRPr="004C4248">
              <w:rPr>
                <w:rFonts w:hint="eastAsia"/>
                <w:szCs w:val="21"/>
              </w:rPr>
              <w:t>实用性”的原则，注重</w:t>
            </w:r>
            <w:r w:rsidR="00AF77AA" w:rsidRPr="004C4248">
              <w:rPr>
                <w:rFonts w:hint="eastAsia"/>
                <w:szCs w:val="21"/>
              </w:rPr>
              <w:t>科学、规范、可操作和安全性</w:t>
            </w:r>
            <w:r w:rsidRPr="004C4248">
              <w:rPr>
                <w:rFonts w:hint="eastAsia"/>
                <w:szCs w:val="21"/>
              </w:rPr>
              <w:t>。</w:t>
            </w:r>
          </w:p>
        </w:tc>
      </w:tr>
      <w:tr w:rsidR="00903CD3" w:rsidRPr="006F5D50" w14:paraId="0107FA31" w14:textId="77777777" w:rsidTr="00540BC2">
        <w:trPr>
          <w:trHeight w:val="11322"/>
        </w:trPr>
        <w:tc>
          <w:tcPr>
            <w:tcW w:w="1050" w:type="pct"/>
            <w:vAlign w:val="center"/>
          </w:tcPr>
          <w:p w14:paraId="5B999EF9" w14:textId="77777777" w:rsidR="0035011D" w:rsidRDefault="00903CD3" w:rsidP="0035011D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35011D">
              <w:rPr>
                <w:rFonts w:ascii="黑体" w:eastAsia="黑体" w:hAnsi="黑体" w:hint="eastAsia"/>
                <w:szCs w:val="21"/>
              </w:rPr>
              <w:t>确定标准</w:t>
            </w:r>
          </w:p>
          <w:p w14:paraId="2F749A7D" w14:textId="77777777" w:rsidR="00903CD3" w:rsidRPr="0035011D" w:rsidRDefault="00903CD3" w:rsidP="0035011D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35011D">
              <w:rPr>
                <w:rFonts w:ascii="黑体" w:eastAsia="黑体" w:hAnsi="黑体" w:hint="eastAsia"/>
                <w:szCs w:val="21"/>
              </w:rPr>
              <w:t>主要内容论据</w:t>
            </w:r>
          </w:p>
        </w:tc>
        <w:tc>
          <w:tcPr>
            <w:tcW w:w="3950" w:type="pct"/>
            <w:vAlign w:val="center"/>
          </w:tcPr>
          <w:p w14:paraId="275773B2" w14:textId="77777777" w:rsidR="001C1244" w:rsidRDefault="001C1244" w:rsidP="00540BC2">
            <w:pPr>
              <w:pStyle w:val="aff2"/>
              <w:spacing w:line="276" w:lineRule="auto"/>
              <w:ind w:firstLine="420"/>
            </w:pPr>
            <w:r>
              <w:rPr>
                <w:rFonts w:hint="eastAsia"/>
              </w:rPr>
              <w:t>1.</w:t>
            </w:r>
            <w:r w:rsidR="00AF77AA">
              <w:rPr>
                <w:rFonts w:hint="eastAsia"/>
              </w:rPr>
              <w:t>本文件规定了</w:t>
            </w:r>
            <w:r>
              <w:rPr>
                <w:rFonts w:hint="eastAsia"/>
                <w:szCs w:val="21"/>
              </w:rPr>
              <w:t>术语和定义，</w:t>
            </w:r>
            <w:r w:rsidR="00AF77AA">
              <w:rPr>
                <w:rFonts w:hint="eastAsia"/>
              </w:rPr>
              <w:t>乳制品企业有害生物防制的基本要求、防制规程以及效果评价。适用于乳制品生产、生活及流转的接触场所和环境中有害生物的防制。</w:t>
            </w:r>
            <w:bookmarkStart w:id="0" w:name="_Toc26718931"/>
            <w:bookmarkStart w:id="1" w:name="_Toc26986531"/>
            <w:bookmarkStart w:id="2" w:name="_Toc26986772"/>
            <w:bookmarkStart w:id="3" w:name="_Toc97192965"/>
          </w:p>
          <w:bookmarkEnd w:id="0"/>
          <w:bookmarkEnd w:id="1"/>
          <w:bookmarkEnd w:id="2"/>
          <w:bookmarkEnd w:id="3"/>
          <w:p w14:paraId="60FE35AD" w14:textId="77777777" w:rsidR="001C1244" w:rsidRDefault="001C1244" w:rsidP="00540BC2">
            <w:pPr>
              <w:pStyle w:val="aff2"/>
              <w:spacing w:line="276" w:lineRule="auto"/>
              <w:ind w:firstLine="420"/>
            </w:pPr>
            <w:r>
              <w:rPr>
                <w:rFonts w:hint="eastAsia"/>
              </w:rPr>
              <w:t>2.</w:t>
            </w:r>
            <w:r w:rsidRPr="00525047">
              <w:rPr>
                <w:rFonts w:hint="eastAsia"/>
              </w:rPr>
              <w:t>乳制品企业是有害生物防制的责任主体单位</w:t>
            </w:r>
            <w:r>
              <w:rPr>
                <w:rFonts w:hint="eastAsia"/>
              </w:rPr>
              <w:t>，应定期开展日常性</w:t>
            </w:r>
            <w:r w:rsidRPr="00525047">
              <w:rPr>
                <w:rFonts w:hint="eastAsia"/>
              </w:rPr>
              <w:t>有害生物防制工作。</w:t>
            </w:r>
          </w:p>
          <w:p w14:paraId="135E08AA" w14:textId="77777777" w:rsidR="001C1244" w:rsidRPr="001C1244" w:rsidRDefault="001C1244" w:rsidP="00540BC2">
            <w:pPr>
              <w:pStyle w:val="aff"/>
              <w:shd w:val="clear" w:color="auto" w:fill="FFFFFF"/>
              <w:spacing w:before="0" w:beforeAutospacing="0" w:after="0" w:afterAutospacing="0" w:line="276" w:lineRule="auto"/>
              <w:ind w:firstLineChars="200" w:firstLine="480"/>
              <w:rPr>
                <w:rFonts w:hAnsi="Times New Roman" w:cs="Times New Roman"/>
                <w:noProof/>
                <w:sz w:val="21"/>
                <w:szCs w:val="20"/>
              </w:rPr>
            </w:pPr>
            <w:r>
              <w:rPr>
                <w:rFonts w:hint="eastAsia"/>
              </w:rPr>
              <w:t>3.</w:t>
            </w:r>
            <w:r w:rsidRPr="001C1244">
              <w:rPr>
                <w:rFonts w:hAnsi="Times New Roman" w:cs="Times New Roman" w:hint="eastAsia"/>
                <w:noProof/>
                <w:sz w:val="21"/>
                <w:szCs w:val="20"/>
              </w:rPr>
              <w:t>制定综合防制技术方案，以环境防治为主，结合物理器械、药物与预防设施等综合性防制措施。</w:t>
            </w:r>
            <w:r w:rsidRPr="001C1244">
              <w:rPr>
                <w:rFonts w:hAnsi="Times New Roman" w:cs="Times New Roman"/>
                <w:noProof/>
                <w:sz w:val="21"/>
                <w:szCs w:val="20"/>
              </w:rPr>
              <w:t>遵循</w:t>
            </w:r>
            <w:r w:rsidRPr="001C1244">
              <w:rPr>
                <w:rFonts w:hAnsi="Times New Roman" w:cs="Times New Roman" w:hint="eastAsia"/>
                <w:noProof/>
                <w:sz w:val="21"/>
                <w:szCs w:val="20"/>
              </w:rPr>
              <w:t>科学</w:t>
            </w:r>
            <w:r w:rsidRPr="001C1244">
              <w:rPr>
                <w:rFonts w:hAnsi="Times New Roman" w:cs="Times New Roman"/>
                <w:noProof/>
                <w:sz w:val="21"/>
                <w:szCs w:val="20"/>
              </w:rPr>
              <w:t>、安全、有效的综合防制</w:t>
            </w:r>
            <w:r w:rsidRPr="001C1244">
              <w:rPr>
                <w:rFonts w:hAnsi="Times New Roman" w:cs="Times New Roman" w:hint="eastAsia"/>
                <w:noProof/>
                <w:sz w:val="21"/>
                <w:szCs w:val="20"/>
              </w:rPr>
              <w:t>原则，以</w:t>
            </w:r>
            <w:r w:rsidRPr="001C1244">
              <w:rPr>
                <w:rFonts w:hAnsi="Times New Roman" w:cs="Times New Roman"/>
                <w:noProof/>
                <w:sz w:val="21"/>
                <w:szCs w:val="20"/>
              </w:rPr>
              <w:t>有害生物</w:t>
            </w:r>
            <w:r w:rsidRPr="001C1244">
              <w:rPr>
                <w:rFonts w:hAnsi="Times New Roman" w:cs="Times New Roman" w:hint="eastAsia"/>
                <w:noProof/>
                <w:sz w:val="21"/>
                <w:szCs w:val="20"/>
              </w:rPr>
              <w:t>生态学为基础，完善</w:t>
            </w:r>
            <w:r w:rsidRPr="001C1244">
              <w:rPr>
                <w:rFonts w:hAnsi="Times New Roman" w:cs="Times New Roman"/>
                <w:noProof/>
                <w:sz w:val="21"/>
                <w:szCs w:val="20"/>
              </w:rPr>
              <w:t>防鼠、防蚊蝇等设施</w:t>
            </w:r>
            <w:r w:rsidRPr="001C1244">
              <w:rPr>
                <w:rFonts w:hAnsi="Times New Roman" w:cs="Times New Roman" w:hint="eastAsia"/>
                <w:noProof/>
                <w:sz w:val="21"/>
                <w:szCs w:val="20"/>
              </w:rPr>
              <w:t>，采取</w:t>
            </w:r>
            <w:r w:rsidRPr="001C1244">
              <w:rPr>
                <w:rFonts w:hAnsi="Times New Roman" w:cs="Times New Roman"/>
                <w:noProof/>
                <w:sz w:val="21"/>
                <w:szCs w:val="20"/>
              </w:rPr>
              <w:t>环境治理优先，物理防制为主，</w:t>
            </w:r>
            <w:r w:rsidRPr="001C1244">
              <w:rPr>
                <w:rFonts w:hAnsi="Times New Roman" w:cs="Times New Roman" w:hint="eastAsia"/>
                <w:noProof/>
                <w:sz w:val="21"/>
                <w:szCs w:val="20"/>
              </w:rPr>
              <w:t>条件许可时使用</w:t>
            </w:r>
            <w:r w:rsidRPr="001C1244">
              <w:rPr>
                <w:rFonts w:hAnsi="Times New Roman" w:cs="Times New Roman"/>
                <w:noProof/>
                <w:sz w:val="21"/>
                <w:szCs w:val="20"/>
              </w:rPr>
              <w:t>化学防制的综合</w:t>
            </w:r>
            <w:r w:rsidRPr="001C1244">
              <w:rPr>
                <w:rFonts w:hAnsi="Times New Roman" w:cs="Times New Roman" w:hint="eastAsia"/>
                <w:noProof/>
                <w:sz w:val="21"/>
                <w:szCs w:val="20"/>
              </w:rPr>
              <w:t>性</w:t>
            </w:r>
            <w:r w:rsidRPr="001C1244">
              <w:rPr>
                <w:rFonts w:hAnsi="Times New Roman" w:cs="Times New Roman"/>
                <w:noProof/>
                <w:sz w:val="21"/>
                <w:szCs w:val="20"/>
              </w:rPr>
              <w:t>防制</w:t>
            </w:r>
            <w:r w:rsidRPr="001C1244">
              <w:rPr>
                <w:rFonts w:hAnsi="Times New Roman" w:cs="Times New Roman" w:hint="eastAsia"/>
                <w:noProof/>
                <w:sz w:val="21"/>
                <w:szCs w:val="20"/>
              </w:rPr>
              <w:t>措施</w:t>
            </w:r>
            <w:r w:rsidRPr="001C1244">
              <w:rPr>
                <w:rFonts w:hAnsi="Times New Roman" w:cs="Times New Roman"/>
                <w:noProof/>
                <w:sz w:val="21"/>
                <w:szCs w:val="20"/>
              </w:rPr>
              <w:t>。</w:t>
            </w:r>
          </w:p>
          <w:p w14:paraId="197F1AEE" w14:textId="77777777" w:rsidR="001C1244" w:rsidRDefault="001C1244" w:rsidP="00540BC2">
            <w:pPr>
              <w:pStyle w:val="aff2"/>
              <w:spacing w:line="276" w:lineRule="auto"/>
              <w:ind w:firstLine="420"/>
            </w:pPr>
            <w:r w:rsidRPr="001C1244">
              <w:rPr>
                <w:rFonts w:hint="eastAsia"/>
              </w:rPr>
              <w:t>4.制定</w:t>
            </w:r>
            <w:r>
              <w:rPr>
                <w:rFonts w:hint="eastAsia"/>
              </w:rPr>
              <w:t>符合乳制品企业要求和防制原则和防制目标，主要内容包括：</w:t>
            </w:r>
          </w:p>
          <w:p w14:paraId="3C38E6A4" w14:textId="77777777" w:rsidR="001C1244" w:rsidRDefault="001C1244" w:rsidP="00540BC2">
            <w:pPr>
              <w:pStyle w:val="aff2"/>
              <w:spacing w:line="276" w:lineRule="auto"/>
              <w:ind w:firstLine="420"/>
            </w:pPr>
            <w:r>
              <w:rPr>
                <w:rFonts w:hint="eastAsia"/>
              </w:rPr>
              <w:t xml:space="preserve">（1）乳制品企业平面图，包括功能区域划分、相应面积和结构、规模等； </w:t>
            </w:r>
          </w:p>
          <w:p w14:paraId="6DF4F4AC" w14:textId="77777777" w:rsidR="001C1244" w:rsidRDefault="001C1244" w:rsidP="00540BC2">
            <w:pPr>
              <w:pStyle w:val="aff2"/>
              <w:spacing w:line="276" w:lineRule="auto"/>
              <w:ind w:firstLine="420"/>
            </w:pPr>
            <w:r>
              <w:rPr>
                <w:rFonts w:hint="eastAsia"/>
              </w:rPr>
              <w:t xml:space="preserve">（2）有害生物发生及危害状况； </w:t>
            </w:r>
          </w:p>
          <w:p w14:paraId="695B552E" w14:textId="77777777" w:rsidR="001C1244" w:rsidRDefault="001C1244" w:rsidP="00540BC2">
            <w:pPr>
              <w:pStyle w:val="aff2"/>
              <w:spacing w:line="276" w:lineRule="auto"/>
              <w:ind w:firstLine="420"/>
            </w:pPr>
            <w:r>
              <w:rPr>
                <w:rFonts w:hint="eastAsia"/>
              </w:rPr>
              <w:t xml:space="preserve">（3）有害生物孳生和栖息场所治理，防护设施建设和维护； </w:t>
            </w:r>
          </w:p>
          <w:p w14:paraId="6FDFB8B9" w14:textId="77777777" w:rsidR="001C1244" w:rsidRDefault="001C1244" w:rsidP="00540BC2">
            <w:pPr>
              <w:pStyle w:val="aff2"/>
              <w:spacing w:line="276" w:lineRule="auto"/>
              <w:ind w:firstLine="420"/>
            </w:pPr>
            <w:r>
              <w:rPr>
                <w:rFonts w:hint="eastAsia"/>
              </w:rPr>
              <w:t>（4）物理防制措施，包括器械种类、数量、布放位置等；</w:t>
            </w:r>
          </w:p>
          <w:p w14:paraId="74BE8A70" w14:textId="77777777" w:rsidR="001C1244" w:rsidRDefault="001C1244" w:rsidP="00540BC2">
            <w:pPr>
              <w:pStyle w:val="aff2"/>
              <w:spacing w:line="276" w:lineRule="auto"/>
              <w:ind w:firstLine="420"/>
            </w:pPr>
            <w:r>
              <w:rPr>
                <w:rFonts w:hint="eastAsia"/>
              </w:rPr>
              <w:t>（5）化学防制措施，包括杀虫灭鼠的选择、施药器械、施药时间、方法和频次、注意事项等；</w:t>
            </w:r>
          </w:p>
          <w:p w14:paraId="4CD1E6FE" w14:textId="77777777" w:rsidR="001C1244" w:rsidRDefault="001C1244" w:rsidP="00540BC2">
            <w:pPr>
              <w:pStyle w:val="aff2"/>
              <w:spacing w:line="276" w:lineRule="auto"/>
              <w:ind w:firstLine="420"/>
            </w:pPr>
            <w:r>
              <w:rPr>
                <w:rFonts w:hint="eastAsia"/>
              </w:rPr>
              <w:t>（6）防制效果评价；</w:t>
            </w:r>
          </w:p>
          <w:p w14:paraId="2B97854D" w14:textId="77777777" w:rsidR="001C1244" w:rsidRDefault="001C1244" w:rsidP="00540BC2">
            <w:pPr>
              <w:pStyle w:val="aff"/>
              <w:shd w:val="clear" w:color="auto" w:fill="FFFFFF"/>
              <w:spacing w:before="0" w:beforeAutospacing="0" w:after="0" w:afterAutospacing="0" w:line="276" w:lineRule="auto"/>
              <w:ind w:firstLineChars="200" w:firstLine="420"/>
              <w:rPr>
                <w:rFonts w:hAnsi="Times New Roman" w:cs="Times New Roman"/>
                <w:noProof/>
                <w:sz w:val="21"/>
                <w:szCs w:val="20"/>
              </w:rPr>
            </w:pPr>
            <w:r w:rsidRPr="001C1244">
              <w:rPr>
                <w:rFonts w:hAnsi="Times New Roman" w:cs="Times New Roman" w:hint="eastAsia"/>
                <w:noProof/>
                <w:sz w:val="21"/>
                <w:szCs w:val="20"/>
              </w:rPr>
              <w:t>（7）应急预案等</w:t>
            </w:r>
            <w:r>
              <w:rPr>
                <w:rFonts w:hAnsi="Times New Roman" w:cs="Times New Roman" w:hint="eastAsia"/>
                <w:noProof/>
                <w:sz w:val="21"/>
                <w:szCs w:val="20"/>
              </w:rPr>
              <w:t>。</w:t>
            </w:r>
          </w:p>
          <w:p w14:paraId="6EE1AB71" w14:textId="77777777" w:rsidR="001C1244" w:rsidRDefault="001C1244" w:rsidP="00540BC2">
            <w:pPr>
              <w:pStyle w:val="aff2"/>
              <w:spacing w:line="276" w:lineRule="auto"/>
              <w:ind w:firstLine="420"/>
            </w:pPr>
            <w:r>
              <w:rPr>
                <w:rFonts w:hint="eastAsia"/>
              </w:rPr>
              <w:t>5.依据</w:t>
            </w:r>
            <w:r w:rsidRPr="001873FC">
              <w:rPr>
                <w:rFonts w:hint="eastAsia"/>
              </w:rPr>
              <w:t xml:space="preserve"> GB/T 23798</w:t>
            </w:r>
            <w:r>
              <w:rPr>
                <w:rFonts w:hint="eastAsia"/>
              </w:rPr>
              <w:t>、</w:t>
            </w:r>
            <w:r w:rsidRPr="001873FC">
              <w:rPr>
                <w:rFonts w:hint="eastAsia"/>
              </w:rPr>
              <w:t>GB/T 23796</w:t>
            </w:r>
            <w:r>
              <w:rPr>
                <w:rFonts w:hint="eastAsia"/>
              </w:rPr>
              <w:t>、</w:t>
            </w:r>
            <w:r w:rsidRPr="001873FC">
              <w:rPr>
                <w:rFonts w:hint="eastAsia"/>
              </w:rPr>
              <w:t>GB/T 23795</w:t>
            </w:r>
            <w:r>
              <w:rPr>
                <w:rFonts w:hint="eastAsia"/>
              </w:rPr>
              <w:t>、</w:t>
            </w:r>
            <w:r w:rsidRPr="001873FC">
              <w:rPr>
                <w:rFonts w:hint="eastAsia"/>
              </w:rPr>
              <w:t>GB/T 23797</w:t>
            </w:r>
            <w:r>
              <w:rPr>
                <w:rFonts w:hint="eastAsia"/>
              </w:rPr>
              <w:t>规定的方法开展符合乳制品企业</w:t>
            </w:r>
            <w:r w:rsidRPr="001873FC">
              <w:rPr>
                <w:rFonts w:hint="eastAsia"/>
              </w:rPr>
              <w:t>清洁作业区、准清洁作业区</w:t>
            </w:r>
            <w:r>
              <w:rPr>
                <w:rFonts w:hint="eastAsia"/>
              </w:rPr>
              <w:t>、</w:t>
            </w:r>
            <w:r w:rsidRPr="001873FC">
              <w:rPr>
                <w:rFonts w:hint="eastAsia"/>
              </w:rPr>
              <w:t>一般作业区</w:t>
            </w:r>
            <w:r>
              <w:rPr>
                <w:rFonts w:hint="eastAsia"/>
              </w:rPr>
              <w:t>等环境场所的</w:t>
            </w:r>
            <w:r w:rsidRPr="001873FC">
              <w:rPr>
                <w:rFonts w:hint="eastAsia"/>
              </w:rPr>
              <w:t>鼠</w:t>
            </w:r>
            <w:r>
              <w:rPr>
                <w:rFonts w:hint="eastAsia"/>
              </w:rPr>
              <w:t>、</w:t>
            </w:r>
            <w:r w:rsidRPr="001873FC">
              <w:rPr>
                <w:rFonts w:hint="eastAsia"/>
              </w:rPr>
              <w:t>蝇类</w:t>
            </w:r>
            <w:r>
              <w:rPr>
                <w:rFonts w:hint="eastAsia"/>
              </w:rPr>
              <w:t>、蚊虫、蜚蠊和</w:t>
            </w:r>
            <w:r w:rsidRPr="00303BFA">
              <w:rPr>
                <w:rFonts w:hint="eastAsia"/>
              </w:rPr>
              <w:t>重点关注</w:t>
            </w:r>
            <w:r>
              <w:rPr>
                <w:rFonts w:hint="eastAsia"/>
              </w:rPr>
              <w:t>的</w:t>
            </w:r>
            <w:r w:rsidRPr="00303BFA">
              <w:rPr>
                <w:rFonts w:hint="eastAsia"/>
              </w:rPr>
              <w:t>果蝇、蚤蝇、蛾蠓</w:t>
            </w:r>
            <w:r>
              <w:rPr>
                <w:rFonts w:hint="eastAsia"/>
              </w:rPr>
              <w:t>等侵害调查。</w:t>
            </w:r>
          </w:p>
          <w:p w14:paraId="627B1166" w14:textId="77777777" w:rsidR="004C4248" w:rsidRDefault="001C1244" w:rsidP="00540BC2">
            <w:pPr>
              <w:pStyle w:val="aff2"/>
              <w:spacing w:line="276" w:lineRule="auto"/>
              <w:ind w:firstLine="420"/>
            </w:pPr>
            <w:r>
              <w:rPr>
                <w:rFonts w:hint="eastAsia"/>
              </w:rPr>
              <w:t>6.</w:t>
            </w:r>
            <w:r w:rsidR="004C4248">
              <w:rPr>
                <w:rFonts w:hint="eastAsia"/>
              </w:rPr>
              <w:t>规定了</w:t>
            </w:r>
            <w:r>
              <w:rPr>
                <w:rFonts w:hint="eastAsia"/>
              </w:rPr>
              <w:t>乳制品企业有害生物防制要求</w:t>
            </w:r>
            <w:r w:rsidR="004C4248">
              <w:rPr>
                <w:rFonts w:hint="eastAsia"/>
              </w:rPr>
              <w:t>。</w:t>
            </w:r>
            <w:r>
              <w:rPr>
                <w:rFonts w:hint="eastAsia"/>
              </w:rPr>
              <w:t>依据GB/T 27770，设置并完善</w:t>
            </w:r>
            <w:r w:rsidRPr="00403378">
              <w:rPr>
                <w:rFonts w:hint="eastAsia"/>
              </w:rPr>
              <w:t>防鼠设施</w:t>
            </w:r>
            <w:r>
              <w:rPr>
                <w:rFonts w:hint="eastAsia"/>
              </w:rPr>
              <w:t>；</w:t>
            </w:r>
            <w:r w:rsidRPr="00C179B1">
              <w:rPr>
                <w:rFonts w:hint="eastAsia"/>
              </w:rPr>
              <w:t>GB/T 2777</w:t>
            </w:r>
            <w:r>
              <w:rPr>
                <w:rFonts w:hint="eastAsia"/>
              </w:rPr>
              <w:t>2</w:t>
            </w:r>
            <w:r w:rsidRPr="00C179B1">
              <w:rPr>
                <w:rFonts w:hint="eastAsia"/>
              </w:rPr>
              <w:t>，</w:t>
            </w:r>
            <w:r>
              <w:rPr>
                <w:rFonts w:hint="eastAsia"/>
              </w:rPr>
              <w:t>设置并完善防</w:t>
            </w:r>
            <w:r w:rsidR="004C4248">
              <w:rPr>
                <w:rFonts w:hint="eastAsia"/>
              </w:rPr>
              <w:t>蚊</w:t>
            </w:r>
            <w:r>
              <w:rPr>
                <w:rFonts w:hint="eastAsia"/>
              </w:rPr>
              <w:t>蝇</w:t>
            </w:r>
            <w:r w:rsidRPr="00C179B1">
              <w:rPr>
                <w:rFonts w:hint="eastAsia"/>
              </w:rPr>
              <w:t>设施</w:t>
            </w:r>
            <w:r>
              <w:rPr>
                <w:rFonts w:hint="eastAsia"/>
              </w:rPr>
              <w:t>；对清洁作业区，采用物理防制</w:t>
            </w:r>
            <w:r w:rsidR="004C4248">
              <w:rPr>
                <w:rFonts w:hint="eastAsia"/>
              </w:rPr>
              <w:t>；</w:t>
            </w:r>
            <w:r w:rsidRPr="004C4248">
              <w:rPr>
                <w:rFonts w:hint="eastAsia"/>
              </w:rPr>
              <w:t xml:space="preserve">准清洁区和一般工作区，按照 GB/T 31715、GB/T 31714、GB/T 31718 </w:t>
            </w:r>
            <w:r>
              <w:rPr>
                <w:rFonts w:hint="eastAsia"/>
              </w:rPr>
              <w:t>、</w:t>
            </w:r>
            <w:r w:rsidRPr="00717DCC">
              <w:rPr>
                <w:rFonts w:hint="eastAsia"/>
              </w:rPr>
              <w:t>GB/T 31719</w:t>
            </w:r>
            <w:r>
              <w:rPr>
                <w:rFonts w:hint="eastAsia"/>
              </w:rPr>
              <w:t>和</w:t>
            </w:r>
            <w:r w:rsidRPr="00717DCC">
              <w:rPr>
                <w:rFonts w:hint="eastAsia"/>
              </w:rPr>
              <w:t>附录 A</w:t>
            </w:r>
            <w:r>
              <w:rPr>
                <w:rFonts w:hint="eastAsia"/>
              </w:rPr>
              <w:t>对有</w:t>
            </w:r>
            <w:r w:rsidR="004C4248">
              <w:rPr>
                <w:rFonts w:hint="eastAsia"/>
              </w:rPr>
              <w:t>害</w:t>
            </w:r>
            <w:r>
              <w:rPr>
                <w:rFonts w:hint="eastAsia"/>
              </w:rPr>
              <w:t>生物</w:t>
            </w:r>
            <w:r w:rsidRPr="00717DCC">
              <w:rPr>
                <w:rFonts w:hint="eastAsia"/>
              </w:rPr>
              <w:t>实施</w:t>
            </w:r>
            <w:r>
              <w:rPr>
                <w:rFonts w:hint="eastAsia"/>
              </w:rPr>
              <w:t>控制</w:t>
            </w:r>
            <w:r w:rsidR="004C4248" w:rsidRPr="004C4248">
              <w:rPr>
                <w:rFonts w:hint="eastAsia"/>
              </w:rPr>
              <w:t>。</w:t>
            </w:r>
          </w:p>
          <w:p w14:paraId="26575FEE" w14:textId="77777777" w:rsidR="00A05A53" w:rsidRPr="004C4248" w:rsidRDefault="004C4248" w:rsidP="00540BC2">
            <w:pPr>
              <w:pStyle w:val="aff2"/>
              <w:spacing w:line="276" w:lineRule="auto"/>
              <w:ind w:firstLine="420"/>
              <w:rPr>
                <w:rFonts w:asciiTheme="minorEastAsia" w:hAnsiTheme="minorEastAsia"/>
                <w:szCs w:val="21"/>
              </w:rPr>
            </w:pPr>
            <w:r w:rsidRPr="004C4248">
              <w:rPr>
                <w:rFonts w:hint="eastAsia"/>
              </w:rPr>
              <w:t>7.规定了乳制品企业的有害生物危害调查、防制作业中的工作记录、资料保存、调查报告、效果分析、调整改进、注意事项</w:t>
            </w:r>
            <w:r>
              <w:rPr>
                <w:rFonts w:hint="eastAsia"/>
              </w:rPr>
              <w:t>、评价方法、评价指标和</w:t>
            </w:r>
            <w:r w:rsidRPr="004922EC">
              <w:rPr>
                <w:rFonts w:hint="eastAsia"/>
              </w:rPr>
              <w:t>防制措施</w:t>
            </w:r>
            <w:r>
              <w:rPr>
                <w:rFonts w:hint="eastAsia"/>
              </w:rPr>
              <w:t>实施</w:t>
            </w:r>
            <w:r w:rsidRPr="004922EC">
              <w:rPr>
                <w:rFonts w:hint="eastAsia"/>
              </w:rPr>
              <w:t>前及实施过程中应定期</w:t>
            </w:r>
            <w:r>
              <w:rPr>
                <w:rFonts w:hint="eastAsia"/>
              </w:rPr>
              <w:t>采用</w:t>
            </w:r>
            <w:r w:rsidRPr="004922EC">
              <w:rPr>
                <w:rFonts w:hint="eastAsia"/>
              </w:rPr>
              <w:t>附录B对乳制品</w:t>
            </w:r>
            <w:r>
              <w:rPr>
                <w:rFonts w:hint="eastAsia"/>
              </w:rPr>
              <w:t>企业</w:t>
            </w:r>
            <w:r w:rsidRPr="004922EC">
              <w:rPr>
                <w:rFonts w:hint="eastAsia"/>
              </w:rPr>
              <w:t>有害生物危害情况</w:t>
            </w:r>
            <w:r>
              <w:rPr>
                <w:rFonts w:hint="eastAsia"/>
              </w:rPr>
              <w:t>进行评估等。</w:t>
            </w:r>
          </w:p>
        </w:tc>
      </w:tr>
      <w:tr w:rsidR="00903CD3" w:rsidRPr="006F5D50" w14:paraId="23D6BE78" w14:textId="77777777" w:rsidTr="00540BC2">
        <w:trPr>
          <w:trHeight w:val="695"/>
        </w:trPr>
        <w:tc>
          <w:tcPr>
            <w:tcW w:w="5000" w:type="pct"/>
            <w:gridSpan w:val="2"/>
            <w:vAlign w:val="center"/>
          </w:tcPr>
          <w:p w14:paraId="2A15DD47" w14:textId="77777777" w:rsidR="00903CD3" w:rsidRPr="0035011D" w:rsidRDefault="00903CD3" w:rsidP="006F5D50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35011D">
              <w:rPr>
                <w:rFonts w:ascii="黑体" w:eastAsia="黑体" w:hAnsi="黑体" w:hint="eastAsia"/>
                <w:szCs w:val="21"/>
              </w:rPr>
              <w:lastRenderedPageBreak/>
              <w:t>与现行法律法规、强制性标准和其他有关标准的关系</w:t>
            </w:r>
          </w:p>
        </w:tc>
      </w:tr>
      <w:tr w:rsidR="00903CD3" w:rsidRPr="006F5D50" w14:paraId="113FAE4C" w14:textId="77777777" w:rsidTr="00107A1B">
        <w:trPr>
          <w:trHeight w:val="3682"/>
        </w:trPr>
        <w:tc>
          <w:tcPr>
            <w:tcW w:w="1050" w:type="pct"/>
            <w:vAlign w:val="center"/>
          </w:tcPr>
          <w:p w14:paraId="0055C020" w14:textId="77777777" w:rsidR="00903CD3" w:rsidRPr="0035011D" w:rsidRDefault="00903CD3" w:rsidP="006F5D50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35011D">
              <w:rPr>
                <w:rFonts w:ascii="黑体" w:eastAsia="黑体" w:hAnsi="黑体" w:hint="eastAsia"/>
                <w:szCs w:val="21"/>
              </w:rPr>
              <w:t>法律法规</w:t>
            </w:r>
            <w:proofErr w:type="gramStart"/>
            <w:r w:rsidRPr="0035011D">
              <w:rPr>
                <w:rFonts w:ascii="黑体" w:eastAsia="黑体" w:hAnsi="黑体" w:hint="eastAsia"/>
                <w:szCs w:val="21"/>
              </w:rPr>
              <w:t>和</w:t>
            </w:r>
            <w:proofErr w:type="gramEnd"/>
          </w:p>
          <w:p w14:paraId="74B84222" w14:textId="77777777" w:rsidR="00903CD3" w:rsidRPr="0035011D" w:rsidRDefault="00903CD3" w:rsidP="006F5D50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35011D">
              <w:rPr>
                <w:rFonts w:ascii="黑体" w:eastAsia="黑体" w:hAnsi="黑体" w:hint="eastAsia"/>
                <w:szCs w:val="21"/>
              </w:rPr>
              <w:t>强制性标准</w:t>
            </w:r>
          </w:p>
          <w:p w14:paraId="5BCE04E1" w14:textId="77777777" w:rsidR="00903CD3" w:rsidRPr="0035011D" w:rsidRDefault="00903CD3" w:rsidP="006F5D50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35011D">
              <w:rPr>
                <w:rFonts w:ascii="黑体" w:eastAsia="黑体" w:hAnsi="黑体" w:hint="eastAsia"/>
                <w:szCs w:val="21"/>
              </w:rPr>
              <w:t>的关系</w:t>
            </w:r>
          </w:p>
        </w:tc>
        <w:tc>
          <w:tcPr>
            <w:tcW w:w="3950" w:type="pct"/>
            <w:vAlign w:val="center"/>
          </w:tcPr>
          <w:p w14:paraId="099E195D" w14:textId="77777777" w:rsidR="00903CD3" w:rsidRPr="00107A1B" w:rsidRDefault="00540BC2" w:rsidP="00107A1B">
            <w:pPr>
              <w:pStyle w:val="aff2"/>
              <w:spacing w:before="156" w:after="156" w:line="300" w:lineRule="auto"/>
              <w:ind w:firstLine="420"/>
            </w:pPr>
            <w:r>
              <w:rPr>
                <w:rFonts w:hint="eastAsia"/>
              </w:rPr>
              <w:t>本文件</w:t>
            </w:r>
            <w:r w:rsidR="00017815">
              <w:rPr>
                <w:rFonts w:hint="eastAsia"/>
              </w:rPr>
              <w:t>以</w:t>
            </w:r>
            <w:r w:rsidR="00107A1B">
              <w:rPr>
                <w:rFonts w:hint="eastAsia"/>
              </w:rPr>
              <w:t>符合食品生产加工企业病媒生物综合管理技术规范为要求。</w:t>
            </w:r>
            <w:r w:rsidR="00107A1B">
              <w:rPr>
                <w:rFonts w:hAnsi="宋体" w:hint="eastAsia"/>
              </w:rPr>
              <w:t>引用了</w:t>
            </w:r>
            <w:r w:rsidR="00017815">
              <w:rPr>
                <w:rFonts w:hAnsi="宋体" w:hint="eastAsia"/>
              </w:rPr>
              <w:t>《</w:t>
            </w:r>
            <w:r w:rsidR="00017815" w:rsidRPr="007E69D0">
              <w:rPr>
                <w:rFonts w:hAnsi="宋体"/>
              </w:rPr>
              <w:t>GB 12693</w:t>
            </w:r>
            <w:r w:rsidR="00017815">
              <w:rPr>
                <w:rFonts w:hAnsi="宋体" w:hint="eastAsia"/>
              </w:rPr>
              <w:t xml:space="preserve"> </w:t>
            </w:r>
            <w:r w:rsidR="00017815" w:rsidRPr="007E69D0">
              <w:rPr>
                <w:rFonts w:hAnsi="宋体"/>
              </w:rPr>
              <w:t>乳制品良好生产规范</w:t>
            </w:r>
            <w:r w:rsidR="00017815">
              <w:rPr>
                <w:rFonts w:hAnsi="宋体" w:hint="eastAsia"/>
              </w:rPr>
              <w:t>》</w:t>
            </w:r>
            <w:r w:rsidR="00107A1B">
              <w:rPr>
                <w:rFonts w:hAnsi="宋体" w:hint="eastAsia"/>
              </w:rPr>
              <w:t>作业区的分区</w:t>
            </w:r>
            <w:r w:rsidR="00107A1B">
              <w:rPr>
                <w:rFonts w:hint="eastAsia"/>
              </w:rPr>
              <w:t>，</w:t>
            </w:r>
            <w:r w:rsidR="00017815">
              <w:rPr>
                <w:rFonts w:hint="eastAsia"/>
              </w:rPr>
              <w:t>GB/T 23795、GB/T 23796、GB/T 23797、GB/T 23798</w:t>
            </w:r>
            <w:r w:rsidR="00017815">
              <w:rPr>
                <w:rFonts w:hAnsi="宋体" w:hint="eastAsia"/>
                <w:szCs w:val="21"/>
              </w:rPr>
              <w:t>《</w:t>
            </w:r>
            <w:r w:rsidR="00017815">
              <w:rPr>
                <w:rFonts w:hint="eastAsia"/>
              </w:rPr>
              <w:t>病媒生物密度监测方法</w:t>
            </w:r>
            <w:r w:rsidR="00017815">
              <w:rPr>
                <w:rFonts w:hAnsi="宋体" w:hint="eastAsia"/>
                <w:szCs w:val="21"/>
              </w:rPr>
              <w:t>》</w:t>
            </w:r>
            <w:r w:rsidR="00017815">
              <w:rPr>
                <w:rFonts w:hint="eastAsia"/>
              </w:rPr>
              <w:t>蜚蠊、蝇类、蚊虫、鼠类</w:t>
            </w:r>
            <w:r w:rsidR="00107A1B">
              <w:rPr>
                <w:rFonts w:hint="eastAsia"/>
              </w:rPr>
              <w:t>等</w:t>
            </w:r>
            <w:r w:rsidR="00017815">
              <w:rPr>
                <w:rFonts w:hint="eastAsia"/>
              </w:rPr>
              <w:t>监测方法</w:t>
            </w:r>
            <w:r w:rsidR="00107A1B">
              <w:rPr>
                <w:rFonts w:hint="eastAsia"/>
              </w:rPr>
              <w:t>，</w:t>
            </w:r>
            <w:r w:rsidR="00017815">
              <w:rPr>
                <w:rFonts w:hint="eastAsia"/>
              </w:rPr>
              <w:t>GB/T 27770、GB/T 27771、GB/T 27772、GB/T 27773</w:t>
            </w:r>
            <w:r w:rsidR="00017815">
              <w:rPr>
                <w:rFonts w:hAnsi="宋体" w:hint="eastAsia"/>
              </w:rPr>
              <w:t>《</w:t>
            </w:r>
            <w:r w:rsidR="00017815">
              <w:rPr>
                <w:rFonts w:hint="eastAsia"/>
              </w:rPr>
              <w:t>病媒生物密度控制水平</w:t>
            </w:r>
            <w:r w:rsidR="00017815">
              <w:rPr>
                <w:rFonts w:hAnsi="宋体" w:hint="eastAsia"/>
              </w:rPr>
              <w:t>》</w:t>
            </w:r>
            <w:r w:rsidR="00017815">
              <w:rPr>
                <w:rFonts w:hint="eastAsia"/>
              </w:rPr>
              <w:t>鼠类、蚊虫、蝇类、蜚蠊中单位评价指标</w:t>
            </w:r>
            <w:r w:rsidR="00107A1B">
              <w:rPr>
                <w:rFonts w:hint="eastAsia"/>
              </w:rPr>
              <w:t>，</w:t>
            </w:r>
            <w:r>
              <w:rPr>
                <w:rFonts w:hint="eastAsia"/>
              </w:rPr>
              <w:t>GB/T 27776</w:t>
            </w:r>
            <w:r w:rsidR="00017815" w:rsidRPr="00C969A6">
              <w:rPr>
                <w:rFonts w:ascii="Times New Roman" w:hint="eastAsia"/>
                <w:color w:val="000000"/>
                <w:szCs w:val="21"/>
              </w:rPr>
              <w:t>《</w:t>
            </w:r>
            <w:r>
              <w:rPr>
                <w:rFonts w:hint="eastAsia"/>
              </w:rPr>
              <w:t>病媒生物综合管理技术规范</w:t>
            </w:r>
            <w:r w:rsidR="0001781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食品生产加工企业</w:t>
            </w:r>
            <w:r w:rsidR="00017815">
              <w:rPr>
                <w:rFonts w:hAnsi="宋体" w:hint="eastAsia"/>
              </w:rPr>
              <w:t>》</w:t>
            </w:r>
            <w:r w:rsidR="00107A1B">
              <w:rPr>
                <w:rFonts w:hAnsi="宋体" w:hint="eastAsia"/>
              </w:rPr>
              <w:t>，</w:t>
            </w:r>
            <w:r>
              <w:rPr>
                <w:rFonts w:hint="eastAsia"/>
              </w:rPr>
              <w:t>GB/T 31714</w:t>
            </w:r>
            <w:r w:rsidR="00CB1CDE">
              <w:rPr>
                <w:rFonts w:hint="eastAsia"/>
              </w:rPr>
              <w:t>、GB/T 31715</w:t>
            </w:r>
            <w:r w:rsidR="00017815">
              <w:rPr>
                <w:rFonts w:hAnsi="宋体" w:hint="eastAsia"/>
              </w:rPr>
              <w:t>《</w:t>
            </w:r>
            <w:r>
              <w:rPr>
                <w:rFonts w:hint="eastAsia"/>
              </w:rPr>
              <w:t>病媒生物化学防治技术指南</w:t>
            </w:r>
            <w:r w:rsidR="00CB1CDE">
              <w:rPr>
                <w:rFonts w:hAnsi="宋体" w:hint="eastAsia"/>
              </w:rPr>
              <w:t>》</w:t>
            </w:r>
            <w:r>
              <w:rPr>
                <w:rFonts w:hint="eastAsia"/>
              </w:rPr>
              <w:t>空间喷雾</w:t>
            </w:r>
            <w:r w:rsidR="00017815">
              <w:rPr>
                <w:rFonts w:hint="eastAsia"/>
              </w:rPr>
              <w:t>、滞留喷洒</w:t>
            </w:r>
            <w:r w:rsidR="00107A1B">
              <w:rPr>
                <w:rFonts w:hint="eastAsia"/>
              </w:rPr>
              <w:t>，</w:t>
            </w:r>
            <w:r>
              <w:rPr>
                <w:rFonts w:hint="eastAsia"/>
              </w:rPr>
              <w:t>GB/T 31718</w:t>
            </w:r>
            <w:r w:rsidR="00CB1CDE">
              <w:rPr>
                <w:rFonts w:hint="eastAsia"/>
              </w:rPr>
              <w:t>、GB/T 31719</w:t>
            </w:r>
            <w:r w:rsidR="00CB1CDE">
              <w:rPr>
                <w:rFonts w:hAnsi="宋体" w:hint="eastAsia"/>
              </w:rPr>
              <w:t>《</w:t>
            </w:r>
            <w:r>
              <w:rPr>
                <w:rFonts w:hint="eastAsia"/>
              </w:rPr>
              <w:t>病媒生物综合管理技术规范 化学防治</w:t>
            </w:r>
            <w:r w:rsidR="00CB1CDE">
              <w:rPr>
                <w:rFonts w:hAnsi="宋体" w:hint="eastAsia"/>
              </w:rPr>
              <w:t>》</w:t>
            </w:r>
            <w:r>
              <w:rPr>
                <w:rFonts w:hint="eastAsia"/>
              </w:rPr>
              <w:t>蝇类</w:t>
            </w:r>
            <w:r w:rsidR="00CB1CDE">
              <w:rPr>
                <w:rFonts w:hint="eastAsia"/>
              </w:rPr>
              <w:t>、蜚蠊；T/CPCACN 0005</w:t>
            </w:r>
            <w:r w:rsidR="00CB1CDE">
              <w:rPr>
                <w:rFonts w:hAnsi="宋体" w:hint="eastAsia"/>
              </w:rPr>
              <w:t>《</w:t>
            </w:r>
            <w:r>
              <w:rPr>
                <w:rFonts w:hint="eastAsia"/>
              </w:rPr>
              <w:t>食品生产加工企业有害生物防制服务指南</w:t>
            </w:r>
            <w:r w:rsidR="00CB1CDE">
              <w:rPr>
                <w:rFonts w:hAnsi="宋体" w:hint="eastAsia"/>
              </w:rPr>
              <w:t>》国家标准</w:t>
            </w:r>
            <w:r w:rsidR="00107A1B">
              <w:rPr>
                <w:rFonts w:hAnsi="宋体" w:hint="eastAsia"/>
              </w:rPr>
              <w:t>、团标中有害生物控制</w:t>
            </w:r>
            <w:r w:rsidR="00CB1CDE">
              <w:rPr>
                <w:rFonts w:hAnsi="宋体" w:hint="eastAsia"/>
              </w:rPr>
              <w:t>的相关要求。</w:t>
            </w:r>
          </w:p>
        </w:tc>
      </w:tr>
      <w:tr w:rsidR="00903CD3" w:rsidRPr="006F5D50" w14:paraId="58CCCE52" w14:textId="77777777" w:rsidTr="001726ED">
        <w:tc>
          <w:tcPr>
            <w:tcW w:w="1050" w:type="pct"/>
            <w:vAlign w:val="center"/>
          </w:tcPr>
          <w:p w14:paraId="530E6536" w14:textId="77777777" w:rsidR="00903CD3" w:rsidRPr="0035011D" w:rsidRDefault="00903CD3" w:rsidP="006F5D50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35011D">
              <w:rPr>
                <w:rFonts w:ascii="黑体" w:eastAsia="黑体" w:hAnsi="黑体" w:hint="eastAsia"/>
                <w:szCs w:val="21"/>
              </w:rPr>
              <w:t>与其他有关</w:t>
            </w:r>
          </w:p>
          <w:p w14:paraId="6A4DAD05" w14:textId="77777777" w:rsidR="00903CD3" w:rsidRPr="0035011D" w:rsidRDefault="00903CD3" w:rsidP="006F5D50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35011D">
              <w:rPr>
                <w:rFonts w:ascii="黑体" w:eastAsia="黑体" w:hAnsi="黑体" w:hint="eastAsia"/>
                <w:szCs w:val="21"/>
              </w:rPr>
              <w:t>标准的关系</w:t>
            </w:r>
          </w:p>
        </w:tc>
        <w:tc>
          <w:tcPr>
            <w:tcW w:w="3950" w:type="pct"/>
            <w:vAlign w:val="center"/>
          </w:tcPr>
          <w:p w14:paraId="40F381F1" w14:textId="77777777" w:rsidR="00903CD3" w:rsidRPr="00540BC2" w:rsidRDefault="00107A1B" w:rsidP="00107A1B">
            <w:pPr>
              <w:pStyle w:val="aff0"/>
              <w:ind w:firstLineChars="0" w:firstLine="0"/>
              <w:rPr>
                <w:rFonts w:hAnsi="宋体"/>
              </w:rPr>
            </w:pPr>
            <w:r>
              <w:rPr>
                <w:rFonts w:hint="eastAsia"/>
                <w:noProof w:val="0"/>
                <w:kern w:val="21"/>
              </w:rPr>
              <w:t xml:space="preserve">  无。</w:t>
            </w:r>
          </w:p>
        </w:tc>
      </w:tr>
      <w:tr w:rsidR="00903CD3" w:rsidRPr="006F5D50" w14:paraId="4DC9A23F" w14:textId="77777777" w:rsidTr="001726ED">
        <w:tc>
          <w:tcPr>
            <w:tcW w:w="5000" w:type="pct"/>
            <w:gridSpan w:val="2"/>
            <w:vAlign w:val="center"/>
          </w:tcPr>
          <w:p w14:paraId="4413FC7A" w14:textId="77777777" w:rsidR="00903CD3" w:rsidRPr="0035011D" w:rsidRDefault="00903CD3" w:rsidP="006F5D50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35011D">
              <w:rPr>
                <w:rFonts w:ascii="黑体" w:eastAsia="黑体" w:hAnsi="黑体" w:hint="eastAsia"/>
                <w:szCs w:val="21"/>
              </w:rPr>
              <w:t>重大分歧意见的处理经过和依据</w:t>
            </w:r>
          </w:p>
        </w:tc>
      </w:tr>
      <w:tr w:rsidR="00903CD3" w:rsidRPr="006F5D50" w14:paraId="5692DA29" w14:textId="77777777" w:rsidTr="004640D0">
        <w:trPr>
          <w:trHeight w:val="1437"/>
        </w:trPr>
        <w:tc>
          <w:tcPr>
            <w:tcW w:w="5000" w:type="pct"/>
            <w:gridSpan w:val="2"/>
            <w:vAlign w:val="center"/>
          </w:tcPr>
          <w:p w14:paraId="4B622121" w14:textId="77777777" w:rsidR="0035011D" w:rsidRDefault="004C1AC4" w:rsidP="004640D0">
            <w:pPr>
              <w:spacing w:line="300" w:lineRule="auto"/>
              <w:ind w:firstLineChars="200" w:firstLine="420"/>
              <w:jc w:val="left"/>
              <w:rPr>
                <w:rFonts w:ascii="宋体" w:eastAsia="宋体" w:hAnsi="宋体" w:cs="Times New Roman"/>
                <w:noProof/>
                <w:kern w:val="0"/>
                <w:szCs w:val="20"/>
              </w:rPr>
            </w:pPr>
            <w:r w:rsidRPr="004640D0">
              <w:rPr>
                <w:rFonts w:ascii="宋体" w:eastAsia="宋体" w:hAnsi="宋体" w:cs="Times New Roman"/>
                <w:noProof/>
                <w:kern w:val="0"/>
                <w:szCs w:val="20"/>
              </w:rPr>
              <w:t>本标准在公开征求意见后</w:t>
            </w:r>
            <w:r w:rsidRPr="004640D0">
              <w:rPr>
                <w:rFonts w:ascii="宋体" w:eastAsia="宋体" w:hAnsi="宋体" w:cs="Times New Roman" w:hint="eastAsia"/>
                <w:noProof/>
                <w:kern w:val="0"/>
                <w:szCs w:val="20"/>
              </w:rPr>
              <w:t>，</w:t>
            </w:r>
            <w:r w:rsidR="004640D0" w:rsidRPr="004640D0">
              <w:rPr>
                <w:rFonts w:ascii="宋体" w:eastAsia="宋体" w:hAnsi="宋体" w:cs="Times New Roman" w:hint="eastAsia"/>
                <w:noProof/>
                <w:kern w:val="0"/>
                <w:szCs w:val="20"/>
              </w:rPr>
              <w:t>共计收集       家单位反馈意见       条；及时进行了分析与处理</w:t>
            </w:r>
            <w:r w:rsidR="004640D0">
              <w:rPr>
                <w:rFonts w:ascii="宋体" w:eastAsia="宋体" w:hAnsi="宋体" w:cs="Times New Roman" w:hint="eastAsia"/>
                <w:noProof/>
                <w:kern w:val="0"/>
                <w:szCs w:val="20"/>
              </w:rPr>
              <w:t>，</w:t>
            </w:r>
            <w:r w:rsidR="004640D0" w:rsidRPr="004640D0">
              <w:rPr>
                <w:rFonts w:ascii="宋体" w:eastAsia="宋体" w:hAnsi="宋体" w:cs="Times New Roman" w:hint="eastAsia"/>
                <w:noProof/>
                <w:kern w:val="0"/>
                <w:szCs w:val="20"/>
              </w:rPr>
              <w:t>共计采纳       条，不采纳       条，部分采纳       条。</w:t>
            </w:r>
          </w:p>
          <w:p w14:paraId="0E9DCB74" w14:textId="77777777" w:rsidR="004640D0" w:rsidRPr="004640D0" w:rsidRDefault="004640D0" w:rsidP="004640D0">
            <w:pPr>
              <w:spacing w:line="300" w:lineRule="auto"/>
              <w:ind w:firstLineChars="200" w:firstLine="420"/>
              <w:jc w:val="left"/>
              <w:rPr>
                <w:rFonts w:ascii="宋体" w:eastAsia="宋体" w:hAnsi="宋体" w:cs="Times New Roman"/>
                <w:noProof/>
                <w:kern w:val="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无重大分歧意见。</w:t>
            </w:r>
          </w:p>
        </w:tc>
      </w:tr>
      <w:tr w:rsidR="00903CD3" w:rsidRPr="006F5D50" w14:paraId="4E52BED6" w14:textId="77777777" w:rsidTr="001726ED">
        <w:tc>
          <w:tcPr>
            <w:tcW w:w="5000" w:type="pct"/>
            <w:gridSpan w:val="2"/>
            <w:vAlign w:val="center"/>
          </w:tcPr>
          <w:p w14:paraId="5AC83980" w14:textId="77777777" w:rsidR="00903CD3" w:rsidRPr="0035011D" w:rsidRDefault="00903CD3" w:rsidP="006F5D50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35011D">
              <w:rPr>
                <w:rFonts w:ascii="黑体" w:eastAsia="黑体" w:hAnsi="黑体" w:hint="eastAsia"/>
                <w:szCs w:val="21"/>
              </w:rPr>
              <w:t>贯彻该标准的要求和措施建议</w:t>
            </w:r>
          </w:p>
        </w:tc>
      </w:tr>
      <w:tr w:rsidR="00B07F70" w:rsidRPr="006F5D50" w14:paraId="66622A5A" w14:textId="77777777" w:rsidTr="00107A1B">
        <w:trPr>
          <w:trHeight w:val="1928"/>
        </w:trPr>
        <w:tc>
          <w:tcPr>
            <w:tcW w:w="5000" w:type="pct"/>
            <w:gridSpan w:val="2"/>
            <w:vAlign w:val="center"/>
          </w:tcPr>
          <w:p w14:paraId="577001B1" w14:textId="77777777" w:rsidR="00F61E27" w:rsidRPr="009E478C" w:rsidRDefault="00F61E27" w:rsidP="004640D0">
            <w:pPr>
              <w:pStyle w:val="aff"/>
              <w:shd w:val="clear" w:color="auto" w:fill="FFFFFF"/>
              <w:spacing w:before="0" w:beforeAutospacing="0" w:after="0" w:afterAutospacing="0" w:line="360" w:lineRule="atLeast"/>
              <w:ind w:firstLineChars="200" w:firstLine="420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E478C">
              <w:rPr>
                <w:rFonts w:ascii="Helvetica" w:hAnsi="Helvetica" w:hint="eastAsia"/>
                <w:color w:val="333333"/>
                <w:sz w:val="21"/>
                <w:szCs w:val="21"/>
              </w:rPr>
              <w:t>1</w:t>
            </w:r>
            <w:r w:rsidRPr="009E478C">
              <w:rPr>
                <w:rFonts w:ascii="Helvetica" w:hAnsi="Helvetica" w:hint="eastAsia"/>
                <w:color w:val="333333"/>
                <w:sz w:val="21"/>
                <w:szCs w:val="21"/>
              </w:rPr>
              <w:t>、</w:t>
            </w:r>
            <w:r w:rsidRPr="009E478C">
              <w:rPr>
                <w:rFonts w:ascii="Helvetica" w:hAnsi="Helvetica"/>
                <w:color w:val="333333"/>
                <w:sz w:val="21"/>
                <w:szCs w:val="21"/>
              </w:rPr>
              <w:t>组织措施</w:t>
            </w:r>
            <w:r w:rsidRPr="009E478C">
              <w:rPr>
                <w:rFonts w:ascii="Helvetica" w:hAnsi="Helvetica" w:hint="eastAsia"/>
                <w:color w:val="333333"/>
                <w:sz w:val="21"/>
                <w:szCs w:val="21"/>
              </w:rPr>
              <w:t>：</w:t>
            </w:r>
            <w:r w:rsidRPr="009E478C">
              <w:rPr>
                <w:rFonts w:ascii="Helvetica" w:hAnsi="Helvetica"/>
                <w:color w:val="333333"/>
                <w:sz w:val="21"/>
                <w:szCs w:val="21"/>
              </w:rPr>
              <w:t>在</w:t>
            </w:r>
            <w:r w:rsidRPr="009E478C">
              <w:rPr>
                <w:rFonts w:hint="eastAsia"/>
                <w:sz w:val="21"/>
                <w:szCs w:val="21"/>
              </w:rPr>
              <w:t>上海</w:t>
            </w:r>
            <w:r>
              <w:rPr>
                <w:rFonts w:hint="eastAsia"/>
                <w:sz w:val="21"/>
                <w:szCs w:val="21"/>
              </w:rPr>
              <w:t>奶业行业</w:t>
            </w:r>
            <w:r w:rsidRPr="009E478C">
              <w:rPr>
                <w:rFonts w:hint="eastAsia"/>
                <w:sz w:val="21"/>
                <w:szCs w:val="21"/>
              </w:rPr>
              <w:t>协会</w:t>
            </w:r>
            <w:r w:rsidRPr="009E478C">
              <w:rPr>
                <w:rFonts w:ascii="Helvetica" w:hAnsi="Helvetica"/>
                <w:color w:val="333333"/>
                <w:sz w:val="21"/>
                <w:szCs w:val="21"/>
              </w:rPr>
              <w:t>的组织协调下，以标准起草组成员为主，成立标准宣贯小组。</w:t>
            </w:r>
          </w:p>
          <w:p w14:paraId="7EFDB6FE" w14:textId="77777777" w:rsidR="0035011D" w:rsidRPr="004C1AC4" w:rsidRDefault="00F61E27" w:rsidP="004640D0">
            <w:pPr>
              <w:pStyle w:val="aff"/>
              <w:shd w:val="clear" w:color="auto" w:fill="FFFFFF"/>
              <w:spacing w:before="0" w:beforeAutospacing="0" w:after="0" w:afterAutospacing="0" w:line="360" w:lineRule="atLeast"/>
              <w:ind w:firstLineChars="200" w:firstLine="420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E478C">
              <w:rPr>
                <w:rFonts w:ascii="Helvetica" w:hAnsi="Helvetica" w:hint="eastAsia"/>
                <w:color w:val="333333"/>
                <w:sz w:val="21"/>
                <w:szCs w:val="21"/>
              </w:rPr>
              <w:t>2</w:t>
            </w:r>
            <w:r w:rsidRPr="009E478C">
              <w:rPr>
                <w:rFonts w:ascii="Helvetica" w:hAnsi="Helvetica" w:hint="eastAsia"/>
                <w:color w:val="333333"/>
                <w:sz w:val="21"/>
                <w:szCs w:val="21"/>
              </w:rPr>
              <w:t>、</w:t>
            </w:r>
            <w:r w:rsidRPr="009E478C">
              <w:rPr>
                <w:rFonts w:ascii="Helvetica" w:hAnsi="Helvetica"/>
                <w:color w:val="333333"/>
                <w:sz w:val="21"/>
                <w:szCs w:val="21"/>
              </w:rPr>
              <w:t>技术措施：组织撰写标准宣贯材料，组织标准宣贯培训，争取标准颁布实施后尽快在</w:t>
            </w:r>
            <w:r>
              <w:rPr>
                <w:rFonts w:ascii="Helvetica" w:hAnsi="Helvetica" w:hint="eastAsia"/>
                <w:color w:val="333333"/>
                <w:sz w:val="21"/>
                <w:szCs w:val="21"/>
              </w:rPr>
              <w:t>协会各会员</w:t>
            </w:r>
            <w:r w:rsidRPr="009E478C">
              <w:rPr>
                <w:rFonts w:ascii="Helvetica" w:hAnsi="Helvetica" w:hint="eastAsia"/>
                <w:color w:val="333333"/>
                <w:sz w:val="21"/>
                <w:szCs w:val="21"/>
              </w:rPr>
              <w:t>公司</w:t>
            </w:r>
            <w:r w:rsidRPr="009E478C">
              <w:rPr>
                <w:rFonts w:ascii="Helvetica" w:hAnsi="Helvetica"/>
                <w:color w:val="333333"/>
                <w:sz w:val="21"/>
                <w:szCs w:val="21"/>
              </w:rPr>
              <w:t>推广</w:t>
            </w:r>
            <w:r>
              <w:rPr>
                <w:rFonts w:ascii="Helvetica" w:hAnsi="Helvetica" w:hint="eastAsia"/>
                <w:color w:val="333333"/>
                <w:sz w:val="21"/>
                <w:szCs w:val="21"/>
              </w:rPr>
              <w:t>并逐步推广到</w:t>
            </w:r>
            <w:r w:rsidR="004640D0">
              <w:rPr>
                <w:rFonts w:ascii="Helvetica" w:hAnsi="Helvetica" w:hint="eastAsia"/>
                <w:color w:val="333333"/>
                <w:sz w:val="21"/>
                <w:szCs w:val="21"/>
              </w:rPr>
              <w:t>长三角协作区域</w:t>
            </w:r>
            <w:r w:rsidRPr="009E478C">
              <w:rPr>
                <w:rFonts w:ascii="Helvetica" w:hAnsi="Helvetica"/>
                <w:color w:val="333333"/>
                <w:sz w:val="21"/>
                <w:szCs w:val="21"/>
              </w:rPr>
              <w:t>。</w:t>
            </w:r>
          </w:p>
        </w:tc>
      </w:tr>
      <w:tr w:rsidR="004C1AC4" w:rsidRPr="006F5D50" w14:paraId="13205CAE" w14:textId="77777777" w:rsidTr="001726ED">
        <w:tc>
          <w:tcPr>
            <w:tcW w:w="5000" w:type="pct"/>
            <w:gridSpan w:val="2"/>
            <w:vAlign w:val="center"/>
          </w:tcPr>
          <w:p w14:paraId="5EFFB71A" w14:textId="77777777" w:rsidR="004C1AC4" w:rsidRPr="009E478C" w:rsidRDefault="004C1AC4" w:rsidP="004C1AC4">
            <w:pPr>
              <w:spacing w:line="360" w:lineRule="auto"/>
              <w:jc w:val="center"/>
              <w:rPr>
                <w:rFonts w:ascii="Helvetica" w:hAnsi="Helvetica"/>
                <w:color w:val="333333"/>
                <w:szCs w:val="21"/>
              </w:rPr>
            </w:pPr>
            <w:r w:rsidRPr="004C1AC4">
              <w:rPr>
                <w:rFonts w:ascii="黑体" w:eastAsia="黑体" w:hAnsi="黑体"/>
                <w:szCs w:val="21"/>
              </w:rPr>
              <w:t>废止现行有关标准的建议</w:t>
            </w:r>
          </w:p>
        </w:tc>
      </w:tr>
      <w:tr w:rsidR="004C1AC4" w:rsidRPr="006F5D50" w14:paraId="46E11101" w14:textId="77777777" w:rsidTr="00107A1B">
        <w:trPr>
          <w:trHeight w:val="1212"/>
        </w:trPr>
        <w:tc>
          <w:tcPr>
            <w:tcW w:w="5000" w:type="pct"/>
            <w:gridSpan w:val="2"/>
            <w:vAlign w:val="center"/>
          </w:tcPr>
          <w:p w14:paraId="5B9038D4" w14:textId="77777777" w:rsidR="004C1AC4" w:rsidRPr="009E478C" w:rsidRDefault="004C1AC4" w:rsidP="00107A1B">
            <w:pPr>
              <w:pStyle w:val="aff"/>
              <w:shd w:val="clear" w:color="auto" w:fill="FFFFFF"/>
              <w:spacing w:before="0" w:beforeAutospacing="0" w:after="0" w:afterAutospacing="0" w:line="360" w:lineRule="atLeast"/>
              <w:ind w:firstLineChars="200" w:firstLine="42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hint="eastAsia"/>
                <w:color w:val="333333"/>
                <w:sz w:val="21"/>
                <w:szCs w:val="21"/>
              </w:rPr>
              <w:t>无</w:t>
            </w:r>
            <w:r w:rsidR="00107A1B">
              <w:rPr>
                <w:rFonts w:ascii="Helvetica" w:hAnsi="Helvetica" w:hint="eastAsia"/>
                <w:color w:val="333333"/>
                <w:sz w:val="21"/>
                <w:szCs w:val="21"/>
              </w:rPr>
              <w:t>。</w:t>
            </w:r>
          </w:p>
        </w:tc>
      </w:tr>
      <w:tr w:rsidR="004C1AC4" w:rsidRPr="006F5D50" w14:paraId="5D1969AA" w14:textId="77777777" w:rsidTr="001726ED">
        <w:tc>
          <w:tcPr>
            <w:tcW w:w="5000" w:type="pct"/>
            <w:gridSpan w:val="2"/>
            <w:vAlign w:val="center"/>
          </w:tcPr>
          <w:p w14:paraId="43563419" w14:textId="77777777" w:rsidR="004C1AC4" w:rsidRDefault="004C1AC4" w:rsidP="004C1AC4">
            <w:pPr>
              <w:spacing w:line="360" w:lineRule="auto"/>
              <w:jc w:val="center"/>
              <w:rPr>
                <w:rFonts w:ascii="Helvetica" w:hAnsi="Helvetica"/>
                <w:color w:val="333333"/>
                <w:szCs w:val="21"/>
              </w:rPr>
            </w:pPr>
            <w:r w:rsidRPr="004C1AC4">
              <w:rPr>
                <w:rFonts w:ascii="黑体" w:eastAsia="黑体" w:hAnsi="黑体"/>
                <w:szCs w:val="21"/>
              </w:rPr>
              <w:t>其他应予说明的事项</w:t>
            </w:r>
          </w:p>
        </w:tc>
      </w:tr>
      <w:tr w:rsidR="004C1AC4" w:rsidRPr="006F5D50" w14:paraId="5B759045" w14:textId="77777777" w:rsidTr="004640D0">
        <w:trPr>
          <w:trHeight w:val="1353"/>
        </w:trPr>
        <w:tc>
          <w:tcPr>
            <w:tcW w:w="5000" w:type="pct"/>
            <w:gridSpan w:val="2"/>
            <w:vAlign w:val="center"/>
          </w:tcPr>
          <w:p w14:paraId="32F77CA5" w14:textId="77777777" w:rsidR="004C1AC4" w:rsidRPr="004C1AC4" w:rsidRDefault="004C1AC4" w:rsidP="00107A1B">
            <w:pPr>
              <w:pStyle w:val="aff"/>
              <w:shd w:val="clear" w:color="auto" w:fill="FFFFFF"/>
              <w:spacing w:before="0" w:beforeAutospacing="0" w:after="0" w:afterAutospacing="0" w:line="360" w:lineRule="atLeast"/>
              <w:ind w:firstLineChars="200" w:firstLine="420"/>
              <w:rPr>
                <w:rFonts w:ascii="Verdana" w:hAnsi="Verdana"/>
                <w:color w:val="363636"/>
                <w:sz w:val="21"/>
                <w:szCs w:val="21"/>
              </w:rPr>
            </w:pPr>
            <w:r w:rsidRPr="004C1AC4">
              <w:rPr>
                <w:rFonts w:ascii="Verdana" w:hAnsi="Verdana"/>
                <w:color w:val="363636"/>
                <w:sz w:val="21"/>
                <w:szCs w:val="21"/>
              </w:rPr>
              <w:t>无</w:t>
            </w:r>
            <w:r w:rsidR="00107A1B">
              <w:rPr>
                <w:rFonts w:ascii="Verdana" w:hAnsi="Verdana"/>
                <w:color w:val="363636"/>
                <w:sz w:val="21"/>
                <w:szCs w:val="21"/>
              </w:rPr>
              <w:t>。</w:t>
            </w:r>
          </w:p>
        </w:tc>
      </w:tr>
    </w:tbl>
    <w:p w14:paraId="482C8819" w14:textId="77777777" w:rsidR="00527626" w:rsidRPr="00527626" w:rsidRDefault="00527626" w:rsidP="0061677B">
      <w:pPr>
        <w:widowControl/>
        <w:jc w:val="left"/>
        <w:rPr>
          <w:rFonts w:asciiTheme="minorEastAsia" w:hAnsiTheme="minorEastAsia"/>
          <w:szCs w:val="21"/>
        </w:rPr>
      </w:pPr>
    </w:p>
    <w:sectPr w:rsidR="00527626" w:rsidRPr="00527626" w:rsidSect="004C4248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316D2" w14:textId="77777777" w:rsidR="00883BAB" w:rsidRDefault="00883BAB" w:rsidP="006F5D50">
      <w:r>
        <w:separator/>
      </w:r>
    </w:p>
  </w:endnote>
  <w:endnote w:type="continuationSeparator" w:id="0">
    <w:p w14:paraId="72F0A4FD" w14:textId="77777777" w:rsidR="00883BAB" w:rsidRDefault="00883BAB" w:rsidP="006F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5D698" w14:textId="77777777" w:rsidR="00883BAB" w:rsidRDefault="00883BAB" w:rsidP="006F5D50">
      <w:r>
        <w:separator/>
      </w:r>
    </w:p>
  </w:footnote>
  <w:footnote w:type="continuationSeparator" w:id="0">
    <w:p w14:paraId="0F58E616" w14:textId="77777777" w:rsidR="00883BAB" w:rsidRDefault="00883BAB" w:rsidP="006F5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D"/>
    <w:multiLevelType w:val="multilevel"/>
    <w:tmpl w:val="0000001D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09CE5BF9"/>
    <w:multiLevelType w:val="hybridMultilevel"/>
    <w:tmpl w:val="4A725278"/>
    <w:lvl w:ilvl="0" w:tplc="22627BE6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CB4D8C"/>
    <w:multiLevelType w:val="multilevel"/>
    <w:tmpl w:val="8EA84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a0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4C50F90"/>
    <w:multiLevelType w:val="multilevel"/>
    <w:tmpl w:val="C5D62106"/>
    <w:lvl w:ilvl="0">
      <w:start w:val="1"/>
      <w:numFmt w:val="lowerLetter"/>
      <w:pStyle w:val="a1"/>
      <w:lvlText w:val="%1)"/>
      <w:lvlJc w:val="left"/>
      <w:pPr>
        <w:tabs>
          <w:tab w:val="num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decimal"/>
      <w:pStyle w:val="a2"/>
      <w:lvlText w:val="%2)"/>
      <w:lvlJc w:val="left"/>
      <w:pPr>
        <w:tabs>
          <w:tab w:val="num" w:pos="1276"/>
        </w:tabs>
        <w:ind w:left="1276" w:hanging="425"/>
      </w:pPr>
      <w:rPr>
        <w:rFonts w:ascii="宋体" w:eastAsia="宋体" w:hAnsi="Times New Roman" w:hint="eastAsia"/>
        <w:sz w:val="21"/>
      </w:rPr>
    </w:lvl>
    <w:lvl w:ilvl="2">
      <w:start w:val="1"/>
      <w:numFmt w:val="decimal"/>
      <w:pStyle w:val="a3"/>
      <w:lvlText w:val="(%3)"/>
      <w:lvlJc w:val="left"/>
      <w:pPr>
        <w:ind w:left="1701" w:hanging="425"/>
      </w:pPr>
      <w:rPr>
        <w:rFonts w:ascii="宋体" w:eastAsia="宋体" w:hAnsi="Times New Roman" w:hint="eastAsia"/>
        <w:sz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4" w15:restartNumberingAfterBreak="0">
    <w:nsid w:val="4DF3343A"/>
    <w:multiLevelType w:val="hybridMultilevel"/>
    <w:tmpl w:val="C21894AC"/>
    <w:lvl w:ilvl="0" w:tplc="5576EAA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646260FA"/>
    <w:multiLevelType w:val="multilevel"/>
    <w:tmpl w:val="4F2011E8"/>
    <w:lvl w:ilvl="0">
      <w:start w:val="1"/>
      <w:numFmt w:val="decimal"/>
      <w:pStyle w:val="a4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657D3FBC"/>
    <w:multiLevelType w:val="multilevel"/>
    <w:tmpl w:val="D78CB1D2"/>
    <w:lvl w:ilvl="0">
      <w:start w:val="1"/>
      <w:numFmt w:val="upperLetter"/>
      <w:lvlRestart w:val="0"/>
      <w:pStyle w:val="a5"/>
      <w:suff w:val="nothing"/>
      <w:lvlText w:val="附录%1"/>
      <w:lvlJc w:val="left"/>
      <w:pPr>
        <w:ind w:left="3828" w:firstLine="0"/>
      </w:pPr>
      <w:rPr>
        <w:rFonts w:hint="eastAsia"/>
        <w:spacing w:val="100"/>
      </w:rPr>
    </w:lvl>
    <w:lvl w:ilvl="1">
      <w:start w:val="1"/>
      <w:numFmt w:val="decimal"/>
      <w:pStyle w:val="a6"/>
      <w:suff w:val="nothing"/>
      <w:lvlText w:val="%1.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7"/>
      <w:suff w:val="nothing"/>
      <w:lvlText w:val="%1.%2.%3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3">
      <w:start w:val="1"/>
      <w:numFmt w:val="decimal"/>
      <w:pStyle w:val="a8"/>
      <w:suff w:val="nothing"/>
      <w:lvlText w:val="%1.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9"/>
      <w:suff w:val="nothing"/>
      <w:lvlText w:val="%1.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a"/>
      <w:suff w:val="nothing"/>
      <w:lvlText w:val="%1.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677A7EAD"/>
    <w:multiLevelType w:val="singleLevel"/>
    <w:tmpl w:val="EA2E7836"/>
    <w:lvl w:ilvl="0">
      <w:start w:val="1"/>
      <w:numFmt w:val="lowerLetter"/>
      <w:lvlText w:val="%1．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8" w15:restartNumberingAfterBreak="0">
    <w:nsid w:val="69506ABF"/>
    <w:multiLevelType w:val="multilevel"/>
    <w:tmpl w:val="6E96CAAC"/>
    <w:lvl w:ilvl="0">
      <w:start w:val="1"/>
      <w:numFmt w:val="bullet"/>
      <w:pStyle w:val="2"/>
      <w:lvlText w:val=""/>
      <w:lvlJc w:val="left"/>
      <w:pPr>
        <w:ind w:left="851" w:firstLine="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9" w15:restartNumberingAfterBreak="0">
    <w:nsid w:val="6CEA2025"/>
    <w:multiLevelType w:val="multilevel"/>
    <w:tmpl w:val="C7628974"/>
    <w:lvl w:ilvl="0">
      <w:start w:val="1"/>
      <w:numFmt w:val="none"/>
      <w:pStyle w:val="ab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c"/>
      <w:suff w:val="nothing"/>
      <w:lvlText w:val="%1%2　"/>
      <w:lvlJc w:val="left"/>
      <w:pPr>
        <w:ind w:left="142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d"/>
      <w:suff w:val="nothing"/>
      <w:lvlText w:val="%1%2.%3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ae"/>
      <w:suff w:val="nothing"/>
      <w:lvlText w:val="%1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f"/>
      <w:suff w:val="nothing"/>
      <w:lvlText w:val="%1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f0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pStyle w:val="af1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0" w15:restartNumberingAfterBreak="0">
    <w:nsid w:val="73A561EE"/>
    <w:multiLevelType w:val="hybridMultilevel"/>
    <w:tmpl w:val="40C29F88"/>
    <w:lvl w:ilvl="0" w:tplc="9CECB0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pStyle w:val="af2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B9C707D"/>
    <w:multiLevelType w:val="hybridMultilevel"/>
    <w:tmpl w:val="4B14B0AA"/>
    <w:lvl w:ilvl="0" w:tplc="6BFC35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469713421">
    <w:abstractNumId w:val="11"/>
  </w:num>
  <w:num w:numId="2" w16cid:durableId="1434281806">
    <w:abstractNumId w:val="4"/>
  </w:num>
  <w:num w:numId="3" w16cid:durableId="295839570">
    <w:abstractNumId w:val="1"/>
  </w:num>
  <w:num w:numId="4" w16cid:durableId="1461847915">
    <w:abstractNumId w:val="5"/>
  </w:num>
  <w:num w:numId="5" w16cid:durableId="1828931999">
    <w:abstractNumId w:val="10"/>
  </w:num>
  <w:num w:numId="6" w16cid:durableId="905335458">
    <w:abstractNumId w:val="7"/>
    <w:lvlOverride w:ilvl="0">
      <w:lvl w:ilvl="0">
        <w:start w:val="2"/>
        <w:numFmt w:val="lowerLetter"/>
        <w:lvlText w:val="%1．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  <w:sz w:val="21"/>
          <w:u w:val="none"/>
        </w:rPr>
      </w:lvl>
    </w:lvlOverride>
  </w:num>
  <w:num w:numId="7" w16cid:durableId="1893272095">
    <w:abstractNumId w:val="0"/>
  </w:num>
  <w:num w:numId="8" w16cid:durableId="28338983">
    <w:abstractNumId w:val="9"/>
  </w:num>
  <w:num w:numId="9" w16cid:durableId="1382898221">
    <w:abstractNumId w:val="3"/>
  </w:num>
  <w:num w:numId="10" w16cid:durableId="254946445">
    <w:abstractNumId w:val="6"/>
  </w:num>
  <w:num w:numId="11" w16cid:durableId="1398698824">
    <w:abstractNumId w:val="8"/>
  </w:num>
  <w:num w:numId="12" w16cid:durableId="232815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86F"/>
    <w:rsid w:val="00017815"/>
    <w:rsid w:val="000245BD"/>
    <w:rsid w:val="00052589"/>
    <w:rsid w:val="000739E7"/>
    <w:rsid w:val="000A5702"/>
    <w:rsid w:val="000F2B12"/>
    <w:rsid w:val="00107A1B"/>
    <w:rsid w:val="00135131"/>
    <w:rsid w:val="00160FE5"/>
    <w:rsid w:val="001726ED"/>
    <w:rsid w:val="001B20E3"/>
    <w:rsid w:val="001C1244"/>
    <w:rsid w:val="001F30F5"/>
    <w:rsid w:val="002079E2"/>
    <w:rsid w:val="0022143B"/>
    <w:rsid w:val="002F0589"/>
    <w:rsid w:val="002F471A"/>
    <w:rsid w:val="0035011D"/>
    <w:rsid w:val="00360D1D"/>
    <w:rsid w:val="003846EC"/>
    <w:rsid w:val="00391BB9"/>
    <w:rsid w:val="003B7239"/>
    <w:rsid w:val="00405F6B"/>
    <w:rsid w:val="004117B0"/>
    <w:rsid w:val="00415916"/>
    <w:rsid w:val="004640D0"/>
    <w:rsid w:val="004812C3"/>
    <w:rsid w:val="00494CC4"/>
    <w:rsid w:val="004C1127"/>
    <w:rsid w:val="004C1AC4"/>
    <w:rsid w:val="004C4248"/>
    <w:rsid w:val="004C72D0"/>
    <w:rsid w:val="004D2F64"/>
    <w:rsid w:val="005155A1"/>
    <w:rsid w:val="00527626"/>
    <w:rsid w:val="00540BC2"/>
    <w:rsid w:val="00542916"/>
    <w:rsid w:val="005B256F"/>
    <w:rsid w:val="005C2C04"/>
    <w:rsid w:val="005C6013"/>
    <w:rsid w:val="005D3760"/>
    <w:rsid w:val="00614F39"/>
    <w:rsid w:val="0061677B"/>
    <w:rsid w:val="00645AB1"/>
    <w:rsid w:val="00652F6E"/>
    <w:rsid w:val="006537B0"/>
    <w:rsid w:val="006A5084"/>
    <w:rsid w:val="006C0D51"/>
    <w:rsid w:val="006C7974"/>
    <w:rsid w:val="006F5D50"/>
    <w:rsid w:val="00701219"/>
    <w:rsid w:val="0073183C"/>
    <w:rsid w:val="00734899"/>
    <w:rsid w:val="007816AF"/>
    <w:rsid w:val="007A60B1"/>
    <w:rsid w:val="007C5AEC"/>
    <w:rsid w:val="007D5572"/>
    <w:rsid w:val="008162E7"/>
    <w:rsid w:val="008455FA"/>
    <w:rsid w:val="00852285"/>
    <w:rsid w:val="00870ACF"/>
    <w:rsid w:val="00872158"/>
    <w:rsid w:val="00883BAB"/>
    <w:rsid w:val="008D64A0"/>
    <w:rsid w:val="009029DD"/>
    <w:rsid w:val="00903CD3"/>
    <w:rsid w:val="0090691B"/>
    <w:rsid w:val="00915A7E"/>
    <w:rsid w:val="00927D82"/>
    <w:rsid w:val="00953134"/>
    <w:rsid w:val="00A05A53"/>
    <w:rsid w:val="00A23163"/>
    <w:rsid w:val="00A97950"/>
    <w:rsid w:val="00AA6F1B"/>
    <w:rsid w:val="00AB52A0"/>
    <w:rsid w:val="00AC5443"/>
    <w:rsid w:val="00AD404A"/>
    <w:rsid w:val="00AF77AA"/>
    <w:rsid w:val="00B07F70"/>
    <w:rsid w:val="00B16E99"/>
    <w:rsid w:val="00B24180"/>
    <w:rsid w:val="00B42CEA"/>
    <w:rsid w:val="00B878AA"/>
    <w:rsid w:val="00B9145B"/>
    <w:rsid w:val="00BF315C"/>
    <w:rsid w:val="00C0422E"/>
    <w:rsid w:val="00C05142"/>
    <w:rsid w:val="00C16057"/>
    <w:rsid w:val="00C445A1"/>
    <w:rsid w:val="00C56E1D"/>
    <w:rsid w:val="00C969A6"/>
    <w:rsid w:val="00CB1CDE"/>
    <w:rsid w:val="00CB486F"/>
    <w:rsid w:val="00CD4D95"/>
    <w:rsid w:val="00D43C6D"/>
    <w:rsid w:val="00DD7307"/>
    <w:rsid w:val="00DE2788"/>
    <w:rsid w:val="00DF19C6"/>
    <w:rsid w:val="00E0017F"/>
    <w:rsid w:val="00E02E5E"/>
    <w:rsid w:val="00E31A3A"/>
    <w:rsid w:val="00EE055D"/>
    <w:rsid w:val="00F12FBD"/>
    <w:rsid w:val="00F618B6"/>
    <w:rsid w:val="00F61E27"/>
    <w:rsid w:val="00F76135"/>
    <w:rsid w:val="00FC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2F620"/>
  <w15:docId w15:val="{E28317D4-0F63-40DF-9945-3D83B214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3">
    <w:name w:val="Normal"/>
    <w:qFormat/>
    <w:rsid w:val="00B9145B"/>
    <w:pPr>
      <w:widowControl w:val="0"/>
      <w:jc w:val="both"/>
    </w:pPr>
  </w:style>
  <w:style w:type="paragraph" w:styleId="9">
    <w:name w:val="heading 9"/>
    <w:basedOn w:val="af3"/>
    <w:next w:val="af3"/>
    <w:link w:val="90"/>
    <w:qFormat/>
    <w:rsid w:val="001C1244"/>
    <w:pPr>
      <w:keepNext/>
      <w:keepLines/>
      <w:spacing w:before="240" w:after="64" w:line="320" w:lineRule="auto"/>
      <w:outlineLvl w:val="8"/>
    </w:pPr>
    <w:rPr>
      <w:rFonts w:ascii="Arial" w:eastAsia="黑体" w:hAnsi="Arial" w:cs="Times New Roman"/>
      <w:szCs w:val="21"/>
    </w:rPr>
  </w:style>
  <w:style w:type="character" w:default="1" w:styleId="af4">
    <w:name w:val="Default Paragraph Font"/>
    <w:uiPriority w:val="1"/>
    <w:semiHidden/>
    <w:unhideWhenUsed/>
  </w:style>
  <w:style w:type="table" w:default="1" w:styleId="af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6">
    <w:name w:val="No List"/>
    <w:uiPriority w:val="99"/>
    <w:semiHidden/>
    <w:unhideWhenUsed/>
  </w:style>
  <w:style w:type="table" w:styleId="af7">
    <w:name w:val="Table Grid"/>
    <w:basedOn w:val="af5"/>
    <w:uiPriority w:val="59"/>
    <w:rsid w:val="00CB48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List Paragraph"/>
    <w:basedOn w:val="af3"/>
    <w:uiPriority w:val="34"/>
    <w:qFormat/>
    <w:rsid w:val="00872158"/>
    <w:pPr>
      <w:ind w:firstLineChars="200" w:firstLine="420"/>
    </w:pPr>
  </w:style>
  <w:style w:type="paragraph" w:styleId="af9">
    <w:name w:val="header"/>
    <w:basedOn w:val="af3"/>
    <w:link w:val="afa"/>
    <w:uiPriority w:val="99"/>
    <w:unhideWhenUsed/>
    <w:rsid w:val="006F5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a">
    <w:name w:val="页眉 字符"/>
    <w:basedOn w:val="af4"/>
    <w:link w:val="af9"/>
    <w:uiPriority w:val="99"/>
    <w:rsid w:val="006F5D50"/>
    <w:rPr>
      <w:sz w:val="18"/>
      <w:szCs w:val="18"/>
    </w:rPr>
  </w:style>
  <w:style w:type="paragraph" w:styleId="afb">
    <w:name w:val="footer"/>
    <w:basedOn w:val="af3"/>
    <w:link w:val="afc"/>
    <w:uiPriority w:val="99"/>
    <w:unhideWhenUsed/>
    <w:rsid w:val="006F5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c">
    <w:name w:val="页脚 字符"/>
    <w:basedOn w:val="af4"/>
    <w:link w:val="afb"/>
    <w:uiPriority w:val="99"/>
    <w:rsid w:val="006F5D50"/>
    <w:rPr>
      <w:sz w:val="18"/>
      <w:szCs w:val="18"/>
    </w:rPr>
  </w:style>
  <w:style w:type="paragraph" w:styleId="afd">
    <w:name w:val="Balloon Text"/>
    <w:basedOn w:val="af3"/>
    <w:link w:val="afe"/>
    <w:uiPriority w:val="99"/>
    <w:semiHidden/>
    <w:unhideWhenUsed/>
    <w:rsid w:val="001B20E3"/>
    <w:rPr>
      <w:sz w:val="18"/>
      <w:szCs w:val="18"/>
    </w:rPr>
  </w:style>
  <w:style w:type="character" w:customStyle="1" w:styleId="afe">
    <w:name w:val="批注框文本 字符"/>
    <w:basedOn w:val="af4"/>
    <w:link w:val="afd"/>
    <w:uiPriority w:val="99"/>
    <w:semiHidden/>
    <w:rsid w:val="001B20E3"/>
    <w:rPr>
      <w:sz w:val="18"/>
      <w:szCs w:val="18"/>
    </w:rPr>
  </w:style>
  <w:style w:type="paragraph" w:styleId="aff">
    <w:name w:val="Normal (Web)"/>
    <w:basedOn w:val="af3"/>
    <w:uiPriority w:val="99"/>
    <w:unhideWhenUsed/>
    <w:rsid w:val="00F61E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f0">
    <w:name w:val="段"/>
    <w:link w:val="Char"/>
    <w:qFormat/>
    <w:rsid w:val="007D5572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link w:val="aff0"/>
    <w:rsid w:val="007D5572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正文图标题"/>
    <w:next w:val="aff0"/>
    <w:rsid w:val="007D5572"/>
    <w:pPr>
      <w:numPr>
        <w:numId w:val="4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1">
    <w:name w:val="正文表标题"/>
    <w:next w:val="aff0"/>
    <w:rsid w:val="007D5572"/>
    <w:p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p">
    <w:name w:val="p"/>
    <w:basedOn w:val="af3"/>
    <w:rsid w:val="001726ED"/>
    <w:pPr>
      <w:widowControl/>
      <w:spacing w:line="525" w:lineRule="atLeast"/>
      <w:ind w:firstLine="375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f2">
    <w:name w:val="附录二级无"/>
    <w:basedOn w:val="af3"/>
    <w:rsid w:val="001726ED"/>
    <w:pPr>
      <w:widowControl/>
      <w:numPr>
        <w:ilvl w:val="3"/>
        <w:numId w:val="5"/>
      </w:numPr>
      <w:wordWrap w:val="0"/>
      <w:overflowPunct w:val="0"/>
      <w:autoSpaceDE w:val="0"/>
      <w:autoSpaceDN w:val="0"/>
      <w:textAlignment w:val="baseline"/>
      <w:outlineLvl w:val="3"/>
    </w:pPr>
    <w:rPr>
      <w:rFonts w:ascii="宋体" w:eastAsia="宋体" w:hAnsi="Times New Roman" w:cs="Times New Roman"/>
      <w:kern w:val="21"/>
      <w:szCs w:val="21"/>
    </w:rPr>
  </w:style>
  <w:style w:type="paragraph" w:customStyle="1" w:styleId="aff2">
    <w:name w:val="标准文件_段"/>
    <w:link w:val="Char0"/>
    <w:qFormat/>
    <w:rsid w:val="00AF77AA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0">
    <w:name w:val="标准文件_段 Char"/>
    <w:link w:val="aff2"/>
    <w:qFormat/>
    <w:rsid w:val="00AF77AA"/>
    <w:rPr>
      <w:rFonts w:ascii="宋体" w:eastAsia="宋体" w:hAnsi="Times New Roman" w:cs="Times New Roman"/>
      <w:noProof/>
      <w:kern w:val="0"/>
      <w:szCs w:val="20"/>
    </w:rPr>
  </w:style>
  <w:style w:type="paragraph" w:customStyle="1" w:styleId="ae">
    <w:name w:val="标准文件_二级条标题"/>
    <w:next w:val="aff2"/>
    <w:rsid w:val="001C1244"/>
    <w:pPr>
      <w:widowControl w:val="0"/>
      <w:numPr>
        <w:ilvl w:val="3"/>
        <w:numId w:val="8"/>
      </w:numPr>
      <w:spacing w:beforeLines="50" w:afterLines="50"/>
      <w:jc w:val="both"/>
      <w:outlineLvl w:val="2"/>
    </w:pPr>
    <w:rPr>
      <w:rFonts w:ascii="黑体" w:eastAsia="黑体" w:hAnsi="Times New Roman" w:cs="Times New Roman"/>
      <w:kern w:val="0"/>
      <w:szCs w:val="20"/>
    </w:rPr>
  </w:style>
  <w:style w:type="paragraph" w:customStyle="1" w:styleId="af">
    <w:name w:val="标准文件_三级条标题"/>
    <w:basedOn w:val="ae"/>
    <w:next w:val="aff2"/>
    <w:rsid w:val="001C1244"/>
    <w:pPr>
      <w:widowControl/>
      <w:numPr>
        <w:ilvl w:val="4"/>
      </w:numPr>
      <w:outlineLvl w:val="3"/>
    </w:pPr>
  </w:style>
  <w:style w:type="paragraph" w:customStyle="1" w:styleId="af0">
    <w:name w:val="标准文件_四级条标题"/>
    <w:next w:val="aff2"/>
    <w:rsid w:val="001C1244"/>
    <w:pPr>
      <w:widowControl w:val="0"/>
      <w:numPr>
        <w:ilvl w:val="5"/>
        <w:numId w:val="8"/>
      </w:numPr>
      <w:spacing w:beforeLines="50" w:afterLines="50"/>
      <w:jc w:val="both"/>
      <w:outlineLvl w:val="4"/>
    </w:pPr>
    <w:rPr>
      <w:rFonts w:ascii="黑体" w:eastAsia="黑体" w:hAnsi="Times New Roman" w:cs="Times New Roman"/>
      <w:kern w:val="0"/>
      <w:szCs w:val="20"/>
    </w:rPr>
  </w:style>
  <w:style w:type="paragraph" w:customStyle="1" w:styleId="af1">
    <w:name w:val="标准文件_五级条标题"/>
    <w:next w:val="aff2"/>
    <w:rsid w:val="001C1244"/>
    <w:pPr>
      <w:widowControl w:val="0"/>
      <w:numPr>
        <w:ilvl w:val="6"/>
        <w:numId w:val="8"/>
      </w:numPr>
      <w:spacing w:beforeLines="50" w:afterLines="50"/>
      <w:jc w:val="both"/>
      <w:outlineLvl w:val="5"/>
    </w:pPr>
    <w:rPr>
      <w:rFonts w:ascii="黑体" w:eastAsia="黑体" w:hAnsi="Times New Roman" w:cs="Times New Roman"/>
      <w:kern w:val="0"/>
      <w:szCs w:val="20"/>
    </w:rPr>
  </w:style>
  <w:style w:type="paragraph" w:customStyle="1" w:styleId="ac">
    <w:name w:val="标准文件_章标题"/>
    <w:next w:val="aff2"/>
    <w:rsid w:val="001C1244"/>
    <w:pPr>
      <w:numPr>
        <w:ilvl w:val="1"/>
        <w:numId w:val="8"/>
      </w:numPr>
      <w:spacing w:beforeLines="100" w:afterLines="100"/>
      <w:ind w:left="0"/>
      <w:jc w:val="both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d">
    <w:name w:val="标准文件_一级条标题"/>
    <w:basedOn w:val="ac"/>
    <w:next w:val="aff2"/>
    <w:rsid w:val="001C1244"/>
    <w:pPr>
      <w:numPr>
        <w:ilvl w:val="2"/>
      </w:numPr>
      <w:spacing w:beforeLines="50" w:afterLines="50"/>
      <w:outlineLvl w:val="1"/>
    </w:pPr>
  </w:style>
  <w:style w:type="paragraph" w:customStyle="1" w:styleId="ab">
    <w:name w:val="前言标题"/>
    <w:next w:val="af3"/>
    <w:rsid w:val="001C1244"/>
    <w:pPr>
      <w:numPr>
        <w:numId w:val="8"/>
      </w:numPr>
      <w:shd w:val="clear" w:color="FFFFFF" w:fill="FFFFFF"/>
      <w:spacing w:before="540" w:after="60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styleId="aff3">
    <w:name w:val="Quote"/>
    <w:basedOn w:val="af3"/>
    <w:next w:val="af3"/>
    <w:link w:val="aff4"/>
    <w:uiPriority w:val="29"/>
    <w:qFormat/>
    <w:rsid w:val="001C1244"/>
    <w:pPr>
      <w:adjustRightInd w:val="0"/>
      <w:spacing w:line="400" w:lineRule="exact"/>
    </w:pPr>
    <w:rPr>
      <w:rFonts w:ascii="Calibri" w:eastAsia="宋体" w:hAnsi="Calibri" w:cs="Times New Roman"/>
      <w:i/>
      <w:iCs/>
      <w:color w:val="000000"/>
      <w:szCs w:val="21"/>
    </w:rPr>
  </w:style>
  <w:style w:type="character" w:customStyle="1" w:styleId="aff4">
    <w:name w:val="引用 字符"/>
    <w:basedOn w:val="af4"/>
    <w:link w:val="aff3"/>
    <w:uiPriority w:val="29"/>
    <w:rsid w:val="001C1244"/>
    <w:rPr>
      <w:rFonts w:ascii="Calibri" w:eastAsia="宋体" w:hAnsi="Calibri" w:cs="Times New Roman"/>
      <w:i/>
      <w:iCs/>
      <w:color w:val="000000"/>
      <w:szCs w:val="21"/>
    </w:rPr>
  </w:style>
  <w:style w:type="paragraph" w:customStyle="1" w:styleId="a">
    <w:name w:val="标准文件_一级无标题"/>
    <w:basedOn w:val="ad"/>
    <w:qFormat/>
    <w:rsid w:val="001C1244"/>
    <w:pPr>
      <w:numPr>
        <w:numId w:val="12"/>
      </w:numPr>
      <w:spacing w:beforeLines="0" w:afterLines="0"/>
      <w:outlineLvl w:val="9"/>
    </w:pPr>
    <w:rPr>
      <w:rFonts w:ascii="宋体" w:eastAsia="宋体"/>
    </w:rPr>
  </w:style>
  <w:style w:type="character" w:customStyle="1" w:styleId="90">
    <w:name w:val="标题 9 字符"/>
    <w:basedOn w:val="af4"/>
    <w:link w:val="9"/>
    <w:rsid w:val="001C1244"/>
    <w:rPr>
      <w:rFonts w:ascii="Arial" w:eastAsia="黑体" w:hAnsi="Arial" w:cs="Times New Roman"/>
      <w:szCs w:val="21"/>
    </w:rPr>
  </w:style>
  <w:style w:type="paragraph" w:customStyle="1" w:styleId="a2">
    <w:name w:val="标准文件_数字编号列项（二级）"/>
    <w:rsid w:val="004C4248"/>
    <w:pPr>
      <w:numPr>
        <w:ilvl w:val="1"/>
        <w:numId w:val="9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3">
    <w:name w:val="标准文件_编号列项（三级）"/>
    <w:rsid w:val="004C4248"/>
    <w:pPr>
      <w:numPr>
        <w:ilvl w:val="2"/>
        <w:numId w:val="9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标准文件_二级无标题"/>
    <w:basedOn w:val="ae"/>
    <w:qFormat/>
    <w:rsid w:val="004C4248"/>
    <w:pPr>
      <w:numPr>
        <w:numId w:val="12"/>
      </w:numPr>
      <w:spacing w:beforeLines="0" w:afterLines="0"/>
      <w:outlineLvl w:val="9"/>
    </w:pPr>
    <w:rPr>
      <w:rFonts w:ascii="宋体" w:eastAsia="宋体"/>
    </w:rPr>
  </w:style>
  <w:style w:type="paragraph" w:customStyle="1" w:styleId="a1">
    <w:name w:val="标准文件_字母编号列项（一级）"/>
    <w:rsid w:val="004C4248"/>
    <w:pPr>
      <w:numPr>
        <w:numId w:val="9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5">
    <w:name w:val="标准文件_附录标识"/>
    <w:next w:val="aff2"/>
    <w:rsid w:val="00540BC2"/>
    <w:pPr>
      <w:numPr>
        <w:numId w:val="10"/>
      </w:numPr>
      <w:shd w:val="clear" w:color="FFFFFF" w:fill="FFFFFF"/>
      <w:tabs>
        <w:tab w:val="left" w:pos="6406"/>
      </w:tabs>
      <w:spacing w:before="560" w:afterLines="50"/>
      <w:jc w:val="center"/>
      <w:outlineLvl w:val="0"/>
    </w:pPr>
    <w:rPr>
      <w:rFonts w:ascii="黑体" w:eastAsia="黑体" w:hAnsi="Times New Roman" w:cs="Times New Roman"/>
      <w:noProof/>
      <w:kern w:val="0"/>
      <w:szCs w:val="20"/>
    </w:rPr>
  </w:style>
  <w:style w:type="paragraph" w:customStyle="1" w:styleId="a6">
    <w:name w:val="标准文件_附录一级条标题"/>
    <w:next w:val="aff2"/>
    <w:rsid w:val="00540BC2"/>
    <w:pPr>
      <w:widowControl w:val="0"/>
      <w:numPr>
        <w:ilvl w:val="1"/>
        <w:numId w:val="10"/>
      </w:numPr>
      <w:spacing w:beforeLines="50" w:afterLines="50"/>
      <w:jc w:val="both"/>
      <w:outlineLvl w:val="2"/>
    </w:pPr>
    <w:rPr>
      <w:rFonts w:ascii="黑体" w:eastAsia="黑体" w:hAnsi="Times New Roman" w:cs="Times New Roman"/>
      <w:kern w:val="21"/>
      <w:szCs w:val="20"/>
    </w:rPr>
  </w:style>
  <w:style w:type="paragraph" w:customStyle="1" w:styleId="a7">
    <w:name w:val="标准文件_附录二级条标题"/>
    <w:basedOn w:val="a6"/>
    <w:next w:val="aff2"/>
    <w:rsid w:val="00540BC2"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8">
    <w:name w:val="标准文件_附录三级条标题"/>
    <w:next w:val="aff2"/>
    <w:rsid w:val="00540BC2"/>
    <w:pPr>
      <w:widowControl w:val="0"/>
      <w:numPr>
        <w:ilvl w:val="3"/>
        <w:numId w:val="10"/>
      </w:numPr>
      <w:spacing w:beforeLines="50" w:afterLines="50"/>
      <w:jc w:val="both"/>
      <w:outlineLvl w:val="4"/>
    </w:pPr>
    <w:rPr>
      <w:rFonts w:ascii="黑体" w:eastAsia="黑体" w:hAnsi="Times New Roman" w:cs="Times New Roman"/>
      <w:kern w:val="21"/>
      <w:szCs w:val="20"/>
    </w:rPr>
  </w:style>
  <w:style w:type="paragraph" w:customStyle="1" w:styleId="a9">
    <w:name w:val="标准文件_附录四级条标题"/>
    <w:next w:val="aff2"/>
    <w:rsid w:val="00540BC2"/>
    <w:pPr>
      <w:widowControl w:val="0"/>
      <w:numPr>
        <w:ilvl w:val="4"/>
        <w:numId w:val="10"/>
      </w:numPr>
      <w:spacing w:beforeLines="50" w:afterLines="50"/>
      <w:jc w:val="both"/>
      <w:outlineLvl w:val="5"/>
    </w:pPr>
    <w:rPr>
      <w:rFonts w:ascii="黑体" w:eastAsia="黑体" w:hAnsi="Times New Roman" w:cs="Times New Roman"/>
      <w:kern w:val="21"/>
      <w:szCs w:val="20"/>
    </w:rPr>
  </w:style>
  <w:style w:type="paragraph" w:customStyle="1" w:styleId="aa">
    <w:name w:val="标准文件_附录五级条标题"/>
    <w:next w:val="aff2"/>
    <w:rsid w:val="00540BC2"/>
    <w:pPr>
      <w:widowControl w:val="0"/>
      <w:numPr>
        <w:ilvl w:val="5"/>
        <w:numId w:val="10"/>
      </w:numPr>
      <w:spacing w:beforeLines="50" w:afterLines="50"/>
      <w:jc w:val="both"/>
      <w:outlineLvl w:val="6"/>
    </w:pPr>
    <w:rPr>
      <w:rFonts w:ascii="黑体" w:eastAsia="黑体" w:hAnsi="Times New Roman" w:cs="Times New Roman"/>
      <w:kern w:val="21"/>
      <w:szCs w:val="20"/>
    </w:rPr>
  </w:style>
  <w:style w:type="paragraph" w:customStyle="1" w:styleId="aff5">
    <w:name w:val="标准文件_附录二级无标题"/>
    <w:basedOn w:val="a7"/>
    <w:rsid w:val="00540BC2"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2">
    <w:name w:val="标准文件_三级项2"/>
    <w:basedOn w:val="aff2"/>
    <w:qFormat/>
    <w:rsid w:val="00540BC2"/>
    <w:pPr>
      <w:numPr>
        <w:numId w:val="11"/>
      </w:numPr>
      <w:spacing w:line="300" w:lineRule="exact"/>
      <w:ind w:firstLineChars="0"/>
    </w:pPr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49089-EDA9-4BB4-9E84-33510090C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358</Words>
  <Characters>2041</Characters>
  <Application>Microsoft Office Word</Application>
  <DocSecurity>0</DocSecurity>
  <Lines>17</Lines>
  <Paragraphs>4</Paragraphs>
  <ScaleCrop>false</ScaleCrop>
  <Company>china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xiaodi chen</cp:lastModifiedBy>
  <cp:revision>10</cp:revision>
  <dcterms:created xsi:type="dcterms:W3CDTF">2024-06-11T06:02:00Z</dcterms:created>
  <dcterms:modified xsi:type="dcterms:W3CDTF">2024-06-14T01:49:00Z</dcterms:modified>
</cp:coreProperties>
</file>