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6"/>
        <w:rPr>
          <w:rFonts w:hint="default"/>
          <w:lang w:val="en-US"/>
        </w:r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rPr>
          <w:rFonts w:hint="eastAsia" w:hAnsi="黑体"/>
          <w:lang w:val="en-US" w:eastAsia="zh-CN"/>
        </w:rPr>
        <w:t>2024</w:t>
      </w:r>
    </w:p>
    <w:p>
      <w:pPr>
        <w:pStyle w:val="197"/>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rPr>
          <w:rFonts w:hint="eastAsia"/>
        </w:rPr>
        <w:t>酱香型酿酒糯高粱种植技术规程</w:t>
      </w:r>
    </w:p>
    <w:p>
      <w:pPr>
        <w:pStyle w:val="126"/>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bookmarkStart w:id="8" w:name="下拉1"/>
      <w:r>
        <w:rPr>
          <w:rFonts w:hint="eastAsia" w:cs="Times New Roman"/>
          <w:sz w:val="24"/>
          <w:szCs w:val="28"/>
          <w:lang w:val="en-US" w:eastAsia="zh-CN" w:bidi="ar-SA"/>
        </w:rPr>
        <w:t>（征求意见</w:t>
      </w:r>
      <w:bookmarkStart w:id="67" w:name="_GoBack"/>
      <w:bookmarkEnd w:id="67"/>
      <w:r>
        <w:rPr>
          <w:rFonts w:hint="eastAsia" w:cs="Times New Roman"/>
          <w:sz w:val="24"/>
          <w:szCs w:val="28"/>
          <w:lang w:val="en-US" w:eastAsia="zh-CN" w:bidi="ar-SA"/>
        </w:rPr>
        <w:t>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8"/>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pPr>
        <w:pStyle w:val="194"/>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6"/>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360"/>
      </w:pPr>
      <w:bookmarkStart w:id="17" w:name="BookMark1"/>
      <w:r>
        <w:rPr>
          <w:rFonts w:hint="eastAsia"/>
          <w:spacing w:val="320"/>
        </w:rPr>
        <w:t>目</w:t>
      </w:r>
      <w:r>
        <w:rPr>
          <w:rFonts w:hint="eastAsia"/>
        </w:rPr>
        <w:t>次</w:t>
      </w:r>
    </w:p>
    <w:p>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_Toc22190 </w:instrText>
      </w:r>
      <w:r>
        <w:fldChar w:fldCharType="separate"/>
      </w:r>
      <w:r>
        <w:rPr>
          <w:rFonts w:hint="eastAsia"/>
          <w:lang w:eastAsia="zh-CN"/>
        </w:rPr>
        <w:t>前</w:t>
      </w:r>
      <w:r>
        <w:t>言</w:t>
      </w:r>
      <w:r>
        <w:tab/>
      </w:r>
      <w:r>
        <w:fldChar w:fldCharType="begin"/>
      </w:r>
      <w:r>
        <w:instrText xml:space="preserve"> PAGEREF _Toc22190 \h </w:instrText>
      </w:r>
      <w:r>
        <w:fldChar w:fldCharType="separate"/>
      </w:r>
      <w:r>
        <w:t>III</w:t>
      </w:r>
      <w:r>
        <w:fldChar w:fldCharType="end"/>
      </w:r>
      <w:r>
        <w:fldChar w:fldCharType="end"/>
      </w:r>
    </w:p>
    <w:p>
      <w:pPr>
        <w:pStyle w:val="20"/>
        <w:tabs>
          <w:tab w:val="right" w:leader="dot" w:pos="9354"/>
        </w:tabs>
      </w:pPr>
      <w:r>
        <w:fldChar w:fldCharType="begin"/>
      </w:r>
      <w:r>
        <w:instrText xml:space="preserve"> HYPERLINK \l _Toc24082 </w:instrText>
      </w:r>
      <w:r>
        <w:fldChar w:fldCharType="separate"/>
      </w:r>
      <w:r>
        <w:rPr>
          <w:rFonts w:hint="eastAsia"/>
        </w:rPr>
        <w:t>1 范围</w:t>
      </w:r>
      <w:r>
        <w:tab/>
      </w:r>
      <w:r>
        <w:fldChar w:fldCharType="begin"/>
      </w:r>
      <w:r>
        <w:instrText xml:space="preserve"> PAGEREF _Toc24082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_Toc15969 </w:instrText>
      </w:r>
      <w:r>
        <w:fldChar w:fldCharType="separate"/>
      </w:r>
      <w:r>
        <w:rPr>
          <w:rFonts w:hint="eastAsia"/>
        </w:rPr>
        <w:t>2 规范性引用文件</w:t>
      </w:r>
      <w:r>
        <w:tab/>
      </w:r>
      <w:r>
        <w:fldChar w:fldCharType="begin"/>
      </w:r>
      <w:r>
        <w:instrText xml:space="preserve"> PAGEREF _Toc15969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_Toc23541 </w:instrText>
      </w:r>
      <w:r>
        <w:fldChar w:fldCharType="separate"/>
      </w:r>
      <w:r>
        <w:rPr>
          <w:rFonts w:hint="eastAsia"/>
          <w:lang w:val="en-US" w:eastAsia="zh-CN"/>
        </w:rPr>
        <w:t xml:space="preserve">3 </w:t>
      </w:r>
      <w:r>
        <w:rPr>
          <w:rFonts w:hint="eastAsia"/>
        </w:rPr>
        <w:t>术语和定义</w:t>
      </w:r>
      <w:r>
        <w:tab/>
      </w:r>
      <w:r>
        <w:fldChar w:fldCharType="begin"/>
      </w:r>
      <w:r>
        <w:instrText xml:space="preserve"> PAGEREF _Toc23541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_Toc14274 </w:instrText>
      </w:r>
      <w:r>
        <w:fldChar w:fldCharType="separate"/>
      </w:r>
      <w:r>
        <w:rPr>
          <w:rFonts w:hint="eastAsia"/>
          <w:lang w:val="en-US" w:eastAsia="zh-CN"/>
        </w:rPr>
        <w:t xml:space="preserve">4 </w:t>
      </w:r>
      <w:r>
        <w:rPr>
          <w:rFonts w:hint="eastAsia"/>
          <w:lang w:eastAsia="zh-CN"/>
        </w:rPr>
        <w:t>产地选择</w:t>
      </w:r>
      <w:r>
        <w:tab/>
      </w:r>
      <w:r>
        <w:fldChar w:fldCharType="begin"/>
      </w:r>
      <w:r>
        <w:instrText xml:space="preserve"> PAGEREF _Toc14274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_Toc27796 </w:instrText>
      </w:r>
      <w:r>
        <w:fldChar w:fldCharType="separate"/>
      </w:r>
      <w:r>
        <w:rPr>
          <w:rFonts w:hint="eastAsia"/>
          <w:lang w:val="en-US" w:eastAsia="zh-CN"/>
        </w:rPr>
        <w:t>5 种子选择</w:t>
      </w:r>
      <w:r>
        <w:tab/>
      </w:r>
      <w:r>
        <w:fldChar w:fldCharType="begin"/>
      </w:r>
      <w:r>
        <w:instrText xml:space="preserve"> PAGEREF _Toc27796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_Toc24827 </w:instrText>
      </w:r>
      <w:r>
        <w:fldChar w:fldCharType="separate"/>
      </w:r>
      <w:r>
        <w:rPr>
          <w:rFonts w:hint="eastAsia"/>
          <w:lang w:val="en-US" w:eastAsia="zh-CN"/>
        </w:rPr>
        <w:t>6 栽培技术</w:t>
      </w:r>
      <w:r>
        <w:tab/>
      </w:r>
      <w:r>
        <w:fldChar w:fldCharType="begin"/>
      </w:r>
      <w:r>
        <w:instrText xml:space="preserve"> PAGEREF _Toc24827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_Toc8624 </w:instrText>
      </w:r>
      <w:r>
        <w:fldChar w:fldCharType="separate"/>
      </w:r>
      <w:r>
        <w:rPr>
          <w:rFonts w:hint="eastAsia"/>
          <w:lang w:val="en-US" w:eastAsia="zh-CN"/>
        </w:rPr>
        <w:t>7 收获及后续管理</w:t>
      </w:r>
      <w:r>
        <w:tab/>
      </w:r>
      <w:r>
        <w:fldChar w:fldCharType="begin"/>
      </w:r>
      <w:r>
        <w:instrText xml:space="preserve"> PAGEREF _Toc8624 \h </w:instrText>
      </w:r>
      <w:r>
        <w:fldChar w:fldCharType="separate"/>
      </w:r>
      <w:r>
        <w:t>5</w:t>
      </w:r>
      <w:r>
        <w:fldChar w:fldCharType="end"/>
      </w:r>
      <w:r>
        <w:fldChar w:fldCharType="end"/>
      </w:r>
    </w:p>
    <w:p>
      <w:pPr>
        <w:pStyle w:val="92"/>
        <w:spacing w:after="360"/>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17"/>
    <w:p>
      <w:pPr>
        <w:pStyle w:val="90"/>
        <w:spacing w:after="360"/>
      </w:pPr>
      <w:bookmarkStart w:id="18" w:name="_Toc22190"/>
      <w:bookmarkStart w:id="19" w:name="BookMark2"/>
      <w:r>
        <w:rPr>
          <w:spacing w:val="320"/>
        </w:rPr>
        <w:t>前</w:t>
      </w:r>
      <w:r>
        <w:t>言</w:t>
      </w:r>
      <w:bookmarkEnd w:id="18"/>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本文件由</w:t>
      </w:r>
      <w:r>
        <w:rPr>
          <w:rFonts w:hint="eastAsia"/>
          <w:lang w:eastAsia="zh-CN"/>
        </w:rPr>
        <w:t>古蔺县红粱种植协会</w:t>
      </w:r>
      <w:r>
        <w:rPr>
          <w:rFonts w:hint="eastAsia"/>
        </w:rPr>
        <w:t>提出。</w:t>
      </w:r>
    </w:p>
    <w:p>
      <w:pPr>
        <w:pStyle w:val="57"/>
        <w:ind w:firstLine="420"/>
      </w:pPr>
      <w:r>
        <w:rPr>
          <w:rFonts w:hint="eastAsia"/>
        </w:rPr>
        <w:t>本文件由××××归口。</w:t>
      </w:r>
    </w:p>
    <w:p>
      <w:pPr>
        <w:pStyle w:val="57"/>
        <w:ind w:firstLine="420"/>
        <w:rPr>
          <w:rFonts w:hint="eastAsia" w:eastAsia="宋体"/>
          <w:lang w:eastAsia="zh-CN"/>
        </w:rPr>
      </w:pPr>
      <w:r>
        <w:rPr>
          <w:rFonts w:hint="eastAsia"/>
        </w:rPr>
        <w:t>本文件起草单位：</w:t>
      </w:r>
      <w:r>
        <w:rPr>
          <w:rFonts w:hint="eastAsia"/>
          <w:lang w:eastAsia="zh-CN"/>
        </w:rPr>
        <w:t>古蔺县红粱种植协会。</w:t>
      </w:r>
    </w:p>
    <w:p>
      <w:pPr>
        <w:pStyle w:val="57"/>
        <w:ind w:firstLine="420"/>
        <w:rPr>
          <w:rFonts w:hint="default" w:eastAsia="宋体"/>
          <w:lang w:val="en-US" w:eastAsia="zh-CN"/>
        </w:rPr>
      </w:pPr>
      <w:r>
        <w:rPr>
          <w:rFonts w:hint="eastAsia"/>
        </w:rPr>
        <w:t>本文件主要起草人：</w:t>
      </w:r>
      <w:r>
        <w:rPr>
          <w:rFonts w:hint="eastAsia"/>
          <w:lang w:val="en-US" w:eastAsia="zh-CN"/>
        </w:rPr>
        <w:t>***、***、***。</w:t>
      </w:r>
    </w:p>
    <w:p>
      <w:pPr>
        <w:pStyle w:val="57"/>
        <w:ind w:firstLine="420"/>
      </w:pPr>
    </w:p>
    <w:p>
      <w:pPr>
        <w:pStyle w:val="57"/>
        <w:ind w:firstLine="420"/>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start="3"/>
          <w:cols w:space="425" w:num="1"/>
          <w:formProt w:val="0"/>
          <w:docGrid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sdt>
      <w:sdtPr>
        <w:tag w:val="NEW_STAND_NAME"/>
        <w:id w:val="595910757"/>
        <w:lock w:val="sdtLocked"/>
        <w:placeholder>
          <w:docPart w:val="7B7675CCFB074D529C391823AC2DAA98"/>
        </w:placeholder>
      </w:sdtPr>
      <w:sdtEndPr>
        <w:rPr>
          <w:rFonts w:hint="eastAsia"/>
        </w:rPr>
      </w:sdtEndPr>
      <w:sdtContent>
        <w:p>
          <w:pPr>
            <w:pStyle w:val="178"/>
            <w:spacing w:after="528" w:afterLines="220"/>
          </w:pPr>
          <w:bookmarkStart w:id="21" w:name="NEW_STAND_NAME"/>
          <w:r>
            <w:rPr>
              <w:rFonts w:hint="eastAsia"/>
            </w:rPr>
            <w:t>酱香型酿酒糯高粱种植技术规程</w:t>
          </w:r>
        </w:p>
      </w:sdtContent>
    </w:sdt>
    <w:bookmarkEnd w:id="21"/>
    <w:p>
      <w:pPr>
        <w:pStyle w:val="105"/>
        <w:spacing w:before="240" w:after="240"/>
      </w:pPr>
      <w:bookmarkStart w:id="22" w:name="_Toc26648465"/>
      <w:bookmarkStart w:id="23" w:name="_Toc17233333"/>
      <w:bookmarkStart w:id="24" w:name="_Toc26986530"/>
      <w:bookmarkStart w:id="25" w:name="_Toc26718930"/>
      <w:bookmarkStart w:id="26" w:name="_Toc24884218"/>
      <w:bookmarkStart w:id="27" w:name="_Toc24082"/>
      <w:bookmarkStart w:id="28" w:name="_Toc26986771"/>
      <w:bookmarkStart w:id="29" w:name="_Toc24884211"/>
      <w:bookmarkStart w:id="30" w:name="_Toc17233325"/>
      <w:r>
        <w:rPr>
          <w:rFonts w:hint="eastAsia"/>
        </w:rPr>
        <w:t>范围</w:t>
      </w:r>
      <w:bookmarkEnd w:id="22"/>
      <w:bookmarkEnd w:id="23"/>
      <w:bookmarkEnd w:id="24"/>
      <w:bookmarkEnd w:id="25"/>
      <w:bookmarkEnd w:id="26"/>
      <w:bookmarkEnd w:id="27"/>
      <w:bookmarkEnd w:id="28"/>
      <w:bookmarkEnd w:id="29"/>
      <w:bookmarkEnd w:id="30"/>
    </w:p>
    <w:p>
      <w:pPr>
        <w:pStyle w:val="57"/>
        <w:ind w:firstLine="420"/>
        <w:rPr>
          <w:rFonts w:hint="eastAsia"/>
          <w:lang w:eastAsia="zh-CN"/>
        </w:rPr>
      </w:pPr>
      <w:bookmarkStart w:id="31" w:name="_Toc26648466"/>
      <w:bookmarkStart w:id="32" w:name="_Toc17233334"/>
      <w:bookmarkStart w:id="33" w:name="_Toc17233326"/>
      <w:bookmarkStart w:id="34" w:name="_Toc24884212"/>
      <w:bookmarkStart w:id="35" w:name="_Toc24884219"/>
      <w:r>
        <w:rPr>
          <w:rFonts w:hint="eastAsia"/>
          <w:lang w:eastAsia="zh-CN"/>
        </w:rPr>
        <w:t>本文件规定了酱香型酿酒糯高粱的产地选择、种子选择、栽培技术、收获及后续管理技术要求。</w:t>
      </w:r>
    </w:p>
    <w:p>
      <w:pPr>
        <w:pStyle w:val="57"/>
        <w:ind w:firstLine="420"/>
        <w:rPr>
          <w:rFonts w:hint="default"/>
          <w:lang w:val="en-US" w:eastAsia="zh-CN"/>
        </w:rPr>
      </w:pPr>
      <w:r>
        <w:rPr>
          <w:rFonts w:hint="eastAsia"/>
          <w:lang w:eastAsia="zh-CN"/>
        </w:rPr>
        <w:t>本标准适用于古蔺县行政范围内的酱香型酿酒糯高粱种植。</w:t>
      </w:r>
    </w:p>
    <w:p>
      <w:pPr>
        <w:pStyle w:val="105"/>
        <w:spacing w:before="240" w:after="240"/>
      </w:pPr>
      <w:bookmarkStart w:id="36" w:name="_Toc26986531"/>
      <w:bookmarkStart w:id="37" w:name="_Toc26718931"/>
      <w:bookmarkStart w:id="38" w:name="_Toc15969"/>
      <w:bookmarkStart w:id="39" w:name="_Toc26986772"/>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8C88C206CB2C437BA6AD2F626C67CDA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outlineLvl w:val="9"/>
        <w:rPr>
          <w:rFonts w:hint="default" w:hAnsi="Times New Roman" w:eastAsia="宋体" w:cs="Times New Roman"/>
          <w:color w:val="auto"/>
          <w:highlight w:val="none"/>
          <w:lang w:val="en-US" w:eastAsia="zh-CN"/>
        </w:rPr>
      </w:pPr>
      <w:r>
        <w:rPr>
          <w:rFonts w:hint="eastAsia" w:hAnsi="Times New Roman" w:eastAsia="宋体" w:cs="Times New Roman"/>
          <w:color w:val="auto"/>
          <w:highlight w:val="none"/>
          <w:lang w:val="en-US" w:eastAsia="zh-CN"/>
        </w:rPr>
        <w:t>GB 440</w:t>
      </w:r>
      <w:r>
        <w:rPr>
          <w:rFonts w:hint="eastAsia" w:cs="Times New Roman"/>
          <w:color w:val="auto"/>
          <w:highlight w:val="none"/>
          <w:lang w:val="en-US" w:eastAsia="zh-CN"/>
        </w:rPr>
        <w:t>4</w:t>
      </w:r>
      <w:r>
        <w:rPr>
          <w:rFonts w:hint="eastAsia" w:hAnsi="Times New Roman" w:eastAsia="宋体" w:cs="Times New Roman"/>
          <w:color w:val="auto"/>
          <w:highlight w:val="none"/>
          <w:lang w:val="en-US" w:eastAsia="zh-CN"/>
        </w:rPr>
        <w:t>.1</w:t>
      </w:r>
      <w:r>
        <w:rPr>
          <w:rFonts w:hint="eastAsia" w:cs="Times New Roman"/>
          <w:color w:val="auto"/>
          <w:highlight w:val="none"/>
          <w:lang w:val="en-US" w:eastAsia="zh-CN"/>
        </w:rPr>
        <w:t xml:space="preserve">  粮食作物种子 第1部分 禾谷类</w:t>
      </w:r>
    </w:p>
    <w:p>
      <w:pPr>
        <w:pStyle w:val="57"/>
        <w:outlineLvl w:val="9"/>
        <w:rPr>
          <w:rFonts w:hint="default" w:eastAsia="宋体"/>
          <w:lang w:val="en-US" w:eastAsia="zh-CN"/>
        </w:rPr>
      </w:pPr>
      <w:r>
        <w:rPr>
          <w:rFonts w:hint="eastAsia"/>
        </w:rPr>
        <w:t>GB 5084</w:t>
      </w:r>
      <w:r>
        <w:rPr>
          <w:rFonts w:hint="eastAsia"/>
          <w:lang w:val="en-US" w:eastAsia="zh-CN"/>
        </w:rPr>
        <w:t xml:space="preserve">   农田灌溉水质标准</w:t>
      </w:r>
    </w:p>
    <w:p>
      <w:pPr>
        <w:pStyle w:val="57"/>
        <w:outlineLvl w:val="9"/>
        <w:rPr>
          <w:rFonts w:hint="default" w:hAnsi="宋体" w:eastAsia="宋体"/>
          <w:szCs w:val="21"/>
          <w:lang w:val="en-US" w:eastAsia="zh-CN"/>
        </w:rPr>
      </w:pPr>
      <w:r>
        <w:rPr>
          <w:rFonts w:hint="eastAsia" w:hAnsi="宋体"/>
          <w:szCs w:val="21"/>
        </w:rPr>
        <w:t>GB/T 8321</w:t>
      </w:r>
      <w:r>
        <w:rPr>
          <w:rFonts w:hint="eastAsia" w:hAnsi="宋体"/>
          <w:szCs w:val="21"/>
          <w:lang w:val="en-US" w:eastAsia="zh-CN"/>
        </w:rPr>
        <w:t xml:space="preserve">  农药合理使用准则</w:t>
      </w:r>
    </w:p>
    <w:p>
      <w:pPr>
        <w:pStyle w:val="57"/>
        <w:outlineLvl w:val="9"/>
        <w:rPr>
          <w:rFonts w:hint="default" w:eastAsia="宋体"/>
          <w:lang w:val="en-US" w:eastAsia="zh-CN"/>
        </w:rPr>
      </w:pPr>
      <w:r>
        <w:rPr>
          <w:rFonts w:hint="eastAsia"/>
        </w:rPr>
        <w:t>GB 15618</w:t>
      </w:r>
      <w:r>
        <w:rPr>
          <w:rFonts w:hint="eastAsia"/>
          <w:lang w:val="en-US" w:eastAsia="zh-CN"/>
        </w:rPr>
        <w:t xml:space="preserve">  土壤环境质量农用地土壤污染风险管控标准（试行）</w:t>
      </w:r>
    </w:p>
    <w:p>
      <w:pPr>
        <w:pStyle w:val="10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default" w:ascii="宋体" w:hAnsi="Times New Roman" w:eastAsia="宋体" w:cs="Times New Roman"/>
          <w:color w:val="auto"/>
          <w:sz w:val="21"/>
          <w:highlight w:val="none"/>
          <w:lang w:val="en-US" w:eastAsia="zh-CN" w:bidi="ar-SA"/>
        </w:rPr>
      </w:pPr>
      <w:bookmarkStart w:id="40" w:name="_Toc9393"/>
      <w:bookmarkStart w:id="41" w:name="_Toc31516"/>
      <w:bookmarkStart w:id="42" w:name="_Toc13318"/>
      <w:bookmarkStart w:id="43" w:name="_Toc3039"/>
      <w:r>
        <w:rPr>
          <w:rFonts w:hint="eastAsia" w:ascii="宋体" w:hAnsi="Times New Roman" w:eastAsia="宋体" w:cs="Times New Roman"/>
          <w:color w:val="auto"/>
          <w:sz w:val="21"/>
          <w:highlight w:val="none"/>
          <w:lang w:val="en-US" w:eastAsia="zh-CN" w:bidi="ar-SA"/>
        </w:rPr>
        <w:t>NY/T 391</w:t>
      </w:r>
      <w:r>
        <w:rPr>
          <w:rFonts w:hint="eastAsia" w:ascii="宋体" w:eastAsia="宋体" w:cs="Times New Roman"/>
          <w:color w:val="auto"/>
          <w:sz w:val="21"/>
          <w:highlight w:val="none"/>
          <w:lang w:val="en-US" w:eastAsia="zh-CN" w:bidi="ar-SA"/>
        </w:rPr>
        <w:t xml:space="preserve">  绿色食品 产地环境质量</w:t>
      </w:r>
      <w:bookmarkEnd w:id="40"/>
      <w:bookmarkEnd w:id="41"/>
      <w:bookmarkEnd w:id="42"/>
      <w:bookmarkEnd w:id="43"/>
    </w:p>
    <w:p>
      <w:pPr>
        <w:pStyle w:val="57"/>
        <w:outlineLvl w:val="9"/>
        <w:rPr>
          <w:rFonts w:hint="default" w:eastAsia="宋体"/>
          <w:lang w:val="en-US" w:eastAsia="zh-CN"/>
        </w:rPr>
      </w:pPr>
      <w:r>
        <w:rPr>
          <w:rFonts w:hint="eastAsia"/>
        </w:rPr>
        <w:t>NY</w:t>
      </w:r>
      <w:r>
        <w:rPr>
          <w:rFonts w:hint="eastAsia"/>
          <w:lang w:val="en-US" w:eastAsia="zh-CN"/>
        </w:rPr>
        <w:t>/T</w:t>
      </w:r>
      <w:r>
        <w:rPr>
          <w:rFonts w:hint="eastAsia"/>
        </w:rPr>
        <w:t xml:space="preserve"> 525</w:t>
      </w:r>
      <w:r>
        <w:rPr>
          <w:rFonts w:hint="eastAsia"/>
          <w:lang w:val="en-US" w:eastAsia="zh-CN"/>
        </w:rPr>
        <w:t xml:space="preserve">  有机肥料</w:t>
      </w:r>
    </w:p>
    <w:p>
      <w:pPr>
        <w:pStyle w:val="57"/>
        <w:outlineLvl w:val="9"/>
        <w:rPr>
          <w:rFonts w:hint="default" w:hAnsi="宋体" w:eastAsia="宋体"/>
          <w:szCs w:val="21"/>
          <w:lang w:val="en-US" w:eastAsia="zh-CN"/>
        </w:rPr>
      </w:pPr>
      <w:r>
        <w:rPr>
          <w:rFonts w:hint="eastAsia" w:hAnsi="宋体"/>
          <w:szCs w:val="21"/>
        </w:rPr>
        <w:t>NY/T 1276</w:t>
      </w:r>
      <w:r>
        <w:rPr>
          <w:rFonts w:hint="eastAsia" w:hAnsi="宋体"/>
          <w:szCs w:val="21"/>
          <w:lang w:val="en-US" w:eastAsia="zh-CN"/>
        </w:rPr>
        <w:t xml:space="preserve"> </w:t>
      </w:r>
      <w:r>
        <w:rPr>
          <w:rFonts w:hint="eastAsia" w:ascii="宋体" w:hAnsi="Times New Roman" w:eastAsia="宋体" w:cs="Times New Roman"/>
          <w:color w:val="auto"/>
          <w:sz w:val="21"/>
          <w:highlight w:val="none"/>
          <w:lang w:val="en-US" w:eastAsia="zh-CN" w:bidi="ar-SA"/>
        </w:rPr>
        <w:t xml:space="preserve"> 农药安全使用规范 总则</w:t>
      </w:r>
    </w:p>
    <w:p>
      <w:pPr>
        <w:pStyle w:val="105"/>
        <w:numPr>
          <w:ilvl w:val="1"/>
          <w:numId w:val="0"/>
        </w:numPr>
        <w:spacing w:before="240" w:after="240"/>
        <w:ind w:leftChars="0"/>
      </w:pPr>
      <w:bookmarkStart w:id="44" w:name="_Toc23541"/>
      <w:r>
        <w:rPr>
          <w:rFonts w:hint="eastAsia"/>
          <w:szCs w:val="21"/>
          <w:lang w:val="en-US" w:eastAsia="zh-CN"/>
        </w:rPr>
        <w:t xml:space="preserve">3  </w:t>
      </w:r>
      <w:r>
        <w:rPr>
          <w:rFonts w:hint="eastAsia"/>
          <w:szCs w:val="21"/>
        </w:rPr>
        <w:t>术语和定义</w:t>
      </w:r>
      <w:bookmarkEnd w:id="44"/>
    </w:p>
    <w:sdt>
      <w:sdtPr>
        <w:id w:val="-1909835108"/>
        <w:placeholder>
          <w:docPart w:val="8FB8789C99224FF2851587FDC51794F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5" w:name="_Toc26986532"/>
          <w:bookmarkEnd w:id="45"/>
          <w:r>
            <w:rPr>
              <w:rFonts w:ascii="宋体" w:hAnsi="Times New Roman" w:eastAsia="宋体" w:cs="Times New Roman"/>
              <w:sz w:val="21"/>
              <w:lang w:val="en-US" w:eastAsia="zh-CN" w:bidi="ar-SA"/>
            </w:rPr>
            <w:t>本文件没有需要界定的术语和定义。</w:t>
          </w:r>
        </w:p>
      </w:sdtContent>
    </w:sdt>
    <w:p>
      <w:pPr>
        <w:pStyle w:val="105"/>
        <w:numPr>
          <w:ilvl w:val="1"/>
          <w:numId w:val="0"/>
        </w:numPr>
        <w:spacing w:before="240" w:after="240"/>
        <w:ind w:leftChars="0"/>
      </w:pPr>
      <w:bookmarkStart w:id="46" w:name="_Toc14274"/>
      <w:r>
        <w:rPr>
          <w:rFonts w:hint="eastAsia"/>
          <w:lang w:val="en-US" w:eastAsia="zh-CN"/>
        </w:rPr>
        <w:t xml:space="preserve">4  </w:t>
      </w:r>
      <w:r>
        <w:rPr>
          <w:rFonts w:hint="eastAsia"/>
          <w:lang w:eastAsia="zh-CN"/>
        </w:rPr>
        <w:t>产地选择</w:t>
      </w:r>
      <w:bookmarkEnd w:id="46"/>
    </w:p>
    <w:p>
      <w:pPr>
        <w:pStyle w:val="106"/>
        <w:numPr>
          <w:ilvl w:val="2"/>
          <w:numId w:val="0"/>
        </w:numPr>
        <w:spacing w:before="120" w:after="120"/>
        <w:ind w:leftChars="0"/>
        <w:rPr>
          <w:rFonts w:hint="default"/>
          <w:lang w:val="en-US"/>
        </w:rPr>
      </w:pPr>
      <w:bookmarkStart w:id="47" w:name="_Toc7935"/>
      <w:r>
        <w:rPr>
          <w:rFonts w:hint="eastAsia"/>
          <w:lang w:val="en-US" w:eastAsia="zh-CN"/>
        </w:rPr>
        <w:t>4.1 环境条件</w:t>
      </w:r>
      <w:bookmarkEnd w:id="47"/>
    </w:p>
    <w:p>
      <w:pPr>
        <w:pStyle w:val="231"/>
        <w:rPr>
          <w:rFonts w:hint="default" w:eastAsia="宋体"/>
          <w:lang w:val="en-US" w:eastAsia="zh-CN"/>
        </w:rPr>
      </w:pPr>
      <w:r>
        <w:rPr>
          <w:rFonts w:hint="eastAsia"/>
          <w:highlight w:val="none"/>
          <w:lang w:eastAsia="zh-CN"/>
        </w:rPr>
        <w:t>选择交通便利、地势平坦、避风向阳、靠近水源的地方建设育苗大棚；育苗环境应符合NY/T 391。</w:t>
      </w:r>
    </w:p>
    <w:p>
      <w:pPr>
        <w:pStyle w:val="106"/>
        <w:numPr>
          <w:ilvl w:val="2"/>
          <w:numId w:val="0"/>
        </w:numPr>
        <w:spacing w:before="120" w:after="120"/>
        <w:ind w:leftChars="0"/>
        <w:rPr>
          <w:rFonts w:hint="eastAsia"/>
          <w:lang w:val="en-US" w:eastAsia="zh-CN"/>
        </w:rPr>
      </w:pPr>
      <w:bookmarkStart w:id="48" w:name="_Toc15114"/>
      <w:r>
        <w:rPr>
          <w:rFonts w:hint="eastAsia"/>
          <w:lang w:val="en-US" w:eastAsia="zh-CN"/>
        </w:rPr>
        <w:t>4.2 土壤条件</w:t>
      </w:r>
      <w:bookmarkEnd w:id="48"/>
    </w:p>
    <w:p>
      <w:pPr>
        <w:pStyle w:val="231"/>
        <w:rPr>
          <w:rFonts w:hint="eastAsia"/>
        </w:rPr>
      </w:pPr>
      <w:r>
        <w:rPr>
          <w:rFonts w:hint="eastAsia"/>
        </w:rPr>
        <w:t>宜选择地势平坦，疏松、肥沃、排水良好的深松土、壤土、沙土等，pH为5.5</w:t>
      </w:r>
      <w:r>
        <w:rPr>
          <w:rFonts w:hint="eastAsia"/>
          <w:sz w:val="18"/>
          <w:szCs w:val="18"/>
        </w:rPr>
        <w:t>～</w:t>
      </w:r>
      <w:r>
        <w:rPr>
          <w:rFonts w:hint="eastAsia"/>
        </w:rPr>
        <w:t>7.5</w:t>
      </w:r>
      <w:r>
        <w:rPr>
          <w:rFonts w:hint="eastAsia"/>
          <w:lang w:eastAsia="zh-CN"/>
        </w:rPr>
        <w:t>，</w:t>
      </w:r>
      <w:r>
        <w:rPr>
          <w:rFonts w:hint="eastAsia"/>
        </w:rPr>
        <w:t>土壤环境质量应符合GB 15618。</w:t>
      </w:r>
    </w:p>
    <w:p>
      <w:pPr>
        <w:pStyle w:val="105"/>
        <w:numPr>
          <w:ilvl w:val="1"/>
          <w:numId w:val="0"/>
        </w:numPr>
        <w:spacing w:before="240" w:after="240"/>
        <w:ind w:leftChars="0"/>
        <w:rPr>
          <w:rFonts w:hint="default"/>
          <w:lang w:val="en-US" w:eastAsia="zh-CN"/>
        </w:rPr>
      </w:pPr>
      <w:bookmarkStart w:id="49" w:name="_Toc27796"/>
      <w:r>
        <w:rPr>
          <w:rFonts w:hint="eastAsia"/>
          <w:lang w:val="en-US" w:eastAsia="zh-CN"/>
        </w:rPr>
        <w:t>5  种子选择</w:t>
      </w:r>
      <w:bookmarkEnd w:id="49"/>
    </w:p>
    <w:p>
      <w:pPr>
        <w:pStyle w:val="106"/>
        <w:numPr>
          <w:ilvl w:val="2"/>
          <w:numId w:val="0"/>
        </w:numPr>
        <w:spacing w:before="120" w:after="120"/>
        <w:ind w:leftChars="0"/>
        <w:rPr>
          <w:rFonts w:hint="default"/>
          <w:lang w:val="en-US" w:eastAsia="zh-CN"/>
        </w:rPr>
      </w:pPr>
      <w:bookmarkStart w:id="50" w:name="_Toc5670"/>
      <w:r>
        <w:rPr>
          <w:rFonts w:hint="eastAsia"/>
          <w:lang w:val="en-US" w:eastAsia="zh-CN"/>
        </w:rPr>
        <w:t>5.1 种子品种</w:t>
      </w:r>
      <w:bookmarkEnd w:id="50"/>
    </w:p>
    <w:p>
      <w:pPr>
        <w:pStyle w:val="231"/>
        <w:ind w:left="0" w:leftChars="0" w:firstLine="420" w:firstLineChars="200"/>
        <w:rPr>
          <w:rFonts w:hint="eastAsia" w:hAnsi="Times New Roman" w:eastAsia="宋体" w:cs="Times New Roman"/>
          <w:color w:val="auto"/>
          <w:highlight w:val="none"/>
          <w:lang w:eastAsia="zh-CN"/>
        </w:rPr>
      </w:pPr>
      <w:r>
        <w:rPr>
          <w:rFonts w:hint="eastAsia" w:hAnsi="Times New Roman" w:eastAsia="宋体" w:cs="Times New Roman"/>
          <w:color w:val="auto"/>
          <w:highlight w:val="none"/>
          <w:lang w:eastAsia="zh-CN"/>
        </w:rPr>
        <w:t>选用抗病、优质、丰产、抗逆性强、符合市场需求的品种。</w:t>
      </w:r>
    </w:p>
    <w:p>
      <w:pPr>
        <w:pStyle w:val="106"/>
        <w:numPr>
          <w:ilvl w:val="2"/>
          <w:numId w:val="0"/>
        </w:numPr>
        <w:spacing w:before="120" w:after="120"/>
        <w:ind w:leftChars="0"/>
        <w:rPr>
          <w:rFonts w:hint="default" w:hAnsi="Times New Roman" w:cs="Times New Roman"/>
          <w:lang w:val="en-US" w:eastAsia="zh-CN"/>
        </w:rPr>
      </w:pPr>
      <w:bookmarkStart w:id="51" w:name="_Toc12620"/>
      <w:r>
        <w:rPr>
          <w:rFonts w:hint="eastAsia" w:hAnsi="Times New Roman" w:cs="Times New Roman"/>
          <w:lang w:val="en-US" w:eastAsia="zh-CN"/>
        </w:rPr>
        <w:t>5.2 种子质量</w:t>
      </w:r>
      <w:bookmarkEnd w:id="51"/>
    </w:p>
    <w:p>
      <w:pPr>
        <w:pStyle w:val="57"/>
        <w:ind w:left="0" w:leftChars="0" w:firstLine="420" w:firstLineChars="200"/>
        <w:rPr>
          <w:rFonts w:hint="eastAsia"/>
          <w:lang w:val="en-US" w:eastAsia="zh-CN"/>
        </w:rPr>
      </w:pPr>
      <w:r>
        <w:rPr>
          <w:rFonts w:hint="eastAsia" w:hAnsi="Times New Roman" w:eastAsia="宋体" w:cs="Times New Roman"/>
          <w:color w:val="auto"/>
          <w:highlight w:val="none"/>
          <w:lang w:eastAsia="zh-CN"/>
        </w:rPr>
        <w:t>应符合</w:t>
      </w:r>
      <w:r>
        <w:rPr>
          <w:rFonts w:hint="eastAsia" w:hAnsi="Times New Roman" w:eastAsia="宋体" w:cs="Times New Roman"/>
          <w:color w:val="auto"/>
          <w:highlight w:val="none"/>
          <w:lang w:val="en-US" w:eastAsia="zh-CN"/>
        </w:rPr>
        <w:t>GB 440</w:t>
      </w:r>
      <w:r>
        <w:rPr>
          <w:rFonts w:hint="eastAsia" w:cs="Times New Roman"/>
          <w:color w:val="auto"/>
          <w:highlight w:val="none"/>
          <w:lang w:val="en-US" w:eastAsia="zh-CN"/>
        </w:rPr>
        <w:t>4</w:t>
      </w:r>
      <w:r>
        <w:rPr>
          <w:rFonts w:hint="eastAsia" w:hAnsi="Times New Roman" w:eastAsia="宋体" w:cs="Times New Roman"/>
          <w:color w:val="auto"/>
          <w:highlight w:val="none"/>
          <w:lang w:val="en-US" w:eastAsia="zh-CN"/>
        </w:rPr>
        <w:t>.1</w:t>
      </w:r>
      <w:r>
        <w:rPr>
          <w:rFonts w:hint="eastAsia" w:hAnsi="Times New Roman" w:cs="Times New Roman"/>
          <w:color w:val="auto"/>
          <w:highlight w:val="none"/>
          <w:lang w:eastAsia="zh-CN"/>
        </w:rPr>
        <w:t>。</w:t>
      </w:r>
    </w:p>
    <w:p>
      <w:pPr>
        <w:pStyle w:val="105"/>
        <w:numPr>
          <w:ilvl w:val="1"/>
          <w:numId w:val="0"/>
        </w:numPr>
        <w:spacing w:before="240" w:after="240"/>
        <w:ind w:leftChars="0"/>
        <w:rPr>
          <w:rFonts w:hint="default"/>
          <w:lang w:val="en-US" w:eastAsia="zh-CN"/>
        </w:rPr>
      </w:pPr>
      <w:bookmarkStart w:id="52" w:name="_Toc24827"/>
      <w:r>
        <w:rPr>
          <w:rFonts w:hint="eastAsia"/>
          <w:lang w:val="en-US" w:eastAsia="zh-CN"/>
        </w:rPr>
        <w:t>6  栽培技术</w:t>
      </w:r>
      <w:bookmarkEnd w:id="52"/>
    </w:p>
    <w:p>
      <w:pPr>
        <w:pStyle w:val="106"/>
        <w:numPr>
          <w:ilvl w:val="2"/>
          <w:numId w:val="0"/>
        </w:numPr>
        <w:spacing w:before="120" w:after="120"/>
        <w:ind w:leftChars="0"/>
        <w:rPr>
          <w:rFonts w:hint="default"/>
          <w:lang w:val="en-US" w:eastAsia="zh-CN"/>
        </w:rPr>
      </w:pPr>
      <w:bookmarkStart w:id="53" w:name="_Toc13436"/>
      <w:r>
        <w:rPr>
          <w:rFonts w:hint="eastAsia"/>
          <w:lang w:val="en-US" w:eastAsia="zh-CN"/>
        </w:rPr>
        <w:t>6.1 播种</w:t>
      </w:r>
      <w:bookmarkEnd w:id="53"/>
    </w:p>
    <w:p>
      <w:pPr>
        <w:pStyle w:val="106"/>
        <w:numPr>
          <w:ilvl w:val="2"/>
          <w:numId w:val="0"/>
        </w:numPr>
        <w:spacing w:before="120" w:after="120"/>
        <w:ind w:leftChars="0"/>
        <w:rPr>
          <w:rFonts w:hint="eastAsia" w:cs="Times New Roman"/>
          <w:color w:val="auto"/>
          <w:lang w:val="en-US" w:eastAsia="zh-CN"/>
        </w:rPr>
      </w:pPr>
      <w:bookmarkStart w:id="54" w:name="_Toc785"/>
      <w:bookmarkStart w:id="55" w:name="_Toc8319"/>
      <w:r>
        <w:rPr>
          <w:rFonts w:hint="eastAsia" w:hAnsi="Times New Roman" w:cs="Times New Roman"/>
          <w:color w:val="auto"/>
          <w:lang w:val="en-US" w:eastAsia="zh-CN"/>
        </w:rPr>
        <w:t>6.1</w:t>
      </w:r>
      <w:r>
        <w:rPr>
          <w:rFonts w:hint="eastAsia" w:cs="Times New Roman"/>
          <w:color w:val="auto"/>
          <w:lang w:val="en-US" w:eastAsia="zh-CN"/>
        </w:rPr>
        <w:t>.1</w:t>
      </w:r>
      <w:r>
        <w:rPr>
          <w:rFonts w:hint="eastAsia" w:hAnsi="Times New Roman" w:cs="Times New Roman"/>
          <w:color w:val="auto"/>
          <w:lang w:val="en-US" w:eastAsia="zh-CN"/>
        </w:rPr>
        <w:t xml:space="preserve"> </w:t>
      </w:r>
      <w:r>
        <w:rPr>
          <w:rFonts w:hint="eastAsia" w:cs="Times New Roman"/>
          <w:color w:val="auto"/>
          <w:lang w:val="en-US" w:eastAsia="zh-CN"/>
        </w:rPr>
        <w:t>直播</w:t>
      </w:r>
      <w:bookmarkEnd w:id="54"/>
      <w:bookmarkEnd w:id="55"/>
    </w:p>
    <w:p>
      <w:pPr>
        <w:pStyle w:val="57"/>
        <w:ind w:left="0" w:leftChars="0" w:firstLine="420" w:firstLineChars="200"/>
        <w:rPr>
          <w:rFonts w:hint="eastAsia" w:eastAsia="宋体"/>
          <w:color w:val="auto"/>
          <w:lang w:val="en-US" w:eastAsia="zh-CN"/>
        </w:rPr>
      </w:pPr>
      <w:r>
        <w:rPr>
          <w:rFonts w:hint="eastAsia"/>
          <w:color w:val="auto"/>
          <w:lang w:val="en-US" w:eastAsia="zh-CN"/>
        </w:rPr>
        <w:t>3月下旬至4月上旬。</w:t>
      </w:r>
      <w:r>
        <w:rPr>
          <w:rFonts w:hint="eastAsia" w:ascii="宋体" w:hAnsi="宋体" w:eastAsia="宋体"/>
          <w:color w:val="auto"/>
          <w:sz w:val="21"/>
          <w:szCs w:val="24"/>
        </w:rPr>
        <w:t>直播窝距</w:t>
      </w:r>
      <w:r>
        <w:rPr>
          <w:rFonts w:hint="eastAsia" w:ascii="Times New Roman" w:hAnsi="Times New Roman" w:eastAsia="Times New Roman"/>
          <w:color w:val="auto"/>
          <w:sz w:val="21"/>
          <w:szCs w:val="24"/>
        </w:rPr>
        <w:t>25</w:t>
      </w:r>
      <w:r>
        <w:rPr>
          <w:rFonts w:hint="eastAsia" w:ascii="Times New Roman" w:eastAsia="宋体"/>
          <w:color w:val="auto"/>
          <w:sz w:val="21"/>
          <w:szCs w:val="24"/>
          <w:lang w:val="en-US" w:eastAsia="zh-CN"/>
        </w:rPr>
        <w:t xml:space="preserve"> </w:t>
      </w:r>
      <w:r>
        <w:rPr>
          <w:rFonts w:hint="eastAsia" w:ascii="Times New Roman" w:hAnsi="Times New Roman" w:eastAsia="Times New Roman"/>
          <w:color w:val="auto"/>
          <w:sz w:val="21"/>
          <w:szCs w:val="24"/>
        </w:rPr>
        <w:t>cm</w:t>
      </w:r>
      <w:r>
        <w:rPr>
          <w:rFonts w:hint="eastAsia" w:ascii="宋体" w:hAnsi="宋体" w:eastAsia="宋体"/>
          <w:color w:val="auto"/>
          <w:sz w:val="21"/>
          <w:szCs w:val="24"/>
        </w:rPr>
        <w:t>～</w:t>
      </w:r>
      <w:r>
        <w:rPr>
          <w:rFonts w:hint="eastAsia" w:ascii="Times New Roman" w:hAnsi="Times New Roman" w:eastAsia="Times New Roman"/>
          <w:color w:val="auto"/>
          <w:sz w:val="21"/>
          <w:szCs w:val="24"/>
        </w:rPr>
        <w:t>30</w:t>
      </w:r>
      <w:r>
        <w:rPr>
          <w:rFonts w:hint="eastAsia" w:ascii="Times New Roman" w:eastAsia="宋体"/>
          <w:color w:val="auto"/>
          <w:sz w:val="21"/>
          <w:szCs w:val="24"/>
          <w:lang w:val="en-US" w:eastAsia="zh-CN"/>
        </w:rPr>
        <w:t xml:space="preserve"> </w:t>
      </w:r>
      <w:r>
        <w:rPr>
          <w:rFonts w:hint="eastAsia" w:ascii="Times New Roman" w:hAnsi="Times New Roman" w:eastAsia="Times New Roman"/>
          <w:color w:val="auto"/>
          <w:sz w:val="21"/>
          <w:szCs w:val="24"/>
        </w:rPr>
        <w:t>cm</w:t>
      </w:r>
      <w:r>
        <w:rPr>
          <w:rFonts w:hint="eastAsia" w:ascii="宋体" w:hAnsi="宋体" w:eastAsia="宋体"/>
          <w:color w:val="auto"/>
          <w:sz w:val="21"/>
          <w:szCs w:val="24"/>
        </w:rPr>
        <w:t>，行距</w:t>
      </w:r>
      <w:r>
        <w:rPr>
          <w:rFonts w:hint="eastAsia" w:ascii="Times New Roman" w:hAnsi="Times New Roman" w:eastAsia="Times New Roman"/>
          <w:color w:val="auto"/>
          <w:sz w:val="21"/>
          <w:szCs w:val="24"/>
        </w:rPr>
        <w:t>50</w:t>
      </w:r>
      <w:r>
        <w:rPr>
          <w:rFonts w:hint="eastAsia" w:ascii="Times New Roman" w:eastAsia="宋体"/>
          <w:color w:val="auto"/>
          <w:sz w:val="21"/>
          <w:szCs w:val="24"/>
          <w:lang w:val="en-US" w:eastAsia="zh-CN"/>
        </w:rPr>
        <w:t xml:space="preserve"> </w:t>
      </w:r>
      <w:r>
        <w:rPr>
          <w:rFonts w:hint="eastAsia" w:ascii="Times New Roman" w:hAnsi="Times New Roman" w:eastAsia="Times New Roman"/>
          <w:color w:val="auto"/>
          <w:sz w:val="21"/>
          <w:szCs w:val="24"/>
        </w:rPr>
        <w:t>cm</w:t>
      </w:r>
      <w:r>
        <w:rPr>
          <w:rFonts w:hint="eastAsia" w:ascii="宋体" w:hAnsi="宋体" w:eastAsia="宋体"/>
          <w:color w:val="auto"/>
          <w:sz w:val="21"/>
          <w:szCs w:val="24"/>
        </w:rPr>
        <w:t>～</w:t>
      </w:r>
      <w:r>
        <w:rPr>
          <w:rFonts w:hint="eastAsia" w:ascii="Times New Roman" w:hAnsi="Times New Roman" w:eastAsia="Times New Roman"/>
          <w:color w:val="auto"/>
          <w:sz w:val="21"/>
          <w:szCs w:val="24"/>
        </w:rPr>
        <w:t>60</w:t>
      </w:r>
      <w:r>
        <w:rPr>
          <w:rFonts w:hint="eastAsia" w:ascii="Times New Roman" w:eastAsia="宋体"/>
          <w:color w:val="auto"/>
          <w:sz w:val="21"/>
          <w:szCs w:val="24"/>
          <w:lang w:val="en-US" w:eastAsia="zh-CN"/>
        </w:rPr>
        <w:t xml:space="preserve"> </w:t>
      </w:r>
      <w:r>
        <w:rPr>
          <w:rFonts w:hint="eastAsia" w:ascii="Times New Roman" w:hAnsi="Times New Roman" w:eastAsia="Times New Roman"/>
          <w:color w:val="auto"/>
          <w:sz w:val="21"/>
          <w:szCs w:val="24"/>
        </w:rPr>
        <w:t>cm</w:t>
      </w:r>
      <w:r>
        <w:rPr>
          <w:rFonts w:hint="eastAsia" w:ascii="宋体" w:hAnsi="宋体" w:eastAsia="宋体"/>
          <w:color w:val="auto"/>
          <w:sz w:val="21"/>
          <w:szCs w:val="24"/>
        </w:rPr>
        <w:t>，每窝播种</w:t>
      </w:r>
      <w:r>
        <w:rPr>
          <w:rFonts w:hint="eastAsia" w:ascii="Times New Roman" w:hAnsi="Times New Roman" w:eastAsia="Times New Roman"/>
          <w:color w:val="auto"/>
          <w:sz w:val="21"/>
          <w:szCs w:val="24"/>
        </w:rPr>
        <w:t>3</w:t>
      </w:r>
      <w:r>
        <w:rPr>
          <w:rFonts w:hint="eastAsia" w:ascii="宋体" w:hAnsi="宋体" w:eastAsia="宋体"/>
          <w:color w:val="auto"/>
          <w:sz w:val="21"/>
          <w:szCs w:val="24"/>
        </w:rPr>
        <w:t>粒～</w:t>
      </w:r>
      <w:r>
        <w:rPr>
          <w:rFonts w:hint="eastAsia" w:ascii="Times New Roman" w:hAnsi="Times New Roman" w:eastAsia="Times New Roman"/>
          <w:color w:val="auto"/>
          <w:sz w:val="21"/>
          <w:szCs w:val="24"/>
        </w:rPr>
        <w:t>5</w:t>
      </w:r>
      <w:r>
        <w:rPr>
          <w:rFonts w:hint="eastAsia" w:ascii="宋体" w:hAnsi="宋体" w:eastAsia="宋体"/>
          <w:color w:val="auto"/>
          <w:sz w:val="21"/>
          <w:szCs w:val="24"/>
        </w:rPr>
        <w:t>粒，覆土厚</w:t>
      </w:r>
      <w:r>
        <w:rPr>
          <w:rFonts w:hint="eastAsia" w:ascii="Times New Roman" w:hAnsi="Times New Roman" w:eastAsia="Times New Roman"/>
          <w:color w:val="auto"/>
          <w:sz w:val="21"/>
          <w:szCs w:val="24"/>
        </w:rPr>
        <w:t>2</w:t>
      </w:r>
      <w:r>
        <w:rPr>
          <w:rFonts w:hint="eastAsia" w:ascii="Times New Roman" w:eastAsia="宋体"/>
          <w:color w:val="auto"/>
          <w:sz w:val="21"/>
          <w:szCs w:val="24"/>
          <w:lang w:val="en-US" w:eastAsia="zh-CN"/>
        </w:rPr>
        <w:t xml:space="preserve"> </w:t>
      </w:r>
      <w:r>
        <w:rPr>
          <w:rFonts w:hint="eastAsia" w:ascii="Times New Roman" w:hAnsi="Times New Roman" w:eastAsia="Times New Roman"/>
          <w:color w:val="auto"/>
          <w:sz w:val="21"/>
          <w:szCs w:val="24"/>
        </w:rPr>
        <w:t>cm</w:t>
      </w:r>
      <w:r>
        <w:rPr>
          <w:rFonts w:hint="eastAsia" w:ascii="宋体" w:hAnsi="宋体" w:eastAsia="宋体"/>
          <w:color w:val="auto"/>
          <w:sz w:val="21"/>
          <w:szCs w:val="24"/>
        </w:rPr>
        <w:t>～</w:t>
      </w:r>
      <w:r>
        <w:rPr>
          <w:rFonts w:hint="eastAsia" w:ascii="Times New Roman" w:hAnsi="Times New Roman" w:eastAsia="Times New Roman"/>
          <w:color w:val="auto"/>
          <w:sz w:val="21"/>
          <w:szCs w:val="24"/>
        </w:rPr>
        <w:t>5</w:t>
      </w:r>
      <w:r>
        <w:rPr>
          <w:rFonts w:hint="eastAsia" w:ascii="Times New Roman" w:eastAsia="宋体"/>
          <w:color w:val="auto"/>
          <w:sz w:val="21"/>
          <w:szCs w:val="24"/>
          <w:lang w:val="en-US" w:eastAsia="zh-CN"/>
        </w:rPr>
        <w:t xml:space="preserve"> </w:t>
      </w:r>
      <w:r>
        <w:rPr>
          <w:rFonts w:hint="eastAsia" w:ascii="Times New Roman" w:hAnsi="Times New Roman" w:eastAsia="Times New Roman"/>
          <w:color w:val="auto"/>
          <w:sz w:val="21"/>
          <w:szCs w:val="24"/>
        </w:rPr>
        <w:t>cm</w:t>
      </w:r>
      <w:r>
        <w:rPr>
          <w:rFonts w:hint="eastAsia" w:ascii="Times New Roman" w:eastAsia="宋体"/>
          <w:color w:val="auto"/>
          <w:sz w:val="21"/>
          <w:szCs w:val="24"/>
          <w:lang w:eastAsia="zh-CN"/>
        </w:rPr>
        <w:t>。</w:t>
      </w:r>
    </w:p>
    <w:p>
      <w:pPr>
        <w:pStyle w:val="106"/>
        <w:numPr>
          <w:ilvl w:val="2"/>
          <w:numId w:val="0"/>
        </w:numPr>
        <w:spacing w:before="120" w:after="120"/>
        <w:ind w:leftChars="0"/>
        <w:rPr>
          <w:rFonts w:hint="default" w:hAnsi="Times New Roman" w:cs="Times New Roman"/>
          <w:color w:val="auto"/>
          <w:highlight w:val="none"/>
          <w:lang w:val="en-US" w:eastAsia="zh-CN"/>
        </w:rPr>
      </w:pPr>
      <w:bookmarkStart w:id="56" w:name="_Toc15955"/>
      <w:bookmarkStart w:id="57" w:name="_Toc9634"/>
      <w:r>
        <w:rPr>
          <w:rFonts w:hint="eastAsia" w:hAnsi="Times New Roman" w:cs="Times New Roman"/>
          <w:color w:val="auto"/>
          <w:highlight w:val="none"/>
          <w:lang w:val="en-US" w:eastAsia="zh-CN"/>
        </w:rPr>
        <w:t>6.</w:t>
      </w:r>
      <w:r>
        <w:rPr>
          <w:rFonts w:hint="eastAsia" w:cs="Times New Roman"/>
          <w:color w:val="auto"/>
          <w:highlight w:val="none"/>
          <w:lang w:val="en-US" w:eastAsia="zh-CN"/>
        </w:rPr>
        <w:t>1.</w:t>
      </w:r>
      <w:r>
        <w:rPr>
          <w:rFonts w:hint="eastAsia" w:hAnsi="Times New Roman" w:cs="Times New Roman"/>
          <w:color w:val="auto"/>
          <w:highlight w:val="none"/>
          <w:lang w:val="en-US" w:eastAsia="zh-CN"/>
        </w:rPr>
        <w:t>2 育苗移栽</w:t>
      </w:r>
      <w:bookmarkEnd w:id="56"/>
      <w:bookmarkEnd w:id="57"/>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6.1.2.1 撒播育苗</w:t>
      </w:r>
    </w:p>
    <w:p>
      <w:pPr>
        <w:pStyle w:val="57"/>
        <w:ind w:left="0" w:leftChars="0" w:firstLine="420" w:firstLineChars="200"/>
        <w:rPr>
          <w:rFonts w:hint="eastAsia"/>
          <w:lang w:val="en-US" w:eastAsia="zh-CN"/>
        </w:rPr>
      </w:pPr>
      <w:r>
        <w:rPr>
          <w:rFonts w:hint="eastAsia"/>
          <w:lang w:val="en-US" w:eastAsia="zh-CN"/>
        </w:rPr>
        <w:t>培肥后的苗床地开沟做厢，种子均匀地撒在厢面上并浇上适量的水，撒上一层细土盖住种子，盖土厚度0.5 cm，平铺农用薄膜，出苗后及时拱棚以保温保湿。</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6.1.2.2 营养载体育苗</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6.1.2.2.1 营养块育苗</w:t>
      </w:r>
    </w:p>
    <w:p>
      <w:pPr>
        <w:pStyle w:val="57"/>
        <w:ind w:left="0" w:leftChars="0" w:firstLine="420" w:firstLineChars="200"/>
        <w:rPr>
          <w:rFonts w:hint="eastAsia"/>
          <w:lang w:val="en-US" w:eastAsia="zh-CN"/>
        </w:rPr>
      </w:pPr>
      <w:r>
        <w:rPr>
          <w:rFonts w:hint="eastAsia"/>
          <w:lang w:val="en-US" w:eastAsia="zh-CN"/>
        </w:rPr>
        <w:t>苗床底部铺一层隔离物，将营养土加入充足的水，拌匀后在苗床上铺平，厚度5 cm</w:t>
      </w:r>
      <m:oMath>
        <m:r>
          <m:rPr>
            <m:sty m:val="p"/>
          </m:rPr>
          <w:rPr>
            <w:rFonts w:hint="default" w:ascii="Cambria Math" w:hAnsi="Cambria Math" w:cs="Cambria Math"/>
            <w:sz w:val="21"/>
            <w:lang w:val="en-US" w:eastAsia="zh-CN" w:bidi="ar-SA"/>
          </w:rPr>
          <m:t>~</m:t>
        </m:r>
      </m:oMath>
      <w:r>
        <w:rPr>
          <w:rFonts w:hint="eastAsia"/>
          <w:lang w:val="en-US" w:eastAsia="zh-CN"/>
        </w:rPr>
        <w:t>6 cm。刮平压实后用木板和刀将其划切成6 cm的正方营养块，每个营养块上播种3粒，撒上细土盖住种子，浇适量水，用农用薄膜盖住苗床地保温保湿，高梁出苗后及时拱棚。</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6.1.2.2.2 营养球育苗</w:t>
      </w:r>
    </w:p>
    <w:p>
      <w:pPr>
        <w:pStyle w:val="57"/>
        <w:ind w:left="0" w:leftChars="0" w:firstLine="420" w:firstLineChars="200"/>
        <w:rPr>
          <w:rFonts w:hint="eastAsia"/>
          <w:lang w:val="en-US" w:eastAsia="zh-CN"/>
        </w:rPr>
      </w:pPr>
      <w:r>
        <w:rPr>
          <w:rFonts w:hint="eastAsia"/>
          <w:lang w:val="en-US" w:eastAsia="zh-CN"/>
        </w:rPr>
        <w:t>沤制营养上，用适量的清水将营养土拌湿，手捏营养土成6 cm左右的圆球并整齐地排放在苗床内。用手指轻轻在营养球上戳一个1 cm深的小洞，洞口放3粒高梁种子，浇入适量水，用细土盖住。</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6.1.2.2.3 漂浮盘育苗</w:t>
      </w:r>
    </w:p>
    <w:p>
      <w:pPr>
        <w:pStyle w:val="231"/>
        <w:ind w:left="0" w:leftChars="0" w:firstLine="420" w:firstLineChars="200"/>
        <w:rPr>
          <w:rFonts w:hint="eastAsia"/>
          <w:highlight w:val="none"/>
          <w:lang w:eastAsia="zh-CN"/>
        </w:rPr>
      </w:pPr>
      <w:r>
        <w:rPr>
          <w:rFonts w:hint="eastAsia" w:ascii="宋体" w:hAnsi="Times New Roman" w:eastAsia="宋体" w:cs="Times New Roman"/>
          <w:color w:val="auto"/>
          <w:sz w:val="21"/>
          <w:highlight w:val="none"/>
          <w:lang w:val="en-US" w:eastAsia="zh-CN" w:bidi="ar-SA"/>
        </w:rPr>
        <w:t>在每个育苗穴内播2粒～3粒高粱种子，播完一盘后用木板轻压苗盘表面至苗盘表面平整，用配好基质盖种</w:t>
      </w:r>
      <w:r>
        <w:rPr>
          <w:rFonts w:hint="eastAsia" w:cs="Times New Roman"/>
          <w:color w:val="auto"/>
          <w:sz w:val="21"/>
          <w:highlight w:val="none"/>
          <w:lang w:val="en-US" w:eastAsia="zh-CN" w:bidi="ar-SA"/>
        </w:rPr>
        <w:t>，</w:t>
      </w:r>
      <w:r>
        <w:rPr>
          <w:rFonts w:hint="eastAsia"/>
          <w:highlight w:val="none"/>
          <w:lang w:eastAsia="zh-CN"/>
        </w:rPr>
        <w:t>放入营养池内漂浮，入池24 h后若发现种植孔不能吸水，用细铁丝等钻通，促进基质充分吸水。</w:t>
      </w:r>
    </w:p>
    <w:p>
      <w:pPr>
        <w:pStyle w:val="106"/>
        <w:numPr>
          <w:ilvl w:val="2"/>
          <w:numId w:val="0"/>
        </w:numPr>
        <w:spacing w:before="120" w:after="120"/>
        <w:ind w:leftChars="0"/>
        <w:rPr>
          <w:rFonts w:hint="default"/>
          <w:lang w:val="en-US" w:eastAsia="zh-CN"/>
        </w:rPr>
      </w:pPr>
      <w:bookmarkStart w:id="58" w:name="_Toc16113"/>
      <w:r>
        <w:rPr>
          <w:rFonts w:hint="eastAsia"/>
          <w:lang w:val="en-US" w:eastAsia="zh-CN"/>
        </w:rPr>
        <w:t>6.2 苗期管理</w:t>
      </w:r>
      <w:bookmarkEnd w:id="58"/>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 xml:space="preserve">6.2.1 间苗 </w:t>
      </w:r>
    </w:p>
    <w:p>
      <w:pPr>
        <w:pStyle w:val="231"/>
        <w:ind w:left="0" w:leftChars="0" w:firstLine="420" w:firstLineChars="200"/>
        <w:rPr>
          <w:rFonts w:hint="eastAsia"/>
          <w:highlight w:val="none"/>
          <w:lang w:eastAsia="zh-CN"/>
        </w:rPr>
      </w:pPr>
      <w:r>
        <w:rPr>
          <w:rFonts w:hint="eastAsia"/>
          <w:highlight w:val="none"/>
          <w:lang w:eastAsia="zh-CN"/>
        </w:rPr>
        <w:t>出苗后长到2叶1心时进行间苗，每孔留2苗。</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 xml:space="preserve">6.2.2 炼苗 </w:t>
      </w:r>
    </w:p>
    <w:p>
      <w:pPr>
        <w:pStyle w:val="231"/>
        <w:ind w:left="0" w:leftChars="0" w:firstLine="420" w:firstLineChars="200"/>
        <w:rPr>
          <w:rFonts w:hint="eastAsia"/>
          <w:highlight w:val="none"/>
          <w:lang w:eastAsia="zh-CN"/>
        </w:rPr>
      </w:pPr>
      <w:r>
        <w:rPr>
          <w:rFonts w:hint="eastAsia" w:ascii="宋体" w:hAnsi="宋体" w:eastAsia="宋体"/>
          <w:color w:val="000000"/>
          <w:sz w:val="21"/>
          <w:szCs w:val="24"/>
        </w:rPr>
        <w:t>育苗棚内温度</w:t>
      </w:r>
      <w:r>
        <w:rPr>
          <w:rFonts w:hint="eastAsia" w:hAnsi="宋体" w:eastAsia="宋体"/>
          <w:color w:val="000000"/>
          <w:sz w:val="21"/>
          <w:szCs w:val="24"/>
          <w:lang w:eastAsia="zh-CN"/>
        </w:rPr>
        <w:t>以</w:t>
      </w:r>
      <w:r>
        <w:rPr>
          <w:rFonts w:hint="eastAsia" w:hAnsi="Times New Roman" w:eastAsia="宋体" w:cs="Times New Roman"/>
          <w:highlight w:val="none"/>
          <w:lang w:val="en-US" w:eastAsia="zh-CN"/>
        </w:rPr>
        <w:t>20 ℃～28 ℃</w:t>
      </w:r>
      <w:r>
        <w:rPr>
          <w:rFonts w:hint="eastAsia" w:ascii="宋体" w:hAnsi="宋体" w:eastAsia="宋体"/>
          <w:color w:val="000000"/>
          <w:sz w:val="21"/>
          <w:szCs w:val="24"/>
        </w:rPr>
        <w:t>为宜。</w:t>
      </w:r>
      <w:r>
        <w:rPr>
          <w:rFonts w:hint="eastAsia"/>
          <w:highlight w:val="none"/>
          <w:lang w:eastAsia="zh-CN"/>
        </w:rPr>
        <w:t>在移栽前2</w:t>
      </w:r>
      <w:r>
        <w:rPr>
          <w:rFonts w:hint="eastAsia"/>
          <w:highlight w:val="none"/>
          <w:lang w:val="en-US" w:eastAsia="zh-CN"/>
        </w:rPr>
        <w:t xml:space="preserve"> d</w:t>
      </w:r>
      <w:r>
        <w:rPr>
          <w:rFonts w:hint="eastAsia" w:hAnsi="Times New Roman" w:eastAsia="宋体" w:cs="Times New Roman"/>
          <w:highlight w:val="none"/>
          <w:lang w:val="en-US" w:eastAsia="zh-CN"/>
        </w:rPr>
        <w:t>～</w:t>
      </w:r>
      <w:r>
        <w:rPr>
          <w:rFonts w:hint="eastAsia"/>
          <w:highlight w:val="none"/>
          <w:lang w:eastAsia="zh-CN"/>
        </w:rPr>
        <w:t>3</w:t>
      </w:r>
      <w:r>
        <w:rPr>
          <w:rFonts w:hint="eastAsia"/>
          <w:highlight w:val="none"/>
          <w:lang w:val="en-US" w:eastAsia="zh-CN"/>
        </w:rPr>
        <w:t xml:space="preserve"> d</w:t>
      </w:r>
      <w:r>
        <w:rPr>
          <w:rFonts w:hint="eastAsia"/>
          <w:highlight w:val="none"/>
          <w:lang w:eastAsia="zh-CN"/>
        </w:rPr>
        <w:t>循序渐进揭开两头及两侧薄膜炼苗。</w:t>
      </w:r>
      <w:r>
        <w:rPr>
          <w:rFonts w:hint="default" w:ascii="宋体" w:hAnsi="宋体" w:eastAsia="宋体"/>
          <w:color w:val="000000"/>
          <w:sz w:val="21"/>
          <w:szCs w:val="24"/>
          <w:lang w:val="en-US" w:eastAsia="zh-CN"/>
        </w:rPr>
        <w:t>晴天每天上午10点</w:t>
      </w:r>
      <w:r>
        <w:rPr>
          <w:rFonts w:hint="eastAsia" w:hAnsi="Times New Roman" w:eastAsia="宋体" w:cs="Times New Roman"/>
          <w:highlight w:val="none"/>
          <w:lang w:val="en-US" w:eastAsia="zh-CN"/>
        </w:rPr>
        <w:t>～</w:t>
      </w:r>
      <w:r>
        <w:rPr>
          <w:rFonts w:hint="default" w:ascii="宋体" w:hAnsi="宋体" w:eastAsia="宋体"/>
          <w:color w:val="000000"/>
          <w:sz w:val="21"/>
          <w:szCs w:val="24"/>
          <w:lang w:val="en-US" w:eastAsia="zh-CN"/>
        </w:rPr>
        <w:t>下午5点</w:t>
      </w:r>
      <w:r>
        <w:rPr>
          <w:rFonts w:hint="eastAsia" w:hAnsi="宋体" w:eastAsia="宋体"/>
          <w:color w:val="000000"/>
          <w:sz w:val="21"/>
          <w:szCs w:val="24"/>
          <w:lang w:val="en-US" w:eastAsia="zh-CN"/>
        </w:rPr>
        <w:t>应</w:t>
      </w:r>
      <w:r>
        <w:rPr>
          <w:rFonts w:hint="default" w:ascii="宋体" w:hAnsi="宋体" w:eastAsia="宋体"/>
          <w:color w:val="000000"/>
          <w:sz w:val="21"/>
          <w:szCs w:val="24"/>
          <w:lang w:val="en-US" w:eastAsia="zh-CN"/>
        </w:rPr>
        <w:t>及时揭</w:t>
      </w:r>
      <w:r>
        <w:rPr>
          <w:rFonts w:hint="eastAsia" w:hAnsi="宋体" w:eastAsia="宋体"/>
          <w:color w:val="000000"/>
          <w:sz w:val="21"/>
          <w:szCs w:val="24"/>
          <w:lang w:val="en-US" w:eastAsia="zh-CN"/>
        </w:rPr>
        <w:t>开苗棚</w:t>
      </w:r>
      <w:r>
        <w:rPr>
          <w:rFonts w:hint="default" w:ascii="宋体" w:hAnsi="宋体" w:eastAsia="宋体"/>
          <w:color w:val="000000"/>
          <w:sz w:val="21"/>
          <w:szCs w:val="24"/>
          <w:lang w:val="en-US" w:eastAsia="zh-CN"/>
        </w:rPr>
        <w:t>两头膜，</w:t>
      </w:r>
      <w:r>
        <w:rPr>
          <w:rFonts w:hint="eastAsia" w:hAnsi="宋体" w:eastAsia="宋体"/>
          <w:color w:val="000000"/>
          <w:sz w:val="21"/>
          <w:szCs w:val="24"/>
          <w:lang w:val="en-US" w:eastAsia="zh-CN"/>
        </w:rPr>
        <w:t>下午</w:t>
      </w:r>
      <w:r>
        <w:rPr>
          <w:rFonts w:hint="default" w:ascii="宋体" w:hAnsi="宋体" w:eastAsia="宋体"/>
          <w:color w:val="000000"/>
          <w:sz w:val="21"/>
          <w:szCs w:val="24"/>
          <w:lang w:val="en-US" w:eastAsia="zh-CN"/>
        </w:rPr>
        <w:t>5点后应及时盖好膜保温。</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highlight w:val="none"/>
          <w:lang w:val="en-US" w:eastAsia="zh-CN"/>
        </w:rPr>
      </w:pPr>
      <w:r>
        <w:rPr>
          <w:rFonts w:hint="eastAsia" w:ascii="黑体" w:hAnsi="黑体" w:eastAsia="黑体" w:cs="黑体"/>
          <w:highlight w:val="none"/>
          <w:lang w:val="en-US" w:eastAsia="zh-CN"/>
        </w:rPr>
        <w:t>6.2.3 壮苗标准</w:t>
      </w:r>
    </w:p>
    <w:p>
      <w:pPr>
        <w:pStyle w:val="231"/>
        <w:rPr>
          <w:rFonts w:hint="eastAsia"/>
          <w:highlight w:val="none"/>
          <w:lang w:eastAsia="zh-CN"/>
        </w:rPr>
      </w:pPr>
      <w:r>
        <w:rPr>
          <w:rFonts w:hint="eastAsia"/>
          <w:highlight w:val="none"/>
          <w:lang w:eastAsia="zh-CN"/>
        </w:rPr>
        <w:t>高粱苗生长到4叶，</w:t>
      </w:r>
      <w:r>
        <w:rPr>
          <w:rFonts w:hint="eastAsia" w:ascii="宋体" w:hAnsi="宋体" w:eastAsia="宋体"/>
          <w:color w:val="000000"/>
          <w:sz w:val="21"/>
          <w:szCs w:val="24"/>
        </w:rPr>
        <w:t>叶色深绿，茎秆粗壮，根系发达，根坨成型，无病斑，无虫害。</w:t>
      </w:r>
    </w:p>
    <w:p>
      <w:pPr>
        <w:pStyle w:val="106"/>
        <w:numPr>
          <w:ilvl w:val="2"/>
          <w:numId w:val="0"/>
        </w:numPr>
        <w:spacing w:before="120" w:after="120"/>
        <w:ind w:leftChars="0"/>
        <w:rPr>
          <w:rFonts w:hint="eastAsia"/>
          <w:lang w:val="en-US" w:eastAsia="zh-CN"/>
        </w:rPr>
      </w:pPr>
      <w:bookmarkStart w:id="59" w:name="_Toc28596"/>
      <w:r>
        <w:rPr>
          <w:rFonts w:hint="eastAsia"/>
          <w:lang w:val="en-US" w:eastAsia="zh-CN"/>
        </w:rPr>
        <w:t>6.3 移栽</w:t>
      </w:r>
      <w:bookmarkEnd w:id="59"/>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6.3.1 大田整理</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6.3.1.1 整地</w:t>
      </w:r>
    </w:p>
    <w:p>
      <w:pPr>
        <w:pStyle w:val="106"/>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outlineLvl w:val="9"/>
        <w:rPr>
          <w:rFonts w:hint="eastAsia" w:ascii="宋体" w:hAnsi="Times New Roman" w:eastAsia="宋体" w:cs="Times New Roman"/>
          <w:sz w:val="21"/>
          <w:highlight w:val="none"/>
          <w:lang w:val="en-US" w:eastAsia="zh-CN" w:bidi="ar-SA"/>
        </w:rPr>
      </w:pPr>
      <w:bookmarkStart w:id="60" w:name="_Toc2855"/>
      <w:bookmarkStart w:id="61" w:name="_Toc17090"/>
      <w:bookmarkStart w:id="62" w:name="_Toc25837"/>
      <w:r>
        <w:rPr>
          <w:rFonts w:hint="eastAsia" w:ascii="宋体" w:hAnsi="Times New Roman" w:eastAsia="宋体" w:cs="Times New Roman"/>
          <w:sz w:val="21"/>
          <w:highlight w:val="none"/>
          <w:lang w:val="en-US" w:eastAsia="zh-CN" w:bidi="ar-SA"/>
        </w:rPr>
        <w:t>以除杂除草、翻耕压青、整细整平和开通背沟、边沟为重点进行整地，水改旱区域应提前30天排干田间蓄水和耕层积水，结合移栽规格开设厢沟。</w:t>
      </w:r>
      <w:bookmarkEnd w:id="60"/>
      <w:bookmarkEnd w:id="61"/>
      <w:bookmarkEnd w:id="62"/>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6.3.1.2 起垄</w:t>
      </w:r>
    </w:p>
    <w:p>
      <w:pPr>
        <w:pStyle w:val="231"/>
        <w:rPr>
          <w:rFonts w:hint="eastAsia" w:hAnsi="Times New Roman" w:eastAsia="宋体" w:cs="Times New Roman"/>
          <w:highlight w:val="none"/>
          <w:lang w:val="en-US" w:eastAsia="zh-CN"/>
        </w:rPr>
      </w:pPr>
      <w:r>
        <w:rPr>
          <w:rFonts w:hint="eastAsia" w:hAnsi="Times New Roman" w:eastAsia="宋体" w:cs="Times New Roman"/>
          <w:highlight w:val="none"/>
          <w:lang w:val="en-US" w:eastAsia="zh-CN"/>
        </w:rPr>
        <w:t>在平整的大田做垄，垄高应＞20 cm，垄距以65 cm～70 cm为宜。</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6.3.1.3 施用底肥</w:t>
      </w:r>
    </w:p>
    <w:p>
      <w:pPr>
        <w:pStyle w:val="231"/>
        <w:rPr>
          <w:rFonts w:hint="eastAsia"/>
          <w:highlight w:val="none"/>
          <w:lang w:eastAsia="zh-CN"/>
        </w:rPr>
      </w:pPr>
      <w:r>
        <w:rPr>
          <w:rFonts w:hint="eastAsia"/>
          <w:highlight w:val="none"/>
          <w:lang w:eastAsia="zh-CN"/>
        </w:rPr>
        <w:t>应结合整地施足底肥，每亩宜施腐熟农家肥2000 kg～3000 kg，施氮（N）5.0 ㎏～7.0 ㎏，施磷（P</w:t>
      </w:r>
      <w:r>
        <w:rPr>
          <w:rFonts w:hint="eastAsia"/>
          <w:highlight w:val="none"/>
          <w:vertAlign w:val="subscript"/>
          <w:lang w:eastAsia="zh-CN"/>
        </w:rPr>
        <w:t>2</w:t>
      </w:r>
      <w:r>
        <w:rPr>
          <w:rFonts w:hint="eastAsia"/>
          <w:highlight w:val="none"/>
          <w:lang w:eastAsia="zh-CN"/>
        </w:rPr>
        <w:t>O</w:t>
      </w:r>
      <w:r>
        <w:rPr>
          <w:rFonts w:hint="eastAsia"/>
          <w:highlight w:val="none"/>
          <w:vertAlign w:val="subscript"/>
          <w:lang w:eastAsia="zh-CN"/>
        </w:rPr>
        <w:t>5</w:t>
      </w:r>
      <w:r>
        <w:rPr>
          <w:rFonts w:hint="eastAsia"/>
          <w:highlight w:val="none"/>
          <w:lang w:eastAsia="zh-CN"/>
        </w:rPr>
        <w:t>）4.0 ㎏～5.0 ㎏，施钾（K</w:t>
      </w:r>
      <w:r>
        <w:rPr>
          <w:rFonts w:hint="eastAsia"/>
          <w:highlight w:val="none"/>
          <w:vertAlign w:val="subscript"/>
          <w:lang w:eastAsia="zh-CN"/>
        </w:rPr>
        <w:t>2</w:t>
      </w:r>
      <w:r>
        <w:rPr>
          <w:rFonts w:hint="eastAsia"/>
          <w:highlight w:val="none"/>
          <w:lang w:eastAsia="zh-CN"/>
        </w:rPr>
        <w:t>O）3.0 ㎏～5.0 ㎏。</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highlight w:val="none"/>
          <w:lang w:val="en-US" w:eastAsia="zh-CN"/>
        </w:rPr>
      </w:pPr>
      <w:r>
        <w:rPr>
          <w:rFonts w:hint="eastAsia" w:ascii="黑体" w:hAnsi="黑体" w:eastAsia="黑体" w:cs="黑体"/>
          <w:highlight w:val="none"/>
          <w:lang w:val="en-US" w:eastAsia="zh-CN"/>
        </w:rPr>
        <w:t>6.3.2 时间和方法</w:t>
      </w:r>
    </w:p>
    <w:p>
      <w:pPr>
        <w:pStyle w:val="231"/>
        <w:ind w:firstLine="420" w:firstLineChars="200"/>
        <w:rPr>
          <w:rFonts w:hint="eastAsia"/>
          <w:color w:val="FF0000"/>
          <w:highlight w:val="none"/>
          <w:lang w:val="en-US" w:eastAsia="zh-CN"/>
        </w:rPr>
      </w:pPr>
      <w:r>
        <w:rPr>
          <w:rFonts w:hint="eastAsia"/>
          <w:highlight w:val="none"/>
          <w:lang w:val="en-US" w:eastAsia="zh-CN"/>
        </w:rPr>
        <w:t>宜在3月中旬</w:t>
      </w:r>
      <w:r>
        <w:rPr>
          <w:rFonts w:hint="eastAsia" w:hAnsi="Times New Roman" w:eastAsia="宋体" w:cs="Times New Roman"/>
          <w:highlight w:val="none"/>
          <w:lang w:val="en-US" w:eastAsia="zh-CN"/>
        </w:rPr>
        <w:t>～</w:t>
      </w:r>
      <w:r>
        <w:rPr>
          <w:rFonts w:hint="eastAsia"/>
          <w:highlight w:val="none"/>
          <w:lang w:val="en-US" w:eastAsia="zh-CN"/>
        </w:rPr>
        <w:t>4月中旬，</w:t>
      </w:r>
      <w:r>
        <w:rPr>
          <w:rFonts w:hint="eastAsia"/>
          <w:color w:val="auto"/>
          <w:highlight w:val="none"/>
          <w:lang w:val="en-US" w:eastAsia="zh-CN"/>
        </w:rPr>
        <w:t>高粱</w:t>
      </w:r>
      <w:r>
        <w:rPr>
          <w:rFonts w:hint="eastAsia"/>
          <w:color w:val="auto"/>
          <w:highlight w:val="none"/>
        </w:rPr>
        <w:t>苗</w:t>
      </w:r>
      <w:r>
        <w:rPr>
          <w:rFonts w:hint="eastAsia"/>
          <w:color w:val="auto"/>
          <w:highlight w:val="none"/>
          <w:lang w:val="en-US" w:eastAsia="zh-CN"/>
        </w:rPr>
        <w:t>4叶</w:t>
      </w:r>
      <w:r>
        <w:rPr>
          <w:rFonts w:hint="eastAsia" w:ascii="宋体" w:hAnsi="宋体" w:eastAsia="宋体" w:cs="宋体"/>
          <w:color w:val="auto"/>
          <w:highlight w:val="none"/>
          <w:lang w:val="en-US" w:eastAsia="zh-CN"/>
        </w:rPr>
        <w:t>～</w:t>
      </w:r>
      <w:r>
        <w:rPr>
          <w:rFonts w:hint="eastAsia"/>
          <w:color w:val="auto"/>
          <w:highlight w:val="none"/>
          <w:lang w:val="en-US" w:eastAsia="zh-CN"/>
        </w:rPr>
        <w:t>6叶，苗龄</w:t>
      </w:r>
      <w:r>
        <w:rPr>
          <w:rFonts w:hint="eastAsia"/>
          <w:color w:val="auto"/>
          <w:highlight w:val="none"/>
        </w:rPr>
        <w:t>25天</w:t>
      </w:r>
      <w:r>
        <w:rPr>
          <w:rFonts w:hint="eastAsia" w:hAnsi="Times New Roman" w:eastAsia="宋体" w:cs="Times New Roman"/>
          <w:color w:val="auto"/>
          <w:highlight w:val="none"/>
          <w:lang w:val="en-US" w:eastAsia="zh-CN"/>
        </w:rPr>
        <w:t>～</w:t>
      </w:r>
      <w:r>
        <w:rPr>
          <w:rFonts w:hint="eastAsia"/>
          <w:color w:val="auto"/>
          <w:highlight w:val="none"/>
        </w:rPr>
        <w:t>30天</w:t>
      </w:r>
      <w:r>
        <w:rPr>
          <w:rFonts w:hint="eastAsia"/>
          <w:color w:val="auto"/>
          <w:highlight w:val="none"/>
          <w:lang w:val="en-US" w:eastAsia="zh-CN"/>
        </w:rPr>
        <w:t>时移栽。移栽宜选择雨后阴</w:t>
      </w:r>
      <w:r>
        <w:rPr>
          <w:rFonts w:hint="eastAsia"/>
          <w:highlight w:val="none"/>
          <w:lang w:val="en-US" w:eastAsia="zh-CN"/>
        </w:rPr>
        <w:t>天或晴天傍晚进行。</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6.3.3 移栽密度</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highlight w:val="none"/>
          <w:lang w:val="en-US" w:eastAsia="zh-CN"/>
        </w:rPr>
      </w:pPr>
      <w:r>
        <w:rPr>
          <w:rFonts w:hint="eastAsia" w:ascii="黑体" w:hAnsi="黑体" w:eastAsia="黑体" w:cs="黑体"/>
          <w:highlight w:val="none"/>
          <w:lang w:val="en-US" w:eastAsia="zh-CN"/>
        </w:rPr>
        <w:t>6.3.3.1 净作</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6.3.3.1.1 等行距栽培</w:t>
      </w:r>
    </w:p>
    <w:p>
      <w:pPr>
        <w:pStyle w:val="231"/>
        <w:ind w:left="0" w:leftChars="0" w:firstLine="420" w:firstLineChars="200"/>
        <w:rPr>
          <w:rFonts w:hint="eastAsia" w:hAnsi="Times New Roman" w:eastAsia="宋体" w:cs="Times New Roman"/>
          <w:color w:val="auto"/>
          <w:highlight w:val="none"/>
          <w:lang w:val="en-US" w:eastAsia="zh-CN"/>
        </w:rPr>
      </w:pPr>
      <w:r>
        <w:rPr>
          <w:rFonts w:hint="eastAsia" w:hAnsi="Times New Roman" w:eastAsia="宋体" w:cs="Times New Roman"/>
          <w:color w:val="auto"/>
          <w:highlight w:val="none"/>
          <w:lang w:val="en-US" w:eastAsia="zh-CN"/>
        </w:rPr>
        <w:t>杂交高粱净作8000 株/亩</w:t>
      </w:r>
      <w:r>
        <w:rPr>
          <w:rFonts w:hint="eastAsia" w:hAnsi="Times New Roman" w:eastAsia="宋体" w:cs="Times New Roman"/>
          <w:highlight w:val="none"/>
          <w:lang w:val="en-US" w:eastAsia="zh-CN"/>
        </w:rPr>
        <w:t>～</w:t>
      </w:r>
      <w:r>
        <w:rPr>
          <w:rFonts w:hint="eastAsia" w:hAnsi="Times New Roman" w:eastAsia="宋体" w:cs="Times New Roman"/>
          <w:color w:val="auto"/>
          <w:highlight w:val="none"/>
          <w:lang w:val="en-US" w:eastAsia="zh-CN"/>
        </w:rPr>
        <w:t>9000 株/亩，常规高粱净作6500 株/亩</w:t>
      </w:r>
      <w:r>
        <w:rPr>
          <w:rFonts w:hint="eastAsia" w:hAnsi="Times New Roman" w:eastAsia="宋体" w:cs="Times New Roman"/>
          <w:highlight w:val="none"/>
          <w:lang w:val="en-US" w:eastAsia="zh-CN"/>
        </w:rPr>
        <w:t>～</w:t>
      </w:r>
      <w:r>
        <w:rPr>
          <w:rFonts w:hint="eastAsia" w:hAnsi="Times New Roman" w:eastAsia="宋体" w:cs="Times New Roman"/>
          <w:color w:val="auto"/>
          <w:highlight w:val="none"/>
          <w:lang w:val="en-US" w:eastAsia="zh-CN"/>
        </w:rPr>
        <w:t>8000 株/亩。</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highlight w:val="none"/>
          <w:lang w:val="en-US" w:eastAsia="zh-CN"/>
        </w:rPr>
      </w:pPr>
      <w:r>
        <w:rPr>
          <w:rFonts w:hint="eastAsia" w:ascii="黑体" w:hAnsi="黑体" w:eastAsia="黑体" w:cs="黑体"/>
          <w:highlight w:val="none"/>
          <w:lang w:val="en-US" w:eastAsia="zh-CN"/>
        </w:rPr>
        <w:t>6.3.3.1.2 宽窄行栽培</w:t>
      </w:r>
    </w:p>
    <w:p>
      <w:pPr>
        <w:pStyle w:val="231"/>
        <w:ind w:left="0" w:leftChars="0" w:firstLine="420" w:firstLineChars="200"/>
        <w:rPr>
          <w:rFonts w:hint="eastAsia" w:hAnsi="Times New Roman" w:eastAsia="宋体" w:cs="Times New Roman"/>
          <w:highlight w:val="none"/>
          <w:lang w:val="en-US" w:eastAsia="zh-CN"/>
        </w:rPr>
      </w:pPr>
      <w:r>
        <w:rPr>
          <w:rFonts w:hint="eastAsia" w:hAnsi="Times New Roman" w:eastAsia="宋体" w:cs="Times New Roman"/>
          <w:highlight w:val="none"/>
          <w:lang w:val="en-US" w:eastAsia="zh-CN"/>
        </w:rPr>
        <w:t>杂交高粱按宽行65 cm～70 cm，窄行35 cm～40 cm，窝距27 cm～30 cm定植；常规高粱按行距15 cm×25 cm，窝距27 cm～30 cm定植；退窝26 cm～28 cm。</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highlight w:val="none"/>
          <w:lang w:val="en-US" w:eastAsia="zh-CN"/>
        </w:rPr>
      </w:pPr>
      <w:r>
        <w:rPr>
          <w:rFonts w:hint="eastAsia" w:ascii="黑体" w:hAnsi="黑体" w:eastAsia="黑体" w:cs="黑体"/>
          <w:highlight w:val="none"/>
          <w:lang w:val="en-US" w:eastAsia="zh-CN"/>
        </w:rPr>
        <w:t>6.3.3.2 间（套）作</w:t>
      </w:r>
    </w:p>
    <w:p>
      <w:pPr>
        <w:pStyle w:val="231"/>
        <w:rPr>
          <w:rFonts w:hint="eastAsia" w:hAnsi="Times New Roman" w:eastAsia="宋体" w:cs="Times New Roman"/>
          <w:color w:val="auto"/>
          <w:highlight w:val="none"/>
          <w:lang w:val="en-US" w:eastAsia="zh-CN"/>
        </w:rPr>
      </w:pPr>
      <w:r>
        <w:rPr>
          <w:rFonts w:hint="eastAsia"/>
          <w:highlight w:val="none"/>
          <w:lang w:val="en-US" w:eastAsia="zh-CN"/>
        </w:rPr>
        <w:t>宜与大豆等低矮作物间套作。</w:t>
      </w:r>
      <w:r>
        <w:rPr>
          <w:rFonts w:hint="eastAsia" w:ascii="宋体" w:hAnsi="Times New Roman" w:eastAsia="宋体" w:cs="Times New Roman"/>
          <w:color w:val="auto"/>
          <w:kern w:val="0"/>
          <w:sz w:val="21"/>
          <w:szCs w:val="20"/>
          <w:highlight w:val="none"/>
          <w:lang w:val="en-US" w:eastAsia="zh-CN" w:bidi="ar-SA"/>
        </w:rPr>
        <w:t>按照每2行高粱间种2行</w:t>
      </w:r>
      <w:r>
        <w:rPr>
          <w:rFonts w:hint="eastAsia" w:hAnsi="Times New Roman" w:eastAsia="宋体" w:cs="Times New Roman"/>
          <w:color w:val="auto"/>
          <w:kern w:val="0"/>
          <w:sz w:val="21"/>
          <w:szCs w:val="20"/>
          <w:highlight w:val="none"/>
          <w:lang w:val="en-US" w:eastAsia="zh-CN" w:bidi="ar-SA"/>
        </w:rPr>
        <w:t>大豆</w:t>
      </w:r>
      <w:r>
        <w:rPr>
          <w:rFonts w:hint="eastAsia" w:ascii="宋体" w:hAnsi="Times New Roman" w:eastAsia="宋体" w:cs="Times New Roman"/>
          <w:color w:val="auto"/>
          <w:kern w:val="0"/>
          <w:sz w:val="21"/>
          <w:szCs w:val="20"/>
          <w:highlight w:val="none"/>
          <w:lang w:val="en-US" w:eastAsia="zh-CN" w:bidi="ar-SA"/>
        </w:rPr>
        <w:t>的方式进行间种，带距1.8 m</w:t>
      </w:r>
      <w:r>
        <w:rPr>
          <w:rFonts w:hint="eastAsia" w:hAnsi="Times New Roman" w:eastAsia="宋体" w:cs="Times New Roman"/>
          <w:highlight w:val="none"/>
          <w:lang w:val="en-US" w:eastAsia="zh-CN"/>
        </w:rPr>
        <w:t>～</w:t>
      </w:r>
      <w:r>
        <w:rPr>
          <w:rFonts w:hint="eastAsia" w:ascii="宋体" w:hAnsi="Times New Roman" w:eastAsia="宋体" w:cs="Times New Roman"/>
          <w:color w:val="auto"/>
          <w:kern w:val="0"/>
          <w:sz w:val="21"/>
          <w:szCs w:val="20"/>
          <w:highlight w:val="none"/>
          <w:lang w:val="en-US" w:eastAsia="zh-CN" w:bidi="ar-SA"/>
        </w:rPr>
        <w:t>2.0 m</w:t>
      </w:r>
      <w:r>
        <w:rPr>
          <w:rFonts w:hint="eastAsia" w:hAnsi="Times New Roman" w:eastAsia="宋体" w:cs="Times New Roman"/>
          <w:color w:val="auto"/>
          <w:kern w:val="0"/>
          <w:sz w:val="21"/>
          <w:szCs w:val="20"/>
          <w:highlight w:val="none"/>
          <w:lang w:val="en-US" w:eastAsia="zh-CN" w:bidi="ar-SA"/>
        </w:rPr>
        <w:t>。</w:t>
      </w:r>
      <w:r>
        <w:rPr>
          <w:rFonts w:hint="eastAsia" w:ascii="宋体" w:hAnsi="Times New Roman" w:eastAsia="宋体" w:cs="Times New Roman"/>
          <w:color w:val="auto"/>
          <w:kern w:val="0"/>
          <w:sz w:val="21"/>
          <w:szCs w:val="20"/>
          <w:highlight w:val="none"/>
          <w:lang w:val="en-US" w:eastAsia="zh-CN" w:bidi="ar-SA"/>
        </w:rPr>
        <w:t>大豆间距30 cm，高粱间距40 cm，大豆与高粱间距60 cm，高粱窝距25 cm</w:t>
      </w:r>
      <w:r>
        <w:rPr>
          <w:rFonts w:hint="eastAsia" w:hAnsi="Times New Roman" w:eastAsia="宋体" w:cs="Times New Roman"/>
          <w:highlight w:val="none"/>
          <w:lang w:val="en-US" w:eastAsia="zh-CN"/>
        </w:rPr>
        <w:t>～</w:t>
      </w:r>
      <w:r>
        <w:rPr>
          <w:rFonts w:hint="eastAsia" w:ascii="宋体" w:hAnsi="Times New Roman" w:eastAsia="宋体" w:cs="Times New Roman"/>
          <w:color w:val="auto"/>
          <w:kern w:val="0"/>
          <w:sz w:val="21"/>
          <w:szCs w:val="20"/>
          <w:highlight w:val="none"/>
          <w:lang w:val="en-US" w:eastAsia="zh-CN" w:bidi="ar-SA"/>
        </w:rPr>
        <w:t>30 cm。</w:t>
      </w:r>
      <w:r>
        <w:rPr>
          <w:rFonts w:hint="eastAsia" w:hAnsi="Times New Roman" w:eastAsia="宋体" w:cs="Times New Roman"/>
          <w:color w:val="auto"/>
          <w:highlight w:val="none"/>
          <w:lang w:val="en-US" w:eastAsia="zh-CN"/>
        </w:rPr>
        <w:t>杂交高粱间（套）作6000 株/亩</w:t>
      </w:r>
      <w:r>
        <w:rPr>
          <w:rFonts w:hint="eastAsia" w:hAnsi="Times New Roman" w:eastAsia="宋体" w:cs="Times New Roman"/>
          <w:highlight w:val="none"/>
          <w:lang w:val="en-US" w:eastAsia="zh-CN"/>
        </w:rPr>
        <w:t>～</w:t>
      </w:r>
      <w:r>
        <w:rPr>
          <w:rFonts w:hint="eastAsia" w:hAnsi="Times New Roman" w:eastAsia="宋体" w:cs="Times New Roman"/>
          <w:color w:val="auto"/>
          <w:highlight w:val="none"/>
          <w:lang w:val="en-US" w:eastAsia="zh-CN"/>
        </w:rPr>
        <w:t>7000 株/亩；常规高粱间（套）作5000 株/亩</w:t>
      </w:r>
      <w:r>
        <w:rPr>
          <w:rFonts w:hint="eastAsia" w:hAnsi="Times New Roman" w:eastAsia="宋体" w:cs="Times New Roman"/>
          <w:highlight w:val="none"/>
          <w:lang w:val="en-US" w:eastAsia="zh-CN"/>
        </w:rPr>
        <w:t>～</w:t>
      </w:r>
      <w:r>
        <w:rPr>
          <w:rFonts w:hint="eastAsia" w:hAnsi="Times New Roman" w:eastAsia="宋体" w:cs="Times New Roman"/>
          <w:color w:val="auto"/>
          <w:highlight w:val="none"/>
          <w:lang w:val="en-US" w:eastAsia="zh-CN"/>
        </w:rPr>
        <w:t>6500 株/亩。</w:t>
      </w:r>
    </w:p>
    <w:p>
      <w:pPr>
        <w:pStyle w:val="106"/>
        <w:numPr>
          <w:ilvl w:val="2"/>
          <w:numId w:val="0"/>
        </w:numPr>
        <w:spacing w:before="120" w:after="120"/>
        <w:ind w:leftChars="0"/>
        <w:rPr>
          <w:rFonts w:hint="eastAsia"/>
          <w:lang w:val="en-US" w:eastAsia="zh-CN"/>
        </w:rPr>
      </w:pPr>
      <w:bookmarkStart w:id="63" w:name="_Toc25092"/>
      <w:r>
        <w:rPr>
          <w:rFonts w:hint="eastAsia"/>
          <w:lang w:val="en-US" w:eastAsia="zh-CN"/>
        </w:rPr>
        <w:t>6.4 田间管理</w:t>
      </w:r>
      <w:bookmarkEnd w:id="63"/>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6.4.1 养分管理</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6.4.1.1 水分管理</w:t>
      </w:r>
    </w:p>
    <w:p>
      <w:pPr>
        <w:pStyle w:val="231"/>
        <w:rPr>
          <w:rFonts w:hint="eastAsia"/>
        </w:rPr>
      </w:pPr>
      <w:r>
        <w:rPr>
          <w:rFonts w:hint="eastAsia"/>
        </w:rPr>
        <w:t>在开花期和结实期需要充足的水分并进行合理灌溉，灌溉水应符合GB 5084。</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6.4.1.2 施肥管理</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6.4.1.2.1 基肥</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6.4.1.2.1.1 直播</w:t>
      </w:r>
    </w:p>
    <w:p>
      <w:pPr>
        <w:pStyle w:val="231"/>
        <w:ind w:left="0" w:leftChars="0" w:firstLine="420" w:firstLineChars="200"/>
        <w:rPr>
          <w:rFonts w:hint="eastAsia" w:ascii="宋体" w:hAnsi="Times New Roman" w:eastAsia="宋体" w:cs="Times New Roman"/>
          <w:color w:val="auto"/>
          <w:sz w:val="21"/>
          <w:highlight w:val="none"/>
          <w:lang w:val="en-US" w:eastAsia="zh-CN" w:bidi="ar-SA"/>
        </w:rPr>
      </w:pPr>
      <w:r>
        <w:rPr>
          <w:rFonts w:hint="eastAsia"/>
          <w:highlight w:val="none"/>
          <w:lang w:val="en-US" w:eastAsia="zh-CN"/>
        </w:rPr>
        <w:t>翻耕前每亩施2500 kg充分腐熟农家肥或商品有机肥60 kg～80 kg，商品有机肥应符合NY 525。</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6.4.1.2.1.2 营养盘育苗</w:t>
      </w:r>
    </w:p>
    <w:p>
      <w:pPr>
        <w:pStyle w:val="231"/>
        <w:ind w:left="0" w:leftChars="0" w:firstLine="420" w:firstLineChars="200"/>
        <w:rPr>
          <w:rFonts w:hint="eastAsia"/>
        </w:rPr>
      </w:pPr>
      <w:r>
        <w:rPr>
          <w:rFonts w:hint="eastAsia"/>
          <w:highlight w:val="none"/>
          <w:lang w:val="en-US" w:eastAsia="zh-CN"/>
        </w:rPr>
        <w:t>播种时每个营养池施一次1.5 kg</w:t>
      </w:r>
      <w:r>
        <w:rPr>
          <w:rFonts w:hint="eastAsia"/>
          <w:highlight w:val="none"/>
          <w:lang w:eastAsia="zh-CN"/>
        </w:rPr>
        <w:t>～</w:t>
      </w:r>
      <w:r>
        <w:rPr>
          <w:rFonts w:hint="eastAsia"/>
          <w:highlight w:val="none"/>
          <w:lang w:val="en-US" w:eastAsia="zh-CN"/>
        </w:rPr>
        <w:t>2.5 kg复合肥（N：P：K为15：15：15），或播种时每个营养池施850 g</w:t>
      </w:r>
      <w:r>
        <w:rPr>
          <w:rFonts w:hint="eastAsia"/>
          <w:highlight w:val="none"/>
          <w:lang w:eastAsia="zh-CN"/>
        </w:rPr>
        <w:t>～</w:t>
      </w:r>
      <w:r>
        <w:rPr>
          <w:rFonts w:hint="eastAsia"/>
          <w:highlight w:val="none"/>
          <w:lang w:val="en-US" w:eastAsia="zh-CN"/>
        </w:rPr>
        <w:t>950 g液体肥（N：P：K为15：10：18），十天后再施550 g</w:t>
      </w:r>
      <w:r>
        <w:rPr>
          <w:rFonts w:hint="eastAsia"/>
          <w:highlight w:val="none"/>
          <w:lang w:eastAsia="zh-CN"/>
        </w:rPr>
        <w:t>～</w:t>
      </w:r>
      <w:r>
        <w:rPr>
          <w:rFonts w:hint="eastAsia"/>
          <w:highlight w:val="none"/>
          <w:lang w:val="en-US" w:eastAsia="zh-CN"/>
        </w:rPr>
        <w:t>650 g。</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6.4.1.2.2 苗肥</w:t>
      </w:r>
    </w:p>
    <w:p>
      <w:pPr>
        <w:pStyle w:val="231"/>
        <w:rPr>
          <w:rFonts w:hint="eastAsia"/>
        </w:rPr>
      </w:pPr>
      <w:r>
        <w:rPr>
          <w:rFonts w:hint="eastAsia"/>
        </w:rPr>
        <w:t>红粱育苗移栽后的10 d</w:t>
      </w:r>
      <w:r>
        <w:rPr>
          <w:rFonts w:hint="eastAsia"/>
          <w:sz w:val="18"/>
          <w:szCs w:val="18"/>
        </w:rPr>
        <w:t>～</w:t>
      </w:r>
      <w:r>
        <w:rPr>
          <w:rFonts w:hint="eastAsia"/>
        </w:rPr>
        <w:t>15 d内，每亩施用腐熟</w:t>
      </w:r>
      <w:r>
        <w:rPr>
          <w:rFonts w:hint="eastAsia"/>
          <w:lang w:eastAsia="zh-CN"/>
        </w:rPr>
        <w:t>农家肥</w:t>
      </w:r>
      <w:r>
        <w:rPr>
          <w:rFonts w:hint="eastAsia"/>
        </w:rPr>
        <w:t>1000 kg</w:t>
      </w:r>
      <w:r>
        <w:rPr>
          <w:rFonts w:hint="eastAsia"/>
          <w:sz w:val="18"/>
          <w:szCs w:val="18"/>
        </w:rPr>
        <w:t>～</w:t>
      </w:r>
      <w:r>
        <w:rPr>
          <w:rFonts w:hint="eastAsia"/>
        </w:rPr>
        <w:t>1500 kg。</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6.4.1.2.3 穗肥</w:t>
      </w:r>
    </w:p>
    <w:p>
      <w:pPr>
        <w:pStyle w:val="231"/>
        <w:jc w:val="both"/>
        <w:rPr>
          <w:rFonts w:hint="eastAsia"/>
        </w:rPr>
      </w:pPr>
      <w:r>
        <w:rPr>
          <w:rFonts w:hint="eastAsia"/>
        </w:rPr>
        <w:t>在拔节期，结合中耕除草、培土及生产实际需要，每亩施用腐熟</w:t>
      </w:r>
      <w:r>
        <w:rPr>
          <w:rFonts w:hint="eastAsia"/>
          <w:lang w:eastAsia="zh-CN"/>
        </w:rPr>
        <w:t>农家肥</w:t>
      </w:r>
      <w:r>
        <w:rPr>
          <w:rFonts w:hint="eastAsia"/>
        </w:rPr>
        <w:t>1000 kg</w:t>
      </w:r>
      <w:r>
        <w:rPr>
          <w:rFonts w:hint="eastAsia"/>
          <w:sz w:val="18"/>
          <w:szCs w:val="18"/>
        </w:rPr>
        <w:t>～</w:t>
      </w:r>
      <w:r>
        <w:rPr>
          <w:rFonts w:hint="eastAsia"/>
        </w:rPr>
        <w:t>1500 kg或商品有机肥50 kg</w:t>
      </w:r>
      <w:r>
        <w:rPr>
          <w:rFonts w:hint="eastAsia"/>
          <w:sz w:val="18"/>
          <w:szCs w:val="18"/>
        </w:rPr>
        <w:t>～</w:t>
      </w:r>
      <w:r>
        <w:rPr>
          <w:rFonts w:hint="eastAsia"/>
        </w:rPr>
        <w:t>70 kg。</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6.4.1.2.4 粒肥</w:t>
      </w:r>
    </w:p>
    <w:p>
      <w:pPr>
        <w:pStyle w:val="57"/>
        <w:ind w:left="0" w:leftChars="0" w:firstLine="420" w:firstLineChars="200"/>
        <w:rPr>
          <w:rFonts w:hint="eastAsia"/>
          <w:lang w:val="en-US" w:eastAsia="zh-CN"/>
        </w:rPr>
      </w:pPr>
      <w:r>
        <w:rPr>
          <w:rFonts w:hint="eastAsia"/>
        </w:rPr>
        <w:t>在抽穗扬花期至灌浆期，结合生产实际宜选择每亩施商品有机肥</w:t>
      </w:r>
      <w:r>
        <w:rPr>
          <w:rFonts w:hint="eastAsia" w:hAnsi="Times New Roman" w:eastAsia="宋体" w:cs="Times New Roman"/>
        </w:rPr>
        <w:t>30 kg</w:t>
      </w:r>
      <w:r>
        <w:rPr>
          <w:rFonts w:hint="eastAsia" w:hAnsi="Times New Roman" w:eastAsia="宋体" w:cs="Times New Roman"/>
          <w:sz w:val="21"/>
          <w:szCs w:val="20"/>
        </w:rPr>
        <w:t>～</w:t>
      </w:r>
      <w:r>
        <w:rPr>
          <w:rFonts w:hint="eastAsia" w:hAnsi="Times New Roman" w:eastAsia="宋体" w:cs="Times New Roman"/>
          <w:sz w:val="21"/>
          <w:szCs w:val="20"/>
          <w:lang w:val="en-US" w:eastAsia="zh-CN"/>
        </w:rPr>
        <w:t>35 kg</w:t>
      </w:r>
      <w:r>
        <w:rPr>
          <w:rFonts w:hint="eastAsia" w:hAnsi="Times New Roman" w:eastAsia="宋体" w:cs="Times New Roman"/>
        </w:rPr>
        <w:t>。</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6.4.2 病虫草鸟害防治</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6.4.2.1 农业防治</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ascii="黑体" w:hAnsi="黑体" w:eastAsia="黑体" w:cs="黑体"/>
          <w:lang w:val="en-US" w:eastAsia="zh-CN"/>
        </w:rPr>
        <w:t xml:space="preserve">6.4.2.1.1 </w:t>
      </w:r>
      <w:r>
        <w:rPr>
          <w:rFonts w:hint="eastAsia"/>
          <w:lang w:val="en-US" w:eastAsia="zh-CN"/>
        </w:rPr>
        <w:t>前茬以豆类作物为宜进行合理轮种。</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lang w:val="en-US" w:eastAsia="zh-CN"/>
        </w:rPr>
      </w:pPr>
      <w:r>
        <w:rPr>
          <w:rFonts w:hint="eastAsia" w:ascii="黑体" w:hAnsi="黑体" w:eastAsia="黑体" w:cs="黑体"/>
          <w:lang w:val="en-US" w:eastAsia="zh-CN"/>
        </w:rPr>
        <w:t xml:space="preserve">6.4.2.1.2 </w:t>
      </w:r>
      <w:r>
        <w:rPr>
          <w:rFonts w:hint="eastAsia"/>
          <w:lang w:val="en-US" w:eastAsia="zh-CN"/>
        </w:rPr>
        <w:t>选择无病害种子，播种前10 d内晒种，并浸种10 min～15 min。</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hAnsi="宋体" w:eastAsia="宋体" w:cs="黑体"/>
          <w:lang w:eastAsia="zh-CN"/>
        </w:rPr>
      </w:pPr>
      <w:r>
        <w:rPr>
          <w:rFonts w:hint="eastAsia" w:ascii="黑体" w:hAnsi="黑体" w:eastAsia="黑体" w:cs="黑体"/>
          <w:lang w:val="en-US" w:eastAsia="zh-CN"/>
        </w:rPr>
        <w:t xml:space="preserve">6.4.2.1.3 </w:t>
      </w:r>
      <w:r>
        <w:rPr>
          <w:rFonts w:hint="eastAsia"/>
          <w:lang w:val="en-US" w:eastAsia="zh-CN"/>
        </w:rPr>
        <w:t>及时清理田地</w:t>
      </w:r>
      <w:r>
        <w:rPr>
          <w:rFonts w:hint="eastAsia" w:hAnsi="宋体" w:cs="黑体"/>
        </w:rPr>
        <w:t>弱苗、病苗和小苗</w:t>
      </w:r>
      <w:r>
        <w:rPr>
          <w:rFonts w:hint="eastAsia" w:hAnsi="宋体" w:cs="黑体"/>
          <w:lang w:eastAsia="zh-CN"/>
        </w:rPr>
        <w:t>、</w:t>
      </w:r>
      <w:r>
        <w:rPr>
          <w:rFonts w:hint="eastAsia" w:hAnsi="宋体" w:cs="黑体"/>
        </w:rPr>
        <w:t>病穗带出田块外深埋或集中处理</w:t>
      </w:r>
      <w:r>
        <w:rPr>
          <w:rFonts w:hint="eastAsia" w:hAnsi="宋体" w:cs="黑体"/>
          <w:lang w:eastAsia="zh-CN"/>
        </w:rPr>
        <w:t>。</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6.4.2.2  物理防治</w:t>
      </w:r>
    </w:p>
    <w:p>
      <w:pPr>
        <w:pStyle w:val="231"/>
        <w:ind w:firstLine="0" w:firstLineChars="0"/>
        <w:rPr>
          <w:rFonts w:hint="eastAsia" w:hAnsi="宋体" w:eastAsia="宋体" w:cs="黑体"/>
          <w:lang w:val="en-US" w:eastAsia="zh-CN"/>
        </w:rPr>
      </w:pPr>
      <w:r>
        <w:rPr>
          <w:rFonts w:hint="eastAsia" w:ascii="黑体" w:hAnsi="黑体" w:eastAsia="黑体" w:cs="黑体"/>
          <w:lang w:val="en-US" w:eastAsia="zh-CN"/>
        </w:rPr>
        <w:t>6.4.2.2.1</w:t>
      </w:r>
      <w:r>
        <w:rPr>
          <w:rFonts w:hint="eastAsia" w:hAnsi="宋体" w:cs="黑体"/>
          <w:lang w:val="en-US" w:eastAsia="zh-CN"/>
        </w:rPr>
        <w:t xml:space="preserve"> </w:t>
      </w:r>
      <w:r>
        <w:rPr>
          <w:rFonts w:hint="eastAsia" w:hAnsi="宋体" w:cs="黑体"/>
        </w:rPr>
        <w:t>采用振频式杀虫灯或诱虫板诱杀害虫。</w:t>
      </w:r>
    </w:p>
    <w:p>
      <w:pPr>
        <w:pStyle w:val="231"/>
        <w:ind w:firstLine="0" w:firstLineChars="0"/>
        <w:rPr>
          <w:rFonts w:hint="eastAsia" w:hAnsi="宋体" w:cs="黑体"/>
        </w:rPr>
      </w:pPr>
      <w:r>
        <w:rPr>
          <w:rFonts w:hint="eastAsia" w:ascii="黑体" w:hAnsi="黑体" w:eastAsia="黑体" w:cs="黑体"/>
          <w:lang w:val="en-US" w:eastAsia="zh-CN"/>
        </w:rPr>
        <w:t xml:space="preserve">6.4.2.2.2 </w:t>
      </w:r>
      <w:r>
        <w:rPr>
          <w:rFonts w:hint="eastAsia" w:hAnsi="宋体" w:cs="黑体"/>
        </w:rPr>
        <w:t>采用银灰色地膜覆盖避免蚜虫。</w:t>
      </w:r>
    </w:p>
    <w:p>
      <w:pPr>
        <w:pStyle w:val="231"/>
        <w:ind w:firstLine="0" w:firstLineChars="0"/>
        <w:rPr>
          <w:rFonts w:hint="eastAsia" w:hAnsi="宋体" w:cs="黑体"/>
        </w:rPr>
      </w:pPr>
      <w:r>
        <w:rPr>
          <w:rFonts w:hint="eastAsia" w:ascii="黑体" w:hAnsi="黑体" w:eastAsia="黑体" w:cs="黑体"/>
          <w:lang w:val="en-US" w:eastAsia="zh-CN"/>
        </w:rPr>
        <w:t xml:space="preserve">6.4.2.2.3 </w:t>
      </w:r>
      <w:r>
        <w:rPr>
          <w:rFonts w:hint="eastAsia" w:hAnsi="宋体" w:cs="黑体"/>
        </w:rPr>
        <w:t>采用糖醋液、黑光灯、性诱灯等防治技术诱杀粘虫。</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6.5.2.3  生物防治</w:t>
      </w:r>
    </w:p>
    <w:p>
      <w:pPr>
        <w:pStyle w:val="231"/>
        <w:rPr>
          <w:rFonts w:hint="eastAsia" w:eastAsia="宋体"/>
          <w:highlight w:val="yellow"/>
          <w:lang w:eastAsia="zh-CN"/>
        </w:rPr>
      </w:pPr>
      <w:r>
        <w:rPr>
          <w:rFonts w:hint="eastAsia"/>
        </w:rPr>
        <w:t>在抽穗期释放赤眼蜂防治玉米螟、桃蛀螟等虫害，第一次放赤眼蜂后7 d进行第二次放蜂，每亩每次放蜂2万头。保护和利用红粱各种有益生物，充分发挥天敌控制虫害。</w:t>
      </w:r>
    </w:p>
    <w:p>
      <w:pPr>
        <w:pStyle w:val="231"/>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6.4.2.4  化学防治</w:t>
      </w:r>
    </w:p>
    <w:p>
      <w:pPr>
        <w:pStyle w:val="231"/>
        <w:rPr>
          <w:rFonts w:hint="default" w:hAnsi="宋体" w:eastAsia="宋体"/>
          <w:szCs w:val="21"/>
          <w:lang w:val="en-US" w:eastAsia="zh-CN"/>
        </w:rPr>
      </w:pPr>
      <w:r>
        <w:rPr>
          <w:rFonts w:hint="eastAsia"/>
        </w:rPr>
        <w:t>病虫害防治农药使用符合</w:t>
      </w:r>
      <w:r>
        <w:rPr>
          <w:rFonts w:hint="eastAsia" w:hAnsi="宋体"/>
          <w:szCs w:val="21"/>
        </w:rPr>
        <w:t>GB/T 8321和NY/T 1276的规范要求。红粱常见病虫害防治方法见</w:t>
      </w:r>
      <w:r>
        <w:rPr>
          <w:rFonts w:hint="eastAsia" w:hAnsi="宋体"/>
          <w:szCs w:val="21"/>
          <w:lang w:eastAsia="zh-CN"/>
        </w:rPr>
        <w:t>表</w:t>
      </w:r>
      <w:r>
        <w:rPr>
          <w:rFonts w:hint="eastAsia" w:hAnsi="宋体"/>
          <w:szCs w:val="21"/>
          <w:lang w:val="en-US" w:eastAsia="zh-CN"/>
        </w:rPr>
        <w:t>1。</w:t>
      </w:r>
    </w:p>
    <w:p>
      <w:pPr>
        <w:pStyle w:val="232"/>
        <w:numPr>
          <w:ilvl w:val="0"/>
          <w:numId w:val="0"/>
        </w:numPr>
        <w:spacing w:before="156" w:after="156"/>
        <w:rPr>
          <w:rFonts w:hint="eastAsia" w:ascii="宋体" w:hAnsi="宋体" w:eastAsia="宋体"/>
        </w:rPr>
      </w:pPr>
      <w:r>
        <w:rPr>
          <w:rFonts w:hint="eastAsia"/>
        </w:rPr>
        <w:t>表1红粱常见虫害及主要防治方法</w:t>
      </w:r>
    </w:p>
    <w:tbl>
      <w:tblPr>
        <w:tblStyle w:val="27"/>
        <w:tblW w:w="473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451"/>
        <w:gridCol w:w="1698"/>
        <w:gridCol w:w="2609"/>
        <w:gridCol w:w="1961"/>
        <w:gridCol w:w="11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816" w:type="pct"/>
            <w:tcBorders>
              <w:top w:val="single" w:color="auto" w:sz="12" w:space="0"/>
              <w:bottom w:val="single" w:color="auto" w:sz="12"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病虫害类型</w:t>
            </w:r>
          </w:p>
        </w:tc>
        <w:tc>
          <w:tcPr>
            <w:tcW w:w="955" w:type="pct"/>
            <w:tcBorders>
              <w:top w:val="single" w:color="auto" w:sz="12" w:space="0"/>
              <w:bottom w:val="single" w:color="auto" w:sz="12"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防治时期/防治标准</w:t>
            </w:r>
          </w:p>
        </w:tc>
        <w:tc>
          <w:tcPr>
            <w:tcW w:w="1467" w:type="pct"/>
            <w:tcBorders>
              <w:top w:val="single" w:color="auto" w:sz="12" w:space="0"/>
              <w:bottom w:val="single" w:color="auto" w:sz="12"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防治药剂</w:t>
            </w:r>
          </w:p>
        </w:tc>
        <w:tc>
          <w:tcPr>
            <w:tcW w:w="1103" w:type="pct"/>
            <w:tcBorders>
              <w:top w:val="single" w:color="auto" w:sz="12" w:space="0"/>
              <w:bottom w:val="single" w:color="auto" w:sz="12"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浓度</w:t>
            </w:r>
          </w:p>
        </w:tc>
        <w:tc>
          <w:tcPr>
            <w:tcW w:w="657" w:type="pct"/>
            <w:tcBorders>
              <w:top w:val="single" w:color="auto" w:sz="12" w:space="0"/>
              <w:bottom w:val="single" w:color="auto" w:sz="12"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施用方法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16" w:type="pct"/>
            <w:vMerge w:val="restart"/>
            <w:tcBorders>
              <w:top w:val="single" w:color="auto" w:sz="4"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ascii="宋体"/>
                <w:sz w:val="18"/>
                <w:szCs w:val="18"/>
              </w:rPr>
              <w:t>大斑病</w:t>
            </w:r>
            <w:r>
              <w:rPr>
                <w:rFonts w:hint="eastAsia" w:ascii="宋体"/>
                <w:sz w:val="18"/>
                <w:szCs w:val="18"/>
              </w:rPr>
              <w:t>、靶斑病、炭疽病</w:t>
            </w:r>
          </w:p>
        </w:tc>
        <w:tc>
          <w:tcPr>
            <w:tcW w:w="955" w:type="pct"/>
            <w:vMerge w:val="restart"/>
            <w:tcBorders>
              <w:top w:val="single" w:color="auto" w:sz="4" w:space="0"/>
            </w:tcBorders>
            <w:noWrap w:val="0"/>
            <w:vAlign w:val="center"/>
          </w:tcPr>
          <w:p>
            <w:pPr>
              <w:tabs>
                <w:tab w:val="center" w:pos="4201"/>
                <w:tab w:val="right" w:leader="dot" w:pos="9298"/>
              </w:tabs>
              <w:autoSpaceDE w:val="0"/>
              <w:autoSpaceDN w:val="0"/>
              <w:jc w:val="center"/>
              <w:rPr>
                <w:rFonts w:ascii="宋体"/>
                <w:sz w:val="18"/>
                <w:szCs w:val="18"/>
              </w:rPr>
            </w:pPr>
            <w:r>
              <w:rPr>
                <w:rFonts w:ascii="宋体"/>
                <w:sz w:val="18"/>
                <w:szCs w:val="18"/>
              </w:rPr>
              <w:t>发病初期</w:t>
            </w:r>
          </w:p>
        </w:tc>
        <w:tc>
          <w:tcPr>
            <w:tcW w:w="1467" w:type="pct"/>
            <w:tcBorders>
              <w:top w:val="single" w:color="auto" w:sz="4" w:space="0"/>
            </w:tcBorders>
            <w:noWrap w:val="0"/>
            <w:vAlign w:val="center"/>
          </w:tcPr>
          <w:p>
            <w:pPr>
              <w:widowControl/>
              <w:tabs>
                <w:tab w:val="center" w:pos="4201"/>
                <w:tab w:val="right" w:leader="dot" w:pos="9298"/>
              </w:tabs>
              <w:autoSpaceDE w:val="0"/>
              <w:autoSpaceDN w:val="0"/>
              <w:adjustRightInd w:val="0"/>
              <w:jc w:val="center"/>
              <w:rPr>
                <w:rFonts w:ascii="宋体"/>
                <w:sz w:val="18"/>
                <w:szCs w:val="18"/>
              </w:rPr>
            </w:pPr>
            <w:r>
              <w:rPr>
                <w:rFonts w:hint="eastAsia" w:ascii="宋体"/>
                <w:sz w:val="18"/>
                <w:szCs w:val="18"/>
              </w:rPr>
              <w:t>50％多菌灵可湿性粉剂</w:t>
            </w:r>
          </w:p>
        </w:tc>
        <w:tc>
          <w:tcPr>
            <w:tcW w:w="1103" w:type="pct"/>
            <w:tcBorders>
              <w:top w:val="single" w:color="auto" w:sz="4" w:space="0"/>
            </w:tcBorders>
            <w:noWrap w:val="0"/>
            <w:vAlign w:val="center"/>
          </w:tcPr>
          <w:p>
            <w:pPr>
              <w:widowControl/>
              <w:tabs>
                <w:tab w:val="center" w:pos="4201"/>
                <w:tab w:val="right" w:leader="dot" w:pos="9298"/>
              </w:tabs>
              <w:autoSpaceDE w:val="0"/>
              <w:autoSpaceDN w:val="0"/>
              <w:jc w:val="center"/>
              <w:rPr>
                <w:rFonts w:ascii="宋体" w:hAnsi="Calibri"/>
                <w:sz w:val="18"/>
                <w:szCs w:val="18"/>
              </w:rPr>
            </w:pPr>
            <w:r>
              <w:rPr>
                <w:rFonts w:hint="eastAsia" w:ascii="宋体"/>
                <w:sz w:val="18"/>
                <w:szCs w:val="18"/>
              </w:rPr>
              <w:t>5</w:t>
            </w:r>
            <w:r>
              <w:rPr>
                <w:rFonts w:ascii="宋体"/>
                <w:sz w:val="18"/>
                <w:szCs w:val="18"/>
              </w:rPr>
              <w:t>00倍液</w:t>
            </w:r>
          </w:p>
        </w:tc>
        <w:tc>
          <w:tcPr>
            <w:tcW w:w="657" w:type="pct"/>
            <w:vMerge w:val="restart"/>
            <w:tcBorders>
              <w:top w:val="single" w:color="auto" w:sz="4" w:space="0"/>
            </w:tcBorders>
            <w:noWrap w:val="0"/>
            <w:vAlign w:val="center"/>
          </w:tcPr>
          <w:p>
            <w:pPr>
              <w:tabs>
                <w:tab w:val="center" w:pos="4201"/>
                <w:tab w:val="right" w:leader="dot" w:pos="9298"/>
              </w:tabs>
              <w:autoSpaceDE w:val="0"/>
              <w:autoSpaceDN w:val="0"/>
              <w:jc w:val="center"/>
              <w:rPr>
                <w:rFonts w:ascii="宋体" w:hAnsi="Calibri"/>
                <w:sz w:val="18"/>
                <w:szCs w:val="18"/>
              </w:rPr>
            </w:pPr>
            <w:r>
              <w:rPr>
                <w:rFonts w:hint="eastAsia" w:ascii="宋体"/>
                <w:sz w:val="18"/>
                <w:szCs w:val="18"/>
              </w:rPr>
              <w:t>喷叶防治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ascii="宋体"/>
                <w:sz w:val="18"/>
                <w:szCs w:val="18"/>
              </w:rPr>
            </w:pPr>
            <w:r>
              <w:rPr>
                <w:rFonts w:hint="eastAsia" w:ascii="宋体"/>
                <w:sz w:val="18"/>
                <w:szCs w:val="18"/>
              </w:rPr>
              <w:t>50％甲基硫菌灵</w:t>
            </w:r>
          </w:p>
        </w:tc>
        <w:tc>
          <w:tcPr>
            <w:tcW w:w="1103" w:type="pct"/>
            <w:noWrap w:val="0"/>
            <w:vAlign w:val="center"/>
          </w:tcPr>
          <w:p>
            <w:pPr>
              <w:widowControl/>
              <w:tabs>
                <w:tab w:val="center" w:pos="4201"/>
                <w:tab w:val="right" w:leader="dot" w:pos="9298"/>
              </w:tabs>
              <w:autoSpaceDE w:val="0"/>
              <w:autoSpaceDN w:val="0"/>
              <w:jc w:val="center"/>
              <w:rPr>
                <w:rFonts w:ascii="宋体"/>
                <w:sz w:val="18"/>
                <w:szCs w:val="18"/>
              </w:rPr>
            </w:pPr>
            <w:r>
              <w:rPr>
                <w:rFonts w:ascii="宋体"/>
                <w:sz w:val="18"/>
                <w:szCs w:val="18"/>
              </w:rPr>
              <w:t>600倍液</w:t>
            </w:r>
          </w:p>
        </w:tc>
        <w:tc>
          <w:tcPr>
            <w:tcW w:w="657" w:type="pct"/>
            <w:vMerge w:val="continue"/>
            <w:noWrap w:val="0"/>
            <w:vAlign w:val="center"/>
          </w:tcPr>
          <w:p>
            <w:pPr>
              <w:tabs>
                <w:tab w:val="center" w:pos="4201"/>
                <w:tab w:val="right" w:leader="dot" w:pos="9298"/>
              </w:tabs>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56"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ascii="宋体"/>
                <w:sz w:val="18"/>
                <w:szCs w:val="18"/>
              </w:rPr>
            </w:pPr>
          </w:p>
        </w:tc>
        <w:tc>
          <w:tcPr>
            <w:tcW w:w="955" w:type="pct"/>
            <w:vMerge w:val="continue"/>
            <w:noWrap w:val="0"/>
            <w:vAlign w:val="center"/>
          </w:tcPr>
          <w:p>
            <w:pPr>
              <w:widowControl/>
              <w:tabs>
                <w:tab w:val="center" w:pos="4201"/>
                <w:tab w:val="right" w:leader="dot" w:pos="9298"/>
              </w:tabs>
              <w:autoSpaceDE w:val="0"/>
              <w:autoSpaceDN w:val="0"/>
              <w:ind w:firstLine="360" w:firstLineChars="20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ascii="宋体"/>
                <w:sz w:val="18"/>
                <w:szCs w:val="18"/>
              </w:rPr>
            </w:pPr>
            <w:r>
              <w:rPr>
                <w:rFonts w:hint="eastAsia" w:ascii="宋体"/>
                <w:sz w:val="18"/>
                <w:szCs w:val="18"/>
              </w:rPr>
              <w:t>75％百菌清</w:t>
            </w:r>
          </w:p>
        </w:tc>
        <w:tc>
          <w:tcPr>
            <w:tcW w:w="1103" w:type="pc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800</w:t>
            </w:r>
            <w:r>
              <w:rPr>
                <w:rFonts w:ascii="宋体"/>
                <w:sz w:val="18"/>
                <w:szCs w:val="18"/>
              </w:rPr>
              <w:t>倍液</w:t>
            </w:r>
          </w:p>
        </w:tc>
        <w:tc>
          <w:tcPr>
            <w:tcW w:w="657" w:type="pct"/>
            <w:vMerge w:val="continue"/>
            <w:noWrap w:val="0"/>
            <w:vAlign w:val="center"/>
          </w:tcPr>
          <w:p>
            <w:pPr>
              <w:tabs>
                <w:tab w:val="center" w:pos="4201"/>
                <w:tab w:val="right" w:leader="dot" w:pos="9298"/>
              </w:tabs>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ascii="宋体"/>
                <w:sz w:val="18"/>
                <w:szCs w:val="18"/>
              </w:rPr>
            </w:pPr>
          </w:p>
        </w:tc>
        <w:tc>
          <w:tcPr>
            <w:tcW w:w="955" w:type="pct"/>
            <w:vMerge w:val="continue"/>
            <w:noWrap w:val="0"/>
            <w:vAlign w:val="center"/>
          </w:tcPr>
          <w:p>
            <w:pPr>
              <w:widowControl/>
              <w:tabs>
                <w:tab w:val="center" w:pos="4201"/>
                <w:tab w:val="right" w:leader="dot" w:pos="9298"/>
              </w:tabs>
              <w:autoSpaceDE w:val="0"/>
              <w:autoSpaceDN w:val="0"/>
              <w:ind w:firstLine="360" w:firstLineChars="20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ascii="宋体"/>
                <w:sz w:val="18"/>
                <w:szCs w:val="18"/>
              </w:rPr>
            </w:pPr>
            <w:r>
              <w:rPr>
                <w:rFonts w:hint="eastAsia" w:ascii="宋体"/>
                <w:sz w:val="18"/>
                <w:szCs w:val="18"/>
              </w:rPr>
              <w:t>70％代森锰锌</w:t>
            </w:r>
          </w:p>
        </w:tc>
        <w:tc>
          <w:tcPr>
            <w:tcW w:w="1103" w:type="pc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500倍液～800倍液</w:t>
            </w:r>
          </w:p>
        </w:tc>
        <w:tc>
          <w:tcPr>
            <w:tcW w:w="657"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24" w:hRule="atLeast"/>
        </w:trPr>
        <w:tc>
          <w:tcPr>
            <w:tcW w:w="816" w:type="pct"/>
            <w:vMerge w:val="restart"/>
            <w:noWrap w:val="0"/>
            <w:vAlign w:val="center"/>
          </w:tcPr>
          <w:p>
            <w:pPr>
              <w:widowControl/>
              <w:tabs>
                <w:tab w:val="center" w:pos="4201"/>
                <w:tab w:val="right" w:leader="dot" w:pos="9298"/>
              </w:tabs>
              <w:autoSpaceDE w:val="0"/>
              <w:autoSpaceDN w:val="0"/>
              <w:jc w:val="center"/>
              <w:rPr>
                <w:rFonts w:ascii="宋体"/>
                <w:sz w:val="18"/>
                <w:szCs w:val="18"/>
              </w:rPr>
            </w:pPr>
            <w:r>
              <w:rPr>
                <w:rFonts w:ascii="宋体"/>
                <w:sz w:val="18"/>
                <w:szCs w:val="18"/>
              </w:rPr>
              <w:t>丝黑穗病</w:t>
            </w:r>
            <w:r>
              <w:rPr>
                <w:rFonts w:hint="eastAsia" w:ascii="宋体"/>
                <w:sz w:val="18"/>
                <w:szCs w:val="18"/>
              </w:rPr>
              <w:t>、茎腐病、顶腐病</w:t>
            </w:r>
          </w:p>
        </w:tc>
        <w:tc>
          <w:tcPr>
            <w:tcW w:w="955" w:type="pct"/>
            <w:vMerge w:val="restart"/>
            <w:noWrap w:val="0"/>
            <w:vAlign w:val="center"/>
          </w:tcPr>
          <w:p>
            <w:pPr>
              <w:tabs>
                <w:tab w:val="center" w:pos="4201"/>
                <w:tab w:val="right" w:leader="dot" w:pos="9298"/>
              </w:tabs>
              <w:autoSpaceDE w:val="0"/>
              <w:autoSpaceDN w:val="0"/>
              <w:jc w:val="center"/>
              <w:rPr>
                <w:rFonts w:ascii="宋体"/>
                <w:sz w:val="18"/>
                <w:szCs w:val="18"/>
              </w:rPr>
            </w:pPr>
            <w:r>
              <w:rPr>
                <w:rFonts w:hint="eastAsia" w:ascii="宋体"/>
                <w:sz w:val="18"/>
                <w:szCs w:val="18"/>
              </w:rPr>
              <w:t>播种前</w:t>
            </w:r>
          </w:p>
        </w:tc>
        <w:tc>
          <w:tcPr>
            <w:tcW w:w="1467" w:type="pct"/>
            <w:noWrap w:val="0"/>
            <w:vAlign w:val="center"/>
          </w:tcPr>
          <w:p>
            <w:pPr>
              <w:widowControl/>
              <w:tabs>
                <w:tab w:val="center" w:pos="4201"/>
                <w:tab w:val="right" w:leader="dot" w:pos="9298"/>
              </w:tabs>
              <w:autoSpaceDE w:val="0"/>
              <w:autoSpaceDN w:val="0"/>
              <w:adjustRightInd w:val="0"/>
              <w:jc w:val="center"/>
              <w:rPr>
                <w:rFonts w:ascii="宋体"/>
                <w:sz w:val="18"/>
                <w:szCs w:val="18"/>
              </w:rPr>
            </w:pPr>
            <w:r>
              <w:rPr>
                <w:rFonts w:hint="eastAsia" w:ascii="宋体"/>
                <w:sz w:val="18"/>
                <w:szCs w:val="18"/>
              </w:rPr>
              <w:t>25％三唑酮可湿性粉剂</w:t>
            </w:r>
          </w:p>
        </w:tc>
        <w:tc>
          <w:tcPr>
            <w:tcW w:w="1103" w:type="pc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种子重量0.3％</w:t>
            </w:r>
          </w:p>
        </w:tc>
        <w:tc>
          <w:tcPr>
            <w:tcW w:w="657" w:type="pct"/>
            <w:vMerge w:val="restart"/>
            <w:noWrap w:val="0"/>
            <w:vAlign w:val="center"/>
          </w:tcPr>
          <w:p>
            <w:pPr>
              <w:widowControl/>
              <w:tabs>
                <w:tab w:val="center" w:pos="4201"/>
                <w:tab w:val="right" w:leader="dot" w:pos="9298"/>
              </w:tabs>
              <w:autoSpaceDE w:val="0"/>
              <w:autoSpaceDN w:val="0"/>
              <w:jc w:val="center"/>
              <w:rPr>
                <w:rFonts w:ascii="宋体" w:hAnsi="Calibri"/>
                <w:sz w:val="18"/>
                <w:szCs w:val="18"/>
              </w:rPr>
            </w:pPr>
            <w:r>
              <w:rPr>
                <w:rFonts w:hint="eastAsia" w:ascii="宋体"/>
                <w:sz w:val="18"/>
                <w:szCs w:val="18"/>
              </w:rPr>
              <w:t>拌种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45"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hAnsi="Calibri"/>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15％腈菌唑乳油种衣剂</w:t>
            </w:r>
          </w:p>
        </w:tc>
        <w:tc>
          <w:tcPr>
            <w:tcW w:w="1103" w:type="pc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种子重量10％～20％</w:t>
            </w:r>
          </w:p>
        </w:tc>
        <w:tc>
          <w:tcPr>
            <w:tcW w:w="657" w:type="pct"/>
            <w:vMerge w:val="continue"/>
            <w:noWrap w:val="0"/>
            <w:vAlign w:val="center"/>
          </w:tcPr>
          <w:p>
            <w:pPr>
              <w:tabs>
                <w:tab w:val="center" w:pos="4201"/>
                <w:tab w:val="right" w:leader="dot" w:pos="9298"/>
              </w:tabs>
              <w:autoSpaceDE w:val="0"/>
              <w:autoSpaceDN w:val="0"/>
              <w:jc w:val="center"/>
              <w:rPr>
                <w:rFonts w:hint="eastAsia"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34"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hAnsi="Calibri"/>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2.5％唏唑醇可湿性粉剂</w:t>
            </w:r>
          </w:p>
        </w:tc>
        <w:tc>
          <w:tcPr>
            <w:tcW w:w="1103" w:type="pc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种子重量0.2％</w:t>
            </w:r>
          </w:p>
        </w:tc>
        <w:tc>
          <w:tcPr>
            <w:tcW w:w="657"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5" w:hRule="atLeast"/>
        </w:trPr>
        <w:tc>
          <w:tcPr>
            <w:tcW w:w="816" w:type="pct"/>
            <w:vMerge w:val="restar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蝼蛄、蛴螬、地老虎、金针虫</w:t>
            </w:r>
          </w:p>
        </w:tc>
        <w:tc>
          <w:tcPr>
            <w:tcW w:w="955" w:type="pct"/>
            <w:vMerge w:val="restar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播种前</w:t>
            </w:r>
          </w:p>
        </w:tc>
        <w:tc>
          <w:tcPr>
            <w:tcW w:w="1467" w:type="pct"/>
            <w:noWrap w:val="0"/>
            <w:vAlign w:val="center"/>
          </w:tcPr>
          <w:p>
            <w:pPr>
              <w:widowControl/>
              <w:tabs>
                <w:tab w:val="center" w:pos="4201"/>
                <w:tab w:val="right" w:leader="dot" w:pos="9298"/>
              </w:tabs>
              <w:autoSpaceDE w:val="0"/>
              <w:autoSpaceDN w:val="0"/>
              <w:adjustRightInd w:val="0"/>
              <w:jc w:val="center"/>
              <w:rPr>
                <w:rFonts w:ascii="宋体"/>
                <w:sz w:val="18"/>
                <w:szCs w:val="18"/>
              </w:rPr>
            </w:pPr>
            <w:r>
              <w:rPr>
                <w:rFonts w:hint="eastAsia" w:ascii="宋体"/>
                <w:sz w:val="18"/>
                <w:szCs w:val="18"/>
              </w:rPr>
              <w:t>3％辛硫磷颗粒剂</w:t>
            </w:r>
          </w:p>
        </w:tc>
        <w:tc>
          <w:tcPr>
            <w:tcW w:w="1103" w:type="pc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每666.7 m</w:t>
            </w:r>
            <w:r>
              <w:rPr>
                <w:rFonts w:hint="eastAsia" w:ascii="宋体"/>
                <w:sz w:val="18"/>
                <w:szCs w:val="18"/>
                <w:vertAlign w:val="superscript"/>
              </w:rPr>
              <w:t>2</w:t>
            </w:r>
            <w:r>
              <w:rPr>
                <w:rFonts w:hint="eastAsia" w:ascii="宋体"/>
                <w:sz w:val="18"/>
                <w:szCs w:val="18"/>
              </w:rPr>
              <w:t>用3</w:t>
            </w:r>
            <w:r>
              <w:rPr>
                <w:rFonts w:hint="eastAsia" w:ascii="宋体"/>
                <w:sz w:val="18"/>
                <w:szCs w:val="18"/>
                <w:lang w:val="en-US" w:eastAsia="zh-CN"/>
              </w:rPr>
              <w:t xml:space="preserve"> </w:t>
            </w:r>
            <w:r>
              <w:rPr>
                <w:rFonts w:hint="eastAsia" w:ascii="宋体"/>
                <w:sz w:val="18"/>
                <w:szCs w:val="18"/>
              </w:rPr>
              <w:t>kg～4</w:t>
            </w:r>
            <w:r>
              <w:rPr>
                <w:rFonts w:hint="eastAsia" w:ascii="宋体"/>
                <w:sz w:val="18"/>
                <w:szCs w:val="18"/>
                <w:lang w:val="en-US" w:eastAsia="zh-CN"/>
              </w:rPr>
              <w:t xml:space="preserve"> </w:t>
            </w:r>
            <w:r>
              <w:rPr>
                <w:rFonts w:hint="eastAsia" w:ascii="宋体"/>
                <w:sz w:val="18"/>
                <w:szCs w:val="18"/>
              </w:rPr>
              <w:t>kg</w:t>
            </w:r>
          </w:p>
        </w:tc>
        <w:tc>
          <w:tcPr>
            <w:tcW w:w="657" w:type="pct"/>
            <w:vMerge w:val="restar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施后翻耕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5％氯吡硫磷颗粒剂</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每666.7 m</w:t>
            </w:r>
            <w:r>
              <w:rPr>
                <w:rFonts w:hint="eastAsia" w:ascii="宋体"/>
                <w:sz w:val="18"/>
                <w:szCs w:val="18"/>
                <w:vertAlign w:val="superscript"/>
              </w:rPr>
              <w:t>2</w:t>
            </w:r>
            <w:r>
              <w:rPr>
                <w:rFonts w:hint="eastAsia" w:ascii="宋体"/>
                <w:sz w:val="18"/>
                <w:szCs w:val="18"/>
              </w:rPr>
              <w:t>用2kg</w:t>
            </w:r>
          </w:p>
        </w:tc>
        <w:tc>
          <w:tcPr>
            <w:tcW w:w="657"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50％辛硫磷</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700倍液</w:t>
            </w:r>
          </w:p>
        </w:tc>
        <w:tc>
          <w:tcPr>
            <w:tcW w:w="657"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拌种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16" w:type="pct"/>
            <w:vMerge w:val="restart"/>
            <w:noWrap w:val="0"/>
            <w:vAlign w:val="center"/>
          </w:tcPr>
          <w:p>
            <w:pPr>
              <w:widowControl/>
              <w:tabs>
                <w:tab w:val="center" w:pos="4201"/>
                <w:tab w:val="right" w:leader="dot" w:pos="9298"/>
              </w:tabs>
              <w:autoSpaceDE w:val="0"/>
              <w:autoSpaceDN w:val="0"/>
              <w:ind w:firstLine="360" w:firstLineChars="200"/>
              <w:rPr>
                <w:rFonts w:ascii="宋体"/>
                <w:sz w:val="18"/>
                <w:szCs w:val="18"/>
              </w:rPr>
            </w:pPr>
            <w:r>
              <w:rPr>
                <w:rFonts w:hint="eastAsia" w:ascii="宋体"/>
                <w:sz w:val="18"/>
                <w:szCs w:val="18"/>
              </w:rPr>
              <w:t>红粱粘虫</w:t>
            </w:r>
          </w:p>
        </w:tc>
        <w:tc>
          <w:tcPr>
            <w:tcW w:w="955" w:type="pct"/>
            <w:vMerge w:val="restar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每m</w:t>
            </w:r>
            <w:r>
              <w:rPr>
                <w:rFonts w:hint="eastAsia" w:ascii="宋体"/>
                <w:sz w:val="18"/>
                <w:szCs w:val="18"/>
                <w:vertAlign w:val="superscript"/>
              </w:rPr>
              <w:t>2</w:t>
            </w:r>
            <w:r>
              <w:rPr>
                <w:rFonts w:hint="eastAsia" w:ascii="宋体"/>
                <w:sz w:val="18"/>
                <w:szCs w:val="18"/>
              </w:rPr>
              <w:t>用有虫10头或百株虫口达30头时</w:t>
            </w: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25％灭幼脲3号悬浮剂</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2000倍液～2500倍液</w:t>
            </w:r>
          </w:p>
        </w:tc>
        <w:tc>
          <w:tcPr>
            <w:tcW w:w="657" w:type="pct"/>
            <w:vMerge w:val="restar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喷雾防治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4.5％高效氯氰菊酯乳油</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1500倍液～3000倍液</w:t>
            </w:r>
          </w:p>
        </w:tc>
        <w:tc>
          <w:tcPr>
            <w:tcW w:w="657" w:type="pct"/>
            <w:vMerge w:val="continue"/>
            <w:noWrap w:val="0"/>
            <w:vAlign w:val="center"/>
          </w:tcPr>
          <w:p>
            <w:pPr>
              <w:tabs>
                <w:tab w:val="center" w:pos="4201"/>
                <w:tab w:val="right" w:leader="dot" w:pos="9298"/>
              </w:tabs>
              <w:autoSpaceDE w:val="0"/>
              <w:autoSpaceDN w:val="0"/>
              <w:jc w:val="center"/>
              <w:rPr>
                <w:rFonts w:hint="eastAsia"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2.5％溴氰菊酯乳油</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3000倍液～4000倍液</w:t>
            </w:r>
          </w:p>
        </w:tc>
        <w:tc>
          <w:tcPr>
            <w:tcW w:w="657" w:type="pct"/>
            <w:vMerge w:val="continue"/>
            <w:noWrap w:val="0"/>
            <w:vAlign w:val="center"/>
          </w:tcPr>
          <w:p>
            <w:pPr>
              <w:tabs>
                <w:tab w:val="center" w:pos="4201"/>
                <w:tab w:val="right" w:leader="dot" w:pos="9298"/>
              </w:tabs>
              <w:autoSpaceDE w:val="0"/>
              <w:autoSpaceDN w:val="0"/>
              <w:jc w:val="center"/>
              <w:rPr>
                <w:rFonts w:hint="eastAsia"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5％甲维盐</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1500倍液</w:t>
            </w:r>
          </w:p>
        </w:tc>
        <w:tc>
          <w:tcPr>
            <w:tcW w:w="657" w:type="pct"/>
            <w:vMerge w:val="continue"/>
            <w:noWrap w:val="0"/>
            <w:vAlign w:val="center"/>
          </w:tcPr>
          <w:p>
            <w:pPr>
              <w:tabs>
                <w:tab w:val="center" w:pos="4201"/>
                <w:tab w:val="right" w:leader="dot" w:pos="9298"/>
              </w:tabs>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20％氯虫苯甲酸胺悬浮剂</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2000倍液～3000倍液</w:t>
            </w:r>
          </w:p>
        </w:tc>
        <w:tc>
          <w:tcPr>
            <w:tcW w:w="657"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16" w:type="pct"/>
            <w:vMerge w:val="restar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红粱蚜虫</w:t>
            </w:r>
          </w:p>
        </w:tc>
        <w:tc>
          <w:tcPr>
            <w:tcW w:w="955" w:type="pct"/>
            <w:vMerge w:val="restar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当100株蚜虫量大于1000头或蚜虫率达到15</w:t>
            </w:r>
            <w:r>
              <w:rPr>
                <w:rFonts w:hint="eastAsia" w:ascii="宋体" w:hAnsi="宋体" w:eastAsia="宋体" w:cs="宋体"/>
                <w:sz w:val="18"/>
                <w:szCs w:val="18"/>
              </w:rPr>
              <w:t>％</w:t>
            </w:r>
            <w:r>
              <w:rPr>
                <w:rFonts w:hint="eastAsia" w:ascii="宋体"/>
                <w:sz w:val="18"/>
                <w:szCs w:val="18"/>
              </w:rPr>
              <w:t>时</w:t>
            </w: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10％吡虫啉乳油</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1000倍液</w:t>
            </w:r>
          </w:p>
        </w:tc>
        <w:tc>
          <w:tcPr>
            <w:tcW w:w="657" w:type="pct"/>
            <w:vMerge w:val="restart"/>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喷雾防治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25%噻虫嗪水分散粒剂</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1200倍液～1500倍液</w:t>
            </w:r>
          </w:p>
        </w:tc>
        <w:tc>
          <w:tcPr>
            <w:tcW w:w="657"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6"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10%啶虫脒可湿性粉剂</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1200倍液～1500倍液</w:t>
            </w:r>
          </w:p>
        </w:tc>
        <w:tc>
          <w:tcPr>
            <w:tcW w:w="657" w:type="pct"/>
            <w:vMerge w:val="continue"/>
            <w:noWrap w:val="0"/>
            <w:vAlign w:val="center"/>
          </w:tcPr>
          <w:p>
            <w:pPr>
              <w:widowControl/>
              <w:tabs>
                <w:tab w:val="center" w:pos="4201"/>
                <w:tab w:val="right" w:leader="dot" w:pos="9298"/>
              </w:tabs>
              <w:autoSpaceDE w:val="0"/>
              <w:autoSpaceDN w:val="0"/>
              <w:jc w:val="center"/>
              <w:rPr>
                <w:rFonts w:ascii="宋体"/>
                <w:sz w:val="18"/>
                <w:szCs w:val="18"/>
              </w:rPr>
            </w:pPr>
          </w:p>
        </w:tc>
      </w:tr>
    </w:tbl>
    <w:p>
      <w:pPr>
        <w:pStyle w:val="231"/>
        <w:ind w:firstLine="0" w:firstLineChars="0"/>
        <w:rPr>
          <w:rFonts w:hAnsi="宋体"/>
          <w:szCs w:val="21"/>
        </w:rPr>
      </w:pPr>
    </w:p>
    <w:p>
      <w:pPr>
        <w:pStyle w:val="232"/>
        <w:numPr>
          <w:ilvl w:val="0"/>
          <w:numId w:val="0"/>
        </w:numPr>
        <w:spacing w:before="156" w:after="156"/>
        <w:rPr>
          <w:rFonts w:hint="eastAsia"/>
        </w:rPr>
        <w:sectPr>
          <w:headerReference r:id="rId17" w:type="default"/>
          <w:footerReference r:id="rId19" w:type="default"/>
          <w:headerReference r:id="rId18" w:type="even"/>
          <w:footerReference r:id="rId20" w:type="even"/>
          <w:pgSz w:w="11906" w:h="16838"/>
          <w:pgMar w:top="2410" w:right="1134" w:bottom="1134" w:left="1134" w:header="1418" w:footer="1134" w:gutter="284"/>
          <w:pgNumType w:start="1"/>
          <w:cols w:space="425" w:num="1"/>
          <w:formProt w:val="0"/>
          <w:docGrid w:linePitch="312" w:charSpace="0"/>
        </w:sectPr>
      </w:pPr>
    </w:p>
    <w:p>
      <w:pPr>
        <w:pStyle w:val="232"/>
        <w:numPr>
          <w:ilvl w:val="0"/>
          <w:numId w:val="0"/>
        </w:numPr>
        <w:spacing w:before="156" w:after="156"/>
        <w:rPr>
          <w:rFonts w:ascii="宋体" w:hAnsi="宋体" w:eastAsia="宋体"/>
        </w:rPr>
      </w:pPr>
      <w:r>
        <w:rPr>
          <w:rFonts w:hint="eastAsia"/>
        </w:rPr>
        <w:t>表1红粱常见虫害及主要防治方法</w:t>
      </w:r>
      <w:r>
        <w:rPr>
          <w:rFonts w:hint="eastAsia" w:ascii="宋体" w:hAnsi="宋体" w:eastAsia="宋体"/>
        </w:rPr>
        <w:t>（续）</w:t>
      </w:r>
    </w:p>
    <w:tbl>
      <w:tblPr>
        <w:tblStyle w:val="27"/>
        <w:tblW w:w="473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451"/>
        <w:gridCol w:w="1698"/>
        <w:gridCol w:w="2609"/>
        <w:gridCol w:w="1961"/>
        <w:gridCol w:w="11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63" w:hRule="atLeast"/>
        </w:trPr>
        <w:tc>
          <w:tcPr>
            <w:tcW w:w="816" w:type="pct"/>
            <w:tcBorders>
              <w:top w:val="single" w:color="auto" w:sz="12" w:space="0"/>
              <w:bottom w:val="single" w:color="auto" w:sz="12"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病虫害类型</w:t>
            </w:r>
          </w:p>
        </w:tc>
        <w:tc>
          <w:tcPr>
            <w:tcW w:w="955" w:type="pct"/>
            <w:tcBorders>
              <w:top w:val="single" w:color="auto" w:sz="12" w:space="0"/>
              <w:bottom w:val="single" w:color="auto" w:sz="12"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防治时期/防治标准</w:t>
            </w:r>
          </w:p>
        </w:tc>
        <w:tc>
          <w:tcPr>
            <w:tcW w:w="1467" w:type="pct"/>
            <w:tcBorders>
              <w:top w:val="single" w:color="auto" w:sz="12" w:space="0"/>
              <w:bottom w:val="single" w:color="auto" w:sz="12"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防治药剂</w:t>
            </w:r>
          </w:p>
        </w:tc>
        <w:tc>
          <w:tcPr>
            <w:tcW w:w="1103" w:type="pct"/>
            <w:tcBorders>
              <w:top w:val="single" w:color="auto" w:sz="12" w:space="0"/>
              <w:bottom w:val="single" w:color="auto" w:sz="12"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浓度</w:t>
            </w:r>
          </w:p>
        </w:tc>
        <w:tc>
          <w:tcPr>
            <w:tcW w:w="657" w:type="pct"/>
            <w:tcBorders>
              <w:top w:val="single" w:color="auto" w:sz="12" w:space="0"/>
              <w:bottom w:val="single" w:color="auto" w:sz="12" w:space="0"/>
            </w:tcBorders>
            <w:noWrap w:val="0"/>
            <w:vAlign w:val="center"/>
          </w:tcPr>
          <w:p>
            <w:pPr>
              <w:widowControl/>
              <w:tabs>
                <w:tab w:val="center" w:pos="4201"/>
                <w:tab w:val="right" w:leader="dot" w:pos="9298"/>
              </w:tabs>
              <w:autoSpaceDE w:val="0"/>
              <w:autoSpaceDN w:val="0"/>
              <w:jc w:val="center"/>
              <w:rPr>
                <w:rFonts w:ascii="宋体"/>
                <w:sz w:val="18"/>
                <w:szCs w:val="18"/>
              </w:rPr>
            </w:pPr>
            <w:r>
              <w:rPr>
                <w:rFonts w:hint="eastAsia" w:ascii="宋体"/>
                <w:sz w:val="18"/>
                <w:szCs w:val="18"/>
              </w:rPr>
              <w:t>施用方法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816" w:type="pct"/>
            <w:vMerge w:val="restar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玉米螟</w:t>
            </w:r>
          </w:p>
        </w:tc>
        <w:tc>
          <w:tcPr>
            <w:tcW w:w="955" w:type="pct"/>
            <w:vMerge w:val="restar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大喇叭口期</w:t>
            </w: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25％杀虫双水剂</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10倍液</w:t>
            </w:r>
          </w:p>
        </w:tc>
        <w:tc>
          <w:tcPr>
            <w:tcW w:w="657" w:type="pct"/>
            <w:vMerge w:val="restar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喷雾滴心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93"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苏云金杆菌可湿性粉剂</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1200倍液～1500倍液</w:t>
            </w:r>
          </w:p>
        </w:tc>
        <w:tc>
          <w:tcPr>
            <w:tcW w:w="657"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99"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4.5％高效氯氰菊酯乳油</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1500倍液～3000倍液</w:t>
            </w:r>
          </w:p>
        </w:tc>
        <w:tc>
          <w:tcPr>
            <w:tcW w:w="657"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20％氰戊菊酯</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5000倍液</w:t>
            </w:r>
          </w:p>
        </w:tc>
        <w:tc>
          <w:tcPr>
            <w:tcW w:w="657" w:type="pct"/>
            <w:vMerge w:val="continue"/>
            <w:noWrap w:val="0"/>
            <w:vAlign w:val="center"/>
          </w:tcPr>
          <w:p>
            <w:pPr>
              <w:tabs>
                <w:tab w:val="center" w:pos="4201"/>
                <w:tab w:val="right" w:leader="dot" w:pos="9298"/>
              </w:tabs>
              <w:autoSpaceDE w:val="0"/>
              <w:autoSpaceDN w:val="0"/>
              <w:jc w:val="center"/>
              <w:rPr>
                <w:rFonts w:hint="eastAsia"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4"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2.5％溴氰菊酯</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5000倍液</w:t>
            </w:r>
          </w:p>
        </w:tc>
        <w:tc>
          <w:tcPr>
            <w:tcW w:w="657"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2" w:hRule="atLeast"/>
        </w:trPr>
        <w:tc>
          <w:tcPr>
            <w:tcW w:w="816" w:type="pct"/>
            <w:vMerge w:val="restart"/>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r>
              <w:rPr>
                <w:rFonts w:hint="eastAsia" w:ascii="宋体"/>
                <w:sz w:val="18"/>
                <w:szCs w:val="18"/>
              </w:rPr>
              <w:t>棉铃虫</w:t>
            </w:r>
          </w:p>
        </w:tc>
        <w:tc>
          <w:tcPr>
            <w:tcW w:w="955" w:type="pct"/>
            <w:vMerge w:val="restar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开花至灌浆期</w:t>
            </w: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2.5</w:t>
            </w:r>
            <w:r>
              <w:rPr>
                <w:rFonts w:hint="eastAsia" w:ascii="宋体" w:hAnsi="宋体" w:eastAsia="宋体" w:cs="宋体"/>
                <w:sz w:val="18"/>
                <w:szCs w:val="18"/>
              </w:rPr>
              <w:t>％</w:t>
            </w:r>
            <w:r>
              <w:rPr>
                <w:rFonts w:hint="eastAsia" w:ascii="宋体"/>
                <w:sz w:val="18"/>
                <w:szCs w:val="18"/>
              </w:rPr>
              <w:t>溴氰菊酯乳油</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2000倍液～2500倍液</w:t>
            </w:r>
          </w:p>
        </w:tc>
        <w:tc>
          <w:tcPr>
            <w:tcW w:w="657" w:type="pct"/>
            <w:vMerge w:val="restar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喷雾防治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70"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10</w:t>
            </w:r>
            <w:r>
              <w:rPr>
                <w:rFonts w:hint="eastAsia" w:ascii="宋体" w:hAnsi="宋体" w:eastAsia="宋体" w:cs="宋体"/>
                <w:sz w:val="18"/>
                <w:szCs w:val="18"/>
              </w:rPr>
              <w:t>％</w:t>
            </w:r>
            <w:r>
              <w:rPr>
                <w:rFonts w:hint="eastAsia" w:ascii="宋体"/>
                <w:sz w:val="18"/>
                <w:szCs w:val="18"/>
              </w:rPr>
              <w:t>吡虫啉可湿性粉剂</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1500倍液</w:t>
            </w:r>
          </w:p>
        </w:tc>
        <w:tc>
          <w:tcPr>
            <w:tcW w:w="657"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13" w:hRule="atLeast"/>
        </w:trPr>
        <w:tc>
          <w:tcPr>
            <w:tcW w:w="816" w:type="pct"/>
            <w:vMerge w:val="restart"/>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r>
              <w:rPr>
                <w:rFonts w:hint="eastAsia" w:ascii="宋体"/>
                <w:sz w:val="18"/>
                <w:szCs w:val="18"/>
              </w:rPr>
              <w:t>桃蛀螟</w:t>
            </w:r>
          </w:p>
        </w:tc>
        <w:tc>
          <w:tcPr>
            <w:tcW w:w="955" w:type="pct"/>
            <w:vMerge w:val="restar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开花至乳熟期</w:t>
            </w: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10</w:t>
            </w:r>
            <w:r>
              <w:rPr>
                <w:rFonts w:hint="eastAsia" w:ascii="宋体" w:hAnsi="宋体" w:eastAsia="宋体" w:cs="宋体"/>
                <w:sz w:val="18"/>
                <w:szCs w:val="18"/>
              </w:rPr>
              <w:t>％</w:t>
            </w:r>
            <w:r>
              <w:rPr>
                <w:rFonts w:hint="eastAsia" w:ascii="宋体"/>
                <w:sz w:val="18"/>
                <w:szCs w:val="18"/>
              </w:rPr>
              <w:t>吡虫啉可湿性粉剂</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1500倍液</w:t>
            </w:r>
          </w:p>
        </w:tc>
        <w:tc>
          <w:tcPr>
            <w:tcW w:w="657" w:type="pct"/>
            <w:vMerge w:val="restar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喷雾防治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22" w:hRule="atLeast"/>
        </w:trPr>
        <w:tc>
          <w:tcPr>
            <w:tcW w:w="816" w:type="pct"/>
            <w:vMerge w:val="continue"/>
            <w:noWrap w:val="0"/>
            <w:vAlign w:val="center"/>
          </w:tcPr>
          <w:p>
            <w:pPr>
              <w:widowControl/>
              <w:tabs>
                <w:tab w:val="center" w:pos="4201"/>
                <w:tab w:val="right" w:leader="dot" w:pos="9298"/>
              </w:tabs>
              <w:autoSpaceDE w:val="0"/>
              <w:autoSpaceDN w:val="0"/>
              <w:ind w:firstLine="360" w:firstLineChars="200"/>
              <w:jc w:val="center"/>
              <w:rPr>
                <w:rFonts w:hint="eastAsia" w:ascii="宋体"/>
                <w:sz w:val="18"/>
                <w:szCs w:val="18"/>
              </w:rPr>
            </w:pPr>
          </w:p>
        </w:tc>
        <w:tc>
          <w:tcPr>
            <w:tcW w:w="955"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c>
          <w:tcPr>
            <w:tcW w:w="1467" w:type="pct"/>
            <w:noWrap w:val="0"/>
            <w:vAlign w:val="center"/>
          </w:tcPr>
          <w:p>
            <w:pPr>
              <w:widowControl/>
              <w:tabs>
                <w:tab w:val="center" w:pos="4201"/>
                <w:tab w:val="right" w:leader="dot" w:pos="9298"/>
              </w:tabs>
              <w:autoSpaceDE w:val="0"/>
              <w:autoSpaceDN w:val="0"/>
              <w:adjustRightInd w:val="0"/>
              <w:jc w:val="center"/>
              <w:rPr>
                <w:rFonts w:hint="eastAsia" w:ascii="宋体"/>
                <w:sz w:val="18"/>
                <w:szCs w:val="18"/>
              </w:rPr>
            </w:pPr>
            <w:r>
              <w:rPr>
                <w:rFonts w:hint="eastAsia" w:ascii="宋体"/>
                <w:sz w:val="18"/>
                <w:szCs w:val="18"/>
              </w:rPr>
              <w:t>50</w:t>
            </w:r>
            <w:r>
              <w:rPr>
                <w:rFonts w:hint="eastAsia" w:ascii="宋体" w:hAnsi="宋体" w:eastAsia="宋体" w:cs="宋体"/>
                <w:sz w:val="18"/>
                <w:szCs w:val="18"/>
              </w:rPr>
              <w:t>％</w:t>
            </w:r>
            <w:r>
              <w:rPr>
                <w:rFonts w:hint="eastAsia" w:ascii="宋体"/>
                <w:sz w:val="18"/>
                <w:szCs w:val="18"/>
              </w:rPr>
              <w:t>杀螟松乳油</w:t>
            </w:r>
          </w:p>
        </w:tc>
        <w:tc>
          <w:tcPr>
            <w:tcW w:w="1103" w:type="pct"/>
            <w:noWrap w:val="0"/>
            <w:vAlign w:val="center"/>
          </w:tcPr>
          <w:p>
            <w:pPr>
              <w:widowControl/>
              <w:tabs>
                <w:tab w:val="center" w:pos="4201"/>
                <w:tab w:val="right" w:leader="dot" w:pos="9298"/>
              </w:tabs>
              <w:autoSpaceDE w:val="0"/>
              <w:autoSpaceDN w:val="0"/>
              <w:jc w:val="center"/>
              <w:rPr>
                <w:rFonts w:hint="eastAsia" w:ascii="宋体"/>
                <w:sz w:val="18"/>
                <w:szCs w:val="18"/>
              </w:rPr>
            </w:pPr>
            <w:r>
              <w:rPr>
                <w:rFonts w:hint="eastAsia" w:ascii="宋体"/>
                <w:sz w:val="18"/>
                <w:szCs w:val="18"/>
              </w:rPr>
              <w:t>1000倍液</w:t>
            </w:r>
          </w:p>
        </w:tc>
        <w:tc>
          <w:tcPr>
            <w:tcW w:w="657" w:type="pct"/>
            <w:vMerge w:val="continue"/>
            <w:noWrap w:val="0"/>
            <w:vAlign w:val="center"/>
          </w:tcPr>
          <w:p>
            <w:pPr>
              <w:widowControl/>
              <w:tabs>
                <w:tab w:val="center" w:pos="4201"/>
                <w:tab w:val="right" w:leader="dot" w:pos="9298"/>
              </w:tabs>
              <w:autoSpaceDE w:val="0"/>
              <w:autoSpaceDN w:val="0"/>
              <w:jc w:val="center"/>
              <w:rPr>
                <w:rFonts w:hint="eastAsia" w:ascii="宋体"/>
                <w:sz w:val="18"/>
                <w:szCs w:val="18"/>
              </w:rPr>
            </w:pPr>
          </w:p>
        </w:tc>
      </w:tr>
    </w:tbl>
    <w:p>
      <w:pPr>
        <w:pStyle w:val="57"/>
        <w:ind w:left="0" w:leftChars="0" w:firstLine="0" w:firstLineChars="0"/>
        <w:rPr>
          <w:rFonts w:hint="default"/>
          <w:lang w:val="en-US" w:eastAsia="zh-CN"/>
        </w:rPr>
      </w:pPr>
    </w:p>
    <w:p>
      <w:pPr>
        <w:pStyle w:val="105"/>
        <w:numPr>
          <w:ilvl w:val="1"/>
          <w:numId w:val="0"/>
        </w:numPr>
        <w:spacing w:before="240" w:after="240"/>
        <w:ind w:leftChars="0"/>
        <w:rPr>
          <w:rFonts w:hint="eastAsia"/>
          <w:lang w:val="en-US" w:eastAsia="zh-CN"/>
        </w:rPr>
      </w:pPr>
      <w:bookmarkStart w:id="64" w:name="_Toc8624"/>
      <w:r>
        <w:rPr>
          <w:rFonts w:hint="eastAsia"/>
          <w:lang w:val="en-US" w:eastAsia="zh-CN"/>
        </w:rPr>
        <w:t>7  收获及后续管理</w:t>
      </w:r>
      <w:bookmarkEnd w:id="64"/>
    </w:p>
    <w:p>
      <w:pPr>
        <w:pStyle w:val="231"/>
        <w:rPr>
          <w:rFonts w:hint="eastAsia" w:eastAsia="宋体"/>
          <w:lang w:eastAsia="zh-CN"/>
        </w:rPr>
      </w:pPr>
      <w:r>
        <w:rPr>
          <w:rFonts w:hint="eastAsia"/>
          <w:lang w:eastAsia="zh-CN"/>
        </w:rPr>
        <w:t>红粱</w:t>
      </w:r>
      <w:r>
        <w:rPr>
          <w:rFonts w:hint="eastAsia"/>
        </w:rPr>
        <w:t>蜡熟末期，籽粒80</w:t>
      </w:r>
      <w:r>
        <w:rPr>
          <w:rFonts w:hint="eastAsia" w:hAnsi="宋体"/>
        </w:rPr>
        <w:t>％</w:t>
      </w:r>
      <w:r>
        <w:rPr>
          <w:rFonts w:hint="eastAsia"/>
        </w:rPr>
        <w:t>以上变为红褐色时进行收割。从穗子带基部茎杆1.0</w:t>
      </w:r>
      <w:r>
        <w:rPr>
          <w:rFonts w:hint="eastAsia"/>
          <w:lang w:val="en-US" w:eastAsia="zh-CN"/>
        </w:rPr>
        <w:t xml:space="preserve"> </w:t>
      </w:r>
      <w:r>
        <w:rPr>
          <w:rFonts w:hint="eastAsia"/>
        </w:rPr>
        <w:t>cm～2.0</w:t>
      </w:r>
      <w:r>
        <w:rPr>
          <w:rFonts w:hint="eastAsia"/>
          <w:lang w:val="en-US" w:eastAsia="zh-CN"/>
        </w:rPr>
        <w:t xml:space="preserve"> </w:t>
      </w:r>
      <w:r>
        <w:rPr>
          <w:rFonts w:hint="eastAsia"/>
        </w:rPr>
        <w:t>cm处砍下，当日运输到加工场脱粒加工</w:t>
      </w:r>
      <w:r>
        <w:rPr>
          <w:rFonts w:hint="eastAsia"/>
          <w:lang w:eastAsia="zh-CN"/>
        </w:rPr>
        <w:t>。</w:t>
      </w:r>
    </w:p>
    <w:p>
      <w:pPr>
        <w:pStyle w:val="57"/>
        <w:ind w:left="0" w:leftChars="0" w:firstLine="0" w:firstLineChars="0"/>
        <w:rPr>
          <w:rFonts w:hint="eastAsia"/>
          <w:lang w:val="en-US" w:eastAsia="zh-CN"/>
        </w:rPr>
      </w:pPr>
    </w:p>
    <w:bookmarkEnd w:id="20"/>
    <w:p>
      <w:pPr>
        <w:pStyle w:val="199"/>
        <w:rPr>
          <w:vanish w:val="0"/>
        </w:rPr>
      </w:pPr>
      <w:bookmarkStart w:id="65" w:name="BookMark5"/>
    </w:p>
    <w:p>
      <w:pPr>
        <w:pStyle w:val="200"/>
        <w:rPr>
          <w:vanish w:val="0"/>
        </w:rPr>
      </w:pPr>
    </w:p>
    <w:p>
      <w:pPr>
        <w:pStyle w:val="57"/>
        <w:ind w:firstLine="420"/>
      </w:pPr>
    </w:p>
    <w:p>
      <w:pPr>
        <w:pStyle w:val="57"/>
        <w:ind w:firstLine="420"/>
      </w:pPr>
    </w:p>
    <w:bookmarkEnd w:id="65"/>
    <w:p>
      <w:pPr>
        <w:pStyle w:val="57"/>
        <w:ind w:firstLine="0" w:firstLineChars="0"/>
        <w:jc w:val="center"/>
      </w:pPr>
      <w:bookmarkStart w:id="66"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8"/>
                    <a:stretch>
                      <a:fillRect/>
                    </a:stretch>
                  </pic:blipFill>
                  <pic:spPr>
                    <a:xfrm>
                      <a:off x="0" y="0"/>
                      <a:ext cx="1485900" cy="317500"/>
                    </a:xfrm>
                    <a:prstGeom prst="rect">
                      <a:avLst/>
                    </a:prstGeom>
                  </pic:spPr>
                </pic:pic>
              </a:graphicData>
            </a:graphic>
          </wp:inline>
        </w:drawing>
      </w:r>
      <w:bookmarkEnd w:id="66"/>
    </w:p>
    <w:sectPr>
      <w:headerReference r:id="rId21" w:type="default"/>
      <w:footerReference r:id="rId23" w:type="default"/>
      <w:headerReference r:id="rId22" w:type="even"/>
      <w:footerReference r:id="rId24"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firstLine="8820" w:firstLineChars="4900"/>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XXXX—2024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ind w:firstLine="7770" w:firstLineChars="3700"/>
    </w:pPr>
    <w:r>
      <w:fldChar w:fldCharType="begin"/>
    </w:r>
    <w:r>
      <w:instrText xml:space="preserve"> STYLEREF  标准文件_文件编号 \* MERGEFORMAT </w:instrText>
    </w:r>
    <w:r>
      <w:fldChar w:fldCharType="separate"/>
    </w:r>
    <w:r>
      <w:t>T/XXX XXXX—2024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XXXX—2024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23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Y2M5NGY1MGYwODNjNDE1ZDlmNjVjNjQwNzkyOTQifQ=="/>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CEB"/>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27E"/>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79E"/>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0EB2"/>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2064E7"/>
    <w:rsid w:val="09FA4319"/>
    <w:rsid w:val="14B54DBD"/>
    <w:rsid w:val="1F8C2DDE"/>
    <w:rsid w:val="20D416BD"/>
    <w:rsid w:val="21347BEE"/>
    <w:rsid w:val="23B95317"/>
    <w:rsid w:val="23BE7221"/>
    <w:rsid w:val="26BF04D4"/>
    <w:rsid w:val="270D7567"/>
    <w:rsid w:val="279664C8"/>
    <w:rsid w:val="287265EE"/>
    <w:rsid w:val="2CD87815"/>
    <w:rsid w:val="2F2A16D6"/>
    <w:rsid w:val="2FE92467"/>
    <w:rsid w:val="327B59FF"/>
    <w:rsid w:val="36045D4B"/>
    <w:rsid w:val="38BF7DFA"/>
    <w:rsid w:val="3C634ADF"/>
    <w:rsid w:val="3CA371A5"/>
    <w:rsid w:val="3D961652"/>
    <w:rsid w:val="40692863"/>
    <w:rsid w:val="4270787B"/>
    <w:rsid w:val="44530932"/>
    <w:rsid w:val="47F9379F"/>
    <w:rsid w:val="4809056E"/>
    <w:rsid w:val="4E2058BA"/>
    <w:rsid w:val="50452756"/>
    <w:rsid w:val="54C730B0"/>
    <w:rsid w:val="55FB3F60"/>
    <w:rsid w:val="5B5F03A4"/>
    <w:rsid w:val="5C384E7D"/>
    <w:rsid w:val="65EE0CA2"/>
    <w:rsid w:val="68366002"/>
    <w:rsid w:val="696667F6"/>
    <w:rsid w:val="6A9205B0"/>
    <w:rsid w:val="6CB12695"/>
    <w:rsid w:val="6DE73EA1"/>
    <w:rsid w:val="6E8D72AA"/>
    <w:rsid w:val="6ED80BD6"/>
    <w:rsid w:val="7103542A"/>
    <w:rsid w:val="771C7278"/>
    <w:rsid w:val="796C5D0E"/>
    <w:rsid w:val="7A412E99"/>
    <w:rsid w:val="7B3867F0"/>
    <w:rsid w:val="7C26488B"/>
    <w:rsid w:val="7DEC3DBC"/>
    <w:rsid w:val="7FFC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link w:val="87"/>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autoRedefine/>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autoRedefine/>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autoRedefine/>
    <w:qFormat/>
    <w:uiPriority w:val="0"/>
    <w:rPr>
      <w:rFonts w:ascii="Times New Roman" w:hAnsi="Times New Roman" w:eastAsia="宋体" w:cs="Times New Roman"/>
      <w:szCs w:val="20"/>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pPr>
  </w:style>
  <w:style w:type="paragraph" w:customStyle="1" w:styleId="92">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ind w:left="0" w:firstLine="200"/>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Subtle Reference"/>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autoRedefine/>
    <w:semiHidden/>
    <w:qFormat/>
    <w:uiPriority w:val="0"/>
    <w:rPr>
      <w:rFonts w:ascii="宋体" w:hAnsi="Times New Roman" w:eastAsia="宋体" w:cs="Times New Roman"/>
      <w:sz w:val="18"/>
      <w:szCs w:val="18"/>
    </w:rPr>
  </w:style>
  <w:style w:type="paragraph" w:customStyle="1" w:styleId="101">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uiPriority w:val="0"/>
    <w:rPr>
      <w:rFonts w:ascii="黑体" w:eastAsia="黑体"/>
      <w:spacing w:val="85"/>
      <w:w w:val="100"/>
      <w:position w:val="3"/>
      <w:sz w:val="28"/>
      <w:szCs w:val="28"/>
    </w:rPr>
  </w:style>
  <w:style w:type="paragraph" w:customStyle="1" w:styleId="231">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2">
    <w:name w:val="正文表标题"/>
    <w:next w:val="231"/>
    <w:qFormat/>
    <w:uiPriority w:val="99"/>
    <w:pPr>
      <w:numPr>
        <w:ilvl w:val="0"/>
        <w:numId w:val="16"/>
      </w:numPr>
      <w:spacing w:beforeLines="50" w:afterLines="50"/>
      <w:ind w:left="3686"/>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B7675CCFB074D529C391823AC2DAA98"/>
        <w:style w:val=""/>
        <w:category>
          <w:name w:val="常规"/>
          <w:gallery w:val="placeholder"/>
        </w:category>
        <w:types>
          <w:type w:val="bbPlcHdr"/>
        </w:types>
        <w:behaviors>
          <w:behavior w:val="content"/>
        </w:behaviors>
        <w:description w:val=""/>
        <w:guid w:val="{665199BF-9481-4EA0-8F88-948180B5A81C}"/>
      </w:docPartPr>
      <w:docPartBody>
        <w:p>
          <w:pPr>
            <w:pStyle w:val="5"/>
          </w:pPr>
          <w:r>
            <w:rPr>
              <w:rStyle w:val="4"/>
              <w:rFonts w:hint="eastAsia"/>
            </w:rPr>
            <w:t>单击或点击此处输入文字。</w:t>
          </w:r>
        </w:p>
      </w:docPartBody>
    </w:docPart>
    <w:docPart>
      <w:docPartPr>
        <w:name w:val="8C88C206CB2C437BA6AD2F626C67CDAF"/>
        <w:style w:val=""/>
        <w:category>
          <w:name w:val="常规"/>
          <w:gallery w:val="placeholder"/>
        </w:category>
        <w:types>
          <w:type w:val="bbPlcHdr"/>
        </w:types>
        <w:behaviors>
          <w:behavior w:val="content"/>
        </w:behaviors>
        <w:description w:val=""/>
        <w:guid w:val="{DC55CEB2-0EF6-4BFF-ADB3-2A363D0181DB}"/>
      </w:docPartPr>
      <w:docPartBody>
        <w:p>
          <w:pPr>
            <w:pStyle w:val="6"/>
          </w:pPr>
          <w:r>
            <w:rPr>
              <w:rStyle w:val="4"/>
              <w:rFonts w:hint="eastAsia"/>
            </w:rPr>
            <w:t>选择一项。</w:t>
          </w:r>
        </w:p>
      </w:docPartBody>
    </w:docPart>
    <w:docPart>
      <w:docPartPr>
        <w:name w:val="8FB8789C99224FF2851587FDC51794F3"/>
        <w:style w:val=""/>
        <w:category>
          <w:name w:val="常规"/>
          <w:gallery w:val="placeholder"/>
        </w:category>
        <w:types>
          <w:type w:val="bbPlcHdr"/>
        </w:types>
        <w:behaviors>
          <w:behavior w:val="content"/>
        </w:behaviors>
        <w:description w:val=""/>
        <w:guid w:val="{B6BCD1C3-FC3A-44E9-A1EB-483F097C244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2E"/>
    <w:rsid w:val="003F09A1"/>
    <w:rsid w:val="0058092C"/>
    <w:rsid w:val="00A9122E"/>
    <w:rsid w:val="00BD76A1"/>
    <w:rsid w:val="00C24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B7675CCFB074D529C391823AC2DAA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C88C206CB2C437BA6AD2F626C67CDA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FB8789C99224FF2851587FDC51794F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501D6-1E51-4251-A3CE-F78C4709638C}">
  <ds:schemaRefs/>
</ds:datastoreItem>
</file>

<file path=docProps/app.xml><?xml version="1.0" encoding="utf-8"?>
<Properties xmlns="http://schemas.openxmlformats.org/officeDocument/2006/extended-properties" xmlns:vt="http://schemas.openxmlformats.org/officeDocument/2006/docPropsVTypes">
  <Template>团体标准.dotx</Template>
  <Pages>7</Pages>
  <Words>403</Words>
  <Characters>457</Characters>
  <Lines>10</Lines>
  <Paragraphs>2</Paragraphs>
  <TotalTime>0</TotalTime>
  <ScaleCrop>false</ScaleCrop>
  <LinksUpToDate>false</LinksUpToDate>
  <CharactersWithSpaces>496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2021-11-25T07:05:00Z</dcterms:created>
  <dc:creator>陈圳</dc:creator>
  <dc:description>&lt;config cover="true" show_menu="true" version="1.0.0" doctype="SDKXY"&gt;_x000d_
&lt;/config&gt;</dc:description>
  <cp:lastModifiedBy>LJ</cp:lastModifiedBy>
  <dcterms:modified xsi:type="dcterms:W3CDTF">2024-05-16T02:36:49Z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ICV">
    <vt:lpwstr>5906BFE12BCC44BBAB430B193E93C1D3</vt:lpwstr>
  </property>
  <property fmtid="{D5CDD505-2E9C-101B-9397-08002B2CF9AE}" pid="16" name="KSOProductBuildVer">
    <vt:lpwstr>2052-12.1.0.16417</vt:lpwstr>
  </property>
</Properties>
</file>