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rPr>
          <w:rFonts w:hint="eastAsia" w:hAnsi="黑体"/>
          <w:lang w:val="en-US" w:eastAsia="zh-CN"/>
        </w:rPr>
        <w:t>2024</w:t>
      </w:r>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rPr>
          <w:rFonts w:hint="eastAsia" w:eastAsia="黑体"/>
          <w:lang w:eastAsia="zh-CN"/>
        </w:rPr>
      </w:pPr>
      <w:r>
        <w:rPr>
          <w:rFonts w:hint="eastAsia"/>
          <w:lang w:eastAsia="zh-CN"/>
        </w:rPr>
        <w:t>酱香型酿酒糯高粱质量标准</w:t>
      </w:r>
    </w:p>
    <w:p>
      <w:pPr>
        <w:pStyle w:val="126"/>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8"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8"/>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360"/>
      </w:pPr>
      <w:bookmarkStart w:id="17" w:name="BookMark1"/>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_Toc24261 </w:instrText>
      </w:r>
      <w:r>
        <w:fldChar w:fldCharType="separate"/>
      </w:r>
      <w:r>
        <w:rPr>
          <w:rFonts w:hint="eastAsia"/>
          <w:lang w:eastAsia="zh-CN"/>
        </w:rPr>
        <w:t>前</w:t>
      </w:r>
      <w:r>
        <w:t>言</w:t>
      </w:r>
      <w:r>
        <w:tab/>
      </w:r>
      <w:r>
        <w:fldChar w:fldCharType="begin"/>
      </w:r>
      <w:r>
        <w:instrText xml:space="preserve"> PAGEREF _Toc24261 \h </w:instrText>
      </w:r>
      <w:r>
        <w:fldChar w:fldCharType="separate"/>
      </w:r>
      <w:r>
        <w:t>III</w:t>
      </w:r>
      <w:r>
        <w:fldChar w:fldCharType="end"/>
      </w:r>
      <w:r>
        <w:fldChar w:fldCharType="end"/>
      </w:r>
    </w:p>
    <w:p>
      <w:pPr>
        <w:pStyle w:val="20"/>
        <w:tabs>
          <w:tab w:val="right" w:leader="dot" w:pos="9354"/>
        </w:tabs>
      </w:pPr>
      <w:r>
        <w:fldChar w:fldCharType="begin"/>
      </w:r>
      <w:r>
        <w:instrText xml:space="preserve"> HYPERLINK \l _Toc11540 </w:instrText>
      </w:r>
      <w:r>
        <w:fldChar w:fldCharType="separate"/>
      </w:r>
      <w:r>
        <w:rPr>
          <w:rFonts w:hint="eastAsia"/>
        </w:rPr>
        <w:t>1 范围</w:t>
      </w:r>
      <w:r>
        <w:tab/>
      </w:r>
      <w:r>
        <w:fldChar w:fldCharType="begin"/>
      </w:r>
      <w:r>
        <w:instrText xml:space="preserve"> PAGEREF _Toc11540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_Toc9890 </w:instrText>
      </w:r>
      <w:r>
        <w:fldChar w:fldCharType="separate"/>
      </w:r>
      <w:r>
        <w:rPr>
          <w:rFonts w:hint="eastAsia"/>
        </w:rPr>
        <w:t>2 规范性引用文件</w:t>
      </w:r>
      <w:r>
        <w:tab/>
      </w:r>
      <w:r>
        <w:fldChar w:fldCharType="begin"/>
      </w:r>
      <w:r>
        <w:instrText xml:space="preserve"> PAGEREF _Toc9890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_Toc19129 </w:instrText>
      </w:r>
      <w:r>
        <w:fldChar w:fldCharType="separate"/>
      </w:r>
      <w:r>
        <w:rPr>
          <w:rFonts w:hint="eastAsia"/>
          <w:lang w:val="en-US" w:eastAsia="zh-CN"/>
        </w:rPr>
        <w:t xml:space="preserve">3 </w:t>
      </w:r>
      <w:r>
        <w:rPr>
          <w:rFonts w:hint="eastAsia"/>
        </w:rPr>
        <w:t>术语和定义</w:t>
      </w:r>
      <w:r>
        <w:tab/>
      </w:r>
      <w:r>
        <w:fldChar w:fldCharType="begin"/>
      </w:r>
      <w:r>
        <w:instrText xml:space="preserve"> PAGEREF _Toc19129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_Toc12702 </w:instrText>
      </w:r>
      <w:r>
        <w:fldChar w:fldCharType="separate"/>
      </w:r>
      <w:r>
        <w:rPr>
          <w:rFonts w:hint="eastAsia"/>
          <w:lang w:val="en-US" w:eastAsia="zh-CN"/>
        </w:rPr>
        <w:t>4 质量要求和卫生要求</w:t>
      </w:r>
      <w:r>
        <w:tab/>
      </w:r>
      <w:r>
        <w:fldChar w:fldCharType="begin"/>
      </w:r>
      <w:r>
        <w:instrText xml:space="preserve"> PAGEREF _Toc12702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_Toc5386 </w:instrText>
      </w:r>
      <w:r>
        <w:fldChar w:fldCharType="separate"/>
      </w:r>
      <w:r>
        <w:rPr>
          <w:rFonts w:hint="eastAsia"/>
          <w:lang w:val="en-US" w:eastAsia="zh-CN"/>
        </w:rPr>
        <w:t>5 检验方法</w:t>
      </w:r>
      <w:r>
        <w:tab/>
      </w:r>
      <w:r>
        <w:fldChar w:fldCharType="begin"/>
      </w:r>
      <w:r>
        <w:instrText xml:space="preserve"> PAGEREF _Toc5386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_Toc17270 </w:instrText>
      </w:r>
      <w:r>
        <w:fldChar w:fldCharType="separate"/>
      </w:r>
      <w:r>
        <w:rPr>
          <w:rFonts w:hint="eastAsia"/>
          <w:lang w:val="en-US" w:eastAsia="zh-CN"/>
        </w:rPr>
        <w:t>6 包装</w:t>
      </w:r>
      <w:r>
        <w:tab/>
      </w:r>
      <w:r>
        <w:fldChar w:fldCharType="begin"/>
      </w:r>
      <w:r>
        <w:instrText xml:space="preserve"> PAGEREF _Toc17270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_Toc22890 </w:instrText>
      </w:r>
      <w:r>
        <w:fldChar w:fldCharType="separate"/>
      </w:r>
      <w:r>
        <w:rPr>
          <w:rFonts w:hint="eastAsia"/>
          <w:lang w:val="en-US" w:eastAsia="zh-CN"/>
        </w:rPr>
        <w:t>7 运输和储存</w:t>
      </w:r>
      <w:r>
        <w:tab/>
      </w:r>
      <w:r>
        <w:fldChar w:fldCharType="begin"/>
      </w:r>
      <w:r>
        <w:instrText xml:space="preserve"> PAGEREF _Toc22890 \h </w:instrText>
      </w:r>
      <w:r>
        <w:fldChar w:fldCharType="separate"/>
      </w:r>
      <w:r>
        <w:t>3</w:t>
      </w:r>
      <w:r>
        <w:fldChar w:fldCharType="end"/>
      </w:r>
      <w:r>
        <w:fldChar w:fldCharType="end"/>
      </w:r>
    </w:p>
    <w:p>
      <w:pPr>
        <w:pStyle w:val="20"/>
        <w:tabs>
          <w:tab w:val="right" w:leader="dot" w:pos="9354"/>
        </w:tabs>
        <w:sectPr>
          <w:headerReference r:id="rId9" w:type="default"/>
          <w:footerReference r:id="rId11" w:type="default"/>
          <w:headerReference r:id="rId10" w:type="even"/>
          <w:foot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fldChar w:fldCharType="end"/>
      </w:r>
    </w:p>
    <w:bookmarkEnd w:id="17"/>
    <w:p>
      <w:pPr>
        <w:pStyle w:val="90"/>
        <w:spacing w:after="360"/>
      </w:pPr>
      <w:bookmarkStart w:id="18" w:name="_Toc24261"/>
      <w:bookmarkStart w:id="19" w:name="BookMark2"/>
      <w:r>
        <w:rPr>
          <w:spacing w:val="320"/>
        </w:rPr>
        <w:t>前</w:t>
      </w:r>
      <w:r>
        <w:t>言</w:t>
      </w:r>
      <w:bookmarkEnd w:id="18"/>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w:t>
      </w:r>
      <w:r>
        <w:rPr>
          <w:rFonts w:hint="eastAsia"/>
          <w:lang w:eastAsia="zh-CN"/>
        </w:rPr>
        <w:t>古蔺县红粱种植协会</w:t>
      </w:r>
      <w:r>
        <w:rPr>
          <w:rFonts w:hint="eastAsia"/>
        </w:rPr>
        <w:t>提出。</w:t>
      </w:r>
    </w:p>
    <w:p>
      <w:pPr>
        <w:pStyle w:val="57"/>
        <w:ind w:firstLine="420"/>
      </w:pPr>
      <w:r>
        <w:rPr>
          <w:rFonts w:hint="eastAsia"/>
        </w:rPr>
        <w:t>本文件由××××归口。</w:t>
      </w:r>
    </w:p>
    <w:p>
      <w:pPr>
        <w:pStyle w:val="57"/>
        <w:ind w:firstLine="420"/>
        <w:rPr>
          <w:rFonts w:hint="eastAsia" w:eastAsia="宋体"/>
          <w:lang w:eastAsia="zh-CN"/>
        </w:rPr>
      </w:pPr>
      <w:r>
        <w:rPr>
          <w:rFonts w:hint="eastAsia"/>
        </w:rPr>
        <w:t>本文件起草单位：</w:t>
      </w:r>
      <w:r>
        <w:rPr>
          <w:rFonts w:hint="eastAsia"/>
          <w:lang w:eastAsia="zh-CN"/>
        </w:rPr>
        <w:t>古蔺县红粱种植协会。</w:t>
      </w:r>
    </w:p>
    <w:p>
      <w:pPr>
        <w:pStyle w:val="57"/>
        <w:ind w:firstLine="420"/>
        <w:rPr>
          <w:rFonts w:hint="default" w:eastAsia="宋体"/>
          <w:lang w:val="en-US" w:eastAsia="zh-CN"/>
        </w:rPr>
      </w:pPr>
      <w:r>
        <w:rPr>
          <w:rFonts w:hint="eastAsia"/>
        </w:rPr>
        <w:t>本文件主要起草人：</w:t>
      </w:r>
      <w:r>
        <w:rPr>
          <w:rFonts w:hint="eastAsia"/>
          <w:lang w:val="en-US" w:eastAsia="zh-CN"/>
        </w:rPr>
        <w:t>***、***、***。</w:t>
      </w:r>
    </w:p>
    <w:p>
      <w:pPr>
        <w:pStyle w:val="57"/>
        <w:ind w:firstLine="420"/>
      </w:pPr>
    </w:p>
    <w:p>
      <w:pPr>
        <w:pStyle w:val="57"/>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3"/>
          <w:cols w:space="425" w:num="1"/>
          <w:formProt w:val="0"/>
          <w:docGrid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7B7675CCFB074D529C391823AC2DAA98"/>
        </w:placeholder>
      </w:sdtPr>
      <w:sdtEndPr>
        <w:rPr>
          <w:rFonts w:hint="eastAsia"/>
        </w:rPr>
      </w:sdtEndPr>
      <w:sdtContent>
        <w:p>
          <w:pPr>
            <w:pStyle w:val="178"/>
            <w:spacing w:after="528" w:afterLines="220"/>
          </w:pPr>
          <w:bookmarkStart w:id="21" w:name="NEW_STAND_NAME"/>
          <w:r>
            <w:rPr>
              <w:rFonts w:hint="eastAsia"/>
              <w:lang w:eastAsia="zh-CN"/>
            </w:rPr>
            <w:t>酱香型酿酒糯高粱质量标准</w:t>
          </w:r>
        </w:p>
      </w:sdtContent>
    </w:sdt>
    <w:bookmarkEnd w:id="21"/>
    <w:p>
      <w:pPr>
        <w:pStyle w:val="105"/>
        <w:spacing w:before="240" w:after="240"/>
      </w:pPr>
      <w:bookmarkStart w:id="22" w:name="_Toc26986530"/>
      <w:bookmarkStart w:id="23" w:name="_Toc17233333"/>
      <w:bookmarkStart w:id="24" w:name="_Toc24884211"/>
      <w:bookmarkStart w:id="25" w:name="_Toc26718930"/>
      <w:bookmarkStart w:id="26" w:name="_Toc24884218"/>
      <w:bookmarkStart w:id="27" w:name="_Toc26648465"/>
      <w:bookmarkStart w:id="28" w:name="_Toc17233325"/>
      <w:bookmarkStart w:id="29" w:name="_Toc11540"/>
      <w:bookmarkStart w:id="30" w:name="_Toc26986771"/>
      <w:r>
        <w:rPr>
          <w:rFonts w:hint="eastAsia"/>
        </w:rPr>
        <w:t>范围</w:t>
      </w:r>
      <w:bookmarkEnd w:id="22"/>
      <w:bookmarkEnd w:id="23"/>
      <w:bookmarkEnd w:id="24"/>
      <w:bookmarkEnd w:id="25"/>
      <w:bookmarkEnd w:id="26"/>
      <w:bookmarkEnd w:id="27"/>
      <w:bookmarkEnd w:id="28"/>
      <w:bookmarkEnd w:id="29"/>
      <w:bookmarkEnd w:id="30"/>
    </w:p>
    <w:p>
      <w:pPr>
        <w:pStyle w:val="57"/>
        <w:ind w:firstLine="420"/>
        <w:rPr>
          <w:rFonts w:hint="eastAsia"/>
          <w:color w:val="auto"/>
          <w:lang w:eastAsia="zh-CN"/>
        </w:rPr>
      </w:pPr>
      <w:bookmarkStart w:id="31" w:name="_Toc24884219"/>
      <w:bookmarkStart w:id="32" w:name="_Toc24884212"/>
      <w:bookmarkStart w:id="33" w:name="_Toc26648466"/>
      <w:bookmarkStart w:id="34" w:name="_Toc17233334"/>
      <w:bookmarkStart w:id="35" w:name="_Toc17233326"/>
      <w:r>
        <w:rPr>
          <w:rFonts w:hint="eastAsia"/>
          <w:color w:val="auto"/>
          <w:lang w:eastAsia="zh-CN"/>
        </w:rPr>
        <w:t>本文件规定了酱香型酿酒糯高粱的质量要求和卫生要求、检验方法、包装、运输和储存。</w:t>
      </w:r>
    </w:p>
    <w:p>
      <w:pPr>
        <w:pStyle w:val="57"/>
        <w:ind w:firstLine="420"/>
        <w:rPr>
          <w:rFonts w:hint="default"/>
          <w:color w:val="auto"/>
          <w:lang w:val="en-US" w:eastAsia="zh-CN"/>
        </w:rPr>
      </w:pPr>
      <w:r>
        <w:rPr>
          <w:rFonts w:hint="eastAsia"/>
          <w:color w:val="auto"/>
          <w:lang w:eastAsia="zh-CN"/>
        </w:rPr>
        <w:t>本标准适用于古蔺县行政范围内的酱香型酿酒糯高粱质量评价。</w:t>
      </w:r>
    </w:p>
    <w:p>
      <w:pPr>
        <w:pStyle w:val="105"/>
        <w:spacing w:before="240" w:after="240"/>
      </w:pPr>
      <w:bookmarkStart w:id="36" w:name="_Toc9890"/>
      <w:bookmarkStart w:id="37" w:name="_Toc26986772"/>
      <w:bookmarkStart w:id="38" w:name="_Toc26718931"/>
      <w:bookmarkStart w:id="39" w:name="_Toc269865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8C88C206CB2C437BA6AD2F626C67CD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rPr>
          <w:rFonts w:hint="eastAsia"/>
          <w:vertAlign w:val="baseline"/>
        </w:rPr>
      </w:pPr>
      <w:r>
        <w:rPr>
          <w:rFonts w:hint="eastAsia" w:ascii="宋体" w:hAnsi="Times New Roman" w:eastAsia="宋体" w:cs="Times New Roman"/>
          <w:color w:val="auto"/>
          <w:sz w:val="21"/>
          <w:lang w:val="en-US" w:eastAsia="zh-CN" w:bidi="ar-SA"/>
        </w:rPr>
        <w:t>GB/T 17109 粮食销售包装</w:t>
      </w:r>
    </w:p>
    <w:p>
      <w:pPr>
        <w:pStyle w:val="57"/>
        <w:rPr>
          <w:rFonts w:hint="eastAsia"/>
          <w:vertAlign w:val="baseline"/>
        </w:rPr>
      </w:pPr>
      <w:r>
        <w:rPr>
          <w:rFonts w:hint="eastAsia" w:ascii="宋体" w:hAnsi="宋体" w:eastAsia="宋体" w:cs="宋体"/>
        </w:rPr>
        <w:t>GB 23200.9</w:t>
      </w:r>
      <w:r>
        <w:rPr>
          <w:rFonts w:hint="eastAsia" w:ascii="宋体" w:hAnsi="宋体" w:cs="宋体"/>
          <w:lang w:val="en-US" w:eastAsia="zh-CN"/>
        </w:rPr>
        <w:t xml:space="preserve"> </w:t>
      </w:r>
      <w:r>
        <w:rPr>
          <w:rFonts w:hint="eastAsia"/>
          <w:vertAlign w:val="baseline"/>
        </w:rPr>
        <w:t>食品安全国家标准粮谷中</w:t>
      </w:r>
      <w:r>
        <w:rPr>
          <w:rFonts w:hint="eastAsia" w:ascii="宋体" w:hAnsi="宋体" w:eastAsia="宋体" w:cs="宋体"/>
          <w:vertAlign w:val="baseline"/>
        </w:rPr>
        <w:t>475</w:t>
      </w:r>
      <w:r>
        <w:rPr>
          <w:rFonts w:hint="eastAsia"/>
          <w:vertAlign w:val="baseline"/>
        </w:rPr>
        <w:t>种农药及相关化学品残留量的测定气相色谱</w:t>
      </w:r>
      <w:r>
        <w:rPr>
          <w:rFonts w:hint="eastAsia"/>
          <w:vertAlign w:val="baseline"/>
          <w:lang w:eastAsia="zh-CN"/>
        </w:rPr>
        <w:t>—</w:t>
      </w:r>
      <w:r>
        <w:rPr>
          <w:rFonts w:hint="eastAsia"/>
          <w:vertAlign w:val="baseline"/>
        </w:rPr>
        <w:t>质谱法</w:t>
      </w:r>
    </w:p>
    <w:p>
      <w:pPr>
        <w:pStyle w:val="105"/>
        <w:numPr>
          <w:ilvl w:val="1"/>
          <w:numId w:val="0"/>
        </w:numPr>
        <w:spacing w:before="240" w:after="240"/>
        <w:ind w:leftChars="0"/>
      </w:pPr>
      <w:bookmarkStart w:id="40" w:name="_Toc19129"/>
      <w:r>
        <w:rPr>
          <w:rFonts w:hint="eastAsia"/>
          <w:szCs w:val="21"/>
          <w:lang w:val="en-US" w:eastAsia="zh-CN"/>
        </w:rPr>
        <w:t xml:space="preserve">3  </w:t>
      </w:r>
      <w:r>
        <w:rPr>
          <w:rFonts w:hint="eastAsia"/>
          <w:szCs w:val="21"/>
        </w:rPr>
        <w:t>术语和定义</w:t>
      </w:r>
      <w:bookmarkEnd w:id="40"/>
    </w:p>
    <w:sdt>
      <w:sdtPr>
        <w:id w:val="-1909835108"/>
        <w:placeholder>
          <w:docPart w:val="8FB8789C99224FF2851587FDC51794F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1" w:name="_Toc26986532"/>
          <w:bookmarkEnd w:id="41"/>
          <w:r>
            <w:rPr>
              <w:rFonts w:ascii="宋体" w:hAnsi="Times New Roman" w:eastAsia="宋体" w:cs="Times New Roman"/>
              <w:sz w:val="21"/>
              <w:lang w:val="en-US" w:eastAsia="zh-CN" w:bidi="ar-SA"/>
            </w:rPr>
            <w:t>本文件没有需要界定的术语和定义。</w:t>
          </w:r>
        </w:p>
      </w:sdtContent>
    </w:sdt>
    <w:p>
      <w:pPr>
        <w:pStyle w:val="105"/>
        <w:numPr>
          <w:ilvl w:val="1"/>
          <w:numId w:val="0"/>
        </w:numPr>
        <w:spacing w:before="240" w:after="240"/>
        <w:ind w:leftChars="0"/>
        <w:rPr>
          <w:rFonts w:hint="default"/>
          <w:lang w:val="en-US"/>
        </w:rPr>
      </w:pPr>
      <w:bookmarkStart w:id="42" w:name="_Toc12702"/>
      <w:r>
        <w:rPr>
          <w:rFonts w:hint="eastAsia"/>
          <w:lang w:val="en-US" w:eastAsia="zh-CN"/>
        </w:rPr>
        <w:t>4  质量要求和卫生要求</w:t>
      </w:r>
      <w:bookmarkEnd w:id="42"/>
    </w:p>
    <w:p>
      <w:pPr>
        <w:pStyle w:val="106"/>
        <w:numPr>
          <w:ilvl w:val="2"/>
          <w:numId w:val="0"/>
        </w:numPr>
        <w:spacing w:before="120" w:after="120"/>
        <w:ind w:leftChars="0"/>
        <w:rPr>
          <w:rFonts w:hint="eastAsia"/>
          <w:lang w:val="en-US" w:eastAsia="zh-CN"/>
        </w:rPr>
      </w:pPr>
      <w:bookmarkStart w:id="43" w:name="_Toc13095"/>
      <w:r>
        <w:rPr>
          <w:rFonts w:hint="eastAsia"/>
          <w:lang w:val="en-US" w:eastAsia="zh-CN"/>
        </w:rPr>
        <w:t>4.1 质量要求</w:t>
      </w:r>
    </w:p>
    <w:p>
      <w:pPr>
        <w:pStyle w:val="106"/>
        <w:numPr>
          <w:ilvl w:val="2"/>
          <w:numId w:val="0"/>
        </w:numPr>
        <w:spacing w:before="120" w:after="120"/>
        <w:ind w:leftChars="0"/>
        <w:rPr>
          <w:rFonts w:hint="default"/>
          <w:lang w:val="en-US"/>
        </w:rPr>
      </w:pPr>
      <w:r>
        <w:rPr>
          <w:rFonts w:hint="eastAsia"/>
          <w:lang w:val="en-US" w:eastAsia="zh-CN"/>
        </w:rPr>
        <w:t>4.1.1 感官指标</w:t>
      </w:r>
      <w:bookmarkEnd w:id="43"/>
    </w:p>
    <w:p>
      <w:pPr>
        <w:pStyle w:val="231"/>
        <w:rPr>
          <w:rFonts w:hint="eastAsia"/>
          <w:highlight w:val="none"/>
          <w:lang w:eastAsia="zh-CN"/>
        </w:rPr>
      </w:pPr>
      <w:r>
        <w:rPr>
          <w:rFonts w:hint="eastAsia"/>
          <w:highlight w:val="none"/>
          <w:lang w:val="en-US" w:eastAsia="zh-CN"/>
        </w:rPr>
        <w:t>酱香型酿酒糯高粱感官指标应符合表1的要求</w:t>
      </w:r>
      <w:r>
        <w:rPr>
          <w:rFonts w:hint="eastAsia"/>
          <w:highlight w:val="none"/>
          <w:lang w:eastAsia="zh-CN"/>
        </w:rPr>
        <w:t>。</w:t>
      </w:r>
    </w:p>
    <w:p>
      <w:pPr>
        <w:pStyle w:val="232"/>
        <w:numPr>
          <w:ilvl w:val="0"/>
          <w:numId w:val="0"/>
        </w:numPr>
        <w:spacing w:before="156" w:after="156"/>
        <w:rPr>
          <w:rFonts w:hint="eastAsia" w:ascii="宋体" w:hAnsi="宋体" w:eastAsia="宋体"/>
        </w:rPr>
      </w:pPr>
      <w:r>
        <w:rPr>
          <w:rFonts w:hint="eastAsia"/>
        </w:rPr>
        <w:t>表1</w:t>
      </w:r>
      <w:r>
        <w:rPr>
          <w:rFonts w:hint="eastAsia"/>
          <w:lang w:val="en-US" w:eastAsia="zh-CN"/>
        </w:rPr>
        <w:t xml:space="preserve"> </w:t>
      </w:r>
      <w:r>
        <w:rPr>
          <w:rFonts w:hint="eastAsia"/>
        </w:rPr>
        <w:t>酱香型酿酒糯高粱感官指标要求</w:t>
      </w:r>
    </w:p>
    <w:tbl>
      <w:tblPr>
        <w:tblStyle w:val="27"/>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30"/>
        <w:gridCol w:w="8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730" w:type="dxa"/>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宋体"/>
                <w:sz w:val="18"/>
                <w:szCs w:val="18"/>
              </w:rPr>
            </w:pPr>
            <w:r>
              <w:rPr>
                <w:rFonts w:hint="eastAsia"/>
                <w:sz w:val="18"/>
                <w:szCs w:val="18"/>
              </w:rPr>
              <w:t>项目</w:t>
            </w:r>
          </w:p>
        </w:tc>
        <w:tc>
          <w:tcPr>
            <w:tcW w:w="8645"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宋体"/>
                <w:sz w:val="18"/>
                <w:szCs w:val="18"/>
              </w:rPr>
            </w:pPr>
            <w:r>
              <w:rPr>
                <w:rFonts w:hint="eastAsia"/>
                <w:sz w:val="18"/>
                <w:szCs w:val="18"/>
                <w:vertAlign w:val="baseline"/>
                <w:lang w:eastAsia="zh-CN"/>
              </w:rPr>
              <w:t>指标要求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宋体"/>
                <w:sz w:val="18"/>
                <w:szCs w:val="18"/>
              </w:rPr>
            </w:pPr>
            <w:r>
              <w:rPr>
                <w:rFonts w:hint="eastAsia"/>
                <w:sz w:val="18"/>
                <w:szCs w:val="18"/>
              </w:rPr>
              <w:t>色泽</w:t>
            </w:r>
          </w:p>
        </w:tc>
        <w:tc>
          <w:tcPr>
            <w:tcW w:w="8645"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Calibri" w:eastAsia="宋体"/>
                <w:sz w:val="18"/>
                <w:szCs w:val="18"/>
                <w:lang w:eastAsia="zh-CN"/>
              </w:rPr>
            </w:pPr>
            <w:r>
              <w:rPr>
                <w:rFonts w:hint="eastAsia"/>
                <w:sz w:val="18"/>
                <w:szCs w:val="18"/>
                <w:vertAlign w:val="baseline"/>
              </w:rPr>
              <w:t>具有高粱固有的色泽，光泽好，一般为暗红色、深褐色、褐紫色:蒸煮后保持原有的红色和光泽</w:t>
            </w:r>
            <w:r>
              <w:rPr>
                <w:rFonts w:hint="eastAsia"/>
                <w:sz w:val="18"/>
                <w:szCs w:val="18"/>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宋体"/>
                <w:sz w:val="18"/>
                <w:szCs w:val="18"/>
              </w:rPr>
            </w:pPr>
            <w:r>
              <w:rPr>
                <w:rFonts w:hint="eastAsia"/>
                <w:sz w:val="18"/>
                <w:szCs w:val="18"/>
              </w:rPr>
              <w:t>气味</w:t>
            </w:r>
          </w:p>
        </w:tc>
        <w:tc>
          <w:tcPr>
            <w:tcW w:w="8645"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Calibri" w:eastAsia="宋体"/>
                <w:sz w:val="18"/>
                <w:szCs w:val="18"/>
                <w:lang w:eastAsia="zh-CN"/>
              </w:rPr>
            </w:pPr>
            <w:r>
              <w:rPr>
                <w:rFonts w:hint="eastAsia"/>
                <w:sz w:val="18"/>
                <w:szCs w:val="18"/>
                <w:vertAlign w:val="baseline"/>
              </w:rPr>
              <w:t>具有本晶固有的植物香味，无异杂味，蒸煮后粮香味浓郁</w:t>
            </w:r>
            <w:r>
              <w:rPr>
                <w:rFonts w:hint="eastAsia"/>
                <w:sz w:val="18"/>
                <w:szCs w:val="18"/>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宋体"/>
                <w:sz w:val="18"/>
                <w:szCs w:val="18"/>
              </w:rPr>
            </w:pPr>
            <w:r>
              <w:rPr>
                <w:rFonts w:hint="eastAsia"/>
                <w:sz w:val="18"/>
                <w:szCs w:val="18"/>
              </w:rPr>
              <w:t>形态</w:t>
            </w:r>
          </w:p>
        </w:tc>
        <w:tc>
          <w:tcPr>
            <w:tcW w:w="8645" w:type="dxa"/>
            <w:noWrap w:val="0"/>
            <w:vAlign w:val="top"/>
          </w:tcPr>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eastAsia="宋体"/>
                <w:sz w:val="18"/>
                <w:szCs w:val="18"/>
                <w:lang w:eastAsia="zh-CN"/>
              </w:rPr>
            </w:pPr>
            <w:r>
              <w:rPr>
                <w:rFonts w:hint="eastAsia"/>
                <w:sz w:val="18"/>
                <w:szCs w:val="18"/>
                <w:vertAlign w:val="baseline"/>
              </w:rPr>
              <w:t>籽粒饱满、完整，均匀一致，质地紧密，粒小皮厚，卵圆形，断面质地紧密，呈玻璃质状，蒸煮冷却后裂口颗粒的数量小于20%，糯性好，粘连性强</w:t>
            </w:r>
            <w:r>
              <w:rPr>
                <w:rFonts w:hint="eastAsia"/>
                <w:sz w:val="18"/>
                <w:szCs w:val="18"/>
                <w:vertAlign w:val="baseline"/>
                <w:lang w:eastAsia="zh-CN"/>
              </w:rPr>
              <w:t>。</w:t>
            </w:r>
          </w:p>
        </w:tc>
      </w:tr>
    </w:tbl>
    <w:p>
      <w:pPr>
        <w:pStyle w:val="231"/>
        <w:rPr>
          <w:rFonts w:hint="default"/>
          <w:highlight w:val="none"/>
          <w:lang w:val="en-US" w:eastAsia="zh-CN"/>
        </w:rPr>
      </w:pPr>
    </w:p>
    <w:p>
      <w:pPr>
        <w:pStyle w:val="106"/>
        <w:numPr>
          <w:ilvl w:val="2"/>
          <w:numId w:val="0"/>
        </w:numPr>
        <w:spacing w:before="120" w:after="120"/>
        <w:ind w:leftChars="0"/>
        <w:rPr>
          <w:rFonts w:hint="eastAsia"/>
          <w:color w:val="FF0000"/>
          <w:lang w:val="en-US" w:eastAsia="zh-CN"/>
        </w:rPr>
      </w:pPr>
      <w:bookmarkStart w:id="44" w:name="_Toc15573"/>
      <w:r>
        <w:rPr>
          <w:rFonts w:hint="eastAsia"/>
          <w:lang w:val="en-US" w:eastAsia="zh-CN"/>
        </w:rPr>
        <w:t>4.1.2 理化指标</w:t>
      </w:r>
      <w:bookmarkEnd w:id="44"/>
    </w:p>
    <w:p>
      <w:pPr>
        <w:pStyle w:val="231"/>
        <w:rPr>
          <w:rFonts w:hint="eastAsia"/>
          <w:color w:val="auto"/>
        </w:rPr>
      </w:pPr>
      <w:r>
        <w:rPr>
          <w:rFonts w:hint="eastAsia"/>
          <w:color w:val="auto"/>
        </w:rPr>
        <w:t>酱香型酿酒糯高粱理化指标应符合表2的要求。</w:t>
      </w:r>
    </w:p>
    <w:p>
      <w:pPr>
        <w:pStyle w:val="232"/>
        <w:numPr>
          <w:ilvl w:val="0"/>
          <w:numId w:val="0"/>
        </w:numPr>
        <w:spacing w:before="156" w:after="156"/>
        <w:rPr>
          <w:rFonts w:hint="eastAsia"/>
        </w:rPr>
        <w:sectPr>
          <w:headerReference r:id="rId17" w:type="default"/>
          <w:footerReference r:id="rId19" w:type="default"/>
          <w:headerReference r:id="rId18" w:type="even"/>
          <w:footerReference r:id="rId20" w:type="even"/>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p>
      <w:pPr>
        <w:pStyle w:val="232"/>
        <w:numPr>
          <w:ilvl w:val="0"/>
          <w:numId w:val="0"/>
        </w:numPr>
        <w:spacing w:before="156" w:after="156"/>
        <w:rPr>
          <w:rFonts w:hint="eastAsia"/>
        </w:rPr>
      </w:pPr>
      <w:r>
        <w:rPr>
          <w:rFonts w:hint="eastAsia"/>
        </w:rPr>
        <w:t>表</w:t>
      </w:r>
      <w:r>
        <w:rPr>
          <w:rFonts w:hint="eastAsia"/>
          <w:lang w:val="en-US" w:eastAsia="zh-CN"/>
        </w:rPr>
        <w:t xml:space="preserve">2 </w:t>
      </w:r>
      <w:r>
        <w:rPr>
          <w:rFonts w:hint="eastAsia"/>
        </w:rPr>
        <w:t>酱香型酿酒糯高粱理化指标要求</w:t>
      </w:r>
    </w:p>
    <w:tbl>
      <w:tblPr>
        <w:tblStyle w:val="27"/>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906"/>
        <w:gridCol w:w="3883"/>
        <w:gridCol w:w="1359"/>
        <w:gridCol w:w="1669"/>
        <w:gridCol w:w="15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906" w:type="dxa"/>
            <w:tcBorders>
              <w:top w:val="single" w:color="auto" w:sz="12" w:space="0"/>
              <w:bottom w:val="single" w:color="auto" w:sz="12" w:space="0"/>
            </w:tcBorders>
            <w:noWrap w:val="0"/>
            <w:vAlign w:val="center"/>
          </w:tcPr>
          <w:p>
            <w:pPr>
              <w:jc w:val="center"/>
              <w:rPr>
                <w:rFonts w:ascii="宋体"/>
                <w:sz w:val="18"/>
                <w:szCs w:val="18"/>
              </w:rPr>
            </w:pPr>
            <w:r>
              <w:rPr>
                <w:rFonts w:hint="eastAsia"/>
                <w:sz w:val="18"/>
                <w:szCs w:val="18"/>
                <w:vertAlign w:val="baseline"/>
              </w:rPr>
              <w:t>指标类别</w:t>
            </w:r>
          </w:p>
        </w:tc>
        <w:tc>
          <w:tcPr>
            <w:tcW w:w="3883" w:type="dxa"/>
            <w:tcBorders>
              <w:top w:val="single" w:color="auto" w:sz="12" w:space="0"/>
              <w:bottom w:val="single" w:color="auto" w:sz="12" w:space="0"/>
            </w:tcBorders>
            <w:noWrap w:val="0"/>
            <w:vAlign w:val="center"/>
          </w:tcPr>
          <w:p>
            <w:pPr>
              <w:jc w:val="center"/>
              <w:rPr>
                <w:rFonts w:ascii="宋体"/>
                <w:sz w:val="18"/>
                <w:szCs w:val="18"/>
              </w:rPr>
            </w:pPr>
            <w:r>
              <w:rPr>
                <w:rFonts w:hint="eastAsia"/>
                <w:sz w:val="18"/>
                <w:szCs w:val="18"/>
                <w:vertAlign w:val="baseline"/>
              </w:rPr>
              <w:t>项目</w:t>
            </w:r>
          </w:p>
        </w:tc>
        <w:tc>
          <w:tcPr>
            <w:tcW w:w="1359" w:type="dxa"/>
            <w:tcBorders>
              <w:top w:val="single" w:color="auto" w:sz="12" w:space="0"/>
              <w:bottom w:val="single" w:color="auto" w:sz="12" w:space="0"/>
            </w:tcBorders>
            <w:noWrap w:val="0"/>
            <w:vAlign w:val="center"/>
          </w:tcPr>
          <w:p>
            <w:pPr>
              <w:jc w:val="center"/>
              <w:rPr>
                <w:rFonts w:hint="eastAsia"/>
                <w:sz w:val="18"/>
                <w:szCs w:val="18"/>
                <w:vertAlign w:val="baseline"/>
                <w:lang w:eastAsia="zh-CN"/>
              </w:rPr>
            </w:pPr>
            <w:r>
              <w:rPr>
                <w:rFonts w:hint="eastAsia"/>
                <w:sz w:val="18"/>
                <w:szCs w:val="18"/>
                <w:vertAlign w:val="baseline"/>
              </w:rPr>
              <w:t>指标要求</w:t>
            </w:r>
          </w:p>
        </w:tc>
        <w:tc>
          <w:tcPr>
            <w:tcW w:w="1669" w:type="dxa"/>
            <w:tcBorders>
              <w:top w:val="single" w:color="auto" w:sz="12" w:space="0"/>
              <w:bottom w:val="single" w:color="auto" w:sz="12" w:space="0"/>
            </w:tcBorders>
            <w:noWrap w:val="0"/>
            <w:vAlign w:val="center"/>
          </w:tcPr>
          <w:p>
            <w:pPr>
              <w:jc w:val="center"/>
              <w:rPr>
                <w:rFonts w:hint="eastAsia"/>
                <w:sz w:val="18"/>
                <w:szCs w:val="18"/>
                <w:vertAlign w:val="baseline"/>
                <w:lang w:eastAsia="zh-CN"/>
              </w:rPr>
            </w:pPr>
            <w:r>
              <w:rPr>
                <w:rFonts w:hint="eastAsia"/>
                <w:sz w:val="18"/>
                <w:szCs w:val="18"/>
                <w:vertAlign w:val="baseline"/>
              </w:rPr>
              <w:t>项目</w:t>
            </w:r>
          </w:p>
        </w:tc>
        <w:tc>
          <w:tcPr>
            <w:tcW w:w="1558" w:type="dxa"/>
            <w:tcBorders>
              <w:top w:val="single" w:color="auto" w:sz="12" w:space="0"/>
              <w:bottom w:val="single" w:color="auto" w:sz="12" w:space="0"/>
            </w:tcBorders>
            <w:noWrap w:val="0"/>
            <w:vAlign w:val="center"/>
          </w:tcPr>
          <w:p>
            <w:pPr>
              <w:jc w:val="center"/>
              <w:rPr>
                <w:rFonts w:hint="eastAsia"/>
                <w:sz w:val="18"/>
                <w:szCs w:val="18"/>
                <w:vertAlign w:val="baseline"/>
                <w:lang w:eastAsia="zh-CN"/>
              </w:rPr>
            </w:pPr>
            <w:r>
              <w:rPr>
                <w:rFonts w:hint="eastAsia"/>
                <w:sz w:val="18"/>
                <w:szCs w:val="18"/>
                <w:vertAlign w:val="baseline"/>
              </w:rPr>
              <w:t>指标要求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68" w:hRule="atLeast"/>
        </w:trPr>
        <w:tc>
          <w:tcPr>
            <w:tcW w:w="906" w:type="dxa"/>
            <w:vMerge w:val="restart"/>
            <w:tcBorders>
              <w:top w:val="single" w:color="auto" w:sz="4" w:space="0"/>
            </w:tcBorders>
            <w:noWrap w:val="0"/>
            <w:vAlign w:val="center"/>
          </w:tcPr>
          <w:p>
            <w:pPr>
              <w:jc w:val="center"/>
              <w:rPr>
                <w:rFonts w:ascii="宋体"/>
                <w:sz w:val="18"/>
                <w:szCs w:val="18"/>
              </w:rPr>
            </w:pPr>
            <w:r>
              <w:rPr>
                <w:rFonts w:hint="eastAsia"/>
                <w:sz w:val="18"/>
                <w:szCs w:val="18"/>
                <w:vertAlign w:val="baseline"/>
              </w:rPr>
              <w:t>准入指标</w:t>
            </w:r>
          </w:p>
        </w:tc>
        <w:tc>
          <w:tcPr>
            <w:tcW w:w="3883" w:type="dxa"/>
            <w:tcBorders>
              <w:top w:val="single" w:color="auto" w:sz="4" w:space="0"/>
            </w:tcBorders>
            <w:noWrap w:val="0"/>
            <w:vAlign w:val="top"/>
          </w:tcPr>
          <w:p>
            <w:pPr>
              <w:rPr>
                <w:rFonts w:hint="eastAsia" w:ascii="宋体" w:hAnsi="宋体" w:eastAsia="宋体" w:cs="宋体"/>
                <w:sz w:val="18"/>
                <w:szCs w:val="18"/>
                <w:lang w:eastAsia="zh-CN"/>
              </w:rPr>
            </w:pPr>
            <w:r>
              <w:rPr>
                <w:rFonts w:hint="eastAsia" w:ascii="宋体" w:hAnsi="宋体" w:eastAsia="宋体" w:cs="宋体"/>
                <w:sz w:val="18"/>
                <w:szCs w:val="18"/>
                <w:vertAlign w:val="baseline"/>
              </w:rPr>
              <w:t>水分(%)</w:t>
            </w:r>
          </w:p>
        </w:tc>
        <w:tc>
          <w:tcPr>
            <w:tcW w:w="1359" w:type="dxa"/>
            <w:tcBorders>
              <w:top w:val="single" w:color="auto" w:sz="4" w:space="0"/>
            </w:tcBorders>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≤13.5</w:t>
            </w:r>
          </w:p>
        </w:tc>
        <w:tc>
          <w:tcPr>
            <w:tcW w:w="1669" w:type="dxa"/>
            <w:tcBorders>
              <w:top w:val="single" w:color="auto" w:sz="4" w:space="0"/>
            </w:tcBorders>
            <w:noWrap w:val="0"/>
            <w:vAlign w:val="top"/>
          </w:tcPr>
          <w:p>
            <w:p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杂质(%)</w:t>
            </w:r>
          </w:p>
        </w:tc>
        <w:tc>
          <w:tcPr>
            <w:tcW w:w="1558" w:type="dxa"/>
            <w:tcBorders>
              <w:top w:val="single" w:color="auto" w:sz="4" w:space="0"/>
            </w:tcBorders>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906" w:type="dxa"/>
            <w:vMerge w:val="continue"/>
            <w:tcBorders>
              <w:top w:val="single" w:color="auto" w:sz="4" w:space="0"/>
            </w:tcBorders>
            <w:noWrap w:val="0"/>
            <w:vAlign w:val="center"/>
          </w:tcPr>
          <w:p>
            <w:pPr>
              <w:jc w:val="center"/>
              <w:rPr>
                <w:rFonts w:ascii="宋体"/>
                <w:sz w:val="18"/>
                <w:szCs w:val="18"/>
              </w:rPr>
            </w:pPr>
          </w:p>
        </w:tc>
        <w:tc>
          <w:tcPr>
            <w:tcW w:w="3883" w:type="dxa"/>
            <w:tcBorders>
              <w:top w:val="single" w:color="auto" w:sz="4" w:space="0"/>
            </w:tcBorders>
            <w:noWrap w:val="0"/>
            <w:vAlign w:val="top"/>
          </w:tcPr>
          <w:p>
            <w:pPr>
              <w:rPr>
                <w:rFonts w:hint="eastAsia" w:ascii="宋体" w:hAnsi="宋体" w:eastAsia="宋体" w:cs="宋体"/>
                <w:sz w:val="18"/>
                <w:szCs w:val="18"/>
                <w:lang w:eastAsia="zh-CN"/>
              </w:rPr>
            </w:pPr>
            <w:r>
              <w:rPr>
                <w:rFonts w:hint="eastAsia" w:ascii="宋体" w:hAnsi="宋体" w:eastAsia="宋体" w:cs="宋体"/>
                <w:sz w:val="18"/>
                <w:szCs w:val="18"/>
                <w:vertAlign w:val="baseline"/>
              </w:rPr>
              <w:t>不完善粒(%)</w:t>
            </w:r>
          </w:p>
        </w:tc>
        <w:tc>
          <w:tcPr>
            <w:tcW w:w="1359" w:type="dxa"/>
            <w:tcBorders>
              <w:top w:val="single" w:color="auto" w:sz="4" w:space="0"/>
            </w:tcBorders>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≤3.0</w:t>
            </w:r>
          </w:p>
        </w:tc>
        <w:tc>
          <w:tcPr>
            <w:tcW w:w="1669" w:type="dxa"/>
            <w:tcBorders>
              <w:top w:val="single" w:color="auto" w:sz="4" w:space="0"/>
            </w:tcBorders>
            <w:noWrap w:val="0"/>
            <w:vAlign w:val="top"/>
          </w:tcPr>
          <w:p>
            <w:p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容重(g/L)</w:t>
            </w:r>
          </w:p>
        </w:tc>
        <w:tc>
          <w:tcPr>
            <w:tcW w:w="1558" w:type="dxa"/>
            <w:tcBorders>
              <w:top w:val="single" w:color="auto" w:sz="4" w:space="0"/>
            </w:tcBorders>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906" w:type="dxa"/>
            <w:vMerge w:val="restart"/>
            <w:noWrap w:val="0"/>
            <w:vAlign w:val="center"/>
          </w:tcPr>
          <w:p>
            <w:pPr>
              <w:jc w:val="center"/>
              <w:rPr>
                <w:rFonts w:hint="eastAsia" w:ascii="宋体"/>
                <w:sz w:val="18"/>
                <w:szCs w:val="18"/>
              </w:rPr>
            </w:pPr>
            <w:r>
              <w:rPr>
                <w:rFonts w:hint="eastAsia"/>
                <w:sz w:val="18"/>
                <w:szCs w:val="18"/>
                <w:vertAlign w:val="baseline"/>
              </w:rPr>
              <w:t>刚性指标</w:t>
            </w:r>
          </w:p>
        </w:tc>
        <w:tc>
          <w:tcPr>
            <w:tcW w:w="3883" w:type="dxa"/>
            <w:noWrap w:val="0"/>
            <w:vAlign w:val="top"/>
          </w:tcPr>
          <w:p>
            <w:pPr>
              <w:rPr>
                <w:rFonts w:hint="eastAsia" w:ascii="宋体" w:hAnsi="宋体" w:eastAsia="宋体" w:cs="宋体"/>
                <w:sz w:val="18"/>
                <w:szCs w:val="18"/>
                <w:lang w:eastAsia="zh-CN"/>
              </w:rPr>
            </w:pPr>
            <w:r>
              <w:rPr>
                <w:rFonts w:hint="eastAsia" w:ascii="宋体" w:hAnsi="宋体" w:eastAsia="宋体" w:cs="宋体"/>
                <w:sz w:val="18"/>
                <w:szCs w:val="18"/>
                <w:vertAlign w:val="baseline"/>
              </w:rPr>
              <w:t>霉变粒(%)</w:t>
            </w:r>
          </w:p>
        </w:tc>
        <w:tc>
          <w:tcPr>
            <w:tcW w:w="1359" w:type="dxa"/>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≤1. 8</w:t>
            </w:r>
          </w:p>
        </w:tc>
        <w:tc>
          <w:tcPr>
            <w:tcW w:w="1669" w:type="dxa"/>
            <w:noWrap w:val="0"/>
            <w:vAlign w:val="top"/>
          </w:tcPr>
          <w:p>
            <w:p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单宁(%)</w:t>
            </w:r>
          </w:p>
        </w:tc>
        <w:tc>
          <w:tcPr>
            <w:tcW w:w="1558" w:type="dxa"/>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906" w:type="dxa"/>
            <w:vMerge w:val="continue"/>
            <w:noWrap w:val="0"/>
            <w:vAlign w:val="top"/>
          </w:tcPr>
          <w:p>
            <w:pPr>
              <w:rPr>
                <w:rFonts w:hint="eastAsia" w:ascii="宋体"/>
                <w:sz w:val="18"/>
                <w:szCs w:val="18"/>
              </w:rPr>
            </w:pPr>
          </w:p>
        </w:tc>
        <w:tc>
          <w:tcPr>
            <w:tcW w:w="3883" w:type="dxa"/>
            <w:noWrap w:val="0"/>
            <w:vAlign w:val="top"/>
          </w:tcPr>
          <w:p>
            <w:pPr>
              <w:rPr>
                <w:rFonts w:hint="eastAsia" w:ascii="宋体" w:hAnsi="宋体" w:eastAsia="宋体" w:cs="宋体"/>
                <w:sz w:val="18"/>
                <w:szCs w:val="18"/>
                <w:lang w:eastAsia="zh-CN"/>
              </w:rPr>
            </w:pPr>
            <w:r>
              <w:rPr>
                <w:rFonts w:hint="eastAsia" w:ascii="宋体" w:hAnsi="宋体" w:eastAsia="宋体" w:cs="宋体"/>
                <w:sz w:val="18"/>
                <w:szCs w:val="18"/>
                <w:vertAlign w:val="baseline"/>
              </w:rPr>
              <w:t>总淀粉(%)</w:t>
            </w:r>
          </w:p>
        </w:tc>
        <w:tc>
          <w:tcPr>
            <w:tcW w:w="1359" w:type="dxa"/>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w:t>
            </w:r>
            <w:r>
              <w:rPr>
                <w:rFonts w:hint="eastAsia" w:ascii="宋体" w:hAnsi="宋体" w:eastAsia="宋体" w:cs="宋体"/>
                <w:sz w:val="18"/>
                <w:szCs w:val="18"/>
                <w:vertAlign w:val="baseline"/>
              </w:rPr>
              <w:t>55</w:t>
            </w:r>
          </w:p>
        </w:tc>
        <w:tc>
          <w:tcPr>
            <w:tcW w:w="1669" w:type="dxa"/>
            <w:noWrap w:val="0"/>
            <w:vAlign w:val="top"/>
          </w:tcPr>
          <w:p>
            <w:p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支链淀粉(%)</w:t>
            </w:r>
          </w:p>
        </w:tc>
        <w:tc>
          <w:tcPr>
            <w:tcW w:w="1558" w:type="dxa"/>
            <w:noWrap w:val="0"/>
            <w:vAlign w:val="top"/>
          </w:tcPr>
          <w:p>
            <w:pPr>
              <w:rPr>
                <w:rFonts w:hint="eastAsia" w:ascii="宋体" w:hAnsi="宋体" w:eastAsia="宋体" w:cs="宋体"/>
                <w:sz w:val="18"/>
                <w:szCs w:val="18"/>
                <w:vertAlign w:val="baseline"/>
              </w:rPr>
            </w:pPr>
            <w:r>
              <w:rPr>
                <w:rFonts w:hint="eastAsia" w:ascii="宋体" w:hAnsi="宋体" w:eastAsia="宋体" w:cs="宋体"/>
                <w:sz w:val="18"/>
                <w:szCs w:val="18"/>
                <w:vertAlign w:val="baseline"/>
              </w:rPr>
              <w:t>≥51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906" w:type="dxa"/>
            <w:vMerge w:val="continue"/>
            <w:noWrap w:val="0"/>
            <w:vAlign w:val="top"/>
          </w:tcPr>
          <w:p>
            <w:pPr>
              <w:rPr>
                <w:rFonts w:hint="eastAsia" w:ascii="宋体"/>
                <w:sz w:val="18"/>
                <w:szCs w:val="18"/>
              </w:rPr>
            </w:pPr>
          </w:p>
        </w:tc>
        <w:tc>
          <w:tcPr>
            <w:tcW w:w="3883" w:type="dxa"/>
            <w:noWrap w:val="0"/>
            <w:vAlign w:val="top"/>
          </w:tcPr>
          <w:p>
            <w:pPr>
              <w:rPr>
                <w:rFonts w:hint="eastAsia" w:ascii="宋体" w:hAnsi="宋体" w:eastAsia="宋体" w:cs="宋体"/>
                <w:sz w:val="18"/>
                <w:szCs w:val="18"/>
                <w:lang w:eastAsia="zh-CN"/>
              </w:rPr>
            </w:pPr>
            <w:r>
              <w:rPr>
                <w:rFonts w:hint="eastAsia" w:ascii="宋体" w:hAnsi="宋体" w:eastAsia="宋体" w:cs="宋体"/>
                <w:sz w:val="18"/>
                <w:szCs w:val="18"/>
                <w:vertAlign w:val="baseline"/>
              </w:rPr>
              <w:t>曼陀罗属及其他有毒植物的种子(粒/kg)</w:t>
            </w:r>
          </w:p>
        </w:tc>
        <w:tc>
          <w:tcPr>
            <w:tcW w:w="1359" w:type="dxa"/>
            <w:noWrap w:val="0"/>
            <w:vAlign w:val="center"/>
          </w:tcPr>
          <w:p>
            <w:pPr>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≤1</w:t>
            </w:r>
          </w:p>
        </w:tc>
        <w:tc>
          <w:tcPr>
            <w:tcW w:w="1669" w:type="dxa"/>
            <w:noWrap w:val="0"/>
            <w:vAlign w:val="center"/>
          </w:tcPr>
          <w:p>
            <w:p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支总比(%)</w:t>
            </w:r>
          </w:p>
        </w:tc>
        <w:tc>
          <w:tcPr>
            <w:tcW w:w="1558" w:type="dxa"/>
            <w:noWrap w:val="0"/>
            <w:vAlign w:val="center"/>
          </w:tcPr>
          <w:p>
            <w:pPr>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≥93</w:t>
            </w:r>
          </w:p>
        </w:tc>
      </w:tr>
    </w:tbl>
    <w:p>
      <w:pPr>
        <w:pStyle w:val="106"/>
        <w:numPr>
          <w:ilvl w:val="2"/>
          <w:numId w:val="0"/>
        </w:numPr>
        <w:spacing w:before="120" w:after="120"/>
        <w:ind w:leftChars="0"/>
        <w:rPr>
          <w:rFonts w:hint="eastAsia"/>
          <w:color w:val="FF0000"/>
          <w:lang w:val="en-US" w:eastAsia="zh-CN"/>
        </w:rPr>
      </w:pPr>
      <w:bookmarkStart w:id="45" w:name="_Toc8733"/>
      <w:r>
        <w:rPr>
          <w:rFonts w:hint="eastAsia"/>
          <w:lang w:val="en-US" w:eastAsia="zh-CN"/>
        </w:rPr>
        <w:t>4.2 卫生指标</w:t>
      </w:r>
      <w:bookmarkEnd w:id="45"/>
    </w:p>
    <w:p>
      <w:pPr>
        <w:pStyle w:val="106"/>
        <w:numPr>
          <w:ilvl w:val="2"/>
          <w:numId w:val="0"/>
        </w:numPr>
        <w:spacing w:before="120" w:after="120"/>
        <w:ind w:leftChars="0"/>
        <w:rPr>
          <w:rFonts w:hint="eastAsia" w:hAnsi="Times New Roman" w:cs="Times New Roman"/>
          <w:color w:val="auto"/>
          <w:lang w:val="en-US" w:eastAsia="zh-CN"/>
        </w:rPr>
      </w:pPr>
      <w:bookmarkStart w:id="46" w:name="_Toc9147"/>
      <w:r>
        <w:rPr>
          <w:rFonts w:hint="eastAsia" w:hAnsi="Times New Roman" w:cs="Times New Roman"/>
          <w:color w:val="auto"/>
          <w:lang w:val="en-US" w:eastAsia="zh-CN"/>
        </w:rPr>
        <w:t>4.</w:t>
      </w:r>
      <w:r>
        <w:rPr>
          <w:rFonts w:hint="eastAsia" w:cs="Times New Roman"/>
          <w:color w:val="auto"/>
          <w:lang w:val="en-US" w:eastAsia="zh-CN"/>
        </w:rPr>
        <w:t>2</w:t>
      </w:r>
      <w:r>
        <w:rPr>
          <w:rFonts w:hint="eastAsia" w:hAnsi="Times New Roman" w:cs="Times New Roman"/>
          <w:color w:val="auto"/>
          <w:lang w:val="en-US" w:eastAsia="zh-CN"/>
        </w:rPr>
        <w:t>.1 真菌毒素指标</w:t>
      </w:r>
      <w:bookmarkEnd w:id="46"/>
    </w:p>
    <w:p>
      <w:pPr>
        <w:ind w:firstLine="420" w:firstLineChars="200"/>
        <w:rPr>
          <w:rFonts w:hint="eastAsia"/>
        </w:rPr>
      </w:pPr>
      <w:r>
        <w:rPr>
          <w:rFonts w:hint="eastAsia"/>
        </w:rPr>
        <w:t>酱香型酿酒糯高粱真菌毒素指标应符合表3的要求。</w:t>
      </w:r>
    </w:p>
    <w:p>
      <w:pPr>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表3 酱香型酿酒糯高粱真菌毒素指标要求</w:t>
      </w:r>
    </w:p>
    <w:tbl>
      <w:tblPr>
        <w:tblStyle w:val="27"/>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4052"/>
        <w:gridCol w:w="5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160" w:type="pct"/>
            <w:tcBorders>
              <w:top w:val="single" w:color="auto" w:sz="12" w:space="0"/>
              <w:bottom w:val="single" w:color="auto" w:sz="12" w:space="0"/>
            </w:tcBorders>
            <w:noWrap w:val="0"/>
            <w:vAlign w:val="top"/>
          </w:tcPr>
          <w:p>
            <w:pPr>
              <w:jc w:val="center"/>
              <w:rPr>
                <w:rFonts w:ascii="宋体"/>
                <w:sz w:val="18"/>
                <w:szCs w:val="18"/>
              </w:rPr>
            </w:pPr>
            <w:r>
              <w:rPr>
                <w:rFonts w:hint="eastAsia"/>
                <w:vertAlign w:val="baseline"/>
              </w:rPr>
              <w:t>项目</w:t>
            </w:r>
          </w:p>
        </w:tc>
        <w:tc>
          <w:tcPr>
            <w:tcW w:w="2839" w:type="pct"/>
            <w:tcBorders>
              <w:top w:val="single" w:color="auto" w:sz="12" w:space="0"/>
              <w:bottom w:val="single" w:color="auto" w:sz="12" w:space="0"/>
            </w:tcBorders>
            <w:noWrap w:val="0"/>
            <w:vAlign w:val="top"/>
          </w:tcPr>
          <w:p>
            <w:pPr>
              <w:jc w:val="center"/>
              <w:rPr>
                <w:rFonts w:ascii="宋体"/>
                <w:sz w:val="18"/>
                <w:szCs w:val="18"/>
              </w:rPr>
            </w:pPr>
            <w:r>
              <w:rPr>
                <w:rFonts w:hint="eastAsia"/>
              </w:rPr>
              <w:t>指标要</w:t>
            </w:r>
            <w:r>
              <w:rPr>
                <w:rFonts w:hint="eastAsia" w:ascii="宋体" w:hAnsi="宋体" w:eastAsia="宋体" w:cs="宋体"/>
              </w:rPr>
              <w:t>求( μg/kg)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160" w:type="pct"/>
            <w:tcBorders>
              <w:top w:val="single" w:color="auto" w:sz="4" w:space="0"/>
              <w:bottom w:val="single" w:color="auto" w:sz="4" w:space="0"/>
            </w:tcBorders>
            <w:noWrap w:val="0"/>
            <w:vAlign w:val="top"/>
          </w:tcPr>
          <w:p>
            <w:pPr>
              <w:jc w:val="center"/>
              <w:rPr>
                <w:rFonts w:ascii="宋体"/>
                <w:sz w:val="18"/>
                <w:szCs w:val="18"/>
              </w:rPr>
            </w:pPr>
            <w:r>
              <w:rPr>
                <w:rFonts w:hint="eastAsia"/>
                <w:vertAlign w:val="baseline"/>
              </w:rPr>
              <w:t>黄曲霉毒素B</w:t>
            </w:r>
          </w:p>
        </w:tc>
        <w:tc>
          <w:tcPr>
            <w:tcW w:w="2839" w:type="pct"/>
            <w:tcBorders>
              <w:top w:val="single" w:color="auto" w:sz="4" w:space="0"/>
              <w:bottom w:val="single" w:color="auto" w:sz="4" w:space="0"/>
            </w:tcBorders>
            <w:noWrap w:val="0"/>
            <w:vAlign w:val="top"/>
          </w:tcPr>
          <w:p>
            <w:pPr>
              <w:jc w:val="center"/>
              <w:rPr>
                <w:rFonts w:hint="eastAsia" w:ascii="宋体" w:hAnsi="宋体" w:eastAsia="宋体" w:cs="宋体"/>
                <w:lang w:eastAsia="zh-CN"/>
              </w:rPr>
            </w:pPr>
            <w:r>
              <w:rPr>
                <w:rFonts w:hint="eastAsia" w:ascii="宋体" w:hAnsi="宋体" w:eastAsia="宋体" w:cs="宋体"/>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160" w:type="pct"/>
            <w:tcBorders>
              <w:top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赭曲霉毒素A</w:t>
            </w:r>
          </w:p>
        </w:tc>
        <w:tc>
          <w:tcPr>
            <w:tcW w:w="2839" w:type="pct"/>
            <w:tcBorders>
              <w:top w:val="single" w:color="auto" w:sz="4" w:space="0"/>
            </w:tcBorders>
            <w:noWrap w:val="0"/>
            <w:vAlign w:val="top"/>
          </w:tcPr>
          <w:p>
            <w:pPr>
              <w:jc w:val="center"/>
              <w:rPr>
                <w:rFonts w:hint="eastAsia" w:ascii="宋体" w:hAnsi="宋体" w:eastAsia="宋体" w:cs="宋体"/>
                <w:lang w:val="en-US" w:eastAsia="zh-CN"/>
              </w:rPr>
            </w:pPr>
            <w:r>
              <w:rPr>
                <w:rFonts w:hint="eastAsia" w:ascii="宋体" w:hAnsi="宋体" w:eastAsia="宋体" w:cs="宋体"/>
              </w:rPr>
              <w:t>&lt;5.0</w:t>
            </w:r>
          </w:p>
        </w:tc>
      </w:tr>
    </w:tbl>
    <w:p>
      <w:pPr>
        <w:pStyle w:val="106"/>
        <w:numPr>
          <w:ilvl w:val="2"/>
          <w:numId w:val="0"/>
        </w:numPr>
        <w:spacing w:before="120" w:after="120"/>
        <w:ind w:leftChars="0"/>
        <w:rPr>
          <w:rFonts w:hint="eastAsia" w:hAnsi="Times New Roman" w:cs="Times New Roman"/>
          <w:color w:val="auto"/>
          <w:lang w:val="en-US" w:eastAsia="zh-CN"/>
        </w:rPr>
      </w:pPr>
      <w:bookmarkStart w:id="47" w:name="_Toc8497"/>
      <w:r>
        <w:rPr>
          <w:rFonts w:hint="eastAsia" w:hAnsi="Times New Roman" w:cs="Times New Roman"/>
          <w:color w:val="auto"/>
          <w:lang w:val="en-US" w:eastAsia="zh-CN"/>
        </w:rPr>
        <w:t>4.</w:t>
      </w:r>
      <w:r>
        <w:rPr>
          <w:rFonts w:hint="eastAsia" w:cs="Times New Roman"/>
          <w:color w:val="auto"/>
          <w:lang w:val="en-US" w:eastAsia="zh-CN"/>
        </w:rPr>
        <w:t>2</w:t>
      </w:r>
      <w:r>
        <w:rPr>
          <w:rFonts w:hint="eastAsia" w:hAnsi="Times New Roman" w:cs="Times New Roman"/>
          <w:color w:val="auto"/>
          <w:lang w:val="en-US" w:eastAsia="zh-CN"/>
        </w:rPr>
        <w:t>.</w:t>
      </w:r>
      <w:r>
        <w:rPr>
          <w:rFonts w:hint="eastAsia" w:cs="Times New Roman"/>
          <w:color w:val="auto"/>
          <w:lang w:val="en-US" w:eastAsia="zh-CN"/>
        </w:rPr>
        <w:t>2</w:t>
      </w:r>
      <w:r>
        <w:rPr>
          <w:rFonts w:hint="eastAsia" w:hAnsi="Times New Roman" w:cs="Times New Roman"/>
          <w:color w:val="auto"/>
          <w:lang w:val="en-US" w:eastAsia="zh-CN"/>
        </w:rPr>
        <w:t xml:space="preserve"> 污染物指标</w:t>
      </w:r>
      <w:bookmarkEnd w:id="47"/>
    </w:p>
    <w:p>
      <w:pPr>
        <w:pStyle w:val="57"/>
        <w:rPr>
          <w:rFonts w:hint="eastAsia"/>
        </w:rPr>
      </w:pPr>
      <w:r>
        <w:rPr>
          <w:rFonts w:hint="eastAsia"/>
        </w:rPr>
        <w:t>酱香型酿酒糯高粱污染物指标应符合表4的要求。</w:t>
      </w:r>
    </w:p>
    <w:p>
      <w:pPr>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表4 酱香型酿酒糯高粱污染物指标要求</w:t>
      </w:r>
    </w:p>
    <w:tbl>
      <w:tblPr>
        <w:tblStyle w:val="27"/>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4052"/>
        <w:gridCol w:w="5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052" w:type="dxa"/>
            <w:tcBorders>
              <w:top w:val="single" w:color="auto" w:sz="12" w:space="0"/>
              <w:bottom w:val="single" w:color="auto" w:sz="12" w:space="0"/>
            </w:tcBorders>
            <w:noWrap w:val="0"/>
            <w:vAlign w:val="top"/>
          </w:tcPr>
          <w:p>
            <w:pPr>
              <w:jc w:val="center"/>
              <w:rPr>
                <w:rFonts w:ascii="宋体"/>
                <w:sz w:val="18"/>
                <w:szCs w:val="18"/>
              </w:rPr>
            </w:pPr>
            <w:r>
              <w:rPr>
                <w:rFonts w:hint="eastAsia"/>
              </w:rPr>
              <w:t>项目</w:t>
            </w:r>
          </w:p>
        </w:tc>
        <w:tc>
          <w:tcPr>
            <w:tcW w:w="5326" w:type="dxa"/>
            <w:tcBorders>
              <w:top w:val="single" w:color="auto" w:sz="12" w:space="0"/>
              <w:bottom w:val="single" w:color="auto" w:sz="12" w:space="0"/>
            </w:tcBorders>
            <w:noWrap w:val="0"/>
            <w:vAlign w:val="top"/>
          </w:tcPr>
          <w:p>
            <w:pPr>
              <w:jc w:val="center"/>
              <w:rPr>
                <w:rFonts w:ascii="宋体"/>
                <w:sz w:val="18"/>
                <w:szCs w:val="18"/>
              </w:rPr>
            </w:pPr>
            <w:r>
              <w:rPr>
                <w:rFonts w:hint="eastAsia"/>
              </w:rPr>
              <w:t>指标要求</w:t>
            </w:r>
            <w:r>
              <w:rPr>
                <w:rFonts w:hint="eastAsia" w:ascii="宋体" w:hAnsi="宋体" w:eastAsia="宋体" w:cs="宋体"/>
              </w:rPr>
              <w:t>(mg/kg)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4052" w:type="dxa"/>
            <w:tcBorders>
              <w:top w:val="single" w:color="auto" w:sz="4" w:space="0"/>
              <w:bottom w:val="single" w:color="auto" w:sz="4" w:space="0"/>
            </w:tcBorders>
            <w:noWrap w:val="0"/>
            <w:vAlign w:val="top"/>
          </w:tcPr>
          <w:p>
            <w:pPr>
              <w:jc w:val="center"/>
              <w:rPr>
                <w:rFonts w:ascii="宋体"/>
                <w:sz w:val="18"/>
                <w:szCs w:val="18"/>
              </w:rPr>
            </w:pPr>
            <w:r>
              <w:rPr>
                <w:rFonts w:hint="eastAsia"/>
              </w:rPr>
              <w:t>铅</w:t>
            </w:r>
          </w:p>
        </w:tc>
        <w:tc>
          <w:tcPr>
            <w:tcW w:w="5326" w:type="dxa"/>
            <w:tcBorders>
              <w:top w:val="single" w:color="auto" w:sz="4" w:space="0"/>
              <w:bottom w:val="single" w:color="auto" w:sz="4" w:space="0"/>
            </w:tcBorders>
            <w:noWrap w:val="0"/>
            <w:vAlign w:val="top"/>
          </w:tcPr>
          <w:p>
            <w:pPr>
              <w:jc w:val="center"/>
              <w:rPr>
                <w:rFonts w:hint="eastAsia" w:ascii="宋体" w:hAnsi="宋体" w:eastAsia="宋体" w:cs="宋体"/>
                <w:lang w:eastAsia="zh-CN"/>
              </w:rPr>
            </w:pPr>
            <w:r>
              <w:rPr>
                <w:rFonts w:hint="eastAsia" w:ascii="宋体" w:hAnsi="宋体" w:eastAsia="宋体" w:cs="宋体"/>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4052" w:type="dxa"/>
            <w:tcBorders>
              <w:top w:val="single" w:color="auto" w:sz="4" w:space="0"/>
              <w:bottom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镉</w:t>
            </w:r>
          </w:p>
        </w:tc>
        <w:tc>
          <w:tcPr>
            <w:tcW w:w="5326" w:type="dxa"/>
            <w:tcBorders>
              <w:top w:val="single" w:color="auto" w:sz="4" w:space="0"/>
              <w:bottom w:val="single" w:color="auto" w:sz="4" w:space="0"/>
            </w:tcBorders>
            <w:noWrap w:val="0"/>
            <w:vAlign w:val="top"/>
          </w:tcPr>
          <w:p>
            <w:pPr>
              <w:jc w:val="center"/>
              <w:rPr>
                <w:rFonts w:hint="eastAsia" w:ascii="宋体" w:hAnsi="宋体" w:eastAsia="宋体" w:cs="宋体"/>
                <w:lang w:val="en-US" w:eastAsia="zh-CN"/>
              </w:rPr>
            </w:pPr>
            <w:r>
              <w:rPr>
                <w:rFonts w:hint="eastAsia" w:ascii="宋体" w:hAnsi="宋体" w:eastAsia="宋体" w:cs="宋体"/>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4052" w:type="dxa"/>
            <w:tcBorders>
              <w:top w:val="single" w:color="auto" w:sz="4" w:space="0"/>
              <w:bottom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总砷</w:t>
            </w:r>
          </w:p>
        </w:tc>
        <w:tc>
          <w:tcPr>
            <w:tcW w:w="5326" w:type="dxa"/>
            <w:tcBorders>
              <w:top w:val="single" w:color="auto" w:sz="4" w:space="0"/>
              <w:bottom w:val="single" w:color="auto" w:sz="4" w:space="0"/>
            </w:tcBorders>
            <w:noWrap w:val="0"/>
            <w:vAlign w:val="top"/>
          </w:tcPr>
          <w:p>
            <w:pPr>
              <w:jc w:val="center"/>
              <w:rPr>
                <w:rFonts w:hint="eastAsia" w:ascii="宋体" w:hAnsi="宋体" w:eastAsia="宋体" w:cs="宋体"/>
                <w:lang w:val="en-US" w:eastAsia="zh-CN"/>
              </w:rPr>
            </w:pPr>
            <w:r>
              <w:rPr>
                <w:rFonts w:hint="eastAsia" w:ascii="宋体" w:hAnsi="宋体" w:eastAsia="宋体" w:cs="宋体"/>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4052" w:type="dxa"/>
            <w:tcBorders>
              <w:top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铬</w:t>
            </w:r>
          </w:p>
        </w:tc>
        <w:tc>
          <w:tcPr>
            <w:tcW w:w="5326" w:type="dxa"/>
            <w:tcBorders>
              <w:top w:val="single" w:color="auto" w:sz="4" w:space="0"/>
            </w:tcBorders>
            <w:noWrap w:val="0"/>
            <w:vAlign w:val="top"/>
          </w:tcPr>
          <w:p>
            <w:pPr>
              <w:jc w:val="center"/>
              <w:rPr>
                <w:rFonts w:hint="eastAsia" w:ascii="宋体" w:hAnsi="宋体" w:eastAsia="宋体" w:cs="宋体"/>
                <w:lang w:val="en-US" w:eastAsia="zh-CN"/>
              </w:rPr>
            </w:pPr>
            <w:r>
              <w:rPr>
                <w:rFonts w:hint="eastAsia" w:ascii="宋体" w:hAnsi="宋体" w:eastAsia="宋体" w:cs="宋体"/>
              </w:rPr>
              <w:t>≤1.0</w:t>
            </w:r>
          </w:p>
        </w:tc>
      </w:tr>
    </w:tbl>
    <w:p>
      <w:pPr>
        <w:pStyle w:val="106"/>
        <w:numPr>
          <w:ilvl w:val="2"/>
          <w:numId w:val="0"/>
        </w:numPr>
        <w:spacing w:before="120" w:after="120"/>
        <w:ind w:leftChars="0"/>
        <w:rPr>
          <w:rFonts w:hint="eastAsia" w:hAnsi="Times New Roman" w:cs="Times New Roman"/>
          <w:color w:val="auto"/>
          <w:lang w:val="en-US" w:eastAsia="zh-CN"/>
        </w:rPr>
      </w:pPr>
      <w:bookmarkStart w:id="48" w:name="_Toc7636"/>
      <w:r>
        <w:rPr>
          <w:rFonts w:hint="eastAsia" w:hAnsi="Times New Roman" w:cs="Times New Roman"/>
          <w:color w:val="auto"/>
          <w:lang w:val="en-US" w:eastAsia="zh-CN"/>
        </w:rPr>
        <w:t>4.</w:t>
      </w:r>
      <w:r>
        <w:rPr>
          <w:rFonts w:hint="eastAsia" w:cs="Times New Roman"/>
          <w:color w:val="auto"/>
          <w:lang w:val="en-US" w:eastAsia="zh-CN"/>
        </w:rPr>
        <w:t>2</w:t>
      </w:r>
      <w:r>
        <w:rPr>
          <w:rFonts w:hint="eastAsia" w:hAnsi="Times New Roman" w:cs="Times New Roman"/>
          <w:color w:val="auto"/>
          <w:lang w:val="en-US" w:eastAsia="zh-CN"/>
        </w:rPr>
        <w:t>.</w:t>
      </w:r>
      <w:r>
        <w:rPr>
          <w:rFonts w:hint="eastAsia" w:cs="Times New Roman"/>
          <w:color w:val="auto"/>
          <w:lang w:val="en-US" w:eastAsia="zh-CN"/>
        </w:rPr>
        <w:t>3</w:t>
      </w:r>
      <w:r>
        <w:rPr>
          <w:rFonts w:hint="eastAsia" w:hAnsi="Times New Roman" w:cs="Times New Roman"/>
          <w:color w:val="auto"/>
          <w:lang w:val="en-US" w:eastAsia="zh-CN"/>
        </w:rPr>
        <w:t xml:space="preserve"> </w:t>
      </w:r>
      <w:bookmarkEnd w:id="48"/>
      <w:r>
        <w:rPr>
          <w:rFonts w:hint="eastAsia" w:hAnsi="Times New Roman" w:cs="Times New Roman"/>
          <w:color w:val="auto"/>
          <w:lang w:val="en-US" w:eastAsia="zh-CN"/>
        </w:rPr>
        <w:t>农药残留指标</w:t>
      </w:r>
    </w:p>
    <w:p>
      <w:pPr>
        <w:ind w:firstLine="420" w:firstLineChars="200"/>
        <w:jc w:val="both"/>
        <w:rPr>
          <w:rFonts w:hint="eastAsia"/>
        </w:rPr>
      </w:pPr>
      <w:r>
        <w:rPr>
          <w:rFonts w:hint="eastAsia"/>
          <w:lang w:eastAsia="zh-CN"/>
        </w:rPr>
        <w:t>酱香型酿酒糯高粱</w:t>
      </w:r>
      <w:r>
        <w:rPr>
          <w:rFonts w:hint="eastAsia"/>
        </w:rPr>
        <w:t>农药残留指标应符合表5的要求。</w:t>
      </w:r>
    </w:p>
    <w:p>
      <w:pPr>
        <w:ind w:firstLine="420" w:firstLineChars="200"/>
        <w:jc w:val="both"/>
        <w:rPr>
          <w:rFonts w:hint="eastAsia" w:ascii="黑体" w:hAnsi="Times New Roman" w:eastAsia="黑体" w:cs="Times New Roman"/>
          <w:kern w:val="0"/>
          <w:sz w:val="21"/>
          <w:szCs w:val="20"/>
          <w:lang w:val="en-US" w:eastAsia="zh-CN" w:bidi="ar-SA"/>
        </w:rPr>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p>
      <w:pPr>
        <w:ind w:firstLine="420" w:firstLineChars="200"/>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表5  酱香型酿酒糯高粱农药残留指标要求</w:t>
      </w:r>
    </w:p>
    <w:tbl>
      <w:tblPr>
        <w:tblStyle w:val="27"/>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201"/>
        <w:gridCol w:w="2165"/>
        <w:gridCol w:w="20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5201" w:type="dxa"/>
            <w:tcBorders>
              <w:top w:val="single" w:color="auto" w:sz="12" w:space="0"/>
              <w:bottom w:val="single" w:color="auto" w:sz="12" w:space="0"/>
            </w:tcBorders>
            <w:noWrap w:val="0"/>
            <w:vAlign w:val="top"/>
          </w:tcPr>
          <w:p>
            <w:pPr>
              <w:jc w:val="center"/>
              <w:rPr>
                <w:rFonts w:ascii="宋体"/>
                <w:sz w:val="18"/>
                <w:szCs w:val="18"/>
              </w:rPr>
            </w:pPr>
            <w:r>
              <w:rPr>
                <w:rFonts w:hint="eastAsia"/>
              </w:rPr>
              <w:t>检测项目</w:t>
            </w:r>
          </w:p>
        </w:tc>
        <w:tc>
          <w:tcPr>
            <w:tcW w:w="4174" w:type="dxa"/>
            <w:gridSpan w:val="2"/>
            <w:tcBorders>
              <w:top w:val="single" w:color="auto" w:sz="12" w:space="0"/>
              <w:bottom w:val="single" w:color="auto" w:sz="12" w:space="0"/>
            </w:tcBorders>
            <w:noWrap w:val="0"/>
            <w:vAlign w:val="top"/>
          </w:tcPr>
          <w:p>
            <w:pPr>
              <w:jc w:val="center"/>
              <w:rPr>
                <w:rFonts w:ascii="宋体"/>
                <w:sz w:val="18"/>
                <w:szCs w:val="18"/>
              </w:rPr>
            </w:pPr>
            <w:r>
              <w:rPr>
                <w:rFonts w:hint="eastAsia"/>
              </w:rPr>
              <w:t>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ascii="宋体"/>
                <w:sz w:val="18"/>
                <w:szCs w:val="18"/>
              </w:rPr>
            </w:pPr>
            <w:r>
              <w:rPr>
                <w:rFonts w:hint="eastAsia"/>
              </w:rPr>
              <w:t>辛硫磷</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sz w:val="18"/>
                <w:szCs w:val="18"/>
                <w:lang w:eastAsia="zh-CN"/>
              </w:rPr>
            </w:pPr>
            <w:r>
              <w:rPr>
                <w:rFonts w:hint="eastAsia" w:ascii="宋体" w:hAnsi="宋体" w:eastAsia="宋体" w:cs="宋体"/>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氧乐果</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灭草松</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rPr>
              <w:t>0. 1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ascii="Calibri" w:hAnsi="Calibri" w:eastAsia="宋体" w:cs="Times New Roman"/>
                <w:kern w:val="2"/>
                <w:sz w:val="21"/>
                <w:szCs w:val="21"/>
                <w:vertAlign w:val="baseline"/>
                <w:lang w:val="en-US" w:eastAsia="zh-CN" w:bidi="ar-SA"/>
              </w:rPr>
            </w:pPr>
            <w:r>
              <w:rPr>
                <w:rFonts w:hint="eastAsia"/>
              </w:rPr>
              <w:t>杀螟硫磷</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rPr>
            </w:pPr>
            <w:r>
              <w:rPr>
                <w:rFonts w:hint="eastAsia"/>
              </w:rPr>
              <w:t>三唑酮</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rPr>
            </w:pPr>
            <w:r>
              <w:rPr>
                <w:rFonts w:hint="eastAsia" w:ascii="宋体" w:hAnsi="宋体" w:eastAsia="宋体" w:cs="宋体"/>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rPr>
            </w:pPr>
            <w:r>
              <w:rPr>
                <w:rFonts w:hint="eastAsia"/>
              </w:rPr>
              <w:t>甲基异柳磷</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rPr>
            </w:pPr>
            <w:r>
              <w:rPr>
                <w:rFonts w:hint="eastAsia" w:ascii="宋体" w:hAnsi="宋体" w:eastAsia="宋体" w:cs="宋体"/>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rPr>
            </w:pPr>
            <w:r>
              <w:rPr>
                <w:rFonts w:hint="eastAsia"/>
              </w:rPr>
              <w:t>腈菌唑</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rPr>
            </w:pPr>
            <w:r>
              <w:rPr>
                <w:rFonts w:hint="eastAsia" w:ascii="宋体" w:hAnsi="宋体" w:eastAsia="宋体" w:cs="宋体"/>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rPr>
            </w:pPr>
            <w:r>
              <w:rPr>
                <w:rFonts w:hint="eastAsia"/>
              </w:rPr>
              <w:t>氯菊酯</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rPr>
            </w:pPr>
            <w:r>
              <w:rPr>
                <w:rFonts w:hint="eastAsia" w:ascii="宋体" w:hAnsi="宋体" w:eastAsia="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rPr>
            </w:pPr>
            <w:r>
              <w:rPr>
                <w:rFonts w:hint="eastAsia"/>
              </w:rPr>
              <w:t>咪鲜胺</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rPr>
            </w:pPr>
            <w:r>
              <w:rPr>
                <w:rFonts w:hint="eastAsia" w:ascii="宋体" w:hAnsi="宋体" w:eastAsia="宋体" w:cs="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bottom w:val="single" w:color="auto" w:sz="4" w:space="0"/>
            </w:tcBorders>
            <w:noWrap w:val="0"/>
            <w:vAlign w:val="top"/>
          </w:tcPr>
          <w:p>
            <w:pPr>
              <w:jc w:val="center"/>
              <w:rPr>
                <w:rFonts w:hint="eastAsia"/>
              </w:rPr>
            </w:pPr>
            <w:r>
              <w:rPr>
                <w:rFonts w:hint="eastAsia"/>
              </w:rPr>
              <w:t>溴氰菊酯</w:t>
            </w:r>
          </w:p>
        </w:tc>
        <w:tc>
          <w:tcPr>
            <w:tcW w:w="2165" w:type="dxa"/>
            <w:tcBorders>
              <w:top w:val="single" w:color="auto" w:sz="4" w:space="0"/>
              <w:bottom w:val="single" w:color="auto" w:sz="4" w:space="0"/>
              <w:right w:val="nil"/>
            </w:tcBorders>
            <w:noWrap w:val="0"/>
            <w:vAlign w:val="top"/>
          </w:tcPr>
          <w:p>
            <w:pPr>
              <w:jc w:val="right"/>
              <w:rPr>
                <w:rFonts w:hint="eastAsia" w:ascii="宋体" w:hAnsi="宋体" w:eastAsia="宋体" w:cs="宋体"/>
                <w:kern w:val="2"/>
                <w:sz w:val="21"/>
                <w:szCs w:val="21"/>
                <w:lang w:val="en-US" w:eastAsia="zh-CN" w:bidi="ar-SA"/>
              </w:rPr>
            </w:pPr>
            <w:r>
              <w:rPr>
                <w:rFonts w:hint="eastAsia" w:ascii="宋体" w:hAnsi="宋体" w:eastAsia="宋体" w:cs="宋体"/>
              </w:rPr>
              <w:t>≤</w:t>
            </w:r>
          </w:p>
        </w:tc>
        <w:tc>
          <w:tcPr>
            <w:tcW w:w="2009" w:type="dxa"/>
            <w:tcBorders>
              <w:top w:val="single" w:color="auto" w:sz="4" w:space="0"/>
              <w:left w:val="nil"/>
              <w:bottom w:val="single" w:color="auto" w:sz="4" w:space="0"/>
            </w:tcBorders>
            <w:noWrap w:val="0"/>
            <w:vAlign w:val="top"/>
          </w:tcPr>
          <w:p>
            <w:pPr>
              <w:jc w:val="left"/>
              <w:rPr>
                <w:rFonts w:hint="eastAsia" w:ascii="宋体" w:hAnsi="宋体" w:eastAsia="宋体" w:cs="宋体"/>
              </w:rPr>
            </w:pPr>
            <w:r>
              <w:rPr>
                <w:rFonts w:hint="eastAsia" w:ascii="宋体" w:hAnsi="宋体" w:eastAsia="宋体" w:cs="宋体"/>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201" w:type="dxa"/>
            <w:tcBorders>
              <w:top w:val="single" w:color="auto" w:sz="4" w:space="0"/>
            </w:tcBorders>
            <w:noWrap w:val="0"/>
            <w:vAlign w:val="top"/>
          </w:tcPr>
          <w:p>
            <w:pPr>
              <w:jc w:val="center"/>
              <w:rPr>
                <w:rFonts w:hint="eastAsia" w:ascii="Calibri" w:hAnsi="Calibri" w:eastAsia="宋体" w:cs="Times New Roman"/>
                <w:kern w:val="2"/>
                <w:sz w:val="21"/>
                <w:szCs w:val="21"/>
                <w:lang w:val="en-US" w:eastAsia="zh-CN" w:bidi="ar-SA"/>
              </w:rPr>
            </w:pPr>
            <w:r>
              <w:rPr>
                <w:rFonts w:hint="eastAsia"/>
              </w:rPr>
              <w:t>磷化铝</w:t>
            </w:r>
          </w:p>
        </w:tc>
        <w:tc>
          <w:tcPr>
            <w:tcW w:w="2165" w:type="dxa"/>
            <w:tcBorders>
              <w:top w:val="single" w:color="auto" w:sz="4" w:space="0"/>
              <w:right w:val="nil"/>
            </w:tcBorders>
            <w:noWrap w:val="0"/>
            <w:vAlign w:val="top"/>
          </w:tcPr>
          <w:p>
            <w:pPr>
              <w:jc w:val="right"/>
              <w:rPr>
                <w:rFonts w:hint="eastAsia" w:ascii="宋体" w:hAnsi="宋体" w:eastAsia="宋体" w:cs="宋体"/>
              </w:rPr>
            </w:pPr>
            <w:r>
              <w:rPr>
                <w:rFonts w:hint="eastAsia" w:ascii="宋体" w:hAnsi="宋体" w:eastAsia="宋体" w:cs="宋体"/>
              </w:rPr>
              <w:t>≤</w:t>
            </w:r>
          </w:p>
        </w:tc>
        <w:tc>
          <w:tcPr>
            <w:tcW w:w="2009" w:type="dxa"/>
            <w:tcBorders>
              <w:top w:val="single" w:color="auto" w:sz="4" w:space="0"/>
              <w:left w:val="nil"/>
            </w:tcBorders>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rPr>
              <w:t>0.05</w:t>
            </w:r>
          </w:p>
        </w:tc>
      </w:tr>
    </w:tbl>
    <w:p>
      <w:pPr>
        <w:pStyle w:val="105"/>
        <w:numPr>
          <w:ilvl w:val="1"/>
          <w:numId w:val="0"/>
        </w:numPr>
        <w:spacing w:before="240" w:after="240"/>
        <w:ind w:leftChars="0"/>
        <w:rPr>
          <w:rFonts w:hint="default"/>
          <w:color w:val="auto"/>
          <w:lang w:val="en-US" w:eastAsia="zh-CN"/>
        </w:rPr>
      </w:pPr>
      <w:bookmarkStart w:id="49" w:name="_Toc5386"/>
      <w:r>
        <w:rPr>
          <w:rFonts w:hint="eastAsia"/>
          <w:color w:val="auto"/>
          <w:lang w:val="en-US" w:eastAsia="zh-CN"/>
        </w:rPr>
        <w:t>5  检验方法</w:t>
      </w:r>
      <w:bookmarkEnd w:id="49"/>
    </w:p>
    <w:p>
      <w:pPr>
        <w:pStyle w:val="231"/>
        <w:ind w:left="0" w:leftChars="0" w:firstLine="420" w:firstLineChars="200"/>
        <w:rPr>
          <w:rFonts w:hint="eastAsia" w:hAnsi="Times New Roman" w:eastAsia="宋体" w:cs="Times New Roman"/>
          <w:color w:val="auto"/>
          <w:highlight w:val="none"/>
          <w:lang w:eastAsia="zh-CN"/>
        </w:rPr>
      </w:pPr>
      <w:r>
        <w:rPr>
          <w:rFonts w:hint="eastAsia" w:cs="Times New Roman"/>
          <w:color w:val="auto"/>
          <w:highlight w:val="none"/>
          <w:lang w:eastAsia="zh-CN"/>
        </w:rPr>
        <w:t>酱香型酿酒糯高粱</w:t>
      </w:r>
      <w:r>
        <w:rPr>
          <w:rFonts w:hint="eastAsia" w:hAnsi="Times New Roman" w:eastAsia="宋体" w:cs="Times New Roman"/>
          <w:color w:val="auto"/>
          <w:highlight w:val="none"/>
          <w:lang w:eastAsia="zh-CN"/>
        </w:rPr>
        <w:t>检验方法及频次见表6。</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420" w:firstLineChars="200"/>
        <w:jc w:val="center"/>
        <w:textAlignment w:val="auto"/>
        <w:rPr>
          <w:rFonts w:hint="eastAsia" w:ascii="黑体"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表6</w:t>
      </w:r>
      <w:r>
        <w:rPr>
          <w:rFonts w:hint="eastAsia" w:ascii="黑体" w:eastAsia="黑体" w:cs="Times New Roman"/>
          <w:kern w:val="0"/>
          <w:sz w:val="21"/>
          <w:szCs w:val="20"/>
          <w:lang w:val="en-US" w:eastAsia="zh-CN" w:bidi="ar-SA"/>
        </w:rPr>
        <w:t xml:space="preserve">  酱香型酿酒糯高粱检验方法表</w:t>
      </w:r>
    </w:p>
    <w:tbl>
      <w:tblPr>
        <w:tblStyle w:val="27"/>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2583"/>
        <w:gridCol w:w="4958"/>
        <w:gridCol w:w="1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583" w:type="dxa"/>
            <w:tcBorders>
              <w:bottom w:val="single" w:color="auto" w:sz="12" w:space="0"/>
            </w:tcBorders>
            <w:noWrap w:val="0"/>
            <w:vAlign w:val="center"/>
          </w:tcPr>
          <w:p>
            <w:pPr>
              <w:jc w:val="center"/>
              <w:rPr>
                <w:rFonts w:ascii="宋体"/>
                <w:sz w:val="18"/>
                <w:szCs w:val="18"/>
              </w:rPr>
            </w:pPr>
            <w:r>
              <w:rPr>
                <w:rFonts w:hint="eastAsia"/>
              </w:rPr>
              <w:t>检验项目</w:t>
            </w:r>
          </w:p>
        </w:tc>
        <w:tc>
          <w:tcPr>
            <w:tcW w:w="4958" w:type="dxa"/>
            <w:tcBorders>
              <w:bottom w:val="single" w:color="auto" w:sz="12" w:space="0"/>
            </w:tcBorders>
            <w:noWrap w:val="0"/>
            <w:vAlign w:val="center"/>
          </w:tcPr>
          <w:p>
            <w:pPr>
              <w:jc w:val="center"/>
              <w:rPr>
                <w:rFonts w:ascii="宋体"/>
                <w:sz w:val="18"/>
                <w:szCs w:val="18"/>
              </w:rPr>
            </w:pPr>
            <w:r>
              <w:rPr>
                <w:rFonts w:hint="eastAsia"/>
              </w:rPr>
              <w:t>检验方法</w:t>
            </w:r>
          </w:p>
        </w:tc>
        <w:tc>
          <w:tcPr>
            <w:tcW w:w="1834" w:type="dxa"/>
            <w:tcBorders>
              <w:bottom w:val="single" w:color="auto" w:sz="12" w:space="0"/>
            </w:tcBorders>
            <w:noWrap w:val="0"/>
            <w:vAlign w:val="center"/>
          </w:tcPr>
          <w:p>
            <w:pPr>
              <w:jc w:val="center"/>
              <w:rPr>
                <w:rFonts w:hint="eastAsia"/>
              </w:rPr>
            </w:pPr>
            <w:r>
              <w:rPr>
                <w:rFonts w:hint="eastAsia"/>
                <w:vertAlign w:val="baseline"/>
                <w:lang w:eastAsia="zh-CN"/>
              </w:rPr>
              <w:t>检验频次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583" w:type="dxa"/>
            <w:tcBorders>
              <w:top w:val="single" w:color="auto" w:sz="12" w:space="0"/>
              <w:tl2br w:val="nil"/>
              <w:tr2bl w:val="nil"/>
            </w:tcBorders>
            <w:noWrap w:val="0"/>
            <w:vAlign w:val="center"/>
          </w:tcPr>
          <w:p>
            <w:pPr>
              <w:jc w:val="left"/>
              <w:rPr>
                <w:rFonts w:ascii="宋体"/>
                <w:sz w:val="18"/>
                <w:szCs w:val="18"/>
              </w:rPr>
            </w:pPr>
            <w:r>
              <w:rPr>
                <w:rFonts w:hint="eastAsia"/>
              </w:rPr>
              <w:t>色泽、形态、气味</w:t>
            </w:r>
          </w:p>
        </w:tc>
        <w:tc>
          <w:tcPr>
            <w:tcW w:w="4958" w:type="dxa"/>
            <w:tcBorders>
              <w:top w:val="single" w:color="auto" w:sz="12" w:space="0"/>
              <w:tl2br w:val="nil"/>
              <w:tr2bl w:val="nil"/>
            </w:tcBorders>
            <w:noWrap w:val="0"/>
            <w:vAlign w:val="center"/>
          </w:tcPr>
          <w:p>
            <w:pPr>
              <w:jc w:val="left"/>
              <w:rPr>
                <w:rFonts w:hint="eastAsia" w:ascii="宋体" w:hAnsi="宋体" w:eastAsia="宋体" w:cs="宋体"/>
                <w:color w:val="auto"/>
                <w:lang w:eastAsia="zh-CN"/>
              </w:rPr>
            </w:pPr>
            <w:r>
              <w:rPr>
                <w:rFonts w:hint="eastAsia" w:ascii="宋体" w:hAnsi="宋体" w:eastAsia="宋体" w:cs="宋体"/>
                <w:color w:val="auto"/>
              </w:rPr>
              <w:t>LJ-BZ(ZG)-33郎酒专用糯高粱感官鉴定方法</w:t>
            </w:r>
          </w:p>
        </w:tc>
        <w:tc>
          <w:tcPr>
            <w:tcW w:w="1834" w:type="dxa"/>
            <w:vMerge w:val="restart"/>
            <w:tcBorders>
              <w:top w:val="single" w:color="auto" w:sz="12" w:space="0"/>
              <w:tl2br w:val="nil"/>
              <w:tr2bl w:val="nil"/>
            </w:tcBorders>
            <w:noWrap w:val="0"/>
            <w:vAlign w:val="center"/>
          </w:tcPr>
          <w:p>
            <w:pPr>
              <w:jc w:val="both"/>
              <w:rPr>
                <w:rFonts w:hint="eastAsia" w:eastAsia="宋体"/>
                <w:vertAlign w:val="baseline"/>
                <w:lang w:eastAsia="zh-CN"/>
              </w:rPr>
            </w:pPr>
            <w:r>
              <w:rPr>
                <w:rFonts w:hint="eastAsia"/>
                <w:vertAlign w:val="baseline"/>
                <w:lang w:eastAsia="zh-CN"/>
              </w:rPr>
              <w:t>每批</w:t>
            </w:r>
            <w:r>
              <w:rPr>
                <w:rFonts w:hint="eastAsia"/>
                <w:vertAlign w:val="baseline"/>
              </w:rPr>
              <w:t>收粮下、插沙期间每十天每个厂家抽检</w:t>
            </w:r>
            <w:r>
              <w:rPr>
                <w:rFonts w:hint="eastAsia"/>
                <w:vertAlign w:val="baseline"/>
                <w:lang w:eastAsia="zh-CN"/>
              </w:rPr>
              <w:t>一次</w:t>
            </w:r>
          </w:p>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583" w:type="dxa"/>
            <w:vMerge w:val="restart"/>
            <w:tcBorders>
              <w:tl2br w:val="nil"/>
              <w:tr2bl w:val="nil"/>
            </w:tcBorders>
            <w:noWrap w:val="0"/>
            <w:vAlign w:val="center"/>
          </w:tcPr>
          <w:p>
            <w:pPr>
              <w:jc w:val="left"/>
              <w:rPr>
                <w:rFonts w:hint="eastAsia" w:ascii="Calibri" w:hAnsi="Calibri" w:eastAsia="宋体" w:cs="Times New Roman"/>
                <w:kern w:val="2"/>
                <w:sz w:val="21"/>
                <w:szCs w:val="21"/>
                <w:vertAlign w:val="baseline"/>
                <w:lang w:val="en-US" w:eastAsia="zh-CN" w:bidi="ar-SA"/>
              </w:rPr>
            </w:pPr>
            <w:r>
              <w:rPr>
                <w:rFonts w:hint="eastAsia"/>
              </w:rPr>
              <w:t>水分、杂质、不完善、容重、霉变粒、曼陀罗属及其他有毒植物的种子</w:t>
            </w:r>
          </w:p>
        </w:tc>
        <w:tc>
          <w:tcPr>
            <w:tcW w:w="4958" w:type="dxa"/>
            <w:tcBorders>
              <w:tl2br w:val="nil"/>
              <w:tr2bl w:val="nil"/>
            </w:tcBorders>
            <w:noWrap w:val="0"/>
            <w:vAlign w:val="center"/>
          </w:tcPr>
          <w:p>
            <w:pPr>
              <w:jc w:val="left"/>
              <w:rPr>
                <w:rFonts w:hint="eastAsia" w:ascii="宋体" w:hAnsi="宋体" w:eastAsia="宋体" w:cs="宋体"/>
                <w:color w:val="auto"/>
                <w:lang w:val="en-US" w:eastAsia="zh-CN"/>
              </w:rPr>
            </w:pPr>
            <w:r>
              <w:rPr>
                <w:rFonts w:hint="eastAsia" w:ascii="宋体" w:hAnsi="宋体" w:eastAsia="宋体" w:cs="宋体"/>
                <w:color w:val="auto"/>
              </w:rPr>
              <w:t>LJ-BZ(ZG)-11 原料分析方法</w:t>
            </w:r>
          </w:p>
        </w:tc>
        <w:tc>
          <w:tcPr>
            <w:tcW w:w="1834" w:type="dxa"/>
            <w:vMerge w:val="continue"/>
            <w:tcBorders>
              <w:tl2br w:val="nil"/>
              <w:tr2bl w:val="nil"/>
            </w:tcBorders>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8" w:hRule="atLeast"/>
        </w:trPr>
        <w:tc>
          <w:tcPr>
            <w:tcW w:w="2583" w:type="dxa"/>
            <w:vMerge w:val="continue"/>
            <w:tcBorders>
              <w:tl2br w:val="nil"/>
              <w:tr2bl w:val="nil"/>
            </w:tcBorders>
            <w:noWrap w:val="0"/>
            <w:vAlign w:val="center"/>
          </w:tcPr>
          <w:p>
            <w:pPr>
              <w:jc w:val="left"/>
              <w:rPr>
                <w:rFonts w:hint="eastAsia" w:ascii="Calibri" w:hAnsi="Calibri" w:eastAsia="宋体" w:cs="Times New Roman"/>
                <w:kern w:val="2"/>
                <w:sz w:val="21"/>
                <w:szCs w:val="21"/>
                <w:vertAlign w:val="baseline"/>
                <w:lang w:val="en-US" w:eastAsia="zh-CN" w:bidi="ar-SA"/>
              </w:rPr>
            </w:pPr>
          </w:p>
        </w:tc>
        <w:tc>
          <w:tcPr>
            <w:tcW w:w="4958" w:type="dxa"/>
            <w:tcBorders>
              <w:tl2br w:val="nil"/>
              <w:tr2bl w:val="nil"/>
            </w:tcBorders>
            <w:noWrap w:val="0"/>
            <w:vAlign w:val="center"/>
          </w:tcPr>
          <w:p>
            <w:pPr>
              <w:jc w:val="left"/>
              <w:rPr>
                <w:rFonts w:hint="eastAsia" w:ascii="宋体" w:hAnsi="宋体" w:eastAsia="宋体" w:cs="宋体"/>
                <w:color w:val="auto"/>
                <w:lang w:val="en-US" w:eastAsia="zh-CN"/>
              </w:rPr>
            </w:pPr>
            <w:r>
              <w:rPr>
                <w:rFonts w:hint="eastAsia" w:ascii="宋体" w:hAnsi="宋体" w:eastAsia="宋体" w:cs="宋体"/>
                <w:color w:val="auto"/>
              </w:rPr>
              <w:t>LJ-BZ(ZG)-35郎酒专用糯高粱单</w:t>
            </w:r>
            <w:r>
              <w:rPr>
                <w:rFonts w:hint="eastAsia" w:ascii="宋体" w:hAnsi="宋体" w:eastAsia="宋体" w:cs="宋体"/>
                <w:color w:val="auto"/>
                <w:lang w:eastAsia="zh-CN"/>
              </w:rPr>
              <w:t>宁分析方法</w:t>
            </w:r>
          </w:p>
        </w:tc>
        <w:tc>
          <w:tcPr>
            <w:tcW w:w="1834" w:type="dxa"/>
            <w:vMerge w:val="continue"/>
            <w:tcBorders>
              <w:tl2br w:val="nil"/>
              <w:tr2bl w:val="nil"/>
            </w:tcBorders>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583" w:type="dxa"/>
            <w:vMerge w:val="continue"/>
            <w:tcBorders>
              <w:tl2br w:val="nil"/>
              <w:tr2bl w:val="nil"/>
            </w:tcBorders>
            <w:noWrap w:val="0"/>
            <w:vAlign w:val="top"/>
          </w:tcPr>
          <w:p>
            <w:pPr>
              <w:jc w:val="center"/>
              <w:rPr>
                <w:rFonts w:hint="eastAsia" w:ascii="Calibri" w:hAnsi="Calibri" w:eastAsia="宋体" w:cs="Times New Roman"/>
                <w:kern w:val="2"/>
                <w:sz w:val="21"/>
                <w:szCs w:val="21"/>
                <w:lang w:val="en-US" w:eastAsia="zh-CN" w:bidi="ar-SA"/>
              </w:rPr>
            </w:pPr>
          </w:p>
        </w:tc>
        <w:tc>
          <w:tcPr>
            <w:tcW w:w="4958" w:type="dxa"/>
            <w:tcBorders>
              <w:tl2br w:val="nil"/>
              <w:tr2bl w:val="nil"/>
            </w:tcBorders>
            <w:noWrap w:val="0"/>
            <w:vAlign w:val="top"/>
          </w:tcPr>
          <w:p>
            <w:pPr>
              <w:jc w:val="left"/>
              <w:rPr>
                <w:rFonts w:hint="eastAsia" w:ascii="宋体" w:hAnsi="宋体" w:eastAsia="宋体" w:cs="宋体"/>
                <w:color w:val="auto"/>
                <w:lang w:val="en-US" w:eastAsia="zh-CN"/>
              </w:rPr>
            </w:pPr>
            <w:r>
              <w:rPr>
                <w:rFonts w:hint="eastAsia" w:ascii="宋体" w:hAnsi="宋体" w:eastAsia="宋体" w:cs="宋体"/>
                <w:color w:val="auto"/>
              </w:rPr>
              <w:t>LJ-BZ(ZG)-32 郎酒专用糯高粱淀粉分析方法</w:t>
            </w:r>
          </w:p>
        </w:tc>
        <w:tc>
          <w:tcPr>
            <w:tcW w:w="1834" w:type="dxa"/>
            <w:vMerge w:val="continue"/>
            <w:tcBorders>
              <w:tl2br w:val="nil"/>
              <w:tr2bl w:val="nil"/>
            </w:tcBorders>
            <w:noWrap w:val="0"/>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583" w:type="dxa"/>
            <w:tcBorders>
              <w:tl2br w:val="nil"/>
              <w:tr2bl w:val="nil"/>
            </w:tcBorders>
            <w:noWrap w:val="0"/>
            <w:vAlign w:val="center"/>
          </w:tcPr>
          <w:p>
            <w:pPr>
              <w:jc w:val="left"/>
              <w:rPr>
                <w:rFonts w:hint="eastAsia" w:ascii="Calibri" w:hAnsi="Calibri" w:eastAsia="宋体" w:cs="Times New Roman"/>
                <w:kern w:val="2"/>
                <w:sz w:val="21"/>
                <w:szCs w:val="21"/>
                <w:lang w:val="en-US" w:eastAsia="zh-CN" w:bidi="ar-SA"/>
              </w:rPr>
            </w:pPr>
            <w:r>
              <w:rPr>
                <w:rFonts w:hint="eastAsia"/>
              </w:rPr>
              <w:t>真菌毒素</w:t>
            </w:r>
          </w:p>
        </w:tc>
        <w:tc>
          <w:tcPr>
            <w:tcW w:w="4958" w:type="dxa"/>
            <w:tcBorders>
              <w:tl2br w:val="nil"/>
              <w:tr2bl w:val="nil"/>
            </w:tcBorders>
            <w:noWrap w:val="0"/>
            <w:vAlign w:val="top"/>
          </w:tcPr>
          <w:p>
            <w:pPr>
              <w:jc w:val="left"/>
              <w:rPr>
                <w:rFonts w:hint="eastAsia" w:ascii="宋体" w:hAnsi="宋体" w:eastAsia="宋体" w:cs="宋体"/>
                <w:color w:val="auto"/>
              </w:rPr>
            </w:pPr>
            <w:r>
              <w:rPr>
                <w:rFonts w:hint="eastAsia" w:ascii="宋体" w:hAnsi="宋体" w:eastAsia="宋体" w:cs="宋体"/>
                <w:color w:val="auto"/>
              </w:rPr>
              <w:t>LJ-BZ(ZG)-29粮食真菌毒素分析方法</w:t>
            </w:r>
          </w:p>
        </w:tc>
        <w:tc>
          <w:tcPr>
            <w:tcW w:w="1834" w:type="dxa"/>
            <w:vMerge w:val="continue"/>
            <w:tcBorders>
              <w:tl2br w:val="nil"/>
              <w:tr2bl w:val="nil"/>
            </w:tcBorders>
            <w:noWrap w:val="0"/>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583" w:type="dxa"/>
            <w:tcBorders>
              <w:tl2br w:val="nil"/>
              <w:tr2bl w:val="nil"/>
            </w:tcBorders>
            <w:noWrap w:val="0"/>
            <w:vAlign w:val="center"/>
          </w:tcPr>
          <w:p>
            <w:pPr>
              <w:jc w:val="left"/>
              <w:rPr>
                <w:rFonts w:hint="eastAsia" w:ascii="Calibri" w:hAnsi="Calibri" w:eastAsia="宋体" w:cs="Times New Roman"/>
                <w:kern w:val="2"/>
                <w:sz w:val="21"/>
                <w:szCs w:val="21"/>
                <w:lang w:val="en-US" w:eastAsia="zh-CN" w:bidi="ar-SA"/>
              </w:rPr>
            </w:pPr>
            <w:r>
              <w:rPr>
                <w:rFonts w:hint="eastAsia"/>
              </w:rPr>
              <w:t>污染物</w:t>
            </w:r>
          </w:p>
        </w:tc>
        <w:tc>
          <w:tcPr>
            <w:tcW w:w="4958" w:type="dxa"/>
            <w:tcBorders>
              <w:tl2br w:val="nil"/>
              <w:tr2bl w:val="nil"/>
            </w:tcBorders>
            <w:noWrap w:val="0"/>
            <w:vAlign w:val="top"/>
          </w:tcPr>
          <w:p>
            <w:pPr>
              <w:jc w:val="left"/>
              <w:rPr>
                <w:rFonts w:hint="eastAsia" w:ascii="宋体" w:hAnsi="宋体" w:eastAsia="宋体" w:cs="宋体"/>
                <w:color w:val="auto"/>
              </w:rPr>
            </w:pPr>
            <w:r>
              <w:rPr>
                <w:rFonts w:hint="eastAsia" w:ascii="宋体" w:hAnsi="宋体" w:eastAsia="宋体" w:cs="宋体"/>
                <w:color w:val="auto"/>
              </w:rPr>
              <w:t>LJ-BZ(ZG)-27元素分析方法</w:t>
            </w:r>
          </w:p>
        </w:tc>
        <w:tc>
          <w:tcPr>
            <w:tcW w:w="1834" w:type="dxa"/>
            <w:vMerge w:val="continue"/>
            <w:tcBorders>
              <w:tl2br w:val="nil"/>
              <w:tr2bl w:val="nil"/>
            </w:tcBorders>
            <w:noWrap w:val="0"/>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583" w:type="dxa"/>
            <w:tcBorders>
              <w:tl2br w:val="nil"/>
              <w:tr2bl w:val="nil"/>
            </w:tcBorders>
            <w:noWrap w:val="0"/>
            <w:vAlign w:val="center"/>
          </w:tcPr>
          <w:p>
            <w:pPr>
              <w:jc w:val="left"/>
              <w:rPr>
                <w:rFonts w:hint="eastAsia" w:ascii="Calibri" w:hAnsi="Calibri" w:eastAsia="宋体" w:cs="Times New Roman"/>
                <w:kern w:val="2"/>
                <w:sz w:val="21"/>
                <w:szCs w:val="21"/>
                <w:lang w:val="en-US" w:eastAsia="zh-CN" w:bidi="ar-SA"/>
              </w:rPr>
            </w:pPr>
            <w:r>
              <w:rPr>
                <w:rFonts w:hint="eastAsia"/>
              </w:rPr>
              <w:t>农药残留</w:t>
            </w:r>
          </w:p>
        </w:tc>
        <w:tc>
          <w:tcPr>
            <w:tcW w:w="4958" w:type="dxa"/>
            <w:tcBorders>
              <w:tl2br w:val="nil"/>
              <w:tr2bl w:val="nil"/>
            </w:tcBorders>
            <w:noWrap w:val="0"/>
            <w:vAlign w:val="top"/>
          </w:tcPr>
          <w:p>
            <w:pPr>
              <w:jc w:val="left"/>
              <w:rPr>
                <w:rFonts w:hint="eastAsia" w:ascii="宋体" w:hAnsi="宋体" w:eastAsia="宋体" w:cs="宋体"/>
              </w:rPr>
            </w:pPr>
            <w:r>
              <w:rPr>
                <w:rFonts w:hint="eastAsia" w:ascii="宋体" w:hAnsi="宋体" w:eastAsia="宋体" w:cs="宋体"/>
              </w:rPr>
              <w:t>GB 23200.9</w:t>
            </w:r>
            <w:r>
              <w:rPr>
                <w:rFonts w:hint="eastAsia" w:ascii="宋体" w:hAnsi="宋体" w:eastAsia="宋体" w:cs="宋体"/>
                <w:lang w:val="en-US" w:eastAsia="zh-CN"/>
              </w:rPr>
              <w:t xml:space="preserve"> </w:t>
            </w:r>
            <w:r>
              <w:rPr>
                <w:rFonts w:hint="eastAsia" w:ascii="宋体" w:hAnsi="宋体" w:eastAsia="宋体" w:cs="宋体"/>
              </w:rPr>
              <w:t>食品安全国家标</w:t>
            </w:r>
            <w:bookmarkStart w:id="58" w:name="_GoBack"/>
            <w:bookmarkEnd w:id="58"/>
            <w:r>
              <w:rPr>
                <w:rFonts w:hint="eastAsia" w:ascii="宋体" w:hAnsi="宋体" w:eastAsia="宋体" w:cs="宋体"/>
              </w:rPr>
              <w:t>准粮谷中475种农药及相关化学品残留量的测定气相色谱</w:t>
            </w:r>
            <w:r>
              <w:rPr>
                <w:rFonts w:hint="eastAsia" w:ascii="宋体" w:hAnsi="宋体" w:eastAsia="宋体" w:cs="宋体"/>
                <w:lang w:eastAsia="zh-CN"/>
              </w:rPr>
              <w:t>—</w:t>
            </w:r>
            <w:r>
              <w:rPr>
                <w:rFonts w:hint="eastAsia" w:ascii="宋体" w:hAnsi="宋体" w:eastAsia="宋体" w:cs="宋体"/>
              </w:rPr>
              <w:t>质谱法</w:t>
            </w:r>
          </w:p>
        </w:tc>
        <w:tc>
          <w:tcPr>
            <w:tcW w:w="1834" w:type="dxa"/>
            <w:vMerge w:val="continue"/>
            <w:tcBorders>
              <w:tl2br w:val="nil"/>
              <w:tr2bl w:val="nil"/>
            </w:tcBorders>
            <w:noWrap w:val="0"/>
            <w:vAlign w:val="top"/>
          </w:tcPr>
          <w:p>
            <w:pPr>
              <w:jc w:val="center"/>
              <w:rPr>
                <w:rFonts w:hint="eastAsia"/>
              </w:rPr>
            </w:pPr>
          </w:p>
        </w:tc>
      </w:tr>
    </w:tbl>
    <w:p>
      <w:pPr>
        <w:pStyle w:val="105"/>
        <w:numPr>
          <w:ilvl w:val="1"/>
          <w:numId w:val="0"/>
        </w:numPr>
        <w:spacing w:before="240" w:after="240"/>
        <w:ind w:leftChars="0"/>
        <w:rPr>
          <w:rFonts w:hint="default"/>
          <w:color w:val="auto"/>
          <w:lang w:val="en-US" w:eastAsia="zh-CN"/>
        </w:rPr>
      </w:pPr>
      <w:bookmarkStart w:id="50" w:name="_Toc17270"/>
      <w:r>
        <w:rPr>
          <w:rFonts w:hint="eastAsia"/>
          <w:color w:val="auto"/>
          <w:lang w:val="en-US" w:eastAsia="zh-CN"/>
        </w:rPr>
        <w:t>6  包装</w:t>
      </w:r>
      <w:bookmarkEnd w:id="50"/>
    </w:p>
    <w:p>
      <w:pPr>
        <w:pStyle w:val="106"/>
        <w:keepNext w:val="0"/>
        <w:keepLines w:val="0"/>
        <w:pageBreakBefore w:val="0"/>
        <w:widowControl/>
        <w:numPr>
          <w:ilvl w:val="2"/>
          <w:numId w:val="0"/>
        </w:numPr>
        <w:kinsoku/>
        <w:wordWrap/>
        <w:overflowPunct/>
        <w:topLinePunct w:val="0"/>
        <w:bidi w:val="0"/>
        <w:adjustRightInd/>
        <w:snapToGrid/>
        <w:spacing w:before="0" w:beforeLines="0" w:after="0" w:afterLines="0"/>
        <w:ind w:leftChars="0"/>
        <w:textAlignment w:val="auto"/>
        <w:rPr>
          <w:rFonts w:hint="eastAsia" w:ascii="宋体" w:hAnsi="Times New Roman" w:eastAsia="宋体" w:cs="Times New Roman"/>
          <w:color w:val="auto"/>
          <w:sz w:val="21"/>
          <w:lang w:val="en-US" w:eastAsia="zh-CN" w:bidi="ar-SA"/>
        </w:rPr>
      </w:pPr>
      <w:bookmarkStart w:id="51" w:name="_Toc2200"/>
      <w:bookmarkStart w:id="52" w:name="_Toc10675"/>
      <w:r>
        <w:rPr>
          <w:rFonts w:hint="eastAsia"/>
          <w:color w:val="auto"/>
          <w:lang w:val="en-US" w:eastAsia="zh-CN"/>
        </w:rPr>
        <w:t xml:space="preserve">6.1 </w:t>
      </w:r>
      <w:r>
        <w:rPr>
          <w:rFonts w:hint="eastAsia" w:ascii="宋体" w:hAnsi="Times New Roman" w:eastAsia="宋体" w:cs="Times New Roman"/>
          <w:color w:val="auto"/>
          <w:sz w:val="21"/>
          <w:lang w:val="en-US" w:eastAsia="zh-CN" w:bidi="ar-SA"/>
        </w:rPr>
        <w:t>包装应符合GB/T 17109 的规定和卫生要求。</w:t>
      </w:r>
      <w:bookmarkEnd w:id="51"/>
      <w:bookmarkEnd w:id="52"/>
    </w:p>
    <w:p>
      <w:pPr>
        <w:pStyle w:val="57"/>
        <w:keepNext w:val="0"/>
        <w:keepLines w:val="0"/>
        <w:pageBreakBefore w:val="0"/>
        <w:widowControl/>
        <w:kinsoku/>
        <w:wordWrap/>
        <w:overflowPunct/>
        <w:topLinePunct w:val="0"/>
        <w:bidi w:val="0"/>
        <w:adjustRightInd/>
        <w:snapToGrid/>
        <w:ind w:left="0" w:leftChars="0" w:firstLine="0" w:firstLineChars="0"/>
        <w:textAlignment w:val="auto"/>
        <w:rPr>
          <w:rFonts w:hint="eastAsia" w:eastAsia="宋体"/>
          <w:color w:val="auto"/>
          <w:lang w:val="en-US" w:eastAsia="zh-CN"/>
        </w:rPr>
      </w:pPr>
      <w:r>
        <w:rPr>
          <w:rFonts w:hint="eastAsia" w:ascii="黑体" w:hAnsi="Times New Roman" w:eastAsia="黑体" w:cs="Times New Roman"/>
          <w:color w:val="auto"/>
          <w:sz w:val="21"/>
          <w:lang w:val="en-US" w:eastAsia="zh-CN" w:bidi="ar-SA"/>
        </w:rPr>
        <w:t>6.2</w:t>
      </w:r>
      <w:r>
        <w:rPr>
          <w:rFonts w:hint="eastAsia"/>
          <w:color w:val="auto"/>
          <w:lang w:val="en-US" w:eastAsia="zh-CN"/>
        </w:rPr>
        <w:t xml:space="preserve"> 采用包装袋或散装，包装物或散装的容器应密实牢固，不产生撒漏，不能对高粱造成污染。</w:t>
      </w:r>
    </w:p>
    <w:p>
      <w:pPr>
        <w:pStyle w:val="105"/>
        <w:numPr>
          <w:ilvl w:val="1"/>
          <w:numId w:val="0"/>
        </w:numPr>
        <w:spacing w:before="240" w:after="240"/>
        <w:ind w:leftChars="0"/>
        <w:rPr>
          <w:rFonts w:hint="eastAsia"/>
          <w:color w:val="auto"/>
          <w:lang w:val="en-US" w:eastAsia="zh-CN"/>
        </w:rPr>
      </w:pPr>
      <w:bookmarkStart w:id="53" w:name="_Toc22890"/>
      <w:r>
        <w:rPr>
          <w:rFonts w:hint="eastAsia"/>
          <w:color w:val="auto"/>
          <w:lang w:val="en-US" w:eastAsia="zh-CN"/>
        </w:rPr>
        <w:t>7  运输和储存</w:t>
      </w:r>
      <w:bookmarkEnd w:id="53"/>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left"/>
        <w:textAlignment w:val="auto"/>
        <w:rPr>
          <w:rFonts w:hint="eastAsia" w:ascii="黑体" w:hAnsi="Times New Roman" w:eastAsia="黑体" w:cs="Times New Roman"/>
          <w:color w:val="auto"/>
          <w:kern w:val="0"/>
          <w:sz w:val="21"/>
          <w:szCs w:val="20"/>
          <w:lang w:val="en-US" w:eastAsia="zh-CN" w:bidi="ar-SA"/>
        </w:rPr>
      </w:pPr>
      <w:r>
        <w:rPr>
          <w:rFonts w:hint="eastAsia" w:ascii="黑体" w:hAnsi="Times New Roman" w:eastAsia="黑体" w:cs="Times New Roman"/>
          <w:color w:val="auto"/>
          <w:kern w:val="0"/>
          <w:sz w:val="21"/>
          <w:szCs w:val="20"/>
          <w:lang w:val="en-US" w:eastAsia="zh-CN" w:bidi="ar-SA"/>
        </w:rPr>
        <w:t>7.1 运输</w:t>
      </w:r>
    </w:p>
    <w:p>
      <w:pPr>
        <w:pStyle w:val="106"/>
        <w:keepNext w:val="0"/>
        <w:keepLines w:val="0"/>
        <w:pageBreakBefore w:val="0"/>
        <w:widowControl/>
        <w:numPr>
          <w:ilvl w:val="2"/>
          <w:numId w:val="0"/>
        </w:numPr>
        <w:kinsoku/>
        <w:wordWrap/>
        <w:overflowPunct/>
        <w:topLinePunct w:val="0"/>
        <w:bidi w:val="0"/>
        <w:adjustRightInd/>
        <w:snapToGrid/>
        <w:spacing w:before="0" w:beforeLines="0" w:after="0" w:afterLines="0"/>
        <w:ind w:leftChars="0" w:firstLine="420" w:firstLineChars="200"/>
        <w:textAlignment w:val="auto"/>
        <w:rPr>
          <w:rFonts w:hint="eastAsia" w:ascii="宋体" w:hAnsi="Times New Roman" w:eastAsia="宋体" w:cs="Times New Roman"/>
          <w:color w:val="auto"/>
          <w:sz w:val="21"/>
          <w:lang w:val="en-US" w:eastAsia="zh-CN" w:bidi="ar-SA"/>
        </w:rPr>
      </w:pPr>
      <w:bookmarkStart w:id="54" w:name="_Toc15918"/>
      <w:bookmarkStart w:id="55" w:name="_Toc17570"/>
      <w:r>
        <w:rPr>
          <w:rFonts w:hint="eastAsia" w:ascii="宋体" w:hAnsi="Times New Roman" w:eastAsia="宋体" w:cs="Times New Roman"/>
          <w:color w:val="auto"/>
          <w:sz w:val="21"/>
          <w:lang w:val="en-US" w:eastAsia="zh-CN" w:bidi="ar-SA"/>
        </w:rPr>
        <w:t>运输途中应对装卸的高粱进行防护，防止日晒、雨淋、渗漏、污染。运输所用车、船和其他装具不得将高粱与有毒、有害物品一同运输，以免造成污染。</w:t>
      </w:r>
      <w:bookmarkEnd w:id="54"/>
      <w:bookmarkEnd w:id="55"/>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left"/>
        <w:textAlignment w:val="auto"/>
        <w:rPr>
          <w:rFonts w:hint="eastAsia" w:ascii="黑体" w:hAnsi="Times New Roman" w:eastAsia="黑体" w:cs="Times New Roman"/>
          <w:color w:val="auto"/>
          <w:kern w:val="0"/>
          <w:sz w:val="21"/>
          <w:szCs w:val="20"/>
          <w:lang w:val="en-US" w:eastAsia="zh-CN" w:bidi="ar-SA"/>
        </w:rPr>
      </w:pPr>
      <w:r>
        <w:rPr>
          <w:rFonts w:hint="eastAsia" w:ascii="黑体" w:hAnsi="Times New Roman" w:eastAsia="黑体" w:cs="Times New Roman"/>
          <w:color w:val="auto"/>
          <w:kern w:val="0"/>
          <w:sz w:val="21"/>
          <w:szCs w:val="20"/>
          <w:lang w:val="en-US" w:eastAsia="zh-CN" w:bidi="ar-SA"/>
        </w:rPr>
        <w:t>7.2 储存</w:t>
      </w:r>
    </w:p>
    <w:p>
      <w:pPr>
        <w:keepNext w:val="0"/>
        <w:keepLines w:val="0"/>
        <w:pageBreakBefore w:val="0"/>
        <w:kinsoku/>
        <w:wordWrap/>
        <w:overflowPunct/>
        <w:topLinePunct w:val="0"/>
        <w:bidi w:val="0"/>
        <w:snapToGrid/>
        <w:ind w:left="0" w:firstLine="420" w:firstLineChars="0"/>
        <w:jc w:val="left"/>
        <w:textAlignment w:val="auto"/>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应分类储存于清洁、阴凉、干燥、防雨、防虫、防鼠、无异味的仓库内，不得与有毒、有害、有异味的物品或含水量较高的物质混存，堆放的高度适宜。</w:t>
      </w:r>
    </w:p>
    <w:p>
      <w:pPr>
        <w:pStyle w:val="57"/>
        <w:keepNext w:val="0"/>
        <w:keepLines w:val="0"/>
        <w:pageBreakBefore w:val="0"/>
        <w:kinsoku/>
        <w:wordWrap/>
        <w:overflowPunct/>
        <w:topLinePunct w:val="0"/>
        <w:bidi w:val="0"/>
        <w:snapToGrid/>
        <w:ind w:left="0" w:leftChars="0" w:firstLine="0" w:firstLineChars="0"/>
        <w:textAlignment w:val="auto"/>
        <w:rPr>
          <w:rFonts w:hint="eastAsia"/>
          <w:lang w:val="en-US" w:eastAsia="zh-CN"/>
        </w:rPr>
      </w:pPr>
    </w:p>
    <w:bookmarkEnd w:id="20"/>
    <w:p>
      <w:pPr>
        <w:pStyle w:val="199"/>
        <w:keepNext w:val="0"/>
        <w:keepLines w:val="0"/>
        <w:pageBreakBefore w:val="0"/>
        <w:kinsoku/>
        <w:wordWrap/>
        <w:overflowPunct/>
        <w:topLinePunct w:val="0"/>
        <w:bidi w:val="0"/>
        <w:snapToGrid/>
        <w:ind w:left="0"/>
        <w:textAlignment w:val="auto"/>
        <w:rPr>
          <w:vanish w:val="0"/>
        </w:rPr>
      </w:pPr>
      <w:bookmarkStart w:id="56" w:name="BookMark5"/>
    </w:p>
    <w:p>
      <w:pPr>
        <w:pStyle w:val="200"/>
        <w:rPr>
          <w:vanish w:val="0"/>
        </w:rPr>
      </w:pPr>
    </w:p>
    <w:bookmarkEnd w:id="56"/>
    <w:p>
      <w:pPr>
        <w:pStyle w:val="57"/>
        <w:ind w:firstLine="0" w:firstLineChars="0"/>
        <w:jc w:val="center"/>
      </w:pPr>
      <w:bookmarkStart w:id="57" w:name="BookMark8"/>
    </w:p>
    <w:p>
      <w:pPr>
        <w:pStyle w:val="57"/>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8"/>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firstLine="8820" w:firstLineChars="4900"/>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ind w:firstLine="7770" w:firstLineChars="3700"/>
    </w:pPr>
    <w:r>
      <w:fldChar w:fldCharType="begin"/>
    </w:r>
    <w:r>
      <w:instrText xml:space="preserve"> STYLEREF  标准文件_文件编号 \* MERGEFORMAT </w:instrText>
    </w:r>
    <w:r>
      <w:fldChar w:fldCharType="separate"/>
    </w:r>
    <w:r>
      <w:t>T/XXX XXXX—2024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23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2M5NGY1MGYwODNjNDE1ZDlmNjVjNjQwNzkyOTQifQ=="/>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CEB"/>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27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79E"/>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0EB2"/>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3B19D9"/>
    <w:rsid w:val="02BE1958"/>
    <w:rsid w:val="032064E7"/>
    <w:rsid w:val="042F62B6"/>
    <w:rsid w:val="06F3181D"/>
    <w:rsid w:val="09FA4319"/>
    <w:rsid w:val="0C6E1C03"/>
    <w:rsid w:val="0C751FF0"/>
    <w:rsid w:val="0FB9281A"/>
    <w:rsid w:val="127C4DBC"/>
    <w:rsid w:val="14B54DBD"/>
    <w:rsid w:val="162121A4"/>
    <w:rsid w:val="1A1B4EBB"/>
    <w:rsid w:val="1E896032"/>
    <w:rsid w:val="1F8C2DDE"/>
    <w:rsid w:val="20D416BD"/>
    <w:rsid w:val="21347BEE"/>
    <w:rsid w:val="22722A3B"/>
    <w:rsid w:val="23BE7221"/>
    <w:rsid w:val="24825C76"/>
    <w:rsid w:val="25DD15C5"/>
    <w:rsid w:val="26BF04D4"/>
    <w:rsid w:val="270D7567"/>
    <w:rsid w:val="287265EE"/>
    <w:rsid w:val="28AD3ACA"/>
    <w:rsid w:val="2CD87815"/>
    <w:rsid w:val="2D1A0AEC"/>
    <w:rsid w:val="2F2A16D6"/>
    <w:rsid w:val="2FAA5B44"/>
    <w:rsid w:val="2FE92467"/>
    <w:rsid w:val="31563F8A"/>
    <w:rsid w:val="327B59FF"/>
    <w:rsid w:val="36045D4B"/>
    <w:rsid w:val="384E39E3"/>
    <w:rsid w:val="38F117B0"/>
    <w:rsid w:val="3C634ADF"/>
    <w:rsid w:val="3CA371A5"/>
    <w:rsid w:val="3D961652"/>
    <w:rsid w:val="40692863"/>
    <w:rsid w:val="44530932"/>
    <w:rsid w:val="472E597E"/>
    <w:rsid w:val="4809056E"/>
    <w:rsid w:val="4DE21AEF"/>
    <w:rsid w:val="4E7836EE"/>
    <w:rsid w:val="4E960E86"/>
    <w:rsid w:val="50452756"/>
    <w:rsid w:val="50F43794"/>
    <w:rsid w:val="54C730B0"/>
    <w:rsid w:val="556140B5"/>
    <w:rsid w:val="56E63781"/>
    <w:rsid w:val="59A10231"/>
    <w:rsid w:val="5B5F03A4"/>
    <w:rsid w:val="5C384E7D"/>
    <w:rsid w:val="5FAE2EA5"/>
    <w:rsid w:val="60AD0719"/>
    <w:rsid w:val="63FC2C34"/>
    <w:rsid w:val="65EE0CA2"/>
    <w:rsid w:val="675A5CEE"/>
    <w:rsid w:val="68366002"/>
    <w:rsid w:val="696667F6"/>
    <w:rsid w:val="6B881251"/>
    <w:rsid w:val="6CB12695"/>
    <w:rsid w:val="6DE73EA1"/>
    <w:rsid w:val="6E1B74BF"/>
    <w:rsid w:val="6E1C5D35"/>
    <w:rsid w:val="6E8D72AA"/>
    <w:rsid w:val="6ED80BD6"/>
    <w:rsid w:val="701D640C"/>
    <w:rsid w:val="708C4217"/>
    <w:rsid w:val="771C7278"/>
    <w:rsid w:val="77B07B65"/>
    <w:rsid w:val="796C5D0E"/>
    <w:rsid w:val="7A723623"/>
    <w:rsid w:val="7B3867F0"/>
    <w:rsid w:val="7DEC3DBC"/>
    <w:rsid w:val="7DFD6C2C"/>
    <w:rsid w:val="7F954211"/>
    <w:rsid w:val="7FFC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qFormat/>
    <w:uiPriority w:val="0"/>
    <w:pPr>
      <w:jc w:val="left"/>
    </w:pPr>
  </w:style>
  <w:style w:type="paragraph" w:styleId="14">
    <w:name w:val="Body Text"/>
    <w:basedOn w:val="1"/>
    <w:link w:val="87"/>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rFonts w:ascii="Times New Roman" w:hAnsi="Times New Roman" w:eastAsia="宋体" w:cs="Times New Roman"/>
      <w:b/>
      <w:bCs/>
      <w:kern w:val="44"/>
      <w:sz w:val="44"/>
      <w:szCs w:val="44"/>
    </w:rPr>
  </w:style>
  <w:style w:type="character" w:customStyle="1" w:styleId="36">
    <w:name w:val="标题 2 Char"/>
    <w:link w:val="3"/>
    <w:autoRedefine/>
    <w:qFormat/>
    <w:uiPriority w:val="0"/>
    <w:rPr>
      <w:rFonts w:ascii="Arial" w:hAnsi="Arial" w:eastAsia="黑体" w:cs="Times New Roman"/>
      <w:b/>
      <w:bCs/>
      <w:sz w:val="32"/>
      <w:szCs w:val="32"/>
    </w:rPr>
  </w:style>
  <w:style w:type="character" w:customStyle="1" w:styleId="37">
    <w:name w:val="标题 3 Char"/>
    <w:link w:val="4"/>
    <w:autoRedefine/>
    <w:qFormat/>
    <w:uiPriority w:val="0"/>
    <w:rPr>
      <w:rFonts w:ascii="Times New Roman" w:hAnsi="Times New Roman" w:eastAsia="宋体" w:cs="Times New Roman"/>
      <w:b/>
      <w:bCs/>
      <w:sz w:val="32"/>
      <w:szCs w:val="32"/>
    </w:rPr>
  </w:style>
  <w:style w:type="character" w:customStyle="1" w:styleId="38">
    <w:name w:val="标题 4 Char"/>
    <w:link w:val="5"/>
    <w:autoRedefine/>
    <w:qFormat/>
    <w:uiPriority w:val="0"/>
    <w:rPr>
      <w:rFonts w:ascii="Arial" w:hAnsi="Arial" w:eastAsia="黑体" w:cs="Times New Roman"/>
      <w:b/>
      <w:bCs/>
      <w:sz w:val="28"/>
      <w:szCs w:val="28"/>
    </w:rPr>
  </w:style>
  <w:style w:type="character" w:customStyle="1" w:styleId="39">
    <w:name w:val="标题 5 Char"/>
    <w:link w:val="6"/>
    <w:autoRedefine/>
    <w:qFormat/>
    <w:uiPriority w:val="0"/>
    <w:rPr>
      <w:rFonts w:ascii="Times New Roman" w:hAnsi="Times New Roman" w:eastAsia="宋体" w:cs="Times New Roman"/>
      <w:b/>
      <w:bCs/>
      <w:sz w:val="28"/>
      <w:szCs w:val="28"/>
    </w:rPr>
  </w:style>
  <w:style w:type="character" w:customStyle="1" w:styleId="40">
    <w:name w:val="标题 6 Char"/>
    <w:link w:val="7"/>
    <w:autoRedefine/>
    <w:qFormat/>
    <w:uiPriority w:val="0"/>
    <w:rPr>
      <w:rFonts w:ascii="Arial" w:hAnsi="Arial" w:eastAsia="黑体" w:cs="Times New Roman"/>
      <w:b/>
      <w:bCs/>
      <w:sz w:val="24"/>
      <w:szCs w:val="24"/>
    </w:rPr>
  </w:style>
  <w:style w:type="character" w:customStyle="1" w:styleId="41">
    <w:name w:val="标题 7 Char"/>
    <w:link w:val="8"/>
    <w:autoRedefine/>
    <w:qFormat/>
    <w:uiPriority w:val="0"/>
    <w:rPr>
      <w:rFonts w:ascii="Times New Roman" w:hAnsi="Times New Roman" w:eastAsia="宋体" w:cs="Times New Roman"/>
      <w:b/>
      <w:bCs/>
      <w:sz w:val="24"/>
      <w:szCs w:val="24"/>
    </w:rPr>
  </w:style>
  <w:style w:type="character" w:customStyle="1" w:styleId="42">
    <w:name w:val="标题 8 Char"/>
    <w:link w:val="9"/>
    <w:autoRedefine/>
    <w:qFormat/>
    <w:uiPriority w:val="0"/>
    <w:rPr>
      <w:rFonts w:ascii="Arial" w:hAnsi="Arial" w:eastAsia="黑体" w:cs="Times New Roman"/>
      <w:sz w:val="24"/>
      <w:szCs w:val="24"/>
    </w:rPr>
  </w:style>
  <w:style w:type="character" w:customStyle="1" w:styleId="43">
    <w:name w:val="标题 9 Char"/>
    <w:link w:val="10"/>
    <w:autoRedefine/>
    <w:qFormat/>
    <w:uiPriority w:val="0"/>
    <w:rPr>
      <w:rFonts w:ascii="Arial" w:hAnsi="Arial" w:eastAsia="黑体" w:cs="Times New Roman"/>
      <w:szCs w:val="21"/>
    </w:rPr>
  </w:style>
  <w:style w:type="character" w:customStyle="1" w:styleId="44">
    <w:name w:val="页眉 Char"/>
    <w:link w:val="19"/>
    <w:autoRedefine/>
    <w:qFormat/>
    <w:uiPriority w:val="99"/>
    <w:rPr>
      <w:rFonts w:ascii="Times New Roman" w:hAnsi="Times New Roman" w:eastAsia="宋体" w:cs="Times New Roman"/>
      <w:sz w:val="18"/>
      <w:szCs w:val="18"/>
    </w:rPr>
  </w:style>
  <w:style w:type="character" w:customStyle="1" w:styleId="45">
    <w:name w:val="页脚 Char"/>
    <w:link w:val="18"/>
    <w:autoRedefine/>
    <w:qFormat/>
    <w:uiPriority w:val="99"/>
    <w:rPr>
      <w:rFonts w:ascii="宋体" w:hAnsi="Times New Roman" w:eastAsia="宋体" w:cs="Times New Roman"/>
      <w:sz w:val="18"/>
      <w:szCs w:val="18"/>
    </w:rPr>
  </w:style>
  <w:style w:type="character" w:customStyle="1" w:styleId="46">
    <w:name w:val="批注框文本 Char"/>
    <w:link w:val="17"/>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autoRedefine/>
    <w:qFormat/>
    <w:uiPriority w:val="29"/>
    <w:rPr>
      <w:i/>
      <w:iCs/>
      <w:color w:val="000000"/>
    </w:rPr>
  </w:style>
  <w:style w:type="character" w:customStyle="1" w:styleId="49">
    <w:name w:val="标题 Char"/>
    <w:link w:val="26"/>
    <w:autoRedefine/>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autoRedefine/>
    <w:semiHidden/>
    <w:qFormat/>
    <w:uiPriority w:val="0"/>
    <w:rPr>
      <w:rFonts w:ascii="宋体" w:hAnsi="Times New Roman" w:eastAsia="宋体" w:cs="Times New Roman"/>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autoRedefine/>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正文表标题"/>
    <w:next w:val="231"/>
    <w:autoRedefine/>
    <w:qFormat/>
    <w:uiPriority w:val="99"/>
    <w:pPr>
      <w:numPr>
        <w:ilvl w:val="0"/>
        <w:numId w:val="16"/>
      </w:numPr>
      <w:spacing w:beforeLines="50" w:afterLines="50"/>
      <w:ind w:left="3686"/>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7675CCFB074D529C391823AC2DAA98"/>
        <w:style w:val=""/>
        <w:category>
          <w:name w:val="常规"/>
          <w:gallery w:val="placeholder"/>
        </w:category>
        <w:types>
          <w:type w:val="bbPlcHdr"/>
        </w:types>
        <w:behaviors>
          <w:behavior w:val="content"/>
        </w:behaviors>
        <w:description w:val=""/>
        <w:guid w:val="{665199BF-9481-4EA0-8F88-948180B5A81C}"/>
      </w:docPartPr>
      <w:docPartBody>
        <w:p>
          <w:pPr>
            <w:pStyle w:val="5"/>
          </w:pPr>
          <w:r>
            <w:rPr>
              <w:rStyle w:val="4"/>
              <w:rFonts w:hint="eastAsia"/>
            </w:rPr>
            <w:t>单击或点击此处输入文字。</w:t>
          </w:r>
        </w:p>
      </w:docPartBody>
    </w:docPart>
    <w:docPart>
      <w:docPartPr>
        <w:name w:val="8C88C206CB2C437BA6AD2F626C67CDAF"/>
        <w:style w:val=""/>
        <w:category>
          <w:name w:val="常规"/>
          <w:gallery w:val="placeholder"/>
        </w:category>
        <w:types>
          <w:type w:val="bbPlcHdr"/>
        </w:types>
        <w:behaviors>
          <w:behavior w:val="content"/>
        </w:behaviors>
        <w:description w:val=""/>
        <w:guid w:val="{DC55CEB2-0EF6-4BFF-ADB3-2A363D0181DB}"/>
      </w:docPartPr>
      <w:docPartBody>
        <w:p>
          <w:pPr>
            <w:pStyle w:val="6"/>
          </w:pPr>
          <w:r>
            <w:rPr>
              <w:rStyle w:val="4"/>
              <w:rFonts w:hint="eastAsia"/>
            </w:rPr>
            <w:t>选择一项。</w:t>
          </w:r>
        </w:p>
      </w:docPartBody>
    </w:docPart>
    <w:docPart>
      <w:docPartPr>
        <w:name w:val="8FB8789C99224FF2851587FDC51794F3"/>
        <w:style w:val=""/>
        <w:category>
          <w:name w:val="常规"/>
          <w:gallery w:val="placeholder"/>
        </w:category>
        <w:types>
          <w:type w:val="bbPlcHdr"/>
        </w:types>
        <w:behaviors>
          <w:behavior w:val="content"/>
        </w:behaviors>
        <w:description w:val=""/>
        <w:guid w:val="{B6BCD1C3-FC3A-44E9-A1EB-483F097C244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E"/>
    <w:rsid w:val="003F09A1"/>
    <w:rsid w:val="0058092C"/>
    <w:rsid w:val="00A9122E"/>
    <w:rsid w:val="00BD76A1"/>
    <w:rsid w:val="00C2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B7675CCFB074D529C391823AC2DAA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C88C206CB2C437BA6AD2F626C67CD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FB8789C99224FF2851587FDC51794F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501D6-1E51-4251-A3CE-F78C4709638C}">
  <ds:schemaRefs/>
</ds:datastoreItem>
</file>

<file path=docProps/app.xml><?xml version="1.0" encoding="utf-8"?>
<Properties xmlns="http://schemas.openxmlformats.org/officeDocument/2006/extended-properties" xmlns:vt="http://schemas.openxmlformats.org/officeDocument/2006/docPropsVTypes">
  <Template>团体标准.dotx</Template>
  <Pages>7</Pages>
  <Words>403</Words>
  <Characters>457</Characters>
  <Lines>10</Lines>
  <Paragraphs>2</Paragraphs>
  <TotalTime>4</TotalTime>
  <ScaleCrop>false</ScaleCrop>
  <LinksUpToDate>false</LinksUpToDate>
  <CharactersWithSpaces>496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2021-11-25T07:05:00Z</dcterms:created>
  <dc:creator>陈圳</dc:creator>
  <dc:description>&lt;config cover="true" show_menu="true" version="1.0.0" doctype="SDKXY"&gt;_x000d_
&lt;/config&gt;</dc:description>
  <cp:lastModifiedBy>LJ</cp:lastModifiedBy>
  <dcterms:modified xsi:type="dcterms:W3CDTF">2024-05-16T02:35:50Z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ICV">
    <vt:lpwstr>5906BFE12BCC44BBAB430B193E93C1D3</vt:lpwstr>
  </property>
  <property fmtid="{D5CDD505-2E9C-101B-9397-08002B2CF9AE}" pid="16" name="KSOProductBuildVer">
    <vt:lpwstr>2052-12.1.0.16417</vt:lpwstr>
  </property>
</Properties>
</file>