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6"/>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rPr>
          <w:rFonts w:hint="eastAsia" w:hAnsi="黑体"/>
          <w:lang w:val="en-US" w:eastAsia="zh-CN"/>
        </w:rPr>
        <w:t>2024</w:t>
      </w:r>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rPr>
          <w:rFonts w:hint="eastAsia" w:eastAsia="黑体"/>
          <w:lang w:eastAsia="zh-CN"/>
        </w:rPr>
      </w:pPr>
      <w:r>
        <w:rPr>
          <w:rFonts w:hint="eastAsia"/>
          <w:lang w:eastAsia="zh-CN"/>
        </w:rPr>
        <w:t>酱香型酿酒糯高粱储藏仓库技术管理规范</w:t>
      </w:r>
    </w:p>
    <w:p>
      <w:pPr>
        <w:pStyle w:val="126"/>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bookmarkStart w:id="8" w:name="下拉1"/>
      <w:r>
        <w:rPr>
          <w:rFonts w:hint="eastAsia" w:cs="Times New Roman"/>
          <w:sz w:val="24"/>
          <w:szCs w:val="28"/>
          <w:lang w:val="en-US" w:eastAsia="zh-CN" w:bidi="ar-SA"/>
        </w:rPr>
        <w:t>（征求意见稿）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8"/>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9"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9"/>
    </w:p>
    <w:p>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6"/>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360"/>
      </w:pPr>
      <w:bookmarkStart w:id="17" w:name="BookMark1"/>
      <w:r>
        <w:rPr>
          <w:rFonts w:hint="eastAsia"/>
          <w:spacing w:val="320"/>
        </w:rPr>
        <w:t>目</w:t>
      </w:r>
      <w:r>
        <w:rPr>
          <w:rFonts w:hint="eastAsia"/>
        </w:rPr>
        <w:t>次</w:t>
      </w:r>
    </w:p>
    <w:p>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_Toc5003 </w:instrText>
      </w:r>
      <w:r>
        <w:fldChar w:fldCharType="separate"/>
      </w:r>
      <w:r>
        <w:rPr>
          <w:rFonts w:hint="eastAsia"/>
          <w:lang w:eastAsia="zh-CN"/>
        </w:rPr>
        <w:t>前</w:t>
      </w:r>
      <w:r>
        <w:t>言</w:t>
      </w:r>
      <w:r>
        <w:tab/>
      </w:r>
      <w:r>
        <w:fldChar w:fldCharType="begin"/>
      </w:r>
      <w:r>
        <w:instrText xml:space="preserve"> PAGEREF _Toc5003 \h </w:instrText>
      </w:r>
      <w:r>
        <w:fldChar w:fldCharType="separate"/>
      </w:r>
      <w:r>
        <w:t>III</w:t>
      </w:r>
      <w:r>
        <w:fldChar w:fldCharType="end"/>
      </w:r>
      <w:r>
        <w:fldChar w:fldCharType="end"/>
      </w:r>
    </w:p>
    <w:p>
      <w:pPr>
        <w:pStyle w:val="20"/>
        <w:tabs>
          <w:tab w:val="right" w:leader="dot" w:pos="9354"/>
        </w:tabs>
      </w:pPr>
      <w:r>
        <w:fldChar w:fldCharType="begin"/>
      </w:r>
      <w:r>
        <w:instrText xml:space="preserve"> HYPERLINK \l _Toc31017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_Toc31017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_Toc28394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_Toc28394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_Toc10506 </w:instrText>
      </w:r>
      <w:r>
        <w:fldChar w:fldCharType="separate"/>
      </w:r>
      <w:r>
        <w:rPr>
          <w:rFonts w:hint="eastAsia"/>
          <w:szCs w:val="21"/>
          <w:lang w:val="en-US" w:eastAsia="zh-CN"/>
        </w:rPr>
        <w:t xml:space="preserve">3  </w:t>
      </w:r>
      <w:r>
        <w:rPr>
          <w:rFonts w:hint="eastAsia"/>
          <w:szCs w:val="21"/>
        </w:rPr>
        <w:t>术语和定义</w:t>
      </w:r>
      <w:r>
        <w:tab/>
      </w:r>
      <w:r>
        <w:fldChar w:fldCharType="begin"/>
      </w:r>
      <w:r>
        <w:instrText xml:space="preserve"> PAGEREF _Toc10506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_Toc15090 </w:instrText>
      </w:r>
      <w:r>
        <w:fldChar w:fldCharType="separate"/>
      </w:r>
      <w:r>
        <w:rPr>
          <w:rFonts w:hint="eastAsia"/>
          <w:szCs w:val="21"/>
          <w:lang w:val="en-US" w:eastAsia="zh-CN"/>
        </w:rPr>
        <w:t>4  建设基本要求</w:t>
      </w:r>
      <w:r>
        <w:tab/>
      </w:r>
      <w:r>
        <w:fldChar w:fldCharType="begin"/>
      </w:r>
      <w:r>
        <w:instrText xml:space="preserve"> PAGEREF _Toc15090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_Toc19723 </w:instrText>
      </w:r>
      <w:r>
        <w:fldChar w:fldCharType="separate"/>
      </w:r>
      <w:r>
        <w:rPr>
          <w:rFonts w:hint="eastAsia"/>
          <w:szCs w:val="21"/>
          <w:lang w:val="en-US" w:eastAsia="zh-CN"/>
        </w:rPr>
        <w:t>5  设备基本要求</w:t>
      </w:r>
      <w:r>
        <w:tab/>
      </w:r>
      <w:r>
        <w:fldChar w:fldCharType="begin"/>
      </w:r>
      <w:r>
        <w:instrText xml:space="preserve"> PAGEREF _Toc19723 \h </w:instrText>
      </w:r>
      <w:r>
        <w:fldChar w:fldCharType="separate"/>
      </w:r>
      <w:r>
        <w:t>1</w:t>
      </w:r>
      <w:r>
        <w:fldChar w:fldCharType="end"/>
      </w:r>
      <w:r>
        <w:fldChar w:fldCharType="end"/>
      </w:r>
    </w:p>
    <w:p>
      <w:pPr>
        <w:pStyle w:val="20"/>
        <w:tabs>
          <w:tab w:val="right" w:leader="dot" w:pos="9354"/>
        </w:tabs>
      </w:pPr>
      <w:r>
        <w:fldChar w:fldCharType="begin"/>
      </w:r>
      <w:r>
        <w:instrText xml:space="preserve"> HYPERLINK \l _Toc25918 </w:instrText>
      </w:r>
      <w:r>
        <w:fldChar w:fldCharType="separate"/>
      </w:r>
      <w:r>
        <w:rPr>
          <w:rFonts w:hint="eastAsia"/>
          <w:szCs w:val="21"/>
          <w:lang w:val="en-US" w:eastAsia="zh-CN"/>
        </w:rPr>
        <w:t>6  人员基本要求</w:t>
      </w:r>
      <w:r>
        <w:tab/>
      </w:r>
      <w:r>
        <w:fldChar w:fldCharType="begin"/>
      </w:r>
      <w:r>
        <w:instrText xml:space="preserve"> PAGEREF _Toc25918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_Toc32605 </w:instrText>
      </w:r>
      <w:r>
        <w:fldChar w:fldCharType="separate"/>
      </w:r>
      <w:r>
        <w:rPr>
          <w:rFonts w:hint="eastAsia"/>
          <w:szCs w:val="21"/>
          <w:lang w:val="en-US" w:eastAsia="zh-CN"/>
        </w:rPr>
        <w:t>7  备案管理</w:t>
      </w:r>
      <w:r>
        <w:tab/>
      </w:r>
      <w:r>
        <w:fldChar w:fldCharType="begin"/>
      </w:r>
      <w:r>
        <w:instrText xml:space="preserve"> PAGEREF _Toc32605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_Toc24141 </w:instrText>
      </w:r>
      <w:r>
        <w:fldChar w:fldCharType="separate"/>
      </w:r>
      <w:r>
        <w:rPr>
          <w:rFonts w:hint="eastAsia"/>
          <w:szCs w:val="21"/>
          <w:lang w:val="en-US" w:eastAsia="zh-CN"/>
        </w:rPr>
        <w:t>8  质量档案管理</w:t>
      </w:r>
      <w:r>
        <w:tab/>
      </w:r>
      <w:r>
        <w:fldChar w:fldCharType="begin"/>
      </w:r>
      <w:r>
        <w:instrText xml:space="preserve"> PAGEREF _Toc24141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_Toc31048 </w:instrText>
      </w:r>
      <w:r>
        <w:fldChar w:fldCharType="separate"/>
      </w:r>
      <w:r>
        <w:rPr>
          <w:rFonts w:hint="eastAsia"/>
          <w:szCs w:val="21"/>
          <w:lang w:val="en-US" w:eastAsia="zh-CN"/>
        </w:rPr>
        <w:t>9  进仓要求</w:t>
      </w:r>
      <w:r>
        <w:tab/>
      </w:r>
      <w:r>
        <w:fldChar w:fldCharType="begin"/>
      </w:r>
      <w:r>
        <w:instrText xml:space="preserve"> PAGEREF _Toc31048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_Toc484 </w:instrText>
      </w:r>
      <w:r>
        <w:fldChar w:fldCharType="separate"/>
      </w:r>
      <w:r>
        <w:rPr>
          <w:rFonts w:hint="eastAsia"/>
          <w:szCs w:val="21"/>
          <w:lang w:val="en-US" w:eastAsia="zh-CN"/>
        </w:rPr>
        <w:t>10  质量要求</w:t>
      </w:r>
      <w:r>
        <w:tab/>
      </w:r>
      <w:r>
        <w:fldChar w:fldCharType="begin"/>
      </w:r>
      <w:r>
        <w:instrText xml:space="preserve"> PAGEREF _Toc484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_Toc6294 </w:instrText>
      </w:r>
      <w:r>
        <w:fldChar w:fldCharType="separate"/>
      </w:r>
      <w:r>
        <w:rPr>
          <w:rFonts w:hint="eastAsia"/>
          <w:szCs w:val="21"/>
          <w:lang w:val="en-US" w:eastAsia="zh-CN"/>
        </w:rPr>
        <w:t>11  储存要求</w:t>
      </w:r>
      <w:r>
        <w:tab/>
      </w:r>
      <w:r>
        <w:fldChar w:fldCharType="begin"/>
      </w:r>
      <w:r>
        <w:instrText xml:space="preserve"> PAGEREF _Toc6294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_Toc19290 </w:instrText>
      </w:r>
      <w:r>
        <w:fldChar w:fldCharType="separate"/>
      </w:r>
      <w:r>
        <w:rPr>
          <w:rFonts w:hint="eastAsia"/>
          <w:szCs w:val="21"/>
          <w:lang w:val="en-US" w:eastAsia="zh-CN"/>
        </w:rPr>
        <w:t>12  出仓要求</w:t>
      </w:r>
      <w:r>
        <w:tab/>
      </w:r>
      <w:r>
        <w:fldChar w:fldCharType="begin"/>
      </w:r>
      <w:r>
        <w:instrText xml:space="preserve"> PAGEREF _Toc19290 \h </w:instrText>
      </w:r>
      <w:r>
        <w:fldChar w:fldCharType="separate"/>
      </w:r>
      <w:r>
        <w:t>2</w:t>
      </w:r>
      <w:r>
        <w:fldChar w:fldCharType="end"/>
      </w:r>
      <w:r>
        <w:fldChar w:fldCharType="end"/>
      </w:r>
    </w:p>
    <w:p>
      <w:pPr>
        <w:pStyle w:val="20"/>
        <w:tabs>
          <w:tab w:val="right" w:leader="dot" w:pos="9354"/>
        </w:tabs>
      </w:pPr>
      <w:r>
        <w:fldChar w:fldCharType="begin"/>
      </w:r>
      <w:r>
        <w:instrText xml:space="preserve"> HYPERLINK \l _Toc30002 </w:instrText>
      </w:r>
      <w:r>
        <w:fldChar w:fldCharType="separate"/>
      </w:r>
      <w:r>
        <w:rPr>
          <w:rFonts w:hint="eastAsia"/>
          <w:szCs w:val="21"/>
          <w:lang w:val="en-US" w:eastAsia="zh-CN"/>
        </w:rPr>
        <w:t>13  储粮安全管理</w:t>
      </w:r>
      <w:r>
        <w:tab/>
      </w:r>
      <w:r>
        <w:fldChar w:fldCharType="begin"/>
      </w:r>
      <w:r>
        <w:instrText xml:space="preserve"> PAGEREF _Toc30002 \h </w:instrText>
      </w:r>
      <w:r>
        <w:fldChar w:fldCharType="separate"/>
      </w:r>
      <w:r>
        <w:t>3</w:t>
      </w:r>
      <w:r>
        <w:fldChar w:fldCharType="end"/>
      </w:r>
      <w:r>
        <w:fldChar w:fldCharType="end"/>
      </w:r>
    </w:p>
    <w:p>
      <w:pPr>
        <w:pStyle w:val="92"/>
        <w:spacing w:after="360"/>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linePitch="312" w:charSpace="0"/>
        </w:sectPr>
      </w:pPr>
      <w:r>
        <w:fldChar w:fldCharType="end"/>
      </w:r>
      <w:bookmarkStart w:id="71" w:name="_GoBack"/>
      <w:bookmarkEnd w:id="71"/>
    </w:p>
    <w:bookmarkEnd w:id="17"/>
    <w:p>
      <w:pPr>
        <w:pStyle w:val="90"/>
        <w:spacing w:after="360"/>
      </w:pPr>
      <w:bookmarkStart w:id="18" w:name="_Toc22488"/>
      <w:bookmarkStart w:id="19" w:name="_Toc5003"/>
      <w:bookmarkStart w:id="20" w:name="BookMark2"/>
      <w:r>
        <w:rPr>
          <w:spacing w:val="320"/>
        </w:rPr>
        <w:t>前</w:t>
      </w:r>
      <w:r>
        <w:t>言</w:t>
      </w:r>
      <w:bookmarkEnd w:id="18"/>
      <w:bookmarkEnd w:id="19"/>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w:t>
      </w:r>
      <w:r>
        <w:rPr>
          <w:rFonts w:hint="eastAsia"/>
          <w:lang w:eastAsia="zh-CN"/>
        </w:rPr>
        <w:t>古蔺县红粱种植协会</w:t>
      </w:r>
      <w:r>
        <w:rPr>
          <w:rFonts w:hint="eastAsia"/>
        </w:rPr>
        <w:t>提出。</w:t>
      </w:r>
    </w:p>
    <w:p>
      <w:pPr>
        <w:pStyle w:val="57"/>
        <w:ind w:firstLine="420"/>
      </w:pPr>
      <w:r>
        <w:rPr>
          <w:rFonts w:hint="eastAsia"/>
        </w:rPr>
        <w:t>本文件由</w:t>
      </w:r>
      <w:r>
        <w:rPr>
          <w:rFonts w:hint="eastAsia"/>
          <w:lang w:val="en-US" w:eastAsia="zh-CN"/>
        </w:rPr>
        <w:t>***</w:t>
      </w:r>
      <w:r>
        <w:rPr>
          <w:rFonts w:hint="eastAsia"/>
        </w:rPr>
        <w:t>归口。</w:t>
      </w:r>
    </w:p>
    <w:p>
      <w:pPr>
        <w:pStyle w:val="57"/>
        <w:ind w:firstLine="420"/>
        <w:rPr>
          <w:rFonts w:hint="eastAsia" w:eastAsia="宋体"/>
          <w:lang w:eastAsia="zh-CN"/>
        </w:rPr>
      </w:pPr>
      <w:r>
        <w:rPr>
          <w:rFonts w:hint="eastAsia"/>
        </w:rPr>
        <w:t>本文件起草单位：</w:t>
      </w:r>
      <w:r>
        <w:rPr>
          <w:rFonts w:hint="eastAsia"/>
          <w:lang w:eastAsia="zh-CN"/>
        </w:rPr>
        <w:t>古蔺县红粱种植协会。</w:t>
      </w:r>
    </w:p>
    <w:p>
      <w:pPr>
        <w:pStyle w:val="57"/>
        <w:ind w:firstLine="420"/>
        <w:rPr>
          <w:rFonts w:hint="default" w:eastAsia="宋体"/>
          <w:lang w:val="en-US" w:eastAsia="zh-CN"/>
        </w:rPr>
      </w:pPr>
      <w:r>
        <w:rPr>
          <w:rFonts w:hint="eastAsia"/>
        </w:rPr>
        <w:t>本文件主要起草人：</w:t>
      </w:r>
      <w:r>
        <w:rPr>
          <w:rFonts w:hint="eastAsia"/>
          <w:lang w:val="en-US" w:eastAsia="zh-CN"/>
        </w:rPr>
        <w:t>***、***、***。</w:t>
      </w:r>
    </w:p>
    <w:p>
      <w:pPr>
        <w:pStyle w:val="57"/>
        <w:ind w:firstLine="420"/>
      </w:pPr>
    </w:p>
    <w:p>
      <w:pPr>
        <w:pStyle w:val="57"/>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start="3"/>
          <w:cols w:space="425" w:num="1"/>
          <w:formProt w:val="0"/>
          <w:docGrid w:linePitch="312" w:charSpace="0"/>
        </w:sectPr>
      </w:pPr>
    </w:p>
    <w:bookmarkEnd w:id="20"/>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7B7675CCFB074D529C391823AC2DAA98"/>
        </w:placeholder>
      </w:sdtPr>
      <w:sdtEndPr>
        <w:rPr>
          <w:rFonts w:hint="eastAsia"/>
        </w:rPr>
      </w:sdtEndPr>
      <w:sdtContent>
        <w:p>
          <w:pPr>
            <w:pStyle w:val="178"/>
            <w:spacing w:after="528" w:afterLines="220"/>
          </w:pPr>
          <w:bookmarkStart w:id="22" w:name="NEW_STAND_NAME"/>
          <w:r>
            <w:rPr>
              <w:rFonts w:hint="eastAsia"/>
            </w:rPr>
            <w:t>酱香型酿酒糯高粱</w:t>
          </w:r>
          <w:r>
            <w:rPr>
              <w:rFonts w:hint="eastAsia"/>
              <w:lang w:eastAsia="zh-CN"/>
            </w:rPr>
            <w:t>储藏仓库</w:t>
          </w:r>
          <w:r>
            <w:rPr>
              <w:rFonts w:hint="eastAsia"/>
            </w:rPr>
            <w:t>技术管理规范</w:t>
          </w:r>
        </w:p>
      </w:sdtContent>
    </w:sdt>
    <w:bookmarkEnd w:id="22"/>
    <w:p>
      <w:pPr>
        <w:pStyle w:val="105"/>
        <w:spacing w:before="240" w:after="240"/>
      </w:pPr>
      <w:bookmarkStart w:id="23" w:name="_Toc17233333"/>
      <w:bookmarkStart w:id="24" w:name="_Toc26648465"/>
      <w:bookmarkStart w:id="25" w:name="_Toc26986530"/>
      <w:bookmarkStart w:id="26" w:name="_Toc26986771"/>
      <w:bookmarkStart w:id="27" w:name="_Toc26718930"/>
      <w:bookmarkStart w:id="28" w:name="_Toc17233325"/>
      <w:bookmarkStart w:id="29" w:name="_Toc24884211"/>
      <w:bookmarkStart w:id="30" w:name="_Toc24884218"/>
      <w:bookmarkStart w:id="31" w:name="_Toc31017"/>
      <w:r>
        <w:rPr>
          <w:rFonts w:hint="eastAsia"/>
        </w:rPr>
        <w:t>范围</w:t>
      </w:r>
      <w:bookmarkEnd w:id="23"/>
      <w:bookmarkEnd w:id="24"/>
      <w:bookmarkEnd w:id="25"/>
      <w:bookmarkEnd w:id="26"/>
      <w:bookmarkEnd w:id="27"/>
      <w:bookmarkEnd w:id="28"/>
      <w:bookmarkEnd w:id="29"/>
      <w:bookmarkEnd w:id="30"/>
      <w:bookmarkEnd w:id="31"/>
    </w:p>
    <w:p>
      <w:pPr>
        <w:pStyle w:val="57"/>
        <w:ind w:firstLine="420"/>
        <w:rPr>
          <w:rFonts w:hint="eastAsia"/>
          <w:lang w:eastAsia="zh-CN"/>
        </w:rPr>
      </w:pPr>
      <w:bookmarkStart w:id="32" w:name="_Toc26648466"/>
      <w:bookmarkStart w:id="33" w:name="_Toc17233334"/>
      <w:bookmarkStart w:id="34" w:name="_Toc17233326"/>
      <w:bookmarkStart w:id="35" w:name="_Toc24884212"/>
      <w:bookmarkStart w:id="36" w:name="_Toc24884219"/>
      <w:r>
        <w:rPr>
          <w:rFonts w:hint="eastAsia"/>
          <w:lang w:eastAsia="zh-CN"/>
        </w:rPr>
        <w:t>本文件规定了酱香型酿酒糯高粱储藏仓库建设基本要求、设备基本要求、人员基本要求、备案和质量档案管理、进出仓库要求、质量要求、储存要求、储粮安全管理。</w:t>
      </w:r>
    </w:p>
    <w:p>
      <w:pPr>
        <w:pStyle w:val="57"/>
        <w:ind w:firstLine="420"/>
        <w:rPr>
          <w:rFonts w:hint="eastAsia"/>
          <w:lang w:eastAsia="zh-CN"/>
        </w:rPr>
      </w:pPr>
      <w:r>
        <w:rPr>
          <w:rFonts w:hint="eastAsia"/>
          <w:lang w:eastAsia="zh-CN"/>
        </w:rPr>
        <w:t>本文件适用于古蔺县行政区域内的酱香型酿酒糯高粱储藏仓库管理。</w:t>
      </w:r>
    </w:p>
    <w:p>
      <w:pPr>
        <w:pStyle w:val="105"/>
        <w:spacing w:before="240" w:after="240"/>
      </w:pPr>
      <w:bookmarkStart w:id="37" w:name="_Toc26986772"/>
      <w:bookmarkStart w:id="38" w:name="_Toc26718931"/>
      <w:bookmarkStart w:id="39" w:name="_Toc26986531"/>
      <w:bookmarkStart w:id="40" w:name="_Toc28394"/>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8C88C206CB2C437BA6AD2F626C67CD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rPr>
          <w:rFonts w:hint="eastAsia"/>
        </w:rPr>
      </w:pPr>
      <w:r>
        <w:rPr>
          <w:rFonts w:hint="eastAsia"/>
        </w:rPr>
        <w:t>GB 17440  粮食加工、储运系统粉尘防爆安全规程</w:t>
      </w:r>
    </w:p>
    <w:p>
      <w:pPr>
        <w:pStyle w:val="231"/>
        <w:rPr>
          <w:rFonts w:hint="eastAsia" w:eastAsia="宋体"/>
          <w:lang w:eastAsia="zh-CN"/>
        </w:rPr>
      </w:pPr>
      <w:r>
        <w:rPr>
          <w:rFonts w:hint="eastAsia"/>
          <w:lang w:eastAsia="zh-CN"/>
        </w:rPr>
        <w:t>GB/T 29890</w:t>
      </w:r>
      <w:r>
        <w:rPr>
          <w:rFonts w:hint="eastAsia"/>
        </w:rPr>
        <w:t xml:space="preserve">  </w:t>
      </w:r>
      <w:r>
        <w:rPr>
          <w:rFonts w:hint="eastAsia"/>
          <w:lang w:eastAsia="zh-CN"/>
        </w:rPr>
        <w:t>粮油储藏技术规范</w:t>
      </w:r>
    </w:p>
    <w:p>
      <w:pPr>
        <w:pStyle w:val="231"/>
        <w:rPr>
          <w:rFonts w:hint="eastAsia"/>
        </w:rPr>
      </w:pPr>
      <w:r>
        <w:rPr>
          <w:rFonts w:hint="eastAsia"/>
          <w:lang w:eastAsia="zh-CN"/>
        </w:rPr>
        <w:t>LS</w:t>
      </w:r>
      <w:r>
        <w:rPr>
          <w:rFonts w:hint="eastAsia"/>
        </w:rPr>
        <w:t xml:space="preserve"> 1206  粮食仓库安全操作规程</w:t>
      </w:r>
    </w:p>
    <w:p>
      <w:pPr>
        <w:pStyle w:val="231"/>
        <w:rPr>
          <w:rFonts w:hint="eastAsia"/>
        </w:rPr>
      </w:pPr>
      <w:r>
        <w:rPr>
          <w:rFonts w:hint="eastAsia"/>
        </w:rPr>
        <w:t>粮食仓库建设标准(建标</w:t>
      </w:r>
      <w:r>
        <w:rPr>
          <w:rFonts w:hint="eastAsia" w:ascii="宋体" w:hAnsi="宋体" w:eastAsia="宋体" w:cs="宋体"/>
        </w:rPr>
        <w:t>〔</w:t>
      </w:r>
      <w:r>
        <w:rPr>
          <w:rFonts w:hint="eastAsia"/>
        </w:rPr>
        <w:t>2001</w:t>
      </w:r>
      <w:r>
        <w:rPr>
          <w:rFonts w:hint="eastAsia" w:ascii="宋体" w:hAnsi="宋体" w:eastAsia="宋体" w:cs="宋体"/>
        </w:rPr>
        <w:t>〕</w:t>
      </w:r>
      <w:r>
        <w:rPr>
          <w:rFonts w:hint="eastAsia"/>
        </w:rPr>
        <w:t>58 号)</w:t>
      </w:r>
    </w:p>
    <w:p>
      <w:pPr>
        <w:pStyle w:val="231"/>
        <w:rPr>
          <w:rFonts w:hint="eastAsia"/>
        </w:rPr>
      </w:pPr>
      <w:r>
        <w:rPr>
          <w:rFonts w:hint="eastAsia"/>
        </w:rPr>
        <w:t>粮油</w:t>
      </w:r>
      <w:r>
        <w:rPr>
          <w:rFonts w:hint="eastAsia"/>
          <w:lang w:eastAsia="zh-CN"/>
        </w:rPr>
        <w:t>仓储</w:t>
      </w:r>
      <w:r>
        <w:rPr>
          <w:rFonts w:hint="eastAsia"/>
        </w:rPr>
        <w:t>管理办法(2009年12月国家发展和改革委员会第5号令)</w:t>
      </w:r>
    </w:p>
    <w:p>
      <w:pPr>
        <w:pStyle w:val="105"/>
        <w:numPr>
          <w:ilvl w:val="1"/>
          <w:numId w:val="0"/>
        </w:numPr>
        <w:spacing w:before="240" w:after="240"/>
        <w:ind w:leftChars="0"/>
      </w:pPr>
      <w:bookmarkStart w:id="41" w:name="_Toc10506"/>
      <w:r>
        <w:rPr>
          <w:rFonts w:hint="eastAsia"/>
          <w:szCs w:val="21"/>
          <w:lang w:val="en-US" w:eastAsia="zh-CN"/>
        </w:rPr>
        <w:t xml:space="preserve">3  </w:t>
      </w:r>
      <w:r>
        <w:rPr>
          <w:rFonts w:hint="eastAsia"/>
          <w:szCs w:val="21"/>
        </w:rPr>
        <w:t>术语和定义</w:t>
      </w:r>
      <w:bookmarkEnd w:id="41"/>
    </w:p>
    <w:sdt>
      <w:sdtPr>
        <w:id w:val="-1909835108"/>
        <w:placeholder>
          <w:docPart w:val="8FB8789C99224FF2851587FDC51794F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2" w:name="_Toc26986532"/>
          <w:bookmarkEnd w:id="42"/>
          <w:r>
            <w:rPr>
              <w:rFonts w:ascii="宋体" w:hAnsi="Times New Roman" w:eastAsia="宋体" w:cs="Times New Roman"/>
              <w:sz w:val="21"/>
              <w:lang w:val="en-US" w:eastAsia="zh-CN" w:bidi="ar-SA"/>
            </w:rPr>
            <w:t>本文件没有需要界定的术语和定义。</w:t>
          </w:r>
        </w:p>
      </w:sdtContent>
    </w:sdt>
    <w:p>
      <w:pPr>
        <w:pStyle w:val="105"/>
        <w:numPr>
          <w:ilvl w:val="1"/>
          <w:numId w:val="0"/>
        </w:numPr>
        <w:spacing w:before="240" w:after="240"/>
        <w:ind w:leftChars="0"/>
        <w:rPr>
          <w:rFonts w:hint="eastAsia"/>
          <w:szCs w:val="21"/>
          <w:lang w:val="en-US" w:eastAsia="zh-CN"/>
        </w:rPr>
      </w:pPr>
      <w:bookmarkStart w:id="43" w:name="_Toc15090"/>
      <w:r>
        <w:rPr>
          <w:rFonts w:hint="eastAsia"/>
          <w:szCs w:val="21"/>
          <w:lang w:val="en-US" w:eastAsia="zh-CN"/>
        </w:rPr>
        <w:t>4  建设基本要求</w:t>
      </w:r>
      <w:bookmarkEnd w:id="43"/>
    </w:p>
    <w:p>
      <w:pPr>
        <w:pStyle w:val="231"/>
        <w:spacing w:before="156" w:beforeLines="50" w:after="156" w:afterLines="50"/>
        <w:ind w:firstLine="0" w:firstLineChars="0"/>
        <w:rPr>
          <w:rFonts w:hint="eastAsia" w:ascii="黑体" w:eastAsia="黑体"/>
        </w:rPr>
      </w:pPr>
      <w:r>
        <w:rPr>
          <w:rFonts w:hint="eastAsia" w:ascii="黑体" w:hAnsi="黑体" w:eastAsia="黑体" w:cs="黑体"/>
        </w:rPr>
        <w:t>4.1</w:t>
      </w:r>
      <w:r>
        <w:rPr>
          <w:rFonts w:hint="eastAsia"/>
        </w:rPr>
        <w:t xml:space="preserve">  </w:t>
      </w:r>
      <w:r>
        <w:rPr>
          <w:rFonts w:hint="eastAsia" w:ascii="黑体" w:eastAsia="黑体"/>
        </w:rPr>
        <w:t>选址</w:t>
      </w:r>
    </w:p>
    <w:p>
      <w:pPr>
        <w:pStyle w:val="231"/>
        <w:ind w:firstLine="0" w:firstLineChars="0"/>
        <w:rPr>
          <w:rFonts w:hint="eastAsia"/>
        </w:rPr>
      </w:pPr>
      <w:bookmarkStart w:id="44" w:name="OLE_LINK3"/>
      <w:bookmarkStart w:id="45" w:name="OLE_LINK2"/>
      <w:r>
        <w:rPr>
          <w:rFonts w:hint="eastAsia" w:ascii="黑体" w:eastAsia="黑体"/>
        </w:rPr>
        <w:t xml:space="preserve">4.1.1  </w:t>
      </w:r>
      <w:r>
        <w:rPr>
          <w:rFonts w:hint="eastAsia"/>
        </w:rPr>
        <w:t>应符合地方粮食储备布局的要求并具有便利的交通运输条件。</w:t>
      </w:r>
    </w:p>
    <w:bookmarkEnd w:id="44"/>
    <w:bookmarkEnd w:id="45"/>
    <w:p>
      <w:pPr>
        <w:pStyle w:val="231"/>
        <w:ind w:firstLine="0" w:firstLineChars="0"/>
        <w:rPr>
          <w:rFonts w:hint="eastAsia" w:ascii="黑体" w:eastAsia="黑体"/>
        </w:rPr>
      </w:pPr>
      <w:r>
        <w:rPr>
          <w:rFonts w:hint="eastAsia" w:ascii="黑体" w:eastAsia="黑体"/>
        </w:rPr>
        <w:t xml:space="preserve">4.1.2  </w:t>
      </w:r>
      <w:r>
        <w:rPr>
          <w:rFonts w:hint="eastAsia"/>
        </w:rPr>
        <w:t>应具备稳定可靠的电源、水源、通信等外部条件。</w:t>
      </w:r>
    </w:p>
    <w:p>
      <w:pPr>
        <w:pStyle w:val="231"/>
        <w:ind w:firstLine="0" w:firstLineChars="0"/>
        <w:rPr>
          <w:rFonts w:hint="eastAsia" w:ascii="黑体" w:eastAsia="黑体"/>
        </w:rPr>
      </w:pPr>
      <w:r>
        <w:rPr>
          <w:rFonts w:hint="eastAsia" w:ascii="黑体" w:eastAsia="黑体"/>
        </w:rPr>
        <w:t xml:space="preserve">4.1.3  </w:t>
      </w:r>
      <w:r>
        <w:rPr>
          <w:rFonts w:hint="eastAsia"/>
        </w:rPr>
        <w:t>应远离污染源、危险源，距有害元素的生产单元不小于2000 m，距垃圾集中堆场、污水处理站等单位不小于1000 m，距粉尘污染源不小于500 m。</w:t>
      </w:r>
    </w:p>
    <w:p>
      <w:pPr>
        <w:pStyle w:val="231"/>
        <w:spacing w:before="156" w:beforeLines="50" w:after="156" w:afterLines="50"/>
        <w:ind w:firstLine="0" w:firstLineChars="0"/>
        <w:rPr>
          <w:rFonts w:hint="eastAsia" w:ascii="黑体" w:eastAsia="黑体"/>
          <w:color w:val="auto"/>
        </w:rPr>
      </w:pPr>
      <w:r>
        <w:rPr>
          <w:rFonts w:hint="eastAsia" w:ascii="黑体" w:hAnsi="黑体" w:eastAsia="黑体" w:cs="黑体"/>
          <w:color w:val="auto"/>
        </w:rPr>
        <w:t>4.2</w:t>
      </w:r>
      <w:r>
        <w:rPr>
          <w:rFonts w:hint="eastAsia"/>
          <w:color w:val="auto"/>
        </w:rPr>
        <w:t xml:space="preserve">  </w:t>
      </w:r>
      <w:r>
        <w:rPr>
          <w:rFonts w:hint="eastAsia" w:ascii="黑体" w:eastAsia="黑体"/>
          <w:color w:val="auto"/>
        </w:rPr>
        <w:t>建筑设计</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4.2.1  </w:t>
      </w:r>
      <w:r>
        <w:rPr>
          <w:rFonts w:hint="eastAsia"/>
          <w:color w:val="auto"/>
          <w:lang w:eastAsia="zh-CN"/>
        </w:rPr>
        <w:t>酱香型酿酒糯高粱</w:t>
      </w:r>
      <w:r>
        <w:rPr>
          <w:rFonts w:hint="eastAsia"/>
          <w:color w:val="auto"/>
        </w:rPr>
        <w:t>贮藏的围护结构应安全承载粮堆及环境的动、静荷载。</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4.2.2 </w:t>
      </w:r>
      <w:r>
        <w:rPr>
          <w:rFonts w:hint="eastAsia"/>
          <w:color w:val="auto"/>
        </w:rPr>
        <w:t xml:space="preserve"> 仓内地面应完好、光滑、坚固、防潮。</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4.2.3 </w:t>
      </w:r>
      <w:r>
        <w:rPr>
          <w:rFonts w:hint="eastAsia"/>
          <w:color w:val="auto"/>
        </w:rPr>
        <w:t xml:space="preserve"> 内侧墙面应完好、光滑并设防潮层</w:t>
      </w:r>
      <w:r>
        <w:rPr>
          <w:rFonts w:hint="eastAsia"/>
          <w:color w:val="auto"/>
          <w:lang w:eastAsia="zh-CN"/>
        </w:rPr>
        <w:t>，</w:t>
      </w:r>
      <w:r>
        <w:rPr>
          <w:rFonts w:hint="eastAsia"/>
          <w:color w:val="auto"/>
        </w:rPr>
        <w:t>墙体无裂缝</w:t>
      </w:r>
      <w:r>
        <w:rPr>
          <w:rFonts w:hint="eastAsia"/>
          <w:color w:val="auto"/>
          <w:lang w:eastAsia="zh-CN"/>
        </w:rPr>
        <w:t>，</w:t>
      </w:r>
      <w:r>
        <w:rPr>
          <w:rFonts w:hint="eastAsia"/>
          <w:color w:val="auto"/>
        </w:rPr>
        <w:t>墙壁与仓盖、相邻墙壁、地面结合处应处理成光滑的圆弧形</w:t>
      </w:r>
      <w:r>
        <w:rPr>
          <w:rFonts w:hint="eastAsia"/>
          <w:color w:val="auto"/>
          <w:lang w:eastAsia="zh-CN"/>
        </w:rPr>
        <w:t>，</w:t>
      </w:r>
      <w:r>
        <w:rPr>
          <w:rFonts w:hint="eastAsia"/>
          <w:color w:val="auto"/>
        </w:rPr>
        <w:t>墙面应为浅色并按设计仓库标明装粮线和设置密封槽。</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4.2.4 </w:t>
      </w:r>
      <w:r>
        <w:rPr>
          <w:rFonts w:hint="eastAsia"/>
          <w:color w:val="auto"/>
        </w:rPr>
        <w:t xml:space="preserve"> 散装存储的仓库间隔墙应为承重墙。</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4.2.5 </w:t>
      </w:r>
      <w:r>
        <w:rPr>
          <w:rFonts w:hint="eastAsia"/>
          <w:color w:val="auto"/>
        </w:rPr>
        <w:t xml:space="preserve"> 仓盖应完好，有隔热层和防水层，外表面应采用浅色或高反射的材料。门窗、通风口</w:t>
      </w:r>
      <w:r>
        <w:rPr>
          <w:rFonts w:hint="eastAsia"/>
          <w:color w:val="auto"/>
          <w:lang w:eastAsia="zh-CN"/>
        </w:rPr>
        <w:t>应</w:t>
      </w:r>
      <w:r>
        <w:rPr>
          <w:rFonts w:hint="eastAsia"/>
          <w:color w:val="auto"/>
        </w:rPr>
        <w:t>严密并有隔热、密封措施</w:t>
      </w:r>
      <w:r>
        <w:rPr>
          <w:rFonts w:hint="eastAsia"/>
          <w:color w:val="auto"/>
          <w:lang w:eastAsia="zh-CN"/>
        </w:rPr>
        <w:t>，</w:t>
      </w:r>
      <w:r>
        <w:rPr>
          <w:rFonts w:hint="eastAsia"/>
          <w:color w:val="auto"/>
        </w:rPr>
        <w:t>门窗、空洞处应设防虫线和防鼠板、网。</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4.2.6 </w:t>
      </w:r>
      <w:r>
        <w:rPr>
          <w:rFonts w:hint="eastAsia"/>
          <w:color w:val="auto"/>
        </w:rPr>
        <w:t xml:space="preserve"> 进仓前应进行仓房气密性检测</w:t>
      </w:r>
      <w:r>
        <w:rPr>
          <w:rFonts w:hint="eastAsia"/>
          <w:color w:val="auto"/>
          <w:lang w:eastAsia="zh-CN"/>
        </w:rPr>
        <w:t>，宜</w:t>
      </w:r>
      <w:r>
        <w:rPr>
          <w:rFonts w:hint="eastAsia"/>
          <w:color w:val="auto"/>
        </w:rPr>
        <w:t>采用低温或准低温储藏方式的成品粮应急储备仓</w:t>
      </w:r>
      <w:r>
        <w:rPr>
          <w:rFonts w:hint="eastAsia"/>
          <w:color w:val="auto"/>
          <w:highlight w:val="none"/>
        </w:rPr>
        <w:t>。</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4.2.7</w:t>
      </w:r>
      <w:r>
        <w:rPr>
          <w:rFonts w:hint="eastAsia"/>
          <w:color w:val="auto"/>
        </w:rPr>
        <w:t xml:space="preserve">  仓内应安装照明灯具，不同仓型的照明灯具应符合相应仓型设计规范的规定。</w:t>
      </w:r>
    </w:p>
    <w:p>
      <w:pPr>
        <w:pStyle w:val="231"/>
        <w:keepNext w:val="0"/>
        <w:keepLines w:val="0"/>
        <w:pageBreakBefore w:val="0"/>
        <w:widowControl/>
        <w:kinsoku/>
        <w:wordWrap/>
        <w:overflowPunct/>
        <w:topLinePunct w:val="0"/>
        <w:autoSpaceDE w:val="0"/>
        <w:autoSpaceDN w:val="0"/>
        <w:bidi w:val="0"/>
        <w:adjustRightInd/>
        <w:snapToGrid/>
        <w:ind w:firstLine="0" w:firstLineChars="0"/>
        <w:textAlignment w:val="auto"/>
        <w:rPr>
          <w:rFonts w:hint="eastAsia"/>
          <w:color w:val="auto"/>
        </w:rPr>
      </w:pPr>
      <w:r>
        <w:rPr>
          <w:rFonts w:hint="eastAsia" w:ascii="黑体" w:eastAsia="黑体"/>
          <w:color w:val="auto"/>
        </w:rPr>
        <w:t xml:space="preserve">4.2.8 </w:t>
      </w:r>
      <w:r>
        <w:rPr>
          <w:rFonts w:hint="eastAsia"/>
          <w:color w:val="auto"/>
        </w:rPr>
        <w:t xml:space="preserve"> 库区应安装避雷装置，定期检验，确保有效。</w:t>
      </w:r>
    </w:p>
    <w:p>
      <w:pPr>
        <w:pStyle w:val="231"/>
        <w:ind w:firstLine="0" w:firstLineChars="0"/>
        <w:rPr>
          <w:rFonts w:hint="eastAsia"/>
          <w:color w:val="auto"/>
        </w:rPr>
      </w:pPr>
      <w:r>
        <w:rPr>
          <w:rFonts w:hint="eastAsia" w:ascii="黑体" w:eastAsia="黑体"/>
          <w:color w:val="auto"/>
        </w:rPr>
        <w:t>4.2.9</w:t>
      </w:r>
      <w:r>
        <w:rPr>
          <w:rFonts w:hint="eastAsia"/>
          <w:color w:val="auto"/>
        </w:rPr>
        <w:t xml:space="preserve">  </w:t>
      </w:r>
      <w:r>
        <w:rPr>
          <w:rFonts w:hint="eastAsia"/>
          <w:color w:val="auto"/>
          <w:lang w:eastAsia="zh-CN"/>
        </w:rPr>
        <w:t>仓库</w:t>
      </w:r>
      <w:r>
        <w:rPr>
          <w:rFonts w:hint="eastAsia"/>
          <w:color w:val="auto"/>
        </w:rPr>
        <w:t>应当安装消防、水务部门要求配置的防火、防汛、排涝设施与设备。</w:t>
      </w:r>
    </w:p>
    <w:p>
      <w:pPr>
        <w:pStyle w:val="105"/>
        <w:numPr>
          <w:ilvl w:val="1"/>
          <w:numId w:val="0"/>
        </w:numPr>
        <w:spacing w:before="240" w:after="240"/>
        <w:ind w:leftChars="0"/>
        <w:rPr>
          <w:rFonts w:hint="eastAsia"/>
          <w:szCs w:val="21"/>
          <w:lang w:val="en-US" w:eastAsia="zh-CN"/>
        </w:rPr>
      </w:pPr>
      <w:bookmarkStart w:id="46" w:name="_Toc19723"/>
      <w:r>
        <w:rPr>
          <w:rFonts w:hint="eastAsia"/>
          <w:szCs w:val="21"/>
          <w:lang w:val="en-US" w:eastAsia="zh-CN"/>
        </w:rPr>
        <w:t>5  设备基本要求</w:t>
      </w:r>
      <w:bookmarkEnd w:id="46"/>
    </w:p>
    <w:p>
      <w:pPr>
        <w:pStyle w:val="231"/>
        <w:spacing w:before="156" w:beforeLines="50" w:after="156" w:afterLines="50"/>
        <w:ind w:firstLine="0" w:firstLineChars="0"/>
        <w:rPr>
          <w:rFonts w:hint="eastAsia" w:ascii="黑体" w:eastAsia="黑体"/>
        </w:rPr>
      </w:pPr>
      <w:r>
        <w:rPr>
          <w:rFonts w:hint="eastAsia" w:ascii="黑体" w:hAnsi="黑体" w:eastAsia="黑体" w:cs="黑体"/>
        </w:rPr>
        <w:t>5.1</w:t>
      </w:r>
      <w:r>
        <w:rPr>
          <w:rFonts w:hint="eastAsia"/>
        </w:rPr>
        <w:t xml:space="preserve">  </w:t>
      </w:r>
      <w:r>
        <w:rPr>
          <w:rFonts w:hint="eastAsia" w:ascii="黑体" w:eastAsia="黑体"/>
        </w:rPr>
        <w:t>保管设备与设施的配置</w:t>
      </w:r>
    </w:p>
    <w:p>
      <w:pPr>
        <w:pStyle w:val="231"/>
        <w:ind w:firstLine="0" w:firstLineChars="0"/>
        <w:rPr>
          <w:rFonts w:hint="eastAsia"/>
        </w:rPr>
      </w:pPr>
      <w:r>
        <w:rPr>
          <w:rFonts w:hint="eastAsia" w:ascii="黑体" w:eastAsia="黑体"/>
        </w:rPr>
        <w:t xml:space="preserve">5.1.1 </w:t>
      </w:r>
      <w:r>
        <w:rPr>
          <w:rFonts w:hint="eastAsia"/>
        </w:rPr>
        <w:t xml:space="preserve"> 粮库应根据采用的储粮技术，选配干燥、清理、输送、计量、气调、通风、制冷、熏蒸、消防、安全防护等设施设备。</w:t>
      </w:r>
    </w:p>
    <w:p>
      <w:pPr>
        <w:pStyle w:val="231"/>
        <w:ind w:firstLine="0" w:firstLineChars="0"/>
        <w:rPr>
          <w:rFonts w:hint="eastAsia"/>
        </w:rPr>
      </w:pPr>
      <w:r>
        <w:rPr>
          <w:rFonts w:hint="eastAsia" w:ascii="黑体" w:eastAsia="黑体"/>
        </w:rPr>
        <w:t>5.1.2</w:t>
      </w:r>
      <w:r>
        <w:rPr>
          <w:rFonts w:hint="eastAsia"/>
        </w:rPr>
        <w:t xml:space="preserve">  每个库点应配备</w:t>
      </w:r>
      <w:r>
        <w:rPr>
          <w:rFonts w:hint="eastAsia"/>
          <w:lang w:eastAsia="zh-CN"/>
        </w:rPr>
        <w:t>不少于</w:t>
      </w:r>
      <w:r>
        <w:rPr>
          <w:rFonts w:hint="eastAsia"/>
        </w:rPr>
        <w:t>两套带压缩空气瓶的呼吸器，配备氧化氢报警仪器、氧气浓度报警仪等报警设备。</w:t>
      </w:r>
    </w:p>
    <w:p>
      <w:pPr>
        <w:pStyle w:val="231"/>
        <w:spacing w:before="156" w:beforeLines="50" w:after="156" w:afterLines="50"/>
        <w:ind w:firstLine="0" w:firstLineChars="0"/>
        <w:rPr>
          <w:rFonts w:hint="eastAsia" w:ascii="黑体" w:eastAsia="黑体"/>
        </w:rPr>
      </w:pPr>
      <w:r>
        <w:rPr>
          <w:rFonts w:hint="eastAsia" w:ascii="黑体" w:hAnsi="黑体" w:eastAsia="黑体" w:cs="黑体"/>
        </w:rPr>
        <w:t>5.2</w:t>
      </w:r>
      <w:r>
        <w:rPr>
          <w:rFonts w:hint="eastAsia"/>
        </w:rPr>
        <w:t xml:space="preserve">  </w:t>
      </w:r>
      <w:r>
        <w:rPr>
          <w:rFonts w:hint="eastAsia" w:ascii="黑体" w:eastAsia="黑体"/>
        </w:rPr>
        <w:t>检测仪器与设备的配置</w:t>
      </w:r>
    </w:p>
    <w:p>
      <w:pPr>
        <w:pStyle w:val="231"/>
        <w:ind w:firstLine="0" w:firstLineChars="0"/>
        <w:rPr>
          <w:rFonts w:hint="eastAsia"/>
        </w:rPr>
      </w:pPr>
      <w:r>
        <w:rPr>
          <w:rFonts w:hint="eastAsia" w:ascii="黑体" w:eastAsia="黑体"/>
        </w:rPr>
        <w:t xml:space="preserve">5.2.1 </w:t>
      </w:r>
      <w:r>
        <w:rPr>
          <w:rFonts w:hint="eastAsia"/>
        </w:rPr>
        <w:t xml:space="preserve"> 粮库应具备温度、湿度、储粮虫害防治所必须的检测仪器。</w:t>
      </w:r>
    </w:p>
    <w:p>
      <w:pPr>
        <w:pStyle w:val="231"/>
        <w:ind w:firstLine="0" w:firstLineChars="0"/>
        <w:rPr>
          <w:rFonts w:hint="eastAsia"/>
        </w:rPr>
      </w:pPr>
      <w:r>
        <w:rPr>
          <w:rFonts w:hint="eastAsia" w:ascii="黑体" w:eastAsia="黑体"/>
        </w:rPr>
        <w:t xml:space="preserve">5.2.2 </w:t>
      </w:r>
      <w:r>
        <w:rPr>
          <w:rFonts w:hint="eastAsia"/>
        </w:rPr>
        <w:t xml:space="preserve"> 粮库应配备储存粮食品种主要质量和储存品质指标的检测仪。</w:t>
      </w:r>
    </w:p>
    <w:p>
      <w:pPr>
        <w:pStyle w:val="105"/>
        <w:numPr>
          <w:ilvl w:val="1"/>
          <w:numId w:val="0"/>
        </w:numPr>
        <w:spacing w:before="240" w:after="240"/>
        <w:ind w:leftChars="0"/>
        <w:rPr>
          <w:rFonts w:hint="eastAsia"/>
          <w:szCs w:val="21"/>
          <w:lang w:val="en-US" w:eastAsia="zh-CN"/>
        </w:rPr>
      </w:pPr>
      <w:bookmarkStart w:id="47" w:name="_Toc25918"/>
      <w:r>
        <w:rPr>
          <w:rFonts w:hint="eastAsia"/>
          <w:szCs w:val="21"/>
          <w:lang w:val="en-US" w:eastAsia="zh-CN"/>
        </w:rPr>
        <w:t>6  人员基本要求</w:t>
      </w:r>
      <w:bookmarkEnd w:id="47"/>
    </w:p>
    <w:p>
      <w:pPr>
        <w:pStyle w:val="231"/>
        <w:rPr>
          <w:rFonts w:hint="eastAsia"/>
          <w:color w:val="auto"/>
        </w:rPr>
      </w:pPr>
      <w:r>
        <w:rPr>
          <w:rFonts w:hint="eastAsia"/>
        </w:rPr>
        <w:t>粮库专业技术人员应掌握必要的专业技术知识和职业技能，具备相应的职业资格，人员数量应满足</w:t>
      </w:r>
      <w:r>
        <w:rPr>
          <w:rFonts w:hint="eastAsia"/>
          <w:color w:val="auto"/>
        </w:rPr>
        <w:t>仓库活动的要求。</w:t>
      </w:r>
    </w:p>
    <w:p>
      <w:pPr>
        <w:pStyle w:val="105"/>
        <w:numPr>
          <w:ilvl w:val="1"/>
          <w:numId w:val="0"/>
        </w:numPr>
        <w:spacing w:before="240" w:after="240"/>
        <w:ind w:leftChars="0"/>
        <w:rPr>
          <w:rFonts w:hint="eastAsia"/>
          <w:color w:val="auto"/>
          <w:szCs w:val="21"/>
          <w:lang w:val="en-US" w:eastAsia="zh-CN"/>
        </w:rPr>
      </w:pPr>
      <w:bookmarkStart w:id="48" w:name="_Toc32605"/>
      <w:r>
        <w:rPr>
          <w:rFonts w:hint="eastAsia"/>
          <w:color w:val="auto"/>
          <w:szCs w:val="21"/>
          <w:lang w:val="en-US" w:eastAsia="zh-CN"/>
        </w:rPr>
        <w:t>7  备案管理</w:t>
      </w:r>
      <w:bookmarkEnd w:id="48"/>
    </w:p>
    <w:p>
      <w:pPr>
        <w:pStyle w:val="231"/>
        <w:rPr>
          <w:rFonts w:hint="eastAsia"/>
          <w:color w:val="auto"/>
        </w:rPr>
      </w:pPr>
      <w:r>
        <w:rPr>
          <w:rFonts w:hint="eastAsia"/>
          <w:color w:val="auto"/>
        </w:rPr>
        <w:t>粮库应自设立或从事粮食</w:t>
      </w:r>
      <w:r>
        <w:rPr>
          <w:rFonts w:hint="eastAsia"/>
          <w:color w:val="auto"/>
          <w:lang w:eastAsia="zh-CN"/>
        </w:rPr>
        <w:t>储藏</w:t>
      </w:r>
      <w:r>
        <w:rPr>
          <w:rFonts w:hint="eastAsia"/>
          <w:color w:val="auto"/>
        </w:rPr>
        <w:t>活动之日起 30个工作日内，向所在地粮食行政管理部门备案。</w:t>
      </w:r>
    </w:p>
    <w:p>
      <w:pPr>
        <w:pStyle w:val="105"/>
        <w:numPr>
          <w:ilvl w:val="1"/>
          <w:numId w:val="0"/>
        </w:numPr>
        <w:spacing w:before="240" w:after="240"/>
        <w:ind w:leftChars="0"/>
        <w:rPr>
          <w:rFonts w:hint="eastAsia"/>
          <w:color w:val="auto"/>
          <w:szCs w:val="21"/>
          <w:lang w:val="en-US" w:eastAsia="zh-CN"/>
        </w:rPr>
      </w:pPr>
      <w:bookmarkStart w:id="49" w:name="_Toc24141"/>
      <w:r>
        <w:rPr>
          <w:rFonts w:hint="eastAsia"/>
          <w:color w:val="auto"/>
          <w:szCs w:val="21"/>
          <w:lang w:val="en-US" w:eastAsia="zh-CN"/>
        </w:rPr>
        <w:t>8  质量档案管理</w:t>
      </w:r>
      <w:bookmarkEnd w:id="49"/>
    </w:p>
    <w:p>
      <w:pPr>
        <w:pStyle w:val="231"/>
        <w:rPr>
          <w:rFonts w:hint="eastAsia"/>
          <w:color w:val="auto"/>
        </w:rPr>
      </w:pPr>
      <w:r>
        <w:rPr>
          <w:rFonts w:hint="eastAsia"/>
          <w:color w:val="auto"/>
        </w:rPr>
        <w:t>应建立粮食质量档案，</w:t>
      </w:r>
      <w:r>
        <w:rPr>
          <w:rFonts w:hint="eastAsia"/>
          <w:color w:val="auto"/>
          <w:lang w:eastAsia="zh-CN"/>
        </w:rPr>
        <w:t>记录粮食</w:t>
      </w:r>
      <w:r>
        <w:rPr>
          <w:rFonts w:hint="eastAsia"/>
          <w:color w:val="auto"/>
        </w:rPr>
        <w:t>质量、储存品质等指标内容。</w:t>
      </w:r>
    </w:p>
    <w:p>
      <w:pPr>
        <w:pStyle w:val="105"/>
        <w:numPr>
          <w:ilvl w:val="1"/>
          <w:numId w:val="0"/>
        </w:numPr>
        <w:spacing w:before="240" w:after="240"/>
        <w:ind w:leftChars="0"/>
        <w:rPr>
          <w:rFonts w:hint="eastAsia"/>
          <w:szCs w:val="21"/>
          <w:lang w:val="en-US" w:eastAsia="zh-CN"/>
        </w:rPr>
      </w:pPr>
      <w:bookmarkStart w:id="50" w:name="_Toc31048"/>
      <w:r>
        <w:rPr>
          <w:rFonts w:hint="eastAsia"/>
          <w:szCs w:val="21"/>
          <w:lang w:val="en-US" w:eastAsia="zh-CN"/>
        </w:rPr>
        <w:t>9  进仓要求</w:t>
      </w:r>
      <w:bookmarkEnd w:id="50"/>
    </w:p>
    <w:p>
      <w:pPr>
        <w:pStyle w:val="231"/>
        <w:ind w:left="0" w:leftChars="0" w:firstLine="0" w:firstLineChars="0"/>
        <w:rPr>
          <w:rFonts w:hint="eastAsia"/>
          <w:lang w:eastAsia="zh-CN"/>
        </w:rPr>
      </w:pPr>
      <w:r>
        <w:rPr>
          <w:rFonts w:hint="eastAsia" w:ascii="黑体" w:eastAsia="黑体"/>
          <w:lang w:val="en-US" w:eastAsia="zh-CN"/>
        </w:rPr>
        <w:t xml:space="preserve">9.1 </w:t>
      </w:r>
      <w:r>
        <w:rPr>
          <w:rFonts w:hint="eastAsia"/>
        </w:rPr>
        <w:t xml:space="preserve">进仓安全操作与管理应按 LS 1206 </w:t>
      </w:r>
      <w:r>
        <w:rPr>
          <w:rFonts w:hint="eastAsia"/>
          <w:lang w:eastAsia="zh-CN"/>
        </w:rPr>
        <w:t>的规定</w:t>
      </w:r>
      <w:r>
        <w:rPr>
          <w:rFonts w:hint="eastAsia"/>
        </w:rPr>
        <w:t>执行</w:t>
      </w:r>
      <w:r>
        <w:rPr>
          <w:rFonts w:hint="eastAsia"/>
          <w:lang w:eastAsia="zh-CN"/>
        </w:rPr>
        <w:t>。</w:t>
      </w:r>
    </w:p>
    <w:p>
      <w:pPr>
        <w:pStyle w:val="231"/>
        <w:ind w:left="0" w:leftChars="0" w:firstLine="0" w:firstLineChars="0"/>
        <w:rPr>
          <w:rFonts w:hint="eastAsia"/>
        </w:rPr>
      </w:pPr>
      <w:r>
        <w:rPr>
          <w:rFonts w:hint="eastAsia" w:ascii="黑体" w:eastAsia="黑体"/>
          <w:lang w:val="en-US" w:eastAsia="zh-CN"/>
        </w:rPr>
        <w:t xml:space="preserve">9.2 </w:t>
      </w:r>
      <w:r>
        <w:rPr>
          <w:rFonts w:hint="eastAsia"/>
        </w:rPr>
        <w:t>进仓前的仓库、设施、用具、包装、场地等准备应符合</w:t>
      </w:r>
      <w:r>
        <w:rPr>
          <w:rFonts w:hint="eastAsia"/>
          <w:lang w:eastAsia="zh-CN"/>
        </w:rPr>
        <w:t>GB/T 29890</w:t>
      </w:r>
      <w:r>
        <w:rPr>
          <w:rFonts w:hint="eastAsia"/>
        </w:rPr>
        <w:t>的相应要求。</w:t>
      </w:r>
    </w:p>
    <w:p>
      <w:pPr>
        <w:pStyle w:val="105"/>
        <w:numPr>
          <w:ilvl w:val="1"/>
          <w:numId w:val="0"/>
        </w:numPr>
        <w:spacing w:before="240" w:after="240"/>
        <w:ind w:leftChars="0"/>
        <w:rPr>
          <w:rFonts w:hint="eastAsia"/>
          <w:szCs w:val="21"/>
          <w:lang w:val="en-US" w:eastAsia="zh-CN"/>
        </w:rPr>
      </w:pPr>
      <w:bookmarkStart w:id="51" w:name="_Toc484"/>
      <w:r>
        <w:rPr>
          <w:rFonts w:hint="eastAsia"/>
          <w:szCs w:val="21"/>
          <w:lang w:val="en-US" w:eastAsia="zh-CN"/>
        </w:rPr>
        <w:t>10  质量要求</w:t>
      </w:r>
      <w:bookmarkEnd w:id="51"/>
    </w:p>
    <w:p>
      <w:pPr>
        <w:pStyle w:val="231"/>
        <w:rPr>
          <w:rFonts w:hint="eastAsia"/>
        </w:rPr>
      </w:pPr>
      <w:r>
        <w:rPr>
          <w:rFonts w:hint="eastAsia"/>
          <w:lang w:eastAsia="zh-CN"/>
        </w:rPr>
        <w:t>酱香型酿酒糯高粱</w:t>
      </w:r>
      <w:r>
        <w:rPr>
          <w:rFonts w:hint="eastAsia"/>
        </w:rPr>
        <w:t>粮食储存期间质量的管理应符</w:t>
      </w:r>
      <w:bookmarkStart w:id="52" w:name="OLE_LINK5"/>
      <w:bookmarkStart w:id="53" w:name="OLE_LINK4"/>
      <w:r>
        <w:rPr>
          <w:rFonts w:hint="eastAsia"/>
        </w:rPr>
        <w:t>合</w:t>
      </w:r>
      <w:r>
        <w:rPr>
          <w:rFonts w:hint="eastAsia"/>
          <w:lang w:eastAsia="zh-CN"/>
        </w:rPr>
        <w:t>GB/T 29890</w:t>
      </w:r>
      <w:r>
        <w:rPr>
          <w:rFonts w:hint="eastAsia"/>
        </w:rPr>
        <w:t>的相应要求</w:t>
      </w:r>
      <w:bookmarkEnd w:id="52"/>
      <w:bookmarkEnd w:id="53"/>
      <w:r>
        <w:rPr>
          <w:rFonts w:hint="eastAsia"/>
        </w:rPr>
        <w:t>。</w:t>
      </w:r>
    </w:p>
    <w:p>
      <w:pPr>
        <w:pStyle w:val="105"/>
        <w:numPr>
          <w:ilvl w:val="1"/>
          <w:numId w:val="0"/>
        </w:numPr>
        <w:spacing w:before="240" w:after="240"/>
        <w:ind w:leftChars="0"/>
        <w:rPr>
          <w:rFonts w:hint="eastAsia"/>
          <w:szCs w:val="21"/>
          <w:lang w:val="en-US" w:eastAsia="zh-CN"/>
        </w:rPr>
      </w:pPr>
      <w:bookmarkStart w:id="54" w:name="_Toc6294"/>
      <w:r>
        <w:rPr>
          <w:rFonts w:hint="eastAsia"/>
          <w:szCs w:val="21"/>
          <w:lang w:val="en-US" w:eastAsia="zh-CN"/>
        </w:rPr>
        <w:t>11  储存要求</w:t>
      </w:r>
      <w:bookmarkEnd w:id="54"/>
    </w:p>
    <w:p>
      <w:pPr>
        <w:pStyle w:val="231"/>
        <w:ind w:firstLine="0" w:firstLineChars="0"/>
        <w:rPr>
          <w:rFonts w:hint="eastAsia"/>
        </w:rPr>
      </w:pPr>
      <w:r>
        <w:rPr>
          <w:rFonts w:hint="eastAsia" w:ascii="黑体" w:eastAsia="黑体"/>
        </w:rPr>
        <w:t>11.1</w:t>
      </w:r>
      <w:r>
        <w:rPr>
          <w:rFonts w:hint="eastAsia"/>
        </w:rPr>
        <w:t xml:space="preserve">  不同等级、生产年度的</w:t>
      </w:r>
      <w:r>
        <w:rPr>
          <w:rFonts w:hint="eastAsia"/>
          <w:lang w:eastAsia="zh-CN"/>
        </w:rPr>
        <w:t>酱香型酿酒糯高粱</w:t>
      </w:r>
      <w:r>
        <w:rPr>
          <w:rFonts w:hint="eastAsia"/>
        </w:rPr>
        <w:t>应分开储存</w:t>
      </w:r>
      <w:r>
        <w:rPr>
          <w:rFonts w:hint="eastAsia"/>
          <w:lang w:eastAsia="zh-CN"/>
        </w:rPr>
        <w:t>，</w:t>
      </w:r>
      <w:r>
        <w:rPr>
          <w:rFonts w:hint="eastAsia"/>
        </w:rPr>
        <w:t>受污染的</w:t>
      </w:r>
      <w:r>
        <w:rPr>
          <w:rFonts w:hint="eastAsia"/>
          <w:lang w:eastAsia="zh-CN"/>
        </w:rPr>
        <w:t>酱香型酿酒糯高粱应</w:t>
      </w:r>
      <w:r>
        <w:rPr>
          <w:rFonts w:hint="eastAsia"/>
        </w:rPr>
        <w:t>另行存放。</w:t>
      </w:r>
    </w:p>
    <w:p>
      <w:pPr>
        <w:pStyle w:val="231"/>
        <w:ind w:firstLine="0" w:firstLineChars="0"/>
        <w:rPr>
          <w:rFonts w:hint="eastAsia"/>
          <w:color w:val="auto"/>
        </w:rPr>
      </w:pPr>
      <w:r>
        <w:rPr>
          <w:rFonts w:hint="eastAsia" w:ascii="黑体" w:eastAsia="黑体"/>
        </w:rPr>
        <w:t>11.2</w:t>
      </w:r>
      <w:r>
        <w:rPr>
          <w:rFonts w:hint="eastAsia"/>
        </w:rPr>
        <w:t xml:space="preserve">  入仓</w:t>
      </w:r>
      <w:r>
        <w:rPr>
          <w:rFonts w:hint="eastAsia"/>
          <w:color w:val="auto"/>
        </w:rPr>
        <w:t>过程中应采取措施减轻</w:t>
      </w:r>
      <w:r>
        <w:rPr>
          <w:rFonts w:hint="eastAsia"/>
          <w:color w:val="auto"/>
          <w:lang w:eastAsia="zh-CN"/>
        </w:rPr>
        <w:t>酱香型酿酒糯高粱</w:t>
      </w:r>
      <w:r>
        <w:rPr>
          <w:rFonts w:hint="eastAsia"/>
          <w:color w:val="auto"/>
        </w:rPr>
        <w:t>的自动分级。</w:t>
      </w:r>
    </w:p>
    <w:p>
      <w:pPr>
        <w:pStyle w:val="231"/>
        <w:ind w:firstLine="0" w:firstLineChars="0"/>
        <w:rPr>
          <w:rFonts w:hint="eastAsia"/>
          <w:color w:val="auto"/>
        </w:rPr>
      </w:pPr>
      <w:r>
        <w:rPr>
          <w:rFonts w:hint="eastAsia" w:ascii="黑体" w:eastAsia="黑体"/>
          <w:color w:val="auto"/>
        </w:rPr>
        <w:t>11.3</w:t>
      </w:r>
      <w:r>
        <w:rPr>
          <w:rFonts w:hint="eastAsia"/>
          <w:color w:val="auto"/>
        </w:rPr>
        <w:t xml:space="preserve">  温差超过 5 ℃的两批以上的</w:t>
      </w:r>
      <w:r>
        <w:rPr>
          <w:rFonts w:hint="eastAsia"/>
          <w:color w:val="auto"/>
          <w:lang w:eastAsia="zh-CN"/>
        </w:rPr>
        <w:t>酱香型酿酒糯高粱</w:t>
      </w:r>
      <w:r>
        <w:rPr>
          <w:rFonts w:hint="eastAsia"/>
          <w:color w:val="auto"/>
        </w:rPr>
        <w:t>堆存在一起时，应及时采取通风措施均衡温度。</w:t>
      </w:r>
    </w:p>
    <w:p>
      <w:pPr>
        <w:pStyle w:val="231"/>
        <w:ind w:firstLine="0" w:firstLineChars="0"/>
        <w:rPr>
          <w:rFonts w:hint="eastAsia"/>
          <w:color w:val="auto"/>
        </w:rPr>
      </w:pPr>
      <w:r>
        <w:rPr>
          <w:rFonts w:hint="eastAsia" w:ascii="黑体" w:eastAsia="黑体"/>
          <w:color w:val="auto"/>
        </w:rPr>
        <w:t xml:space="preserve">11.4 </w:t>
      </w:r>
      <w:r>
        <w:rPr>
          <w:rFonts w:hint="eastAsia"/>
          <w:color w:val="auto"/>
        </w:rPr>
        <w:t xml:space="preserve"> 用于密闭粮堆的塑料薄膜应无污染、无异味、无裂缝</w:t>
      </w:r>
      <w:r>
        <w:rPr>
          <w:rFonts w:hint="eastAsia"/>
          <w:color w:val="auto"/>
          <w:lang w:eastAsia="zh-CN"/>
        </w:rPr>
        <w:t>，</w:t>
      </w:r>
      <w:r>
        <w:rPr>
          <w:rFonts w:hint="eastAsia"/>
          <w:color w:val="auto"/>
        </w:rPr>
        <w:t>所用粘合剂应有足够的粘合强度并无污染。</w:t>
      </w:r>
    </w:p>
    <w:p>
      <w:pPr>
        <w:pStyle w:val="231"/>
        <w:ind w:firstLine="0" w:firstLineChars="0"/>
        <w:rPr>
          <w:rFonts w:hint="eastAsia"/>
          <w:color w:val="auto"/>
        </w:rPr>
      </w:pPr>
      <w:r>
        <w:rPr>
          <w:rFonts w:hint="eastAsia" w:ascii="黑体" w:eastAsia="黑体"/>
          <w:color w:val="auto"/>
        </w:rPr>
        <w:t>11.5</w:t>
      </w:r>
      <w:r>
        <w:rPr>
          <w:rFonts w:hint="eastAsia"/>
          <w:color w:val="auto"/>
        </w:rPr>
        <w:t xml:space="preserve">  散装</w:t>
      </w:r>
      <w:r>
        <w:rPr>
          <w:rFonts w:hint="eastAsia"/>
          <w:color w:val="auto"/>
          <w:lang w:eastAsia="zh-CN"/>
        </w:rPr>
        <w:t>酱香型酿酒糯高粱</w:t>
      </w:r>
      <w:r>
        <w:rPr>
          <w:rFonts w:hint="eastAsia"/>
          <w:color w:val="auto"/>
        </w:rPr>
        <w:t>堆高不</w:t>
      </w:r>
      <w:r>
        <w:rPr>
          <w:rFonts w:hint="eastAsia"/>
          <w:color w:val="auto"/>
          <w:lang w:eastAsia="zh-CN"/>
        </w:rPr>
        <w:t>宜</w:t>
      </w:r>
      <w:r>
        <w:rPr>
          <w:rFonts w:hint="eastAsia"/>
          <w:color w:val="auto"/>
        </w:rPr>
        <w:t>超过设计堆粮线。</w:t>
      </w:r>
    </w:p>
    <w:p>
      <w:pPr>
        <w:pStyle w:val="231"/>
        <w:ind w:firstLine="0" w:firstLineChars="0"/>
        <w:rPr>
          <w:rFonts w:hint="eastAsia"/>
          <w:color w:val="auto"/>
        </w:rPr>
      </w:pPr>
      <w:r>
        <w:rPr>
          <w:rFonts w:hint="eastAsia" w:ascii="黑体" w:eastAsia="黑体"/>
          <w:color w:val="auto"/>
        </w:rPr>
        <w:t xml:space="preserve">11.6 </w:t>
      </w:r>
      <w:r>
        <w:rPr>
          <w:rFonts w:hint="eastAsia"/>
          <w:color w:val="auto"/>
        </w:rPr>
        <w:t xml:space="preserve"> </w:t>
      </w:r>
      <w:r>
        <w:rPr>
          <w:rFonts w:hint="eastAsia"/>
          <w:color w:val="auto"/>
          <w:lang w:eastAsia="zh-CN"/>
        </w:rPr>
        <w:t>酱香型酿酒糯高粱</w:t>
      </w:r>
      <w:r>
        <w:rPr>
          <w:rFonts w:hint="eastAsia"/>
          <w:color w:val="auto"/>
        </w:rPr>
        <w:t xml:space="preserve">储存期间的粮情与质量检验按照 </w:t>
      </w:r>
      <w:r>
        <w:rPr>
          <w:rFonts w:hint="eastAsia"/>
          <w:color w:val="auto"/>
          <w:lang w:eastAsia="zh-CN"/>
        </w:rPr>
        <w:t>GB/T 29890</w:t>
      </w:r>
      <w:r>
        <w:rPr>
          <w:rFonts w:hint="eastAsia"/>
          <w:color w:val="auto"/>
        </w:rPr>
        <w:t xml:space="preserve"> 的相关规定执行。</w:t>
      </w:r>
    </w:p>
    <w:p>
      <w:pPr>
        <w:pStyle w:val="231"/>
        <w:ind w:firstLine="0" w:firstLineChars="0"/>
        <w:rPr>
          <w:rFonts w:hint="eastAsia"/>
          <w:color w:val="auto"/>
        </w:rPr>
      </w:pPr>
      <w:r>
        <w:rPr>
          <w:rFonts w:hint="eastAsia" w:ascii="黑体" w:eastAsia="黑体"/>
          <w:color w:val="auto"/>
        </w:rPr>
        <w:t>11.7</w:t>
      </w:r>
      <w:r>
        <w:rPr>
          <w:rFonts w:hint="eastAsia"/>
          <w:color w:val="auto"/>
        </w:rPr>
        <w:t xml:space="preserve">  宜采用低温</w:t>
      </w:r>
      <w:r>
        <w:rPr>
          <w:rFonts w:hint="eastAsia"/>
          <w:color w:val="auto"/>
          <w:lang w:eastAsia="zh-CN"/>
        </w:rPr>
        <w:t>、</w:t>
      </w:r>
      <w:r>
        <w:rPr>
          <w:rFonts w:hint="eastAsia"/>
          <w:color w:val="auto"/>
        </w:rPr>
        <w:t>气调等绿色储粮技术</w:t>
      </w:r>
      <w:r>
        <w:rPr>
          <w:rFonts w:hint="eastAsia"/>
          <w:color w:val="auto"/>
          <w:lang w:eastAsia="zh-CN"/>
        </w:rPr>
        <w:t>，应参</w:t>
      </w:r>
      <w:r>
        <w:rPr>
          <w:rFonts w:hint="eastAsia"/>
          <w:color w:val="auto"/>
        </w:rPr>
        <w:t xml:space="preserve">照 </w:t>
      </w:r>
      <w:r>
        <w:rPr>
          <w:rFonts w:hint="eastAsia"/>
          <w:color w:val="auto"/>
          <w:lang w:eastAsia="zh-CN"/>
        </w:rPr>
        <w:t>GB/T 29890</w:t>
      </w:r>
      <w:r>
        <w:rPr>
          <w:rFonts w:hint="eastAsia"/>
          <w:color w:val="auto"/>
        </w:rPr>
        <w:t>应用控温隔热、机械通风、气调储粮等技术。</w:t>
      </w:r>
    </w:p>
    <w:p>
      <w:pPr>
        <w:pStyle w:val="105"/>
        <w:numPr>
          <w:ilvl w:val="1"/>
          <w:numId w:val="0"/>
        </w:numPr>
        <w:spacing w:before="240" w:after="240"/>
        <w:ind w:leftChars="0"/>
        <w:rPr>
          <w:rFonts w:hint="eastAsia"/>
          <w:szCs w:val="21"/>
          <w:lang w:val="en-US" w:eastAsia="zh-CN"/>
        </w:rPr>
      </w:pPr>
      <w:bookmarkStart w:id="55" w:name="_Toc19290"/>
      <w:r>
        <w:rPr>
          <w:rFonts w:hint="eastAsia"/>
          <w:szCs w:val="21"/>
          <w:lang w:val="en-US" w:eastAsia="zh-CN"/>
        </w:rPr>
        <w:t>12  出仓要求</w:t>
      </w:r>
      <w:bookmarkEnd w:id="55"/>
    </w:p>
    <w:p>
      <w:pPr>
        <w:pStyle w:val="231"/>
        <w:ind w:firstLine="0" w:firstLineChars="0"/>
        <w:rPr>
          <w:rFonts w:hint="eastAsia"/>
        </w:rPr>
      </w:pPr>
      <w:r>
        <w:rPr>
          <w:rFonts w:hint="eastAsia" w:ascii="黑体" w:eastAsia="黑体"/>
        </w:rPr>
        <w:t>12.1</w:t>
      </w:r>
      <w:r>
        <w:rPr>
          <w:rFonts w:hint="eastAsia"/>
        </w:rPr>
        <w:t xml:space="preserve">  </w:t>
      </w:r>
      <w:r>
        <w:rPr>
          <w:rFonts w:hint="eastAsia"/>
          <w:lang w:eastAsia="zh-CN"/>
        </w:rPr>
        <w:t>酱香型酿酒糯高粱</w:t>
      </w:r>
      <w:r>
        <w:rPr>
          <w:rFonts w:hint="eastAsia"/>
        </w:rPr>
        <w:t>出仓时，应有人员在仓顶观察出粮动态。发现结块、堵塞无法自流出仓时应立即停机，在确保安全情况下消除结块、疏通堵塞</w:t>
      </w:r>
      <w:r>
        <w:rPr>
          <w:rFonts w:hint="eastAsia"/>
          <w:lang w:eastAsia="zh-CN"/>
        </w:rPr>
        <w:t>，</w:t>
      </w:r>
      <w:r>
        <w:rPr>
          <w:rFonts w:hint="eastAsia"/>
        </w:rPr>
        <w:t>待人员及工具全部出仓后继续出仓。</w:t>
      </w:r>
    </w:p>
    <w:p>
      <w:pPr>
        <w:pStyle w:val="231"/>
        <w:ind w:firstLine="0" w:firstLineChars="0"/>
        <w:rPr>
          <w:rFonts w:hint="eastAsia"/>
        </w:rPr>
      </w:pPr>
      <w:r>
        <w:rPr>
          <w:rFonts w:hint="eastAsia" w:ascii="黑体" w:eastAsia="黑体"/>
        </w:rPr>
        <w:t>12.2</w:t>
      </w:r>
      <w:r>
        <w:rPr>
          <w:rFonts w:hint="eastAsia"/>
        </w:rPr>
        <w:t xml:space="preserve">  </w:t>
      </w:r>
      <w:r>
        <w:rPr>
          <w:rFonts w:hint="eastAsia"/>
          <w:lang w:eastAsia="zh-CN"/>
        </w:rPr>
        <w:t>酱香型酿酒糯高粱</w:t>
      </w:r>
      <w:r>
        <w:rPr>
          <w:rFonts w:hint="eastAsia"/>
        </w:rPr>
        <w:t>出仓前应进行质量检验，出具检验报告。</w:t>
      </w:r>
    </w:p>
    <w:p>
      <w:pPr>
        <w:pStyle w:val="231"/>
        <w:ind w:firstLine="0" w:firstLineChars="0"/>
        <w:rPr>
          <w:rFonts w:hint="eastAsia"/>
        </w:rPr>
      </w:pPr>
      <w:r>
        <w:rPr>
          <w:rFonts w:hint="eastAsia" w:ascii="黑体" w:eastAsia="黑体"/>
        </w:rPr>
        <w:t>12.3</w:t>
      </w:r>
      <w:r>
        <w:rPr>
          <w:rFonts w:hint="eastAsia"/>
        </w:rPr>
        <w:t xml:space="preserve">  </w:t>
      </w:r>
      <w:r>
        <w:rPr>
          <w:rFonts w:hint="eastAsia"/>
          <w:lang w:eastAsia="zh-CN"/>
        </w:rPr>
        <w:t>酱香型酿酒糯高粱</w:t>
      </w:r>
      <w:r>
        <w:rPr>
          <w:rFonts w:hint="eastAsia"/>
        </w:rPr>
        <w:t>出仓结束后，应做好储粮器材的整理入库工作，并及时调整相关账目、整理相关凭证和记录等并归档。相关档案应在</w:t>
      </w:r>
      <w:r>
        <w:rPr>
          <w:rFonts w:hint="eastAsia"/>
          <w:lang w:eastAsia="zh-CN"/>
        </w:rPr>
        <w:t>酱香型酿酒糯高粱</w:t>
      </w:r>
      <w:r>
        <w:rPr>
          <w:rFonts w:hint="eastAsia"/>
        </w:rPr>
        <w:t>出库后保存</w:t>
      </w:r>
      <w:r>
        <w:rPr>
          <w:rFonts w:hint="eastAsia"/>
          <w:lang w:eastAsia="zh-CN"/>
        </w:rPr>
        <w:t>不少于</w:t>
      </w:r>
      <w:r>
        <w:rPr>
          <w:rFonts w:hint="eastAsia"/>
        </w:rPr>
        <w:t xml:space="preserve"> 3 年。</w:t>
      </w:r>
    </w:p>
    <w:p>
      <w:pPr>
        <w:pStyle w:val="105"/>
        <w:numPr>
          <w:ilvl w:val="1"/>
          <w:numId w:val="0"/>
        </w:numPr>
        <w:spacing w:before="240" w:after="240"/>
        <w:ind w:leftChars="0"/>
        <w:rPr>
          <w:rFonts w:hint="eastAsia"/>
          <w:szCs w:val="21"/>
          <w:lang w:val="en-US" w:eastAsia="zh-CN"/>
        </w:rPr>
      </w:pPr>
      <w:bookmarkStart w:id="56" w:name="_Toc30002"/>
      <w:r>
        <w:rPr>
          <w:rFonts w:hint="eastAsia"/>
          <w:szCs w:val="21"/>
          <w:lang w:val="en-US" w:eastAsia="zh-CN"/>
        </w:rPr>
        <w:t>13  储粮安全管理</w:t>
      </w:r>
      <w:bookmarkEnd w:id="56"/>
    </w:p>
    <w:p>
      <w:pPr>
        <w:pStyle w:val="105"/>
        <w:numPr>
          <w:ilvl w:val="1"/>
          <w:numId w:val="0"/>
        </w:numPr>
        <w:spacing w:before="240" w:after="240"/>
        <w:ind w:leftChars="0"/>
        <w:rPr>
          <w:rFonts w:hint="eastAsia"/>
          <w:szCs w:val="21"/>
          <w:lang w:val="en-US" w:eastAsia="zh-CN"/>
        </w:rPr>
      </w:pPr>
      <w:bookmarkStart w:id="57" w:name="_Toc8658"/>
      <w:bookmarkStart w:id="58" w:name="_Toc32195"/>
      <w:bookmarkStart w:id="59" w:name="_Toc32050"/>
      <w:r>
        <w:rPr>
          <w:rFonts w:hint="eastAsia"/>
          <w:szCs w:val="21"/>
          <w:lang w:val="en-US" w:eastAsia="zh-CN"/>
        </w:rPr>
        <w:t>13.1有害生物控制</w:t>
      </w:r>
      <w:bookmarkEnd w:id="57"/>
      <w:bookmarkEnd w:id="58"/>
      <w:bookmarkEnd w:id="59"/>
    </w:p>
    <w:p>
      <w:pPr>
        <w:pStyle w:val="231"/>
        <w:spacing w:before="156" w:beforeLines="50" w:after="156" w:afterLines="50"/>
        <w:ind w:firstLine="0" w:firstLineChars="0"/>
        <w:rPr>
          <w:rFonts w:hint="eastAsia" w:ascii="黑体" w:eastAsia="黑体"/>
        </w:rPr>
      </w:pPr>
      <w:r>
        <w:rPr>
          <w:rFonts w:hint="eastAsia" w:ascii="黑体" w:hAnsi="黑体" w:eastAsia="黑体" w:cs="黑体"/>
        </w:rPr>
        <w:t>13.1</w:t>
      </w:r>
      <w:r>
        <w:rPr>
          <w:rFonts w:hint="eastAsia" w:ascii="黑体" w:hAnsi="黑体" w:eastAsia="黑体" w:cs="黑体"/>
          <w:lang w:val="en-US" w:eastAsia="zh-CN"/>
        </w:rPr>
        <w:t>.1</w:t>
      </w:r>
      <w:r>
        <w:rPr>
          <w:rFonts w:hint="eastAsia"/>
        </w:rPr>
        <w:t xml:space="preserve">  </w:t>
      </w:r>
      <w:r>
        <w:rPr>
          <w:rFonts w:hint="eastAsia" w:ascii="黑体" w:eastAsia="黑体"/>
        </w:rPr>
        <w:t>基本要求</w:t>
      </w:r>
    </w:p>
    <w:p>
      <w:pPr>
        <w:pStyle w:val="231"/>
        <w:rPr>
          <w:rFonts w:hint="eastAsia"/>
        </w:rPr>
      </w:pPr>
      <w:r>
        <w:rPr>
          <w:rFonts w:hint="eastAsia"/>
        </w:rPr>
        <w:t>应遵循“预防为主，综合防治”方针，控制措施应符合“安全、绿色、经济、有效” 的原则。</w:t>
      </w:r>
    </w:p>
    <w:p>
      <w:pPr>
        <w:pStyle w:val="231"/>
        <w:spacing w:before="156" w:beforeLines="50" w:after="156" w:afterLines="50"/>
        <w:ind w:firstLine="0" w:firstLineChars="0"/>
        <w:rPr>
          <w:rFonts w:hint="eastAsia" w:ascii="黑体" w:eastAsia="黑体"/>
        </w:rPr>
      </w:pPr>
      <w:r>
        <w:rPr>
          <w:rFonts w:hint="eastAsia" w:ascii="黑体" w:hAnsi="黑体" w:eastAsia="黑体" w:cs="黑体"/>
        </w:rPr>
        <w:t>13.</w:t>
      </w:r>
      <w:r>
        <w:rPr>
          <w:rFonts w:hint="eastAsia" w:ascii="黑体" w:hAnsi="黑体" w:eastAsia="黑体" w:cs="黑体"/>
          <w:lang w:val="en-US" w:eastAsia="zh-CN"/>
        </w:rPr>
        <w:t>1.</w:t>
      </w:r>
      <w:r>
        <w:rPr>
          <w:rFonts w:hint="eastAsia" w:ascii="黑体" w:hAnsi="黑体" w:eastAsia="黑体" w:cs="黑体"/>
        </w:rPr>
        <w:t>2</w:t>
      </w:r>
      <w:r>
        <w:rPr>
          <w:rFonts w:hint="eastAsia"/>
        </w:rPr>
        <w:t xml:space="preserve">  </w:t>
      </w:r>
      <w:r>
        <w:rPr>
          <w:rFonts w:hint="eastAsia" w:ascii="黑体" w:eastAsia="黑体"/>
        </w:rPr>
        <w:t>害虫、螨类控制</w:t>
      </w:r>
    </w:p>
    <w:p>
      <w:pPr>
        <w:pStyle w:val="231"/>
        <w:spacing w:before="156" w:beforeLines="50" w:after="156" w:afterLines="50"/>
        <w:ind w:firstLine="0" w:firstLineChars="0"/>
        <w:rPr>
          <w:rFonts w:hint="eastAsia" w:ascii="黑体" w:hAnsi="黑体" w:eastAsia="黑体" w:cs="黑体"/>
        </w:rPr>
      </w:pPr>
      <w:r>
        <w:rPr>
          <w:rFonts w:hint="eastAsia" w:ascii="黑体" w:hAnsi="黑体" w:eastAsia="黑体" w:cs="黑体"/>
        </w:rPr>
        <w:t>13.</w:t>
      </w:r>
      <w:r>
        <w:rPr>
          <w:rFonts w:hint="eastAsia" w:ascii="黑体" w:hAnsi="黑体" w:eastAsia="黑体" w:cs="黑体"/>
          <w:lang w:val="en-US" w:eastAsia="zh-CN"/>
        </w:rPr>
        <w:t>1.</w:t>
      </w:r>
      <w:r>
        <w:rPr>
          <w:rFonts w:hint="eastAsia" w:ascii="黑体" w:hAnsi="黑体" w:eastAsia="黑体" w:cs="黑体"/>
        </w:rPr>
        <w:t>2.1 非化学药剂</w:t>
      </w:r>
      <w:r>
        <w:rPr>
          <w:rFonts w:hint="eastAsia" w:ascii="黑体" w:hAnsi="黑体" w:eastAsia="黑体" w:cs="黑体"/>
          <w:lang w:eastAsia="zh-CN"/>
        </w:rPr>
        <w:t>控制</w:t>
      </w:r>
    </w:p>
    <w:p>
      <w:pPr>
        <w:pStyle w:val="231"/>
        <w:rPr>
          <w:rFonts w:hint="eastAsia"/>
          <w:color w:val="auto"/>
        </w:rPr>
      </w:pPr>
      <w:r>
        <w:rPr>
          <w:rFonts w:hint="eastAsia"/>
          <w:color w:val="auto"/>
          <w:lang w:eastAsia="zh-CN"/>
        </w:rPr>
        <w:t>可采用</w:t>
      </w:r>
      <w:r>
        <w:rPr>
          <w:rFonts w:hint="eastAsia"/>
          <w:color w:val="auto"/>
        </w:rPr>
        <w:t>物理与机械方法、生物防治、植物源农药等防治</w:t>
      </w:r>
      <w:r>
        <w:rPr>
          <w:rFonts w:hint="eastAsia"/>
          <w:color w:val="auto"/>
          <w:lang w:eastAsia="zh-CN"/>
        </w:rPr>
        <w:t>方式，</w:t>
      </w:r>
      <w:r>
        <w:rPr>
          <w:rFonts w:hint="eastAsia"/>
          <w:color w:val="auto"/>
        </w:rPr>
        <w:t>具体按</w:t>
      </w:r>
      <w:r>
        <w:rPr>
          <w:rFonts w:hint="eastAsia"/>
          <w:color w:val="auto"/>
          <w:lang w:eastAsia="zh-CN"/>
        </w:rPr>
        <w:t>GB/T 29890</w:t>
      </w:r>
      <w:r>
        <w:rPr>
          <w:rFonts w:hint="eastAsia"/>
          <w:color w:val="auto"/>
        </w:rPr>
        <w:t>的规定执行。</w:t>
      </w:r>
    </w:p>
    <w:p>
      <w:pPr>
        <w:pStyle w:val="231"/>
        <w:spacing w:before="156" w:beforeLines="50" w:after="156" w:afterLines="50"/>
        <w:ind w:firstLine="0" w:firstLineChars="0"/>
        <w:rPr>
          <w:rFonts w:hint="eastAsia" w:ascii="黑体" w:hAnsi="黑体" w:eastAsia="黑体" w:cs="黑体"/>
          <w:color w:val="auto"/>
        </w:rPr>
      </w:pPr>
      <w:r>
        <w:rPr>
          <w:rFonts w:hint="eastAsia" w:ascii="黑体" w:hAnsi="黑体" w:eastAsia="黑体" w:cs="黑体"/>
          <w:color w:val="auto"/>
        </w:rPr>
        <w:t>13.</w:t>
      </w:r>
      <w:r>
        <w:rPr>
          <w:rFonts w:hint="eastAsia" w:ascii="黑体" w:hAnsi="黑体" w:eastAsia="黑体" w:cs="黑体"/>
          <w:color w:val="auto"/>
          <w:lang w:val="en-US" w:eastAsia="zh-CN"/>
        </w:rPr>
        <w:t>1.</w:t>
      </w:r>
      <w:r>
        <w:rPr>
          <w:rFonts w:hint="eastAsia" w:ascii="黑体" w:hAnsi="黑体" w:eastAsia="黑体" w:cs="黑体"/>
          <w:color w:val="auto"/>
        </w:rPr>
        <w:t>2.2 化学药剂</w:t>
      </w:r>
      <w:r>
        <w:rPr>
          <w:rFonts w:hint="eastAsia" w:ascii="黑体" w:hAnsi="黑体" w:eastAsia="黑体" w:cs="黑体"/>
          <w:color w:val="auto"/>
          <w:lang w:eastAsia="zh-CN"/>
        </w:rPr>
        <w:t>控制</w:t>
      </w:r>
    </w:p>
    <w:p>
      <w:pPr>
        <w:pStyle w:val="231"/>
        <w:rPr>
          <w:rFonts w:hint="eastAsia"/>
        </w:rPr>
      </w:pPr>
      <w:r>
        <w:rPr>
          <w:rFonts w:hint="eastAsia"/>
          <w:color w:val="auto"/>
          <w:lang w:eastAsia="zh-CN"/>
        </w:rPr>
        <w:t>可使用熏蒸剂、防护剂、空仓与器材杀虫剂控制，</w:t>
      </w:r>
      <w:r>
        <w:rPr>
          <w:rFonts w:hint="eastAsia"/>
          <w:lang w:eastAsia="zh-CN"/>
        </w:rPr>
        <w:t>具体按GB/T 29890的</w:t>
      </w:r>
      <w:r>
        <w:rPr>
          <w:rFonts w:hint="eastAsia"/>
          <w:lang w:val="en-US" w:eastAsia="zh-CN"/>
        </w:rPr>
        <w:t>规定进行</w:t>
      </w:r>
      <w:r>
        <w:rPr>
          <w:rFonts w:hint="eastAsia"/>
        </w:rPr>
        <w:t>。</w:t>
      </w:r>
    </w:p>
    <w:p>
      <w:pPr>
        <w:pStyle w:val="105"/>
        <w:numPr>
          <w:ilvl w:val="1"/>
          <w:numId w:val="0"/>
        </w:numPr>
        <w:spacing w:before="240" w:after="240"/>
        <w:ind w:leftChars="0"/>
        <w:rPr>
          <w:rFonts w:hint="eastAsia"/>
          <w:szCs w:val="21"/>
          <w:lang w:val="en-US" w:eastAsia="zh-CN"/>
        </w:rPr>
      </w:pPr>
      <w:bookmarkStart w:id="60" w:name="_Toc23729"/>
      <w:bookmarkStart w:id="61" w:name="_Toc19001"/>
      <w:bookmarkStart w:id="62" w:name="_Toc12486"/>
      <w:r>
        <w:rPr>
          <w:rFonts w:hint="eastAsia"/>
          <w:szCs w:val="21"/>
          <w:lang w:val="en-US" w:eastAsia="zh-CN"/>
        </w:rPr>
        <w:t>13.2特殊情况处理</w:t>
      </w:r>
      <w:bookmarkEnd w:id="60"/>
      <w:bookmarkEnd w:id="61"/>
      <w:bookmarkEnd w:id="62"/>
    </w:p>
    <w:p>
      <w:pPr>
        <w:pStyle w:val="231"/>
        <w:rPr>
          <w:rFonts w:hint="eastAsia"/>
        </w:rPr>
      </w:pPr>
      <w:r>
        <w:rPr>
          <w:rFonts w:hint="eastAsia"/>
          <w:lang w:eastAsia="zh-CN"/>
        </w:rPr>
        <w:t>酱香型酿酒糯高粱遇</w:t>
      </w:r>
      <w:r>
        <w:rPr>
          <w:rFonts w:hint="eastAsia"/>
        </w:rPr>
        <w:t>高温、发热和污染等特殊情况</w:t>
      </w:r>
      <w:r>
        <w:rPr>
          <w:rFonts w:hint="eastAsia"/>
          <w:lang w:eastAsia="zh-CN"/>
        </w:rPr>
        <w:t>应</w:t>
      </w:r>
      <w:r>
        <w:rPr>
          <w:rFonts w:hint="eastAsia"/>
        </w:rPr>
        <w:t xml:space="preserve">按 </w:t>
      </w:r>
      <w:r>
        <w:rPr>
          <w:rFonts w:hint="eastAsia"/>
          <w:lang w:eastAsia="zh-CN"/>
        </w:rPr>
        <w:t>GB/T 29890</w:t>
      </w:r>
      <w:r>
        <w:rPr>
          <w:rFonts w:hint="eastAsia"/>
        </w:rPr>
        <w:t>的规定</w:t>
      </w:r>
      <w:r>
        <w:rPr>
          <w:rFonts w:hint="eastAsia"/>
          <w:lang w:eastAsia="zh-CN"/>
        </w:rPr>
        <w:t>处理</w:t>
      </w:r>
      <w:r>
        <w:rPr>
          <w:rFonts w:hint="eastAsia"/>
        </w:rPr>
        <w:t>。</w:t>
      </w:r>
    </w:p>
    <w:p>
      <w:pPr>
        <w:pStyle w:val="105"/>
        <w:numPr>
          <w:ilvl w:val="1"/>
          <w:numId w:val="0"/>
        </w:numPr>
        <w:spacing w:before="240" w:after="240"/>
        <w:ind w:leftChars="0"/>
        <w:rPr>
          <w:rFonts w:hint="eastAsia"/>
          <w:szCs w:val="21"/>
          <w:lang w:val="en-US" w:eastAsia="zh-CN"/>
        </w:rPr>
      </w:pPr>
      <w:bookmarkStart w:id="63" w:name="_Toc18429"/>
      <w:bookmarkStart w:id="64" w:name="_Toc24745"/>
      <w:bookmarkStart w:id="65" w:name="_Toc24255"/>
      <w:r>
        <w:rPr>
          <w:rFonts w:hint="eastAsia"/>
          <w:szCs w:val="21"/>
          <w:lang w:val="en-US" w:eastAsia="zh-CN"/>
        </w:rPr>
        <w:t>13.3 安全检查</w:t>
      </w:r>
      <w:bookmarkEnd w:id="63"/>
      <w:bookmarkEnd w:id="64"/>
      <w:bookmarkEnd w:id="65"/>
    </w:p>
    <w:p>
      <w:pPr>
        <w:pStyle w:val="231"/>
        <w:ind w:left="0" w:leftChars="0" w:firstLine="0" w:firstLineChars="0"/>
        <w:rPr>
          <w:rFonts w:hint="eastAsia"/>
        </w:rPr>
      </w:pPr>
      <w:r>
        <w:rPr>
          <w:rFonts w:hint="eastAsia" w:ascii="黑体" w:hAnsi="黑体" w:eastAsia="黑体" w:cs="黑体"/>
          <w:lang w:val="en-US" w:eastAsia="zh-CN"/>
        </w:rPr>
        <w:t xml:space="preserve">13.3.1 </w:t>
      </w:r>
      <w:r>
        <w:rPr>
          <w:rFonts w:hint="eastAsia"/>
        </w:rPr>
        <w:t>应建立仓库安全生产管理组织机构和制度，坚持全员、全过程、全方位、全天候抓安全生产。</w:t>
      </w:r>
    </w:p>
    <w:p>
      <w:pPr>
        <w:pStyle w:val="231"/>
        <w:ind w:left="0" w:leftChars="0" w:firstLine="0" w:firstLineChars="0"/>
        <w:rPr>
          <w:rFonts w:hint="eastAsia"/>
        </w:rPr>
      </w:pPr>
      <w:r>
        <w:rPr>
          <w:rFonts w:hint="eastAsia" w:ascii="黑体" w:hAnsi="黑体" w:eastAsia="黑体" w:cs="黑体"/>
          <w:b w:val="0"/>
          <w:bCs w:val="0"/>
          <w:lang w:val="en-US" w:eastAsia="zh-CN"/>
        </w:rPr>
        <w:t>13.3.2</w:t>
      </w:r>
      <w:r>
        <w:rPr>
          <w:rFonts w:hint="eastAsia"/>
          <w:lang w:val="en-US" w:eastAsia="zh-CN"/>
        </w:rPr>
        <w:t xml:space="preserve"> </w:t>
      </w:r>
      <w:r>
        <w:rPr>
          <w:rFonts w:hint="eastAsia"/>
          <w:lang w:eastAsia="zh-CN"/>
        </w:rPr>
        <w:t>应</w:t>
      </w:r>
      <w:r>
        <w:rPr>
          <w:rFonts w:hint="eastAsia"/>
        </w:rPr>
        <w:t>配备专职安全员，每天对重点、高危作业环节巡回检查，监护现场作业，及时纠正违规操作，及时发现和消除安全隐患，做好记录。</w:t>
      </w:r>
    </w:p>
    <w:p>
      <w:pPr>
        <w:pStyle w:val="105"/>
        <w:numPr>
          <w:ilvl w:val="1"/>
          <w:numId w:val="0"/>
        </w:numPr>
        <w:spacing w:before="240" w:after="240"/>
        <w:ind w:leftChars="0"/>
        <w:rPr>
          <w:rFonts w:hint="eastAsia"/>
          <w:szCs w:val="21"/>
          <w:lang w:val="en-US" w:eastAsia="zh-CN"/>
        </w:rPr>
      </w:pPr>
      <w:bookmarkStart w:id="66" w:name="_Toc1682"/>
      <w:bookmarkStart w:id="67" w:name="_Toc10449"/>
      <w:bookmarkStart w:id="68" w:name="_Toc14440"/>
      <w:r>
        <w:rPr>
          <w:rFonts w:hint="eastAsia"/>
          <w:szCs w:val="21"/>
          <w:lang w:val="en-US" w:eastAsia="zh-CN"/>
        </w:rPr>
        <w:t>13.4储粮损耗处理</w:t>
      </w:r>
      <w:bookmarkEnd w:id="66"/>
      <w:bookmarkEnd w:id="67"/>
      <w:bookmarkEnd w:id="68"/>
    </w:p>
    <w:p>
      <w:pPr>
        <w:pStyle w:val="231"/>
        <w:rPr>
          <w:rFonts w:hint="eastAsia" w:ascii="宋体" w:hAnsi="Times New Roman" w:eastAsia="宋体" w:cs="Times New Roman"/>
          <w:color w:val="auto"/>
          <w:kern w:val="0"/>
          <w:sz w:val="21"/>
          <w:szCs w:val="20"/>
          <w:lang w:val="en-US" w:eastAsia="zh-CN" w:bidi="ar-SA"/>
        </w:rPr>
      </w:pPr>
      <w:r>
        <w:rPr>
          <w:rFonts w:hint="eastAsia"/>
        </w:rPr>
        <w:t>按《粮油</w:t>
      </w:r>
      <w:r>
        <w:rPr>
          <w:rFonts w:hint="eastAsia"/>
          <w:lang w:eastAsia="zh-CN"/>
        </w:rPr>
        <w:t>仓储</w:t>
      </w:r>
      <w:r>
        <w:rPr>
          <w:rFonts w:hint="eastAsia"/>
        </w:rPr>
        <w:t>管理办法》的规定执行。</w:t>
      </w:r>
    </w:p>
    <w:p>
      <w:pPr>
        <w:pStyle w:val="57"/>
        <w:ind w:left="0" w:leftChars="0" w:firstLine="0" w:firstLineChars="0"/>
        <w:rPr>
          <w:rFonts w:hint="eastAsia"/>
          <w:lang w:val="en-US" w:eastAsia="zh-CN"/>
        </w:rPr>
      </w:pPr>
    </w:p>
    <w:bookmarkEnd w:id="21"/>
    <w:p>
      <w:pPr>
        <w:pStyle w:val="199"/>
        <w:rPr>
          <w:vanish w:val="0"/>
        </w:rPr>
      </w:pPr>
      <w:bookmarkStart w:id="69" w:name="BookMark5"/>
    </w:p>
    <w:p>
      <w:pPr>
        <w:pStyle w:val="200"/>
        <w:rPr>
          <w:vanish w:val="0"/>
        </w:rPr>
      </w:pPr>
    </w:p>
    <w:bookmarkEnd w:id="69"/>
    <w:p>
      <w:pPr>
        <w:pStyle w:val="57"/>
        <w:ind w:firstLine="0" w:firstLineChars="0"/>
        <w:jc w:val="center"/>
      </w:pPr>
      <w:bookmarkStart w:id="70" w:name="BookMark8"/>
    </w:p>
    <w:p>
      <w:pPr>
        <w:pStyle w:val="57"/>
        <w:ind w:firstLine="0" w:firstLineChars="0"/>
        <w:jc w:val="center"/>
      </w:pPr>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4"/>
                    <a:stretch>
                      <a:fillRect/>
                    </a:stretch>
                  </pic:blipFill>
                  <pic:spPr>
                    <a:xfrm>
                      <a:off x="0" y="0"/>
                      <a:ext cx="1485900" cy="317500"/>
                    </a:xfrm>
                    <a:prstGeom prst="rect">
                      <a:avLst/>
                    </a:prstGeom>
                  </pic:spPr>
                </pic:pic>
              </a:graphicData>
            </a:graphic>
          </wp:inline>
        </w:drawing>
      </w:r>
      <w:bookmarkEnd w:id="70"/>
    </w:p>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ind w:firstLine="8820" w:firstLineChars="4900"/>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ind w:firstLine="7770" w:firstLineChars="3700"/>
    </w:pPr>
    <w:r>
      <w:fldChar w:fldCharType="begin"/>
    </w:r>
    <w:r>
      <w:instrText xml:space="preserve"> STYLEREF  标准文件_文件编号 \* MERGEFORMAT </w:instrText>
    </w:r>
    <w:r>
      <w:fldChar w:fldCharType="separate"/>
    </w:r>
    <w:r>
      <w:t>T/XXX XXXX—2024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T/XXX XXXX—2024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T/XXX XXXX—2024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84" w:firstLine="0"/>
      </w:pPr>
      <w:rPr>
        <w:rFonts w:hint="eastAsia" w:ascii="黑体" w:hAnsi="黑体"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2.%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23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Y2M5NGY1MGYwODNjNDE1ZDlmNjVjNjQwNzkyOTQifQ=="/>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CEB"/>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727E"/>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79E"/>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0EB2"/>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2064E7"/>
    <w:rsid w:val="042F62B6"/>
    <w:rsid w:val="05191DD0"/>
    <w:rsid w:val="06201236"/>
    <w:rsid w:val="09FA4319"/>
    <w:rsid w:val="0D605732"/>
    <w:rsid w:val="0E771D94"/>
    <w:rsid w:val="0EC3293F"/>
    <w:rsid w:val="0FD60E6E"/>
    <w:rsid w:val="103C2A4B"/>
    <w:rsid w:val="11052878"/>
    <w:rsid w:val="13135720"/>
    <w:rsid w:val="14B54DBD"/>
    <w:rsid w:val="16980767"/>
    <w:rsid w:val="1C4D6921"/>
    <w:rsid w:val="1F8C2DDE"/>
    <w:rsid w:val="20D416BD"/>
    <w:rsid w:val="2117153B"/>
    <w:rsid w:val="21347BEE"/>
    <w:rsid w:val="223E17E1"/>
    <w:rsid w:val="23BE7221"/>
    <w:rsid w:val="25DB1B99"/>
    <w:rsid w:val="26BF04D4"/>
    <w:rsid w:val="26EB3E67"/>
    <w:rsid w:val="270D7567"/>
    <w:rsid w:val="274C1810"/>
    <w:rsid w:val="287265EE"/>
    <w:rsid w:val="2CD87815"/>
    <w:rsid w:val="2DAE0A79"/>
    <w:rsid w:val="2F2A16D6"/>
    <w:rsid w:val="2FE92467"/>
    <w:rsid w:val="327B59FF"/>
    <w:rsid w:val="333429AC"/>
    <w:rsid w:val="36045D4B"/>
    <w:rsid w:val="361E62D5"/>
    <w:rsid w:val="365F3F51"/>
    <w:rsid w:val="36AB46A8"/>
    <w:rsid w:val="3C634ADF"/>
    <w:rsid w:val="3CA371A5"/>
    <w:rsid w:val="3D961652"/>
    <w:rsid w:val="3E446852"/>
    <w:rsid w:val="40692863"/>
    <w:rsid w:val="43D46490"/>
    <w:rsid w:val="44530932"/>
    <w:rsid w:val="446B68BB"/>
    <w:rsid w:val="4809056E"/>
    <w:rsid w:val="4BC863A1"/>
    <w:rsid w:val="4E045812"/>
    <w:rsid w:val="50452756"/>
    <w:rsid w:val="54C730B0"/>
    <w:rsid w:val="56D32E18"/>
    <w:rsid w:val="56D65BB6"/>
    <w:rsid w:val="5B43610C"/>
    <w:rsid w:val="5B5F03A4"/>
    <w:rsid w:val="5BCC5A39"/>
    <w:rsid w:val="5C384E7D"/>
    <w:rsid w:val="5FAE2EA5"/>
    <w:rsid w:val="65493C57"/>
    <w:rsid w:val="65EE0CA2"/>
    <w:rsid w:val="68366002"/>
    <w:rsid w:val="696667F6"/>
    <w:rsid w:val="6C81017A"/>
    <w:rsid w:val="6CB12695"/>
    <w:rsid w:val="6DE73EA1"/>
    <w:rsid w:val="6E1B74BF"/>
    <w:rsid w:val="6E8D72AA"/>
    <w:rsid w:val="6ED80BD6"/>
    <w:rsid w:val="715D7825"/>
    <w:rsid w:val="771C7278"/>
    <w:rsid w:val="796C5D0E"/>
    <w:rsid w:val="7B3867F0"/>
    <w:rsid w:val="7B711EA9"/>
    <w:rsid w:val="7DEC3DBC"/>
    <w:rsid w:val="7E8F1DC8"/>
    <w:rsid w:val="7FFC3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nhideWhenUsed="0" w:uiPriority="99" w:semiHidden="0" w:name="Table Professional"/>
    <w:lsdException w:uiPriority="99" w:name="Table Subtle 1"/>
    <w:lsdException w:uiPriority="99" w:name="Table Subtle 2"/>
    <w:lsdException w:unhideWhenUsed="0" w:uiPriority="99" w:semiHidden="0" w:name="Table Web 1"/>
    <w:lsdException w:unhideWhenUsed="0" w:uiPriority="99" w:semiHidden="0"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8"/>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autoRedefine/>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autoRedefine/>
    <w:qFormat/>
    <w:uiPriority w:val="0"/>
    <w:pPr>
      <w:jc w:val="left"/>
    </w:pPr>
  </w:style>
  <w:style w:type="paragraph" w:styleId="14">
    <w:name w:val="Body Text"/>
    <w:basedOn w:val="1"/>
    <w:link w:val="87"/>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autoRedefine/>
    <w:semiHidden/>
    <w:unhideWhenUsed/>
    <w:qFormat/>
    <w:uiPriority w:val="99"/>
    <w:rPr>
      <w:sz w:val="18"/>
      <w:szCs w:val="18"/>
    </w:rPr>
  </w:style>
  <w:style w:type="paragraph" w:styleId="18">
    <w:name w:val="footer"/>
    <w:basedOn w:val="1"/>
    <w:link w:val="45"/>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autoRedefine/>
    <w:qFormat/>
    <w:uiPriority w:val="0"/>
    <w:pPr>
      <w:spacing w:before="240" w:after="60"/>
      <w:jc w:val="center"/>
      <w:outlineLvl w:val="0"/>
    </w:pPr>
    <w:rPr>
      <w:rFonts w:ascii="Arial" w:hAnsi="Arial" w:cs="Arial"/>
      <w:b/>
      <w:bCs/>
      <w:sz w:val="32"/>
      <w:szCs w:val="32"/>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22"/>
    <w:rPr>
      <w:b/>
      <w:bCs/>
    </w:rPr>
  </w:style>
  <w:style w:type="character" w:styleId="31">
    <w:name w:val="page number"/>
    <w:autoRedefine/>
    <w:qFormat/>
    <w:uiPriority w:val="0"/>
    <w:rPr>
      <w:rFonts w:ascii="宋体" w:hAnsi="Times New Roman" w:eastAsia="宋体"/>
      <w:sz w:val="18"/>
    </w:rPr>
  </w:style>
  <w:style w:type="character" w:styleId="32">
    <w:name w:val="Emphasis"/>
    <w:autoRedefine/>
    <w:qFormat/>
    <w:uiPriority w:val="20"/>
    <w:rPr>
      <w:i/>
      <w:iCs/>
    </w:rPr>
  </w:style>
  <w:style w:type="character" w:styleId="33">
    <w:name w:val="Hyperlink"/>
    <w:autoRedefine/>
    <w:qFormat/>
    <w:uiPriority w:val="99"/>
    <w:rPr>
      <w:rFonts w:ascii="宋体" w:hAnsi="Times New Roman" w:eastAsia="宋体"/>
      <w:color w:val="auto"/>
      <w:spacing w:val="0"/>
      <w:w w:val="100"/>
      <w:position w:val="0"/>
      <w:sz w:val="21"/>
      <w:u w:val="none"/>
      <w:vertAlign w:val="baseline"/>
    </w:rPr>
  </w:style>
  <w:style w:type="character" w:styleId="34">
    <w:name w:val="footnote reference"/>
    <w:autoRedefine/>
    <w:semiHidden/>
    <w:qFormat/>
    <w:uiPriority w:val="0"/>
    <w:rPr>
      <w:rFonts w:ascii="宋体" w:hAnsi="宋体" w:eastAsia="宋体" w:cs="Times New Roman"/>
      <w:spacing w:val="0"/>
      <w:sz w:val="18"/>
      <w:vertAlign w:val="superscript"/>
    </w:rPr>
  </w:style>
  <w:style w:type="character" w:customStyle="1" w:styleId="35">
    <w:name w:val="标题 1 Char"/>
    <w:link w:val="2"/>
    <w:autoRedefine/>
    <w:qFormat/>
    <w:uiPriority w:val="0"/>
    <w:rPr>
      <w:rFonts w:ascii="Times New Roman" w:hAnsi="Times New Roman" w:eastAsia="宋体" w:cs="Times New Roman"/>
      <w:b/>
      <w:bCs/>
      <w:kern w:val="44"/>
      <w:sz w:val="44"/>
      <w:szCs w:val="44"/>
    </w:rPr>
  </w:style>
  <w:style w:type="character" w:customStyle="1" w:styleId="36">
    <w:name w:val="标题 2 Char"/>
    <w:link w:val="3"/>
    <w:autoRedefine/>
    <w:qFormat/>
    <w:uiPriority w:val="0"/>
    <w:rPr>
      <w:rFonts w:ascii="Arial" w:hAnsi="Arial" w:eastAsia="黑体" w:cs="Times New Roman"/>
      <w:b/>
      <w:bCs/>
      <w:sz w:val="32"/>
      <w:szCs w:val="32"/>
    </w:rPr>
  </w:style>
  <w:style w:type="character" w:customStyle="1" w:styleId="37">
    <w:name w:val="标题 3 Char"/>
    <w:link w:val="4"/>
    <w:autoRedefine/>
    <w:qFormat/>
    <w:uiPriority w:val="0"/>
    <w:rPr>
      <w:rFonts w:ascii="Times New Roman" w:hAnsi="Times New Roman" w:eastAsia="宋体" w:cs="Times New Roman"/>
      <w:b/>
      <w:bCs/>
      <w:sz w:val="32"/>
      <w:szCs w:val="32"/>
    </w:rPr>
  </w:style>
  <w:style w:type="character" w:customStyle="1" w:styleId="38">
    <w:name w:val="标题 4 Char"/>
    <w:link w:val="5"/>
    <w:autoRedefine/>
    <w:qFormat/>
    <w:uiPriority w:val="0"/>
    <w:rPr>
      <w:rFonts w:ascii="Arial" w:hAnsi="Arial" w:eastAsia="黑体" w:cs="Times New Roman"/>
      <w:b/>
      <w:bCs/>
      <w:sz w:val="28"/>
      <w:szCs w:val="28"/>
    </w:rPr>
  </w:style>
  <w:style w:type="character" w:customStyle="1" w:styleId="39">
    <w:name w:val="标题 5 Char"/>
    <w:link w:val="6"/>
    <w:autoRedefine/>
    <w:qFormat/>
    <w:uiPriority w:val="0"/>
    <w:rPr>
      <w:rFonts w:ascii="Times New Roman" w:hAnsi="Times New Roman" w:eastAsia="宋体" w:cs="Times New Roman"/>
      <w:b/>
      <w:bCs/>
      <w:sz w:val="28"/>
      <w:szCs w:val="28"/>
    </w:rPr>
  </w:style>
  <w:style w:type="character" w:customStyle="1" w:styleId="40">
    <w:name w:val="标题 6 Char"/>
    <w:link w:val="7"/>
    <w:autoRedefine/>
    <w:qFormat/>
    <w:uiPriority w:val="0"/>
    <w:rPr>
      <w:rFonts w:ascii="Arial" w:hAnsi="Arial" w:eastAsia="黑体" w:cs="Times New Roman"/>
      <w:b/>
      <w:bCs/>
      <w:sz w:val="24"/>
      <w:szCs w:val="24"/>
    </w:rPr>
  </w:style>
  <w:style w:type="character" w:customStyle="1" w:styleId="41">
    <w:name w:val="标题 7 Char"/>
    <w:link w:val="8"/>
    <w:autoRedefine/>
    <w:qFormat/>
    <w:uiPriority w:val="0"/>
    <w:rPr>
      <w:rFonts w:ascii="Times New Roman" w:hAnsi="Times New Roman" w:eastAsia="宋体" w:cs="Times New Roman"/>
      <w:b/>
      <w:bCs/>
      <w:sz w:val="24"/>
      <w:szCs w:val="24"/>
    </w:rPr>
  </w:style>
  <w:style w:type="character" w:customStyle="1" w:styleId="42">
    <w:name w:val="标题 8 Char"/>
    <w:link w:val="9"/>
    <w:autoRedefine/>
    <w:qFormat/>
    <w:uiPriority w:val="0"/>
    <w:rPr>
      <w:rFonts w:ascii="Arial" w:hAnsi="Arial" w:eastAsia="黑体" w:cs="Times New Roman"/>
      <w:sz w:val="24"/>
      <w:szCs w:val="24"/>
    </w:rPr>
  </w:style>
  <w:style w:type="character" w:customStyle="1" w:styleId="43">
    <w:name w:val="标题 9 Char"/>
    <w:link w:val="10"/>
    <w:autoRedefine/>
    <w:qFormat/>
    <w:uiPriority w:val="0"/>
    <w:rPr>
      <w:rFonts w:ascii="Arial" w:hAnsi="Arial" w:eastAsia="黑体" w:cs="Times New Roman"/>
      <w:szCs w:val="21"/>
    </w:rPr>
  </w:style>
  <w:style w:type="character" w:customStyle="1" w:styleId="44">
    <w:name w:val="页眉 Char"/>
    <w:link w:val="19"/>
    <w:autoRedefine/>
    <w:qFormat/>
    <w:uiPriority w:val="99"/>
    <w:rPr>
      <w:rFonts w:ascii="Times New Roman" w:hAnsi="Times New Roman" w:eastAsia="宋体" w:cs="Times New Roman"/>
      <w:sz w:val="18"/>
      <w:szCs w:val="18"/>
    </w:rPr>
  </w:style>
  <w:style w:type="character" w:customStyle="1" w:styleId="45">
    <w:name w:val="页脚 Char"/>
    <w:link w:val="18"/>
    <w:autoRedefine/>
    <w:qFormat/>
    <w:uiPriority w:val="99"/>
    <w:rPr>
      <w:rFonts w:ascii="宋体" w:hAnsi="Times New Roman" w:eastAsia="宋体" w:cs="Times New Roman"/>
      <w:sz w:val="18"/>
      <w:szCs w:val="18"/>
    </w:rPr>
  </w:style>
  <w:style w:type="character" w:customStyle="1" w:styleId="46">
    <w:name w:val="批注框文本 Char"/>
    <w:link w:val="17"/>
    <w:autoRedefine/>
    <w:semiHidden/>
    <w:qFormat/>
    <w:uiPriority w:val="99"/>
    <w:rPr>
      <w:sz w:val="18"/>
      <w:szCs w:val="18"/>
    </w:rPr>
  </w:style>
  <w:style w:type="paragraph" w:styleId="47">
    <w:name w:val="Quote"/>
    <w:basedOn w:val="1"/>
    <w:next w:val="1"/>
    <w:link w:val="48"/>
    <w:autoRedefine/>
    <w:qFormat/>
    <w:uiPriority w:val="29"/>
    <w:rPr>
      <w:i/>
      <w:iCs/>
      <w:color w:val="000000"/>
    </w:rPr>
  </w:style>
  <w:style w:type="character" w:customStyle="1" w:styleId="48">
    <w:name w:val="引用 Char"/>
    <w:link w:val="47"/>
    <w:autoRedefine/>
    <w:qFormat/>
    <w:uiPriority w:val="29"/>
    <w:rPr>
      <w:i/>
      <w:iCs/>
      <w:color w:val="000000"/>
    </w:rPr>
  </w:style>
  <w:style w:type="character" w:customStyle="1" w:styleId="49">
    <w:name w:val="标题 Char"/>
    <w:link w:val="26"/>
    <w:autoRedefine/>
    <w:qFormat/>
    <w:uiPriority w:val="0"/>
    <w:rPr>
      <w:rFonts w:ascii="Arial" w:hAnsi="Arial" w:eastAsia="宋体" w:cs="Arial"/>
      <w:b/>
      <w:bCs/>
      <w:sz w:val="32"/>
      <w:szCs w:val="32"/>
    </w:rPr>
  </w:style>
  <w:style w:type="paragraph" w:customStyle="1" w:styleId="50">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autoRedefine/>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autoRedefine/>
    <w:qFormat/>
    <w:uiPriority w:val="0"/>
    <w:pPr>
      <w:spacing w:line="0" w:lineRule="atLeast"/>
    </w:pPr>
    <w:rPr>
      <w:rFonts w:ascii="黑体" w:hAnsi="宋体" w:eastAsia="黑体"/>
    </w:rPr>
  </w:style>
  <w:style w:type="paragraph" w:customStyle="1" w:styleId="56">
    <w:name w:val="标准文件_标准正文"/>
    <w:basedOn w:val="1"/>
    <w:next w:val="57"/>
    <w:autoRedefine/>
    <w:qFormat/>
    <w:uiPriority w:val="0"/>
    <w:pPr>
      <w:snapToGrid w:val="0"/>
      <w:ind w:firstLine="200" w:firstLineChars="200"/>
    </w:pPr>
    <w:rPr>
      <w:kern w:val="0"/>
    </w:rPr>
  </w:style>
  <w:style w:type="paragraph" w:customStyle="1" w:styleId="57">
    <w:name w:val="标准文件_段"/>
    <w:link w:val="185"/>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autoRedefine/>
    <w:qFormat/>
    <w:uiPriority w:val="0"/>
    <w:pPr>
      <w:adjustRightInd/>
      <w:snapToGrid/>
      <w:ind w:firstLine="0" w:firstLineChars="0"/>
    </w:pPr>
    <w:rPr>
      <w:rFonts w:ascii="宋体" w:hAnsi="宋体"/>
      <w:kern w:val="2"/>
    </w:rPr>
  </w:style>
  <w:style w:type="paragraph" w:customStyle="1" w:styleId="59">
    <w:name w:val="标准文件_标准部门"/>
    <w:basedOn w:val="1"/>
    <w:autoRedefine/>
    <w:qFormat/>
    <w:uiPriority w:val="0"/>
    <w:pPr>
      <w:jc w:val="center"/>
    </w:pPr>
    <w:rPr>
      <w:rFonts w:ascii="黑体" w:eastAsia="黑体"/>
      <w:kern w:val="0"/>
      <w:sz w:val="44"/>
    </w:rPr>
  </w:style>
  <w:style w:type="paragraph" w:customStyle="1" w:styleId="60">
    <w:name w:val="标准文件_标准代替"/>
    <w:basedOn w:val="1"/>
    <w:next w:val="1"/>
    <w:autoRedefine/>
    <w:qFormat/>
    <w:uiPriority w:val="0"/>
    <w:pPr>
      <w:spacing w:line="310" w:lineRule="exact"/>
      <w:jc w:val="right"/>
    </w:pPr>
    <w:rPr>
      <w:rFonts w:ascii="宋体" w:hAnsi="宋体"/>
      <w:kern w:val="0"/>
    </w:rPr>
  </w:style>
  <w:style w:type="paragraph" w:customStyle="1" w:styleId="61">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autoRedefine/>
    <w:qFormat/>
    <w:uiPriority w:val="0"/>
    <w:pPr>
      <w:jc w:val="left"/>
    </w:pPr>
  </w:style>
  <w:style w:type="paragraph" w:customStyle="1" w:styleId="64">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5">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autoRedefine/>
    <w:qFormat/>
    <w:uiPriority w:val="0"/>
    <w:rPr>
      <w:rFonts w:ascii="黑体" w:eastAsia="黑体"/>
      <w:spacing w:val="0"/>
      <w:w w:val="100"/>
      <w:position w:val="3"/>
      <w:sz w:val="28"/>
    </w:rPr>
  </w:style>
  <w:style w:type="paragraph" w:customStyle="1" w:styleId="68">
    <w:name w:val="标准文件_方框数字列项"/>
    <w:basedOn w:val="57"/>
    <w:autoRedefine/>
    <w:qFormat/>
    <w:uiPriority w:val="0"/>
    <w:pPr>
      <w:numPr>
        <w:ilvl w:val="0"/>
        <w:numId w:val="3"/>
      </w:numPr>
      <w:ind w:firstLine="0" w:firstLineChars="0"/>
    </w:pPr>
  </w:style>
  <w:style w:type="paragraph" w:customStyle="1" w:styleId="69">
    <w:name w:val="标准文件_封面标准编号"/>
    <w:basedOn w:val="1"/>
    <w:next w:val="60"/>
    <w:autoRedefine/>
    <w:qFormat/>
    <w:uiPriority w:val="0"/>
    <w:pPr>
      <w:spacing w:line="310" w:lineRule="exact"/>
      <w:jc w:val="right"/>
    </w:pPr>
    <w:rPr>
      <w:rFonts w:ascii="黑体" w:eastAsia="黑体"/>
      <w:kern w:val="0"/>
      <w:sz w:val="28"/>
    </w:rPr>
  </w:style>
  <w:style w:type="paragraph" w:customStyle="1" w:styleId="70">
    <w:name w:val="标准文件_封面标准分类号"/>
    <w:basedOn w:val="1"/>
    <w:autoRedefine/>
    <w:qFormat/>
    <w:uiPriority w:val="0"/>
    <w:rPr>
      <w:rFonts w:ascii="黑体" w:eastAsia="黑体"/>
      <w:b/>
      <w:kern w:val="0"/>
      <w:sz w:val="28"/>
    </w:rPr>
  </w:style>
  <w:style w:type="paragraph" w:customStyle="1" w:styleId="71">
    <w:name w:val="标准文件_封面标准名称"/>
    <w:basedOn w:val="1"/>
    <w:autoRedefine/>
    <w:qFormat/>
    <w:uiPriority w:val="0"/>
    <w:pPr>
      <w:spacing w:line="240" w:lineRule="auto"/>
      <w:jc w:val="center"/>
    </w:pPr>
    <w:rPr>
      <w:rFonts w:ascii="黑体" w:eastAsia="黑体"/>
      <w:kern w:val="0"/>
      <w:sz w:val="52"/>
    </w:rPr>
  </w:style>
  <w:style w:type="paragraph" w:customStyle="1" w:styleId="72">
    <w:name w:val="标准文件_封面标准英文名称"/>
    <w:basedOn w:val="1"/>
    <w:autoRedefine/>
    <w:qFormat/>
    <w:uiPriority w:val="0"/>
    <w:pPr>
      <w:spacing w:line="240" w:lineRule="auto"/>
      <w:jc w:val="center"/>
    </w:pPr>
    <w:rPr>
      <w:rFonts w:ascii="黑体" w:eastAsia="黑体"/>
      <w:b/>
      <w:sz w:val="28"/>
    </w:rPr>
  </w:style>
  <w:style w:type="paragraph" w:customStyle="1" w:styleId="73">
    <w:name w:val="标准文件_封面发布日期"/>
    <w:basedOn w:val="1"/>
    <w:autoRedefine/>
    <w:qFormat/>
    <w:uiPriority w:val="0"/>
    <w:pPr>
      <w:spacing w:line="310" w:lineRule="exact"/>
    </w:pPr>
    <w:rPr>
      <w:rFonts w:ascii="黑体" w:eastAsia="黑体"/>
      <w:kern w:val="0"/>
      <w:sz w:val="28"/>
    </w:rPr>
  </w:style>
  <w:style w:type="paragraph" w:customStyle="1" w:styleId="74">
    <w:name w:val="标准文件_封面密级"/>
    <w:basedOn w:val="1"/>
    <w:autoRedefine/>
    <w:qFormat/>
    <w:uiPriority w:val="0"/>
    <w:rPr>
      <w:rFonts w:eastAsia="黑体"/>
      <w:sz w:val="32"/>
    </w:rPr>
  </w:style>
  <w:style w:type="paragraph" w:customStyle="1" w:styleId="75">
    <w:name w:val="标准文件_封面实施日期"/>
    <w:basedOn w:val="1"/>
    <w:autoRedefine/>
    <w:qFormat/>
    <w:uiPriority w:val="0"/>
    <w:pPr>
      <w:spacing w:line="310" w:lineRule="exact"/>
      <w:jc w:val="right"/>
    </w:pPr>
    <w:rPr>
      <w:rFonts w:ascii="黑体" w:eastAsia="黑体"/>
      <w:sz w:val="28"/>
    </w:rPr>
  </w:style>
  <w:style w:type="paragraph" w:customStyle="1" w:styleId="76">
    <w:name w:val="标准文件_封面抬头"/>
    <w:basedOn w:val="57"/>
    <w:autoRedefine/>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autoRedefine/>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autoRedefine/>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autoRedefine/>
    <w:qFormat/>
    <w:uiPriority w:val="0"/>
    <w:rPr>
      <w:rFonts w:ascii="Times New Roman" w:hAnsi="Times New Roman" w:eastAsia="宋体" w:cs="Times New Roman"/>
      <w:szCs w:val="20"/>
    </w:rPr>
  </w:style>
  <w:style w:type="paragraph" w:customStyle="1" w:styleId="88">
    <w:name w:val="标准文件_附录章标题"/>
    <w:next w:val="57"/>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autoRedefine/>
    <w:qFormat/>
    <w:uiPriority w:val="0"/>
    <w:pPr>
      <w:ind w:left="488" w:leftChars="200" w:hanging="289" w:hangingChars="290"/>
    </w:pPr>
  </w:style>
  <w:style w:type="paragraph" w:customStyle="1" w:styleId="90">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autoRedefine/>
    <w:qFormat/>
    <w:uiPriority w:val="0"/>
    <w:pPr>
      <w:spacing w:line="460" w:lineRule="exact"/>
    </w:pPr>
  </w:style>
  <w:style w:type="paragraph" w:customStyle="1" w:styleId="92">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3">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autoRedefine/>
    <w:qFormat/>
    <w:uiPriority w:val="0"/>
    <w:pPr>
      <w:numPr>
        <w:numId w:val="10"/>
      </w:numPr>
      <w:ind w:left="0" w:firstLine="200"/>
    </w:pPr>
  </w:style>
  <w:style w:type="paragraph" w:customStyle="1" w:styleId="95">
    <w:name w:val="标准文件_三级条标题"/>
    <w:basedOn w:val="66"/>
    <w:next w:val="57"/>
    <w:autoRedefine/>
    <w:qFormat/>
    <w:uiPriority w:val="0"/>
    <w:pPr>
      <w:widowControl/>
      <w:numPr>
        <w:ilvl w:val="4"/>
      </w:numPr>
      <w:outlineLvl w:val="3"/>
    </w:pPr>
  </w:style>
  <w:style w:type="character" w:customStyle="1" w:styleId="96">
    <w:name w:val="Subtle Reference"/>
    <w:autoRedefine/>
    <w:qFormat/>
    <w:uiPriority w:val="31"/>
    <w:rPr>
      <w:smallCaps/>
      <w:color w:val="C0504D"/>
      <w:u w:val="single"/>
    </w:rPr>
  </w:style>
  <w:style w:type="paragraph" w:customStyle="1" w:styleId="97">
    <w:name w:val="标准文件_示例后续"/>
    <w:basedOn w:val="1"/>
    <w:autoRedefine/>
    <w:qFormat/>
    <w:uiPriority w:val="0"/>
    <w:pPr>
      <w:adjustRightInd/>
      <w:spacing w:line="240" w:lineRule="auto"/>
      <w:ind w:firstLine="200" w:firstLineChars="200"/>
    </w:pPr>
    <w:rPr>
      <w:sz w:val="18"/>
      <w:szCs w:val="24"/>
    </w:rPr>
  </w:style>
  <w:style w:type="paragraph" w:customStyle="1" w:styleId="98">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autoRedefine/>
    <w:semiHidden/>
    <w:qFormat/>
    <w:uiPriority w:val="0"/>
    <w:rPr>
      <w:rFonts w:ascii="宋体" w:hAnsi="Times New Roman" w:eastAsia="宋体" w:cs="Times New Roman"/>
      <w:sz w:val="18"/>
      <w:szCs w:val="18"/>
    </w:rPr>
  </w:style>
  <w:style w:type="paragraph" w:customStyle="1" w:styleId="101">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autoRedefine/>
    <w:qFormat/>
    <w:uiPriority w:val="0"/>
    <w:pPr>
      <w:numPr>
        <w:ilvl w:val="0"/>
        <w:numId w:val="12"/>
      </w:numPr>
      <w:spacing w:line="240" w:lineRule="auto"/>
      <w:jc w:val="left"/>
    </w:pPr>
    <w:rPr>
      <w:rFonts w:ascii="宋体" w:hAnsi="宋体"/>
      <w:sz w:val="18"/>
    </w:rPr>
  </w:style>
  <w:style w:type="character" w:customStyle="1" w:styleId="103">
    <w:name w:val="标准文件_图表脚注内容"/>
    <w:autoRedefine/>
    <w:qFormat/>
    <w:uiPriority w:val="0"/>
    <w:rPr>
      <w:rFonts w:ascii="宋体" w:hAnsi="宋体" w:eastAsia="宋体" w:cs="Times New Roman"/>
      <w:spacing w:val="0"/>
      <w:sz w:val="18"/>
      <w:vertAlign w:val="superscript"/>
    </w:rPr>
  </w:style>
  <w:style w:type="paragraph" w:customStyle="1" w:styleId="104">
    <w:name w:val="标准文件_五级条标题"/>
    <w:next w:val="57"/>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autoRedefine/>
    <w:qFormat/>
    <w:uiPriority w:val="0"/>
    <w:pPr>
      <w:numPr>
        <w:ilvl w:val="2"/>
      </w:numPr>
      <w:spacing w:before="50" w:beforeLines="50" w:after="50" w:afterLines="50"/>
      <w:outlineLvl w:val="1"/>
    </w:pPr>
  </w:style>
  <w:style w:type="paragraph" w:customStyle="1" w:styleId="107">
    <w:name w:val="标准文件_一致程度"/>
    <w:basedOn w:val="1"/>
    <w:autoRedefine/>
    <w:qFormat/>
    <w:uiPriority w:val="0"/>
    <w:pPr>
      <w:spacing w:line="440" w:lineRule="exact"/>
      <w:jc w:val="center"/>
    </w:pPr>
    <w:rPr>
      <w:sz w:val="28"/>
    </w:rPr>
  </w:style>
  <w:style w:type="paragraph" w:customStyle="1" w:styleId="108">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autoRedefine/>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autoRedefine/>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0">
    <w:name w:val="发布部门"/>
    <w:next w:val="57"/>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autoRedefine/>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autoRedefine/>
    <w:qFormat/>
    <w:uiPriority w:val="0"/>
    <w:pPr>
      <w:outlineLvl w:val="4"/>
    </w:pPr>
  </w:style>
  <w:style w:type="paragraph" w:customStyle="1" w:styleId="131">
    <w:name w:val="附录四级无标题条"/>
    <w:basedOn w:val="130"/>
    <w:next w:val="57"/>
    <w:autoRedefine/>
    <w:qFormat/>
    <w:uiPriority w:val="0"/>
    <w:pPr>
      <w:outlineLvl w:val="5"/>
    </w:pPr>
  </w:style>
  <w:style w:type="paragraph" w:customStyle="1" w:styleId="132">
    <w:name w:val="附录图"/>
    <w:next w:val="57"/>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autoRedefine/>
    <w:qFormat/>
    <w:uiPriority w:val="0"/>
    <w:pPr>
      <w:outlineLvl w:val="6"/>
    </w:pPr>
  </w:style>
  <w:style w:type="paragraph" w:customStyle="1" w:styleId="135">
    <w:name w:val="附录性质"/>
    <w:basedOn w:val="1"/>
    <w:autoRedefine/>
    <w:qFormat/>
    <w:uiPriority w:val="0"/>
    <w:pPr>
      <w:widowControl/>
      <w:adjustRightInd/>
      <w:jc w:val="center"/>
    </w:pPr>
    <w:rPr>
      <w:rFonts w:ascii="黑体" w:eastAsia="黑体"/>
    </w:rPr>
  </w:style>
  <w:style w:type="paragraph" w:customStyle="1" w:styleId="136">
    <w:name w:val="附录一级无标题条"/>
    <w:basedOn w:val="88"/>
    <w:next w:val="57"/>
    <w:autoRedefine/>
    <w:qFormat/>
    <w:uiPriority w:val="0"/>
    <w:pPr>
      <w:autoSpaceDN w:val="0"/>
      <w:outlineLvl w:val="2"/>
    </w:pPr>
    <w:rPr>
      <w:rFonts w:ascii="宋体" w:hAnsi="宋体" w:eastAsia="宋体"/>
    </w:rPr>
  </w:style>
  <w:style w:type="character" w:customStyle="1" w:styleId="137">
    <w:name w:val="个人答复风格"/>
    <w:autoRedefine/>
    <w:qFormat/>
    <w:uiPriority w:val="0"/>
    <w:rPr>
      <w:rFonts w:ascii="Arial" w:hAnsi="Arial" w:eastAsia="宋体" w:cs="Arial"/>
      <w:color w:val="auto"/>
      <w:spacing w:val="0"/>
      <w:sz w:val="20"/>
    </w:rPr>
  </w:style>
  <w:style w:type="character" w:customStyle="1" w:styleId="138">
    <w:name w:val="个人撰写风格"/>
    <w:autoRedefine/>
    <w:qFormat/>
    <w:uiPriority w:val="0"/>
    <w:rPr>
      <w:rFonts w:ascii="Arial" w:hAnsi="Arial" w:eastAsia="宋体" w:cs="Arial"/>
      <w:color w:val="auto"/>
      <w:spacing w:val="0"/>
      <w:sz w:val="20"/>
    </w:rPr>
  </w:style>
  <w:style w:type="paragraph" w:customStyle="1" w:styleId="139">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autoRedefine/>
    <w:qFormat/>
    <w:uiPriority w:val="0"/>
    <w:pPr>
      <w:tabs>
        <w:tab w:val="left" w:pos="840"/>
      </w:tabs>
    </w:pPr>
  </w:style>
  <w:style w:type="paragraph" w:customStyle="1" w:styleId="142">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autoRedefine/>
    <w:qFormat/>
    <w:uiPriority w:val="0"/>
    <w:pPr>
      <w:framePr w:wrap="around"/>
      <w:spacing w:line="0" w:lineRule="atLeast"/>
    </w:pPr>
    <w:rPr>
      <w:rFonts w:ascii="黑体" w:eastAsia="黑体"/>
      <w:b w:val="0"/>
    </w:rPr>
  </w:style>
  <w:style w:type="paragraph" w:customStyle="1" w:styleId="153">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5">
    <w:name w:val="实施日期"/>
    <w:basedOn w:val="121"/>
    <w:autoRedefine/>
    <w:qFormat/>
    <w:uiPriority w:val="0"/>
    <w:pPr>
      <w:framePr w:hSpace="0" w:wrap="around" w:xAlign="right"/>
      <w:jc w:val="right"/>
    </w:pPr>
  </w:style>
  <w:style w:type="paragraph" w:customStyle="1" w:styleId="156">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7">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autoRedefine/>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autoRedefine/>
    <w:qFormat/>
    <w:uiPriority w:val="0"/>
    <w:pPr>
      <w:numPr>
        <w:ilvl w:val="6"/>
        <w:numId w:val="20"/>
      </w:numPr>
      <w:adjustRightInd/>
    </w:pPr>
    <w:rPr>
      <w:szCs w:val="24"/>
    </w:rPr>
  </w:style>
  <w:style w:type="paragraph" w:customStyle="1" w:styleId="160">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1">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autoRedefine/>
    <w:qFormat/>
    <w:uiPriority w:val="0"/>
    <w:pPr>
      <w:ind w:left="1406" w:leftChars="0" w:hanging="499" w:firstLineChars="0"/>
    </w:pPr>
  </w:style>
  <w:style w:type="paragraph" w:customStyle="1" w:styleId="163">
    <w:name w:val="标准文件_一级无标题"/>
    <w:basedOn w:val="106"/>
    <w:autoRedefine/>
    <w:qFormat/>
    <w:uiPriority w:val="0"/>
    <w:pPr>
      <w:spacing w:before="0" w:beforeLines="0" w:after="0" w:afterLines="0"/>
      <w:outlineLvl w:val="9"/>
    </w:pPr>
    <w:rPr>
      <w:rFonts w:ascii="宋体" w:eastAsia="宋体"/>
    </w:rPr>
  </w:style>
  <w:style w:type="paragraph" w:customStyle="1" w:styleId="164">
    <w:name w:val="标准文件_五级无标题"/>
    <w:basedOn w:val="104"/>
    <w:autoRedefine/>
    <w:qFormat/>
    <w:uiPriority w:val="0"/>
    <w:pPr>
      <w:spacing w:before="0" w:beforeLines="0" w:after="0" w:afterLines="0"/>
      <w:outlineLvl w:val="9"/>
    </w:pPr>
    <w:rPr>
      <w:rFonts w:ascii="宋体" w:eastAsia="宋体"/>
    </w:rPr>
  </w:style>
  <w:style w:type="paragraph" w:customStyle="1" w:styleId="165">
    <w:name w:val="标准文件_三级无标题"/>
    <w:basedOn w:val="95"/>
    <w:autoRedefine/>
    <w:qFormat/>
    <w:uiPriority w:val="0"/>
    <w:pPr>
      <w:spacing w:before="0" w:beforeLines="0" w:after="0" w:afterLines="0"/>
      <w:outlineLvl w:val="9"/>
    </w:pPr>
    <w:rPr>
      <w:rFonts w:ascii="宋体" w:eastAsia="宋体"/>
    </w:rPr>
  </w:style>
  <w:style w:type="paragraph" w:customStyle="1" w:styleId="166">
    <w:name w:val="标准文件_二级无标题"/>
    <w:basedOn w:val="66"/>
    <w:autoRedefine/>
    <w:qFormat/>
    <w:uiPriority w:val="0"/>
    <w:pPr>
      <w:spacing w:before="0" w:beforeLines="0" w:after="0" w:afterLines="0"/>
      <w:outlineLvl w:val="9"/>
    </w:pPr>
    <w:rPr>
      <w:rFonts w:ascii="宋体" w:eastAsia="宋体"/>
    </w:rPr>
  </w:style>
  <w:style w:type="paragraph" w:customStyle="1" w:styleId="167">
    <w:name w:val="标准_四级无标题"/>
    <w:basedOn w:val="99"/>
    <w:next w:val="57"/>
    <w:autoRedefine/>
    <w:qFormat/>
    <w:uiPriority w:val="0"/>
    <w:rPr>
      <w:rFonts w:eastAsia="宋体"/>
    </w:rPr>
  </w:style>
  <w:style w:type="paragraph" w:customStyle="1" w:styleId="168">
    <w:name w:val="标准文件_四级无标题"/>
    <w:basedOn w:val="99"/>
    <w:autoRedefine/>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autoRedefine/>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autoRedefine/>
    <w:qFormat/>
    <w:uiPriority w:val="0"/>
    <w:pPr>
      <w:numPr>
        <w:ilvl w:val="0"/>
        <w:numId w:val="24"/>
      </w:numPr>
      <w:ind w:firstLine="0" w:firstLineChars="0"/>
    </w:pPr>
    <w:rPr>
      <w:rFonts w:cs="Arial"/>
      <w:szCs w:val="28"/>
    </w:rPr>
  </w:style>
  <w:style w:type="paragraph" w:customStyle="1" w:styleId="171">
    <w:name w:val="标准文件_附录标题"/>
    <w:basedOn w:val="77"/>
    <w:autoRedefine/>
    <w:qFormat/>
    <w:uiPriority w:val="0"/>
    <w:pPr>
      <w:numPr>
        <w:numId w:val="0"/>
      </w:numPr>
      <w:spacing w:after="280"/>
      <w:outlineLvl w:val="9"/>
    </w:pPr>
  </w:style>
  <w:style w:type="paragraph" w:customStyle="1" w:styleId="172">
    <w:name w:val="标准文件_二级项"/>
    <w:autoRedefine/>
    <w:qFormat/>
    <w:uiPriority w:val="0"/>
    <w:rPr>
      <w:rFonts w:ascii="宋体" w:hAnsi="Times New Roman" w:eastAsia="宋体" w:cs="Times New Roman"/>
      <w:sz w:val="21"/>
      <w:lang w:val="en-US" w:eastAsia="zh-CN" w:bidi="ar-SA"/>
    </w:rPr>
  </w:style>
  <w:style w:type="paragraph" w:customStyle="1" w:styleId="173">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autoRedefine/>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autoRedefine/>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autoRedefine/>
    <w:qFormat/>
    <w:uiPriority w:val="0"/>
    <w:pPr>
      <w:ind w:firstLine="0" w:firstLineChars="0"/>
      <w:jc w:val="center"/>
    </w:pPr>
    <w:rPr>
      <w:sz w:val="18"/>
    </w:rPr>
  </w:style>
  <w:style w:type="paragraph" w:customStyle="1" w:styleId="180">
    <w:name w:val="标准文件_注："/>
    <w:next w:val="57"/>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autoRedefine/>
    <w:qFormat/>
    <w:uiPriority w:val="0"/>
    <w:pPr>
      <w:ind w:firstLine="420"/>
    </w:pPr>
    <w:rPr>
      <w:sz w:val="18"/>
    </w:rPr>
  </w:style>
  <w:style w:type="paragraph" w:customStyle="1" w:styleId="184">
    <w:name w:val="标准文件_示例×："/>
    <w:basedOn w:val="1"/>
    <w:next w:val="183"/>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autoRedefine/>
    <w:qFormat/>
    <w:uiPriority w:val="0"/>
    <w:rPr>
      <w:rFonts w:ascii="宋体" w:hAnsi="Times New Roman"/>
      <w:sz w:val="21"/>
    </w:rPr>
  </w:style>
  <w:style w:type="paragraph" w:customStyle="1" w:styleId="186">
    <w:name w:val="标准文件_表格续"/>
    <w:basedOn w:val="57"/>
    <w:next w:val="57"/>
    <w:autoRedefine/>
    <w:qFormat/>
    <w:uiPriority w:val="0"/>
    <w:pPr>
      <w:jc w:val="center"/>
    </w:pPr>
    <w:rPr>
      <w:rFonts w:ascii="黑体" w:hAnsi="黑体" w:eastAsia="黑体"/>
    </w:rPr>
  </w:style>
  <w:style w:type="character" w:styleId="187">
    <w:name w:val="Placeholder Text"/>
    <w:basedOn w:val="29"/>
    <w:autoRedefine/>
    <w:semiHidden/>
    <w:qFormat/>
    <w:uiPriority w:val="99"/>
    <w:rPr>
      <w:color w:val="808080"/>
    </w:rPr>
  </w:style>
  <w:style w:type="paragraph" w:customStyle="1" w:styleId="188">
    <w:name w:val="标准文件_二级项2"/>
    <w:basedOn w:val="57"/>
    <w:autoRedefine/>
    <w:qFormat/>
    <w:uiPriority w:val="0"/>
    <w:pPr>
      <w:numPr>
        <w:ilvl w:val="1"/>
        <w:numId w:val="21"/>
      </w:numPr>
      <w:ind w:left="1271" w:hanging="420" w:firstLineChars="0"/>
    </w:pPr>
  </w:style>
  <w:style w:type="paragraph" w:customStyle="1" w:styleId="189">
    <w:name w:val="标准文件_三级项2"/>
    <w:basedOn w:val="57"/>
    <w:autoRedefine/>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autoRedefine/>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autoRedefine/>
    <w:qFormat/>
    <w:uiPriority w:val="0"/>
    <w:pPr>
      <w:ind w:firstLine="420"/>
    </w:pPr>
    <w:rPr>
      <w:rFonts w:ascii="黑体" w:eastAsia="黑体"/>
    </w:rPr>
  </w:style>
  <w:style w:type="character" w:customStyle="1" w:styleId="192">
    <w:name w:val="标准文件_来源"/>
    <w:basedOn w:val="29"/>
    <w:autoRedefine/>
    <w:qFormat/>
    <w:uiPriority w:val="1"/>
    <w:rPr>
      <w:rFonts w:eastAsia="宋体"/>
      <w:sz w:val="21"/>
    </w:rPr>
  </w:style>
  <w:style w:type="paragraph" w:customStyle="1" w:styleId="193">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autoRedefine/>
    <w:qFormat/>
    <w:uiPriority w:val="0"/>
    <w:pPr>
      <w:framePr w:w="3997" w:h="471" w:hRule="exact" w:hSpace="0" w:vSpace="181" w:wrap="around" w:vAnchor="page" w:hAnchor="page" w:x="1419" w:y="14097"/>
    </w:pPr>
  </w:style>
  <w:style w:type="paragraph" w:customStyle="1" w:styleId="195">
    <w:name w:val="其他实施日期"/>
    <w:basedOn w:val="155"/>
    <w:autoRedefine/>
    <w:qFormat/>
    <w:uiPriority w:val="0"/>
    <w:pPr>
      <w:framePr w:w="3997" w:h="471" w:hRule="exact" w:vSpace="181" w:wrap="around" w:vAnchor="page" w:hAnchor="page" w:x="7089" w:y="14097"/>
    </w:pPr>
  </w:style>
  <w:style w:type="paragraph" w:customStyle="1" w:styleId="196">
    <w:name w:val="标准文件_文件编号"/>
    <w:basedOn w:val="57"/>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autoRedefine/>
    <w:qFormat/>
    <w:uiPriority w:val="0"/>
    <w:pPr>
      <w:spacing w:before="57"/>
    </w:pPr>
    <w:rPr>
      <w:sz w:val="21"/>
    </w:rPr>
  </w:style>
  <w:style w:type="paragraph" w:customStyle="1" w:styleId="198">
    <w:name w:val="标准文件_文件名称"/>
    <w:basedOn w:val="57"/>
    <w:next w:val="57"/>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autoRedefine/>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autoRedefine/>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autoRedefine/>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autoRedefine/>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autoRedefine/>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autoRedefine/>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autoRedefine/>
    <w:qFormat/>
    <w:uiPriority w:val="0"/>
    <w:pPr>
      <w:ind w:left="811" w:firstLine="0" w:firstLineChars="0"/>
    </w:pPr>
    <w:rPr>
      <w:sz w:val="18"/>
    </w:rPr>
  </w:style>
  <w:style w:type="paragraph" w:customStyle="1" w:styleId="207">
    <w:name w:val="标准文件_注X后"/>
    <w:basedOn w:val="57"/>
    <w:autoRedefine/>
    <w:qFormat/>
    <w:uiPriority w:val="0"/>
    <w:pPr>
      <w:ind w:left="811" w:firstLine="0" w:firstLineChars="0"/>
    </w:pPr>
    <w:rPr>
      <w:sz w:val="18"/>
    </w:rPr>
  </w:style>
  <w:style w:type="paragraph" w:customStyle="1" w:styleId="208">
    <w:name w:val="标准文件_示例后"/>
    <w:basedOn w:val="57"/>
    <w:autoRedefine/>
    <w:qFormat/>
    <w:uiPriority w:val="0"/>
    <w:pPr>
      <w:ind w:left="964" w:firstLine="0" w:firstLineChars="0"/>
    </w:pPr>
    <w:rPr>
      <w:sz w:val="18"/>
    </w:rPr>
  </w:style>
  <w:style w:type="paragraph" w:customStyle="1" w:styleId="209">
    <w:name w:val="标准文件_示例X后"/>
    <w:basedOn w:val="57"/>
    <w:link w:val="210"/>
    <w:autoRedefine/>
    <w:qFormat/>
    <w:uiPriority w:val="0"/>
    <w:pPr>
      <w:ind w:left="1049" w:firstLine="0" w:firstLineChars="0"/>
    </w:pPr>
    <w:rPr>
      <w:sz w:val="18"/>
    </w:rPr>
  </w:style>
  <w:style w:type="character" w:customStyle="1" w:styleId="210">
    <w:name w:val="标准文件_示例X后 字符"/>
    <w:basedOn w:val="185"/>
    <w:link w:val="209"/>
    <w:autoRedefine/>
    <w:qFormat/>
    <w:uiPriority w:val="0"/>
    <w:rPr>
      <w:rFonts w:ascii="宋体" w:hAnsi="Times New Roman"/>
      <w:sz w:val="18"/>
    </w:rPr>
  </w:style>
  <w:style w:type="paragraph" w:customStyle="1" w:styleId="211">
    <w:name w:val="标准文件_索引项"/>
    <w:basedOn w:val="57"/>
    <w:next w:val="57"/>
    <w:autoRedefine/>
    <w:qFormat/>
    <w:uiPriority w:val="0"/>
    <w:pPr>
      <w:tabs>
        <w:tab w:val="right" w:leader="dot" w:pos="9356"/>
      </w:tabs>
      <w:ind w:left="210" w:hanging="210" w:firstLineChars="0"/>
      <w:jc w:val="left"/>
    </w:pPr>
  </w:style>
  <w:style w:type="paragraph" w:customStyle="1" w:styleId="212">
    <w:name w:val="标准文件_附录一级无标题"/>
    <w:basedOn w:val="79"/>
    <w:autoRedefine/>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autoRedefine/>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autoRedefine/>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autoRedefine/>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autoRedefine/>
    <w:qFormat/>
    <w:uiPriority w:val="0"/>
    <w:pPr>
      <w:spacing w:before="0" w:beforeLines="0" w:after="0" w:afterLines="0" w:line="276" w:lineRule="auto"/>
    </w:pPr>
    <w:rPr>
      <w:rFonts w:ascii="宋体" w:eastAsia="宋体"/>
    </w:rPr>
  </w:style>
  <w:style w:type="paragraph" w:customStyle="1" w:styleId="219">
    <w:name w:val="标准文件_引言三级无标题"/>
    <w:basedOn w:val="203"/>
    <w:next w:val="57"/>
    <w:autoRedefine/>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autoRedefine/>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autoRedefine/>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autoRedefine/>
    <w:qFormat/>
    <w:uiPriority w:val="0"/>
    <w:rPr>
      <w:rFonts w:hAnsi="黑体"/>
    </w:rPr>
  </w:style>
  <w:style w:type="paragraph" w:customStyle="1" w:styleId="223">
    <w:name w:val="标准文件_脚注内容"/>
    <w:basedOn w:val="57"/>
    <w:autoRedefine/>
    <w:qFormat/>
    <w:uiPriority w:val="0"/>
    <w:pPr>
      <w:ind w:left="400" w:leftChars="200" w:hanging="200" w:hangingChars="200"/>
    </w:pPr>
    <w:rPr>
      <w:sz w:val="15"/>
    </w:rPr>
  </w:style>
  <w:style w:type="paragraph" w:customStyle="1" w:styleId="224">
    <w:name w:val="标准文件_术语条一"/>
    <w:basedOn w:val="163"/>
    <w:next w:val="57"/>
    <w:autoRedefine/>
    <w:qFormat/>
    <w:uiPriority w:val="0"/>
  </w:style>
  <w:style w:type="paragraph" w:customStyle="1" w:styleId="225">
    <w:name w:val="标准文件_术语条二"/>
    <w:basedOn w:val="166"/>
    <w:next w:val="57"/>
    <w:autoRedefine/>
    <w:qFormat/>
    <w:uiPriority w:val="0"/>
  </w:style>
  <w:style w:type="paragraph" w:customStyle="1" w:styleId="226">
    <w:name w:val="标准文件_术语条三"/>
    <w:basedOn w:val="165"/>
    <w:next w:val="57"/>
    <w:autoRedefine/>
    <w:qFormat/>
    <w:uiPriority w:val="0"/>
  </w:style>
  <w:style w:type="paragraph" w:customStyle="1" w:styleId="227">
    <w:name w:val="标准文件_术语条四"/>
    <w:basedOn w:val="168"/>
    <w:next w:val="57"/>
    <w:autoRedefine/>
    <w:qFormat/>
    <w:uiPriority w:val="0"/>
  </w:style>
  <w:style w:type="paragraph" w:customStyle="1" w:styleId="228">
    <w:name w:val="标准文件_术语条五"/>
    <w:basedOn w:val="164"/>
    <w:next w:val="57"/>
    <w:autoRedefine/>
    <w:qFormat/>
    <w:uiPriority w:val="0"/>
  </w:style>
  <w:style w:type="paragraph" w:customStyle="1" w:styleId="229">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autoRedefine/>
    <w:qFormat/>
    <w:uiPriority w:val="0"/>
    <w:rPr>
      <w:rFonts w:ascii="黑体" w:eastAsia="黑体"/>
      <w:spacing w:val="85"/>
      <w:w w:val="100"/>
      <w:position w:val="3"/>
      <w:sz w:val="28"/>
      <w:szCs w:val="28"/>
    </w:rPr>
  </w:style>
  <w:style w:type="paragraph" w:customStyle="1" w:styleId="231">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2">
    <w:name w:val="正文表标题"/>
    <w:next w:val="231"/>
    <w:autoRedefine/>
    <w:qFormat/>
    <w:uiPriority w:val="99"/>
    <w:pPr>
      <w:numPr>
        <w:ilvl w:val="0"/>
        <w:numId w:val="16"/>
      </w:numPr>
      <w:spacing w:beforeLines="50" w:afterLines="50"/>
      <w:ind w:left="3686"/>
      <w:jc w:val="center"/>
    </w:pPr>
    <w:rPr>
      <w:rFonts w:ascii="黑体" w:hAnsi="Times New Roman" w:eastAsia="黑体" w:cs="Times New Roman"/>
      <w:sz w:val="21"/>
      <w:lang w:val="en-US" w:eastAsia="zh-CN" w:bidi="ar-SA"/>
    </w:rPr>
  </w:style>
  <w:style w:type="paragraph" w:customStyle="1" w:styleId="233">
    <w:name w:val="章标题"/>
    <w:next w:val="231"/>
    <w:autoRedefine/>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jpe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B7675CCFB074D529C391823AC2DAA98"/>
        <w:style w:val=""/>
        <w:category>
          <w:name w:val="常规"/>
          <w:gallery w:val="placeholder"/>
        </w:category>
        <w:types>
          <w:type w:val="bbPlcHdr"/>
        </w:types>
        <w:behaviors>
          <w:behavior w:val="content"/>
        </w:behaviors>
        <w:description w:val=""/>
        <w:guid w:val="{665199BF-9481-4EA0-8F88-948180B5A81C}"/>
      </w:docPartPr>
      <w:docPartBody>
        <w:p>
          <w:pPr>
            <w:pStyle w:val="5"/>
          </w:pPr>
          <w:r>
            <w:rPr>
              <w:rStyle w:val="4"/>
              <w:rFonts w:hint="eastAsia"/>
            </w:rPr>
            <w:t>单击或点击此处输入文字。</w:t>
          </w:r>
        </w:p>
      </w:docPartBody>
    </w:docPart>
    <w:docPart>
      <w:docPartPr>
        <w:name w:val="8C88C206CB2C437BA6AD2F626C67CDAF"/>
        <w:style w:val=""/>
        <w:category>
          <w:name w:val="常规"/>
          <w:gallery w:val="placeholder"/>
        </w:category>
        <w:types>
          <w:type w:val="bbPlcHdr"/>
        </w:types>
        <w:behaviors>
          <w:behavior w:val="content"/>
        </w:behaviors>
        <w:description w:val=""/>
        <w:guid w:val="{DC55CEB2-0EF6-4BFF-ADB3-2A363D0181DB}"/>
      </w:docPartPr>
      <w:docPartBody>
        <w:p>
          <w:pPr>
            <w:pStyle w:val="6"/>
          </w:pPr>
          <w:r>
            <w:rPr>
              <w:rStyle w:val="4"/>
              <w:rFonts w:hint="eastAsia"/>
            </w:rPr>
            <w:t>选择一项。</w:t>
          </w:r>
        </w:p>
      </w:docPartBody>
    </w:docPart>
    <w:docPart>
      <w:docPartPr>
        <w:name w:val="8FB8789C99224FF2851587FDC51794F3"/>
        <w:style w:val=""/>
        <w:category>
          <w:name w:val="常规"/>
          <w:gallery w:val="placeholder"/>
        </w:category>
        <w:types>
          <w:type w:val="bbPlcHdr"/>
        </w:types>
        <w:behaviors>
          <w:behavior w:val="content"/>
        </w:behaviors>
        <w:description w:val=""/>
        <w:guid w:val="{B6BCD1C3-FC3A-44E9-A1EB-483F097C244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E"/>
    <w:rsid w:val="003F09A1"/>
    <w:rsid w:val="0058092C"/>
    <w:rsid w:val="00A9122E"/>
    <w:rsid w:val="00BD76A1"/>
    <w:rsid w:val="00C24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B7675CCFB074D529C391823AC2DAA9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C88C206CB2C437BA6AD2F626C67CDA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FB8789C99224FF2851587FDC51794F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501D6-1E51-4251-A3CE-F78C4709638C}">
  <ds:schemaRefs/>
</ds:datastoreItem>
</file>

<file path=docProps/app.xml><?xml version="1.0" encoding="utf-8"?>
<Properties xmlns="http://schemas.openxmlformats.org/officeDocument/2006/extended-properties" xmlns:vt="http://schemas.openxmlformats.org/officeDocument/2006/docPropsVTypes">
  <Template>团体标准.dotx</Template>
  <Pages>7</Pages>
  <Words>403</Words>
  <Characters>457</Characters>
  <Lines>10</Lines>
  <Paragraphs>2</Paragraphs>
  <TotalTime>0</TotalTime>
  <ScaleCrop>false</ScaleCrop>
  <LinksUpToDate>false</LinksUpToDate>
  <CharactersWithSpaces>496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2021-11-25T07:05:00Z</dcterms:created>
  <dc:creator>陈圳</dc:creator>
  <dc:description>&lt;config cover="true" show_menu="true" version="1.0.0" doctype="SDKXY"&gt;_x000d_
&lt;/config&gt;</dc:description>
  <cp:lastModifiedBy>LJ</cp:lastModifiedBy>
  <dcterms:modified xsi:type="dcterms:W3CDTF">2024-05-16T02:39:56Z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ICV">
    <vt:lpwstr>5906BFE12BCC44BBAB430B193E93C1D3</vt:lpwstr>
  </property>
  <property fmtid="{D5CDD505-2E9C-101B-9397-08002B2CF9AE}" pid="16" name="KSOProductBuildVer">
    <vt:lpwstr>2052-12.1.0.16417</vt:lpwstr>
  </property>
</Properties>
</file>