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油气藏型地下储气库灾害监测与预警通用要求</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General requirements for disaster monitoring and early warning of oil and gas reservoir type underground gas storage</w:t>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中国灾害防御协会</w:t>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sdt>
      <w:sdtPr>
        <w:rPr>
          <w:rFonts w:hint="eastAsia" w:ascii="黑体" w:hAnsi="黑体" w:eastAsia="黑体" w:cs="黑体"/>
          <w:snapToGrid w:val="0"/>
          <w:color w:val="000000"/>
          <w:kern w:val="0"/>
          <w:sz w:val="32"/>
          <w:szCs w:val="32"/>
        </w:rPr>
        <w:id w:val="147464545"/>
        <w15:color w:val="DBDBDB"/>
        <w:docPartObj>
          <w:docPartGallery w:val="Table of Contents"/>
          <w:docPartUnique/>
        </w:docPartObj>
      </w:sdtPr>
      <w:sdtEndPr>
        <w:rPr>
          <w:rFonts w:hint="eastAsia" w:ascii="Arial" w:hAnsi="Arial" w:eastAsia="宋体" w:cs="Arial"/>
          <w:b/>
          <w:snapToGrid w:val="0"/>
          <w:color w:val="000000"/>
          <w:kern w:val="0"/>
          <w:sz w:val="21"/>
          <w:szCs w:val="21"/>
          <w:lang w:val="en-US" w:eastAsia="zh-CN"/>
        </w:rPr>
      </w:sdtEndPr>
      <w:sdtContent>
        <w:p>
          <w:pPr>
            <w:spacing w:before="0" w:beforeLines="0" w:after="0" w:afterLines="0" w:line="240" w:lineRule="auto"/>
            <w:ind w:left="0" w:leftChars="0" w:right="0" w:rightChars="0" w:firstLine="0" w:firstLineChars="0"/>
            <w:jc w:val="center"/>
            <w:rPr>
              <w:b/>
            </w:rPr>
          </w:pPr>
          <w:bookmarkStart w:id="21" w:name="BookMark1"/>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次</w:t>
          </w:r>
          <w:r>
            <w:rPr>
              <w:rFonts w:hint="eastAsia" w:eastAsia="宋体"/>
              <w:lang w:val="en-US" w:eastAsia="zh-CN"/>
            </w:rPr>
            <w:fldChar w:fldCharType="begin"/>
          </w:r>
          <w:r>
            <w:rPr>
              <w:rFonts w:hint="eastAsia" w:eastAsia="宋体"/>
              <w:lang w:val="en-US" w:eastAsia="zh-CN"/>
            </w:rPr>
            <w:instrText xml:space="preserve">TOC \o "1-2" \h \u </w:instrText>
          </w:r>
          <w:r>
            <w:rPr>
              <w:rFonts w:hint="eastAsia" w:eastAsia="宋体"/>
              <w:lang w:val="en-US" w:eastAsia="zh-CN"/>
            </w:rPr>
            <w:fldChar w:fldCharType="separate"/>
          </w:r>
        </w:p>
        <w:p>
          <w:pPr>
            <w:pStyle w:val="230"/>
            <w:tabs>
              <w:tab w:val="right" w:leader="dot" w:pos="8306"/>
            </w:tabs>
            <w:jc w:val="left"/>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_Toc8472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sz w:val="21"/>
              <w:szCs w:val="21"/>
              <w:lang w:val="en-US" w:eastAsia="zh-CN"/>
            </w:rPr>
            <w:t>前</w:t>
          </w:r>
          <w:r>
            <w:rPr>
              <w:rFonts w:hint="eastAsia" w:ascii="Times New Roman" w:hAnsi="Times New Roman" w:eastAsia="宋体" w:cs="Times New Roman"/>
              <w:b w:val="0"/>
              <w:bCs w:val="0"/>
              <w:spacing w:val="320"/>
              <w:sz w:val="21"/>
              <w:szCs w:val="21"/>
            </w:rPr>
            <w:t>言</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_Toc8472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IV</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jc w:val="left"/>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_Toc5326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sz w:val="21"/>
              <w:szCs w:val="21"/>
              <w:lang w:val="en-US" w:eastAsia="zh-CN"/>
            </w:rPr>
            <w:t>引</w:t>
          </w:r>
          <w:r>
            <w:rPr>
              <w:rFonts w:hint="eastAsia" w:ascii="Times New Roman" w:hAnsi="Times New Roman" w:eastAsia="宋体" w:cs="Times New Roman"/>
              <w:b w:val="0"/>
              <w:bCs w:val="0"/>
              <w:spacing w:val="320"/>
              <w:sz w:val="21"/>
              <w:szCs w:val="21"/>
              <w:lang w:val="en-US" w:eastAsia="zh-CN"/>
            </w:rPr>
            <w:t>言</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_Toc5326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V</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jc w:val="left"/>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_Toc25415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rPr>
            <w:t xml:space="preserve">1 </w:t>
          </w:r>
          <w:r>
            <w:rPr>
              <w:rFonts w:hint="eastAsia" w:ascii="Times New Roman" w:hAnsi="Times New Roman" w:eastAsia="宋体" w:cs="Times New Roman"/>
              <w:b w:val="0"/>
              <w:bCs w:val="0"/>
              <w:sz w:val="21"/>
              <w:szCs w:val="21"/>
            </w:rPr>
            <w:t>范围</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_Toc25415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jc w:val="left"/>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_Toc18024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rPr>
            <w:t xml:space="preserve">2 </w:t>
          </w:r>
          <w:r>
            <w:rPr>
              <w:rFonts w:hint="eastAsia" w:ascii="Times New Roman" w:hAnsi="Times New Roman" w:eastAsia="宋体" w:cs="Times New Roman"/>
              <w:b w:val="0"/>
              <w:bCs w:val="0"/>
              <w:sz w:val="21"/>
              <w:szCs w:val="21"/>
            </w:rPr>
            <w:t>规范性引用文件</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_Toc18024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jc w:val="left"/>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_Toc17290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rPr>
            <w:t xml:space="preserve">3 </w:t>
          </w:r>
          <w:r>
            <w:rPr>
              <w:rFonts w:hint="eastAsia" w:ascii="Times New Roman" w:hAnsi="Times New Roman" w:eastAsia="宋体" w:cs="Times New Roman"/>
              <w:b w:val="0"/>
              <w:bCs w:val="0"/>
              <w:sz w:val="21"/>
              <w:szCs w:val="21"/>
            </w:rPr>
            <w:t>术语和定义</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_Toc17290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jc w:val="left"/>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_Toc24831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lang w:eastAsia="zh-TW"/>
              <w14:ligatures w14:val="none"/>
              <w14:numForm w14:val="default"/>
              <w14:numSpacing w14:val="default"/>
            </w:rPr>
            <w:t xml:space="preserve">3.1 </w:t>
          </w:r>
          <w:r>
            <w:rPr>
              <w:rFonts w:hint="eastAsia" w:ascii="Times New Roman" w:hAnsi="Times New Roman" w:eastAsia="宋体" w:cs="Times New Roman"/>
              <w:b w:val="0"/>
              <w:bCs w:val="0"/>
              <w:sz w:val="21"/>
              <w:szCs w:val="21"/>
              <w:lang w:eastAsia="zh-TW"/>
            </w:rPr>
            <w:t>工作气量</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_Toc24831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jc w:val="left"/>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_Toc28867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lang w:eastAsia="zh-TW"/>
              <w14:ligatures w14:val="none"/>
              <w14:numForm w14:val="default"/>
              <w14:numSpacing w14:val="default"/>
            </w:rPr>
            <w:t xml:space="preserve">3.2 </w:t>
          </w:r>
          <w:r>
            <w:rPr>
              <w:rFonts w:hint="eastAsia" w:ascii="Times New Roman" w:hAnsi="Times New Roman" w:eastAsia="宋体" w:cs="Times New Roman"/>
              <w:b w:val="0"/>
              <w:bCs w:val="0"/>
              <w:sz w:val="21"/>
              <w:szCs w:val="21"/>
              <w:lang w:eastAsia="zh-TW"/>
            </w:rPr>
            <w:t>储气库运行压力</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_Toc28867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jc w:val="left"/>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_Toc21761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3.3 </w:t>
          </w:r>
          <w:r>
            <w:rPr>
              <w:rFonts w:hint="eastAsia" w:ascii="Times New Roman" w:hAnsi="Times New Roman" w:eastAsia="宋体" w:cs="Times New Roman"/>
              <w:b w:val="0"/>
              <w:bCs w:val="0"/>
              <w:sz w:val="21"/>
              <w:szCs w:val="21"/>
            </w:rPr>
            <w:t>排水井</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_Toc21761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jc w:val="left"/>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_Toc18907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3.4 </w:t>
          </w:r>
          <w:r>
            <w:rPr>
              <w:rFonts w:hint="eastAsia" w:ascii="Times New Roman" w:hAnsi="Times New Roman" w:eastAsia="宋体" w:cs="Times New Roman"/>
              <w:b w:val="0"/>
              <w:bCs w:val="0"/>
              <w:sz w:val="21"/>
              <w:szCs w:val="21"/>
            </w:rPr>
            <w:t>注采井</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_Toc18907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_Toc12798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3.5 </w:t>
          </w:r>
          <w:r>
            <w:rPr>
              <w:rFonts w:hint="eastAsia" w:ascii="Times New Roman" w:hAnsi="Times New Roman" w:eastAsia="宋体" w:cs="Times New Roman"/>
              <w:b w:val="0"/>
              <w:bCs w:val="0"/>
              <w:sz w:val="21"/>
              <w:szCs w:val="21"/>
            </w:rPr>
            <w:t>监测井</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_Toc12798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_Toc25386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3.6 </w:t>
          </w:r>
          <w:r>
            <w:rPr>
              <w:rFonts w:hint="eastAsia" w:ascii="Times New Roman" w:hAnsi="Times New Roman" w:eastAsia="宋体" w:cs="Times New Roman"/>
              <w:b w:val="0"/>
              <w:bCs w:val="0"/>
              <w:sz w:val="21"/>
              <w:szCs w:val="21"/>
            </w:rPr>
            <w:t>封堵井</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_Toc25386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_Toc6616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3.7 </w:t>
          </w:r>
          <w:r>
            <w:rPr>
              <w:rFonts w:hint="eastAsia" w:ascii="Times New Roman" w:hAnsi="Times New Roman" w:eastAsia="宋体" w:cs="Times New Roman"/>
              <w:b w:val="0"/>
              <w:bCs w:val="0"/>
              <w:sz w:val="21"/>
              <w:szCs w:val="21"/>
            </w:rPr>
            <w:t>集注站</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_Toc6616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_Toc17004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3.8 </w:t>
          </w:r>
          <w:r>
            <w:rPr>
              <w:rFonts w:hint="eastAsia" w:ascii="Times New Roman" w:hAnsi="Times New Roman" w:eastAsia="宋体" w:cs="Times New Roman"/>
              <w:b w:val="0"/>
              <w:bCs w:val="0"/>
              <w:sz w:val="21"/>
              <w:szCs w:val="21"/>
            </w:rPr>
            <w:t>安全预警</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_Toc17004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_Toc8520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3.9 </w:t>
          </w:r>
          <w:r>
            <w:rPr>
              <w:rFonts w:hint="eastAsia" w:ascii="Times New Roman" w:hAnsi="Times New Roman" w:eastAsia="宋体" w:cs="Times New Roman"/>
              <w:b w:val="0"/>
              <w:bCs w:val="0"/>
              <w:sz w:val="21"/>
              <w:szCs w:val="21"/>
            </w:rPr>
            <w:t>监控中心</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_Toc8520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_Toc32665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3.10 </w:t>
          </w:r>
          <w:r>
            <w:rPr>
              <w:rFonts w:hint="eastAsia" w:ascii="Times New Roman" w:hAnsi="Times New Roman" w:eastAsia="宋体" w:cs="Times New Roman"/>
              <w:b w:val="0"/>
              <w:bCs w:val="0"/>
              <w:sz w:val="21"/>
              <w:szCs w:val="21"/>
            </w:rPr>
            <w:t>盖层突破压力</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_Toc32665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_Toc9707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3.11 </w:t>
          </w:r>
          <w:r>
            <w:rPr>
              <w:rFonts w:hint="eastAsia" w:ascii="Times New Roman" w:hAnsi="Times New Roman" w:eastAsia="宋体" w:cs="Times New Roman"/>
              <w:b w:val="0"/>
              <w:bCs w:val="0"/>
              <w:sz w:val="21"/>
              <w:szCs w:val="21"/>
            </w:rPr>
            <w:t>断层临界压力</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_Toc9707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_Toc6487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3.12 </w:t>
          </w:r>
          <w:r>
            <w:rPr>
              <w:rFonts w:hint="eastAsia" w:ascii="Times New Roman" w:hAnsi="Times New Roman" w:eastAsia="宋体" w:cs="Times New Roman"/>
              <w:b w:val="0"/>
              <w:bCs w:val="0"/>
              <w:sz w:val="21"/>
              <w:szCs w:val="21"/>
            </w:rPr>
            <w:t>边界地层密封性压力</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_Toc6487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_Toc19804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3.13 </w:t>
          </w:r>
          <w:r>
            <w:rPr>
              <w:rFonts w:hint="eastAsia" w:ascii="Times New Roman" w:hAnsi="Times New Roman" w:eastAsia="宋体" w:cs="Times New Roman"/>
              <w:b w:val="0"/>
              <w:bCs w:val="0"/>
              <w:sz w:val="21"/>
              <w:szCs w:val="21"/>
            </w:rPr>
            <w:t>圈闭溢出点压力</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_Toc19804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_Toc541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3.14 </w:t>
          </w:r>
          <w:r>
            <w:rPr>
              <w:rFonts w:hint="eastAsia" w:ascii="Times New Roman" w:hAnsi="Times New Roman" w:eastAsia="宋体" w:cs="Times New Roman"/>
              <w:b w:val="0"/>
              <w:bCs w:val="0"/>
              <w:sz w:val="21"/>
              <w:szCs w:val="21"/>
            </w:rPr>
            <w:t>数字孪生</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_Toc541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_Toc15967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3.15 </w:t>
          </w:r>
          <w:r>
            <w:rPr>
              <w:rFonts w:hint="eastAsia" w:ascii="Times New Roman" w:hAnsi="Times New Roman" w:eastAsia="宋体" w:cs="Times New Roman"/>
              <w:b w:val="0"/>
              <w:bCs w:val="0"/>
              <w:sz w:val="21"/>
              <w:szCs w:val="21"/>
            </w:rPr>
            <w:t>地面沉降监测仪</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_Toc15967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_Toc21307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3.16 </w:t>
          </w:r>
          <w:r>
            <w:rPr>
              <w:rFonts w:hint="eastAsia" w:ascii="Times New Roman" w:hAnsi="Times New Roman" w:eastAsia="宋体" w:cs="Times New Roman"/>
              <w:b w:val="0"/>
              <w:bCs w:val="0"/>
              <w:sz w:val="21"/>
              <w:szCs w:val="21"/>
            </w:rPr>
            <w:t>大数据分析</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_Toc21307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_Toc27695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3.17 </w:t>
          </w:r>
          <w:r>
            <w:rPr>
              <w:rFonts w:hint="eastAsia" w:ascii="Times New Roman" w:hAnsi="Times New Roman" w:eastAsia="宋体" w:cs="Times New Roman"/>
              <w:b w:val="0"/>
              <w:bCs w:val="0"/>
              <w:sz w:val="21"/>
              <w:szCs w:val="21"/>
            </w:rPr>
            <w:t>无线传感器网络</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_Toc27695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_Toc15722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3.18 </w:t>
          </w:r>
          <w:r>
            <w:rPr>
              <w:rFonts w:hint="eastAsia" w:ascii="Times New Roman" w:hAnsi="Times New Roman" w:eastAsia="宋体" w:cs="Times New Roman"/>
              <w:b w:val="0"/>
              <w:bCs w:val="0"/>
              <w:sz w:val="21"/>
              <w:szCs w:val="21"/>
            </w:rPr>
            <w:t>数据采集</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_Toc15722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_Toc19815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3.19 </w:t>
          </w:r>
          <w:r>
            <w:rPr>
              <w:rFonts w:hint="eastAsia" w:ascii="Times New Roman" w:hAnsi="Times New Roman" w:eastAsia="宋体" w:cs="Times New Roman"/>
              <w:b w:val="0"/>
              <w:bCs w:val="0"/>
              <w:sz w:val="21"/>
              <w:szCs w:val="21"/>
            </w:rPr>
            <w:t>风险评估</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_Toc19815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_Toc19087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lang w:eastAsia="zh-CN"/>
            </w:rPr>
            <w:t xml:space="preserve">4 </w:t>
          </w:r>
          <w:r>
            <w:rPr>
              <w:rFonts w:hint="eastAsia" w:ascii="Times New Roman" w:hAnsi="Times New Roman" w:eastAsia="宋体" w:cs="Times New Roman"/>
              <w:b w:val="0"/>
              <w:bCs w:val="0"/>
              <w:sz w:val="21"/>
              <w:szCs w:val="21"/>
              <w:lang w:val="en-US" w:eastAsia="zh-CN"/>
            </w:rPr>
            <w:t>工作</w:t>
          </w:r>
          <w:r>
            <w:rPr>
              <w:rFonts w:hint="eastAsia" w:ascii="Times New Roman" w:hAnsi="Times New Roman" w:eastAsia="宋体" w:cs="Times New Roman"/>
              <w:b w:val="0"/>
              <w:bCs w:val="0"/>
              <w:sz w:val="21"/>
              <w:szCs w:val="21"/>
              <w:lang w:eastAsia="zh-CN"/>
            </w:rPr>
            <w:t>流程：</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_Toc19087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_Toc25296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lang w:eastAsia="zh-CN"/>
              <w14:ligatures w14:val="none"/>
              <w14:numForm w14:val="default"/>
              <w14:numSpacing w14:val="default"/>
            </w:rPr>
            <w:t xml:space="preserve">4.1 </w:t>
          </w:r>
          <w:r>
            <w:rPr>
              <w:rFonts w:hint="eastAsia" w:ascii="Times New Roman" w:hAnsi="Times New Roman" w:eastAsia="宋体" w:cs="Times New Roman"/>
              <w:b w:val="0"/>
              <w:bCs w:val="0"/>
              <w:sz w:val="21"/>
              <w:szCs w:val="21"/>
              <w:lang w:val="en-US" w:eastAsia="zh-CN"/>
            </w:rPr>
            <w:t>监测设备布置</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_Toc25296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_Toc23145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lang w:val="en-US" w:eastAsia="zh-CN"/>
              <w14:ligatures w14:val="none"/>
              <w14:numForm w14:val="default"/>
              <w14:numSpacing w14:val="default"/>
            </w:rPr>
            <w:t xml:space="preserve">4.2 </w:t>
          </w:r>
          <w:r>
            <w:rPr>
              <w:rFonts w:hint="eastAsia" w:ascii="Times New Roman" w:hAnsi="Times New Roman" w:eastAsia="宋体" w:cs="Times New Roman"/>
              <w:b w:val="0"/>
              <w:bCs w:val="0"/>
              <w:sz w:val="21"/>
              <w:szCs w:val="21"/>
              <w:lang w:val="en-US" w:eastAsia="zh-CN"/>
            </w:rPr>
            <w:t>日常资料获取</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_Toc23145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_Toc22326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lang w:val="en-US" w:eastAsia="zh-CN"/>
              <w14:ligatures w14:val="none"/>
              <w14:numForm w14:val="default"/>
              <w14:numSpacing w14:val="default"/>
            </w:rPr>
            <w:t xml:space="preserve">4.3 </w:t>
          </w:r>
          <w:r>
            <w:rPr>
              <w:rFonts w:hint="eastAsia" w:ascii="Times New Roman" w:hAnsi="Times New Roman" w:eastAsia="宋体" w:cs="Times New Roman"/>
              <w:b w:val="0"/>
              <w:bCs w:val="0"/>
              <w:sz w:val="21"/>
              <w:szCs w:val="21"/>
              <w:lang w:val="en-US" w:eastAsia="zh-CN"/>
            </w:rPr>
            <w:t>日常运行</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_Toc22326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_Toc8311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lang w:val="en-US" w:eastAsia="zh-CN"/>
              <w14:ligatures w14:val="none"/>
              <w14:numForm w14:val="default"/>
              <w14:numSpacing w14:val="default"/>
            </w:rPr>
            <w:t xml:space="preserve">4.4 </w:t>
          </w:r>
          <w:r>
            <w:rPr>
              <w:rFonts w:hint="eastAsia" w:ascii="Times New Roman" w:hAnsi="Times New Roman" w:eastAsia="宋体" w:cs="Times New Roman"/>
              <w:b w:val="0"/>
              <w:bCs w:val="0"/>
              <w:sz w:val="21"/>
              <w:szCs w:val="21"/>
              <w:lang w:val="en-US" w:eastAsia="zh-CN"/>
            </w:rPr>
            <w:t>检测与评价</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_Toc8311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_Toc1642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lang w:val="en-US" w:eastAsia="zh-CN"/>
              <w14:ligatures w14:val="none"/>
              <w14:numForm w14:val="default"/>
              <w14:numSpacing w14:val="default"/>
            </w:rPr>
            <w:t xml:space="preserve">4.5 </w:t>
          </w:r>
          <w:r>
            <w:rPr>
              <w:rFonts w:hint="eastAsia" w:ascii="Times New Roman" w:hAnsi="Times New Roman" w:eastAsia="宋体" w:cs="Times New Roman"/>
              <w:b w:val="0"/>
              <w:bCs w:val="0"/>
              <w:sz w:val="21"/>
              <w:szCs w:val="21"/>
              <w:lang w:val="en-US" w:eastAsia="zh-CN"/>
            </w:rPr>
            <w:t>预警</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_Toc1642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_Toc5203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lang w:val="en-US" w:eastAsia="zh-CN"/>
              <w14:ligatures w14:val="none"/>
              <w14:numForm w14:val="default"/>
              <w14:numSpacing w14:val="default"/>
            </w:rPr>
            <w:t xml:space="preserve">4.6 </w:t>
          </w:r>
          <w:r>
            <w:rPr>
              <w:rFonts w:hint="eastAsia" w:ascii="Times New Roman" w:hAnsi="Times New Roman" w:eastAsia="宋体" w:cs="Times New Roman"/>
              <w:b w:val="0"/>
              <w:bCs w:val="0"/>
              <w:sz w:val="21"/>
              <w:szCs w:val="21"/>
              <w:lang w:val="en-US" w:eastAsia="zh-CN"/>
            </w:rPr>
            <w:t>监测与预警相关技术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_Toc5203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4</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_Toc6521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lang w:val="en-US" w:eastAsia="zh-CN"/>
              <w14:ligatures w14:val="none"/>
              <w14:numForm w14:val="default"/>
              <w14:numSpacing w14:val="default"/>
            </w:rPr>
            <w:t xml:space="preserve">4.7 </w:t>
          </w:r>
          <w:r>
            <w:rPr>
              <w:rFonts w:hint="eastAsia" w:ascii="Times New Roman" w:hAnsi="Times New Roman" w:eastAsia="宋体" w:cs="Times New Roman"/>
              <w:b w:val="0"/>
              <w:bCs w:val="0"/>
              <w:sz w:val="21"/>
              <w:szCs w:val="21"/>
              <w:lang w:val="en-US" w:eastAsia="zh-CN"/>
            </w:rPr>
            <w:t>安全培训</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_Toc6521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4</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_Toc13209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rPr>
            <w:t xml:space="preserve">5 </w:t>
          </w:r>
          <w:r>
            <w:rPr>
              <w:rFonts w:hint="eastAsia" w:ascii="Times New Roman" w:hAnsi="Times New Roman" w:eastAsia="宋体" w:cs="Times New Roman"/>
              <w:b w:val="0"/>
              <w:bCs w:val="0"/>
              <w:sz w:val="21"/>
              <w:szCs w:val="21"/>
            </w:rPr>
            <w:t>监测设备布置</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_Toc13209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4</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_Toc373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5.1 </w:t>
          </w:r>
          <w:r>
            <w:rPr>
              <w:rFonts w:hint="eastAsia" w:ascii="Times New Roman" w:hAnsi="Times New Roman" w:eastAsia="宋体" w:cs="Times New Roman"/>
              <w:b w:val="0"/>
              <w:bCs w:val="0"/>
              <w:sz w:val="21"/>
              <w:szCs w:val="21"/>
            </w:rPr>
            <w:t>设备布置前评估</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_Toc373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4</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_Toc14430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5.2 </w:t>
          </w:r>
          <w:r>
            <w:rPr>
              <w:rFonts w:hint="eastAsia" w:ascii="Times New Roman" w:hAnsi="Times New Roman" w:eastAsia="宋体" w:cs="Times New Roman"/>
              <w:b w:val="0"/>
              <w:bCs w:val="0"/>
              <w:sz w:val="21"/>
              <w:szCs w:val="21"/>
            </w:rPr>
            <w:t>传感器布置</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_Toc14430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5</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_Toc4761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5.3 </w:t>
          </w:r>
          <w:r>
            <w:rPr>
              <w:rFonts w:hint="eastAsia" w:ascii="Times New Roman" w:hAnsi="Times New Roman" w:eastAsia="宋体" w:cs="Times New Roman"/>
              <w:b w:val="0"/>
              <w:bCs w:val="0"/>
              <w:sz w:val="21"/>
              <w:szCs w:val="21"/>
            </w:rPr>
            <w:t>地面沉降仪布置</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_Toc4761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5</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_Toc9648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5.4 </w:t>
          </w:r>
          <w:r>
            <w:rPr>
              <w:rFonts w:hint="eastAsia" w:ascii="Times New Roman" w:hAnsi="Times New Roman" w:eastAsia="宋体" w:cs="Times New Roman"/>
              <w:b w:val="0"/>
              <w:bCs w:val="0"/>
              <w:sz w:val="21"/>
              <w:szCs w:val="21"/>
            </w:rPr>
            <w:t>气体检测传感器布置</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_Toc9648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6</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_Toc27394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5.5 </w:t>
          </w:r>
          <w:r>
            <w:rPr>
              <w:rFonts w:hint="eastAsia" w:ascii="Times New Roman" w:hAnsi="Times New Roman" w:eastAsia="宋体" w:cs="Times New Roman"/>
              <w:b w:val="0"/>
              <w:bCs w:val="0"/>
              <w:sz w:val="21"/>
              <w:szCs w:val="21"/>
            </w:rPr>
            <w:t>风速和风向传感器布置</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_Toc27394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6</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_Toc13176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5.6 </w:t>
          </w:r>
          <w:r>
            <w:rPr>
              <w:rFonts w:hint="eastAsia" w:ascii="Times New Roman" w:hAnsi="Times New Roman" w:eastAsia="宋体" w:cs="Times New Roman"/>
              <w:b w:val="0"/>
              <w:bCs w:val="0"/>
              <w:sz w:val="21"/>
              <w:szCs w:val="21"/>
            </w:rPr>
            <w:t>位移传感器布置</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_Toc13176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6</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_Toc30961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rPr>
            <w:t xml:space="preserve">6 </w:t>
          </w:r>
          <w:r>
            <w:rPr>
              <w:rFonts w:hint="eastAsia" w:ascii="Times New Roman" w:hAnsi="Times New Roman" w:eastAsia="宋体" w:cs="Times New Roman"/>
              <w:b w:val="0"/>
              <w:bCs w:val="0"/>
              <w:sz w:val="21"/>
              <w:szCs w:val="21"/>
            </w:rPr>
            <w:t>日常资料获取</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_Toc30961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7</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_Toc21654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6.1 </w:t>
          </w:r>
          <w:r>
            <w:rPr>
              <w:rFonts w:hint="eastAsia" w:ascii="Times New Roman" w:hAnsi="Times New Roman" w:eastAsia="宋体" w:cs="Times New Roman"/>
              <w:b w:val="0"/>
              <w:bCs w:val="0"/>
              <w:sz w:val="21"/>
              <w:szCs w:val="21"/>
            </w:rPr>
            <w:t>井流量</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_Toc21654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7</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_Toc2043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6.2 </w:t>
          </w:r>
          <w:r>
            <w:rPr>
              <w:rFonts w:hint="eastAsia" w:ascii="Times New Roman" w:hAnsi="Times New Roman" w:eastAsia="宋体" w:cs="Times New Roman"/>
              <w:b w:val="0"/>
              <w:bCs w:val="0"/>
              <w:sz w:val="21"/>
              <w:szCs w:val="21"/>
            </w:rPr>
            <w:t>井口压力及温度</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_Toc2043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7</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_Toc12609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6.3 </w:t>
          </w:r>
          <w:r>
            <w:rPr>
              <w:rFonts w:hint="eastAsia" w:ascii="Times New Roman" w:hAnsi="Times New Roman" w:eastAsia="宋体" w:cs="Times New Roman"/>
              <w:b w:val="0"/>
              <w:bCs w:val="0"/>
              <w:sz w:val="21"/>
              <w:szCs w:val="21"/>
            </w:rPr>
            <w:t>注气压缩机运行参数</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_Toc12609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7</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_Toc26553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6.4 </w:t>
          </w:r>
          <w:r>
            <w:rPr>
              <w:rFonts w:hint="eastAsia" w:ascii="Times New Roman" w:hAnsi="Times New Roman" w:eastAsia="宋体" w:cs="Times New Roman"/>
              <w:b w:val="0"/>
              <w:bCs w:val="0"/>
              <w:sz w:val="21"/>
              <w:szCs w:val="21"/>
            </w:rPr>
            <w:t>静压、静温及梯度</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_Toc26553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8</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_Toc30566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6.5 </w:t>
          </w:r>
          <w:r>
            <w:rPr>
              <w:rFonts w:hint="eastAsia" w:ascii="Times New Roman" w:hAnsi="Times New Roman" w:eastAsia="宋体" w:cs="Times New Roman"/>
              <w:b w:val="0"/>
              <w:bCs w:val="0"/>
              <w:sz w:val="21"/>
              <w:szCs w:val="21"/>
            </w:rPr>
            <w:t>流压、流温及梯度</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_Toc30566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8</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_Toc4438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6.6 </w:t>
          </w:r>
          <w:r>
            <w:rPr>
              <w:rFonts w:hint="eastAsia" w:ascii="Times New Roman" w:hAnsi="Times New Roman" w:eastAsia="宋体" w:cs="Times New Roman"/>
              <w:b w:val="0"/>
              <w:bCs w:val="0"/>
              <w:sz w:val="21"/>
              <w:szCs w:val="21"/>
            </w:rPr>
            <w:t>气液界面</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_Toc4438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8</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_Toc527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6.7 </w:t>
          </w:r>
          <w:r>
            <w:rPr>
              <w:rFonts w:hint="eastAsia" w:ascii="Times New Roman" w:hAnsi="Times New Roman" w:eastAsia="宋体" w:cs="Times New Roman"/>
              <w:b w:val="0"/>
              <w:bCs w:val="0"/>
              <w:sz w:val="21"/>
              <w:szCs w:val="21"/>
            </w:rPr>
            <w:t>数据采集</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_Toc527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8</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_Toc26615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6.8 </w:t>
          </w:r>
          <w:r>
            <w:rPr>
              <w:rFonts w:ascii="Times New Roman" w:hAnsi="Times New Roman" w:eastAsia="宋体" w:cs="Times New Roman"/>
              <w:b w:val="0"/>
              <w:bCs w:val="0"/>
              <w:sz w:val="21"/>
              <w:szCs w:val="21"/>
            </w:rPr>
            <w:t>气体溢失流速，流量</w:t>
          </w:r>
          <w:r>
            <w:rPr>
              <w:rFonts w:hint="eastAsia" w:ascii="Times New Roman" w:hAnsi="Times New Roman" w:eastAsia="宋体" w:cs="Times New Roman"/>
              <w:b w:val="0"/>
              <w:bCs w:val="0"/>
              <w:sz w:val="21"/>
              <w:szCs w:val="21"/>
            </w:rPr>
            <w:t>采集仪器及数据</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_Toc26615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8</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_Toc29427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6.9 </w:t>
          </w:r>
          <w:r>
            <w:rPr>
              <w:rFonts w:hint="eastAsia" w:ascii="Times New Roman" w:hAnsi="Times New Roman" w:eastAsia="宋体" w:cs="Times New Roman"/>
              <w:b w:val="0"/>
              <w:bCs w:val="0"/>
              <w:sz w:val="21"/>
              <w:szCs w:val="21"/>
            </w:rPr>
            <w:t>风向参数和水文参数</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_Toc29427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9</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_Toc11544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rPr>
            <w:t xml:space="preserve">7 </w:t>
          </w:r>
          <w:r>
            <w:rPr>
              <w:rFonts w:hint="eastAsia" w:ascii="Times New Roman" w:hAnsi="Times New Roman" w:eastAsia="宋体" w:cs="Times New Roman"/>
              <w:b w:val="0"/>
              <w:bCs w:val="0"/>
              <w:sz w:val="21"/>
              <w:szCs w:val="21"/>
            </w:rPr>
            <w:t>日常运行</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_Toc11544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9</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_Toc31184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7.1 </w:t>
          </w:r>
          <w:r>
            <w:rPr>
              <w:rFonts w:hint="eastAsia" w:ascii="Times New Roman" w:hAnsi="Times New Roman" w:eastAsia="宋体" w:cs="Times New Roman"/>
              <w:b w:val="0"/>
              <w:bCs w:val="0"/>
              <w:sz w:val="21"/>
              <w:szCs w:val="21"/>
            </w:rPr>
            <w:t>注采井监测</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_Toc31184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9</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_Toc15586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7.2 </w:t>
          </w:r>
          <w:r>
            <w:rPr>
              <w:rFonts w:hint="eastAsia" w:ascii="Times New Roman" w:hAnsi="Times New Roman" w:eastAsia="宋体" w:cs="Times New Roman"/>
              <w:b w:val="0"/>
              <w:bCs w:val="0"/>
              <w:sz w:val="21"/>
              <w:szCs w:val="21"/>
            </w:rPr>
            <w:t>监测井监测</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_Toc15586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9</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_Toc26601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7.3 </w:t>
          </w:r>
          <w:r>
            <w:rPr>
              <w:rFonts w:hint="eastAsia" w:ascii="Times New Roman" w:hAnsi="Times New Roman" w:eastAsia="宋体" w:cs="Times New Roman"/>
              <w:b w:val="0"/>
              <w:bCs w:val="0"/>
              <w:sz w:val="21"/>
              <w:szCs w:val="21"/>
            </w:rPr>
            <w:t>封堵井监测</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_Toc26601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10</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_Toc31306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7.4 </w:t>
          </w:r>
          <w:r>
            <w:rPr>
              <w:rFonts w:hint="eastAsia" w:ascii="Times New Roman" w:hAnsi="Times New Roman" w:eastAsia="宋体" w:cs="Times New Roman"/>
              <w:b w:val="0"/>
              <w:bCs w:val="0"/>
              <w:sz w:val="21"/>
              <w:szCs w:val="21"/>
            </w:rPr>
            <w:t>气藏监测</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_Toc31306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10</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_Toc30776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7.5 </w:t>
          </w:r>
          <w:r>
            <w:rPr>
              <w:rFonts w:hint="eastAsia" w:ascii="Times New Roman" w:hAnsi="Times New Roman" w:eastAsia="宋体" w:cs="Times New Roman"/>
              <w:b w:val="0"/>
              <w:bCs w:val="0"/>
              <w:sz w:val="21"/>
              <w:szCs w:val="21"/>
            </w:rPr>
            <w:t>地面沉降监测</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_Toc30776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10</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_Toc20716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7.6 </w:t>
          </w:r>
          <w:r>
            <w:rPr>
              <w:rFonts w:hint="eastAsia" w:ascii="Times New Roman" w:hAnsi="Times New Roman" w:eastAsia="宋体" w:cs="Times New Roman"/>
              <w:b w:val="0"/>
              <w:bCs w:val="0"/>
              <w:sz w:val="21"/>
              <w:szCs w:val="21"/>
            </w:rPr>
            <w:t>微地震监测</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_Toc20716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10</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_Toc14919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7.7 </w:t>
          </w:r>
          <w:r>
            <w:rPr>
              <w:rFonts w:hint="eastAsia" w:ascii="Times New Roman" w:hAnsi="Times New Roman" w:eastAsia="宋体" w:cs="Times New Roman"/>
              <w:b w:val="0"/>
              <w:bCs w:val="0"/>
              <w:sz w:val="21"/>
              <w:szCs w:val="21"/>
            </w:rPr>
            <w:t>示踪剂监测</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_Toc14919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_Toc8962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7.8 </w:t>
          </w:r>
          <w:r>
            <w:rPr>
              <w:rFonts w:hint="eastAsia" w:ascii="Times New Roman" w:hAnsi="Times New Roman" w:eastAsia="宋体" w:cs="Times New Roman"/>
              <w:b w:val="0"/>
              <w:bCs w:val="0"/>
              <w:sz w:val="21"/>
              <w:szCs w:val="21"/>
            </w:rPr>
            <w:t>数据处理与分析</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_Toc8962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_Toc15577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7.9 </w:t>
          </w:r>
          <w:r>
            <w:rPr>
              <w:rFonts w:hint="eastAsia" w:ascii="Times New Roman" w:hAnsi="Times New Roman" w:eastAsia="宋体" w:cs="Times New Roman"/>
              <w:b w:val="0"/>
              <w:bCs w:val="0"/>
              <w:sz w:val="21"/>
              <w:szCs w:val="21"/>
            </w:rPr>
            <w:t>系统维护与管理</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_Toc15577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_Toc27633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7.10 </w:t>
          </w:r>
          <w:r>
            <w:rPr>
              <w:rFonts w:hint="eastAsia" w:ascii="Times New Roman" w:hAnsi="Times New Roman" w:eastAsia="宋体" w:cs="Times New Roman"/>
              <w:b w:val="0"/>
              <w:bCs w:val="0"/>
              <w:sz w:val="21"/>
              <w:szCs w:val="21"/>
            </w:rPr>
            <w:t>凝液处理工艺</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_Toc27633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_Toc16065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7.11 </w:t>
          </w:r>
          <w:r>
            <w:rPr>
              <w:rFonts w:hint="eastAsia" w:ascii="Times New Roman" w:hAnsi="Times New Roman" w:eastAsia="宋体" w:cs="Times New Roman"/>
              <w:b w:val="0"/>
              <w:bCs w:val="0"/>
              <w:sz w:val="21"/>
              <w:szCs w:val="21"/>
            </w:rPr>
            <w:t>安全截断及泄放</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_Toc16065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_Toc25653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rPr>
            <w:t xml:space="preserve">8 </w:t>
          </w:r>
          <w:r>
            <w:rPr>
              <w:rFonts w:hint="eastAsia" w:ascii="Times New Roman" w:hAnsi="Times New Roman" w:eastAsia="宋体" w:cs="Times New Roman"/>
              <w:b w:val="0"/>
              <w:bCs w:val="0"/>
              <w:sz w:val="21"/>
              <w:szCs w:val="21"/>
            </w:rPr>
            <w:t>检测与评价</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_Toc25653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_Toc8097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8.1 </w:t>
          </w:r>
          <w:r>
            <w:rPr>
              <w:rFonts w:hint="eastAsia" w:ascii="Times New Roman" w:hAnsi="Times New Roman" w:eastAsia="宋体" w:cs="Times New Roman"/>
              <w:b w:val="0"/>
              <w:bCs w:val="0"/>
              <w:sz w:val="21"/>
              <w:szCs w:val="21"/>
            </w:rPr>
            <w:t>基本要求</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_Toc8097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_Toc6581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8.2 </w:t>
          </w:r>
          <w:r>
            <w:rPr>
              <w:rFonts w:hint="eastAsia" w:ascii="Times New Roman" w:hAnsi="Times New Roman" w:eastAsia="宋体" w:cs="Times New Roman"/>
              <w:b w:val="0"/>
              <w:bCs w:val="0"/>
              <w:sz w:val="21"/>
              <w:szCs w:val="21"/>
            </w:rPr>
            <w:t>井口装置检测与评价</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_Toc6581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_Toc22371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8.3 </w:t>
          </w:r>
          <w:r>
            <w:rPr>
              <w:rFonts w:hint="eastAsia" w:ascii="Times New Roman" w:hAnsi="Times New Roman" w:eastAsia="宋体" w:cs="Times New Roman"/>
              <w:b w:val="0"/>
              <w:bCs w:val="0"/>
              <w:sz w:val="21"/>
              <w:szCs w:val="21"/>
            </w:rPr>
            <w:t>井筒检测与评价</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_Toc22371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_Toc18381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8.4 </w:t>
          </w:r>
          <w:r>
            <w:rPr>
              <w:rFonts w:hint="eastAsia" w:ascii="Times New Roman" w:hAnsi="Times New Roman" w:eastAsia="宋体" w:cs="Times New Roman"/>
              <w:b w:val="0"/>
              <w:bCs w:val="0"/>
              <w:sz w:val="21"/>
              <w:szCs w:val="21"/>
            </w:rPr>
            <w:t>环空压力检测与评价</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_Toc18381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_Toc12964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8.5 </w:t>
          </w:r>
          <w:r>
            <w:rPr>
              <w:rFonts w:hint="eastAsia" w:ascii="Times New Roman" w:hAnsi="Times New Roman" w:eastAsia="宋体" w:cs="Times New Roman"/>
              <w:b w:val="0"/>
              <w:bCs w:val="0"/>
              <w:sz w:val="21"/>
              <w:szCs w:val="21"/>
            </w:rPr>
            <w:t>地质体密封性评价</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_Toc12964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13</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_Toc21645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8.6 </w:t>
          </w:r>
          <w:r>
            <w:rPr>
              <w:rFonts w:hint="eastAsia" w:ascii="Times New Roman" w:hAnsi="Times New Roman" w:eastAsia="宋体" w:cs="Times New Roman"/>
              <w:b w:val="0"/>
              <w:bCs w:val="0"/>
              <w:sz w:val="21"/>
              <w:szCs w:val="21"/>
            </w:rPr>
            <w:t>检测数据异常处理措施</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_Toc21645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14</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_Toc17270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rPr>
            <w:t xml:space="preserve">9 </w:t>
          </w:r>
          <w:r>
            <w:rPr>
              <w:rFonts w:hint="eastAsia" w:ascii="Times New Roman" w:hAnsi="Times New Roman" w:eastAsia="宋体" w:cs="Times New Roman"/>
              <w:b w:val="0"/>
              <w:bCs w:val="0"/>
              <w:sz w:val="21"/>
              <w:szCs w:val="21"/>
            </w:rPr>
            <w:t>预警</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_Toc17270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15</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_Toc17659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9.1 </w:t>
          </w:r>
          <w:r>
            <w:rPr>
              <w:rFonts w:hint="eastAsia" w:ascii="Times New Roman" w:hAnsi="Times New Roman" w:eastAsia="宋体" w:cs="Times New Roman"/>
              <w:b w:val="0"/>
              <w:bCs w:val="0"/>
              <w:sz w:val="21"/>
              <w:szCs w:val="21"/>
            </w:rPr>
            <w:t>一般要求</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_Toc17659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15</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_Toc12571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9.2 </w:t>
          </w:r>
          <w:r>
            <w:rPr>
              <w:rFonts w:hint="eastAsia" w:ascii="Times New Roman" w:hAnsi="Times New Roman" w:eastAsia="宋体" w:cs="Times New Roman"/>
              <w:b w:val="0"/>
              <w:bCs w:val="0"/>
              <w:sz w:val="21"/>
              <w:szCs w:val="21"/>
            </w:rPr>
            <w:t>灾害等级评判因素</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_Toc12571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15</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_Toc18524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9.3 </w:t>
          </w:r>
          <w:r>
            <w:rPr>
              <w:rFonts w:hint="eastAsia" w:ascii="Times New Roman" w:hAnsi="Times New Roman" w:eastAsia="宋体" w:cs="Times New Roman"/>
              <w:b w:val="0"/>
              <w:bCs w:val="0"/>
              <w:sz w:val="21"/>
              <w:szCs w:val="21"/>
            </w:rPr>
            <w:t>预警级别划分</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_Toc18524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15</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_Toc9895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9.4 </w:t>
          </w:r>
          <w:r>
            <w:rPr>
              <w:rFonts w:hint="eastAsia" w:ascii="Times New Roman" w:hAnsi="Times New Roman" w:eastAsia="宋体" w:cs="Times New Roman"/>
              <w:b w:val="0"/>
              <w:bCs w:val="0"/>
              <w:sz w:val="21"/>
              <w:szCs w:val="21"/>
            </w:rPr>
            <w:t>应急响应措施</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_Toc9895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16</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_Toc15055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9.5 </w:t>
          </w:r>
          <w:r>
            <w:rPr>
              <w:rFonts w:hint="eastAsia" w:ascii="Times New Roman" w:hAnsi="Times New Roman" w:eastAsia="宋体" w:cs="Times New Roman"/>
              <w:b w:val="0"/>
              <w:bCs w:val="0"/>
              <w:sz w:val="21"/>
              <w:szCs w:val="21"/>
            </w:rPr>
            <w:t>预警信息管理</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_Toc15055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17</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_Toc24493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9.6 </w:t>
          </w:r>
          <w:r>
            <w:rPr>
              <w:rFonts w:hint="eastAsia" w:ascii="Times New Roman" w:hAnsi="Times New Roman" w:eastAsia="宋体" w:cs="Times New Roman"/>
              <w:b w:val="0"/>
              <w:bCs w:val="0"/>
              <w:sz w:val="21"/>
              <w:szCs w:val="21"/>
            </w:rPr>
            <w:t>预警位置的可视化监控</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_Toc24493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17</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_Toc16833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rPr>
            <w:t xml:space="preserve">10 </w:t>
          </w:r>
          <w:r>
            <w:rPr>
              <w:rFonts w:hint="eastAsia" w:ascii="Times New Roman" w:hAnsi="Times New Roman" w:eastAsia="宋体" w:cs="Times New Roman"/>
              <w:b w:val="0"/>
              <w:bCs w:val="0"/>
              <w:sz w:val="21"/>
              <w:szCs w:val="21"/>
            </w:rPr>
            <w:t>监测与预警相关技术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_Toc16833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18</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_Toc2918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10.1 </w:t>
          </w:r>
          <w:r>
            <w:rPr>
              <w:rFonts w:hint="eastAsia" w:ascii="Times New Roman" w:hAnsi="Times New Roman" w:eastAsia="宋体" w:cs="Times New Roman"/>
              <w:b w:val="0"/>
              <w:bCs w:val="0"/>
              <w:sz w:val="21"/>
              <w:szCs w:val="21"/>
            </w:rPr>
            <w:t>管道光纤预警技术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_Toc2918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18</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_Toc30982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10.2 </w:t>
          </w:r>
          <w:r>
            <w:rPr>
              <w:rFonts w:hint="eastAsia" w:ascii="Times New Roman" w:hAnsi="Times New Roman" w:eastAsia="宋体" w:cs="Times New Roman"/>
              <w:b w:val="0"/>
              <w:bCs w:val="0"/>
              <w:sz w:val="21"/>
              <w:szCs w:val="21"/>
            </w:rPr>
            <w:t>微地震监测技术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_Toc30982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18</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_Toc16878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10.3 </w:t>
          </w:r>
          <w:r>
            <w:rPr>
              <w:rFonts w:hint="eastAsia" w:ascii="Times New Roman" w:hAnsi="Times New Roman" w:eastAsia="宋体" w:cs="Times New Roman"/>
              <w:b w:val="0"/>
              <w:bCs w:val="0"/>
              <w:sz w:val="21"/>
              <w:szCs w:val="21"/>
            </w:rPr>
            <w:t>InSAR地面形变监测技术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_Toc16878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18</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_Toc7567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10.4 </w:t>
          </w:r>
          <w:r>
            <w:rPr>
              <w:rFonts w:hint="eastAsia" w:ascii="Times New Roman" w:hAnsi="Times New Roman" w:eastAsia="宋体" w:cs="Times New Roman"/>
              <w:b w:val="0"/>
              <w:bCs w:val="0"/>
              <w:sz w:val="21"/>
              <w:szCs w:val="21"/>
            </w:rPr>
            <w:t>激光光谱技术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_Toc7567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18</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_Toc25741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10.5 </w:t>
          </w:r>
          <w:r>
            <w:rPr>
              <w:rFonts w:hint="eastAsia" w:ascii="Times New Roman" w:hAnsi="Times New Roman" w:eastAsia="宋体" w:cs="Times New Roman"/>
              <w:b w:val="0"/>
              <w:bCs w:val="0"/>
              <w:sz w:val="21"/>
              <w:szCs w:val="21"/>
            </w:rPr>
            <w:t>电阻探针腐蚀监测技术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_Toc25741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19</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_Toc19235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10.6 </w:t>
          </w:r>
          <w:r>
            <w:rPr>
              <w:rFonts w:hint="eastAsia" w:ascii="Times New Roman" w:hAnsi="Times New Roman" w:eastAsia="宋体" w:cs="Times New Roman"/>
              <w:b w:val="0"/>
              <w:bCs w:val="0"/>
              <w:sz w:val="21"/>
              <w:szCs w:val="21"/>
            </w:rPr>
            <w:t>无人机低空遥感技术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_Toc19235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19</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_Toc18726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10.7 </w:t>
          </w:r>
          <w:r>
            <w:rPr>
              <w:rFonts w:hint="eastAsia" w:ascii="Times New Roman" w:hAnsi="Times New Roman" w:eastAsia="宋体" w:cs="Times New Roman"/>
              <w:b w:val="0"/>
              <w:bCs w:val="0"/>
              <w:sz w:val="21"/>
              <w:szCs w:val="21"/>
            </w:rPr>
            <w:t>钻孔斜测仪监测裂缝技术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_Toc18726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19</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_Toc19582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10.8 </w:t>
          </w:r>
          <w:r>
            <w:rPr>
              <w:rFonts w:hint="eastAsia" w:ascii="Times New Roman" w:hAnsi="Times New Roman" w:eastAsia="宋体" w:cs="Times New Roman"/>
              <w:b w:val="0"/>
              <w:bCs w:val="0"/>
              <w:sz w:val="21"/>
              <w:szCs w:val="21"/>
            </w:rPr>
            <w:t>储气库作业安全无人值守技术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_Toc19582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20</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_Toc21058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10.9 </w:t>
          </w:r>
          <w:r>
            <w:rPr>
              <w:rFonts w:hint="eastAsia" w:ascii="Times New Roman" w:hAnsi="Times New Roman" w:eastAsia="宋体" w:cs="Times New Roman"/>
              <w:b w:val="0"/>
              <w:bCs w:val="0"/>
              <w:sz w:val="21"/>
              <w:szCs w:val="21"/>
            </w:rPr>
            <w:t>ESD系统</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_Toc21058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20</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_Toc14785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10.10 </w:t>
          </w:r>
          <w:r>
            <w:rPr>
              <w:rFonts w:hint="eastAsia" w:ascii="Times New Roman" w:hAnsi="Times New Roman" w:eastAsia="宋体" w:cs="Times New Roman"/>
              <w:b w:val="0"/>
              <w:bCs w:val="0"/>
              <w:sz w:val="21"/>
              <w:szCs w:val="21"/>
            </w:rPr>
            <w:t>数字孪生技术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_Toc14785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20</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_Toc24659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10.11 </w:t>
          </w:r>
          <w:r>
            <w:rPr>
              <w:rFonts w:hint="eastAsia" w:ascii="Times New Roman" w:hAnsi="Times New Roman" w:eastAsia="宋体" w:cs="Times New Roman"/>
              <w:b w:val="0"/>
              <w:bCs w:val="0"/>
              <w:sz w:val="21"/>
              <w:szCs w:val="21"/>
            </w:rPr>
            <w:t>云端检测与预警平台</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_Toc24659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_Toc16160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10.12 </w:t>
          </w:r>
          <w:r>
            <w:rPr>
              <w:rFonts w:hint="eastAsia" w:ascii="Times New Roman" w:hAnsi="Times New Roman" w:eastAsia="宋体" w:cs="Times New Roman"/>
              <w:b w:val="0"/>
              <w:bCs w:val="0"/>
              <w:sz w:val="21"/>
              <w:szCs w:val="21"/>
            </w:rPr>
            <w:t>信息化与数字化管理</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_Toc16160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_Toc11806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10.13 </w:t>
          </w:r>
          <w:r>
            <w:rPr>
              <w:rFonts w:hint="eastAsia" w:ascii="Times New Roman" w:hAnsi="Times New Roman" w:eastAsia="宋体" w:cs="Times New Roman"/>
              <w:b w:val="0"/>
              <w:bCs w:val="0"/>
              <w:sz w:val="21"/>
              <w:szCs w:val="21"/>
            </w:rPr>
            <w:t>网络安全技术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_Toc11806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21</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_Toc30247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10.14 </w:t>
          </w:r>
          <w:r>
            <w:rPr>
              <w:rFonts w:hint="eastAsia" w:ascii="Times New Roman" w:hAnsi="Times New Roman" w:eastAsia="宋体" w:cs="Times New Roman"/>
              <w:b w:val="0"/>
              <w:bCs w:val="0"/>
              <w:sz w:val="21"/>
              <w:szCs w:val="21"/>
            </w:rPr>
            <w:t>工业互联网技术</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_Toc30247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_Toc31089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sz w:val="21"/>
              <w:szCs w:val="21"/>
            </w:rPr>
            <w:t xml:space="preserve">11 </w:t>
          </w:r>
          <w:r>
            <w:rPr>
              <w:rFonts w:hint="eastAsia" w:ascii="Times New Roman" w:hAnsi="Times New Roman" w:eastAsia="宋体" w:cs="Times New Roman"/>
              <w:b w:val="0"/>
              <w:bCs w:val="0"/>
              <w:sz w:val="21"/>
              <w:szCs w:val="21"/>
            </w:rPr>
            <w:t>安全培训</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_Toc31089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1"/>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_Toc19990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i w:val="0"/>
              <w:iCs w:val="0"/>
              <w:caps w:val="0"/>
              <w:smallCaps w:val="0"/>
              <w:strike w:val="0"/>
              <w:dstrike w:val="0"/>
              <w:vanish w:val="0"/>
              <w:spacing w:val="0"/>
              <w:kern w:val="0"/>
              <w:position w:val="0"/>
              <w:sz w:val="21"/>
              <w:szCs w:val="21"/>
              <w:vertAlign w:val="baseline"/>
              <w14:ligatures w14:val="none"/>
              <w14:numForm w14:val="default"/>
              <w14:numSpacing w14:val="default"/>
            </w:rPr>
            <w:t xml:space="preserve">11.1 </w:t>
          </w:r>
          <w:r>
            <w:rPr>
              <w:rFonts w:hint="eastAsia" w:ascii="Times New Roman" w:hAnsi="Times New Roman" w:eastAsia="宋体" w:cs="Times New Roman"/>
              <w:b w:val="0"/>
              <w:bCs w:val="0"/>
              <w:sz w:val="21"/>
              <w:szCs w:val="21"/>
            </w:rPr>
            <w:t>人员培训</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_Toc19990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22</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_Toc8847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sz w:val="21"/>
              <w:szCs w:val="21"/>
              <w:lang w:eastAsia="zh-CN"/>
            </w:rPr>
            <w:t>附录A</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_Toc8847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24</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230"/>
            <w:tabs>
              <w:tab w:val="right" w:leader="dot" w:pos="8306"/>
            </w:tabs>
            <w:rPr>
              <w:b/>
            </w:rPr>
          </w:pPr>
          <w:r>
            <w:rPr>
              <w:rFonts w:hint="eastAsia" w:ascii="Times New Roman" w:hAnsi="Times New Roman" w:eastAsia="宋体" w:cs="Times New Roman"/>
              <w:b w:val="0"/>
              <w:bCs w:val="0"/>
              <w:sz w:val="21"/>
              <w:szCs w:val="21"/>
              <w:lang w:val="en-US" w:eastAsia="zh-CN"/>
            </w:rPr>
            <w:fldChar w:fldCharType="begin"/>
          </w:r>
          <w:r>
            <w:rPr>
              <w:rFonts w:hint="eastAsia" w:ascii="Times New Roman" w:hAnsi="Times New Roman" w:eastAsia="宋体" w:cs="Times New Roman"/>
              <w:b w:val="0"/>
              <w:bCs w:val="0"/>
              <w:sz w:val="21"/>
              <w:szCs w:val="21"/>
              <w:lang w:val="en-US" w:eastAsia="zh-CN"/>
            </w:rPr>
            <w:instrText xml:space="preserve"> HYPERLINK \l _Toc32760 </w:instrText>
          </w:r>
          <w:r>
            <w:rPr>
              <w:rFonts w:hint="eastAsia" w:ascii="Times New Roman" w:hAnsi="Times New Roman" w:eastAsia="宋体" w:cs="Times New Roman"/>
              <w:b w:val="0"/>
              <w:bCs w:val="0"/>
              <w:sz w:val="21"/>
              <w:szCs w:val="21"/>
              <w:lang w:val="en-US" w:eastAsia="zh-CN"/>
            </w:rPr>
            <w:fldChar w:fldCharType="separate"/>
          </w:r>
          <w:r>
            <w:rPr>
              <w:rFonts w:hint="eastAsia" w:ascii="Times New Roman" w:hAnsi="Times New Roman" w:eastAsia="宋体" w:cs="Times New Roman"/>
              <w:b w:val="0"/>
              <w:bCs w:val="0"/>
              <w:spacing w:val="105"/>
              <w:sz w:val="21"/>
              <w:szCs w:val="21"/>
              <w:lang w:eastAsia="zh-CN" w:bidi="ar-SA"/>
            </w:rPr>
            <w:t>参考文献</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_Toc32760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26</w:t>
          </w:r>
          <w:r>
            <w:rPr>
              <w:rFonts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lang w:val="en-US" w:eastAsia="zh-CN"/>
            </w:rPr>
            <w:fldChar w:fldCharType="end"/>
          </w:r>
        </w:p>
        <w:p>
          <w:pPr>
            <w:pStyle w:val="91"/>
            <w:spacing w:after="360"/>
            <w:rPr>
              <w:rFonts w:hint="eastAsia" w:ascii="Arial" w:hAnsi="Arial" w:eastAsia="宋体" w:cs="Arial"/>
              <w:b/>
              <w:snapToGrid w:val="0"/>
              <w:color w:val="000000"/>
              <w:kern w:val="0"/>
              <w:sz w:val="21"/>
              <w:szCs w:val="21"/>
              <w:lang w:val="en-US" w:eastAsia="zh-C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eastAsia="宋体"/>
              <w:b/>
              <w:lang w:val="en-US" w:eastAsia="zh-CN"/>
            </w:rPr>
            <w:fldChar w:fldCharType="end"/>
          </w:r>
        </w:p>
      </w:sdtContent>
    </w:sdt>
    <w:bookmarkEnd w:id="21"/>
    <w:p>
      <w:pPr>
        <w:pStyle w:val="89"/>
        <w:spacing w:before="900" w:after="360"/>
      </w:pPr>
      <w:bookmarkStart w:id="22" w:name="BookMark2"/>
      <w:r>
        <w:rPr>
          <w:spacing w:val="320"/>
        </w:rPr>
        <w:t>前</w:t>
      </w:r>
      <w:r>
        <w:t>言</w:t>
      </w:r>
    </w:p>
    <w:p>
      <w:pPr>
        <w:pStyle w:val="56"/>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w:t>
      </w:r>
      <w:r>
        <w:rPr>
          <w:rFonts w:hint="eastAsia" w:ascii="Times New Roman" w:hAnsi="Times New Roman" w:eastAsia="宋体" w:cs="Times New Roman"/>
          <w:sz w:val="21"/>
          <w:szCs w:val="21"/>
          <w:lang w:val="en-US" w:eastAsia="zh-CN"/>
        </w:rPr>
        <w:t>文件</w:t>
      </w:r>
      <w:r>
        <w:rPr>
          <w:rFonts w:hint="eastAsia" w:ascii="Times New Roman" w:hAnsi="Times New Roman" w:eastAsia="宋体" w:cs="Times New Roman"/>
          <w:sz w:val="21"/>
          <w:szCs w:val="21"/>
        </w:rPr>
        <w:t>按照GB/T 1.1</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020</w:t>
      </w:r>
      <w:r>
        <w:rPr>
          <w:rFonts w:hint="eastAsia" w:ascii="Times New Roman" w:hAnsi="Times New Roman" w:eastAsia="宋体" w:cs="Times New Roman"/>
          <w:sz w:val="21"/>
          <w:szCs w:val="21"/>
        </w:rPr>
        <w:t>《标准化工作导则</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第1部分:标</w:t>
      </w:r>
      <w:r>
        <w:rPr>
          <w:rFonts w:hint="eastAsia" w:ascii="Times New Roman" w:hAnsi="Times New Roman" w:eastAsia="宋体" w:cs="Times New Roman"/>
          <w:sz w:val="21"/>
          <w:szCs w:val="21"/>
          <w:lang w:val="en-US" w:eastAsia="zh-CN"/>
        </w:rPr>
        <w:t>准化文件的结构和起草规则</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的规定</w:t>
      </w:r>
      <w:r>
        <w:rPr>
          <w:rFonts w:hint="eastAsia" w:ascii="Times New Roman" w:hAnsi="Times New Roman" w:eastAsia="宋体" w:cs="Times New Roman"/>
          <w:sz w:val="21"/>
          <w:szCs w:val="21"/>
        </w:rPr>
        <w:t>起草。</w:t>
      </w:r>
    </w:p>
    <w:p>
      <w:pPr>
        <w:pStyle w:val="56"/>
        <w:ind w:firstLine="4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请注意本文件的某些内容可能涉及专利。本文件的发布机构不承担识别专利的责任。</w:t>
      </w:r>
    </w:p>
    <w:p>
      <w:pPr>
        <w:pStyle w:val="56"/>
        <w:ind w:firstLine="420"/>
        <w:outlineLvl w:val="0"/>
        <w:rPr>
          <w:rFonts w:hint="default" w:ascii="Times New Roman" w:hAnsi="Times New Roman" w:eastAsia="宋体" w:cs="Times New Roman"/>
          <w:sz w:val="21"/>
          <w:szCs w:val="21"/>
          <w:lang w:val="en-US" w:eastAsia="zh-CN"/>
        </w:rPr>
      </w:pPr>
      <w:bookmarkStart w:id="23" w:name="_Toc15114"/>
      <w:bookmarkStart w:id="24" w:name="_Toc9112"/>
      <w:r>
        <w:rPr>
          <w:rFonts w:hint="eastAsia" w:ascii="Times New Roman" w:hAnsi="Times New Roman" w:eastAsia="宋体" w:cs="Times New Roman"/>
          <w:sz w:val="21"/>
          <w:szCs w:val="21"/>
        </w:rPr>
        <w:t>本</w:t>
      </w:r>
      <w:r>
        <w:rPr>
          <w:rFonts w:hint="eastAsia" w:ascii="Times New Roman" w:cs="Times New Roman"/>
          <w:sz w:val="21"/>
          <w:szCs w:val="21"/>
          <w:lang w:val="en-US" w:eastAsia="zh-CN"/>
        </w:rPr>
        <w:t>文件</w:t>
      </w:r>
      <w:r>
        <w:rPr>
          <w:rFonts w:hint="eastAsia" w:ascii="Times New Roman" w:hAnsi="Times New Roman" w:eastAsia="宋体" w:cs="Times New Roman"/>
          <w:sz w:val="21"/>
          <w:szCs w:val="21"/>
        </w:rPr>
        <w:t>由</w:t>
      </w:r>
      <w:bookmarkEnd w:id="23"/>
      <w:bookmarkEnd w:id="24"/>
      <w:r>
        <w:rPr>
          <w:rFonts w:hint="eastAsia" w:ascii="Times New Roman" w:cs="Times New Roman"/>
          <w:sz w:val="21"/>
          <w:szCs w:val="21"/>
          <w:lang w:val="en-US" w:eastAsia="zh-CN"/>
        </w:rPr>
        <w:t>中国灾害防御协会提出并归口</w:t>
      </w:r>
    </w:p>
    <w:p>
      <w:pPr>
        <w:spacing w:line="240" w:lineRule="auto"/>
        <w:ind w:left="-42" w:leftChars="-20" w:right="-105" w:rightChars="-50" w:firstLine="420"/>
        <w:jc w:val="both"/>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t>本</w:t>
      </w:r>
      <w:r>
        <w:rPr>
          <w:rFonts w:hint="eastAsia" w:ascii="Times New Roman" w:hAnsi="Times New Roman" w:eastAsia="宋体" w:cs="Times New Roman"/>
          <w:color w:val="auto"/>
          <w:sz w:val="21"/>
          <w:szCs w:val="21"/>
          <w:lang w:val="en-US" w:eastAsia="zh-CN" w:bidi="ar-SA"/>
        </w:rPr>
        <w:t>文件</w:t>
      </w:r>
      <w:r>
        <w:rPr>
          <w:rFonts w:hint="eastAsia" w:ascii="Times New Roman" w:hAnsi="Times New Roman" w:eastAsia="宋体" w:cs="Times New Roman"/>
          <w:color w:val="auto"/>
          <w:sz w:val="21"/>
          <w:szCs w:val="21"/>
          <w:lang w:eastAsia="zh-CN" w:bidi="ar-SA"/>
        </w:rPr>
        <w:t>起草单位：东北石油大学、黑龙江菏沣达能源科技有限公司、大庆油田自动化仪表有限公司、</w:t>
      </w:r>
      <w:r>
        <w:rPr>
          <w:rFonts w:hint="eastAsia" w:ascii="Times New Roman" w:hAnsi="Times New Roman" w:eastAsia="宋体" w:cs="Times New Roman"/>
          <w:color w:val="auto"/>
          <w:sz w:val="21"/>
          <w:szCs w:val="21"/>
          <w:lang w:val="en-US" w:eastAsia="zh-CN" w:bidi="ar-SA"/>
        </w:rPr>
        <w:t>重庆科技学院、</w:t>
      </w:r>
      <w:r>
        <w:rPr>
          <w:rFonts w:hint="eastAsia" w:ascii="Times New Roman" w:hAnsi="Times New Roman" w:eastAsia="宋体" w:cs="Times New Roman"/>
          <w:color w:val="auto"/>
          <w:sz w:val="21"/>
          <w:szCs w:val="21"/>
          <w:lang w:eastAsia="zh-CN" w:bidi="ar-SA"/>
        </w:rPr>
        <w:t>大庆油田第一采油厂、中国石油勘探开发研究院地下储库研究所、中国石油集团石油管工程技术研究院、大庆油田勘探开发研究院、大庆油田第六采油厂、中国石化青岛安全工程研究院、胜利油田分公司工程技术管理中心、中石化胜利油田孤岛采油厂、长庆油田分公司勘探开发研究院、华北油田勘探院天然气室、吉林油田储气库项目部、大庆油田设计院有限公司</w:t>
      </w:r>
    </w:p>
    <w:p>
      <w:pPr>
        <w:spacing w:line="240" w:lineRule="auto"/>
        <w:ind w:left="-42" w:leftChars="-20" w:right="-105" w:rightChars="-50" w:firstLine="420"/>
        <w:jc w:val="both"/>
        <w:rPr>
          <w:rFonts w:hint="default" w:ascii="Times New Roman" w:hAnsi="Times New Roman" w:eastAsia="宋体" w:cs="Times New Roman"/>
          <w:sz w:val="21"/>
          <w:szCs w:val="21"/>
          <w:lang w:val="en-US"/>
        </w:rPr>
        <w:sectPr>
          <w:footerReference r:id="rId14" w:type="default"/>
          <w:footerReference r:id="rId15" w:type="even"/>
          <w:pgSz w:w="11906" w:h="16838"/>
          <w:pgMar w:top="1417" w:right="1134" w:bottom="1417" w:left="1418" w:header="680" w:footer="850" w:gutter="0"/>
          <w:pgBorders>
            <w:top w:val="none" w:sz="0" w:space="0"/>
            <w:left w:val="none" w:sz="0" w:space="0"/>
            <w:bottom w:val="none" w:sz="0" w:space="0"/>
            <w:right w:val="none" w:sz="0" w:space="0"/>
          </w:pgBorders>
          <w:pgNumType w:fmt="upperRoman"/>
          <w:cols w:space="0" w:num="1"/>
          <w:docGrid w:type="lines" w:linePitch="312" w:charSpace="0"/>
        </w:sectPr>
      </w:pPr>
      <w:r>
        <w:rPr>
          <w:rFonts w:hint="eastAsia" w:ascii="Times New Roman" w:hAnsi="Times New Roman" w:eastAsia="宋体" w:cs="Times New Roman"/>
          <w:sz w:val="21"/>
          <w:szCs w:val="21"/>
        </w:rPr>
        <w:t>本</w:t>
      </w:r>
      <w:r>
        <w:rPr>
          <w:rFonts w:hint="eastAsia" w:ascii="Times New Roman" w:hAnsi="Times New Roman" w:eastAsia="宋体" w:cs="Times New Roman"/>
          <w:sz w:val="21"/>
          <w:szCs w:val="21"/>
          <w:lang w:val="en-US" w:eastAsia="zh-CN"/>
        </w:rPr>
        <w:t>文件</w:t>
      </w:r>
      <w:r>
        <w:rPr>
          <w:rFonts w:hint="eastAsia" w:ascii="Times New Roman" w:hAnsi="Times New Roman" w:eastAsia="宋体" w:cs="Times New Roman"/>
          <w:sz w:val="21"/>
          <w:szCs w:val="21"/>
        </w:rPr>
        <w:t>主要起草人：</w:t>
      </w:r>
    </w:p>
    <w:bookmarkEnd w:id="22"/>
    <w:p>
      <w:pPr>
        <w:pStyle w:val="89"/>
        <w:spacing w:after="360"/>
      </w:pPr>
      <w:bookmarkStart w:id="25" w:name="BookMark3"/>
      <w:r>
        <w:rPr>
          <w:spacing w:val="320"/>
        </w:rPr>
        <w:t>引</w:t>
      </w:r>
      <w:r>
        <w:t>言</w:t>
      </w:r>
    </w:p>
    <w:p>
      <w:pPr>
        <w:keepNext w:val="0"/>
        <w:keepLines w:val="0"/>
        <w:pageBreakBefore w:val="0"/>
        <w:widowControl/>
        <w:kinsoku w:val="0"/>
        <w:wordWrap/>
        <w:overflowPunct/>
        <w:topLinePunct w:val="0"/>
        <w:autoSpaceDE w:val="0"/>
        <w:autoSpaceDN w:val="0"/>
        <w:bidi w:val="0"/>
        <w:adjustRightInd w:val="0"/>
        <w:snapToGrid w:val="0"/>
        <w:ind w:firstLine="420" w:firstLineChars="200"/>
        <w:jc w:val="both"/>
        <w:textAlignment w:val="baseline"/>
        <w:rPr>
          <w:rFonts w:hint="eastAsia" w:ascii="Times New Roman" w:hAnsi="Times New Roman" w:eastAsia="宋体" w:cs="Times New Roman"/>
          <w:color w:val="auto"/>
          <w:kern w:val="2"/>
          <w:sz w:val="21"/>
          <w:szCs w:val="21"/>
          <w:lang w:eastAsia="zh-CN" w:bidi="ar-SA"/>
        </w:rPr>
      </w:pPr>
      <w:r>
        <w:rPr>
          <w:rFonts w:hint="eastAsia" w:ascii="Times New Roman" w:hAnsi="Times New Roman" w:eastAsia="宋体" w:cs="Times New Roman"/>
          <w:color w:val="auto"/>
          <w:kern w:val="2"/>
          <w:sz w:val="21"/>
          <w:szCs w:val="21"/>
          <w:lang w:eastAsia="zh-CN" w:bidi="ar-SA"/>
        </w:rPr>
        <w:t>随着全球能源消耗的不断增加，化石能源的储备量日益减少，储气库作为一种新型的能源储备形式，受到越来越多的关注和广泛应用。油气藏型地下储气库是一种利用地下油气储层储存天然气的方式，具有可储存量大、供需弹性大、环保优势明显等优点。但随着储气库建设量的不断增加和运营期的延长，储气库灾害监测与预警问题日益引起人们的关注。</w:t>
      </w:r>
    </w:p>
    <w:p>
      <w:pPr>
        <w:keepNext w:val="0"/>
        <w:keepLines w:val="0"/>
        <w:pageBreakBefore w:val="0"/>
        <w:widowControl/>
        <w:kinsoku w:val="0"/>
        <w:wordWrap/>
        <w:overflowPunct/>
        <w:topLinePunct w:val="0"/>
        <w:autoSpaceDE w:val="0"/>
        <w:autoSpaceDN w:val="0"/>
        <w:bidi w:val="0"/>
        <w:adjustRightInd w:val="0"/>
        <w:snapToGrid w:val="0"/>
        <w:ind w:firstLine="420" w:firstLineChars="200"/>
        <w:jc w:val="both"/>
        <w:textAlignment w:val="baseline"/>
        <w:rPr>
          <w:rFonts w:hint="eastAsia" w:ascii="Times New Roman" w:hAnsi="Times New Roman" w:eastAsia="宋体" w:cs="Times New Roman"/>
          <w:color w:val="auto"/>
          <w:kern w:val="2"/>
          <w:sz w:val="21"/>
          <w:szCs w:val="21"/>
          <w:lang w:eastAsia="zh-CN" w:bidi="ar-SA"/>
        </w:rPr>
      </w:pPr>
      <w:r>
        <w:rPr>
          <w:rFonts w:hint="eastAsia" w:ascii="Times New Roman" w:hAnsi="Times New Roman" w:eastAsia="宋体" w:cs="Times New Roman"/>
          <w:color w:val="auto"/>
          <w:kern w:val="2"/>
          <w:sz w:val="21"/>
          <w:szCs w:val="21"/>
          <w:lang w:eastAsia="zh-CN" w:bidi="ar-SA"/>
        </w:rPr>
        <w:t>为了确保储气库的安装、使用和维护都能够在高安全性和高可靠性的条件下进行，进行储气库灾害监测与预警已经成为储气库运营的必要环节。储气库灾害监测与预警标准的制定对于确保储气库运营安全、保障周边环境卫生、提高储气库的经济效益具有重要意义。</w:t>
      </w:r>
    </w:p>
    <w:p>
      <w:pPr>
        <w:keepNext w:val="0"/>
        <w:keepLines w:val="0"/>
        <w:pageBreakBefore w:val="0"/>
        <w:widowControl/>
        <w:kinsoku w:val="0"/>
        <w:wordWrap/>
        <w:overflowPunct/>
        <w:topLinePunct w:val="0"/>
        <w:autoSpaceDE w:val="0"/>
        <w:autoSpaceDN w:val="0"/>
        <w:bidi w:val="0"/>
        <w:adjustRightInd w:val="0"/>
        <w:snapToGrid w:val="0"/>
        <w:ind w:firstLine="420" w:firstLineChars="200"/>
        <w:jc w:val="both"/>
        <w:textAlignment w:val="baseline"/>
        <w:rPr>
          <w:rFonts w:hint="eastAsia" w:ascii="Times New Roman" w:hAnsi="Times New Roman" w:eastAsia="宋体" w:cs="Times New Roman"/>
          <w:color w:val="auto"/>
          <w:kern w:val="2"/>
          <w:sz w:val="21"/>
          <w:szCs w:val="21"/>
          <w:lang w:eastAsia="zh-CN" w:bidi="ar-SA"/>
        </w:rPr>
      </w:pPr>
      <w:r>
        <w:rPr>
          <w:rFonts w:hint="eastAsia" w:ascii="Times New Roman" w:hAnsi="Times New Roman" w:eastAsia="宋体" w:cs="Times New Roman"/>
          <w:color w:val="auto"/>
          <w:kern w:val="2"/>
          <w:sz w:val="21"/>
          <w:szCs w:val="21"/>
          <w:lang w:eastAsia="zh-CN" w:bidi="ar-SA"/>
        </w:rPr>
        <w:t>本</w:t>
      </w:r>
      <w:r>
        <w:rPr>
          <w:rFonts w:hint="eastAsia" w:ascii="Times New Roman" w:hAnsi="Times New Roman" w:eastAsia="宋体" w:cs="Times New Roman"/>
          <w:color w:val="auto"/>
          <w:kern w:val="2"/>
          <w:sz w:val="21"/>
          <w:szCs w:val="21"/>
          <w:lang w:val="en-US" w:eastAsia="zh-CN" w:bidi="ar-SA"/>
        </w:rPr>
        <w:t>文件</w:t>
      </w:r>
      <w:r>
        <w:rPr>
          <w:rFonts w:hint="eastAsia" w:ascii="Times New Roman" w:hAnsi="Times New Roman" w:eastAsia="宋体" w:cs="Times New Roman"/>
          <w:color w:val="auto"/>
          <w:kern w:val="2"/>
          <w:sz w:val="21"/>
          <w:szCs w:val="21"/>
          <w:lang w:eastAsia="zh-CN" w:bidi="ar-SA"/>
        </w:rPr>
        <w:t>主要是以油气藏型地下储气库为研究对象，结合国内外现有的相关监测预警标准和实际情况，系统地论述储气库灾害监测与预警的标准化体系，旨在为储气库的灾害监测与预警提供科学的、标准的依据，促进储气库的可持续发展。本文件的制定将有利于提高我国储气库的运营安全水平，防范储气库可能出现的灾害，减少安全事故发生的可能性，为人民生命财产安全和环境保护作出贡献。</w:t>
      </w:r>
    </w:p>
    <w:p>
      <w:pPr>
        <w:keepNext w:val="0"/>
        <w:keepLines w:val="0"/>
        <w:pageBreakBefore w:val="0"/>
        <w:widowControl/>
        <w:kinsoku w:val="0"/>
        <w:wordWrap/>
        <w:overflowPunct/>
        <w:topLinePunct w:val="0"/>
        <w:autoSpaceDE w:val="0"/>
        <w:autoSpaceDN w:val="0"/>
        <w:bidi w:val="0"/>
        <w:adjustRightInd w:val="0"/>
        <w:snapToGrid w:val="0"/>
        <w:ind w:firstLine="420" w:firstLineChars="200"/>
        <w:jc w:val="both"/>
        <w:textAlignment w:val="baseline"/>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本文件的发布机构请注意，声明符合本文件时，可能涉及相关专利的使用。</w:t>
      </w:r>
    </w:p>
    <w:p>
      <w:pPr>
        <w:keepNext w:val="0"/>
        <w:keepLines w:val="0"/>
        <w:pageBreakBefore w:val="0"/>
        <w:widowControl/>
        <w:kinsoku w:val="0"/>
        <w:wordWrap/>
        <w:overflowPunct/>
        <w:topLinePunct w:val="0"/>
        <w:autoSpaceDE w:val="0"/>
        <w:autoSpaceDN w:val="0"/>
        <w:bidi w:val="0"/>
        <w:adjustRightInd w:val="0"/>
        <w:snapToGrid w:val="0"/>
        <w:ind w:firstLine="420" w:firstLineChars="200"/>
        <w:jc w:val="both"/>
        <w:textAlignment w:val="baseline"/>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本文件的发布机构对于相关专利的真实性，有效性和范围无任何立场。</w:t>
      </w:r>
    </w:p>
    <w:p>
      <w:pPr>
        <w:keepNext w:val="0"/>
        <w:keepLines w:val="0"/>
        <w:pageBreakBefore w:val="0"/>
        <w:widowControl/>
        <w:kinsoku w:val="0"/>
        <w:wordWrap/>
        <w:overflowPunct/>
        <w:topLinePunct w:val="0"/>
        <w:autoSpaceDE w:val="0"/>
        <w:autoSpaceDN w:val="0"/>
        <w:bidi w:val="0"/>
        <w:adjustRightInd w:val="0"/>
        <w:snapToGrid w:val="0"/>
        <w:ind w:firstLine="420" w:firstLineChars="200"/>
        <w:jc w:val="both"/>
        <w:textAlignment w:val="baseline"/>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本文件的某些内容可能涉及专利。本文件的发布机构不承担识别专利的责任。</w:t>
      </w:r>
      <w:bookmarkStart w:id="284" w:name="_GoBack"/>
      <w:bookmarkEnd w:id="284"/>
    </w:p>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4B74B3223B164E24912DE23C55927155"/>
        </w:placeholder>
      </w:sdtPr>
      <w:sdtContent>
        <w:p>
          <w:pPr>
            <w:pStyle w:val="177"/>
          </w:pPr>
          <w:bookmarkStart w:id="27" w:name="NEW_STAND_NAME"/>
          <w:r>
            <w:rPr>
              <w:rFonts w:hint="eastAsia"/>
            </w:rPr>
            <w:t>油气藏型地下储气库灾害监测与预警通用要求</w:t>
          </w:r>
        </w:p>
      </w:sdtContent>
    </w:sdt>
    <w:bookmarkEnd w:id="27"/>
    <w:p>
      <w:pPr>
        <w:pStyle w:val="104"/>
        <w:spacing w:before="240" w:after="240"/>
      </w:pPr>
      <w:bookmarkStart w:id="28" w:name="_Toc26718930"/>
      <w:bookmarkStart w:id="29" w:name="_Toc26986771"/>
      <w:bookmarkStart w:id="30" w:name="_Toc154067160"/>
      <w:bookmarkStart w:id="31" w:name="_Toc24884211"/>
      <w:bookmarkStart w:id="32" w:name="_Toc26986530"/>
      <w:bookmarkStart w:id="33" w:name="_Toc24884218"/>
      <w:bookmarkStart w:id="34" w:name="_Toc26648465"/>
      <w:bookmarkStart w:id="35" w:name="_Toc17233333"/>
      <w:bookmarkStart w:id="36" w:name="_Toc17233325"/>
      <w:bookmarkStart w:id="37" w:name="_Toc97192964"/>
      <w:r>
        <w:rPr>
          <w:rFonts w:hint="eastAsia"/>
        </w:rPr>
        <w:t>范围</w:t>
      </w:r>
      <w:bookmarkEnd w:id="28"/>
      <w:bookmarkEnd w:id="29"/>
      <w:bookmarkEnd w:id="30"/>
      <w:bookmarkEnd w:id="31"/>
      <w:bookmarkEnd w:id="32"/>
      <w:bookmarkEnd w:id="33"/>
      <w:bookmarkEnd w:id="34"/>
      <w:bookmarkEnd w:id="35"/>
      <w:bookmarkEnd w:id="36"/>
      <w:bookmarkEnd w:id="37"/>
    </w:p>
    <w:p>
      <w:pPr>
        <w:pStyle w:val="56"/>
        <w:ind w:firstLine="420"/>
        <w:rPr>
          <w:rFonts w:hint="eastAsia" w:ascii="宋体" w:hAnsi="宋体" w:eastAsia="宋体" w:cs="宋体"/>
        </w:rPr>
      </w:pPr>
      <w:bookmarkStart w:id="38" w:name="_Toc26648466"/>
      <w:bookmarkStart w:id="39" w:name="_Toc17233334"/>
      <w:bookmarkStart w:id="40" w:name="_Toc17233326"/>
      <w:bookmarkStart w:id="41" w:name="_Toc24884212"/>
      <w:bookmarkStart w:id="42" w:name="_Toc24884219"/>
      <w:r>
        <w:rPr>
          <w:rFonts w:hint="eastAsia" w:ascii="宋体" w:hAnsi="宋体" w:eastAsia="宋体" w:cs="宋体"/>
        </w:rPr>
        <w:t>本</w:t>
      </w:r>
      <w:r>
        <w:rPr>
          <w:rFonts w:hint="eastAsia" w:ascii="宋体" w:hAnsi="宋体" w:eastAsia="宋体" w:cs="宋体"/>
          <w:lang w:val="en-US" w:eastAsia="zh-CN"/>
        </w:rPr>
        <w:t>文件</w:t>
      </w:r>
      <w:r>
        <w:rPr>
          <w:rFonts w:hint="eastAsia" w:ascii="宋体" w:hAnsi="宋体" w:eastAsia="宋体" w:cs="宋体"/>
        </w:rPr>
        <w:t>规定了油气藏型地下储气库</w:t>
      </w:r>
      <w:r>
        <w:rPr>
          <w:rFonts w:hint="eastAsia" w:ascii="宋体" w:hAnsi="宋体" w:eastAsia="宋体" w:cs="宋体"/>
          <w:lang w:val="en-US" w:eastAsia="zh-CN"/>
        </w:rPr>
        <w:t>监测设备布置、</w:t>
      </w:r>
      <w:r>
        <w:rPr>
          <w:rFonts w:hint="eastAsia" w:ascii="宋体" w:hAnsi="宋体" w:eastAsia="宋体" w:cs="宋体"/>
        </w:rPr>
        <w:t>日常资料获取、日常运行、检测与评价、预警、</w:t>
      </w:r>
      <w:r>
        <w:rPr>
          <w:rFonts w:hint="eastAsia" w:ascii="宋体" w:hAnsi="宋体" w:eastAsia="宋体" w:cs="宋体"/>
          <w:lang w:val="en-US" w:eastAsia="zh-CN"/>
        </w:rPr>
        <w:t>监测与</w:t>
      </w:r>
      <w:r>
        <w:rPr>
          <w:rFonts w:hint="eastAsia" w:ascii="宋体" w:hAnsi="宋体" w:eastAsia="宋体" w:cs="宋体"/>
        </w:rPr>
        <w:t>预警</w:t>
      </w:r>
      <w:r>
        <w:rPr>
          <w:rFonts w:hint="eastAsia" w:ascii="宋体" w:hAnsi="宋体" w:eastAsia="宋体" w:cs="宋体"/>
          <w:lang w:val="en-US" w:eastAsia="zh-CN"/>
        </w:rPr>
        <w:t>相关</w:t>
      </w:r>
      <w:r>
        <w:rPr>
          <w:rFonts w:hint="eastAsia" w:ascii="宋体" w:hAnsi="宋体" w:eastAsia="宋体" w:cs="宋体"/>
        </w:rPr>
        <w:t>技术以及安全培训的主要内容和要求。</w:t>
      </w:r>
    </w:p>
    <w:p>
      <w:pPr>
        <w:pStyle w:val="56"/>
        <w:ind w:firstLine="420"/>
        <w:rPr>
          <w:rFonts w:hint="eastAsia" w:ascii="宋体" w:hAnsi="宋体" w:eastAsia="宋体" w:cs="宋体"/>
        </w:rPr>
      </w:pPr>
      <w:r>
        <w:rPr>
          <w:rFonts w:hint="eastAsia" w:ascii="宋体" w:hAnsi="宋体" w:eastAsia="宋体" w:cs="宋体"/>
          <w:lang w:eastAsia="zh-CN"/>
        </w:rPr>
        <w:t>本文件</w:t>
      </w:r>
      <w:r>
        <w:rPr>
          <w:rFonts w:hint="eastAsia" w:ascii="宋体" w:hAnsi="宋体" w:eastAsia="宋体" w:cs="宋体"/>
        </w:rPr>
        <w:t>适用于</w:t>
      </w:r>
      <w:r>
        <w:rPr>
          <w:rFonts w:hint="eastAsia" w:hAnsi="宋体" w:cs="宋体"/>
          <w:lang w:eastAsia="zh-CN"/>
        </w:rPr>
        <w:t>油气藏型地下储气库</w:t>
      </w:r>
      <w:r>
        <w:rPr>
          <w:rFonts w:hint="eastAsia" w:ascii="宋体" w:hAnsi="宋体" w:eastAsia="宋体" w:cs="宋体"/>
        </w:rPr>
        <w:t>的灾害监测和预警，其他类型储气库可参照执行。</w:t>
      </w:r>
    </w:p>
    <w:p>
      <w:pPr>
        <w:pStyle w:val="104"/>
        <w:spacing w:before="240" w:after="240"/>
      </w:pPr>
      <w:bookmarkStart w:id="43" w:name="_Toc26986772"/>
      <w:bookmarkStart w:id="44" w:name="_Toc26986531"/>
      <w:bookmarkStart w:id="45" w:name="_Toc26718931"/>
      <w:bookmarkStart w:id="46" w:name="_Toc154067161"/>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1B9F0A87FF374F1B89675B412EBFA6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2"/>
        <w:spacing w:after="60"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80"/>
        <w:rPr>
          <w:rFonts w:hint="eastAsia" w:ascii="宋体" w:hAnsi="宋体" w:eastAsia="宋体" w:cs="宋体"/>
          <w:sz w:val="21"/>
          <w:lang w:eastAsia="zh-CN"/>
        </w:rPr>
      </w:pPr>
      <w:bookmarkStart w:id="48" w:name="_Toc4308"/>
      <w:bookmarkStart w:id="49" w:name="_Toc30570"/>
      <w:r>
        <w:rPr>
          <w:rFonts w:hint="eastAsia" w:ascii="宋体" w:hAnsi="宋体" w:eastAsia="宋体" w:cs="宋体"/>
          <w:sz w:val="21"/>
          <w:lang w:eastAsia="zh-CN"/>
        </w:rPr>
        <w:t>GA 1166</w:t>
      </w:r>
      <w:r>
        <w:rPr>
          <w:rFonts w:hint="eastAsia" w:ascii="宋体" w:hAnsi="宋体" w:eastAsia="宋体" w:cs="宋体"/>
          <w:sz w:val="21"/>
          <w:lang w:val="en-US" w:eastAsia="zh-CN"/>
        </w:rPr>
        <w:t xml:space="preserve">-2014 </w:t>
      </w:r>
      <w:r>
        <w:rPr>
          <w:rFonts w:hint="eastAsia" w:ascii="宋体" w:hAnsi="宋体" w:eastAsia="宋体" w:cs="宋体"/>
          <w:sz w:val="21"/>
          <w:lang w:eastAsia="zh-CN"/>
        </w:rPr>
        <w:t>石油天然气管道系统治安风险等级和安全防范要求</w:t>
      </w:r>
      <w:bookmarkEnd w:id="48"/>
    </w:p>
    <w:p>
      <w:pPr>
        <w:ind w:firstLine="480"/>
        <w:rPr>
          <w:rFonts w:hint="eastAsia" w:ascii="宋体" w:hAnsi="宋体" w:eastAsia="宋体" w:cs="宋体"/>
          <w:sz w:val="21"/>
          <w:lang w:eastAsia="zh-CN"/>
        </w:rPr>
      </w:pPr>
      <w:r>
        <w:rPr>
          <w:rFonts w:hint="eastAsia" w:ascii="宋体" w:hAnsi="宋体" w:eastAsia="宋体" w:cs="宋体"/>
          <w:sz w:val="21"/>
          <w:lang w:eastAsia="zh-CN"/>
        </w:rPr>
        <w:t>SY/T 7642</w:t>
      </w:r>
      <w:r>
        <w:rPr>
          <w:rFonts w:hint="eastAsia" w:ascii="宋体" w:hAnsi="宋体" w:eastAsia="宋体" w:cs="宋体"/>
          <w:sz w:val="21"/>
          <w:lang w:val="en-US" w:eastAsia="zh-CN"/>
        </w:rPr>
        <w:t xml:space="preserve">-2021 </w:t>
      </w:r>
      <w:r>
        <w:rPr>
          <w:rFonts w:hint="eastAsia" w:ascii="宋体" w:hAnsi="宋体" w:eastAsia="宋体" w:cs="宋体"/>
          <w:sz w:val="21"/>
          <w:lang w:eastAsia="zh-CN"/>
        </w:rPr>
        <w:t>储气库术语</w:t>
      </w:r>
      <w:bookmarkEnd w:id="49"/>
    </w:p>
    <w:p>
      <w:pPr>
        <w:ind w:firstLine="480"/>
        <w:rPr>
          <w:rFonts w:hint="eastAsia" w:ascii="宋体" w:hAnsi="宋体" w:eastAsia="宋体" w:cs="宋体"/>
          <w:sz w:val="21"/>
          <w:lang w:eastAsia="zh-CN"/>
        </w:rPr>
      </w:pPr>
      <w:bookmarkStart w:id="50" w:name="_Toc28554"/>
      <w:r>
        <w:rPr>
          <w:rFonts w:hint="eastAsia" w:ascii="宋体" w:hAnsi="宋体" w:eastAsia="宋体" w:cs="宋体"/>
          <w:sz w:val="21"/>
          <w:lang w:eastAsia="zh-CN"/>
        </w:rPr>
        <w:t>SY/T 6176</w:t>
      </w:r>
      <w:r>
        <w:rPr>
          <w:rFonts w:hint="eastAsia" w:ascii="宋体" w:hAnsi="宋体" w:eastAsia="宋体" w:cs="宋体"/>
          <w:sz w:val="21"/>
          <w:lang w:val="en-US" w:eastAsia="zh-CN"/>
        </w:rPr>
        <w:t>-2012</w:t>
      </w:r>
      <w:r>
        <w:rPr>
          <w:rFonts w:hint="eastAsia" w:ascii="宋体" w:hAnsi="宋体" w:eastAsia="宋体" w:cs="宋体"/>
          <w:sz w:val="21"/>
          <w:lang w:eastAsia="zh-CN"/>
        </w:rPr>
        <w:t xml:space="preserve"> 气藏开发井资料录取技术规范</w:t>
      </w:r>
      <w:bookmarkEnd w:id="50"/>
    </w:p>
    <w:p>
      <w:pPr>
        <w:ind w:firstLine="480"/>
        <w:rPr>
          <w:rFonts w:hint="eastAsia" w:ascii="宋体" w:hAnsi="宋体" w:eastAsia="宋体" w:cs="宋体"/>
          <w:sz w:val="21"/>
          <w:lang w:eastAsia="zh-CN"/>
        </w:rPr>
      </w:pPr>
      <w:bookmarkStart w:id="51" w:name="_Toc242"/>
      <w:r>
        <w:rPr>
          <w:rFonts w:hint="eastAsia" w:ascii="宋体" w:hAnsi="宋体" w:eastAsia="宋体" w:cs="宋体"/>
          <w:sz w:val="21"/>
          <w:lang w:eastAsia="zh-CN"/>
        </w:rPr>
        <w:t>SY/T 6848</w:t>
      </w:r>
      <w:r>
        <w:rPr>
          <w:rFonts w:hint="eastAsia" w:ascii="宋体" w:hAnsi="宋体" w:eastAsia="宋体" w:cs="宋体"/>
          <w:sz w:val="21"/>
          <w:lang w:val="en-US" w:eastAsia="zh-CN"/>
        </w:rPr>
        <w:t xml:space="preserve">-2012 </w:t>
      </w:r>
      <w:r>
        <w:rPr>
          <w:rFonts w:hint="eastAsia" w:ascii="宋体" w:hAnsi="宋体" w:eastAsia="宋体" w:cs="宋体"/>
          <w:sz w:val="21"/>
          <w:lang w:eastAsia="zh-CN"/>
        </w:rPr>
        <w:t>地下储气库设计规范</w:t>
      </w:r>
      <w:bookmarkEnd w:id="51"/>
    </w:p>
    <w:p>
      <w:pPr>
        <w:ind w:firstLine="480"/>
        <w:rPr>
          <w:rFonts w:hint="eastAsia" w:ascii="宋体" w:hAnsi="宋体" w:eastAsia="宋体" w:cs="宋体"/>
          <w:sz w:val="21"/>
          <w:lang w:eastAsia="zh-CN"/>
        </w:rPr>
      </w:pPr>
      <w:bookmarkStart w:id="52" w:name="_Toc526"/>
      <w:r>
        <w:rPr>
          <w:rFonts w:hint="eastAsia" w:ascii="宋体" w:hAnsi="宋体" w:eastAsia="宋体" w:cs="宋体"/>
          <w:sz w:val="21"/>
          <w:lang w:eastAsia="zh-CN"/>
        </w:rPr>
        <w:t>SY/T 7645</w:t>
      </w:r>
      <w:r>
        <w:rPr>
          <w:rFonts w:hint="eastAsia" w:ascii="宋体" w:hAnsi="宋体" w:eastAsia="宋体" w:cs="宋体"/>
          <w:sz w:val="21"/>
          <w:lang w:val="en-US" w:eastAsia="zh-CN"/>
        </w:rPr>
        <w:t xml:space="preserve">-2021 </w:t>
      </w:r>
      <w:r>
        <w:rPr>
          <w:rFonts w:hint="eastAsia" w:ascii="宋体" w:hAnsi="宋体" w:eastAsia="宋体" w:cs="宋体"/>
          <w:sz w:val="21"/>
          <w:lang w:eastAsia="zh-CN"/>
        </w:rPr>
        <w:t>储气库井风险评价推荐做法</w:t>
      </w:r>
      <w:bookmarkEnd w:id="52"/>
    </w:p>
    <w:p>
      <w:pPr>
        <w:ind w:firstLine="480"/>
        <w:rPr>
          <w:rFonts w:hint="eastAsia" w:ascii="宋体" w:hAnsi="宋体" w:eastAsia="宋体" w:cs="宋体"/>
          <w:sz w:val="21"/>
          <w:lang w:eastAsia="zh-CN"/>
        </w:rPr>
      </w:pPr>
      <w:bookmarkStart w:id="53" w:name="_Toc13995"/>
      <w:r>
        <w:rPr>
          <w:rFonts w:hint="eastAsia" w:ascii="宋体" w:hAnsi="宋体" w:eastAsia="宋体" w:cs="宋体"/>
          <w:sz w:val="21"/>
          <w:lang w:eastAsia="zh-CN"/>
        </w:rPr>
        <w:t>SY/T 7647</w:t>
      </w:r>
      <w:r>
        <w:rPr>
          <w:rFonts w:hint="eastAsia" w:ascii="宋体" w:hAnsi="宋体" w:eastAsia="宋体" w:cs="宋体"/>
          <w:sz w:val="21"/>
          <w:lang w:val="en-US" w:eastAsia="zh-CN"/>
        </w:rPr>
        <w:t xml:space="preserve">-2021 </w:t>
      </w:r>
      <w:r>
        <w:rPr>
          <w:rFonts w:hint="eastAsia" w:ascii="宋体" w:hAnsi="宋体" w:eastAsia="宋体" w:cs="宋体"/>
          <w:sz w:val="21"/>
          <w:lang w:eastAsia="zh-CN"/>
        </w:rPr>
        <w:t>气藏型储气库地面工程设计规范</w:t>
      </w:r>
      <w:bookmarkEnd w:id="53"/>
    </w:p>
    <w:p>
      <w:pPr>
        <w:ind w:firstLine="480"/>
        <w:rPr>
          <w:rFonts w:hint="eastAsia" w:ascii="宋体" w:hAnsi="宋体" w:eastAsia="宋体" w:cs="宋体"/>
          <w:sz w:val="21"/>
          <w:lang w:eastAsia="zh-CN"/>
        </w:rPr>
      </w:pPr>
      <w:bookmarkStart w:id="54" w:name="_Toc10547"/>
      <w:r>
        <w:rPr>
          <w:rFonts w:hint="eastAsia" w:ascii="宋体" w:hAnsi="宋体" w:eastAsia="宋体" w:cs="宋体"/>
          <w:sz w:val="21"/>
          <w:lang w:eastAsia="zh-CN"/>
        </w:rPr>
        <w:t>SY/T 7648</w:t>
      </w:r>
      <w:r>
        <w:rPr>
          <w:rFonts w:hint="eastAsia" w:ascii="宋体" w:hAnsi="宋体" w:eastAsia="宋体" w:cs="宋体"/>
          <w:sz w:val="21"/>
          <w:lang w:val="en-US" w:eastAsia="zh-CN"/>
        </w:rPr>
        <w:t xml:space="preserve">-2021 </w:t>
      </w:r>
      <w:r>
        <w:rPr>
          <w:rFonts w:hint="eastAsia" w:ascii="宋体" w:hAnsi="宋体" w:eastAsia="宋体" w:cs="宋体"/>
          <w:sz w:val="21"/>
          <w:lang w:eastAsia="zh-CN"/>
        </w:rPr>
        <w:t>储气库井固井技术规范</w:t>
      </w:r>
      <w:bookmarkEnd w:id="54"/>
    </w:p>
    <w:p>
      <w:pPr>
        <w:ind w:firstLine="480"/>
        <w:rPr>
          <w:rFonts w:hint="eastAsia" w:ascii="宋体" w:hAnsi="宋体" w:eastAsia="宋体" w:cs="宋体"/>
          <w:sz w:val="21"/>
          <w:lang w:eastAsia="zh-CN"/>
        </w:rPr>
      </w:pPr>
      <w:bookmarkStart w:id="55" w:name="_Toc14317"/>
      <w:r>
        <w:rPr>
          <w:rFonts w:hint="eastAsia" w:ascii="宋体" w:hAnsi="宋体" w:eastAsia="宋体" w:cs="宋体"/>
          <w:sz w:val="21"/>
          <w:lang w:eastAsia="zh-CN"/>
        </w:rPr>
        <w:t>SY/T 7649</w:t>
      </w:r>
      <w:r>
        <w:rPr>
          <w:rFonts w:hint="eastAsia" w:ascii="宋体" w:hAnsi="宋体" w:eastAsia="宋体" w:cs="宋体"/>
          <w:sz w:val="21"/>
          <w:lang w:val="en-US" w:eastAsia="zh-CN"/>
        </w:rPr>
        <w:t>-2021</w:t>
      </w:r>
      <w:r>
        <w:rPr>
          <w:rFonts w:hint="eastAsia" w:ascii="宋体" w:hAnsi="宋体" w:eastAsia="宋体" w:cs="宋体"/>
          <w:sz w:val="21"/>
          <w:lang w:eastAsia="zh-CN"/>
        </w:rPr>
        <w:t xml:space="preserve"> 储气库气藏管理规范</w:t>
      </w:r>
      <w:bookmarkEnd w:id="55"/>
    </w:p>
    <w:p>
      <w:pPr>
        <w:ind w:firstLine="480"/>
        <w:rPr>
          <w:rFonts w:hint="eastAsia" w:ascii="宋体" w:hAnsi="宋体" w:eastAsia="宋体" w:cs="宋体"/>
          <w:sz w:val="21"/>
          <w:lang w:eastAsia="zh-CN"/>
        </w:rPr>
      </w:pPr>
      <w:bookmarkStart w:id="56" w:name="_Toc21112"/>
      <w:r>
        <w:rPr>
          <w:rFonts w:hint="eastAsia" w:ascii="宋体" w:hAnsi="宋体" w:eastAsia="宋体" w:cs="宋体"/>
          <w:sz w:val="21"/>
          <w:lang w:eastAsia="zh-CN"/>
        </w:rPr>
        <w:t>SY/T 7651</w:t>
      </w:r>
      <w:r>
        <w:rPr>
          <w:rFonts w:hint="eastAsia" w:ascii="宋体" w:hAnsi="宋体" w:eastAsia="宋体" w:cs="宋体"/>
          <w:sz w:val="21"/>
          <w:lang w:val="en-US" w:eastAsia="zh-CN"/>
        </w:rPr>
        <w:t>-2021</w:t>
      </w:r>
      <w:r>
        <w:rPr>
          <w:rFonts w:hint="eastAsia" w:ascii="宋体" w:hAnsi="宋体" w:eastAsia="宋体" w:cs="宋体"/>
          <w:sz w:val="21"/>
          <w:lang w:eastAsia="zh-CN"/>
        </w:rPr>
        <w:t xml:space="preserve"> 储气库井运行管理规范</w:t>
      </w:r>
      <w:bookmarkEnd w:id="56"/>
    </w:p>
    <w:p>
      <w:pPr>
        <w:ind w:firstLine="480"/>
        <w:rPr>
          <w:rFonts w:hint="eastAsia" w:ascii="宋体" w:hAnsi="宋体" w:eastAsia="宋体" w:cs="宋体"/>
          <w:sz w:val="21"/>
          <w:lang w:eastAsia="zh-CN"/>
        </w:rPr>
      </w:pPr>
      <w:bookmarkStart w:id="57" w:name="_Toc417"/>
      <w:r>
        <w:rPr>
          <w:rFonts w:hint="eastAsia" w:ascii="宋体" w:hAnsi="宋体" w:eastAsia="宋体" w:cs="宋体"/>
          <w:sz w:val="21"/>
          <w:lang w:eastAsia="zh-CN"/>
        </w:rPr>
        <w:t>SY/T 6805</w:t>
      </w:r>
      <w:r>
        <w:rPr>
          <w:rFonts w:hint="eastAsia" w:ascii="宋体" w:hAnsi="宋体" w:eastAsia="宋体" w:cs="宋体"/>
          <w:sz w:val="21"/>
          <w:lang w:val="en-US" w:eastAsia="zh-CN"/>
        </w:rPr>
        <w:t>-2017</w:t>
      </w:r>
      <w:r>
        <w:rPr>
          <w:rFonts w:hint="eastAsia" w:ascii="宋体" w:hAnsi="宋体" w:eastAsia="宋体" w:cs="宋体"/>
          <w:sz w:val="21"/>
          <w:lang w:eastAsia="zh-CN"/>
        </w:rPr>
        <w:t xml:space="preserve"> 油气藏型地下储气库安全技术规程</w:t>
      </w:r>
      <w:bookmarkEnd w:id="57"/>
    </w:p>
    <w:p>
      <w:pPr>
        <w:ind w:firstLine="480"/>
        <w:rPr>
          <w:rFonts w:hint="eastAsia" w:ascii="宋体" w:hAnsi="宋体" w:eastAsia="宋体" w:cs="宋体"/>
          <w:sz w:val="21"/>
          <w:lang w:eastAsia="zh-CN"/>
        </w:rPr>
      </w:pPr>
      <w:bookmarkStart w:id="58" w:name="_Toc16124"/>
      <w:r>
        <w:rPr>
          <w:rFonts w:hint="eastAsia" w:ascii="宋体" w:hAnsi="宋体" w:eastAsia="宋体" w:cs="宋体"/>
          <w:sz w:val="21"/>
          <w:lang w:eastAsia="zh-CN"/>
        </w:rPr>
        <w:t>SY/T 6756</w:t>
      </w:r>
      <w:r>
        <w:rPr>
          <w:rFonts w:hint="eastAsia" w:ascii="宋体" w:hAnsi="宋体" w:eastAsia="宋体" w:cs="宋体"/>
          <w:sz w:val="21"/>
          <w:lang w:val="en-US" w:eastAsia="zh-CN"/>
        </w:rPr>
        <w:t>-2009</w:t>
      </w:r>
      <w:r>
        <w:rPr>
          <w:rFonts w:hint="eastAsia" w:ascii="宋体" w:hAnsi="宋体" w:eastAsia="宋体" w:cs="宋体"/>
          <w:sz w:val="21"/>
          <w:lang w:eastAsia="zh-CN"/>
        </w:rPr>
        <w:t xml:space="preserve"> 油气藏改建地下储气库注采井修井作业规范</w:t>
      </w:r>
      <w:bookmarkEnd w:id="58"/>
    </w:p>
    <w:p>
      <w:pPr>
        <w:pStyle w:val="104"/>
        <w:spacing w:before="240" w:after="240"/>
      </w:pPr>
      <w:bookmarkStart w:id="59" w:name="_Toc154067162"/>
      <w:bookmarkStart w:id="60" w:name="_Toc97192966"/>
      <w:r>
        <w:rPr>
          <w:rFonts w:hint="eastAsia"/>
          <w:szCs w:val="21"/>
        </w:rPr>
        <w:t>术语和定义</w:t>
      </w:r>
      <w:bookmarkEnd w:id="59"/>
      <w:bookmarkEnd w:id="60"/>
    </w:p>
    <w:sdt>
      <w:sdtPr>
        <w:id w:val="-1909835108"/>
        <w:placeholder>
          <w:docPart w:val="6BE2362F0AB245C895EC2B080D5532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rPr>
              <w:rFonts w:hint="eastAsia" w:ascii="宋体" w:hAnsi="宋体" w:eastAsia="宋体" w:cs="宋体"/>
              <w:sz w:val="21"/>
              <w:lang w:val="en-US" w:eastAsia="zh-CN" w:bidi="ar-SA"/>
            </w:rPr>
          </w:pPr>
          <w:bookmarkStart w:id="61" w:name="_Toc26986532"/>
          <w:bookmarkEnd w:id="61"/>
          <w:r>
            <w:rPr>
              <w:rFonts w:ascii="宋体" w:hAnsi="Times New Roman" w:eastAsia="宋体" w:cs="Times New Roman"/>
              <w:sz w:val="21"/>
              <w:lang w:val="en-US" w:eastAsia="zh-CN" w:bidi="ar-SA"/>
            </w:rPr>
            <w:t>下列术语和定义适用于本文件。</w:t>
          </w:r>
        </w:p>
      </w:sdtContent>
    </w:sdt>
    <w:p>
      <w:pPr>
        <w:pStyle w:val="105"/>
        <w:spacing w:before="156" w:after="156" w:line="360" w:lineRule="auto"/>
        <w:rPr>
          <w:lang w:eastAsia="zh-TW"/>
        </w:rPr>
      </w:pPr>
      <w:bookmarkStart w:id="62" w:name="_Toc1893"/>
      <w:bookmarkStart w:id="63" w:name="_Toc22666"/>
      <w:bookmarkStart w:id="64" w:name="_Toc21732"/>
      <w:bookmarkStart w:id="65" w:name="_Toc24831"/>
      <w:r>
        <w:rPr>
          <w:rFonts w:hint="eastAsia"/>
          <w:lang w:eastAsia="zh-TW"/>
        </w:rPr>
        <w:t>工作气量</w:t>
      </w:r>
      <w:bookmarkEnd w:id="62"/>
      <w:bookmarkEnd w:id="63"/>
      <w:bookmarkEnd w:id="64"/>
      <w:bookmarkEnd w:id="65"/>
    </w:p>
    <w:p>
      <w:pPr>
        <w:pStyle w:val="232"/>
        <w:spacing w:after="60" w:line="360" w:lineRule="auto"/>
        <w:ind w:firstLine="420"/>
        <w:rPr>
          <w:rFonts w:hint="eastAsia" w:ascii="Times New Roman" w:hAnsi="Times New Roman" w:eastAsia="宋体" w:cs="Times New Roman"/>
          <w:snapToGrid w:val="0"/>
          <w:color w:val="000000"/>
          <w:kern w:val="0"/>
          <w:sz w:val="21"/>
          <w:szCs w:val="21"/>
          <w:lang w:val="en-US" w:eastAsia="zh-TW"/>
        </w:rPr>
      </w:pPr>
      <w:r>
        <w:rPr>
          <w:rFonts w:hint="eastAsia" w:ascii="Times New Roman" w:hAnsi="Times New Roman" w:eastAsia="宋体" w:cs="Times New Roman"/>
          <w:snapToGrid w:val="0"/>
          <w:color w:val="000000"/>
          <w:kern w:val="0"/>
          <w:sz w:val="21"/>
          <w:szCs w:val="21"/>
          <w:lang w:val="en-US" w:eastAsia="zh-CN"/>
        </w:rPr>
        <w:t>储气库从上限压力运行到下限压力时采出的天然气量在标准参比条件下的体积</w:t>
      </w:r>
      <w:r>
        <w:rPr>
          <w:rFonts w:hint="eastAsia" w:ascii="Times New Roman" w:hAnsi="Times New Roman" w:eastAsia="宋体" w:cs="Times New Roman"/>
          <w:snapToGrid w:val="0"/>
          <w:color w:val="000000"/>
          <w:kern w:val="0"/>
          <w:sz w:val="21"/>
          <w:szCs w:val="21"/>
          <w:lang w:val="en-US" w:eastAsia="zh-TW"/>
        </w:rPr>
        <w:t>。</w:t>
      </w:r>
    </w:p>
    <w:p>
      <w:pPr>
        <w:pStyle w:val="105"/>
        <w:spacing w:before="156" w:after="156" w:line="360" w:lineRule="auto"/>
        <w:rPr>
          <w:lang w:eastAsia="zh-TW"/>
        </w:rPr>
      </w:pPr>
      <w:bookmarkStart w:id="66" w:name="_Toc24023"/>
      <w:bookmarkStart w:id="67" w:name="_Toc11572"/>
      <w:bookmarkStart w:id="68" w:name="_Toc29701"/>
      <w:bookmarkStart w:id="69" w:name="_Toc28867"/>
      <w:r>
        <w:rPr>
          <w:rFonts w:hint="eastAsia"/>
          <w:lang w:eastAsia="zh-TW"/>
        </w:rPr>
        <w:t>储气库运行压力</w:t>
      </w:r>
      <w:bookmarkEnd w:id="66"/>
      <w:bookmarkEnd w:id="67"/>
      <w:bookmarkEnd w:id="68"/>
      <w:bookmarkEnd w:id="69"/>
    </w:p>
    <w:p>
      <w:pPr>
        <w:ind w:firstLine="480"/>
        <w:rPr>
          <w:rFonts w:hint="eastAsia" w:ascii="Times New Roman" w:hAnsi="Times New Roman" w:eastAsia="宋体" w:cs="Times New Roman"/>
          <w:sz w:val="21"/>
          <w:lang w:eastAsia="zh-TW"/>
        </w:rPr>
      </w:pPr>
      <w:r>
        <w:rPr>
          <w:rFonts w:hint="eastAsia" w:ascii="Times New Roman" w:hAnsi="Times New Roman" w:eastAsia="宋体" w:cs="Times New Roman"/>
          <w:sz w:val="21"/>
          <w:lang w:eastAsia="zh-TW"/>
        </w:rPr>
        <w:t>地下储气库保持安全高效运行的最小、最大地层压力区间。其中:</w:t>
      </w:r>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TW"/>
        </w:rPr>
        <w:t>运行上限压力(maximum pressure)为根据地质/工艺条件和完整性要求，储气库方案设计的最大地层压力</w:t>
      </w:r>
      <w:r>
        <w:rPr>
          <w:rFonts w:hint="eastAsia" w:ascii="Times New Roman" w:hAnsi="Times New Roman" w:eastAsia="宋体" w:cs="Times New Roman"/>
          <w:sz w:val="21"/>
          <w:lang w:eastAsia="zh-CN"/>
        </w:rPr>
        <w:t>。</w:t>
      </w:r>
    </w:p>
    <w:p>
      <w:pPr>
        <w:ind w:firstLine="480"/>
        <w:rPr>
          <w:rFonts w:hint="eastAsia" w:ascii="Times New Roman" w:hAnsi="Times New Roman" w:eastAsia="宋体" w:cs="Times New Roman"/>
          <w:sz w:val="21"/>
          <w:lang w:eastAsia="zh-TW"/>
        </w:rPr>
      </w:pPr>
      <w:r>
        <w:rPr>
          <w:rFonts w:hint="eastAsia" w:ascii="Times New Roman" w:hAnsi="Times New Roman" w:eastAsia="宋体" w:cs="Times New Roman"/>
          <w:sz w:val="21"/>
          <w:lang w:eastAsia="zh-TW"/>
        </w:rPr>
        <w:t>运行下限压力(minimum pressure）为根据地质/工艺条件和完整性要求，储气库方案设计的最</w:t>
      </w:r>
      <w:r>
        <w:rPr>
          <w:rFonts w:hint="eastAsia" w:ascii="Times New Roman" w:hAnsi="Times New Roman" w:eastAsia="宋体" w:cs="Times New Roman"/>
          <w:sz w:val="21"/>
          <w:lang w:eastAsia="zh-CN"/>
        </w:rPr>
        <w:t>小</w:t>
      </w:r>
      <w:r>
        <w:rPr>
          <w:rFonts w:hint="eastAsia" w:ascii="Times New Roman" w:hAnsi="Times New Roman" w:eastAsia="宋体" w:cs="Times New Roman"/>
          <w:sz w:val="21"/>
          <w:lang w:eastAsia="zh-TW"/>
        </w:rPr>
        <w:t>地层压力</w:t>
      </w:r>
    </w:p>
    <w:p>
      <w:pPr>
        <w:pStyle w:val="105"/>
        <w:spacing w:before="156" w:after="156" w:line="360" w:lineRule="auto"/>
      </w:pPr>
      <w:bookmarkStart w:id="70" w:name="_Toc8210"/>
      <w:bookmarkStart w:id="71" w:name="_Toc21761"/>
      <w:bookmarkStart w:id="72" w:name="_Toc9729"/>
      <w:bookmarkStart w:id="73" w:name="_Toc4569"/>
      <w:r>
        <w:rPr>
          <w:rFonts w:hint="eastAsia"/>
        </w:rPr>
        <w:t>排水井</w:t>
      </w:r>
      <w:bookmarkEnd w:id="70"/>
      <w:bookmarkEnd w:id="71"/>
      <w:bookmarkEnd w:id="72"/>
      <w:bookmarkEnd w:id="73"/>
    </w:p>
    <w:p>
      <w:pPr>
        <w:ind w:firstLine="420"/>
        <w:rPr>
          <w:rFonts w:ascii="宋体"/>
          <w:color w:val="auto"/>
          <w:sz w:val="21"/>
          <w:szCs w:val="20"/>
          <w:lang w:eastAsia="zh-CN" w:bidi="ar-SA"/>
        </w:rPr>
      </w:pPr>
      <w:r>
        <w:rPr>
          <w:rFonts w:hint="eastAsia" w:ascii="Times New Roman" w:hAnsi="Times New Roman" w:eastAsia="宋体" w:cs="Times New Roman"/>
          <w:sz w:val="21"/>
          <w:lang w:eastAsia="zh-CN"/>
        </w:rPr>
        <w:t>设计用于排出地下储气库地层水的井。</w:t>
      </w:r>
    </w:p>
    <w:p>
      <w:pPr>
        <w:pStyle w:val="105"/>
        <w:spacing w:before="156" w:after="156" w:line="360" w:lineRule="auto"/>
        <w:rPr>
          <w:kern w:val="2"/>
        </w:rPr>
      </w:pPr>
      <w:bookmarkStart w:id="74" w:name="_Toc18907"/>
      <w:bookmarkStart w:id="75" w:name="_Toc1057"/>
      <w:bookmarkStart w:id="76" w:name="_Toc12957"/>
      <w:bookmarkStart w:id="77" w:name="_Toc27639"/>
      <w:r>
        <w:rPr>
          <w:rFonts w:hint="eastAsia"/>
        </w:rPr>
        <w:t>注采井</w:t>
      </w:r>
      <w:bookmarkEnd w:id="74"/>
      <w:bookmarkEnd w:id="75"/>
      <w:bookmarkEnd w:id="76"/>
      <w:bookmarkEnd w:id="77"/>
      <w:r>
        <w:rPr>
          <w:rFonts w:hint="eastAsia"/>
        </w:rPr>
        <w:tab/>
      </w:r>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具有注气和采气功能的井。</w:t>
      </w:r>
    </w:p>
    <w:p>
      <w:pPr>
        <w:pStyle w:val="105"/>
        <w:spacing w:before="156" w:after="156" w:line="360" w:lineRule="auto"/>
        <w:rPr>
          <w:kern w:val="2"/>
        </w:rPr>
      </w:pPr>
      <w:bookmarkStart w:id="78" w:name="_Toc16465"/>
      <w:bookmarkStart w:id="79" w:name="_Toc15002"/>
      <w:bookmarkStart w:id="80" w:name="_Toc12798"/>
      <w:bookmarkStart w:id="81" w:name="_Toc4893"/>
      <w:r>
        <w:rPr>
          <w:rFonts w:hint="eastAsia"/>
        </w:rPr>
        <w:t>监测井</w:t>
      </w:r>
      <w:bookmarkEnd w:id="78"/>
      <w:bookmarkEnd w:id="79"/>
      <w:bookmarkEnd w:id="80"/>
      <w:bookmarkEnd w:id="81"/>
      <w:r>
        <w:rPr>
          <w:rFonts w:hint="eastAsia"/>
          <w:kern w:val="2"/>
        </w:rPr>
        <w:tab/>
      </w:r>
    </w:p>
    <w:p>
      <w:pPr>
        <w:ind w:firstLine="480"/>
        <w:rPr>
          <w:rFonts w:hint="eastAsia" w:ascii="Times New Roman" w:hAnsi="Times New Roman" w:eastAsia="宋体" w:cs="Times New Roman"/>
          <w:sz w:val="21"/>
          <w:lang w:eastAsia="zh-CN"/>
        </w:rPr>
      </w:pPr>
      <w:bookmarkStart w:id="82" w:name="_Toc6298"/>
      <w:bookmarkStart w:id="83" w:name="_Toc30041"/>
      <w:bookmarkStart w:id="84" w:name="_Toc17814"/>
      <w:bookmarkStart w:id="85" w:name="_Toc8143"/>
      <w:bookmarkStart w:id="86" w:name="_Toc29231"/>
      <w:bookmarkStart w:id="87" w:name="_Toc25940"/>
      <w:bookmarkStart w:id="88" w:name="_Toc27366"/>
      <w:bookmarkStart w:id="89" w:name="_Toc28300"/>
      <w:r>
        <w:rPr>
          <w:rFonts w:hint="eastAsia" w:ascii="Times New Roman" w:hAnsi="Times New Roman" w:eastAsia="宋体" w:cs="Times New Roman"/>
          <w:sz w:val="21"/>
          <w:lang w:eastAsia="zh-CN"/>
        </w:rPr>
        <w:t>用于监测储气库注采动态、密封性、流体运移等不同功能的井。</w:t>
      </w:r>
      <w:bookmarkEnd w:id="82"/>
      <w:bookmarkEnd w:id="83"/>
      <w:bookmarkEnd w:id="84"/>
      <w:bookmarkEnd w:id="85"/>
      <w:bookmarkEnd w:id="86"/>
      <w:bookmarkEnd w:id="87"/>
      <w:bookmarkEnd w:id="88"/>
      <w:bookmarkEnd w:id="89"/>
    </w:p>
    <w:p>
      <w:pPr>
        <w:pStyle w:val="105"/>
        <w:spacing w:before="156" w:after="156" w:line="360" w:lineRule="auto"/>
      </w:pPr>
      <w:bookmarkStart w:id="90" w:name="_Toc25386"/>
      <w:bookmarkStart w:id="91" w:name="_Toc7945"/>
      <w:bookmarkStart w:id="92" w:name="_Toc30882"/>
      <w:bookmarkStart w:id="93" w:name="_Toc17670"/>
      <w:r>
        <w:rPr>
          <w:rFonts w:hint="eastAsia"/>
        </w:rPr>
        <w:t>封堵井</w:t>
      </w:r>
      <w:bookmarkEnd w:id="90"/>
      <w:bookmarkEnd w:id="91"/>
      <w:bookmarkEnd w:id="92"/>
      <w:bookmarkEnd w:id="93"/>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为确保储气库完整性而进行封堵作业的井。</w:t>
      </w:r>
    </w:p>
    <w:p>
      <w:pPr>
        <w:pStyle w:val="105"/>
        <w:spacing w:before="156" w:after="156" w:line="360" w:lineRule="auto"/>
      </w:pPr>
      <w:bookmarkStart w:id="94" w:name="_Toc19063"/>
      <w:bookmarkStart w:id="95" w:name="_Toc27265"/>
      <w:bookmarkStart w:id="96" w:name="_Toc6616"/>
      <w:bookmarkStart w:id="97" w:name="_Toc27195"/>
      <w:r>
        <w:rPr>
          <w:rFonts w:hint="eastAsia"/>
        </w:rPr>
        <w:t>集注站</w:t>
      </w:r>
      <w:bookmarkEnd w:id="94"/>
      <w:bookmarkEnd w:id="95"/>
      <w:bookmarkEnd w:id="96"/>
      <w:bookmarkEnd w:id="97"/>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用于对地下储气库采出的井流物进行集气、分离、净化、外输，以及对外部管道来气增压后注入地下储气库的地面场站。</w:t>
      </w:r>
    </w:p>
    <w:p>
      <w:pPr>
        <w:pStyle w:val="105"/>
        <w:spacing w:before="156" w:after="156" w:line="360" w:lineRule="auto"/>
      </w:pPr>
      <w:bookmarkStart w:id="98" w:name="_Toc23631"/>
      <w:bookmarkStart w:id="99" w:name="_Toc17004"/>
      <w:bookmarkStart w:id="100" w:name="_Toc7986"/>
      <w:bookmarkStart w:id="101" w:name="_Toc16754"/>
      <w:r>
        <w:rPr>
          <w:rFonts w:hint="eastAsia"/>
        </w:rPr>
        <w:t>安全预警</w:t>
      </w:r>
      <w:bookmarkEnd w:id="98"/>
      <w:bookmarkEnd w:id="99"/>
      <w:bookmarkEnd w:id="100"/>
      <w:bookmarkEnd w:id="101"/>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在油气管道遭到外部入侵或损坏之前进行报警和定位。</w:t>
      </w:r>
    </w:p>
    <w:p>
      <w:pPr>
        <w:pStyle w:val="105"/>
        <w:spacing w:before="156" w:after="156" w:line="360" w:lineRule="auto"/>
      </w:pPr>
      <w:bookmarkStart w:id="102" w:name="_Toc14850"/>
      <w:bookmarkStart w:id="103" w:name="_Toc8520"/>
      <w:bookmarkStart w:id="104" w:name="_Toc6085"/>
      <w:bookmarkStart w:id="105" w:name="_Toc11179"/>
      <w:r>
        <w:rPr>
          <w:rFonts w:hint="eastAsia"/>
        </w:rPr>
        <w:t>监控中心</w:t>
      </w:r>
      <w:bookmarkEnd w:id="102"/>
      <w:bookmarkEnd w:id="103"/>
      <w:bookmarkEnd w:id="104"/>
      <w:bookmarkEnd w:id="105"/>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接收处理安全预警系统信息、处置报警事件、管理控制系统设备的控制室。</w:t>
      </w:r>
    </w:p>
    <w:p>
      <w:pPr>
        <w:pStyle w:val="105"/>
        <w:spacing w:before="156" w:after="156" w:line="360" w:lineRule="auto"/>
      </w:pPr>
      <w:bookmarkStart w:id="106" w:name="_Toc11716"/>
      <w:bookmarkStart w:id="107" w:name="_Toc32665"/>
      <w:r>
        <w:rPr>
          <w:rFonts w:hint="eastAsia"/>
        </w:rPr>
        <w:t>盖层突破压力</w:t>
      </w:r>
      <w:bookmarkEnd w:id="106"/>
      <w:bookmarkEnd w:id="107"/>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对储层施加的压力达到使盖层破裂的临界值。</w:t>
      </w:r>
    </w:p>
    <w:p>
      <w:pPr>
        <w:pStyle w:val="105"/>
        <w:spacing w:before="156" w:after="156" w:line="360" w:lineRule="auto"/>
      </w:pPr>
      <w:bookmarkStart w:id="108" w:name="_Toc9707"/>
      <w:bookmarkStart w:id="109" w:name="_Toc24974"/>
      <w:r>
        <w:rPr>
          <w:rFonts w:hint="eastAsia"/>
        </w:rPr>
        <w:t>断层临界压力</w:t>
      </w:r>
      <w:bookmarkEnd w:id="108"/>
      <w:bookmarkEnd w:id="109"/>
    </w:p>
    <w:p>
      <w:pPr>
        <w:ind w:firstLine="420"/>
        <w:rPr>
          <w:rFonts w:ascii="宋体"/>
          <w:color w:val="auto"/>
          <w:sz w:val="21"/>
          <w:szCs w:val="20"/>
          <w:lang w:eastAsia="zh-CN" w:bidi="ar-SA"/>
        </w:rPr>
      </w:pPr>
      <w:r>
        <w:rPr>
          <w:rFonts w:hint="eastAsia" w:ascii="Times New Roman" w:hAnsi="Times New Roman" w:eastAsia="宋体" w:cs="Times New Roman"/>
          <w:sz w:val="21"/>
          <w:lang w:eastAsia="zh-CN"/>
        </w:rPr>
        <w:t>对储层施加的压力达到使断层重新活动或产生新的断层的临界值。</w:t>
      </w:r>
    </w:p>
    <w:p>
      <w:pPr>
        <w:pStyle w:val="105"/>
        <w:spacing w:before="156" w:after="156" w:line="360" w:lineRule="auto"/>
      </w:pPr>
      <w:bookmarkStart w:id="110" w:name="_Toc25292"/>
      <w:bookmarkStart w:id="111" w:name="_Toc6487"/>
      <w:r>
        <w:rPr>
          <w:rFonts w:hint="eastAsia"/>
        </w:rPr>
        <w:t>边界地层密封性压力</w:t>
      </w:r>
      <w:bookmarkEnd w:id="110"/>
      <w:bookmarkEnd w:id="111"/>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对储层施加的压力达到使边界地层失去密封性的临界值。</w:t>
      </w:r>
    </w:p>
    <w:p>
      <w:pPr>
        <w:pStyle w:val="105"/>
        <w:spacing w:before="156" w:after="156" w:line="360" w:lineRule="auto"/>
      </w:pPr>
      <w:bookmarkStart w:id="112" w:name="_Toc19804"/>
      <w:bookmarkStart w:id="113" w:name="_Toc20335"/>
      <w:r>
        <w:rPr>
          <w:rFonts w:hint="eastAsia"/>
        </w:rPr>
        <w:t>圈闭溢出点压力</w:t>
      </w:r>
      <w:bookmarkEnd w:id="112"/>
      <w:bookmarkEnd w:id="113"/>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对储层施加的压力达到使圈闭中的油气溢出的临界值。</w:t>
      </w:r>
    </w:p>
    <w:p>
      <w:pPr>
        <w:pStyle w:val="105"/>
        <w:spacing w:before="156" w:after="156" w:line="360" w:lineRule="auto"/>
      </w:pPr>
      <w:bookmarkStart w:id="114" w:name="_Toc541"/>
      <w:bookmarkStart w:id="115" w:name="_Toc9696"/>
      <w:r>
        <w:rPr>
          <w:rFonts w:hint="eastAsia"/>
        </w:rPr>
        <w:t>数字孪生</w:t>
      </w:r>
      <w:bookmarkEnd w:id="114"/>
      <w:bookmarkEnd w:id="115"/>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一种通过将物理对象、系统或流程的数字模型与其实际实体进行实时连接，从而实现对实体的实时监控、分析和优化的技术。</w:t>
      </w:r>
    </w:p>
    <w:p>
      <w:pPr>
        <w:pStyle w:val="105"/>
        <w:spacing w:before="156" w:after="156" w:line="360" w:lineRule="auto"/>
      </w:pPr>
      <w:bookmarkStart w:id="116" w:name="_Toc11456"/>
      <w:bookmarkStart w:id="117" w:name="_Toc30588"/>
      <w:bookmarkStart w:id="118" w:name="_Toc17711"/>
      <w:bookmarkStart w:id="119" w:name="_Toc15967"/>
      <w:r>
        <w:rPr>
          <w:rFonts w:hint="eastAsia"/>
        </w:rPr>
        <w:t>地面沉降监测仪</w:t>
      </w:r>
      <w:bookmarkEnd w:id="116"/>
      <w:bookmarkEnd w:id="117"/>
      <w:bookmarkEnd w:id="118"/>
      <w:bookmarkEnd w:id="119"/>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用于监测地面沉降和变形的仪器。</w:t>
      </w:r>
    </w:p>
    <w:p>
      <w:pPr>
        <w:pStyle w:val="105"/>
        <w:spacing w:before="156" w:after="156" w:line="360" w:lineRule="auto"/>
      </w:pPr>
      <w:bookmarkStart w:id="120" w:name="_Toc21307"/>
      <w:bookmarkStart w:id="121" w:name="_Toc19068"/>
      <w:bookmarkStart w:id="122" w:name="_Toc31793"/>
      <w:bookmarkStart w:id="123" w:name="_Toc22606"/>
      <w:r>
        <w:rPr>
          <w:rFonts w:hint="eastAsia"/>
        </w:rPr>
        <w:t>大数据分析</w:t>
      </w:r>
      <w:bookmarkEnd w:id="120"/>
      <w:bookmarkEnd w:id="121"/>
      <w:bookmarkEnd w:id="122"/>
      <w:bookmarkEnd w:id="123"/>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通过收集、处理和分析海量数据，为储气库运行提供智能预警和决策支持的技术。</w:t>
      </w:r>
    </w:p>
    <w:p>
      <w:pPr>
        <w:pStyle w:val="105"/>
        <w:spacing w:before="156" w:after="156" w:line="360" w:lineRule="auto"/>
      </w:pPr>
      <w:bookmarkStart w:id="124" w:name="_Toc27695"/>
      <w:bookmarkStart w:id="125" w:name="_Toc254"/>
      <w:bookmarkStart w:id="126" w:name="_Toc30011"/>
      <w:bookmarkStart w:id="127" w:name="_Toc20389"/>
      <w:r>
        <w:rPr>
          <w:rFonts w:hint="eastAsia"/>
        </w:rPr>
        <w:t>无线传感器网络</w:t>
      </w:r>
      <w:bookmarkEnd w:id="124"/>
      <w:bookmarkEnd w:id="125"/>
      <w:bookmarkEnd w:id="126"/>
      <w:bookmarkEnd w:id="127"/>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利用无线传感器收集和传输储气库运行数据的技术。</w:t>
      </w:r>
    </w:p>
    <w:p>
      <w:pPr>
        <w:pStyle w:val="105"/>
        <w:spacing w:before="156" w:after="156" w:line="360" w:lineRule="auto"/>
      </w:pPr>
      <w:bookmarkStart w:id="128" w:name="_Toc309"/>
      <w:bookmarkStart w:id="129" w:name="_Toc15722"/>
      <w:bookmarkStart w:id="130" w:name="_Toc9314"/>
      <w:bookmarkStart w:id="131" w:name="_Toc30136"/>
      <w:r>
        <w:rPr>
          <w:rFonts w:hint="eastAsia"/>
        </w:rPr>
        <w:t>数据采集</w:t>
      </w:r>
      <w:bookmarkEnd w:id="128"/>
      <w:bookmarkEnd w:id="129"/>
      <w:bookmarkEnd w:id="130"/>
      <w:bookmarkEnd w:id="131"/>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通过传感器等设备，将环境和事件数据进行收集、记录和存储。</w:t>
      </w:r>
    </w:p>
    <w:p>
      <w:pPr>
        <w:pStyle w:val="105"/>
        <w:spacing w:before="156" w:after="156" w:line="360" w:lineRule="auto"/>
      </w:pPr>
      <w:bookmarkStart w:id="132" w:name="_Toc28776"/>
      <w:bookmarkStart w:id="133" w:name="_Toc3172"/>
      <w:bookmarkStart w:id="134" w:name="_Toc19815"/>
      <w:bookmarkStart w:id="135" w:name="_Toc7536"/>
      <w:r>
        <w:rPr>
          <w:rFonts w:hint="eastAsia"/>
        </w:rPr>
        <w:t>风险评估</w:t>
      </w:r>
      <w:bookmarkEnd w:id="132"/>
      <w:bookmarkEnd w:id="133"/>
      <w:bookmarkEnd w:id="134"/>
      <w:bookmarkEnd w:id="135"/>
    </w:p>
    <w:p>
      <w:pPr>
        <w:ind w:firstLine="480"/>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一种对可能出现的风险进行评估和分析的方法，帮助人们预测和预防潜在危险。</w:t>
      </w:r>
    </w:p>
    <w:p>
      <w:pPr>
        <w:pStyle w:val="104"/>
        <w:spacing w:before="312" w:after="312" w:line="360" w:lineRule="auto"/>
        <w:rPr>
          <w:rFonts w:hint="eastAsia"/>
          <w:lang w:eastAsia="zh-CN"/>
        </w:rPr>
      </w:pPr>
      <w:bookmarkStart w:id="136" w:name="_Toc19087"/>
      <w:bookmarkStart w:id="137" w:name="_Toc30520"/>
      <w:r>
        <w:rPr>
          <w:rFonts w:hint="eastAsia"/>
          <w:lang w:val="en-US" w:eastAsia="zh-CN"/>
        </w:rPr>
        <w:t>工作</w:t>
      </w:r>
      <w:r>
        <w:rPr>
          <w:rFonts w:hint="eastAsia"/>
          <w:lang w:eastAsia="zh-CN"/>
        </w:rPr>
        <w:t>流程</w:t>
      </w:r>
      <w:bookmarkEnd w:id="136"/>
      <w:bookmarkEnd w:id="137"/>
    </w:p>
    <w:p>
      <w:pPr>
        <w:pStyle w:val="105"/>
        <w:spacing w:before="156" w:after="156" w:line="360" w:lineRule="auto"/>
        <w:rPr>
          <w:rFonts w:hint="eastAsia"/>
          <w:lang w:eastAsia="zh-CN"/>
        </w:rPr>
      </w:pPr>
      <w:bookmarkStart w:id="138" w:name="_Toc14786"/>
      <w:bookmarkStart w:id="139" w:name="_Toc25296"/>
      <w:r>
        <w:rPr>
          <w:rFonts w:hint="eastAsia"/>
          <w:lang w:val="en-US" w:eastAsia="zh-CN"/>
        </w:rPr>
        <w:t>监测设备布置</w:t>
      </w:r>
      <w:bookmarkEnd w:id="138"/>
      <w:bookmarkEnd w:id="13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根据储气库的结构和特点，确定监测设备的布置方案，包括数字孪生技术、管道光纤预警技术、微地震监测技术、INSAR地面形变监测技术、激光光谱技术、电阻探针腐蚀监测技术等。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根据监测要求，在储气库的关键位置安装传感器和监测设备，确保监测覆盖范围和准确性。</w:t>
      </w:r>
    </w:p>
    <w:p>
      <w:pPr>
        <w:pStyle w:val="105"/>
        <w:spacing w:before="156" w:after="156" w:line="360" w:lineRule="auto"/>
        <w:rPr>
          <w:rFonts w:hint="eastAsia"/>
          <w:lang w:val="en-US" w:eastAsia="zh-CN"/>
        </w:rPr>
      </w:pPr>
      <w:bookmarkStart w:id="140" w:name="_Toc12452"/>
      <w:bookmarkStart w:id="141" w:name="_Toc23145"/>
      <w:r>
        <w:rPr>
          <w:rFonts w:hint="eastAsia"/>
          <w:lang w:val="en-US" w:eastAsia="zh-CN"/>
        </w:rPr>
        <w:t>日常资料获取</w:t>
      </w:r>
      <w:bookmarkEnd w:id="140"/>
      <w:bookmarkEnd w:id="14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设立日常数据采集计划，收集与储气库运行相关的数据，包括压力、温度、流量、液位、地面形变、管道腐蚀等参数。使用自动化系统或手动记录方式获取数据，并进行存档备查。</w:t>
      </w:r>
    </w:p>
    <w:p>
      <w:pPr>
        <w:pStyle w:val="105"/>
        <w:spacing w:before="156" w:after="156" w:line="360" w:lineRule="auto"/>
        <w:rPr>
          <w:rFonts w:hint="eastAsia"/>
          <w:lang w:val="en-US" w:eastAsia="zh-CN"/>
        </w:rPr>
      </w:pPr>
      <w:bookmarkStart w:id="142" w:name="_Toc1577"/>
      <w:bookmarkStart w:id="143" w:name="_Toc22326"/>
      <w:r>
        <w:rPr>
          <w:rFonts w:hint="eastAsia"/>
          <w:lang w:val="en-US" w:eastAsia="zh-CN"/>
        </w:rPr>
        <w:t>日常运行</w:t>
      </w:r>
      <w:bookmarkEnd w:id="142"/>
      <w:bookmarkEnd w:id="14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制定运行规程，明确操作流程、参数控制要求、设备维护等内容。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定期巡检储气库，检查设备的工作状态、阀门和管道的密封性，确保安全设备的完整性。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进行日常运行操作，包括压力控制、泄漏检测、系统维护等，确保储气库的正常运行。</w:t>
      </w:r>
    </w:p>
    <w:p>
      <w:pPr>
        <w:pStyle w:val="105"/>
        <w:spacing w:before="156" w:after="156" w:line="360" w:lineRule="auto"/>
        <w:rPr>
          <w:rFonts w:hint="eastAsia"/>
          <w:lang w:val="en-US" w:eastAsia="zh-CN"/>
        </w:rPr>
      </w:pPr>
      <w:bookmarkStart w:id="144" w:name="_Toc13835"/>
      <w:bookmarkStart w:id="145" w:name="_Toc8311"/>
      <w:r>
        <w:rPr>
          <w:rFonts w:hint="eastAsia"/>
          <w:lang w:val="en-US" w:eastAsia="zh-CN"/>
        </w:rPr>
        <w:t>检测与评价</w:t>
      </w:r>
      <w:bookmarkEnd w:id="144"/>
      <w:bookmarkEnd w:id="14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分析采集到的数据，检测储气库的运行状态是否正常。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运用数字孪生技术、管道光纤预警技术、微地震监测技术、INSAR地面形变监测技术、激光光谱技术、电阻探针腐蚀监测技术等进行系统性的监测与评价，识别潜在的问题和风险。</w:t>
      </w:r>
    </w:p>
    <w:p>
      <w:pPr>
        <w:pStyle w:val="105"/>
        <w:spacing w:before="156" w:after="156" w:line="360" w:lineRule="auto"/>
        <w:rPr>
          <w:rFonts w:hint="eastAsia"/>
          <w:lang w:val="en-US" w:eastAsia="zh-CN"/>
        </w:rPr>
      </w:pPr>
      <w:bookmarkStart w:id="146" w:name="_Toc1642"/>
      <w:bookmarkStart w:id="147" w:name="_Toc14408"/>
      <w:r>
        <w:rPr>
          <w:rFonts w:hint="eastAsia"/>
          <w:lang w:val="en-US" w:eastAsia="zh-CN"/>
        </w:rPr>
        <w:t>预警</w:t>
      </w:r>
      <w:bookmarkEnd w:id="146"/>
      <w:bookmarkEnd w:id="14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根据预警标准和阈值，设置预警触发条件，实时监测数据。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利用ESD系统、云端检测与预警平台等工具，实现预警信息的及时传递和处理。当监测数据超过或接近预警阈值时，触发预警机制，发出警报或通知相关人员。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预警响应与应对：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当预警触发时，及时启动应急响应机制，通知相关人员并采取适当的措施，如降低压力、关闭进气口等，以保障储气库的安全。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实时跟踪和记录预警信息、处理措施和效果，进行事后分析和改进。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定期评估监测与预警系统的性能和准确性，进行必要的维护和升级。</w:t>
      </w:r>
    </w:p>
    <w:p>
      <w:pPr>
        <w:pStyle w:val="105"/>
        <w:spacing w:before="156" w:after="156" w:line="360" w:lineRule="auto"/>
        <w:rPr>
          <w:rFonts w:hint="eastAsia"/>
          <w:lang w:val="en-US" w:eastAsia="zh-CN"/>
        </w:rPr>
      </w:pPr>
      <w:bookmarkStart w:id="148" w:name="_Toc5203"/>
      <w:bookmarkStart w:id="149" w:name="_Toc21081"/>
      <w:r>
        <w:rPr>
          <w:rFonts w:hint="eastAsia"/>
          <w:lang w:val="en-US" w:eastAsia="zh-CN"/>
        </w:rPr>
        <w:t>监测与预警相关技术</w:t>
      </w:r>
      <w:bookmarkEnd w:id="148"/>
      <w:bookmarkEnd w:id="14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利用无人机低空遥感技术，定期对储气库周边区域进行航拍和巡视，获取空中图像和数据，检测异常情况和潜在风险。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使用钻孔斜测仪监测裂缝技术，对储气库周围地下的裂缝进行监测和评估，以判断地质运动状况。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运用储气库作业安全无人值守技术，通过远程监控和控制系统实现对储气库的实时监测和操作，确保操作的安全性和准确性。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借助激光光谱技术和电阻探针腐蚀监测技术，监测储气库设备和管道的腐蚀情况，及时发现并采取措施进行防护和修复。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运用INSAR地面形变监测技术，监测储气库周边地面的形变情况，识别地质运动和沉降风险。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利用工业互联网技术，建立储气库监测与预警的信息化平台，实现数据集中管理、远程监控和分析。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集成云端检测与预警平台，对监测数据进行实时分析和预警处理，提供智能化的决策支持。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运用网络安全技术，确保数据传输和存储的安全性，防止数据泄露和恶意攻击。</w:t>
      </w:r>
    </w:p>
    <w:p>
      <w:pPr>
        <w:pStyle w:val="105"/>
        <w:spacing w:before="156" w:after="156" w:line="360" w:lineRule="auto"/>
        <w:rPr>
          <w:rFonts w:hint="eastAsia"/>
          <w:lang w:val="en-US" w:eastAsia="zh-CN"/>
        </w:rPr>
      </w:pPr>
      <w:bookmarkStart w:id="150" w:name="_Toc24191"/>
      <w:bookmarkStart w:id="151" w:name="_Toc6521"/>
      <w:r>
        <w:rPr>
          <w:rFonts w:hint="eastAsia"/>
          <w:lang w:val="en-US" w:eastAsia="zh-CN"/>
        </w:rPr>
        <w:t>安全培训</w:t>
      </w:r>
      <w:bookmarkEnd w:id="150"/>
      <w:bookmarkEnd w:id="15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对储气库操作人员进行全面的安全培训，包括储气库的安全操作规程、监测设备的使用方法、应急处理措施等。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强调安全意识和风险防范，提高操作人员对储气库安全的认识和应对能力。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定期组织安全培训和演练，以保持操作人员的技能和应急响应能力。</w:t>
      </w:r>
    </w:p>
    <w:p>
      <w:pPr>
        <w:pStyle w:val="104"/>
        <w:spacing w:before="312" w:after="312" w:line="360" w:lineRule="auto"/>
      </w:pPr>
      <w:bookmarkStart w:id="152" w:name="_Toc13209"/>
      <w:bookmarkStart w:id="153" w:name="_Toc13550"/>
      <w:r>
        <w:rPr>
          <w:rFonts w:hint="eastAsia"/>
        </w:rPr>
        <w:t>监测设备布置</w:t>
      </w:r>
      <w:bookmarkEnd w:id="152"/>
      <w:bookmarkEnd w:id="153"/>
    </w:p>
    <w:p>
      <w:pPr>
        <w:pStyle w:val="105"/>
        <w:spacing w:before="156" w:after="156" w:line="360" w:lineRule="auto"/>
      </w:pPr>
      <w:bookmarkStart w:id="154" w:name="_Toc373"/>
      <w:bookmarkStart w:id="155" w:name="_Toc25387"/>
      <w:r>
        <w:rPr>
          <w:rFonts w:hint="eastAsia"/>
        </w:rPr>
        <w:t>设备布置前评估</w:t>
      </w:r>
      <w:bookmarkEnd w:id="154"/>
      <w:bookmarkEnd w:id="15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在储气库的监测设备安装过程中，必须进行安装前评估。主要是根据储气库的类型、环境和地质条件等，制定针对性的安装方案，以保证监测设备的安装位置准确、监测数据可靠。</w:t>
      </w:r>
    </w:p>
    <w:p>
      <w:pPr>
        <w:pStyle w:val="165"/>
        <w:spacing w:line="360" w:lineRule="auto"/>
        <w:rPr>
          <w:rFonts w:ascii="Segoe UI" w:hAnsi="Segoe UI" w:cs="Segoe UI"/>
          <w:szCs w:val="21"/>
        </w:rPr>
      </w:pPr>
      <w:r>
        <w:rPr>
          <w:rFonts w:hint="eastAsia" w:ascii="Times New Roman" w:hAnsi="Times New Roman" w:eastAsia="宋体" w:cs="Times New Roman"/>
          <w:snapToGrid w:val="0"/>
          <w:color w:val="000000"/>
          <w:kern w:val="0"/>
          <w:sz w:val="21"/>
          <w:szCs w:val="21"/>
          <w:lang w:eastAsia="zh-CN"/>
        </w:rPr>
        <w:t>监测设备的选型需要根据储气库类型、监测指标和监测方式等，进行科学、合理的选择。同时，应对不同类型的储气库，选择适合的监测设备。</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监测设备的安装方式应满足可靠、安全的要求。对于地表式储气库监测设备的安装，应考虑其灵活性和可靠性，同时根据储气库所在地质形态进行安装。对于井下式储气库，应根据井筒结构和井下地质情况，选择适合的设备安装位。</w:t>
      </w:r>
    </w:p>
    <w:p>
      <w:pPr>
        <w:pStyle w:val="165"/>
        <w:spacing w:line="360" w:lineRule="auto"/>
        <w:rPr>
          <w:rFonts w:ascii="Segoe UI" w:hAnsi="Segoe UI" w:cs="Segoe UI"/>
          <w:szCs w:val="21"/>
        </w:rPr>
      </w:pPr>
      <w:r>
        <w:rPr>
          <w:rFonts w:hint="eastAsia" w:ascii="Times New Roman" w:hAnsi="Times New Roman" w:eastAsia="宋体" w:cs="Times New Roman"/>
          <w:snapToGrid w:val="0"/>
          <w:color w:val="000000"/>
          <w:kern w:val="0"/>
          <w:sz w:val="21"/>
          <w:szCs w:val="21"/>
          <w:lang w:eastAsia="zh-CN"/>
        </w:rPr>
        <w:t>监测设备的安装过程中，应进行现场质量控制，包括安装前评估、安装设备标准、设备标定以及设备防护等环节。质量控制的目的是保证监测设备的正确安装和数据的准确性，严格按照标准化的流程进行施工，保证设备运行的可靠性和数据的稳定性。</w:t>
      </w:r>
    </w:p>
    <w:p>
      <w:pPr>
        <w:pStyle w:val="105"/>
        <w:spacing w:before="156" w:after="156" w:line="360" w:lineRule="auto"/>
      </w:pPr>
      <w:bookmarkStart w:id="156" w:name="_Toc14430"/>
      <w:bookmarkStart w:id="157" w:name="_Toc7500"/>
      <w:r>
        <w:rPr>
          <w:rFonts w:hint="eastAsia"/>
        </w:rPr>
        <w:t>传感器布置</w:t>
      </w:r>
      <w:bookmarkEnd w:id="156"/>
      <w:bookmarkEnd w:id="157"/>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选择合适的传感器类型：根据监测目的，选择合适的气体检测传感器、风速传感器、风向传感器、水位传感器、压力传感器、温度传感器和位移传感器</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考虑地形和气象条件：在布置传感器时，要充分考虑地形、气象条件（如风向、风速、温度、湿度等）以及可能的气体泄漏源。合理布置传感器有助于更准确地监测地表气体浓度和风速。</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传感器高度：气体检测传感器应安装在离地面适当高度的位置。安装高度需要考虑气体的比重：对于比空气重的气体，传感器应安装在较低位置；对于比空气轻的气体，传感器应安装在较高位置。风速传感器通常安装在地面以上10米左右的高度，以获得准确的风速数据。</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传感器间距：根据监测区域的大小和具体情况，合理设置传感器间距。间距过大可能导致监测盲区，间距过小可能造成测量数据冗余。</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网格布局：传感器布置应尽量形成网格状分布，以覆盖整个监测区域。这有助于更全面、准确地监测地表气体浓度和风速。</w:t>
      </w:r>
    </w:p>
    <w:p>
      <w:pPr>
        <w:pStyle w:val="105"/>
        <w:spacing w:before="156" w:after="156" w:line="360" w:lineRule="auto"/>
      </w:pPr>
      <w:bookmarkStart w:id="158" w:name="_Toc4761"/>
      <w:bookmarkStart w:id="159" w:name="_Toc21516"/>
      <w:r>
        <w:rPr>
          <w:rFonts w:hint="eastAsia"/>
        </w:rPr>
        <w:t>地面沉降仪布置</w:t>
      </w:r>
      <w:bookmarkEnd w:id="158"/>
      <w:bookmarkEnd w:id="159"/>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选择在储气库周围的代表性地点进行布置，涵盖可能受到影响的区域。</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布置位置应避免地质灾害风险区域、河流、水体附近等可能影响测量准确性的地点。</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通常情况下，至少应布置3个地面沉降仪，形成一个能够反映地面沉降趋势的监测网。布置密度应根据储气库的尺度和敏感性进行调整，可以考虑增加监测点的数量以提高监测精度</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安装时应保持地面沉降仪垂直，并确保与地面接触紧密。</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地面沉降仪应配备数据记录系统，能够实时记录地面沉降数据。</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数据记录系统应具备数据传输功能，可以通过有线或无线方式将数据传输到中央监测系统或数据中心。</w:t>
      </w:r>
    </w:p>
    <w:p>
      <w:pPr>
        <w:pStyle w:val="105"/>
        <w:spacing w:before="156" w:after="156" w:line="360" w:lineRule="auto"/>
      </w:pPr>
      <w:bookmarkStart w:id="160" w:name="_Toc9552"/>
      <w:bookmarkStart w:id="161" w:name="_Toc9648"/>
      <w:r>
        <w:rPr>
          <w:rFonts w:hint="eastAsia"/>
        </w:rPr>
        <w:t>气体检测传感器布置</w:t>
      </w:r>
      <w:bookmarkEnd w:id="160"/>
      <w:bookmarkEnd w:id="161"/>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选择在储气库内部和周围的关键位置进行传感器的安装，以确保能够及早发现气体泄漏或异常情况。</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安装位置应考虑气体泄漏的可能性高的区域，如管道接口、阀门附近等。</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对于较重的气体，传感器应安装在较低的位置，以便更早地检测到气体泄漏。对于较轻的气体，传感器应安装在较高的位置，以便更好地覆盖气体扩散范围。</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传感器的数量应足够覆盖储气库内各个区域，并根据需要增加关键位置的监测点。</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安装时要确保传感器与被检测气体的接触充分，并避免阻塞或干扰。</w:t>
      </w:r>
    </w:p>
    <w:p>
      <w:pPr>
        <w:pStyle w:val="105"/>
        <w:spacing w:before="156" w:after="156" w:line="360" w:lineRule="auto"/>
      </w:pPr>
      <w:bookmarkStart w:id="162" w:name="_Toc27394"/>
      <w:bookmarkStart w:id="163" w:name="_Toc8748"/>
      <w:r>
        <w:rPr>
          <w:rFonts w:hint="eastAsia"/>
        </w:rPr>
        <w:t>风速和风向传感器布置</w:t>
      </w:r>
      <w:bookmarkEnd w:id="162"/>
      <w:bookmarkEnd w:id="163"/>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选择在储气库周围的关键位置进行传感器的安装，以准确监测储气库周围的风速和风向情况。</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安装位置应尽可能代表储气库周围的风速情况，并且避免受到建筑物、障碍物或其他设施的阻挡和干扰。</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通常情况下，风速和风向传感器应安装在离地面约2-10米的位置，以避免地面影响和获得更准确的测量结果。</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风速和风向传感器应配备数据记录系统，能够实时记录数据。</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数据记录系统应具备数据传输功能，可以通过有线或无线方式将数据传输到中央监测系统或数据中心。</w:t>
      </w:r>
    </w:p>
    <w:p>
      <w:pPr>
        <w:pStyle w:val="105"/>
        <w:spacing w:before="156" w:after="156" w:line="360" w:lineRule="auto"/>
      </w:pPr>
      <w:bookmarkStart w:id="164" w:name="_Toc13176"/>
      <w:bookmarkStart w:id="165" w:name="_Toc9742"/>
      <w:r>
        <w:rPr>
          <w:rFonts w:hint="eastAsia"/>
        </w:rPr>
        <w:t>位移传感器布置</w:t>
      </w:r>
      <w:bookmarkEnd w:id="164"/>
      <w:bookmarkEnd w:id="16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根据储气库的设计和布局要求，选择合适的安装位置。考虑位移传感器与储气库结构的接触方式，确保传感器能够准确测量储气库的位移变化。</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确保传感器与储气库之间的接触面清洁和平整，以确保传感器的准确性和稳定性。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使用适当的固定装置和方法，确保传感器的安装稳固，防止其受到外力振动或移位。</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根据传感器的接口类型和信号输出要求，正确连接传感器与数据采集系统或控制系统。</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在安装完成后，对位移传感器进行校准和测试，确保其测量精度和稳定性。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记录校准和测试结果，包括传感器的输出值与实际位移值之间的差异。</w:t>
      </w:r>
    </w:p>
    <w:p>
      <w:pPr>
        <w:pStyle w:val="165"/>
        <w:spacing w:line="360" w:lineRule="auto"/>
        <w:rPr>
          <w:rFonts w:ascii="Segoe UI" w:hAnsi="Segoe UI" w:cs="Segoe UI"/>
          <w:szCs w:val="21"/>
        </w:rPr>
      </w:pPr>
    </w:p>
    <w:p>
      <w:pPr>
        <w:pStyle w:val="165"/>
        <w:spacing w:line="360" w:lineRule="auto"/>
        <w:rPr>
          <w:rFonts w:ascii="Segoe UI" w:hAnsi="Segoe UI" w:cs="Segoe UI"/>
          <w:szCs w:val="21"/>
        </w:rPr>
      </w:pPr>
      <w:r>
        <w:rPr>
          <w:rFonts w:ascii="Segoe UI" w:hAnsi="Segoe UI" w:cs="Segoe UI"/>
          <w:szCs w:val="21"/>
        </w:rPr>
        <w:t>建立定期检查和维护计划，确保位移传感器的正常工作和准确性。如有异常或故障，及时进行维修或更换，以确保储气库的安全运行。</w:t>
      </w:r>
    </w:p>
    <w:p>
      <w:pPr>
        <w:pStyle w:val="104"/>
        <w:spacing w:before="312" w:after="312" w:line="360" w:lineRule="auto"/>
      </w:pPr>
      <w:bookmarkStart w:id="166" w:name="_Toc1461"/>
      <w:bookmarkStart w:id="167" w:name="_Toc30961"/>
      <w:r>
        <w:rPr>
          <w:rFonts w:hint="eastAsia"/>
        </w:rPr>
        <w:t>日常资料获取</w:t>
      </w:r>
      <w:bookmarkEnd w:id="166"/>
      <w:bookmarkEnd w:id="167"/>
    </w:p>
    <w:p>
      <w:pPr>
        <w:pStyle w:val="105"/>
        <w:spacing w:before="156" w:after="156" w:line="360" w:lineRule="auto"/>
      </w:pPr>
      <w:r>
        <w:rPr>
          <w:rFonts w:hint="eastAsia"/>
        </w:rPr>
        <w:t xml:space="preserve"> </w:t>
      </w:r>
      <w:bookmarkStart w:id="168" w:name="_Toc21711"/>
      <w:bookmarkStart w:id="169" w:name="_Toc21654"/>
      <w:r>
        <w:rPr>
          <w:rFonts w:hint="eastAsia"/>
        </w:rPr>
        <w:t>井流量</w:t>
      </w:r>
      <w:bookmarkEnd w:id="168"/>
      <w:bookmarkEnd w:id="169"/>
    </w:p>
    <w:p>
      <w:pPr>
        <w:pStyle w:val="165"/>
        <w:spacing w:line="360" w:lineRule="auto"/>
      </w:pPr>
      <w:r>
        <w:rPr>
          <w:rFonts w:hint="eastAsia"/>
        </w:rPr>
        <w:t>注采井采用计量分离器计量时</w:t>
      </w:r>
      <w:r>
        <w:rPr>
          <w:rFonts w:hint="eastAsia"/>
          <w:lang w:eastAsia="zh-CN"/>
        </w:rPr>
        <w:t>，</w:t>
      </w:r>
      <w:r>
        <w:rPr>
          <w:rFonts w:hint="eastAsia"/>
        </w:rPr>
        <w:t>改变井口开度5h内计量</w:t>
      </w:r>
      <w:r>
        <w:rPr>
          <w:rFonts w:hint="eastAsia"/>
          <w:lang w:eastAsia="zh-CN"/>
        </w:rPr>
        <w:t>，</w:t>
      </w:r>
      <w:r>
        <w:rPr>
          <w:rFonts w:hint="eastAsia"/>
        </w:rPr>
        <w:t>每次连续计量时间不低于1h，带液采气井计量时间不低于4h。</w:t>
      </w:r>
    </w:p>
    <w:p>
      <w:pPr>
        <w:pStyle w:val="165"/>
        <w:spacing w:line="360" w:lineRule="auto"/>
      </w:pPr>
      <w:r>
        <w:rPr>
          <w:rFonts w:hint="eastAsia"/>
        </w:rPr>
        <w:t>注采井采用单井流量计实时计量时，每4h录取一次注采气量，改变井口开度后录取调整量</w:t>
      </w:r>
      <w:r>
        <w:rPr>
          <w:rFonts w:hint="eastAsia"/>
          <w:lang w:eastAsia="zh-CN"/>
        </w:rPr>
        <w:t>，</w:t>
      </w:r>
      <w:r>
        <w:rPr>
          <w:rFonts w:hint="eastAsia"/>
        </w:rPr>
        <w:t>带液井液量计量按4.1.1条款所述流程。</w:t>
      </w:r>
    </w:p>
    <w:p>
      <w:pPr>
        <w:pStyle w:val="165"/>
        <w:spacing w:line="360" w:lineRule="auto"/>
      </w:pPr>
      <w:r>
        <w:rPr>
          <w:rFonts w:hint="eastAsia"/>
        </w:rPr>
        <w:t>排液井每天记录2次排液量。</w:t>
      </w:r>
    </w:p>
    <w:p>
      <w:pPr>
        <w:pStyle w:val="165"/>
        <w:spacing w:line="360" w:lineRule="auto"/>
      </w:pPr>
      <w:r>
        <w:rPr>
          <w:rFonts w:hint="eastAsia"/>
        </w:rPr>
        <w:t>回注井每天记录2次回注量。</w:t>
      </w:r>
    </w:p>
    <w:p>
      <w:pPr>
        <w:pStyle w:val="105"/>
        <w:spacing w:before="156" w:after="156" w:line="360" w:lineRule="auto"/>
      </w:pPr>
      <w:bookmarkStart w:id="170" w:name="_Toc19845"/>
      <w:bookmarkStart w:id="171" w:name="_Toc2043"/>
      <w:r>
        <w:rPr>
          <w:rFonts w:hint="eastAsia"/>
        </w:rPr>
        <w:t>井口压力及温度</w:t>
      </w:r>
      <w:bookmarkEnd w:id="170"/>
      <w:bookmarkEnd w:id="171"/>
    </w:p>
    <w:p>
      <w:pPr>
        <w:pStyle w:val="165"/>
        <w:spacing w:line="360" w:lineRule="auto"/>
      </w:pPr>
      <w:r>
        <w:rPr>
          <w:rFonts w:hint="eastAsia"/>
        </w:rPr>
        <w:t>安装自动采集系统的注采井实时监测井口压力和温度。</w:t>
      </w:r>
    </w:p>
    <w:p>
      <w:pPr>
        <w:pStyle w:val="165"/>
        <w:spacing w:line="360" w:lineRule="auto"/>
      </w:pPr>
      <w:r>
        <w:rPr>
          <w:rFonts w:hint="eastAsia"/>
        </w:rPr>
        <w:t>对定点测压井井口压力：采取井筒内下压力计的方式，每天至少实测2次井底流动压力。使用精度0.05%以上的压力计测量。对纯气井或井底无积液的井：采用精度0.05%以上的压力计测井口压力，计算井底流动压力。</w:t>
      </w:r>
    </w:p>
    <w:p>
      <w:pPr>
        <w:pStyle w:val="165"/>
        <w:spacing w:line="360" w:lineRule="auto"/>
      </w:pPr>
      <w:r>
        <w:rPr>
          <w:rFonts w:hint="eastAsia"/>
        </w:rPr>
        <w:t>井口温度资料录取（含井口温度、大气温度)使用分度值1℃的温度计测量，实时记录。</w:t>
      </w:r>
    </w:p>
    <w:p>
      <w:pPr>
        <w:pStyle w:val="165"/>
        <w:spacing w:line="360" w:lineRule="auto"/>
      </w:pPr>
      <w:r>
        <w:rPr>
          <w:rFonts w:hint="eastAsia"/>
        </w:rPr>
        <w:t>回注井开井期实时监测井口油压、套压、注水泵压和井口温度，关井期每天录取一次井口油压和套压。</w:t>
      </w:r>
    </w:p>
    <w:p>
      <w:pPr>
        <w:pStyle w:val="105"/>
        <w:spacing w:before="156" w:after="156" w:line="360" w:lineRule="auto"/>
      </w:pPr>
      <w:bookmarkStart w:id="172" w:name="_Toc24770"/>
      <w:bookmarkStart w:id="173" w:name="_Toc12609"/>
      <w:r>
        <w:rPr>
          <w:rFonts w:hint="eastAsia"/>
        </w:rPr>
        <w:t>注气压缩机运行参数</w:t>
      </w:r>
      <w:bookmarkEnd w:id="172"/>
      <w:bookmarkEnd w:id="173"/>
    </w:p>
    <w:p>
      <w:pPr>
        <w:pStyle w:val="165"/>
        <w:spacing w:line="360" w:lineRule="auto"/>
      </w:pPr>
      <w:r>
        <w:rPr>
          <w:rFonts w:hint="eastAsia"/>
        </w:rPr>
        <w:t>注气压缩机的监测项目主要包括：1.进口压力2.出口压力3.流量4.运行温度5.润滑油温度、压力和流量6.振动数据7.电机电流和电压8.紧急停机（ESD）系统状态</w:t>
      </w:r>
    </w:p>
    <w:p>
      <w:pPr>
        <w:pStyle w:val="165"/>
        <w:spacing w:line="360" w:lineRule="auto"/>
      </w:pPr>
      <w:r>
        <w:rPr>
          <w:rFonts w:hint="eastAsia"/>
        </w:rPr>
        <w:t>监测方法与周期监测方法包括在线监测和定期检查。在线监测应实时进行，而定期检查应至少每周进行一次。</w:t>
      </w:r>
    </w:p>
    <w:p>
      <w:pPr>
        <w:pStyle w:val="165"/>
        <w:spacing w:line="360" w:lineRule="auto"/>
      </w:pPr>
      <w:r>
        <w:rPr>
          <w:rFonts w:hint="eastAsia"/>
        </w:rPr>
        <w:t xml:space="preserve">数据记录与报告数据记录应包括监测项目、监测值、监测时间、判断依据和监测人员等信息。在完成每次监测后，应整理监测数据并生成报告。内容应包括以下几个方面： </w:t>
      </w:r>
    </w:p>
    <w:p>
      <w:pPr>
        <w:pStyle w:val="165"/>
        <w:numPr>
          <w:ilvl w:val="5"/>
          <w:numId w:val="0"/>
        </w:numPr>
        <w:spacing w:line="360" w:lineRule="auto"/>
        <w:ind w:left="210" w:leftChars="100" w:firstLine="420" w:firstLineChars="200"/>
      </w:pPr>
      <w:r>
        <w:rPr>
          <w:rFonts w:hint="eastAsia"/>
        </w:rPr>
        <w:t>a.监测概述：包括监测目的、时间、地点和负责人等信息。</w:t>
      </w:r>
    </w:p>
    <w:p>
      <w:pPr>
        <w:pStyle w:val="165"/>
        <w:numPr>
          <w:ilvl w:val="5"/>
          <w:numId w:val="0"/>
        </w:numPr>
        <w:spacing w:line="360" w:lineRule="auto"/>
        <w:ind w:left="210" w:leftChars="100" w:firstLine="420" w:firstLineChars="200"/>
        <w:rPr>
          <w:rFonts w:hint="eastAsia" w:ascii="Times New Roman" w:hAnsi="Times New Roman" w:eastAsia="宋体" w:cs="Times New Roman"/>
          <w:snapToGrid w:val="0"/>
          <w:color w:val="000000"/>
          <w:kern w:val="0"/>
          <w:sz w:val="21"/>
          <w:szCs w:val="21"/>
          <w:lang w:eastAsia="zh-CN"/>
        </w:rPr>
      </w:pPr>
      <w:r>
        <w:rPr>
          <w:rFonts w:hint="eastAsia"/>
        </w:rPr>
        <w:t>b</w:t>
      </w:r>
      <w:r>
        <w:rPr>
          <w:rFonts w:hint="eastAsia" w:ascii="Times New Roman" w:hAnsi="Times New Roman" w:eastAsia="宋体" w:cs="Times New Roman"/>
          <w:snapToGrid w:val="0"/>
          <w:color w:val="000000"/>
          <w:kern w:val="0"/>
          <w:sz w:val="21"/>
          <w:szCs w:val="21"/>
          <w:lang w:eastAsia="zh-CN"/>
        </w:rPr>
        <w:t>.监测数据：详细记录各监测项目的监测值、正常范围和判断依据。</w:t>
      </w:r>
    </w:p>
    <w:p>
      <w:pPr>
        <w:pStyle w:val="165"/>
        <w:numPr>
          <w:ilvl w:val="5"/>
          <w:numId w:val="0"/>
        </w:numPr>
        <w:spacing w:line="360" w:lineRule="auto"/>
        <w:ind w:left="210" w:leftChars="100" w:firstLine="420" w:firstLineChars="200"/>
      </w:pPr>
      <w:r>
        <w:rPr>
          <w:rFonts w:hint="eastAsia"/>
        </w:rPr>
        <w:t>c</w:t>
      </w:r>
      <w:r>
        <w:rPr>
          <w:rFonts w:hint="eastAsia" w:ascii="Times New Roman" w:hAnsi="Times New Roman" w:eastAsia="宋体" w:cs="Times New Roman"/>
          <w:snapToGrid w:val="0"/>
          <w:color w:val="000000"/>
          <w:kern w:val="0"/>
          <w:sz w:val="21"/>
          <w:szCs w:val="21"/>
          <w:lang w:eastAsia="zh-CN"/>
        </w:rPr>
        <w:t>.异常情况及处理：记录监测过程中发现的异常情况，以及采取的处理措施和结果。</w:t>
      </w:r>
    </w:p>
    <w:p>
      <w:pPr>
        <w:pStyle w:val="105"/>
        <w:spacing w:before="156" w:after="156" w:line="360" w:lineRule="auto"/>
      </w:pPr>
      <w:bookmarkStart w:id="174" w:name="_Toc24730"/>
      <w:bookmarkStart w:id="175" w:name="_Toc26553"/>
      <w:r>
        <w:rPr>
          <w:rFonts w:hint="eastAsia"/>
        </w:rPr>
        <w:t>静压、静温及梯度</w:t>
      </w:r>
      <w:bookmarkEnd w:id="174"/>
      <w:bookmarkEnd w:id="17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选择30%以上有代表性的注采井为定点测试井，注采平衡期进行一次静压、静温及梯度测试。</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注采平衡期非定点测试井在储气库达容前至少每天测试一次，达容后至少每周测试3次。</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注采周期内，未生产的注采井至少进行一次静压、静温及梯度测试。</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对纯气井或井底无积液的井，在经过井下测压校正后，可采用精度0.05%以上的压力计和温度计，测量关井时井口油压和温度</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折算静压、静温及梯度。</w:t>
      </w:r>
    </w:p>
    <w:p>
      <w:pPr>
        <w:pStyle w:val="105"/>
        <w:spacing w:before="156" w:after="156" w:line="360" w:lineRule="auto"/>
      </w:pPr>
      <w:bookmarkStart w:id="176" w:name="_Toc24408"/>
      <w:bookmarkStart w:id="177" w:name="_Toc30566"/>
      <w:r>
        <w:rPr>
          <w:rFonts w:hint="eastAsia"/>
        </w:rPr>
        <w:t>流压、流温及梯度</w:t>
      </w:r>
      <w:bookmarkEnd w:id="176"/>
      <w:bookmarkEnd w:id="177"/>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选择注采气量差异大的注采井为代表井，每注采周期至少各进行2次流压、流温及梯度测试。</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有代表性的产水井或井底积液井每采气周期至少测试3次流压、流温及梯度。</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对纯气井或井底无积液的井，在经过井下测压校正后，可采用精度0.05%以上的压力计和温度计，测量稳定生产时井口油压和温度，折算流压，流温及梯度。</w:t>
      </w:r>
    </w:p>
    <w:p>
      <w:pPr>
        <w:pStyle w:val="105"/>
        <w:spacing w:before="156" w:after="156" w:line="360" w:lineRule="auto"/>
      </w:pPr>
      <w:bookmarkStart w:id="178" w:name="_Toc10107"/>
      <w:bookmarkStart w:id="179" w:name="_Toc4438"/>
      <w:r>
        <w:rPr>
          <w:rFonts w:hint="eastAsia"/>
        </w:rPr>
        <w:t>气液界面</w:t>
      </w:r>
      <w:bookmarkEnd w:id="178"/>
      <w:bookmarkEnd w:id="179"/>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边底水或带油环气藏改建的储气库，达容前每天注采平衡期选择气液界面监测井进行一次气液界面测试，达容后每周测试一次。</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气液界面监测井实时录取地层压力、井筒液面深度</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并记录测试时井口油压和套压。</w:t>
      </w:r>
    </w:p>
    <w:p>
      <w:pPr>
        <w:pStyle w:val="105"/>
        <w:spacing w:before="156" w:after="156" w:line="360" w:lineRule="auto"/>
        <w:rPr>
          <w:color w:val="000000" w:themeColor="text1"/>
          <w14:textFill>
            <w14:solidFill>
              <w14:schemeClr w14:val="tx1"/>
            </w14:solidFill>
          </w14:textFill>
        </w:rPr>
      </w:pPr>
      <w:bookmarkStart w:id="180" w:name="_Toc527"/>
      <w:bookmarkStart w:id="181" w:name="_Toc1129"/>
      <w:r>
        <w:rPr>
          <w:rFonts w:hint="eastAsia"/>
          <w:color w:val="000000" w:themeColor="text1"/>
          <w14:textFill>
            <w14:solidFill>
              <w14:schemeClr w14:val="tx1"/>
            </w14:solidFill>
          </w14:textFill>
        </w:rPr>
        <w:t>数据采集</w:t>
      </w:r>
      <w:bookmarkEnd w:id="180"/>
      <w:bookmarkEnd w:id="181"/>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传感器和监控设备应分布在储气库的关键部位，包括井口、管道、压缩机、阀门和储气容器等。</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数据采集应涵盖储气库的主要运行参数，包括温度、压力、流量、气体成分和设备状态等。</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通讯设备应具备实时、可靠和安全的数据传输能力，确保数据采集的准确性和时效性。</w:t>
      </w:r>
    </w:p>
    <w:p>
      <w:pPr>
        <w:pStyle w:val="105"/>
        <w:spacing w:before="156" w:after="156" w:line="360" w:lineRule="auto"/>
      </w:pPr>
      <w:bookmarkStart w:id="182" w:name="_Toc1611"/>
      <w:bookmarkStart w:id="183" w:name="_Toc26615"/>
      <w:r>
        <w:t>气体溢失流速，流量</w:t>
      </w:r>
      <w:r>
        <w:rPr>
          <w:rFonts w:hint="eastAsia"/>
        </w:rPr>
        <w:t>采集仪器及数据</w:t>
      </w:r>
      <w:bookmarkEnd w:id="182"/>
      <w:bookmarkEnd w:id="183"/>
    </w:p>
    <w:p>
      <w:pPr>
        <w:pStyle w:val="165"/>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气体溢失流速和流量的监测需要使用专门的气体检测仪器。常见的气体检测仪器包括：</w:t>
      </w:r>
    </w:p>
    <w:p>
      <w:pPr>
        <w:pStyle w:val="56"/>
        <w:keepNext w:val="0"/>
        <w:keepLines w:val="0"/>
        <w:pageBreakBefore w:val="0"/>
        <w:numPr>
          <w:ilvl w:val="0"/>
          <w:numId w:val="32"/>
        </w:numPr>
        <w:kinsoku/>
        <w:wordWrap/>
        <w:overflowPunct/>
        <w:topLinePunct w:val="0"/>
        <w:bidi w:val="0"/>
        <w:adjustRightInd/>
        <w:snapToGrid/>
        <w:spacing w:line="360" w:lineRule="auto"/>
        <w:ind w:firstLine="0" w:firstLineChars="0"/>
        <w:textAlignment w:val="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气体流量计：气体流量计是一种用于测量气体流速和流量的仪器，</w:t>
      </w:r>
    </w:p>
    <w:p>
      <w:pPr>
        <w:pStyle w:val="56"/>
        <w:keepNext w:val="0"/>
        <w:keepLines w:val="0"/>
        <w:pageBreakBefore w:val="0"/>
        <w:numPr>
          <w:ilvl w:val="0"/>
          <w:numId w:val="32"/>
        </w:numPr>
        <w:kinsoku/>
        <w:wordWrap/>
        <w:overflowPunct/>
        <w:topLinePunct w:val="0"/>
        <w:bidi w:val="0"/>
        <w:adjustRightInd/>
        <w:snapToGrid/>
        <w:spacing w:line="360" w:lineRule="auto"/>
        <w:ind w:firstLine="0" w:firstLineChars="0"/>
        <w:textAlignment w:val="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气体检测仪：气体检测仪可以检测气体浓度和种类，如可燃气体检测仪、有毒气体检测仪等。可用于监测泄漏气体的种类和浓度，帮助评估泄漏的严重程度。</w:t>
      </w:r>
    </w:p>
    <w:p>
      <w:pPr>
        <w:pStyle w:val="56"/>
        <w:keepNext w:val="0"/>
        <w:keepLines w:val="0"/>
        <w:pageBreakBefore w:val="0"/>
        <w:numPr>
          <w:ilvl w:val="0"/>
          <w:numId w:val="32"/>
        </w:numPr>
        <w:kinsoku/>
        <w:wordWrap/>
        <w:overflowPunct/>
        <w:topLinePunct w:val="0"/>
        <w:bidi w:val="0"/>
        <w:adjustRightInd/>
        <w:snapToGrid/>
        <w:spacing w:line="360" w:lineRule="auto"/>
        <w:ind w:firstLine="0" w:firstLineChars="0"/>
        <w:textAlignment w:val="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气体分析仪：气体分析仪可用于实时分析气体成分和浓度，如气相色谱仪、红外分析仪等。可以提供更详细的气体成分信息，有助于了解气体泄漏的来源和性质。</w:t>
      </w:r>
    </w:p>
    <w:p>
      <w:pPr>
        <w:pStyle w:val="165"/>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需要采集的数据包括：</w:t>
      </w:r>
    </w:p>
    <w:p>
      <w:pPr>
        <w:pStyle w:val="56"/>
        <w:keepNext w:val="0"/>
        <w:keepLines w:val="0"/>
        <w:pageBreakBefore w:val="0"/>
        <w:numPr>
          <w:ilvl w:val="0"/>
          <w:numId w:val="33"/>
        </w:numPr>
        <w:kinsoku/>
        <w:wordWrap/>
        <w:overflowPunct/>
        <w:topLinePunct w:val="0"/>
        <w:bidi w:val="0"/>
        <w:adjustRightInd/>
        <w:snapToGrid/>
        <w:spacing w:line="360" w:lineRule="auto"/>
        <w:ind w:firstLine="0" w:firstLineChars="0"/>
        <w:textAlignment w:val="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流速：气体在管道或开放空间中的运动速度，通常以米/秒（m/s）为单位。</w:t>
      </w:r>
    </w:p>
    <w:p>
      <w:pPr>
        <w:pStyle w:val="56"/>
        <w:keepNext w:val="0"/>
        <w:keepLines w:val="0"/>
        <w:pageBreakBefore w:val="0"/>
        <w:numPr>
          <w:ilvl w:val="0"/>
          <w:numId w:val="33"/>
        </w:numPr>
        <w:kinsoku/>
        <w:wordWrap/>
        <w:overflowPunct/>
        <w:topLinePunct w:val="0"/>
        <w:bidi w:val="0"/>
        <w:adjustRightInd/>
        <w:snapToGrid/>
        <w:spacing w:line="360" w:lineRule="auto"/>
        <w:ind w:firstLine="0" w:firstLineChars="0"/>
        <w:textAlignment w:val="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流量：单位时间内通过某一截面的气体体积或质量，通常以立方米/小时（m³/h）为单位。</w:t>
      </w:r>
    </w:p>
    <w:p>
      <w:pPr>
        <w:pStyle w:val="56"/>
        <w:keepNext w:val="0"/>
        <w:keepLines w:val="0"/>
        <w:pageBreakBefore w:val="0"/>
        <w:numPr>
          <w:ilvl w:val="0"/>
          <w:numId w:val="33"/>
        </w:numPr>
        <w:kinsoku/>
        <w:wordWrap/>
        <w:overflowPunct/>
        <w:topLinePunct w:val="0"/>
        <w:bidi w:val="0"/>
        <w:adjustRightInd/>
        <w:snapToGrid/>
        <w:spacing w:line="360" w:lineRule="auto"/>
        <w:ind w:firstLine="0" w:firstLineChars="0"/>
        <w:textAlignment w:val="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气体种类：泄漏气体的类型，如天然气、氢气、甲烷、一氧化碳等。</w:t>
      </w:r>
    </w:p>
    <w:p>
      <w:pPr>
        <w:pStyle w:val="56"/>
        <w:keepNext w:val="0"/>
        <w:keepLines w:val="0"/>
        <w:pageBreakBefore w:val="0"/>
        <w:numPr>
          <w:ilvl w:val="0"/>
          <w:numId w:val="33"/>
        </w:numPr>
        <w:kinsoku/>
        <w:wordWrap/>
        <w:overflowPunct/>
        <w:topLinePunct w:val="0"/>
        <w:bidi w:val="0"/>
        <w:adjustRightInd/>
        <w:snapToGrid/>
        <w:spacing w:line="360" w:lineRule="auto"/>
        <w:ind w:firstLine="0" w:firstLineChars="0"/>
        <w:textAlignment w:val="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气体浓度：泄漏气体在空气中的浓度，通常以百分比（%）或部分每百万（ppm）为单位。</w:t>
      </w:r>
    </w:p>
    <w:p>
      <w:pPr>
        <w:pStyle w:val="56"/>
        <w:keepNext w:val="0"/>
        <w:keepLines w:val="0"/>
        <w:pageBreakBefore w:val="0"/>
        <w:numPr>
          <w:ilvl w:val="0"/>
          <w:numId w:val="33"/>
        </w:numPr>
        <w:kinsoku/>
        <w:wordWrap/>
        <w:overflowPunct/>
        <w:topLinePunct w:val="0"/>
        <w:bidi w:val="0"/>
        <w:adjustRightInd/>
        <w:snapToGrid/>
        <w:spacing w:line="360" w:lineRule="auto"/>
        <w:ind w:firstLine="0" w:firstLineChars="0"/>
        <w:textAlignment w:val="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泄漏位置：泄漏气体的具体位置，有助于确定泄漏来源和采取相应措施。</w:t>
      </w:r>
    </w:p>
    <w:p>
      <w:pPr>
        <w:pStyle w:val="105"/>
        <w:spacing w:before="156" w:after="156" w:line="360" w:lineRule="auto"/>
      </w:pPr>
      <w:bookmarkStart w:id="184" w:name="_Toc29427"/>
      <w:bookmarkStart w:id="185" w:name="_Toc19600"/>
      <w:r>
        <w:rPr>
          <w:rFonts w:hint="eastAsia"/>
        </w:rPr>
        <w:t>风向参数和水文参数</w:t>
      </w:r>
      <w:bookmarkEnd w:id="184"/>
      <w:bookmarkEnd w:id="18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风向参数主要包括：</w:t>
      </w:r>
    </w:p>
    <w:p>
      <w:pPr>
        <w:pStyle w:val="165"/>
        <w:numPr>
          <w:ilvl w:val="0"/>
          <w:numId w:val="34"/>
        </w:numPr>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风速：风在单位时间内通过某一截面的平均速度，通常以米/秒（m/s）为单位。</w:t>
      </w:r>
    </w:p>
    <w:p>
      <w:pPr>
        <w:pStyle w:val="165"/>
        <w:numPr>
          <w:ilvl w:val="0"/>
          <w:numId w:val="34"/>
        </w:numPr>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风向：风的来向，表示风从哪个方向吹来，通常以度（°）或者方位角来表示。</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水文参数主要包括：</w:t>
      </w:r>
    </w:p>
    <w:p>
      <w:pPr>
        <w:pStyle w:val="165"/>
        <w:numPr>
          <w:ilvl w:val="0"/>
          <w:numId w:val="35"/>
        </w:numPr>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水位：水体的高度或深度，通常以米（m）为单位。</w:t>
      </w:r>
    </w:p>
    <w:p>
      <w:pPr>
        <w:pStyle w:val="165"/>
        <w:numPr>
          <w:ilvl w:val="0"/>
          <w:numId w:val="35"/>
        </w:numPr>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流速：水在河道或管道内的平均流动速度，通常以米/秒（m/s）为单位。</w:t>
      </w:r>
    </w:p>
    <w:p>
      <w:pPr>
        <w:pStyle w:val="165"/>
        <w:numPr>
          <w:ilvl w:val="0"/>
          <w:numId w:val="35"/>
        </w:numPr>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流量：单位时间内通过某一截面的水体体积，通常以立方米/秒（m³/s）为单位。</w:t>
      </w:r>
    </w:p>
    <w:p>
      <w:pPr>
        <w:pStyle w:val="165"/>
        <w:numPr>
          <w:ilvl w:val="0"/>
          <w:numId w:val="35"/>
        </w:numPr>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水温：水体的温度，通常以摄氏度（℃）为单位。</w:t>
      </w:r>
    </w:p>
    <w:p>
      <w:pPr>
        <w:pStyle w:val="165"/>
        <w:numPr>
          <w:ilvl w:val="0"/>
          <w:numId w:val="35"/>
        </w:numPr>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水质：水体中溶解和悬浮物质的种类和浓度，如pH值、溶解氧、化学需氧量（COD）、氨氮等。</w:t>
      </w:r>
    </w:p>
    <w:p>
      <w:pPr>
        <w:pStyle w:val="104"/>
        <w:spacing w:before="312" w:after="312" w:line="360" w:lineRule="auto"/>
      </w:pPr>
      <w:bookmarkStart w:id="186" w:name="_Toc13156"/>
      <w:bookmarkStart w:id="187" w:name="_Toc11544"/>
      <w:r>
        <w:rPr>
          <w:rFonts w:hint="eastAsia"/>
        </w:rPr>
        <w:t>日常运行</w:t>
      </w:r>
      <w:bookmarkEnd w:id="186"/>
      <w:bookmarkEnd w:id="187"/>
    </w:p>
    <w:p>
      <w:pPr>
        <w:pStyle w:val="105"/>
        <w:spacing w:before="156" w:after="156" w:line="360" w:lineRule="auto"/>
      </w:pPr>
      <w:bookmarkStart w:id="188" w:name="_Toc25401"/>
      <w:bookmarkStart w:id="189" w:name="_Toc31184"/>
      <w:r>
        <w:rPr>
          <w:rFonts w:hint="eastAsia"/>
        </w:rPr>
        <w:t>注采井监测</w:t>
      </w:r>
      <w:bookmarkEnd w:id="188"/>
      <w:bookmarkEnd w:id="189"/>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录取井口温度、压力、各环空压力以及注采气量等数据;应实时录取，实现数据远程传输。生产异常或调整井口开度时，应加密录取。</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采气期选择有代表性的井，至少每天进行一次油、气、水取样及分析。注气期至少每天对注入气进行一次取样及分析。</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当油管壁厚小于油管最小强度要求厚度，或井下封隔器、井下安全阀等失效时应进行油管柱更换作业。</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注采井需要采取封堵措施时，封堵应保证储气目的层与其他层段、井筒间的有效封隔。</w:t>
      </w:r>
    </w:p>
    <w:p>
      <w:pPr>
        <w:pStyle w:val="105"/>
        <w:spacing w:before="156" w:after="156" w:line="360" w:lineRule="auto"/>
      </w:pPr>
      <w:bookmarkStart w:id="190" w:name="_Toc7283"/>
      <w:bookmarkStart w:id="191" w:name="_Toc15586"/>
      <w:r>
        <w:rPr>
          <w:rFonts w:hint="eastAsia"/>
        </w:rPr>
        <w:t>监测井监测</w:t>
      </w:r>
      <w:bookmarkEnd w:id="190"/>
      <w:bookmarkEnd w:id="191"/>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储气库内部监测井每天录取一次井口压力。</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配备井下压力和温度监测仪器的监测井</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实时录取井底压力和温度。</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对配备微地震监测设备的监测井，应实时录取监测数据，数据采集频率应不低于1/4毫秒，并定期对监测数据进行处理分析。</w:t>
      </w:r>
    </w:p>
    <w:p>
      <w:pPr>
        <w:pStyle w:val="105"/>
        <w:spacing w:before="156" w:after="156" w:line="360" w:lineRule="auto"/>
      </w:pPr>
      <w:bookmarkStart w:id="192" w:name="_Toc966"/>
      <w:bookmarkStart w:id="193" w:name="_Toc26601"/>
      <w:r>
        <w:rPr>
          <w:rFonts w:hint="eastAsia"/>
        </w:rPr>
        <w:t>封堵井监测</w:t>
      </w:r>
      <w:bookmarkEnd w:id="192"/>
      <w:bookmarkEnd w:id="193"/>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应建立定期巡检制度及维护保养制度。</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应安装井口装置和压力表。</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井口带压井应加密监测，记录井口压力数据，并做好防护，定期检测流体组分和井筒液面。</w:t>
      </w:r>
    </w:p>
    <w:p>
      <w:pPr>
        <w:pStyle w:val="105"/>
        <w:spacing w:before="156" w:after="156" w:line="360" w:lineRule="auto"/>
      </w:pPr>
      <w:bookmarkStart w:id="194" w:name="_Toc3379"/>
      <w:bookmarkStart w:id="195" w:name="_Toc31306"/>
      <w:r>
        <w:rPr>
          <w:rFonts w:hint="eastAsia"/>
        </w:rPr>
        <w:t>气藏监测</w:t>
      </w:r>
      <w:bookmarkEnd w:id="194"/>
      <w:bookmarkEnd w:id="19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实时对注采井和监测井压力和温度进行监测，对控制气藏压力分布的定点测压井，实时监测静止地层压力，非定点测压井，可每天监测一次静止地层压力。使用精度0.2%以上的压力计测量。对纯气井或井底无积液的井，采用精度在0.1%以上的压力计测井口压力。</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定期分析储气库库容及工作气量变化规律，以及油气、油水界面变化。</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地下储气库运行上限压力不宜超过气藏原始压力。对于构造较为完整、盖层密封性好且内部断裂不发育的背斜或断背斜构造，以及盖层及边界地层侧向密封性好且内部断裂不发育的岩性油气藏，经过评估后可提高储气库运行的上限压力，但不能高于气藏静水柱压力的1.2倍。</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地下储气库运行下限压力应考虑采气末期最低调峰能力、单井最低生产能力和配套的长输管道外输压力的要求，应避免采气末期边、底水对气井产能的影响。</w:t>
      </w:r>
    </w:p>
    <w:p>
      <w:pPr>
        <w:pStyle w:val="105"/>
        <w:spacing w:before="156" w:after="156" w:line="360" w:lineRule="auto"/>
      </w:pPr>
      <w:bookmarkStart w:id="196" w:name="_Toc2410"/>
      <w:bookmarkStart w:id="197" w:name="_Toc30776"/>
      <w:r>
        <w:rPr>
          <w:rFonts w:hint="eastAsia"/>
        </w:rPr>
        <w:t>地面沉降监测</w:t>
      </w:r>
      <w:bookmarkEnd w:id="196"/>
      <w:bookmarkEnd w:id="197"/>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对库区内监测点的水平位移和垂直位移进行监测。</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每月监测一次库区内监测点的水平位移和垂直位移，已经发生沉降的区域宜10天监测一次。</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采用国家二等水准点测量数据作为基准数据，每千米水准测量的偶然误差不应超过0.1mm。</w:t>
      </w:r>
    </w:p>
    <w:p>
      <w:pPr>
        <w:pStyle w:val="105"/>
        <w:spacing w:before="156" w:after="156" w:line="360" w:lineRule="auto"/>
      </w:pPr>
      <w:bookmarkStart w:id="198" w:name="_Toc1851"/>
      <w:bookmarkStart w:id="199" w:name="_Toc20716"/>
      <w:r>
        <w:rPr>
          <w:rFonts w:hint="eastAsia"/>
        </w:rPr>
        <w:t>微地震监测</w:t>
      </w:r>
      <w:bookmarkEnd w:id="198"/>
      <w:bookmarkEnd w:id="199"/>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具备微地震事件监测条件的库区宜开展微地震事件监测。</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有监测井的库区宜采用井下永久监测的方式布置检波器。</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校验信号的位置应尽量接近压裂位置，记录校验信号的类型、激发能量、空间位置和触发时间。校验信号源一般为射孔或导爆索。</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微地震信号采集应满足以下要求：</w:t>
      </w:r>
    </w:p>
    <w:p>
      <w:pPr>
        <w:pStyle w:val="165"/>
        <w:numPr>
          <w:ilvl w:val="9"/>
          <w:numId w:val="0"/>
        </w:numPr>
        <w:spacing w:line="360" w:lineRule="auto"/>
        <w:ind w:left="630" w:leftChars="30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a）压裂施工设备与地震仪的时钟时间应保持同步，若不同步应记录两者时差。</w:t>
      </w:r>
    </w:p>
    <w:p>
      <w:pPr>
        <w:pStyle w:val="165"/>
        <w:numPr>
          <w:ilvl w:val="9"/>
          <w:numId w:val="0"/>
        </w:numPr>
        <w:spacing w:line="360" w:lineRule="auto"/>
        <w:ind w:left="630" w:leftChars="30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b)压裂施工前不少于0.5h开始监测。</w:t>
      </w:r>
    </w:p>
    <w:p>
      <w:pPr>
        <w:pStyle w:val="165"/>
        <w:numPr>
          <w:ilvl w:val="9"/>
          <w:numId w:val="0"/>
        </w:numPr>
        <w:spacing w:line="360" w:lineRule="auto"/>
        <w:ind w:left="630" w:leftChars="30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c）压裂施工结束后继续监测不少于lh。</w:t>
      </w:r>
    </w:p>
    <w:p>
      <w:pPr>
        <w:pStyle w:val="105"/>
        <w:spacing w:before="156" w:after="156" w:line="360" w:lineRule="auto"/>
      </w:pPr>
      <w:bookmarkStart w:id="200" w:name="_Toc14919"/>
      <w:bookmarkStart w:id="201" w:name="_Toc17047"/>
      <w:r>
        <w:rPr>
          <w:rFonts w:hint="eastAsia"/>
        </w:rPr>
        <w:t>示踪剂监测</w:t>
      </w:r>
      <w:bookmarkEnd w:id="200"/>
      <w:bookmarkEnd w:id="201"/>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对库区内监测点的示踪剂浓度进行监测，实时进行库区内示踪剂监测。</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监测点的布置密度应满足监测的需要。</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每次取样前应确定大气中示踪剂浓度的背景值。</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取样时间应满足吸附材料对示踪剂的吸附时间要求，确保吸附效果。</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检测设备精度应具备准确检测示踪剂浓度的能力。</w:t>
      </w:r>
    </w:p>
    <w:p>
      <w:pPr>
        <w:pStyle w:val="105"/>
        <w:spacing w:before="156" w:after="156" w:line="360" w:lineRule="auto"/>
        <w:rPr>
          <w:color w:val="000000" w:themeColor="text1"/>
          <w14:textFill>
            <w14:solidFill>
              <w14:schemeClr w14:val="tx1"/>
            </w14:solidFill>
          </w14:textFill>
        </w:rPr>
      </w:pPr>
      <w:bookmarkStart w:id="202" w:name="_Toc8962"/>
      <w:bookmarkStart w:id="203" w:name="_Toc3459"/>
      <w:r>
        <w:rPr>
          <w:rFonts w:hint="eastAsia"/>
          <w:color w:val="000000" w:themeColor="text1"/>
          <w14:textFill>
            <w14:solidFill>
              <w14:schemeClr w14:val="tx1"/>
            </w14:solidFill>
          </w14:textFill>
        </w:rPr>
        <w:t>数据处理与分析</w:t>
      </w:r>
      <w:bookmarkEnd w:id="202"/>
      <w:bookmarkEnd w:id="203"/>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数据处理包括数据清洗、数据校验和数据整合，以确保数据的质量和完整性。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数据分析采用统计分析、机器学习和人工智能等方法，对历史数据进行深度挖掘，发现安全隐患和风险趋势。</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数据分析结果应能反映储气库的安全状况，为预警信息发布和应急响应提供依据。</w:t>
      </w:r>
    </w:p>
    <w:p>
      <w:pPr>
        <w:pStyle w:val="105"/>
        <w:spacing w:before="156" w:after="156" w:line="360" w:lineRule="auto"/>
      </w:pPr>
      <w:bookmarkStart w:id="204" w:name="_Toc15577"/>
      <w:bookmarkStart w:id="205" w:name="_Toc9073"/>
      <w:r>
        <w:rPr>
          <w:rFonts w:hint="eastAsia"/>
        </w:rPr>
        <w:t>系统维护与管理</w:t>
      </w:r>
      <w:bookmarkEnd w:id="204"/>
      <w:bookmarkEnd w:id="20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储气库安全预警系统应建立完善的维护和管理制度，确保系统的正常运行和高效性能。</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系统维护应定期进行硬件检查、软件更新和数据备份等操作，确保系统的稳定性和可靠性。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系统管理应建立责任制度，明确各职责部门和人员的工作内容和权限范围。</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设备维护与保养应遵循设备制造商的建议和行业标准，结合实际运行情况制定合理的维护周期。</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建立设备维护记录，包括维修日期、维修内容、维修人员等信息，以便跟踪设备状况和制定后续维护计划。</w:t>
      </w:r>
    </w:p>
    <w:p>
      <w:pPr>
        <w:pStyle w:val="105"/>
        <w:spacing w:before="156" w:after="156" w:line="360" w:lineRule="auto"/>
      </w:pPr>
      <w:bookmarkStart w:id="206" w:name="_Toc29828"/>
      <w:bookmarkStart w:id="207" w:name="_Toc27633"/>
      <w:r>
        <w:rPr>
          <w:rFonts w:hint="eastAsia"/>
        </w:rPr>
        <w:t>凝液处理工艺</w:t>
      </w:r>
      <w:bookmarkEnd w:id="206"/>
      <w:bookmarkEnd w:id="207"/>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凝液处理宜依托周边已建处理设施，当周边无依托或者凝液外输管道可靠性差时，经技术经济论证，可独立设置凝液处理装置。</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凝析气中分离出的凝析油应进行稳定处理，凝析油进稳定装置前的集输和处理工艺应密闭进行。</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稳定凝析油在最高储存温度下的饱和蒸气压的设计值不宜超过当地大气压的0.7倍。</w:t>
      </w:r>
    </w:p>
    <w:p>
      <w:pPr>
        <w:pStyle w:val="105"/>
        <w:spacing w:before="156" w:after="156" w:line="360" w:lineRule="auto"/>
      </w:pPr>
      <w:bookmarkStart w:id="208" w:name="_Toc9189"/>
      <w:bookmarkStart w:id="209" w:name="_Toc16065"/>
      <w:r>
        <w:rPr>
          <w:rFonts w:hint="eastAsia"/>
        </w:rPr>
        <w:t>安全截断及泄放</w:t>
      </w:r>
      <w:bookmarkEnd w:id="208"/>
      <w:bookmarkEnd w:id="209"/>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安全放空系统应按照先关断后放空、保护储气量的原则进行设计。</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井口及进出集注站的集输管道应设置安全截断阀。</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压缩机进出口管道宜采用“8”字盲板或双截断阀、中间加放空管的方式进行隔离。</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放空管道必须保持畅通，并应符合下列要求：</w:t>
      </w:r>
    </w:p>
    <w:p>
      <w:pPr>
        <w:pStyle w:val="165"/>
        <w:numPr>
          <w:ilvl w:val="7"/>
          <w:numId w:val="0"/>
        </w:numPr>
        <w:spacing w:line="360" w:lineRule="auto"/>
        <w:ind w:left="630" w:leftChars="30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a.高压、低压放空管宜分别设置，并应直接与火炬或放空总管连接。</w:t>
      </w:r>
    </w:p>
    <w:p>
      <w:pPr>
        <w:pStyle w:val="165"/>
        <w:numPr>
          <w:ilvl w:val="7"/>
          <w:numId w:val="0"/>
        </w:numPr>
        <w:spacing w:line="360" w:lineRule="auto"/>
        <w:ind w:left="630" w:leftChars="30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b.不同排放压力的可燃气体放空管接入同一排放系统时，应确保不同压力的放空点能同时安全排放。</w:t>
      </w:r>
    </w:p>
    <w:p>
      <w:pPr>
        <w:pStyle w:val="104"/>
        <w:spacing w:before="312" w:after="312" w:line="360" w:lineRule="auto"/>
      </w:pPr>
      <w:bookmarkStart w:id="210" w:name="_Toc23656"/>
      <w:bookmarkStart w:id="211" w:name="_Toc25653"/>
      <w:r>
        <w:rPr>
          <w:rFonts w:hint="eastAsia"/>
        </w:rPr>
        <w:t>检测与评价</w:t>
      </w:r>
      <w:bookmarkEnd w:id="210"/>
      <w:bookmarkEnd w:id="211"/>
    </w:p>
    <w:p>
      <w:pPr>
        <w:pStyle w:val="105"/>
        <w:spacing w:before="156" w:after="156" w:line="360" w:lineRule="auto"/>
      </w:pPr>
      <w:bookmarkStart w:id="212" w:name="_Toc8097"/>
      <w:bookmarkStart w:id="213" w:name="_Toc5022"/>
      <w:r>
        <w:rPr>
          <w:rFonts w:hint="eastAsia"/>
        </w:rPr>
        <w:t>基本要求</w:t>
      </w:r>
      <w:bookmarkEnd w:id="212"/>
      <w:bookmarkEnd w:id="213"/>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应定期对注采井的井口装置、井筒状况进行检测。</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每年组织一次油套环空液面检测，油套环空压力异常和油套环空液面下降的井可增加检测次数。</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为避免灾害发生，储气库应当建立数据采集与监视控制系统，对库区进行实时数据采集和监视控制。井场和集气站要有独立的自动控制系统，对自身做到及时有效控制，预判危险，自动控制，避免灾害发生，同时又与数据采集与监视控制系统连接，做到库区整体协调统一运行。</w:t>
      </w:r>
    </w:p>
    <w:p>
      <w:pPr>
        <w:pStyle w:val="105"/>
        <w:spacing w:before="156" w:after="156" w:line="360" w:lineRule="auto"/>
      </w:pPr>
      <w:bookmarkStart w:id="214" w:name="_Toc28077"/>
      <w:bookmarkStart w:id="215" w:name="_Toc6581"/>
      <w:r>
        <w:rPr>
          <w:rFonts w:hint="eastAsia"/>
        </w:rPr>
        <w:t>井口装置检测与评价</w:t>
      </w:r>
      <w:bookmarkEnd w:id="214"/>
      <w:bookmarkEnd w:id="21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注采井投产后，一个月内应对井口装置进行首次检测。根据上次（或首次）检测结果和生产工况决定下次检测时间，两次检测周期间隔不应超过一个月。</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检测项目包括外观检查、壁厚检测、缺陷检测、密封性检测等，有需要时宜进行表面硬度检测。</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气体流动方向发生改变的部位、采气通道过流截面发生改变的部位及外部存在腐蚀环境的部位，应进行重点检测。</w:t>
      </w:r>
    </w:p>
    <w:p>
      <w:pPr>
        <w:pStyle w:val="105"/>
        <w:spacing w:before="156" w:after="156" w:line="360" w:lineRule="auto"/>
      </w:pPr>
      <w:bookmarkStart w:id="216" w:name="_Toc15004"/>
      <w:bookmarkStart w:id="217" w:name="_Toc22371"/>
      <w:r>
        <w:rPr>
          <w:rFonts w:hint="eastAsia"/>
        </w:rPr>
        <w:t>井筒检测与评价</w:t>
      </w:r>
      <w:bookmarkEnd w:id="216"/>
      <w:bookmarkEnd w:id="217"/>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注采井投产后，一周内应对井筒进行首次检测。根据上次（或首次）检测结果和生产工况决定下次检测时间，两次检测周期间隔不应超过一周。</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检测项目包括油套管腐蚀检测、固井质量检测及密封性检测，套管和固井质量检测宜在修井作业时进行。</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应每周行一次油套环空保护液液面检测，根据液面变化情况及时采取措施。</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对储气库井套管柱应进行密封检测，评判出套管柱是否存在漏失点，宜选用温度测井仪、噪声测井仪、并筒泄漏检测定位工具、超声波成像测井仪等适当的地球物理测井设备。</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对作为采气井使用的原有老井套管柱应采用清水介质试压至井口处最大运行压力值的1.1倍，但不可超出套管任一点最小屈服压力值的85%，且30min压降不大于0.5MPa，评判为管柱密封合格。</w:t>
      </w:r>
    </w:p>
    <w:p>
      <w:pPr>
        <w:pStyle w:val="105"/>
        <w:spacing w:before="156" w:after="156" w:line="360" w:lineRule="auto"/>
      </w:pPr>
      <w:bookmarkStart w:id="218" w:name="_Toc29671"/>
      <w:bookmarkStart w:id="219" w:name="_Toc18381"/>
      <w:r>
        <w:rPr>
          <w:rFonts w:hint="eastAsia"/>
        </w:rPr>
        <w:t>环空压力检测与评价</w:t>
      </w:r>
      <w:bookmarkEnd w:id="218"/>
      <w:bookmarkEnd w:id="219"/>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当环空压力出现异常变化时，应结合井简温度环境变化、环空液面测试结果、环空压力变化及泄放测试等资料，综合分析判断变化原因。</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井作业方应将各环空的运行范围确定在规定的上限值和下限值之间。所设定的上限值要低于套管环隙最大容许压力，以确保能有足够的时间来启动纠正措施。</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于每次环空泄压或充注作业，都要将从环空中放泄或添加入环空的流体总量，及泄压所用的时间记录在案。同时记录进行泄压的频率，及泄压时从环空中放泄的流体总量。然后将此类数据与井作业方在运行范围中确定的极限值进行对比，如此类数据超出其极限值，则应对其进行调查。</w:t>
      </w:r>
    </w:p>
    <w:p>
      <w:pPr>
        <w:pStyle w:val="105"/>
        <w:spacing w:before="156" w:after="156" w:line="360" w:lineRule="auto"/>
      </w:pPr>
      <w:bookmarkStart w:id="220" w:name="_Toc4978"/>
      <w:bookmarkStart w:id="221" w:name="_Toc12964"/>
      <w:r>
        <w:rPr>
          <w:rFonts w:hint="eastAsia"/>
        </w:rPr>
        <w:t>地质体密封性评价</w:t>
      </w:r>
      <w:bookmarkEnd w:id="220"/>
      <w:bookmarkEnd w:id="221"/>
    </w:p>
    <w:p>
      <w:pPr>
        <w:pStyle w:val="65"/>
        <w:spacing w:before="156" w:after="156" w:line="360" w:lineRule="auto"/>
      </w:pPr>
      <w:r>
        <w:rPr>
          <w:rFonts w:hint="eastAsia"/>
        </w:rPr>
        <w:t>盖层及底托层</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利用地质综合分析和室内实验方法，对盖层的宏观封闭能力和微观有效性进行评价。</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当储气库运行压力超过盖层最小突破压力时，盖层垂向密封性失效。储气库运行压力不能高于盖层垂向临界压力</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通过测定交变工况下盖层最小的动态突破压力来确定。当发现压力超过设定值时，应立即发出预警信号。</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利用矿场水力压裂试验获取盖层的破裂压力。</w:t>
      </w:r>
    </w:p>
    <w:p>
      <w:pPr>
        <w:pStyle w:val="65"/>
        <w:spacing w:before="156" w:after="156" w:line="360" w:lineRule="auto"/>
      </w:pPr>
      <w:r>
        <w:rPr>
          <w:rFonts w:hint="eastAsia"/>
        </w:rPr>
        <w:t>断层</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根据断裂充填物性质、是否存在孔隙流体超压、断层两盘岩性配置、两侧井的含油气性及压力系统等定性分析断层封闭性。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利用泥岩涂抹系数、断移地层砂泥比值、断面正压力、断层横向封闭系数、断层面物质涂抹等分析方法定量评价断层封闭性。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储气库运行压力超过断层面开启压力时，断层密封性失效。储气库运行压力不能高于断层面开启的临界压力。当发现压力超过设定值时，应立即发出预警信号。</w:t>
      </w:r>
    </w:p>
    <w:p>
      <w:pPr>
        <w:pStyle w:val="65"/>
        <w:spacing w:before="156" w:after="156" w:line="360" w:lineRule="auto"/>
      </w:pPr>
      <w:r>
        <w:rPr>
          <w:rFonts w:hint="eastAsia"/>
        </w:rPr>
        <w:t>边界地层</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对于岩性气藏建库，利用地质综合分析方法和室内实验评价边界地层的致密性。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当储气库运行压力超过边界地层的最小突破压力时，边界地层密封性失效。储气库运行压力不能高于边界地层密封临界压力。当发现压力超过设定值时，应立即发出预警信号。</w:t>
      </w:r>
    </w:p>
    <w:p>
      <w:pPr>
        <w:pStyle w:val="65"/>
        <w:spacing w:before="156" w:after="156" w:line="360" w:lineRule="auto"/>
      </w:pPr>
      <w:r>
        <w:rPr>
          <w:rFonts w:hint="eastAsia"/>
        </w:rPr>
        <w:t>溢出点</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利用地质综合研究方法，确定储气圈闭溢出点构造位置、埋深、幅度等。</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当储气库运行压力超过圈闭溢出点压力后，天然气逸出。储气库运行压力不能高于溢出点气体逸散临界压力。当发现压力超过设定值时，应立即发出预警信号。</w:t>
      </w:r>
    </w:p>
    <w:p>
      <w:pPr>
        <w:pStyle w:val="105"/>
        <w:spacing w:before="156" w:after="156" w:line="360" w:lineRule="auto"/>
      </w:pPr>
      <w:bookmarkStart w:id="222" w:name="_Toc21645"/>
      <w:bookmarkStart w:id="223" w:name="_Toc3969"/>
      <w:r>
        <w:rPr>
          <w:rFonts w:hint="eastAsia"/>
        </w:rPr>
        <w:t>检测数据异常处理措施</w:t>
      </w:r>
      <w:bookmarkEnd w:id="222"/>
      <w:bookmarkEnd w:id="223"/>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在对储气库进行检测时，如果发现数据异常，可以采取以下措施：</w:t>
      </w:r>
    </w:p>
    <w:p>
      <w:pPr>
        <w:pStyle w:val="165"/>
        <w:numPr>
          <w:ilvl w:val="0"/>
          <w:numId w:val="36"/>
        </w:numPr>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数据核查：对异常数据进行核查，以确认数据是否准确。这可能包括重新采集数据、检查数据采集设备和监测系统等。</w:t>
      </w:r>
    </w:p>
    <w:p>
      <w:pPr>
        <w:pStyle w:val="165"/>
        <w:numPr>
          <w:ilvl w:val="0"/>
          <w:numId w:val="36"/>
        </w:numPr>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诊断问题：根据异常数据的类型和特点，尝试诊断可能存在的问题，例如泄漏、地层压力异常、储层物性变化等。</w:t>
      </w:r>
    </w:p>
    <w:p>
      <w:pPr>
        <w:pStyle w:val="165"/>
        <w:numPr>
          <w:ilvl w:val="0"/>
          <w:numId w:val="36"/>
        </w:numPr>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详细分析：对异常数据进行深入分析，包括与历史数据对比、与相邻区域对比等，以确定问题的严重程度和可能的原因。</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根据诊断结果和分析取相应的应对措施。这可能包括：</w:t>
      </w:r>
    </w:p>
    <w:p>
      <w:pPr>
        <w:pStyle w:val="165"/>
        <w:numPr>
          <w:ilvl w:val="0"/>
          <w:numId w:val="37"/>
        </w:numPr>
        <w:spacing w:line="360" w:lineRule="auto"/>
        <w:ind w:left="840" w:leftChars="0" w:firstLineChars="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修复设备：如果问题源于设备故障，应尽快进行维修或更换。</w:t>
      </w:r>
    </w:p>
    <w:p>
      <w:pPr>
        <w:pStyle w:val="165"/>
        <w:numPr>
          <w:ilvl w:val="0"/>
          <w:numId w:val="37"/>
        </w:numPr>
        <w:spacing w:line="360" w:lineRule="auto"/>
        <w:ind w:left="840" w:leftChars="0" w:firstLineChars="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调整操作参数：如果问题源于操作不当，可以调整注气、生产或压裂等参数以解决问题。</w:t>
      </w:r>
    </w:p>
    <w:p>
      <w:pPr>
        <w:pStyle w:val="165"/>
        <w:numPr>
          <w:ilvl w:val="0"/>
          <w:numId w:val="37"/>
        </w:numPr>
        <w:spacing w:line="360" w:lineRule="auto"/>
        <w:ind w:left="840" w:leftChars="0" w:firstLineChars="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泄漏应急：如果发现泄漏，应立即启动应急预案，封堵泄漏点并清除泄漏的气体。</w:t>
      </w:r>
    </w:p>
    <w:p>
      <w:pPr>
        <w:pStyle w:val="165"/>
        <w:numPr>
          <w:ilvl w:val="0"/>
          <w:numId w:val="37"/>
        </w:numPr>
        <w:spacing w:line="360" w:lineRule="auto"/>
        <w:ind w:left="840" w:leftChars="0" w:firstLineChars="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地层压力管理：如果问题源于地层压力异常，可以调整注气或生产参数以恢复正常压力。</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检测到数据接近预警值应对措施：</w:t>
      </w:r>
    </w:p>
    <w:p>
      <w:pPr>
        <w:pStyle w:val="165"/>
        <w:numPr>
          <w:ilvl w:val="0"/>
          <w:numId w:val="38"/>
        </w:numPr>
        <w:spacing w:line="360" w:lineRule="auto"/>
        <w:ind w:left="840" w:leftChars="0" w:firstLineChars="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一级预警：当监测数据接近预警值时，但未达到预警值，且与历史数据相比较小，发出一级预警信号，提醒对工作人员加强监测，监测周期缩短为原来监测周期的1/2。</w:t>
      </w:r>
    </w:p>
    <w:p>
      <w:pPr>
        <w:pStyle w:val="165"/>
        <w:numPr>
          <w:ilvl w:val="0"/>
          <w:numId w:val="38"/>
        </w:numPr>
        <w:spacing w:line="360" w:lineRule="auto"/>
        <w:ind w:left="840" w:leftChars="0" w:firstLineChars="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二级预警：当监测数据接近预警值时，但未达到预警值，与历史数据相比较大，具有较强的趋势性，发出二级预警信号，提醒储气库管理人员注意储气库的运行状态。同时将监测周期缩短为原来监测周期的1/3。</w:t>
      </w:r>
    </w:p>
    <w:p>
      <w:pPr>
        <w:pStyle w:val="165"/>
        <w:numPr>
          <w:ilvl w:val="0"/>
          <w:numId w:val="38"/>
        </w:numPr>
        <w:spacing w:line="360" w:lineRule="auto"/>
        <w:ind w:left="840" w:leftChars="0" w:firstLineChars="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三级预警：当监测数据接近预警值时，但未达到预警值，并且当前监测数据比预测值偏离较大或趋势不稳定，发出三级预警信号，要求进行深入分析，并加强监测，动态跟踪储气库运行状态。将监测周期缩短为原来监测周期的1/4。</w:t>
      </w:r>
    </w:p>
    <w:p>
      <w:pPr>
        <w:pStyle w:val="165"/>
        <w:numPr>
          <w:ilvl w:val="0"/>
          <w:numId w:val="38"/>
        </w:numPr>
        <w:spacing w:line="360" w:lineRule="auto"/>
        <w:ind w:left="840" w:leftChars="0" w:firstLineChars="0"/>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在缩短监测周期的同时，还应该加强监测指标的覆盖范围和数量，增加监测点，提高监测精度，以便更加全面、深入、准确地监测油气库的运行状况，并及时发现和处置潜在的安全隐患。</w:t>
      </w:r>
    </w:p>
    <w:p>
      <w:pPr>
        <w:pStyle w:val="104"/>
        <w:spacing w:before="312" w:after="312" w:line="360" w:lineRule="auto"/>
      </w:pPr>
      <w:bookmarkStart w:id="224" w:name="_Toc5233"/>
      <w:bookmarkStart w:id="225" w:name="_Toc17270"/>
      <w:r>
        <w:rPr>
          <w:rFonts w:hint="eastAsia"/>
        </w:rPr>
        <w:t>预警</w:t>
      </w:r>
      <w:bookmarkEnd w:id="224"/>
      <w:bookmarkEnd w:id="225"/>
    </w:p>
    <w:p>
      <w:pPr>
        <w:pStyle w:val="105"/>
        <w:spacing w:before="156" w:after="156" w:line="360" w:lineRule="auto"/>
      </w:pPr>
      <w:bookmarkStart w:id="226" w:name="_Toc16055"/>
      <w:bookmarkStart w:id="227" w:name="_Toc17659"/>
      <w:r>
        <w:rPr>
          <w:rFonts w:hint="eastAsia"/>
        </w:rPr>
        <w:t>一般要求</w:t>
      </w:r>
      <w:bookmarkEnd w:id="226"/>
      <w:bookmarkEnd w:id="227"/>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安全预警技术的选择应满足国家法律法规及强制性标准规定的要求，安全预警技术应满足特殊时期安全防范的要求。</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安全预警系统的时间应定期校准。</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系统应具备事件定位、故障报警、专家远程协同会诊、报警统计、登录管理、日志管理等功能。</w:t>
      </w:r>
    </w:p>
    <w:p>
      <w:pPr>
        <w:pStyle w:val="105"/>
        <w:spacing w:before="156" w:after="156" w:line="360" w:lineRule="auto"/>
      </w:pPr>
      <w:bookmarkStart w:id="228" w:name="_Toc26453"/>
      <w:bookmarkStart w:id="229" w:name="_Toc12571"/>
      <w:r>
        <w:rPr>
          <w:rFonts w:hint="eastAsia"/>
        </w:rPr>
        <w:t>灾害等级评判因素</w:t>
      </w:r>
      <w:bookmarkEnd w:id="228"/>
      <w:bookmarkEnd w:id="229"/>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涉及到大规模的设备故障、泄漏（储气库井泄漏、地质体泄露、井筒泄露、管道泄露、站场泄露）、火灾或爆炸等。导致大量的人员伤亡（20人以上）、财产损失（造成直接经济损失1000万元以上）和严重的环境污染。评价为Ⅰ级预警。</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涉及到中等规模的泄漏（储气库井泄漏、地质体泄露、井筒泄露、管道泄露、站场泄露）、火灾或设备故障等。可能造成较大的人员伤亡（10—20人）、财产损失（造成直接经济损失500—1000万元）和环境影响。评价为Ⅱ级预警。</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涉及到较小规模的泄漏（储气库井泄漏、地质体泄露、井筒泄露、管道泄露、站场泄露）、火灾或设备故障等。可能导致一定程度的人员伤亡（2—10人）、财产损失（造成直接经济损失100—500万元）和环境影响。评价为Ⅲ级预警。</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涉及到非常小规模的泄漏（储气库井泄漏、地质体泄露、井筒泄露、管道泄露、站场泄露）、火灾或设备故障等。可能导致轻微的人员伤亡（2人以下）、财产损失（造成直接经济损失100万元以下）和环境影响。评价为Ⅳ级预警。</w:t>
      </w:r>
    </w:p>
    <w:p>
      <w:pPr>
        <w:pStyle w:val="105"/>
        <w:spacing w:before="156" w:after="156" w:line="360" w:lineRule="auto"/>
      </w:pPr>
      <w:bookmarkStart w:id="230" w:name="_Toc18524"/>
      <w:bookmarkStart w:id="231" w:name="_Toc16151"/>
      <w:r>
        <w:rPr>
          <w:rFonts w:hint="eastAsia"/>
        </w:rPr>
        <w:t>预警级别划分</w:t>
      </w:r>
      <w:bookmarkEnd w:id="230"/>
      <w:bookmarkEnd w:id="231"/>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可以将预警信息划分为以下4级: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Ⅰ级预警：为极度严重事件报警，极其严重的异常，对人员安全和环境产生重大影响。此时需要紧急疏散、启动最高级别应急预案、上报相关部门、限制区域进入、实施抢险救援、评估环境影响和进行事后处理。标记为红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Ⅱ级预警：为严重事件报警，严重异常，对人员安全和环境产生较大影响。此时需要组织紧急会议、疏散人员、实施紧急措施和启动应急预案。标记为黄色。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Ⅲ级预警：为较重事件报警，局部异常，对人员安全和环境产生较小影响。此时需要诊断问题、限制作业、采取初步措施和加强部门合作。标记为橙色。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Ⅳ级预警：为轻微事件报警，潜在安全隐患，对人员安全和环境暂无实质性影响。此时需要加强监测、安全检查和提高人员警惕。标记为蓝色。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ascii="宋体" w:hAnsi="宋体" w:cs="宋体"/>
          <w:sz w:val="21"/>
          <w:szCs w:val="21"/>
          <w:lang w:eastAsia="zh-CN"/>
        </w:rPr>
      </w:pPr>
      <w:r>
        <w:rPr>
          <w:rFonts w:hint="eastAsia" w:ascii="Times New Roman" w:hAnsi="Times New Roman" w:eastAsia="宋体" w:cs="Times New Roman"/>
          <w:snapToGrid w:val="0"/>
          <w:color w:val="000000"/>
          <w:kern w:val="0"/>
          <w:sz w:val="21"/>
          <w:szCs w:val="21"/>
          <w:lang w:eastAsia="zh-CN"/>
        </w:rPr>
        <w:t>对于不同级别的预警信号，应实施相应的应对措施，确保储气库的安全运行。</w:t>
      </w:r>
    </w:p>
    <w:p>
      <w:pPr>
        <w:pStyle w:val="105"/>
        <w:spacing w:before="156" w:after="156" w:line="360" w:lineRule="auto"/>
        <w:rPr>
          <w:color w:val="000000" w:themeColor="text1"/>
          <w14:textFill>
            <w14:solidFill>
              <w14:schemeClr w14:val="tx1"/>
            </w14:solidFill>
          </w14:textFill>
        </w:rPr>
      </w:pPr>
      <w:bookmarkStart w:id="232" w:name="_Toc11053"/>
      <w:bookmarkStart w:id="233" w:name="_Toc9895"/>
      <w:r>
        <w:rPr>
          <w:rFonts w:hint="eastAsia"/>
          <w:color w:val="000000" w:themeColor="text1"/>
          <w14:textFill>
            <w14:solidFill>
              <w14:schemeClr w14:val="tx1"/>
            </w14:solidFill>
          </w14:textFill>
        </w:rPr>
        <w:t>应急响应措施</w:t>
      </w:r>
      <w:bookmarkEnd w:id="232"/>
      <w:bookmarkEnd w:id="233"/>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灾害发生时，系统进行研判同时发出预警级别并上报有关部门，启动该预警级别的应急预案，成立临时指挥部进行应急指挥。临时指挥部应包括：后援保障组、抢险抢救组，现场治安组、总指挥部。</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 xml:space="preserve"> Ⅰ级预警应急措施：1.立即启动应急响应计划，组织应急指挥部并通知相关部门。 2.对现场进行紧急疏散，确保人员安全。3.启动抢险救援队伍，开展灾害现场的抢救、扑救火灾、防止泄漏扩散等工作。4.封锁事故现场，设置警戒区域，禁止无关人员进入。5.向相关政府部门报告事故情况，请求支援。6.监测事故对环境和周边社区的影响，采取相应的环境治理措施。</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Ⅱ级预警应急措施：1.启动应急预案，通知相关部门。2.加强现场监测，评估事故可能造成的影响。3.进行紧急处理和抢修，以减轻事故损失。4.如有必要，进行局部疏散和警戒。5.向相关政府部门报告事故情况。6.对事故进行调查，分析原因，制定防范措施。6.恢复受损设施，确保正常运行。</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 xml:space="preserve"> Ⅲ级预警应急措施：1.加强现场监测，评估事故可能造成的影响。2.进行现场处理和抢修，以降低损失。3.向相关政府部门报告事故情况。4.分析事故原因，制定防范措施。 5.恢复受损设施，确保正常运行。</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Ⅳ级预警应急措施：1.加强现场监测，评估事故可能造成的影响。2.进行现场处理和抢修，以减少损失。3.向相关政府部门报告事故情况。4.分析事故原因，制定防范措施。5.恢复受损设施，确保正常运行。</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通过结合储气库气体溢失流速、流量，地表气体浓度、分布范围和地表风速、风向参数，水文参数等采取应对措施。对气体覆盖区、预计流向区域和蒸气云爆炸致灾范围内的人员进行全面疏散至安全区域。</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气体泄漏应急处理</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根据气体浓度和波及范围，将气体泄漏事故划分为四个等级，分别为低、中、高和极高。</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低浓度等级（0%-20%）：气体浓度在允许范围内，波及范围较小，风向风速稳定，在此情况下可继续进行正常操作和工作。</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中浓度等级（20%-50%）：气体浓度达到预警值，波及范围可能会扩大，风向风速可能会有所变化，在此情况下需要采取紧急措施，包括对储气库及周边区域进行紧急通知并制定疏散计划等。</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高浓度等级（50%-80%）：气体浓度超出预警值，波及范围进一步扩大，风力风向可能会有明显变化，此时应迅速启动应急预案，并对危险区域进行封锁和警戒等。</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极高浓度等级（80%-100%）：气体浓度达到极高值，波及范围进一步扩大，风速明显增大，甚至可能产生爆炸等严重后果。此时应立即启动应急预案，迅速疏散人员，并向上级领导和当地有关部门请求支援。</w:t>
      </w:r>
    </w:p>
    <w:p>
      <w:pPr>
        <w:pStyle w:val="9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疏散和撤离：在确定安全区域后，需要根据风向和风速决定疏散方向。如果风向与疏散方向相反，应避免沿着风向前进，而选择垂直于风向的方向。同时，还要注意根据风速确定疏散速度，以确保人员安全撤离。在撤离人员时，需要通过疏散警报系统、扩音器、喇叭等设备及时向人员发出疏散指令，在撤离途中，需提醒人员快速有序地撤离，避免出现拥堵，特别是防止人员向事故源方向逃窜。同时，应配备疏散队伍，对人员进行有序引导和组织，确保每个人能够尽快安全撤离。在疏散结束后，需进行现场清理和安全检查，确保没有人员滞留和隐患存在。</w:t>
      </w:r>
    </w:p>
    <w:p>
      <w:pPr>
        <w:pStyle w:val="9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疏散区域确定：需要根据波及范围划定疏散区域，一般以气体浓度达到预警值附近为半径划定圆形疏散区域，进一步确定疏散方向和安全区域。在划定疏散区域时，需根据气体浓度和波及范围同时考虑，避免将人员疏散到依然存在危险的区域。</w:t>
      </w:r>
    </w:p>
    <w:p>
      <w:pPr>
        <w:pStyle w:val="9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清理和处置：根据气体类型和浓度，确定清理和处置方案。在确认安全后，使用专业设备和工具，对泄漏源进行封堵和止漏处理。对泄漏的气体进行控制和收集，避免对周围环境和人员造成影响。按照相关规定和标准，妥善处置和处理泄漏后的废弃物和残余气体。对清理和处理工作进行记录和报告。</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与相关政府部门、救援机构以及周边企业建立应急协作机制，共同应对重大突发事件。有关人员和有关单位的联系方式保证能够随时取得联系</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有关单位的调度值班电话保证24小时有人值守。</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政府建立应急响应通讯网络、信息传递网络及维护管理网络系统</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以保证应急响应期间通讯联络、信息沟通的需要。</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应急响应措施应包括设备检修、设备调整、生产过程调整和人员疏散等。 措施的执行应遵循先报告、后行动的原则，确保信息的准确性和响应的及时性。</w:t>
      </w:r>
    </w:p>
    <w:p>
      <w:pPr>
        <w:pStyle w:val="105"/>
        <w:spacing w:before="156" w:after="156" w:line="360" w:lineRule="auto"/>
      </w:pPr>
      <w:bookmarkStart w:id="234" w:name="_Toc15055"/>
      <w:bookmarkStart w:id="235" w:name="_Toc5192"/>
      <w:r>
        <w:rPr>
          <w:rFonts w:hint="eastAsia"/>
        </w:rPr>
        <w:t>预警信息管理</w:t>
      </w:r>
      <w:bookmarkEnd w:id="234"/>
      <w:bookmarkEnd w:id="23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所有报警信息应按照报警时间顺序存储到报警历史记录中。所有报警信息应分类归档，方便查询。</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系统工作日志、报警日志保存时间应满足法律法规要求，没有其他要求的应保存30d 以上。</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报警信息应定期进行统计和分析。</w:t>
      </w:r>
    </w:p>
    <w:p>
      <w:pPr>
        <w:pStyle w:val="105"/>
        <w:spacing w:before="156" w:after="156" w:line="360" w:lineRule="auto"/>
      </w:pPr>
      <w:bookmarkStart w:id="236" w:name="_Toc31371"/>
      <w:bookmarkStart w:id="237" w:name="_Toc24493"/>
      <w:r>
        <w:rPr>
          <w:rFonts w:hint="eastAsia"/>
        </w:rPr>
        <w:t>预警位置的可视化监控</w:t>
      </w:r>
      <w:bookmarkEnd w:id="236"/>
      <w:bookmarkEnd w:id="237"/>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在系统中应实时可视化显示所有报警位置，并通过图标颜色显示报警级别，实时统计各级报警的数量。</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系统应根据不同级别的报警进行分类展示和自动统计分析，挖掘隐藏的警情信息。</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在监控地图上应能够查看具体的每个报警信息，并进行处理。</w:t>
      </w:r>
    </w:p>
    <w:p>
      <w:pPr>
        <w:pStyle w:val="104"/>
        <w:spacing w:before="312" w:after="312" w:line="360" w:lineRule="auto"/>
      </w:pPr>
      <w:bookmarkStart w:id="238" w:name="_Toc9718"/>
      <w:bookmarkStart w:id="239" w:name="_Toc16833"/>
      <w:r>
        <w:rPr>
          <w:rFonts w:hint="eastAsia"/>
        </w:rPr>
        <w:t>监测与预警相关技术</w:t>
      </w:r>
      <w:bookmarkEnd w:id="238"/>
      <w:bookmarkEnd w:id="239"/>
    </w:p>
    <w:p>
      <w:pPr>
        <w:pStyle w:val="105"/>
        <w:spacing w:before="156" w:after="156" w:line="360" w:lineRule="auto"/>
      </w:pPr>
      <w:bookmarkStart w:id="240" w:name="_Toc2918"/>
      <w:bookmarkStart w:id="241" w:name="_Toc73"/>
      <w:r>
        <w:rPr>
          <w:rFonts w:hint="eastAsia"/>
        </w:rPr>
        <w:t>管道光纤预警技术</w:t>
      </w:r>
      <w:bookmarkEnd w:id="240"/>
      <w:bookmarkEnd w:id="241"/>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管道设计阶段考虑安装光纤安全预警系统时，光纤芯数应达到1用2备。</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光纤安全预警系统使用专用光缆的宜直埋敷设，特殊管段可以采用卡箍固定在管道上。</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采用多根光纤感知的安全预警技术，宜使用不同光纤束管中的光纤进行传感。</w:t>
      </w:r>
    </w:p>
    <w:p>
      <w:pPr>
        <w:pStyle w:val="105"/>
        <w:spacing w:before="156" w:after="156" w:line="360" w:lineRule="auto"/>
      </w:pPr>
      <w:bookmarkStart w:id="242" w:name="_Toc13829"/>
      <w:bookmarkStart w:id="243" w:name="_Toc30982"/>
      <w:r>
        <w:rPr>
          <w:rFonts w:hint="eastAsia"/>
        </w:rPr>
        <w:t>微地震监测技术</w:t>
      </w:r>
      <w:bookmarkEnd w:id="242"/>
      <w:bookmarkEnd w:id="243"/>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对系统进行永久性监测，要求监测井稳定，监测周期较长。</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包括野外现场数据采集、微地震波的数据处理、微地震事件分析和微地震成果数据显示四项工序。</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定位精度即实际微地震事件发生点与反演微地震事件发生点位置间的距离在30 m之间。</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采用每天24 h不停息、采样间隔为0.125 ms的方法连续采集。</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确定储气库地层内部应力变化的位置和性质，灵敏度高，监测反馈速度快，能够识别生产活动可能引起的地震活动现象，实现对储气库盖层、断层和井筒动态密封性的实时监测。</w:t>
      </w:r>
    </w:p>
    <w:p>
      <w:pPr>
        <w:pStyle w:val="105"/>
        <w:spacing w:before="156" w:after="156" w:line="360" w:lineRule="auto"/>
      </w:pPr>
      <w:bookmarkStart w:id="244" w:name="_Toc16878"/>
      <w:bookmarkStart w:id="245" w:name="_Toc30565"/>
      <w:r>
        <w:rPr>
          <w:rFonts w:hint="eastAsia"/>
        </w:rPr>
        <w:t>InSAR地面形变监测技术</w:t>
      </w:r>
      <w:bookmarkEnd w:id="244"/>
      <w:bookmarkEnd w:id="24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监测内容可分为地面沉降变形特征监测和地裂缝的识别。</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变形特征监测获取监测周期内的沉降范围、平均沉降速率、累计沉降量</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分析变形发展过程、发展趋势及沉降变形机制。</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根据地表沉降量突变和InSAR干涉失相干识别地裂缝空间展布</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分析地裂缝发育的相关因素。</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SAR数据在时间和空间范围应大于实际监测范围的10%以上。</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地裂缝InSAR监测宜采用优于10m分辨率的SAR数据。</w:t>
      </w:r>
    </w:p>
    <w:p>
      <w:pPr>
        <w:pStyle w:val="105"/>
        <w:spacing w:before="156" w:after="156" w:line="360" w:lineRule="auto"/>
      </w:pPr>
      <w:bookmarkStart w:id="246" w:name="_Toc7567"/>
      <w:bookmarkStart w:id="247" w:name="_Toc14717"/>
      <w:r>
        <w:rPr>
          <w:rFonts w:hint="eastAsia"/>
        </w:rPr>
        <w:t>激光光谱技术</w:t>
      </w:r>
      <w:bookmarkEnd w:id="246"/>
      <w:bookmarkEnd w:id="247"/>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通过分析甲烷吸收该波长光线的激光光谱以达到检测甲烷及其浓度。</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当激光逛过甲烷气团，测量的甲烷浓度实时显示并保存用于事后分析。</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系统全天候运行</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每天24小时/每周7天/一年365天运行。</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全景扫描能力</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没有盲区，可以集成到现有监控系统中。</w:t>
      </w:r>
    </w:p>
    <w:p>
      <w:pPr>
        <w:pStyle w:val="105"/>
        <w:spacing w:before="156" w:after="156" w:line="360" w:lineRule="auto"/>
      </w:pPr>
      <w:bookmarkStart w:id="248" w:name="_Toc5820"/>
      <w:bookmarkStart w:id="249" w:name="_Toc25741"/>
      <w:r>
        <w:rPr>
          <w:rFonts w:hint="eastAsia"/>
        </w:rPr>
        <w:t>电阻探针腐蚀监测技术</w:t>
      </w:r>
      <w:bookmarkEnd w:id="248"/>
      <w:bookmarkEnd w:id="249"/>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设备应能适应储气库内不同位置和不同环境下的使用，如高温、高压、高湿等环境，以确保监测精度和可靠性。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通过数据采集器，对电阻探针进行恒流通电</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监测其阻值变化。</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利用通讯转换器进行简单的数据处理</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将数据传输给终端的服务器。实时监测腐蚀情况，并及时报警或预警，以便采取相应的措施。</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工作站将进行数据的接收、存储、备份以及分析工作</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最终将数据呈现给监测人员。</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应易于维护和保养，以确保设备的长期稳定运行。同时应尽可能减少对环境的影响，并符合环境保护法律法规的要求。</w:t>
      </w:r>
    </w:p>
    <w:p>
      <w:pPr>
        <w:pStyle w:val="105"/>
        <w:spacing w:before="156" w:after="156" w:line="360" w:lineRule="auto"/>
      </w:pPr>
      <w:bookmarkStart w:id="250" w:name="_Toc12759"/>
      <w:bookmarkStart w:id="251" w:name="_Toc19235"/>
      <w:r>
        <w:rPr>
          <w:rFonts w:hint="eastAsia"/>
        </w:rPr>
        <w:t>无人机低空遥感技术</w:t>
      </w:r>
      <w:bookmarkEnd w:id="250"/>
      <w:bookmarkEnd w:id="251"/>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通过无人机获取高分辨率和高精度的影像以及地形数据，并对数据进行分析。</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迅速完成对监测区域的测绘工作，实时传输影像和视频，掌握监测区域最新情况。</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利用无人机机载高光谱相机、高精度合成孔径雷达(InSAR)、激光雷达(LiDAR)、偏振高光谱、高分辨率相机生产高精度的地形、影像产品。</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通过多时相的无人机监测，分析出监测区域位移、变形、沉降、纹理特征、运动过程等，为灾害早期预警提供技术支持。</w:t>
      </w:r>
    </w:p>
    <w:p>
      <w:pPr>
        <w:pStyle w:val="105"/>
        <w:spacing w:before="156" w:after="156" w:line="360" w:lineRule="auto"/>
      </w:pPr>
      <w:bookmarkStart w:id="252" w:name="_Toc12212"/>
      <w:bookmarkStart w:id="253" w:name="_Toc18726"/>
      <w:r>
        <w:rPr>
          <w:rFonts w:hint="eastAsia"/>
        </w:rPr>
        <w:t>钻孔斜测仪监测裂缝技术</w:t>
      </w:r>
      <w:bookmarkEnd w:id="252"/>
      <w:bookmarkEnd w:id="253"/>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在断层，盖层周围布置多个倾斜仪记录压裂造成的地面倾斜量</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可以通过数值分析来确定裂缝方位、裂缝倾角以及精度稍低的裂缝体积</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裂缝中心深度。</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裂缝观测应测定断层和盖层上的裂缝分布位置和裂缝的走向、长度、宽度及其变化情况。</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对需要观测的裂缝应统一进行编号。每条裂缝应至少布设两组观测标志，其中一组应在裂缝的最宽处，另一组应在裂缝的末端。每组应使用两个对应的标志，分别设在裂缝的两侧。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裂缝观测的周期应根据其裂缝变化速度而定。开始时可半月测一次，以后一月测一次。当发现裂缝加大时，应及时增加观测次数。</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裂缝观测中，裂缝宽度数据应量至0.1mm，每次观测应绘出裂缝的位置、形态和尺寸，注明日期，并拍摄裂缝照片。</w:t>
      </w:r>
    </w:p>
    <w:p>
      <w:pPr>
        <w:pStyle w:val="105"/>
        <w:spacing w:before="156" w:after="156" w:line="360" w:lineRule="auto"/>
      </w:pPr>
      <w:bookmarkStart w:id="254" w:name="_Toc20867"/>
      <w:bookmarkStart w:id="255" w:name="_Toc19582"/>
      <w:r>
        <w:rPr>
          <w:rFonts w:hint="eastAsia"/>
        </w:rPr>
        <w:t>储气库作业安全无人值守技术</w:t>
      </w:r>
      <w:bookmarkEnd w:id="254"/>
      <w:bookmarkEnd w:id="25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利用计算机视觉、图像处理、模式识别等技术，自动检测站场重点防区入侵目标，识别工作人员身份、精确定位非法闯入者。</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通过视频大数据分析、机器学习等技术，自动识别场站工作人员的安全着装、作业标准化等规范。</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利用物联网、云计算、边缘计算等技术，对站场进行自动辅助巡检，实时监测站场作业风险隐患，联动智能预警与风险管控。</w:t>
      </w:r>
    </w:p>
    <w:p>
      <w:pPr>
        <w:pStyle w:val="105"/>
        <w:spacing w:before="156" w:after="156" w:line="360" w:lineRule="auto"/>
      </w:pPr>
      <w:bookmarkStart w:id="256" w:name="_Toc21058"/>
      <w:bookmarkStart w:id="257" w:name="_Toc16145"/>
      <w:r>
        <w:rPr>
          <w:rFonts w:hint="eastAsia"/>
        </w:rPr>
        <w:t>ESD系统</w:t>
      </w:r>
      <w:bookmarkEnd w:id="256"/>
      <w:bookmarkEnd w:id="257"/>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当集气站、井场或者天然气管线等工艺设备发生严重泄漏或者危及安全生产等情况，ESD系统应该能够自动或者手动关闭生产设备，以保证生产安全。</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在集气站和井场（包括井口）要安装配套ESD阀门等设备，保证ESD系统的完善和运行，从而有效避免灾害的发生。</w:t>
      </w:r>
    </w:p>
    <w:p>
      <w:pPr>
        <w:pStyle w:val="105"/>
        <w:spacing w:before="156" w:after="156" w:line="360" w:lineRule="auto"/>
      </w:pPr>
      <w:bookmarkStart w:id="258" w:name="_Toc19946"/>
      <w:bookmarkStart w:id="259" w:name="_Toc14785"/>
      <w:r>
        <w:rPr>
          <w:rFonts w:hint="eastAsia"/>
        </w:rPr>
        <w:t>数字孪生技术</w:t>
      </w:r>
      <w:bookmarkEnd w:id="258"/>
      <w:bookmarkEnd w:id="259"/>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对生产过程建模与参数优化、工艺参数设计与仿真、设备健康监测与设备故障多方协同会诊。</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将地质气藏、井筒和地面管网、场站等物理对象映射到数字实体，通过连接层实现物理实体和数字实体的双向数据流动。</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对油气管道孪生数据的构建以及管理实现"虚实交互，以虚控实”。通过增强现实中的人机交互技术以及虚实交互技术提升实体油气管道与虚拟管道之间的交互。</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利用传感检测网络获得实体管道的实时数据融入到虚拟管道中进行显示、通过虚拟管道端建立的人工智能预测技术、计算机大数据分析技术，实现对实体管道腐蚀、管道防护、管道周围环境维护提示，管道维护预警。</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建立数字孪生体模型，以虚拟管道将油气管道相关数据展示出来，通过数据采集、数据整合、物理性能模拟、实时感知、分析、虚实融合，提升油气管道的安全系数。</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将实体管道、虚拟管道以及管道服务系统三者相结合，实现管道安全运行、故障预警、管道巡检巡视提示等。</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结合油气藏工程的生产动态分析和油气藏数值模拟进行历史拟合;量化剩余油空间分布;构建起可与生产动态数据相互印证并不断完善的油气藏地质模型。</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数字模型校准与验证：通过与现实世界中的数据进行对比和校准，确保数字孪生模型的准确性和可靠性。对模型进行定期验证和更新，以保持与实际储气库运行状态的同步。</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站场关键装置</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增加工艺管道腐蚀、机泵类设备振动等各类传感器，经物联网数据融合之后全方位模拟现场的运行状态</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根据验证的结果对数字孪生体进行更新</w:t>
      </w:r>
      <w:r>
        <w:rPr>
          <w:rFonts w:hint="eastAsia" w:ascii="Times New Roman" w:cs="Times New Roman"/>
          <w:snapToGrid w:val="0"/>
          <w:color w:val="000000"/>
          <w:kern w:val="0"/>
          <w:sz w:val="21"/>
          <w:szCs w:val="21"/>
          <w:lang w:eastAsia="zh-CN"/>
        </w:rPr>
        <w:t>，</w:t>
      </w:r>
      <w:r>
        <w:rPr>
          <w:rFonts w:hint="eastAsia" w:ascii="Times New Roman" w:hAnsi="Times New Roman" w:eastAsia="宋体" w:cs="Times New Roman"/>
          <w:snapToGrid w:val="0"/>
          <w:color w:val="000000"/>
          <w:kern w:val="0"/>
          <w:sz w:val="21"/>
          <w:szCs w:val="21"/>
          <w:lang w:eastAsia="zh-CN"/>
        </w:rPr>
        <w:t>完成数据的匹配，提高运行状态数据的整体性。</w:t>
      </w:r>
    </w:p>
    <w:p>
      <w:pPr>
        <w:pStyle w:val="105"/>
        <w:spacing w:before="156" w:after="156" w:line="360" w:lineRule="auto"/>
        <w:rPr>
          <w:color w:val="000000" w:themeColor="text1"/>
          <w14:textFill>
            <w14:solidFill>
              <w14:schemeClr w14:val="tx1"/>
            </w14:solidFill>
          </w14:textFill>
        </w:rPr>
      </w:pPr>
      <w:bookmarkStart w:id="260" w:name="_Toc24659"/>
      <w:bookmarkStart w:id="261" w:name="_Toc27011"/>
      <w:r>
        <w:rPr>
          <w:rFonts w:hint="eastAsia"/>
          <w:color w:val="000000" w:themeColor="text1"/>
          <w14:textFill>
            <w14:solidFill>
              <w14:schemeClr w14:val="tx1"/>
            </w14:solidFill>
          </w14:textFill>
        </w:rPr>
        <w:t>云端检测与预警平台</w:t>
      </w:r>
      <w:bookmarkEnd w:id="260"/>
      <w:bookmarkEnd w:id="261"/>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云端检测与预警平台应与储气库的现有监测和预警系统紧密集成，实现数据实时上传和共享。</w:t>
      </w:r>
    </w:p>
    <w:p>
      <w:pPr>
        <w:pStyle w:val="165"/>
        <w:spacing w:line="360" w:lineRule="auto"/>
      </w:pPr>
      <w:r>
        <w:t>该平台应包括以下功能：</w:t>
      </w:r>
    </w:p>
    <w:p>
      <w:pPr>
        <w:pStyle w:val="165"/>
        <w:numPr>
          <w:ilvl w:val="0"/>
          <w:numId w:val="39"/>
        </w:numPr>
        <w:spacing w:line="360" w:lineRule="auto"/>
        <w:rPr>
          <w:rFonts w:ascii="Segoe UI" w:hAnsi="Segoe UI" w:cs="Segoe UI"/>
          <w:szCs w:val="21"/>
        </w:rPr>
      </w:pPr>
      <w:r>
        <w:rPr>
          <w:rFonts w:ascii="Segoe UI" w:hAnsi="Segoe UI" w:cs="Segoe UI"/>
          <w:szCs w:val="21"/>
        </w:rPr>
        <w:t>实时数据监测：收集并分析储气库生产过程中的关键参数，包括压力、温度、流量等。</w:t>
      </w:r>
    </w:p>
    <w:p>
      <w:pPr>
        <w:pStyle w:val="165"/>
        <w:numPr>
          <w:ilvl w:val="0"/>
          <w:numId w:val="39"/>
        </w:numPr>
        <w:spacing w:line="360" w:lineRule="auto"/>
        <w:rPr>
          <w:rFonts w:ascii="Segoe UI" w:hAnsi="Segoe UI" w:cs="Segoe UI"/>
          <w:szCs w:val="21"/>
        </w:rPr>
      </w:pPr>
      <w:r>
        <w:rPr>
          <w:rFonts w:ascii="Segoe UI" w:hAnsi="Segoe UI" w:cs="Segoe UI"/>
          <w:szCs w:val="21"/>
        </w:rPr>
        <w:t>预警功能：基于实时数据和预先设定的阈值，生成预警信息，以便及时发现异常情况。</w:t>
      </w:r>
    </w:p>
    <w:p>
      <w:pPr>
        <w:pStyle w:val="165"/>
        <w:numPr>
          <w:ilvl w:val="0"/>
          <w:numId w:val="39"/>
        </w:numPr>
        <w:spacing w:line="360" w:lineRule="auto"/>
        <w:rPr>
          <w:rFonts w:ascii="Segoe UI" w:hAnsi="Segoe UI" w:cs="Segoe UI"/>
          <w:szCs w:val="21"/>
        </w:rPr>
      </w:pPr>
      <w:r>
        <w:rPr>
          <w:rFonts w:ascii="Segoe UI" w:hAnsi="Segoe UI" w:cs="Segoe UI"/>
          <w:szCs w:val="21"/>
        </w:rPr>
        <w:t>数据存储与管理：将历史数据存储于云端，方便随时查询和分析。</w:t>
      </w:r>
    </w:p>
    <w:p>
      <w:pPr>
        <w:pStyle w:val="165"/>
        <w:numPr>
          <w:ilvl w:val="0"/>
          <w:numId w:val="39"/>
        </w:numPr>
        <w:spacing w:line="360" w:lineRule="auto"/>
        <w:rPr>
          <w:rFonts w:ascii="Segoe UI" w:hAnsi="Segoe UI" w:cs="Segoe UI"/>
          <w:szCs w:val="21"/>
        </w:rPr>
      </w:pPr>
      <w:r>
        <w:rPr>
          <w:rFonts w:ascii="Segoe UI" w:hAnsi="Segoe UI" w:cs="Segoe UI"/>
          <w:szCs w:val="21"/>
        </w:rPr>
        <w:t>数据可视化：提供图表、曲线等形式，直观展示储气库生产过程中的关键参数变化。</w:t>
      </w:r>
    </w:p>
    <w:p>
      <w:pPr>
        <w:pStyle w:val="165"/>
        <w:numPr>
          <w:ilvl w:val="0"/>
          <w:numId w:val="39"/>
        </w:numPr>
        <w:spacing w:line="360" w:lineRule="auto"/>
        <w:rPr>
          <w:rFonts w:ascii="Segoe UI" w:hAnsi="Segoe UI" w:cs="Segoe UI"/>
          <w:szCs w:val="21"/>
        </w:rPr>
      </w:pPr>
      <w:r>
        <w:rPr>
          <w:rFonts w:ascii="Segoe UI" w:hAnsi="Segoe UI" w:cs="Segoe UI"/>
          <w:szCs w:val="21"/>
        </w:rPr>
        <w:t>移动端访问：支持移动设备访问，便于现场人员实时查看数据和接收预警信息。</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云端检测与预警平台满足相关数据安全和网络安全标准，保障储气库数据的安全和隐私。</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在平台的开发和维护过程中，定期对平台进行技术更新，以确保其功能与性能满足储气库的实际需求。</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储气库人员应接受云端检测与预警平台的相关培训，确保能熟练操作平台并充分利用其功能。</w:t>
      </w:r>
    </w:p>
    <w:p>
      <w:pPr>
        <w:pStyle w:val="105"/>
        <w:spacing w:before="156" w:after="156" w:line="360" w:lineRule="auto"/>
        <w:rPr>
          <w:color w:val="000000" w:themeColor="text1"/>
          <w14:textFill>
            <w14:solidFill>
              <w14:schemeClr w14:val="tx1"/>
            </w14:solidFill>
          </w14:textFill>
        </w:rPr>
      </w:pPr>
      <w:bookmarkStart w:id="262" w:name="_Toc4666"/>
      <w:bookmarkStart w:id="263" w:name="_Toc16160"/>
      <w:r>
        <w:rPr>
          <w:rFonts w:hint="eastAsia"/>
          <w:color w:val="000000" w:themeColor="text1"/>
          <w14:textFill>
            <w14:solidFill>
              <w14:schemeClr w14:val="tx1"/>
            </w14:solidFill>
          </w14:textFill>
        </w:rPr>
        <w:t>信息化与数字化管理</w:t>
      </w:r>
      <w:bookmarkEnd w:id="262"/>
      <w:bookmarkEnd w:id="263"/>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储气库应充分利用信息技术手段，实现生产和运营管理的数字化和智能化。</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应开展数字化技术在储气库运营中的应用研究，提高储气库的运行效率和安全性。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应加强信息安全管理，防范网络攻击和数据泄露等信息安全风险。</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 xml:space="preserve">储气库应建立完善的信息化管理系统，实现生产数据、设备状态、安全监测等信息的集中管理和分析。 </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信息化管理系统应具备数据采集、存储、分析和报警功能，实现对储气库运行状态的实时监控。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应建立数据备份和恢复机制，确保数据安全性和可靠性。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应定期对信息化管理系统进行升级和维护，以适应技术发展和运营需求的变化。</w:t>
      </w:r>
    </w:p>
    <w:p>
      <w:pPr>
        <w:pStyle w:val="105"/>
        <w:spacing w:before="156" w:after="156" w:line="360" w:lineRule="auto"/>
      </w:pPr>
      <w:bookmarkStart w:id="264" w:name="_Toc11806"/>
      <w:bookmarkStart w:id="265" w:name="_Toc27068"/>
      <w:r>
        <w:rPr>
          <w:rFonts w:hint="eastAsia"/>
        </w:rPr>
        <w:t>网络安全技术</w:t>
      </w:r>
      <w:bookmarkEnd w:id="264"/>
      <w:bookmarkEnd w:id="265"/>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所有生产活动过程中的数据存储在企业内网，内网和公网物理隔离。</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特定数据包在公网上的传输时，必须满足国家信息数据安全，实现加密、公网不可存储、可回收的要求。</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为了防止浏览漏洞带来的危害，所有业务不能支持第三方浏览器直接访问方式，须采用私有加密后的客户端实现。</w:t>
      </w:r>
    </w:p>
    <w:p>
      <w:pPr>
        <w:pStyle w:val="105"/>
        <w:spacing w:before="156" w:after="156" w:line="360" w:lineRule="auto"/>
      </w:pPr>
      <w:bookmarkStart w:id="266" w:name="_Toc30247"/>
      <w:bookmarkStart w:id="267" w:name="_Toc25011"/>
      <w:r>
        <w:rPr>
          <w:rFonts w:hint="eastAsia"/>
        </w:rPr>
        <w:t>工业互联网技术</w:t>
      </w:r>
      <w:bookmarkEnd w:id="266"/>
      <w:bookmarkEnd w:id="267"/>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生产过程监视与预警基于数据采集技术、边缘计算技术、实时数据库技术实现，实时数据存储精度支持到毫秒级。</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生产现场网络同工作管理区网络采用数据安全装置实现网络物理隔离，工作管理区网络同公网采用数据安全装置实现网络物理隔离。</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所有业务系统采用基于微服务的低代码或零代码平台实现，确保业务系统灵活、可扩展、易维护。</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所有业务系统和人员之间信息，采用即时通讯平台实现业务集成和人员之间的消息协同。平台部署在内网的工作管理区，支持内网侧和公网侧进行信息的安全通讯。</w:t>
      </w:r>
    </w:p>
    <w:p>
      <w:pPr>
        <w:pStyle w:val="104"/>
        <w:spacing w:before="312" w:after="312" w:line="360" w:lineRule="auto"/>
      </w:pPr>
      <w:bookmarkStart w:id="268" w:name="_Toc31089"/>
      <w:bookmarkStart w:id="269" w:name="_Toc25606"/>
      <w:r>
        <w:rPr>
          <w:rFonts w:hint="eastAsia"/>
        </w:rPr>
        <w:t>安全培训</w:t>
      </w:r>
      <w:bookmarkEnd w:id="268"/>
      <w:bookmarkEnd w:id="269"/>
    </w:p>
    <w:p>
      <w:pPr>
        <w:pStyle w:val="105"/>
        <w:spacing w:before="156" w:after="156" w:line="360" w:lineRule="auto"/>
      </w:pPr>
      <w:bookmarkStart w:id="270" w:name="_Toc11609"/>
      <w:bookmarkStart w:id="271" w:name="_Toc19990"/>
      <w:r>
        <w:rPr>
          <w:rFonts w:hint="eastAsia"/>
        </w:rPr>
        <w:t>人员培训</w:t>
      </w:r>
      <w:bookmarkEnd w:id="270"/>
      <w:bookmarkEnd w:id="271"/>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培训方法：采用现场操作演示、理论授课、实战演练等多种方式，确保员工全面掌握相关技能和知识。</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培训效果评价：通过考试、现场操作考核、实战演练等方式，评估员工在培训后的技能掌握程度，以及对突发事件处理能力的提升。</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参与安全预警系统的人员定期接受培训，培训内容包括：储气库工艺设备介绍、自控仪表基础认识、地质方面基础认识、通信方面基础认识。</w:t>
      </w:r>
    </w:p>
    <w:p>
      <w:pPr>
        <w:pStyle w:val="165"/>
        <w:spacing w:line="360" w:lineRule="auto"/>
        <w:rPr>
          <w:rFonts w:hint="eastAsia" w:ascii="Times New Roman" w:hAnsi="Times New Roman" w:eastAsia="宋体" w:cs="Times New Roman"/>
          <w:snapToGrid w:val="0"/>
          <w:color w:val="000000"/>
          <w:kern w:val="0"/>
          <w:sz w:val="21"/>
          <w:szCs w:val="21"/>
          <w:lang w:eastAsia="zh-CN"/>
        </w:rPr>
      </w:pPr>
      <w:r>
        <w:rPr>
          <w:rFonts w:hint="eastAsia" w:ascii="Times New Roman" w:hAnsi="Times New Roman" w:eastAsia="宋体" w:cs="Times New Roman"/>
          <w:snapToGrid w:val="0"/>
          <w:color w:val="000000"/>
          <w:kern w:val="0"/>
          <w:sz w:val="21"/>
          <w:szCs w:val="21"/>
          <w:lang w:eastAsia="zh-CN"/>
        </w:rPr>
        <w:t>培训阶段员工应认知储气库生产过程中用到的各种生产设备及设施，掌握设备的操作规程及使用方法，熟知现场各种工艺流程。</w:t>
      </w:r>
    </w:p>
    <w:p>
      <w:pPr>
        <w:pStyle w:val="56"/>
        <w:sectPr>
          <w:pgSz w:w="11906" w:h="16838"/>
          <w:pgMar w:top="1928" w:right="1134" w:bottom="1134" w:left="1134" w:header="1418" w:footer="1134" w:gutter="284"/>
          <w:pgNumType w:start="1"/>
          <w:cols w:space="425" w:num="1"/>
          <w:formProt w:val="0"/>
          <w:docGrid w:linePitch="312" w:charSpace="0"/>
        </w:sectPr>
      </w:pPr>
    </w:p>
    <w:p>
      <w:pPr>
        <w:ind w:firstLine="0" w:firstLineChars="0"/>
        <w:jc w:val="center"/>
        <w:outlineLvl w:val="0"/>
        <w:rPr>
          <w:rFonts w:hint="eastAsia" w:ascii="黑体" w:hAnsi="黑体" w:eastAsia="黑体" w:cs="黑体"/>
          <w:b w:val="0"/>
          <w:bCs w:val="0"/>
          <w:sz w:val="21"/>
          <w:szCs w:val="21"/>
          <w:lang w:eastAsia="zh-CN"/>
        </w:rPr>
      </w:pPr>
      <w:bookmarkStart w:id="272" w:name="_Toc8847"/>
      <w:r>
        <w:rPr>
          <w:rFonts w:hint="eastAsia" w:ascii="黑体" w:hAnsi="黑体" w:eastAsia="黑体" w:cs="黑体"/>
          <w:b w:val="0"/>
          <w:bCs w:val="0"/>
          <w:sz w:val="21"/>
          <w:szCs w:val="21"/>
          <w:lang w:eastAsia="zh-CN"/>
        </w:rPr>
        <w:t>附录A</w:t>
      </w:r>
      <w:bookmarkEnd w:id="272"/>
    </w:p>
    <w:p>
      <w:pPr>
        <w:ind w:firstLine="0" w:firstLineChars="0"/>
        <w:jc w:val="center"/>
        <w:outlineLvl w:val="0"/>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w:t>
      </w:r>
      <w:r>
        <w:rPr>
          <w:rFonts w:hint="eastAsia" w:ascii="黑体" w:hAnsi="黑体" w:eastAsia="黑体" w:cs="黑体"/>
          <w:b w:val="0"/>
          <w:bCs w:val="0"/>
          <w:sz w:val="21"/>
          <w:szCs w:val="21"/>
          <w:lang w:val="en-US" w:eastAsia="zh-CN"/>
        </w:rPr>
        <w:t>资料性</w:t>
      </w:r>
      <w:r>
        <w:rPr>
          <w:rFonts w:hint="eastAsia" w:ascii="黑体" w:hAnsi="黑体" w:eastAsia="黑体" w:cs="黑体"/>
          <w:b w:val="0"/>
          <w:bCs w:val="0"/>
          <w:sz w:val="21"/>
          <w:szCs w:val="21"/>
          <w:lang w:eastAsia="zh-CN"/>
        </w:rPr>
        <w:t>）</w:t>
      </w:r>
    </w:p>
    <w:p>
      <w:pPr>
        <w:ind w:firstLine="480"/>
        <w:jc w:val="center"/>
        <w:rPr>
          <w:rFonts w:hint="eastAsia" w:ascii="黑体" w:hAnsi="黑体" w:eastAsia="黑体" w:cs="黑体"/>
          <w:lang w:eastAsia="zh-CN"/>
        </w:rPr>
      </w:pPr>
      <w:r>
        <w:rPr>
          <w:rFonts w:hint="eastAsia" w:ascii="黑体" w:hAnsi="黑体" w:eastAsia="黑体" w:cs="黑体"/>
          <w:lang w:eastAsia="zh-CN"/>
        </w:rPr>
        <w:t>储气库部分录取资料整体表格式参见表A.1至表A.5。</w:t>
      </w:r>
    </w:p>
    <w:p>
      <w:pPr>
        <w:ind w:firstLine="480"/>
        <w:jc w:val="center"/>
        <w:rPr>
          <w:rFonts w:hint="eastAsia" w:ascii="黑体" w:hAnsi="黑体" w:eastAsia="黑体" w:cs="黑体"/>
          <w:lang w:eastAsia="zh-CN"/>
        </w:rPr>
      </w:pPr>
      <w:r>
        <w:rPr>
          <w:rFonts w:hint="eastAsia" w:ascii="黑体" w:hAnsi="黑体" w:eastAsia="黑体" w:cs="黑体"/>
          <w:lang w:eastAsia="zh-CN"/>
        </w:rPr>
        <w:t>表A.1</w:t>
      </w:r>
      <w:r>
        <w:rPr>
          <w:rFonts w:hint="eastAsia" w:ascii="黑体" w:hAnsi="黑体" w:eastAsia="黑体" w:cs="黑体"/>
          <w:lang w:val="en-US" w:eastAsia="zh-CN"/>
        </w:rPr>
        <w:t xml:space="preserve"> </w:t>
      </w:r>
      <w:r>
        <w:rPr>
          <w:rFonts w:hint="eastAsia" w:ascii="黑体" w:hAnsi="黑体" w:eastAsia="黑体" w:cs="黑体"/>
          <w:lang w:eastAsia="zh-CN"/>
        </w:rPr>
        <w:t>______年______月______日_______储气库注采井注气日报表</w:t>
      </w:r>
    </w:p>
    <w:tbl>
      <w:tblPr>
        <w:tblStyle w:val="2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248"/>
        <w:gridCol w:w="1002"/>
        <w:gridCol w:w="990"/>
        <w:gridCol w:w="1110"/>
        <w:gridCol w:w="1230"/>
        <w:gridCol w:w="126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82"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井号</w:t>
            </w:r>
          </w:p>
        </w:tc>
        <w:tc>
          <w:tcPr>
            <w:tcW w:w="1248"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生产时间</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1002"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开度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990" w:type="dxa"/>
            <w:vAlign w:val="center"/>
          </w:tcPr>
          <w:p>
            <w:pPr>
              <w:widowControl w:val="0"/>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油压</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1110" w:type="dxa"/>
            <w:vAlign w:val="center"/>
          </w:tcPr>
          <w:p>
            <w:pPr>
              <w:widowControl w:val="0"/>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套压</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123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井口温度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26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日注气</w:t>
            </w:r>
            <w:r>
              <w:rPr>
                <w:rFonts w:hint="eastAsia" w:ascii="宋体" w:hAnsi="宋体" w:eastAsia="宋体" w:cs="宋体"/>
                <w:sz w:val="18"/>
                <w:szCs w:val="18"/>
                <w:lang w:val="en-US" w:eastAsia="zh-CN"/>
              </w:rPr>
              <w:t>量</w:t>
            </w:r>
            <w:r>
              <w:rPr>
                <w:rFonts w:hint="eastAsia" w:ascii="宋体" w:hAnsi="宋体" w:eastAsia="宋体" w:cs="宋体"/>
                <w:sz w:val="18"/>
                <w:szCs w:val="18"/>
                <w:lang w:eastAsia="zh-CN"/>
              </w:rPr>
              <w:t>10</w:t>
            </w:r>
            <w:r>
              <w:rPr>
                <w:rFonts w:hint="eastAsia" w:ascii="宋体" w:hAnsi="宋体" w:eastAsia="宋体" w:cs="宋体"/>
                <w:sz w:val="18"/>
                <w:szCs w:val="18"/>
                <w:vertAlign w:val="superscript"/>
                <w:lang w:eastAsia="zh-CN"/>
              </w:rPr>
              <w:t>4</w:t>
            </w:r>
            <w:r>
              <w:rPr>
                <w:rFonts w:hint="eastAsia" w:ascii="宋体" w:hAnsi="宋体" w:eastAsia="宋体" w:cs="宋体"/>
                <w:sz w:val="18"/>
                <w:szCs w:val="18"/>
                <w:lang w:eastAsia="zh-CN"/>
              </w:rPr>
              <w:t>m</w:t>
            </w:r>
            <w:r>
              <w:rPr>
                <w:rFonts w:hint="eastAsia" w:ascii="宋体" w:hAnsi="宋体" w:eastAsia="宋体" w:cs="宋体"/>
                <w:sz w:val="18"/>
                <w:szCs w:val="18"/>
                <w:vertAlign w:val="superscript"/>
                <w:lang w:eastAsia="zh-CN"/>
              </w:rPr>
              <w:t>3</w:t>
            </w:r>
          </w:p>
        </w:tc>
        <w:tc>
          <w:tcPr>
            <w:tcW w:w="92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widowControl w:val="0"/>
              <w:ind w:firstLine="480"/>
              <w:jc w:val="center"/>
              <w:rPr>
                <w:lang w:eastAsia="zh-CN"/>
              </w:rPr>
            </w:pPr>
          </w:p>
        </w:tc>
        <w:tc>
          <w:tcPr>
            <w:tcW w:w="1248" w:type="dxa"/>
            <w:vAlign w:val="center"/>
          </w:tcPr>
          <w:p>
            <w:pPr>
              <w:widowControl w:val="0"/>
              <w:ind w:firstLine="480"/>
              <w:jc w:val="center"/>
              <w:rPr>
                <w:lang w:eastAsia="zh-CN"/>
              </w:rPr>
            </w:pPr>
          </w:p>
        </w:tc>
        <w:tc>
          <w:tcPr>
            <w:tcW w:w="1002" w:type="dxa"/>
            <w:vAlign w:val="center"/>
          </w:tcPr>
          <w:p>
            <w:pPr>
              <w:widowControl w:val="0"/>
              <w:ind w:firstLine="480"/>
              <w:jc w:val="center"/>
              <w:rPr>
                <w:lang w:eastAsia="zh-CN"/>
              </w:rPr>
            </w:pPr>
          </w:p>
        </w:tc>
        <w:tc>
          <w:tcPr>
            <w:tcW w:w="990" w:type="dxa"/>
            <w:vAlign w:val="center"/>
          </w:tcPr>
          <w:p>
            <w:pPr>
              <w:widowControl w:val="0"/>
              <w:ind w:firstLine="480"/>
              <w:jc w:val="center"/>
              <w:rPr>
                <w:lang w:eastAsia="zh-CN"/>
              </w:rPr>
            </w:pPr>
          </w:p>
        </w:tc>
        <w:tc>
          <w:tcPr>
            <w:tcW w:w="1110" w:type="dxa"/>
            <w:vAlign w:val="center"/>
          </w:tcPr>
          <w:p>
            <w:pPr>
              <w:widowControl w:val="0"/>
              <w:ind w:firstLine="480"/>
              <w:jc w:val="center"/>
              <w:rPr>
                <w:lang w:eastAsia="zh-CN"/>
              </w:rPr>
            </w:pPr>
          </w:p>
        </w:tc>
        <w:tc>
          <w:tcPr>
            <w:tcW w:w="1230" w:type="dxa"/>
            <w:vAlign w:val="center"/>
          </w:tcPr>
          <w:p>
            <w:pPr>
              <w:widowControl w:val="0"/>
              <w:ind w:firstLine="480"/>
              <w:jc w:val="center"/>
              <w:rPr>
                <w:lang w:eastAsia="zh-CN"/>
              </w:rPr>
            </w:pPr>
          </w:p>
        </w:tc>
        <w:tc>
          <w:tcPr>
            <w:tcW w:w="1260" w:type="dxa"/>
            <w:vAlign w:val="center"/>
          </w:tcPr>
          <w:p>
            <w:pPr>
              <w:widowControl w:val="0"/>
              <w:ind w:firstLine="480"/>
              <w:jc w:val="center"/>
              <w:rPr>
                <w:lang w:eastAsia="zh-CN"/>
              </w:rPr>
            </w:pPr>
          </w:p>
        </w:tc>
        <w:tc>
          <w:tcPr>
            <w:tcW w:w="92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widowControl w:val="0"/>
              <w:ind w:firstLine="480"/>
              <w:jc w:val="center"/>
              <w:rPr>
                <w:lang w:eastAsia="zh-CN"/>
              </w:rPr>
            </w:pPr>
          </w:p>
        </w:tc>
        <w:tc>
          <w:tcPr>
            <w:tcW w:w="1248" w:type="dxa"/>
            <w:vAlign w:val="center"/>
          </w:tcPr>
          <w:p>
            <w:pPr>
              <w:widowControl w:val="0"/>
              <w:ind w:firstLine="480"/>
              <w:jc w:val="center"/>
              <w:rPr>
                <w:lang w:eastAsia="zh-CN"/>
              </w:rPr>
            </w:pPr>
          </w:p>
        </w:tc>
        <w:tc>
          <w:tcPr>
            <w:tcW w:w="1002" w:type="dxa"/>
            <w:vAlign w:val="center"/>
          </w:tcPr>
          <w:p>
            <w:pPr>
              <w:widowControl w:val="0"/>
              <w:ind w:firstLine="480"/>
              <w:jc w:val="center"/>
              <w:rPr>
                <w:lang w:eastAsia="zh-CN"/>
              </w:rPr>
            </w:pPr>
          </w:p>
        </w:tc>
        <w:tc>
          <w:tcPr>
            <w:tcW w:w="990" w:type="dxa"/>
            <w:vAlign w:val="center"/>
          </w:tcPr>
          <w:p>
            <w:pPr>
              <w:widowControl w:val="0"/>
              <w:ind w:firstLine="480"/>
              <w:jc w:val="center"/>
              <w:rPr>
                <w:lang w:eastAsia="zh-CN"/>
              </w:rPr>
            </w:pPr>
          </w:p>
        </w:tc>
        <w:tc>
          <w:tcPr>
            <w:tcW w:w="1110" w:type="dxa"/>
            <w:vAlign w:val="center"/>
          </w:tcPr>
          <w:p>
            <w:pPr>
              <w:widowControl w:val="0"/>
              <w:ind w:firstLine="480"/>
              <w:jc w:val="center"/>
              <w:rPr>
                <w:lang w:eastAsia="zh-CN"/>
              </w:rPr>
            </w:pPr>
          </w:p>
        </w:tc>
        <w:tc>
          <w:tcPr>
            <w:tcW w:w="1230" w:type="dxa"/>
            <w:vAlign w:val="center"/>
          </w:tcPr>
          <w:p>
            <w:pPr>
              <w:widowControl w:val="0"/>
              <w:ind w:firstLine="480"/>
              <w:jc w:val="center"/>
              <w:rPr>
                <w:lang w:eastAsia="zh-CN"/>
              </w:rPr>
            </w:pPr>
          </w:p>
        </w:tc>
        <w:tc>
          <w:tcPr>
            <w:tcW w:w="1260" w:type="dxa"/>
            <w:vAlign w:val="center"/>
          </w:tcPr>
          <w:p>
            <w:pPr>
              <w:widowControl w:val="0"/>
              <w:ind w:firstLine="480"/>
              <w:jc w:val="center"/>
              <w:rPr>
                <w:lang w:eastAsia="zh-CN"/>
              </w:rPr>
            </w:pPr>
          </w:p>
        </w:tc>
        <w:tc>
          <w:tcPr>
            <w:tcW w:w="92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widowControl w:val="0"/>
              <w:ind w:firstLine="480"/>
              <w:jc w:val="center"/>
              <w:rPr>
                <w:lang w:eastAsia="zh-CN"/>
              </w:rPr>
            </w:pPr>
          </w:p>
        </w:tc>
        <w:tc>
          <w:tcPr>
            <w:tcW w:w="1248" w:type="dxa"/>
            <w:vAlign w:val="center"/>
          </w:tcPr>
          <w:p>
            <w:pPr>
              <w:widowControl w:val="0"/>
              <w:ind w:firstLine="480"/>
              <w:jc w:val="center"/>
              <w:rPr>
                <w:lang w:eastAsia="zh-CN"/>
              </w:rPr>
            </w:pPr>
          </w:p>
        </w:tc>
        <w:tc>
          <w:tcPr>
            <w:tcW w:w="1002" w:type="dxa"/>
            <w:vAlign w:val="center"/>
          </w:tcPr>
          <w:p>
            <w:pPr>
              <w:widowControl w:val="0"/>
              <w:ind w:firstLine="480"/>
              <w:jc w:val="center"/>
              <w:rPr>
                <w:lang w:eastAsia="zh-CN"/>
              </w:rPr>
            </w:pPr>
          </w:p>
        </w:tc>
        <w:tc>
          <w:tcPr>
            <w:tcW w:w="990" w:type="dxa"/>
            <w:vAlign w:val="center"/>
          </w:tcPr>
          <w:p>
            <w:pPr>
              <w:widowControl w:val="0"/>
              <w:ind w:firstLine="480"/>
              <w:jc w:val="center"/>
              <w:rPr>
                <w:lang w:eastAsia="zh-CN"/>
              </w:rPr>
            </w:pPr>
          </w:p>
        </w:tc>
        <w:tc>
          <w:tcPr>
            <w:tcW w:w="1110" w:type="dxa"/>
            <w:vAlign w:val="center"/>
          </w:tcPr>
          <w:p>
            <w:pPr>
              <w:widowControl w:val="0"/>
              <w:ind w:firstLine="480"/>
              <w:jc w:val="center"/>
              <w:rPr>
                <w:lang w:eastAsia="zh-CN"/>
              </w:rPr>
            </w:pPr>
          </w:p>
        </w:tc>
        <w:tc>
          <w:tcPr>
            <w:tcW w:w="1230" w:type="dxa"/>
            <w:vAlign w:val="center"/>
          </w:tcPr>
          <w:p>
            <w:pPr>
              <w:widowControl w:val="0"/>
              <w:ind w:firstLine="480"/>
              <w:jc w:val="center"/>
              <w:rPr>
                <w:lang w:eastAsia="zh-CN"/>
              </w:rPr>
            </w:pPr>
          </w:p>
        </w:tc>
        <w:tc>
          <w:tcPr>
            <w:tcW w:w="1260" w:type="dxa"/>
            <w:vAlign w:val="center"/>
          </w:tcPr>
          <w:p>
            <w:pPr>
              <w:widowControl w:val="0"/>
              <w:ind w:firstLine="480"/>
              <w:jc w:val="center"/>
              <w:rPr>
                <w:lang w:eastAsia="zh-CN"/>
              </w:rPr>
            </w:pPr>
          </w:p>
        </w:tc>
        <w:tc>
          <w:tcPr>
            <w:tcW w:w="92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widowControl w:val="0"/>
              <w:ind w:firstLine="480"/>
              <w:jc w:val="center"/>
              <w:rPr>
                <w:lang w:eastAsia="zh-CN"/>
              </w:rPr>
            </w:pPr>
          </w:p>
        </w:tc>
        <w:tc>
          <w:tcPr>
            <w:tcW w:w="1248" w:type="dxa"/>
            <w:vAlign w:val="center"/>
          </w:tcPr>
          <w:p>
            <w:pPr>
              <w:widowControl w:val="0"/>
              <w:ind w:firstLine="480"/>
              <w:jc w:val="center"/>
              <w:rPr>
                <w:lang w:eastAsia="zh-CN"/>
              </w:rPr>
            </w:pPr>
          </w:p>
        </w:tc>
        <w:tc>
          <w:tcPr>
            <w:tcW w:w="1002" w:type="dxa"/>
            <w:vAlign w:val="center"/>
          </w:tcPr>
          <w:p>
            <w:pPr>
              <w:widowControl w:val="0"/>
              <w:ind w:firstLine="480"/>
              <w:jc w:val="center"/>
              <w:rPr>
                <w:lang w:eastAsia="zh-CN"/>
              </w:rPr>
            </w:pPr>
          </w:p>
        </w:tc>
        <w:tc>
          <w:tcPr>
            <w:tcW w:w="990" w:type="dxa"/>
            <w:vAlign w:val="center"/>
          </w:tcPr>
          <w:p>
            <w:pPr>
              <w:widowControl w:val="0"/>
              <w:ind w:firstLine="480"/>
              <w:jc w:val="center"/>
              <w:rPr>
                <w:lang w:eastAsia="zh-CN"/>
              </w:rPr>
            </w:pPr>
          </w:p>
        </w:tc>
        <w:tc>
          <w:tcPr>
            <w:tcW w:w="1110" w:type="dxa"/>
            <w:vAlign w:val="center"/>
          </w:tcPr>
          <w:p>
            <w:pPr>
              <w:widowControl w:val="0"/>
              <w:ind w:firstLine="480"/>
              <w:jc w:val="center"/>
              <w:rPr>
                <w:lang w:eastAsia="zh-CN"/>
              </w:rPr>
            </w:pPr>
          </w:p>
        </w:tc>
        <w:tc>
          <w:tcPr>
            <w:tcW w:w="1230" w:type="dxa"/>
            <w:vAlign w:val="center"/>
          </w:tcPr>
          <w:p>
            <w:pPr>
              <w:widowControl w:val="0"/>
              <w:ind w:firstLine="480"/>
              <w:jc w:val="center"/>
              <w:rPr>
                <w:lang w:eastAsia="zh-CN"/>
              </w:rPr>
            </w:pPr>
          </w:p>
        </w:tc>
        <w:tc>
          <w:tcPr>
            <w:tcW w:w="1260" w:type="dxa"/>
            <w:vAlign w:val="center"/>
          </w:tcPr>
          <w:p>
            <w:pPr>
              <w:widowControl w:val="0"/>
              <w:ind w:firstLine="480"/>
              <w:jc w:val="center"/>
              <w:rPr>
                <w:lang w:eastAsia="zh-CN"/>
              </w:rPr>
            </w:pPr>
          </w:p>
        </w:tc>
        <w:tc>
          <w:tcPr>
            <w:tcW w:w="92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widowControl w:val="0"/>
              <w:ind w:firstLine="480"/>
              <w:jc w:val="center"/>
              <w:rPr>
                <w:lang w:eastAsia="zh-CN"/>
              </w:rPr>
            </w:pPr>
          </w:p>
        </w:tc>
        <w:tc>
          <w:tcPr>
            <w:tcW w:w="1248" w:type="dxa"/>
            <w:vAlign w:val="center"/>
          </w:tcPr>
          <w:p>
            <w:pPr>
              <w:widowControl w:val="0"/>
              <w:ind w:firstLine="480"/>
              <w:jc w:val="center"/>
              <w:rPr>
                <w:lang w:eastAsia="zh-CN"/>
              </w:rPr>
            </w:pPr>
          </w:p>
        </w:tc>
        <w:tc>
          <w:tcPr>
            <w:tcW w:w="1002" w:type="dxa"/>
            <w:vAlign w:val="center"/>
          </w:tcPr>
          <w:p>
            <w:pPr>
              <w:widowControl w:val="0"/>
              <w:ind w:firstLine="480"/>
              <w:jc w:val="center"/>
              <w:rPr>
                <w:lang w:eastAsia="zh-CN"/>
              </w:rPr>
            </w:pPr>
          </w:p>
        </w:tc>
        <w:tc>
          <w:tcPr>
            <w:tcW w:w="990" w:type="dxa"/>
            <w:vAlign w:val="center"/>
          </w:tcPr>
          <w:p>
            <w:pPr>
              <w:widowControl w:val="0"/>
              <w:ind w:firstLine="480"/>
              <w:jc w:val="center"/>
              <w:rPr>
                <w:lang w:eastAsia="zh-CN"/>
              </w:rPr>
            </w:pPr>
          </w:p>
        </w:tc>
        <w:tc>
          <w:tcPr>
            <w:tcW w:w="1110" w:type="dxa"/>
            <w:vAlign w:val="center"/>
          </w:tcPr>
          <w:p>
            <w:pPr>
              <w:widowControl w:val="0"/>
              <w:ind w:firstLine="480"/>
              <w:jc w:val="center"/>
              <w:rPr>
                <w:lang w:eastAsia="zh-CN"/>
              </w:rPr>
            </w:pPr>
          </w:p>
        </w:tc>
        <w:tc>
          <w:tcPr>
            <w:tcW w:w="1230" w:type="dxa"/>
            <w:vAlign w:val="center"/>
          </w:tcPr>
          <w:p>
            <w:pPr>
              <w:widowControl w:val="0"/>
              <w:ind w:firstLine="480"/>
              <w:jc w:val="center"/>
              <w:rPr>
                <w:lang w:eastAsia="zh-CN"/>
              </w:rPr>
            </w:pPr>
          </w:p>
        </w:tc>
        <w:tc>
          <w:tcPr>
            <w:tcW w:w="1260" w:type="dxa"/>
            <w:vAlign w:val="center"/>
          </w:tcPr>
          <w:p>
            <w:pPr>
              <w:widowControl w:val="0"/>
              <w:ind w:firstLine="480"/>
              <w:jc w:val="center"/>
              <w:rPr>
                <w:lang w:eastAsia="zh-CN"/>
              </w:rPr>
            </w:pPr>
          </w:p>
        </w:tc>
        <w:tc>
          <w:tcPr>
            <w:tcW w:w="920" w:type="dxa"/>
            <w:vAlign w:val="center"/>
          </w:tcPr>
          <w:p>
            <w:pPr>
              <w:widowControl w:val="0"/>
              <w:ind w:firstLine="480"/>
              <w:jc w:val="center"/>
              <w:rPr>
                <w:lang w:eastAsia="zh-CN"/>
              </w:rPr>
            </w:pPr>
          </w:p>
        </w:tc>
      </w:tr>
    </w:tbl>
    <w:p>
      <w:pPr>
        <w:ind w:firstLine="0" w:firstLineChars="0"/>
        <w:jc w:val="center"/>
        <w:rPr>
          <w:rFonts w:hint="eastAsia" w:ascii="黑体" w:hAnsi="黑体" w:eastAsia="黑体" w:cs="黑体"/>
          <w:lang w:eastAsia="zh-CN"/>
        </w:rPr>
      </w:pPr>
      <w:r>
        <w:rPr>
          <w:rFonts w:hint="eastAsia" w:ascii="黑体" w:hAnsi="黑体" w:eastAsia="黑体" w:cs="黑体"/>
          <w:lang w:eastAsia="zh-CN"/>
        </w:rPr>
        <w:t>表A.2</w:t>
      </w:r>
      <w:r>
        <w:rPr>
          <w:rFonts w:hint="eastAsia" w:ascii="黑体" w:hAnsi="黑体" w:eastAsia="黑体" w:cs="黑体"/>
          <w:lang w:val="en-US" w:eastAsia="zh-CN"/>
        </w:rPr>
        <w:t xml:space="preserve"> </w:t>
      </w:r>
      <w:r>
        <w:rPr>
          <w:rFonts w:hint="eastAsia" w:ascii="黑体" w:hAnsi="黑体" w:eastAsia="黑体" w:cs="黑体"/>
          <w:lang w:eastAsia="zh-CN"/>
        </w:rPr>
        <w:t>______年______月______日_______储气库注采井采气日报表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60"/>
        <w:gridCol w:w="790"/>
        <w:gridCol w:w="850"/>
        <w:gridCol w:w="820"/>
        <w:gridCol w:w="970"/>
        <w:gridCol w:w="1000"/>
        <w:gridCol w:w="970"/>
        <w:gridCol w:w="97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井号</w:t>
            </w:r>
          </w:p>
        </w:tc>
        <w:tc>
          <w:tcPr>
            <w:tcW w:w="96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生产时间</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h</w:t>
            </w:r>
          </w:p>
        </w:tc>
        <w:tc>
          <w:tcPr>
            <w:tcW w:w="79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开度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85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油压</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82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套压MPa</w:t>
            </w:r>
          </w:p>
        </w:tc>
        <w:tc>
          <w:tcPr>
            <w:tcW w:w="97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井口温度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00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日产气量10</w:t>
            </w:r>
            <w:r>
              <w:rPr>
                <w:rFonts w:hint="eastAsia" w:ascii="宋体" w:hAnsi="宋体" w:eastAsia="宋体" w:cs="宋体"/>
                <w:sz w:val="18"/>
                <w:szCs w:val="18"/>
                <w:vertAlign w:val="superscript"/>
                <w:lang w:eastAsia="zh-CN"/>
              </w:rPr>
              <w:t>4</w:t>
            </w:r>
            <w:r>
              <w:rPr>
                <w:rFonts w:hint="eastAsia" w:ascii="宋体" w:hAnsi="宋体" w:eastAsia="宋体" w:cs="宋体"/>
                <w:sz w:val="18"/>
                <w:szCs w:val="18"/>
                <w:lang w:eastAsia="zh-CN"/>
              </w:rPr>
              <w:t>m3</w:t>
            </w:r>
          </w:p>
        </w:tc>
        <w:tc>
          <w:tcPr>
            <w:tcW w:w="97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日产油量10</w:t>
            </w:r>
            <w:r>
              <w:rPr>
                <w:rFonts w:hint="eastAsia" w:ascii="宋体" w:hAnsi="宋体" w:eastAsia="宋体" w:cs="宋体"/>
                <w:sz w:val="18"/>
                <w:szCs w:val="18"/>
                <w:vertAlign w:val="superscript"/>
                <w:lang w:eastAsia="zh-CN"/>
              </w:rPr>
              <w:t>4</w:t>
            </w:r>
            <w:r>
              <w:rPr>
                <w:rFonts w:hint="eastAsia" w:ascii="宋体" w:hAnsi="宋体" w:eastAsia="宋体" w:cs="宋体"/>
                <w:sz w:val="18"/>
                <w:szCs w:val="18"/>
                <w:lang w:eastAsia="zh-CN"/>
              </w:rPr>
              <w:t>m3</w:t>
            </w:r>
          </w:p>
        </w:tc>
        <w:tc>
          <w:tcPr>
            <w:tcW w:w="97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日产水量10</w:t>
            </w:r>
            <w:r>
              <w:rPr>
                <w:rFonts w:hint="eastAsia" w:ascii="宋体" w:hAnsi="宋体" w:eastAsia="宋体" w:cs="宋体"/>
                <w:sz w:val="18"/>
                <w:szCs w:val="18"/>
                <w:vertAlign w:val="superscript"/>
                <w:lang w:eastAsia="zh-CN"/>
              </w:rPr>
              <w:t>4</w:t>
            </w:r>
            <w:r>
              <w:rPr>
                <w:rFonts w:hint="eastAsia" w:ascii="宋体" w:hAnsi="宋体" w:eastAsia="宋体" w:cs="宋体"/>
                <w:sz w:val="18"/>
                <w:szCs w:val="18"/>
                <w:lang w:eastAsia="zh-CN"/>
              </w:rPr>
              <w:t>m3</w:t>
            </w:r>
          </w:p>
        </w:tc>
        <w:tc>
          <w:tcPr>
            <w:tcW w:w="62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val="0"/>
              <w:ind w:firstLine="480"/>
              <w:jc w:val="center"/>
              <w:rPr>
                <w:lang w:eastAsia="zh-CN"/>
              </w:rPr>
            </w:pPr>
          </w:p>
        </w:tc>
        <w:tc>
          <w:tcPr>
            <w:tcW w:w="960" w:type="dxa"/>
            <w:vAlign w:val="center"/>
          </w:tcPr>
          <w:p>
            <w:pPr>
              <w:widowControl w:val="0"/>
              <w:ind w:firstLine="480"/>
              <w:jc w:val="center"/>
              <w:rPr>
                <w:lang w:eastAsia="zh-CN"/>
              </w:rPr>
            </w:pPr>
          </w:p>
        </w:tc>
        <w:tc>
          <w:tcPr>
            <w:tcW w:w="790" w:type="dxa"/>
            <w:vAlign w:val="center"/>
          </w:tcPr>
          <w:p>
            <w:pPr>
              <w:widowControl w:val="0"/>
              <w:ind w:firstLine="480"/>
              <w:jc w:val="center"/>
              <w:rPr>
                <w:lang w:eastAsia="zh-CN"/>
              </w:rPr>
            </w:pPr>
          </w:p>
        </w:tc>
        <w:tc>
          <w:tcPr>
            <w:tcW w:w="850" w:type="dxa"/>
            <w:vAlign w:val="center"/>
          </w:tcPr>
          <w:p>
            <w:pPr>
              <w:widowControl w:val="0"/>
              <w:ind w:firstLine="480"/>
              <w:jc w:val="center"/>
              <w:rPr>
                <w:lang w:eastAsia="zh-CN"/>
              </w:rPr>
            </w:pPr>
          </w:p>
        </w:tc>
        <w:tc>
          <w:tcPr>
            <w:tcW w:w="82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100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62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val="0"/>
              <w:ind w:firstLine="480"/>
              <w:jc w:val="center"/>
              <w:rPr>
                <w:lang w:eastAsia="zh-CN"/>
              </w:rPr>
            </w:pPr>
          </w:p>
        </w:tc>
        <w:tc>
          <w:tcPr>
            <w:tcW w:w="960" w:type="dxa"/>
            <w:vAlign w:val="center"/>
          </w:tcPr>
          <w:p>
            <w:pPr>
              <w:widowControl w:val="0"/>
              <w:ind w:firstLine="480"/>
              <w:jc w:val="center"/>
              <w:rPr>
                <w:lang w:eastAsia="zh-CN"/>
              </w:rPr>
            </w:pPr>
          </w:p>
        </w:tc>
        <w:tc>
          <w:tcPr>
            <w:tcW w:w="790" w:type="dxa"/>
            <w:vAlign w:val="center"/>
          </w:tcPr>
          <w:p>
            <w:pPr>
              <w:widowControl w:val="0"/>
              <w:ind w:firstLine="480"/>
              <w:jc w:val="center"/>
              <w:rPr>
                <w:lang w:eastAsia="zh-CN"/>
              </w:rPr>
            </w:pPr>
          </w:p>
        </w:tc>
        <w:tc>
          <w:tcPr>
            <w:tcW w:w="850" w:type="dxa"/>
            <w:vAlign w:val="center"/>
          </w:tcPr>
          <w:p>
            <w:pPr>
              <w:widowControl w:val="0"/>
              <w:ind w:firstLine="480"/>
              <w:jc w:val="center"/>
              <w:rPr>
                <w:lang w:eastAsia="zh-CN"/>
              </w:rPr>
            </w:pPr>
          </w:p>
        </w:tc>
        <w:tc>
          <w:tcPr>
            <w:tcW w:w="82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100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62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val="0"/>
              <w:ind w:firstLine="480"/>
              <w:jc w:val="center"/>
              <w:rPr>
                <w:lang w:eastAsia="zh-CN"/>
              </w:rPr>
            </w:pPr>
          </w:p>
        </w:tc>
        <w:tc>
          <w:tcPr>
            <w:tcW w:w="960" w:type="dxa"/>
            <w:vAlign w:val="center"/>
          </w:tcPr>
          <w:p>
            <w:pPr>
              <w:widowControl w:val="0"/>
              <w:ind w:firstLine="480"/>
              <w:jc w:val="center"/>
              <w:rPr>
                <w:lang w:eastAsia="zh-CN"/>
              </w:rPr>
            </w:pPr>
          </w:p>
        </w:tc>
        <w:tc>
          <w:tcPr>
            <w:tcW w:w="790" w:type="dxa"/>
            <w:vAlign w:val="center"/>
          </w:tcPr>
          <w:p>
            <w:pPr>
              <w:widowControl w:val="0"/>
              <w:ind w:firstLine="480"/>
              <w:jc w:val="center"/>
              <w:rPr>
                <w:lang w:eastAsia="zh-CN"/>
              </w:rPr>
            </w:pPr>
          </w:p>
        </w:tc>
        <w:tc>
          <w:tcPr>
            <w:tcW w:w="850" w:type="dxa"/>
            <w:vAlign w:val="center"/>
          </w:tcPr>
          <w:p>
            <w:pPr>
              <w:widowControl w:val="0"/>
              <w:ind w:firstLine="480"/>
              <w:jc w:val="center"/>
              <w:rPr>
                <w:lang w:eastAsia="zh-CN"/>
              </w:rPr>
            </w:pPr>
          </w:p>
        </w:tc>
        <w:tc>
          <w:tcPr>
            <w:tcW w:w="82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100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62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val="0"/>
              <w:ind w:firstLine="480"/>
              <w:jc w:val="center"/>
              <w:rPr>
                <w:lang w:eastAsia="zh-CN"/>
              </w:rPr>
            </w:pPr>
          </w:p>
        </w:tc>
        <w:tc>
          <w:tcPr>
            <w:tcW w:w="960" w:type="dxa"/>
            <w:vAlign w:val="center"/>
          </w:tcPr>
          <w:p>
            <w:pPr>
              <w:widowControl w:val="0"/>
              <w:ind w:firstLine="480"/>
              <w:jc w:val="center"/>
              <w:rPr>
                <w:lang w:eastAsia="zh-CN"/>
              </w:rPr>
            </w:pPr>
          </w:p>
        </w:tc>
        <w:tc>
          <w:tcPr>
            <w:tcW w:w="790" w:type="dxa"/>
            <w:vAlign w:val="center"/>
          </w:tcPr>
          <w:p>
            <w:pPr>
              <w:widowControl w:val="0"/>
              <w:ind w:firstLine="480"/>
              <w:jc w:val="center"/>
              <w:rPr>
                <w:lang w:eastAsia="zh-CN"/>
              </w:rPr>
            </w:pPr>
          </w:p>
        </w:tc>
        <w:tc>
          <w:tcPr>
            <w:tcW w:w="850" w:type="dxa"/>
            <w:vAlign w:val="center"/>
          </w:tcPr>
          <w:p>
            <w:pPr>
              <w:widowControl w:val="0"/>
              <w:ind w:firstLine="480"/>
              <w:jc w:val="center"/>
              <w:rPr>
                <w:lang w:eastAsia="zh-CN"/>
              </w:rPr>
            </w:pPr>
          </w:p>
        </w:tc>
        <w:tc>
          <w:tcPr>
            <w:tcW w:w="82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100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62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val="0"/>
              <w:ind w:firstLine="480"/>
              <w:jc w:val="center"/>
              <w:rPr>
                <w:lang w:eastAsia="zh-CN"/>
              </w:rPr>
            </w:pPr>
          </w:p>
        </w:tc>
        <w:tc>
          <w:tcPr>
            <w:tcW w:w="960" w:type="dxa"/>
            <w:vAlign w:val="center"/>
          </w:tcPr>
          <w:p>
            <w:pPr>
              <w:widowControl w:val="0"/>
              <w:ind w:firstLine="480"/>
              <w:jc w:val="center"/>
              <w:rPr>
                <w:lang w:eastAsia="zh-CN"/>
              </w:rPr>
            </w:pPr>
          </w:p>
        </w:tc>
        <w:tc>
          <w:tcPr>
            <w:tcW w:w="790" w:type="dxa"/>
            <w:vAlign w:val="center"/>
          </w:tcPr>
          <w:p>
            <w:pPr>
              <w:widowControl w:val="0"/>
              <w:ind w:firstLine="480"/>
              <w:jc w:val="center"/>
              <w:rPr>
                <w:lang w:eastAsia="zh-CN"/>
              </w:rPr>
            </w:pPr>
          </w:p>
        </w:tc>
        <w:tc>
          <w:tcPr>
            <w:tcW w:w="850" w:type="dxa"/>
            <w:vAlign w:val="center"/>
          </w:tcPr>
          <w:p>
            <w:pPr>
              <w:widowControl w:val="0"/>
              <w:ind w:firstLine="480"/>
              <w:jc w:val="center"/>
              <w:rPr>
                <w:lang w:eastAsia="zh-CN"/>
              </w:rPr>
            </w:pPr>
          </w:p>
        </w:tc>
        <w:tc>
          <w:tcPr>
            <w:tcW w:w="82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100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970" w:type="dxa"/>
            <w:vAlign w:val="center"/>
          </w:tcPr>
          <w:p>
            <w:pPr>
              <w:widowControl w:val="0"/>
              <w:ind w:firstLine="480"/>
              <w:jc w:val="center"/>
              <w:rPr>
                <w:lang w:eastAsia="zh-CN"/>
              </w:rPr>
            </w:pPr>
          </w:p>
        </w:tc>
        <w:tc>
          <w:tcPr>
            <w:tcW w:w="620" w:type="dxa"/>
            <w:vAlign w:val="center"/>
          </w:tcPr>
          <w:p>
            <w:pPr>
              <w:widowControl w:val="0"/>
              <w:ind w:firstLine="480"/>
              <w:jc w:val="center"/>
              <w:rPr>
                <w:lang w:eastAsia="zh-CN"/>
              </w:rPr>
            </w:pPr>
          </w:p>
        </w:tc>
      </w:tr>
    </w:tbl>
    <w:p>
      <w:pPr>
        <w:ind w:firstLine="0" w:firstLineChars="0"/>
        <w:jc w:val="center"/>
        <w:rPr>
          <w:rFonts w:hint="eastAsia" w:ascii="黑体" w:hAnsi="黑体" w:eastAsia="黑体" w:cs="黑体"/>
          <w:lang w:eastAsia="zh-CN"/>
        </w:rPr>
      </w:pPr>
      <w:r>
        <w:rPr>
          <w:rFonts w:hint="eastAsia" w:ascii="黑体" w:hAnsi="黑体" w:eastAsia="黑体" w:cs="黑体"/>
          <w:lang w:eastAsia="zh-CN"/>
        </w:rPr>
        <w:t>表A.3</w:t>
      </w:r>
      <w:r>
        <w:rPr>
          <w:rFonts w:hint="eastAsia" w:ascii="黑体" w:hAnsi="黑体" w:eastAsia="黑体" w:cs="黑体"/>
          <w:lang w:val="en-US" w:eastAsia="zh-CN"/>
        </w:rPr>
        <w:t xml:space="preserve"> </w:t>
      </w:r>
      <w:r>
        <w:rPr>
          <w:rFonts w:hint="eastAsia" w:ascii="黑体" w:hAnsi="黑体" w:eastAsia="黑体" w:cs="黑体"/>
          <w:lang w:eastAsia="zh-CN"/>
        </w:rPr>
        <w:t>______井运行参数监测记录表</w:t>
      </w:r>
    </w:p>
    <w:tbl>
      <w:tblPr>
        <w:tblStyle w:val="2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210"/>
        <w:gridCol w:w="990"/>
        <w:gridCol w:w="1026"/>
        <w:gridCol w:w="1200"/>
        <w:gridCol w:w="1124"/>
        <w:gridCol w:w="85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2" w:type="dxa"/>
            <w:gridSpan w:val="7"/>
            <w:vAlign w:val="center"/>
          </w:tcPr>
          <w:p>
            <w:pPr>
              <w:widowControl w:val="0"/>
              <w:ind w:firstLine="480"/>
              <w:jc w:val="center"/>
              <w:rPr>
                <w:lang w:eastAsia="zh-CN"/>
              </w:rPr>
            </w:pPr>
            <w:r>
              <w:rPr>
                <w:rFonts w:hint="eastAsia"/>
                <w:lang w:eastAsia="zh-CN"/>
              </w:rPr>
              <w:t>_____井</w:t>
            </w:r>
          </w:p>
        </w:tc>
        <w:tc>
          <w:tcPr>
            <w:tcW w:w="1300" w:type="dxa"/>
            <w:vAlign w:val="center"/>
          </w:tcPr>
          <w:p>
            <w:pPr>
              <w:widowControl w:val="0"/>
              <w:ind w:firstLine="0" w:firstLineChars="0"/>
              <w:jc w:val="center"/>
              <w:rPr>
                <w:lang w:eastAsia="zh-CN"/>
              </w:rPr>
            </w:pPr>
            <w:r>
              <w:rPr>
                <w:rFonts w:hint="eastAsia"/>
                <w:lang w:eastAsia="zh-CN"/>
              </w:rPr>
              <w:t>_年_月_日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restart"/>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时间</w:t>
            </w:r>
          </w:p>
        </w:tc>
        <w:tc>
          <w:tcPr>
            <w:tcW w:w="121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生产状态</w:t>
            </w:r>
          </w:p>
        </w:tc>
        <w:tc>
          <w:tcPr>
            <w:tcW w:w="990" w:type="dxa"/>
            <w:vMerge w:val="restart"/>
            <w:vAlign w:val="center"/>
          </w:tcPr>
          <w:p>
            <w:pPr>
              <w:widowControl w:val="0"/>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油压</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1026" w:type="dxa"/>
            <w:vMerge w:val="restart"/>
            <w:vAlign w:val="center"/>
          </w:tcPr>
          <w:p>
            <w:pPr>
              <w:widowControl w:val="0"/>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套压</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1200" w:type="dxa"/>
            <w:vMerge w:val="restart"/>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日注气量</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10</w:t>
            </w:r>
            <w:r>
              <w:rPr>
                <w:rFonts w:hint="eastAsia" w:ascii="宋体" w:hAnsi="宋体" w:eastAsia="宋体" w:cs="宋体"/>
                <w:sz w:val="18"/>
                <w:szCs w:val="18"/>
                <w:vertAlign w:val="superscript"/>
                <w:lang w:eastAsia="zh-CN"/>
              </w:rPr>
              <w:t>4</w:t>
            </w:r>
            <w:r>
              <w:rPr>
                <w:rFonts w:hint="eastAsia" w:ascii="宋体" w:hAnsi="宋体" w:eastAsia="宋体" w:cs="宋体"/>
                <w:sz w:val="18"/>
                <w:szCs w:val="18"/>
                <w:lang w:eastAsia="zh-CN"/>
              </w:rPr>
              <w:t>m3</w:t>
            </w:r>
          </w:p>
        </w:tc>
        <w:tc>
          <w:tcPr>
            <w:tcW w:w="1124" w:type="dxa"/>
            <w:vMerge w:val="restart"/>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日采气量</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10</w:t>
            </w:r>
            <w:r>
              <w:rPr>
                <w:rFonts w:hint="eastAsia" w:ascii="宋体" w:hAnsi="宋体" w:eastAsia="宋体" w:cs="宋体"/>
                <w:sz w:val="18"/>
                <w:szCs w:val="18"/>
                <w:vertAlign w:val="superscript"/>
                <w:lang w:eastAsia="zh-CN"/>
              </w:rPr>
              <w:t>4</w:t>
            </w:r>
            <w:r>
              <w:rPr>
                <w:rFonts w:hint="eastAsia" w:ascii="宋体" w:hAnsi="宋体" w:eastAsia="宋体" w:cs="宋体"/>
                <w:sz w:val="18"/>
                <w:szCs w:val="18"/>
                <w:lang w:eastAsia="zh-CN"/>
              </w:rPr>
              <w:t>m3</w:t>
            </w:r>
          </w:p>
        </w:tc>
        <w:tc>
          <w:tcPr>
            <w:tcW w:w="850" w:type="dxa"/>
            <w:vMerge w:val="restart"/>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温度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1300" w:type="dxa"/>
            <w:vMerge w:val="restart"/>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vAlign w:val="center"/>
          </w:tcPr>
          <w:p>
            <w:pPr>
              <w:widowControl w:val="0"/>
              <w:ind w:firstLine="0" w:firstLineChars="0"/>
              <w:jc w:val="center"/>
              <w:rPr>
                <w:rFonts w:hint="eastAsia" w:ascii="宋体" w:hAnsi="宋体" w:eastAsia="宋体" w:cs="宋体"/>
                <w:sz w:val="18"/>
                <w:szCs w:val="18"/>
                <w:lang w:eastAsia="zh-CN"/>
              </w:rPr>
            </w:pPr>
          </w:p>
        </w:tc>
        <w:tc>
          <w:tcPr>
            <w:tcW w:w="121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（开/关）</w:t>
            </w:r>
          </w:p>
        </w:tc>
        <w:tc>
          <w:tcPr>
            <w:tcW w:w="990" w:type="dxa"/>
            <w:vMerge w:val="continue"/>
            <w:vAlign w:val="center"/>
          </w:tcPr>
          <w:p>
            <w:pPr>
              <w:widowControl w:val="0"/>
              <w:ind w:firstLine="0" w:firstLineChars="0"/>
              <w:jc w:val="center"/>
              <w:rPr>
                <w:rFonts w:hint="eastAsia" w:ascii="宋体" w:hAnsi="宋体" w:eastAsia="宋体" w:cs="宋体"/>
                <w:sz w:val="18"/>
                <w:szCs w:val="18"/>
                <w:lang w:eastAsia="zh-CN"/>
              </w:rPr>
            </w:pPr>
          </w:p>
        </w:tc>
        <w:tc>
          <w:tcPr>
            <w:tcW w:w="1026" w:type="dxa"/>
            <w:vMerge w:val="continue"/>
            <w:vAlign w:val="center"/>
          </w:tcPr>
          <w:p>
            <w:pPr>
              <w:widowControl w:val="0"/>
              <w:ind w:firstLine="0" w:firstLineChars="0"/>
              <w:jc w:val="center"/>
              <w:rPr>
                <w:rFonts w:hint="eastAsia" w:ascii="宋体" w:hAnsi="宋体" w:eastAsia="宋体" w:cs="宋体"/>
                <w:sz w:val="18"/>
                <w:szCs w:val="18"/>
                <w:lang w:eastAsia="zh-CN"/>
              </w:rPr>
            </w:pPr>
          </w:p>
        </w:tc>
        <w:tc>
          <w:tcPr>
            <w:tcW w:w="1200" w:type="dxa"/>
            <w:vMerge w:val="continue"/>
            <w:vAlign w:val="center"/>
          </w:tcPr>
          <w:p>
            <w:pPr>
              <w:widowControl w:val="0"/>
              <w:ind w:firstLine="0" w:firstLineChars="0"/>
              <w:jc w:val="center"/>
              <w:rPr>
                <w:rFonts w:hint="eastAsia" w:ascii="宋体" w:hAnsi="宋体" w:eastAsia="宋体" w:cs="宋体"/>
                <w:sz w:val="18"/>
                <w:szCs w:val="18"/>
                <w:lang w:eastAsia="zh-CN"/>
              </w:rPr>
            </w:pPr>
          </w:p>
        </w:tc>
        <w:tc>
          <w:tcPr>
            <w:tcW w:w="1124" w:type="dxa"/>
            <w:vMerge w:val="continue"/>
            <w:vAlign w:val="center"/>
          </w:tcPr>
          <w:p>
            <w:pPr>
              <w:widowControl w:val="0"/>
              <w:ind w:firstLine="0" w:firstLineChars="0"/>
              <w:jc w:val="center"/>
              <w:rPr>
                <w:rFonts w:hint="eastAsia" w:ascii="宋体" w:hAnsi="宋体" w:eastAsia="宋体" w:cs="宋体"/>
                <w:sz w:val="18"/>
                <w:szCs w:val="18"/>
                <w:lang w:eastAsia="zh-CN"/>
              </w:rPr>
            </w:pPr>
          </w:p>
        </w:tc>
        <w:tc>
          <w:tcPr>
            <w:tcW w:w="850" w:type="dxa"/>
            <w:vMerge w:val="continue"/>
            <w:vAlign w:val="center"/>
          </w:tcPr>
          <w:p>
            <w:pPr>
              <w:widowControl w:val="0"/>
              <w:ind w:firstLine="0" w:firstLineChars="0"/>
              <w:jc w:val="center"/>
              <w:rPr>
                <w:rFonts w:hint="eastAsia" w:ascii="宋体" w:hAnsi="宋体" w:eastAsia="宋体" w:cs="宋体"/>
                <w:sz w:val="18"/>
                <w:szCs w:val="18"/>
                <w:lang w:eastAsia="zh-CN"/>
              </w:rPr>
            </w:pPr>
          </w:p>
        </w:tc>
        <w:tc>
          <w:tcPr>
            <w:tcW w:w="1300" w:type="dxa"/>
            <w:vMerge w:val="continue"/>
            <w:vAlign w:val="center"/>
          </w:tcPr>
          <w:p>
            <w:pPr>
              <w:widowControl w:val="0"/>
              <w:ind w:firstLine="0" w:firstLineChars="0"/>
              <w:jc w:val="center"/>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val="0"/>
              <w:ind w:firstLine="480"/>
              <w:jc w:val="center"/>
              <w:rPr>
                <w:lang w:eastAsia="zh-CN"/>
              </w:rPr>
            </w:pPr>
          </w:p>
        </w:tc>
        <w:tc>
          <w:tcPr>
            <w:tcW w:w="1210" w:type="dxa"/>
            <w:vAlign w:val="center"/>
          </w:tcPr>
          <w:p>
            <w:pPr>
              <w:widowControl w:val="0"/>
              <w:ind w:firstLine="480"/>
              <w:jc w:val="center"/>
              <w:rPr>
                <w:lang w:eastAsia="zh-CN"/>
              </w:rPr>
            </w:pPr>
          </w:p>
        </w:tc>
        <w:tc>
          <w:tcPr>
            <w:tcW w:w="990" w:type="dxa"/>
            <w:vAlign w:val="center"/>
          </w:tcPr>
          <w:p>
            <w:pPr>
              <w:widowControl w:val="0"/>
              <w:ind w:firstLine="480"/>
              <w:jc w:val="center"/>
              <w:rPr>
                <w:lang w:eastAsia="zh-CN"/>
              </w:rPr>
            </w:pPr>
          </w:p>
        </w:tc>
        <w:tc>
          <w:tcPr>
            <w:tcW w:w="1026" w:type="dxa"/>
            <w:vAlign w:val="center"/>
          </w:tcPr>
          <w:p>
            <w:pPr>
              <w:widowControl w:val="0"/>
              <w:ind w:firstLine="480"/>
              <w:jc w:val="center"/>
              <w:rPr>
                <w:lang w:eastAsia="zh-CN"/>
              </w:rPr>
            </w:pPr>
          </w:p>
        </w:tc>
        <w:tc>
          <w:tcPr>
            <w:tcW w:w="1200" w:type="dxa"/>
            <w:vAlign w:val="center"/>
          </w:tcPr>
          <w:p>
            <w:pPr>
              <w:widowControl w:val="0"/>
              <w:ind w:firstLine="480"/>
              <w:jc w:val="center"/>
              <w:rPr>
                <w:lang w:eastAsia="zh-CN"/>
              </w:rPr>
            </w:pPr>
          </w:p>
        </w:tc>
        <w:tc>
          <w:tcPr>
            <w:tcW w:w="1124" w:type="dxa"/>
            <w:vAlign w:val="center"/>
          </w:tcPr>
          <w:p>
            <w:pPr>
              <w:widowControl w:val="0"/>
              <w:ind w:firstLine="480"/>
              <w:jc w:val="center"/>
              <w:rPr>
                <w:lang w:eastAsia="zh-CN"/>
              </w:rPr>
            </w:pPr>
          </w:p>
        </w:tc>
        <w:tc>
          <w:tcPr>
            <w:tcW w:w="850" w:type="dxa"/>
            <w:vAlign w:val="center"/>
          </w:tcPr>
          <w:p>
            <w:pPr>
              <w:widowControl w:val="0"/>
              <w:ind w:firstLine="480"/>
              <w:jc w:val="center"/>
              <w:rPr>
                <w:lang w:eastAsia="zh-CN"/>
              </w:rPr>
            </w:pPr>
          </w:p>
        </w:tc>
        <w:tc>
          <w:tcPr>
            <w:tcW w:w="130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val="0"/>
              <w:ind w:firstLine="480"/>
              <w:jc w:val="center"/>
              <w:rPr>
                <w:lang w:eastAsia="zh-CN"/>
              </w:rPr>
            </w:pPr>
          </w:p>
        </w:tc>
        <w:tc>
          <w:tcPr>
            <w:tcW w:w="1210" w:type="dxa"/>
            <w:vAlign w:val="center"/>
          </w:tcPr>
          <w:p>
            <w:pPr>
              <w:widowControl w:val="0"/>
              <w:ind w:firstLine="480"/>
              <w:jc w:val="center"/>
              <w:rPr>
                <w:lang w:eastAsia="zh-CN"/>
              </w:rPr>
            </w:pPr>
          </w:p>
        </w:tc>
        <w:tc>
          <w:tcPr>
            <w:tcW w:w="990" w:type="dxa"/>
            <w:vAlign w:val="center"/>
          </w:tcPr>
          <w:p>
            <w:pPr>
              <w:widowControl w:val="0"/>
              <w:ind w:firstLine="480"/>
              <w:jc w:val="center"/>
              <w:rPr>
                <w:lang w:eastAsia="zh-CN"/>
              </w:rPr>
            </w:pPr>
          </w:p>
        </w:tc>
        <w:tc>
          <w:tcPr>
            <w:tcW w:w="1026" w:type="dxa"/>
            <w:vAlign w:val="center"/>
          </w:tcPr>
          <w:p>
            <w:pPr>
              <w:widowControl w:val="0"/>
              <w:ind w:firstLine="480"/>
              <w:jc w:val="center"/>
              <w:rPr>
                <w:lang w:eastAsia="zh-CN"/>
              </w:rPr>
            </w:pPr>
          </w:p>
        </w:tc>
        <w:tc>
          <w:tcPr>
            <w:tcW w:w="1200" w:type="dxa"/>
            <w:vAlign w:val="center"/>
          </w:tcPr>
          <w:p>
            <w:pPr>
              <w:widowControl w:val="0"/>
              <w:ind w:firstLine="480"/>
              <w:jc w:val="center"/>
              <w:rPr>
                <w:lang w:eastAsia="zh-CN"/>
              </w:rPr>
            </w:pPr>
          </w:p>
        </w:tc>
        <w:tc>
          <w:tcPr>
            <w:tcW w:w="1124" w:type="dxa"/>
            <w:vAlign w:val="center"/>
          </w:tcPr>
          <w:p>
            <w:pPr>
              <w:widowControl w:val="0"/>
              <w:ind w:firstLine="480"/>
              <w:jc w:val="center"/>
              <w:rPr>
                <w:lang w:eastAsia="zh-CN"/>
              </w:rPr>
            </w:pPr>
          </w:p>
        </w:tc>
        <w:tc>
          <w:tcPr>
            <w:tcW w:w="850" w:type="dxa"/>
            <w:vAlign w:val="center"/>
          </w:tcPr>
          <w:p>
            <w:pPr>
              <w:widowControl w:val="0"/>
              <w:ind w:firstLine="480"/>
              <w:jc w:val="center"/>
              <w:rPr>
                <w:lang w:eastAsia="zh-CN"/>
              </w:rPr>
            </w:pPr>
          </w:p>
        </w:tc>
        <w:tc>
          <w:tcPr>
            <w:tcW w:w="130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val="0"/>
              <w:ind w:firstLine="480"/>
              <w:jc w:val="center"/>
              <w:rPr>
                <w:lang w:eastAsia="zh-CN"/>
              </w:rPr>
            </w:pPr>
          </w:p>
        </w:tc>
        <w:tc>
          <w:tcPr>
            <w:tcW w:w="1210" w:type="dxa"/>
            <w:vAlign w:val="center"/>
          </w:tcPr>
          <w:p>
            <w:pPr>
              <w:widowControl w:val="0"/>
              <w:ind w:firstLine="480"/>
              <w:jc w:val="center"/>
              <w:rPr>
                <w:lang w:eastAsia="zh-CN"/>
              </w:rPr>
            </w:pPr>
          </w:p>
        </w:tc>
        <w:tc>
          <w:tcPr>
            <w:tcW w:w="990" w:type="dxa"/>
            <w:vAlign w:val="center"/>
          </w:tcPr>
          <w:p>
            <w:pPr>
              <w:widowControl w:val="0"/>
              <w:ind w:firstLine="480"/>
              <w:jc w:val="center"/>
              <w:rPr>
                <w:lang w:eastAsia="zh-CN"/>
              </w:rPr>
            </w:pPr>
          </w:p>
        </w:tc>
        <w:tc>
          <w:tcPr>
            <w:tcW w:w="1026" w:type="dxa"/>
            <w:vAlign w:val="center"/>
          </w:tcPr>
          <w:p>
            <w:pPr>
              <w:widowControl w:val="0"/>
              <w:ind w:firstLine="480"/>
              <w:jc w:val="center"/>
              <w:rPr>
                <w:lang w:eastAsia="zh-CN"/>
              </w:rPr>
            </w:pPr>
          </w:p>
        </w:tc>
        <w:tc>
          <w:tcPr>
            <w:tcW w:w="1200" w:type="dxa"/>
            <w:vAlign w:val="center"/>
          </w:tcPr>
          <w:p>
            <w:pPr>
              <w:widowControl w:val="0"/>
              <w:ind w:firstLine="480"/>
              <w:jc w:val="center"/>
              <w:rPr>
                <w:lang w:eastAsia="zh-CN"/>
              </w:rPr>
            </w:pPr>
          </w:p>
        </w:tc>
        <w:tc>
          <w:tcPr>
            <w:tcW w:w="1124" w:type="dxa"/>
            <w:vAlign w:val="center"/>
          </w:tcPr>
          <w:p>
            <w:pPr>
              <w:widowControl w:val="0"/>
              <w:ind w:firstLine="480"/>
              <w:jc w:val="center"/>
              <w:rPr>
                <w:lang w:eastAsia="zh-CN"/>
              </w:rPr>
            </w:pPr>
          </w:p>
        </w:tc>
        <w:tc>
          <w:tcPr>
            <w:tcW w:w="850" w:type="dxa"/>
            <w:vAlign w:val="center"/>
          </w:tcPr>
          <w:p>
            <w:pPr>
              <w:widowControl w:val="0"/>
              <w:ind w:firstLine="480"/>
              <w:jc w:val="center"/>
              <w:rPr>
                <w:lang w:eastAsia="zh-CN"/>
              </w:rPr>
            </w:pPr>
          </w:p>
        </w:tc>
        <w:tc>
          <w:tcPr>
            <w:tcW w:w="1300" w:type="dxa"/>
            <w:vAlign w:val="center"/>
          </w:tcPr>
          <w:p>
            <w:pPr>
              <w:widowControl w:val="0"/>
              <w:ind w:firstLine="48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val="0"/>
              <w:ind w:firstLine="480"/>
              <w:jc w:val="center"/>
              <w:rPr>
                <w:lang w:eastAsia="zh-CN"/>
              </w:rPr>
            </w:pPr>
          </w:p>
        </w:tc>
        <w:tc>
          <w:tcPr>
            <w:tcW w:w="1210" w:type="dxa"/>
            <w:vAlign w:val="center"/>
          </w:tcPr>
          <w:p>
            <w:pPr>
              <w:widowControl w:val="0"/>
              <w:ind w:firstLine="480"/>
              <w:jc w:val="center"/>
              <w:rPr>
                <w:lang w:eastAsia="zh-CN"/>
              </w:rPr>
            </w:pPr>
          </w:p>
        </w:tc>
        <w:tc>
          <w:tcPr>
            <w:tcW w:w="990" w:type="dxa"/>
            <w:vAlign w:val="center"/>
          </w:tcPr>
          <w:p>
            <w:pPr>
              <w:widowControl w:val="0"/>
              <w:ind w:firstLine="480"/>
              <w:jc w:val="center"/>
              <w:rPr>
                <w:lang w:eastAsia="zh-CN"/>
              </w:rPr>
            </w:pPr>
          </w:p>
        </w:tc>
        <w:tc>
          <w:tcPr>
            <w:tcW w:w="1026" w:type="dxa"/>
            <w:vAlign w:val="center"/>
          </w:tcPr>
          <w:p>
            <w:pPr>
              <w:widowControl w:val="0"/>
              <w:ind w:firstLine="480"/>
              <w:jc w:val="center"/>
              <w:rPr>
                <w:lang w:eastAsia="zh-CN"/>
              </w:rPr>
            </w:pPr>
          </w:p>
        </w:tc>
        <w:tc>
          <w:tcPr>
            <w:tcW w:w="1200" w:type="dxa"/>
            <w:vAlign w:val="center"/>
          </w:tcPr>
          <w:p>
            <w:pPr>
              <w:widowControl w:val="0"/>
              <w:ind w:firstLine="480"/>
              <w:jc w:val="center"/>
              <w:rPr>
                <w:lang w:eastAsia="zh-CN"/>
              </w:rPr>
            </w:pPr>
          </w:p>
        </w:tc>
        <w:tc>
          <w:tcPr>
            <w:tcW w:w="1124" w:type="dxa"/>
            <w:vAlign w:val="center"/>
          </w:tcPr>
          <w:p>
            <w:pPr>
              <w:widowControl w:val="0"/>
              <w:ind w:firstLine="480"/>
              <w:jc w:val="center"/>
              <w:rPr>
                <w:lang w:eastAsia="zh-CN"/>
              </w:rPr>
            </w:pPr>
          </w:p>
        </w:tc>
        <w:tc>
          <w:tcPr>
            <w:tcW w:w="850" w:type="dxa"/>
            <w:vAlign w:val="center"/>
          </w:tcPr>
          <w:p>
            <w:pPr>
              <w:widowControl w:val="0"/>
              <w:ind w:firstLine="480"/>
              <w:jc w:val="center"/>
              <w:rPr>
                <w:lang w:eastAsia="zh-CN"/>
              </w:rPr>
            </w:pPr>
          </w:p>
        </w:tc>
        <w:tc>
          <w:tcPr>
            <w:tcW w:w="1300" w:type="dxa"/>
            <w:vAlign w:val="center"/>
          </w:tcPr>
          <w:p>
            <w:pPr>
              <w:widowControl w:val="0"/>
              <w:ind w:firstLine="480"/>
              <w:jc w:val="center"/>
              <w:rPr>
                <w:lang w:eastAsia="zh-CN"/>
              </w:rPr>
            </w:pPr>
          </w:p>
        </w:tc>
      </w:tr>
    </w:tbl>
    <w:p>
      <w:pPr>
        <w:ind w:firstLine="0" w:firstLineChars="0"/>
        <w:jc w:val="center"/>
        <w:rPr>
          <w:rFonts w:hint="eastAsia" w:ascii="黑体" w:hAnsi="黑体" w:eastAsia="黑体" w:cs="黑体"/>
          <w:lang w:eastAsia="zh-CN"/>
        </w:rPr>
      </w:pPr>
    </w:p>
    <w:p>
      <w:pPr>
        <w:ind w:firstLine="0" w:firstLineChars="0"/>
        <w:jc w:val="center"/>
        <w:rPr>
          <w:rFonts w:hint="eastAsia" w:ascii="黑体" w:hAnsi="黑体" w:eastAsia="黑体" w:cs="黑体"/>
          <w:lang w:eastAsia="zh-CN"/>
        </w:rPr>
      </w:pPr>
    </w:p>
    <w:p>
      <w:pPr>
        <w:ind w:firstLine="0" w:firstLineChars="0"/>
        <w:jc w:val="center"/>
        <w:rPr>
          <w:rFonts w:hint="eastAsia" w:ascii="黑体" w:hAnsi="黑体" w:eastAsia="黑体" w:cs="黑体"/>
          <w:lang w:eastAsia="zh-CN"/>
        </w:rPr>
      </w:pPr>
    </w:p>
    <w:p>
      <w:pPr>
        <w:ind w:firstLine="0" w:firstLineChars="0"/>
        <w:jc w:val="center"/>
        <w:rPr>
          <w:rFonts w:hint="eastAsia" w:ascii="黑体" w:hAnsi="黑体" w:eastAsia="黑体" w:cs="黑体"/>
          <w:lang w:eastAsia="zh-CN"/>
        </w:rPr>
      </w:pPr>
    </w:p>
    <w:p>
      <w:pPr>
        <w:ind w:firstLine="0" w:firstLineChars="0"/>
        <w:jc w:val="center"/>
        <w:rPr>
          <w:rFonts w:hint="eastAsia" w:ascii="黑体" w:hAnsi="黑体" w:eastAsia="黑体" w:cs="黑体"/>
          <w:lang w:eastAsia="zh-CN"/>
        </w:rPr>
      </w:pPr>
    </w:p>
    <w:p>
      <w:pPr>
        <w:ind w:firstLine="0" w:firstLineChars="0"/>
        <w:jc w:val="center"/>
        <w:rPr>
          <w:rFonts w:hint="eastAsia" w:ascii="黑体" w:hAnsi="黑体" w:eastAsia="黑体" w:cs="黑体"/>
          <w:lang w:eastAsia="zh-CN"/>
        </w:rPr>
      </w:pPr>
      <w:r>
        <w:rPr>
          <w:rFonts w:hint="eastAsia" w:ascii="黑体" w:hAnsi="黑体" w:eastAsia="黑体" w:cs="黑体"/>
          <w:lang w:eastAsia="zh-CN"/>
        </w:rPr>
        <w:t>表A.4</w:t>
      </w:r>
      <w:r>
        <w:rPr>
          <w:rFonts w:hint="eastAsia" w:ascii="黑体" w:hAnsi="黑体" w:eastAsia="黑体" w:cs="黑体"/>
          <w:lang w:val="en-US" w:eastAsia="zh-CN"/>
        </w:rPr>
        <w:t xml:space="preserve"> </w:t>
      </w:r>
      <w:r>
        <w:rPr>
          <w:rFonts w:hint="eastAsia" w:ascii="黑体" w:hAnsi="黑体" w:eastAsia="黑体" w:cs="黑体"/>
          <w:lang w:eastAsia="zh-CN"/>
        </w:rPr>
        <w:t>_____年_____月_____日_____储气库注采井静压、静温及梯度测试表</w:t>
      </w:r>
    </w:p>
    <w:tbl>
      <w:tblPr>
        <w:tblStyle w:val="27"/>
        <w:tblpPr w:leftFromText="180" w:rightFromText="180" w:vertAnchor="text" w:horzAnchor="page" w:tblpX="833" w:tblpY="79"/>
        <w:tblOverlap w:val="never"/>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23"/>
        <w:gridCol w:w="747"/>
        <w:gridCol w:w="747"/>
        <w:gridCol w:w="652"/>
        <w:gridCol w:w="578"/>
        <w:gridCol w:w="783"/>
        <w:gridCol w:w="798"/>
        <w:gridCol w:w="515"/>
        <w:gridCol w:w="860"/>
        <w:gridCol w:w="728"/>
        <w:gridCol w:w="765"/>
        <w:gridCol w:w="680"/>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604"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井号</w:t>
            </w:r>
          </w:p>
        </w:tc>
        <w:tc>
          <w:tcPr>
            <w:tcW w:w="623"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测试</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日期</w:t>
            </w:r>
          </w:p>
        </w:tc>
        <w:tc>
          <w:tcPr>
            <w:tcW w:w="747"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油压</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747"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套压</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652"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中部</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深度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578"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测点深度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783"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测点</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井斜</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w:t>
            </w:r>
          </w:p>
        </w:tc>
        <w:tc>
          <w:tcPr>
            <w:tcW w:w="798"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测点压力</w:t>
            </w:r>
          </w:p>
          <w:p>
            <w:pPr>
              <w:widowControl w:val="0"/>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MPa/m</w:t>
            </w:r>
          </w:p>
        </w:tc>
        <w:tc>
          <w:tcPr>
            <w:tcW w:w="515"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测点温度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860" w:type="dxa"/>
            <w:vAlign w:val="center"/>
          </w:tcPr>
          <w:p>
            <w:pPr>
              <w:widowControl w:val="0"/>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垂直压力梯度MPa</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m</w:t>
            </w:r>
          </w:p>
        </w:tc>
        <w:tc>
          <w:tcPr>
            <w:tcW w:w="728"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垂直温度梯度</w:t>
            </w:r>
          </w:p>
          <w:p>
            <w:pPr>
              <w:widowControl w:val="0"/>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m</w:t>
            </w:r>
          </w:p>
        </w:tc>
        <w:tc>
          <w:tcPr>
            <w:tcW w:w="765"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中部</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压力</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68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中部温度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633"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04" w:type="dxa"/>
            <w:vAlign w:val="center"/>
          </w:tcPr>
          <w:p>
            <w:pPr>
              <w:widowControl w:val="0"/>
              <w:ind w:firstLine="0" w:firstLineChars="0"/>
              <w:jc w:val="center"/>
              <w:rPr>
                <w:lang w:eastAsia="zh-CN"/>
              </w:rPr>
            </w:pPr>
          </w:p>
        </w:tc>
        <w:tc>
          <w:tcPr>
            <w:tcW w:w="623" w:type="dxa"/>
            <w:vAlign w:val="center"/>
          </w:tcPr>
          <w:p>
            <w:pPr>
              <w:widowControl w:val="0"/>
              <w:ind w:firstLine="0" w:firstLineChars="0"/>
              <w:jc w:val="center"/>
              <w:rPr>
                <w:lang w:eastAsia="zh-CN"/>
              </w:rPr>
            </w:pPr>
          </w:p>
        </w:tc>
        <w:tc>
          <w:tcPr>
            <w:tcW w:w="747" w:type="dxa"/>
            <w:vAlign w:val="center"/>
          </w:tcPr>
          <w:p>
            <w:pPr>
              <w:widowControl w:val="0"/>
              <w:ind w:firstLine="0" w:firstLineChars="0"/>
              <w:jc w:val="center"/>
              <w:rPr>
                <w:lang w:eastAsia="zh-CN"/>
              </w:rPr>
            </w:pPr>
          </w:p>
        </w:tc>
        <w:tc>
          <w:tcPr>
            <w:tcW w:w="747" w:type="dxa"/>
            <w:vAlign w:val="center"/>
          </w:tcPr>
          <w:p>
            <w:pPr>
              <w:widowControl w:val="0"/>
              <w:ind w:firstLine="0" w:firstLineChars="0"/>
              <w:jc w:val="center"/>
              <w:rPr>
                <w:lang w:eastAsia="zh-CN"/>
              </w:rPr>
            </w:pPr>
          </w:p>
        </w:tc>
        <w:tc>
          <w:tcPr>
            <w:tcW w:w="652" w:type="dxa"/>
            <w:vAlign w:val="center"/>
          </w:tcPr>
          <w:p>
            <w:pPr>
              <w:widowControl w:val="0"/>
              <w:ind w:firstLine="0" w:firstLineChars="0"/>
              <w:jc w:val="center"/>
              <w:rPr>
                <w:lang w:eastAsia="zh-CN"/>
              </w:rPr>
            </w:pPr>
          </w:p>
        </w:tc>
        <w:tc>
          <w:tcPr>
            <w:tcW w:w="578" w:type="dxa"/>
            <w:vAlign w:val="center"/>
          </w:tcPr>
          <w:p>
            <w:pPr>
              <w:widowControl w:val="0"/>
              <w:ind w:firstLine="0" w:firstLineChars="0"/>
              <w:jc w:val="center"/>
              <w:rPr>
                <w:lang w:eastAsia="zh-CN"/>
              </w:rPr>
            </w:pPr>
          </w:p>
        </w:tc>
        <w:tc>
          <w:tcPr>
            <w:tcW w:w="783" w:type="dxa"/>
            <w:vAlign w:val="center"/>
          </w:tcPr>
          <w:p>
            <w:pPr>
              <w:widowControl w:val="0"/>
              <w:ind w:firstLine="0" w:firstLineChars="0"/>
              <w:jc w:val="center"/>
              <w:rPr>
                <w:lang w:eastAsia="zh-CN"/>
              </w:rPr>
            </w:pPr>
          </w:p>
        </w:tc>
        <w:tc>
          <w:tcPr>
            <w:tcW w:w="798" w:type="dxa"/>
            <w:vAlign w:val="center"/>
          </w:tcPr>
          <w:p>
            <w:pPr>
              <w:widowControl w:val="0"/>
              <w:ind w:firstLine="0" w:firstLineChars="0"/>
              <w:jc w:val="center"/>
              <w:rPr>
                <w:lang w:eastAsia="zh-CN"/>
              </w:rPr>
            </w:pPr>
          </w:p>
        </w:tc>
        <w:tc>
          <w:tcPr>
            <w:tcW w:w="515" w:type="dxa"/>
            <w:vAlign w:val="center"/>
          </w:tcPr>
          <w:p>
            <w:pPr>
              <w:widowControl w:val="0"/>
              <w:ind w:firstLine="0" w:firstLineChars="0"/>
              <w:jc w:val="center"/>
              <w:rPr>
                <w:lang w:eastAsia="zh-CN"/>
              </w:rPr>
            </w:pPr>
          </w:p>
        </w:tc>
        <w:tc>
          <w:tcPr>
            <w:tcW w:w="860" w:type="dxa"/>
            <w:vAlign w:val="center"/>
          </w:tcPr>
          <w:p>
            <w:pPr>
              <w:widowControl w:val="0"/>
              <w:ind w:firstLine="0" w:firstLineChars="0"/>
              <w:jc w:val="center"/>
              <w:rPr>
                <w:lang w:eastAsia="zh-CN"/>
              </w:rPr>
            </w:pPr>
          </w:p>
        </w:tc>
        <w:tc>
          <w:tcPr>
            <w:tcW w:w="728" w:type="dxa"/>
            <w:vAlign w:val="center"/>
          </w:tcPr>
          <w:p>
            <w:pPr>
              <w:widowControl w:val="0"/>
              <w:ind w:firstLine="0" w:firstLineChars="0"/>
              <w:jc w:val="center"/>
              <w:rPr>
                <w:lang w:eastAsia="zh-CN"/>
              </w:rPr>
            </w:pPr>
          </w:p>
        </w:tc>
        <w:tc>
          <w:tcPr>
            <w:tcW w:w="765" w:type="dxa"/>
            <w:vAlign w:val="center"/>
          </w:tcPr>
          <w:p>
            <w:pPr>
              <w:widowControl w:val="0"/>
              <w:ind w:firstLine="0" w:firstLineChars="0"/>
              <w:jc w:val="center"/>
              <w:rPr>
                <w:lang w:eastAsia="zh-CN"/>
              </w:rPr>
            </w:pPr>
          </w:p>
        </w:tc>
        <w:tc>
          <w:tcPr>
            <w:tcW w:w="680" w:type="dxa"/>
            <w:vAlign w:val="center"/>
          </w:tcPr>
          <w:p>
            <w:pPr>
              <w:widowControl w:val="0"/>
              <w:ind w:firstLine="0" w:firstLineChars="0"/>
              <w:jc w:val="center"/>
              <w:rPr>
                <w:lang w:eastAsia="zh-CN"/>
              </w:rPr>
            </w:pPr>
          </w:p>
        </w:tc>
        <w:tc>
          <w:tcPr>
            <w:tcW w:w="633" w:type="dxa"/>
            <w:vAlign w:val="center"/>
          </w:tcPr>
          <w:p>
            <w:pPr>
              <w:widowControl w:val="0"/>
              <w:ind w:firstLine="0" w:firstLineChars="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604" w:type="dxa"/>
            <w:vAlign w:val="center"/>
          </w:tcPr>
          <w:p>
            <w:pPr>
              <w:widowControl w:val="0"/>
              <w:ind w:firstLine="0" w:firstLineChars="0"/>
              <w:jc w:val="center"/>
              <w:rPr>
                <w:lang w:eastAsia="zh-CN"/>
              </w:rPr>
            </w:pPr>
          </w:p>
        </w:tc>
        <w:tc>
          <w:tcPr>
            <w:tcW w:w="623" w:type="dxa"/>
            <w:vAlign w:val="center"/>
          </w:tcPr>
          <w:p>
            <w:pPr>
              <w:widowControl w:val="0"/>
              <w:ind w:firstLine="0" w:firstLineChars="0"/>
              <w:jc w:val="center"/>
              <w:rPr>
                <w:lang w:eastAsia="zh-CN"/>
              </w:rPr>
            </w:pPr>
          </w:p>
        </w:tc>
        <w:tc>
          <w:tcPr>
            <w:tcW w:w="747" w:type="dxa"/>
            <w:vAlign w:val="center"/>
          </w:tcPr>
          <w:p>
            <w:pPr>
              <w:widowControl w:val="0"/>
              <w:ind w:firstLine="0" w:firstLineChars="0"/>
              <w:jc w:val="center"/>
              <w:rPr>
                <w:lang w:eastAsia="zh-CN"/>
              </w:rPr>
            </w:pPr>
          </w:p>
        </w:tc>
        <w:tc>
          <w:tcPr>
            <w:tcW w:w="747" w:type="dxa"/>
            <w:vAlign w:val="center"/>
          </w:tcPr>
          <w:p>
            <w:pPr>
              <w:widowControl w:val="0"/>
              <w:ind w:firstLine="0" w:firstLineChars="0"/>
              <w:jc w:val="center"/>
              <w:rPr>
                <w:lang w:eastAsia="zh-CN"/>
              </w:rPr>
            </w:pPr>
          </w:p>
        </w:tc>
        <w:tc>
          <w:tcPr>
            <w:tcW w:w="652" w:type="dxa"/>
            <w:vAlign w:val="center"/>
          </w:tcPr>
          <w:p>
            <w:pPr>
              <w:widowControl w:val="0"/>
              <w:ind w:firstLine="0" w:firstLineChars="0"/>
              <w:jc w:val="center"/>
              <w:rPr>
                <w:lang w:eastAsia="zh-CN"/>
              </w:rPr>
            </w:pPr>
          </w:p>
        </w:tc>
        <w:tc>
          <w:tcPr>
            <w:tcW w:w="578" w:type="dxa"/>
            <w:vAlign w:val="center"/>
          </w:tcPr>
          <w:p>
            <w:pPr>
              <w:widowControl w:val="0"/>
              <w:ind w:firstLine="0" w:firstLineChars="0"/>
              <w:jc w:val="center"/>
              <w:rPr>
                <w:lang w:eastAsia="zh-CN"/>
              </w:rPr>
            </w:pPr>
          </w:p>
        </w:tc>
        <w:tc>
          <w:tcPr>
            <w:tcW w:w="783" w:type="dxa"/>
            <w:vAlign w:val="center"/>
          </w:tcPr>
          <w:p>
            <w:pPr>
              <w:widowControl w:val="0"/>
              <w:ind w:firstLine="0" w:firstLineChars="0"/>
              <w:jc w:val="center"/>
              <w:rPr>
                <w:lang w:eastAsia="zh-CN"/>
              </w:rPr>
            </w:pPr>
          </w:p>
        </w:tc>
        <w:tc>
          <w:tcPr>
            <w:tcW w:w="798" w:type="dxa"/>
            <w:vAlign w:val="center"/>
          </w:tcPr>
          <w:p>
            <w:pPr>
              <w:widowControl w:val="0"/>
              <w:ind w:firstLine="0" w:firstLineChars="0"/>
              <w:jc w:val="center"/>
              <w:rPr>
                <w:lang w:eastAsia="zh-CN"/>
              </w:rPr>
            </w:pPr>
          </w:p>
        </w:tc>
        <w:tc>
          <w:tcPr>
            <w:tcW w:w="515" w:type="dxa"/>
            <w:vAlign w:val="center"/>
          </w:tcPr>
          <w:p>
            <w:pPr>
              <w:widowControl w:val="0"/>
              <w:ind w:firstLine="0" w:firstLineChars="0"/>
              <w:jc w:val="center"/>
              <w:rPr>
                <w:lang w:eastAsia="zh-CN"/>
              </w:rPr>
            </w:pPr>
          </w:p>
        </w:tc>
        <w:tc>
          <w:tcPr>
            <w:tcW w:w="860" w:type="dxa"/>
            <w:vAlign w:val="center"/>
          </w:tcPr>
          <w:p>
            <w:pPr>
              <w:widowControl w:val="0"/>
              <w:ind w:firstLine="0" w:firstLineChars="0"/>
              <w:jc w:val="center"/>
              <w:rPr>
                <w:lang w:eastAsia="zh-CN"/>
              </w:rPr>
            </w:pPr>
          </w:p>
        </w:tc>
        <w:tc>
          <w:tcPr>
            <w:tcW w:w="728" w:type="dxa"/>
            <w:vAlign w:val="center"/>
          </w:tcPr>
          <w:p>
            <w:pPr>
              <w:widowControl w:val="0"/>
              <w:ind w:firstLine="0" w:firstLineChars="0"/>
              <w:jc w:val="center"/>
              <w:rPr>
                <w:lang w:eastAsia="zh-CN"/>
              </w:rPr>
            </w:pPr>
          </w:p>
        </w:tc>
        <w:tc>
          <w:tcPr>
            <w:tcW w:w="765" w:type="dxa"/>
            <w:vAlign w:val="center"/>
          </w:tcPr>
          <w:p>
            <w:pPr>
              <w:widowControl w:val="0"/>
              <w:ind w:firstLine="0" w:firstLineChars="0"/>
              <w:jc w:val="center"/>
              <w:rPr>
                <w:lang w:eastAsia="zh-CN"/>
              </w:rPr>
            </w:pPr>
          </w:p>
        </w:tc>
        <w:tc>
          <w:tcPr>
            <w:tcW w:w="680" w:type="dxa"/>
            <w:vAlign w:val="center"/>
          </w:tcPr>
          <w:p>
            <w:pPr>
              <w:widowControl w:val="0"/>
              <w:ind w:firstLine="0" w:firstLineChars="0"/>
              <w:jc w:val="center"/>
              <w:rPr>
                <w:lang w:eastAsia="zh-CN"/>
              </w:rPr>
            </w:pPr>
          </w:p>
        </w:tc>
        <w:tc>
          <w:tcPr>
            <w:tcW w:w="633" w:type="dxa"/>
            <w:vAlign w:val="center"/>
          </w:tcPr>
          <w:p>
            <w:pPr>
              <w:widowControl w:val="0"/>
              <w:ind w:firstLine="0" w:firstLineChars="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604" w:type="dxa"/>
            <w:vAlign w:val="center"/>
          </w:tcPr>
          <w:p>
            <w:pPr>
              <w:widowControl w:val="0"/>
              <w:ind w:firstLine="0" w:firstLineChars="0"/>
              <w:jc w:val="center"/>
              <w:rPr>
                <w:lang w:eastAsia="zh-CN"/>
              </w:rPr>
            </w:pPr>
          </w:p>
        </w:tc>
        <w:tc>
          <w:tcPr>
            <w:tcW w:w="623" w:type="dxa"/>
            <w:vAlign w:val="center"/>
          </w:tcPr>
          <w:p>
            <w:pPr>
              <w:widowControl w:val="0"/>
              <w:ind w:firstLine="0" w:firstLineChars="0"/>
              <w:jc w:val="center"/>
              <w:rPr>
                <w:lang w:eastAsia="zh-CN"/>
              </w:rPr>
            </w:pPr>
          </w:p>
        </w:tc>
        <w:tc>
          <w:tcPr>
            <w:tcW w:w="747" w:type="dxa"/>
            <w:vAlign w:val="center"/>
          </w:tcPr>
          <w:p>
            <w:pPr>
              <w:widowControl w:val="0"/>
              <w:ind w:firstLine="0" w:firstLineChars="0"/>
              <w:jc w:val="center"/>
              <w:rPr>
                <w:lang w:eastAsia="zh-CN"/>
              </w:rPr>
            </w:pPr>
          </w:p>
        </w:tc>
        <w:tc>
          <w:tcPr>
            <w:tcW w:w="747" w:type="dxa"/>
            <w:vAlign w:val="center"/>
          </w:tcPr>
          <w:p>
            <w:pPr>
              <w:widowControl w:val="0"/>
              <w:ind w:firstLine="0" w:firstLineChars="0"/>
              <w:jc w:val="center"/>
              <w:rPr>
                <w:lang w:eastAsia="zh-CN"/>
              </w:rPr>
            </w:pPr>
          </w:p>
        </w:tc>
        <w:tc>
          <w:tcPr>
            <w:tcW w:w="652" w:type="dxa"/>
            <w:vAlign w:val="center"/>
          </w:tcPr>
          <w:p>
            <w:pPr>
              <w:widowControl w:val="0"/>
              <w:ind w:firstLine="0" w:firstLineChars="0"/>
              <w:jc w:val="center"/>
              <w:rPr>
                <w:lang w:eastAsia="zh-CN"/>
              </w:rPr>
            </w:pPr>
          </w:p>
        </w:tc>
        <w:tc>
          <w:tcPr>
            <w:tcW w:w="578" w:type="dxa"/>
            <w:vAlign w:val="center"/>
          </w:tcPr>
          <w:p>
            <w:pPr>
              <w:widowControl w:val="0"/>
              <w:ind w:firstLine="0" w:firstLineChars="0"/>
              <w:jc w:val="center"/>
              <w:rPr>
                <w:lang w:eastAsia="zh-CN"/>
              </w:rPr>
            </w:pPr>
          </w:p>
        </w:tc>
        <w:tc>
          <w:tcPr>
            <w:tcW w:w="783" w:type="dxa"/>
            <w:vAlign w:val="center"/>
          </w:tcPr>
          <w:p>
            <w:pPr>
              <w:widowControl w:val="0"/>
              <w:ind w:firstLine="0" w:firstLineChars="0"/>
              <w:jc w:val="center"/>
              <w:rPr>
                <w:lang w:eastAsia="zh-CN"/>
              </w:rPr>
            </w:pPr>
          </w:p>
        </w:tc>
        <w:tc>
          <w:tcPr>
            <w:tcW w:w="798" w:type="dxa"/>
            <w:vAlign w:val="center"/>
          </w:tcPr>
          <w:p>
            <w:pPr>
              <w:widowControl w:val="0"/>
              <w:ind w:firstLine="0" w:firstLineChars="0"/>
              <w:jc w:val="center"/>
              <w:rPr>
                <w:lang w:eastAsia="zh-CN"/>
              </w:rPr>
            </w:pPr>
          </w:p>
        </w:tc>
        <w:tc>
          <w:tcPr>
            <w:tcW w:w="515" w:type="dxa"/>
            <w:vAlign w:val="center"/>
          </w:tcPr>
          <w:p>
            <w:pPr>
              <w:widowControl w:val="0"/>
              <w:ind w:firstLine="0" w:firstLineChars="0"/>
              <w:jc w:val="center"/>
              <w:rPr>
                <w:lang w:eastAsia="zh-CN"/>
              </w:rPr>
            </w:pPr>
          </w:p>
        </w:tc>
        <w:tc>
          <w:tcPr>
            <w:tcW w:w="860" w:type="dxa"/>
            <w:vAlign w:val="center"/>
          </w:tcPr>
          <w:p>
            <w:pPr>
              <w:widowControl w:val="0"/>
              <w:ind w:firstLine="0" w:firstLineChars="0"/>
              <w:jc w:val="center"/>
              <w:rPr>
                <w:lang w:eastAsia="zh-CN"/>
              </w:rPr>
            </w:pPr>
          </w:p>
        </w:tc>
        <w:tc>
          <w:tcPr>
            <w:tcW w:w="728" w:type="dxa"/>
            <w:vAlign w:val="center"/>
          </w:tcPr>
          <w:p>
            <w:pPr>
              <w:widowControl w:val="0"/>
              <w:ind w:firstLine="0" w:firstLineChars="0"/>
              <w:jc w:val="center"/>
              <w:rPr>
                <w:lang w:eastAsia="zh-CN"/>
              </w:rPr>
            </w:pPr>
          </w:p>
        </w:tc>
        <w:tc>
          <w:tcPr>
            <w:tcW w:w="765" w:type="dxa"/>
            <w:vAlign w:val="center"/>
          </w:tcPr>
          <w:p>
            <w:pPr>
              <w:widowControl w:val="0"/>
              <w:ind w:firstLine="0" w:firstLineChars="0"/>
              <w:jc w:val="center"/>
              <w:rPr>
                <w:lang w:eastAsia="zh-CN"/>
              </w:rPr>
            </w:pPr>
          </w:p>
        </w:tc>
        <w:tc>
          <w:tcPr>
            <w:tcW w:w="680" w:type="dxa"/>
            <w:vAlign w:val="center"/>
          </w:tcPr>
          <w:p>
            <w:pPr>
              <w:widowControl w:val="0"/>
              <w:ind w:firstLine="0" w:firstLineChars="0"/>
              <w:jc w:val="center"/>
              <w:rPr>
                <w:lang w:eastAsia="zh-CN"/>
              </w:rPr>
            </w:pPr>
          </w:p>
        </w:tc>
        <w:tc>
          <w:tcPr>
            <w:tcW w:w="633" w:type="dxa"/>
            <w:vAlign w:val="center"/>
          </w:tcPr>
          <w:p>
            <w:pPr>
              <w:widowControl w:val="0"/>
              <w:ind w:firstLine="0" w:firstLineChars="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604" w:type="dxa"/>
            <w:vAlign w:val="center"/>
          </w:tcPr>
          <w:p>
            <w:pPr>
              <w:widowControl w:val="0"/>
              <w:ind w:firstLine="0" w:firstLineChars="0"/>
              <w:jc w:val="center"/>
              <w:rPr>
                <w:lang w:eastAsia="zh-CN"/>
              </w:rPr>
            </w:pPr>
          </w:p>
        </w:tc>
        <w:tc>
          <w:tcPr>
            <w:tcW w:w="623" w:type="dxa"/>
            <w:vAlign w:val="center"/>
          </w:tcPr>
          <w:p>
            <w:pPr>
              <w:widowControl w:val="0"/>
              <w:ind w:firstLine="0" w:firstLineChars="0"/>
              <w:jc w:val="center"/>
              <w:rPr>
                <w:lang w:eastAsia="zh-CN"/>
              </w:rPr>
            </w:pPr>
          </w:p>
        </w:tc>
        <w:tc>
          <w:tcPr>
            <w:tcW w:w="747" w:type="dxa"/>
            <w:vAlign w:val="center"/>
          </w:tcPr>
          <w:p>
            <w:pPr>
              <w:widowControl w:val="0"/>
              <w:ind w:firstLine="0" w:firstLineChars="0"/>
              <w:jc w:val="center"/>
              <w:rPr>
                <w:lang w:eastAsia="zh-CN"/>
              </w:rPr>
            </w:pPr>
          </w:p>
        </w:tc>
        <w:tc>
          <w:tcPr>
            <w:tcW w:w="747" w:type="dxa"/>
            <w:vAlign w:val="center"/>
          </w:tcPr>
          <w:p>
            <w:pPr>
              <w:widowControl w:val="0"/>
              <w:ind w:firstLine="0" w:firstLineChars="0"/>
              <w:jc w:val="center"/>
              <w:rPr>
                <w:lang w:eastAsia="zh-CN"/>
              </w:rPr>
            </w:pPr>
          </w:p>
        </w:tc>
        <w:tc>
          <w:tcPr>
            <w:tcW w:w="652" w:type="dxa"/>
            <w:vAlign w:val="center"/>
          </w:tcPr>
          <w:p>
            <w:pPr>
              <w:widowControl w:val="0"/>
              <w:ind w:firstLine="0" w:firstLineChars="0"/>
              <w:jc w:val="center"/>
              <w:rPr>
                <w:lang w:eastAsia="zh-CN"/>
              </w:rPr>
            </w:pPr>
          </w:p>
        </w:tc>
        <w:tc>
          <w:tcPr>
            <w:tcW w:w="578" w:type="dxa"/>
            <w:vAlign w:val="center"/>
          </w:tcPr>
          <w:p>
            <w:pPr>
              <w:widowControl w:val="0"/>
              <w:ind w:firstLine="0" w:firstLineChars="0"/>
              <w:jc w:val="center"/>
              <w:rPr>
                <w:lang w:eastAsia="zh-CN"/>
              </w:rPr>
            </w:pPr>
          </w:p>
        </w:tc>
        <w:tc>
          <w:tcPr>
            <w:tcW w:w="783" w:type="dxa"/>
            <w:vAlign w:val="center"/>
          </w:tcPr>
          <w:p>
            <w:pPr>
              <w:widowControl w:val="0"/>
              <w:ind w:firstLine="0" w:firstLineChars="0"/>
              <w:jc w:val="center"/>
              <w:rPr>
                <w:lang w:eastAsia="zh-CN"/>
              </w:rPr>
            </w:pPr>
          </w:p>
        </w:tc>
        <w:tc>
          <w:tcPr>
            <w:tcW w:w="798" w:type="dxa"/>
            <w:vAlign w:val="center"/>
          </w:tcPr>
          <w:p>
            <w:pPr>
              <w:widowControl w:val="0"/>
              <w:ind w:firstLine="0" w:firstLineChars="0"/>
              <w:jc w:val="center"/>
              <w:rPr>
                <w:lang w:eastAsia="zh-CN"/>
              </w:rPr>
            </w:pPr>
          </w:p>
        </w:tc>
        <w:tc>
          <w:tcPr>
            <w:tcW w:w="515" w:type="dxa"/>
            <w:vAlign w:val="center"/>
          </w:tcPr>
          <w:p>
            <w:pPr>
              <w:widowControl w:val="0"/>
              <w:ind w:firstLine="0" w:firstLineChars="0"/>
              <w:jc w:val="center"/>
              <w:rPr>
                <w:lang w:eastAsia="zh-CN"/>
              </w:rPr>
            </w:pPr>
          </w:p>
        </w:tc>
        <w:tc>
          <w:tcPr>
            <w:tcW w:w="860" w:type="dxa"/>
            <w:vAlign w:val="center"/>
          </w:tcPr>
          <w:p>
            <w:pPr>
              <w:widowControl w:val="0"/>
              <w:ind w:firstLine="0" w:firstLineChars="0"/>
              <w:jc w:val="center"/>
              <w:rPr>
                <w:lang w:eastAsia="zh-CN"/>
              </w:rPr>
            </w:pPr>
          </w:p>
        </w:tc>
        <w:tc>
          <w:tcPr>
            <w:tcW w:w="728" w:type="dxa"/>
            <w:vAlign w:val="center"/>
          </w:tcPr>
          <w:p>
            <w:pPr>
              <w:widowControl w:val="0"/>
              <w:ind w:firstLine="0" w:firstLineChars="0"/>
              <w:jc w:val="center"/>
              <w:rPr>
                <w:lang w:eastAsia="zh-CN"/>
              </w:rPr>
            </w:pPr>
          </w:p>
        </w:tc>
        <w:tc>
          <w:tcPr>
            <w:tcW w:w="765" w:type="dxa"/>
            <w:vAlign w:val="center"/>
          </w:tcPr>
          <w:p>
            <w:pPr>
              <w:widowControl w:val="0"/>
              <w:ind w:firstLine="0" w:firstLineChars="0"/>
              <w:jc w:val="center"/>
              <w:rPr>
                <w:lang w:eastAsia="zh-CN"/>
              </w:rPr>
            </w:pPr>
          </w:p>
        </w:tc>
        <w:tc>
          <w:tcPr>
            <w:tcW w:w="680" w:type="dxa"/>
            <w:vAlign w:val="center"/>
          </w:tcPr>
          <w:p>
            <w:pPr>
              <w:widowControl w:val="0"/>
              <w:ind w:firstLine="0" w:firstLineChars="0"/>
              <w:jc w:val="center"/>
              <w:rPr>
                <w:lang w:eastAsia="zh-CN"/>
              </w:rPr>
            </w:pPr>
          </w:p>
        </w:tc>
        <w:tc>
          <w:tcPr>
            <w:tcW w:w="633" w:type="dxa"/>
            <w:vAlign w:val="center"/>
          </w:tcPr>
          <w:p>
            <w:pPr>
              <w:widowControl w:val="0"/>
              <w:ind w:firstLine="0" w:firstLineChars="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04" w:type="dxa"/>
            <w:vAlign w:val="center"/>
          </w:tcPr>
          <w:p>
            <w:pPr>
              <w:widowControl w:val="0"/>
              <w:ind w:firstLine="0" w:firstLineChars="0"/>
              <w:jc w:val="center"/>
              <w:rPr>
                <w:lang w:eastAsia="zh-CN"/>
              </w:rPr>
            </w:pPr>
          </w:p>
        </w:tc>
        <w:tc>
          <w:tcPr>
            <w:tcW w:w="623" w:type="dxa"/>
            <w:vAlign w:val="center"/>
          </w:tcPr>
          <w:p>
            <w:pPr>
              <w:widowControl w:val="0"/>
              <w:ind w:firstLine="0" w:firstLineChars="0"/>
              <w:jc w:val="center"/>
              <w:rPr>
                <w:lang w:eastAsia="zh-CN"/>
              </w:rPr>
            </w:pPr>
          </w:p>
        </w:tc>
        <w:tc>
          <w:tcPr>
            <w:tcW w:w="747" w:type="dxa"/>
            <w:vAlign w:val="center"/>
          </w:tcPr>
          <w:p>
            <w:pPr>
              <w:widowControl w:val="0"/>
              <w:ind w:firstLine="0" w:firstLineChars="0"/>
              <w:jc w:val="center"/>
              <w:rPr>
                <w:lang w:eastAsia="zh-CN"/>
              </w:rPr>
            </w:pPr>
          </w:p>
        </w:tc>
        <w:tc>
          <w:tcPr>
            <w:tcW w:w="747" w:type="dxa"/>
            <w:vAlign w:val="center"/>
          </w:tcPr>
          <w:p>
            <w:pPr>
              <w:widowControl w:val="0"/>
              <w:ind w:firstLine="0" w:firstLineChars="0"/>
              <w:jc w:val="center"/>
              <w:rPr>
                <w:lang w:eastAsia="zh-CN"/>
              </w:rPr>
            </w:pPr>
          </w:p>
        </w:tc>
        <w:tc>
          <w:tcPr>
            <w:tcW w:w="652" w:type="dxa"/>
            <w:vAlign w:val="center"/>
          </w:tcPr>
          <w:p>
            <w:pPr>
              <w:widowControl w:val="0"/>
              <w:ind w:firstLine="0" w:firstLineChars="0"/>
              <w:jc w:val="center"/>
              <w:rPr>
                <w:lang w:eastAsia="zh-CN"/>
              </w:rPr>
            </w:pPr>
          </w:p>
        </w:tc>
        <w:tc>
          <w:tcPr>
            <w:tcW w:w="578" w:type="dxa"/>
            <w:vAlign w:val="center"/>
          </w:tcPr>
          <w:p>
            <w:pPr>
              <w:widowControl w:val="0"/>
              <w:ind w:firstLine="0" w:firstLineChars="0"/>
              <w:jc w:val="center"/>
              <w:rPr>
                <w:lang w:eastAsia="zh-CN"/>
              </w:rPr>
            </w:pPr>
          </w:p>
        </w:tc>
        <w:tc>
          <w:tcPr>
            <w:tcW w:w="783" w:type="dxa"/>
            <w:vAlign w:val="center"/>
          </w:tcPr>
          <w:p>
            <w:pPr>
              <w:widowControl w:val="0"/>
              <w:ind w:firstLine="0" w:firstLineChars="0"/>
              <w:jc w:val="center"/>
              <w:rPr>
                <w:lang w:eastAsia="zh-CN"/>
              </w:rPr>
            </w:pPr>
          </w:p>
        </w:tc>
        <w:tc>
          <w:tcPr>
            <w:tcW w:w="798" w:type="dxa"/>
            <w:vAlign w:val="center"/>
          </w:tcPr>
          <w:p>
            <w:pPr>
              <w:widowControl w:val="0"/>
              <w:ind w:firstLine="0" w:firstLineChars="0"/>
              <w:jc w:val="center"/>
              <w:rPr>
                <w:lang w:eastAsia="zh-CN"/>
              </w:rPr>
            </w:pPr>
          </w:p>
        </w:tc>
        <w:tc>
          <w:tcPr>
            <w:tcW w:w="515" w:type="dxa"/>
            <w:vAlign w:val="center"/>
          </w:tcPr>
          <w:p>
            <w:pPr>
              <w:widowControl w:val="0"/>
              <w:ind w:firstLine="0" w:firstLineChars="0"/>
              <w:jc w:val="center"/>
              <w:rPr>
                <w:lang w:eastAsia="zh-CN"/>
              </w:rPr>
            </w:pPr>
          </w:p>
        </w:tc>
        <w:tc>
          <w:tcPr>
            <w:tcW w:w="860" w:type="dxa"/>
            <w:vAlign w:val="center"/>
          </w:tcPr>
          <w:p>
            <w:pPr>
              <w:widowControl w:val="0"/>
              <w:ind w:firstLine="0" w:firstLineChars="0"/>
              <w:jc w:val="center"/>
              <w:rPr>
                <w:lang w:eastAsia="zh-CN"/>
              </w:rPr>
            </w:pPr>
          </w:p>
        </w:tc>
        <w:tc>
          <w:tcPr>
            <w:tcW w:w="728" w:type="dxa"/>
            <w:vAlign w:val="center"/>
          </w:tcPr>
          <w:p>
            <w:pPr>
              <w:widowControl w:val="0"/>
              <w:ind w:firstLine="0" w:firstLineChars="0"/>
              <w:jc w:val="center"/>
              <w:rPr>
                <w:lang w:eastAsia="zh-CN"/>
              </w:rPr>
            </w:pPr>
          </w:p>
        </w:tc>
        <w:tc>
          <w:tcPr>
            <w:tcW w:w="765" w:type="dxa"/>
            <w:vAlign w:val="center"/>
          </w:tcPr>
          <w:p>
            <w:pPr>
              <w:widowControl w:val="0"/>
              <w:ind w:firstLine="0" w:firstLineChars="0"/>
              <w:jc w:val="center"/>
              <w:rPr>
                <w:lang w:eastAsia="zh-CN"/>
              </w:rPr>
            </w:pPr>
          </w:p>
        </w:tc>
        <w:tc>
          <w:tcPr>
            <w:tcW w:w="680" w:type="dxa"/>
            <w:vAlign w:val="center"/>
          </w:tcPr>
          <w:p>
            <w:pPr>
              <w:widowControl w:val="0"/>
              <w:ind w:firstLine="0" w:firstLineChars="0"/>
              <w:jc w:val="center"/>
              <w:rPr>
                <w:lang w:eastAsia="zh-CN"/>
              </w:rPr>
            </w:pPr>
          </w:p>
        </w:tc>
        <w:tc>
          <w:tcPr>
            <w:tcW w:w="633" w:type="dxa"/>
            <w:vAlign w:val="center"/>
          </w:tcPr>
          <w:p>
            <w:pPr>
              <w:widowControl w:val="0"/>
              <w:ind w:firstLine="0" w:firstLineChars="0"/>
              <w:jc w:val="center"/>
              <w:rPr>
                <w:lang w:eastAsia="zh-CN"/>
              </w:rPr>
            </w:pPr>
          </w:p>
        </w:tc>
      </w:tr>
    </w:tbl>
    <w:p>
      <w:pPr>
        <w:ind w:firstLine="0" w:firstLineChars="0"/>
        <w:jc w:val="center"/>
        <w:rPr>
          <w:rFonts w:hint="eastAsia" w:ascii="黑体" w:hAnsi="黑体" w:eastAsia="黑体" w:cs="黑体"/>
          <w:lang w:eastAsia="zh-CN"/>
        </w:rPr>
      </w:pPr>
      <w:r>
        <w:rPr>
          <w:rFonts w:hint="eastAsia" w:ascii="黑体" w:hAnsi="黑体" w:eastAsia="黑体" w:cs="黑体"/>
          <w:lang w:eastAsia="zh-CN"/>
        </w:rPr>
        <w:t>表A.5</w:t>
      </w:r>
      <w:r>
        <w:rPr>
          <w:rFonts w:hint="eastAsia" w:ascii="黑体" w:hAnsi="黑体" w:eastAsia="黑体" w:cs="黑体"/>
          <w:lang w:val="en-US" w:eastAsia="zh-CN"/>
        </w:rPr>
        <w:t xml:space="preserve"> </w:t>
      </w:r>
      <w:r>
        <w:rPr>
          <w:rFonts w:hint="eastAsia" w:ascii="黑体" w:hAnsi="黑体" w:eastAsia="黑体" w:cs="黑体"/>
          <w:lang w:eastAsia="zh-CN"/>
        </w:rPr>
        <w:t>_____年_____月_____日_____储气库注采井流压、流温及梯度测试表</w:t>
      </w:r>
    </w:p>
    <w:tbl>
      <w:tblPr>
        <w:tblStyle w:val="27"/>
        <w:tblpPr w:leftFromText="180" w:rightFromText="180" w:vertAnchor="text" w:horzAnchor="page" w:tblpX="728" w:tblpY="124"/>
        <w:tblOverlap w:val="never"/>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594"/>
        <w:gridCol w:w="711"/>
        <w:gridCol w:w="634"/>
        <w:gridCol w:w="698"/>
        <w:gridCol w:w="621"/>
        <w:gridCol w:w="603"/>
        <w:gridCol w:w="693"/>
        <w:gridCol w:w="761"/>
        <w:gridCol w:w="490"/>
        <w:gridCol w:w="819"/>
        <w:gridCol w:w="693"/>
        <w:gridCol w:w="729"/>
        <w:gridCol w:w="648"/>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575"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井号</w:t>
            </w:r>
          </w:p>
        </w:tc>
        <w:tc>
          <w:tcPr>
            <w:tcW w:w="594"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测试</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日期</w:t>
            </w:r>
          </w:p>
        </w:tc>
        <w:tc>
          <w:tcPr>
            <w:tcW w:w="711"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油压</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634"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套压</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698"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注采气量</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10</w:t>
            </w:r>
            <w:r>
              <w:rPr>
                <w:rFonts w:hint="eastAsia" w:ascii="宋体" w:hAnsi="宋体" w:eastAsia="宋体" w:cs="宋体"/>
                <w:sz w:val="18"/>
                <w:szCs w:val="18"/>
                <w:vertAlign w:val="superscript"/>
                <w:lang w:eastAsia="zh-CN"/>
              </w:rPr>
              <w:t>4</w:t>
            </w:r>
            <w:r>
              <w:rPr>
                <w:rFonts w:hint="eastAsia" w:ascii="宋体" w:hAnsi="宋体" w:eastAsia="宋体" w:cs="宋体"/>
                <w:sz w:val="18"/>
                <w:szCs w:val="18"/>
                <w:lang w:eastAsia="zh-CN"/>
              </w:rPr>
              <w:t>m</w:t>
            </w:r>
            <w:r>
              <w:rPr>
                <w:rFonts w:hint="eastAsia" w:ascii="宋体" w:hAnsi="宋体" w:eastAsia="宋体" w:cs="宋体"/>
                <w:sz w:val="18"/>
                <w:szCs w:val="18"/>
                <w:vertAlign w:val="superscript"/>
                <w:lang w:eastAsia="zh-CN"/>
              </w:rPr>
              <w:t>3</w:t>
            </w:r>
          </w:p>
        </w:tc>
        <w:tc>
          <w:tcPr>
            <w:tcW w:w="621"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中部</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深度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603"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测点深度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w:t>
            </w:r>
          </w:p>
        </w:tc>
        <w:tc>
          <w:tcPr>
            <w:tcW w:w="693"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测点井斜</w:t>
            </w:r>
          </w:p>
          <w:p>
            <w:pPr>
              <w:widowControl w:val="0"/>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761"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测点压力</w:t>
            </w:r>
          </w:p>
          <w:p>
            <w:pPr>
              <w:widowControl w:val="0"/>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MPa/m</w:t>
            </w:r>
          </w:p>
        </w:tc>
        <w:tc>
          <w:tcPr>
            <w:tcW w:w="490"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测点温度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819" w:type="dxa"/>
            <w:vAlign w:val="center"/>
          </w:tcPr>
          <w:p>
            <w:pPr>
              <w:widowControl w:val="0"/>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垂直压力梯度MPa/m</w:t>
            </w:r>
          </w:p>
        </w:tc>
        <w:tc>
          <w:tcPr>
            <w:tcW w:w="693"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垂直温度梯度</w:t>
            </w:r>
          </w:p>
          <w:p>
            <w:pPr>
              <w:widowControl w:val="0"/>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℃/m</w:t>
            </w:r>
          </w:p>
        </w:tc>
        <w:tc>
          <w:tcPr>
            <w:tcW w:w="729"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中部压力</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MPa</w:t>
            </w:r>
          </w:p>
        </w:tc>
        <w:tc>
          <w:tcPr>
            <w:tcW w:w="648"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中部温度</w:t>
            </w:r>
          </w:p>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603" w:type="dxa"/>
            <w:vAlign w:val="center"/>
          </w:tcPr>
          <w:p>
            <w:pPr>
              <w:widowControl w:val="0"/>
              <w:ind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5" w:type="dxa"/>
            <w:vAlign w:val="center"/>
          </w:tcPr>
          <w:p>
            <w:pPr>
              <w:widowControl w:val="0"/>
              <w:ind w:firstLine="0" w:firstLineChars="0"/>
              <w:jc w:val="center"/>
              <w:rPr>
                <w:lang w:eastAsia="zh-CN"/>
              </w:rPr>
            </w:pPr>
          </w:p>
        </w:tc>
        <w:tc>
          <w:tcPr>
            <w:tcW w:w="594" w:type="dxa"/>
            <w:vAlign w:val="center"/>
          </w:tcPr>
          <w:p>
            <w:pPr>
              <w:widowControl w:val="0"/>
              <w:ind w:firstLine="0" w:firstLineChars="0"/>
              <w:jc w:val="center"/>
              <w:rPr>
                <w:lang w:eastAsia="zh-CN"/>
              </w:rPr>
            </w:pPr>
          </w:p>
        </w:tc>
        <w:tc>
          <w:tcPr>
            <w:tcW w:w="711" w:type="dxa"/>
            <w:vAlign w:val="center"/>
          </w:tcPr>
          <w:p>
            <w:pPr>
              <w:widowControl w:val="0"/>
              <w:ind w:firstLine="0" w:firstLineChars="0"/>
              <w:jc w:val="center"/>
              <w:rPr>
                <w:lang w:eastAsia="zh-CN"/>
              </w:rPr>
            </w:pPr>
          </w:p>
        </w:tc>
        <w:tc>
          <w:tcPr>
            <w:tcW w:w="634" w:type="dxa"/>
            <w:vAlign w:val="center"/>
          </w:tcPr>
          <w:p>
            <w:pPr>
              <w:widowControl w:val="0"/>
              <w:ind w:firstLine="0" w:firstLineChars="0"/>
              <w:jc w:val="center"/>
              <w:rPr>
                <w:lang w:eastAsia="zh-CN"/>
              </w:rPr>
            </w:pPr>
          </w:p>
        </w:tc>
        <w:tc>
          <w:tcPr>
            <w:tcW w:w="698" w:type="dxa"/>
            <w:vAlign w:val="center"/>
          </w:tcPr>
          <w:p>
            <w:pPr>
              <w:widowControl w:val="0"/>
              <w:ind w:firstLine="0" w:firstLineChars="0"/>
              <w:jc w:val="center"/>
              <w:rPr>
                <w:lang w:eastAsia="zh-CN"/>
              </w:rPr>
            </w:pPr>
          </w:p>
        </w:tc>
        <w:tc>
          <w:tcPr>
            <w:tcW w:w="621"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61" w:type="dxa"/>
            <w:vAlign w:val="center"/>
          </w:tcPr>
          <w:p>
            <w:pPr>
              <w:widowControl w:val="0"/>
              <w:ind w:firstLine="0" w:firstLineChars="0"/>
              <w:jc w:val="center"/>
              <w:rPr>
                <w:lang w:eastAsia="zh-CN"/>
              </w:rPr>
            </w:pPr>
          </w:p>
        </w:tc>
        <w:tc>
          <w:tcPr>
            <w:tcW w:w="490" w:type="dxa"/>
            <w:vAlign w:val="center"/>
          </w:tcPr>
          <w:p>
            <w:pPr>
              <w:widowControl w:val="0"/>
              <w:ind w:firstLine="0" w:firstLineChars="0"/>
              <w:jc w:val="center"/>
              <w:rPr>
                <w:lang w:eastAsia="zh-CN"/>
              </w:rPr>
            </w:pPr>
          </w:p>
        </w:tc>
        <w:tc>
          <w:tcPr>
            <w:tcW w:w="819"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29" w:type="dxa"/>
            <w:vAlign w:val="center"/>
          </w:tcPr>
          <w:p>
            <w:pPr>
              <w:widowControl w:val="0"/>
              <w:ind w:firstLine="0" w:firstLineChars="0"/>
              <w:jc w:val="center"/>
              <w:rPr>
                <w:lang w:eastAsia="zh-CN"/>
              </w:rPr>
            </w:pPr>
          </w:p>
        </w:tc>
        <w:tc>
          <w:tcPr>
            <w:tcW w:w="648"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5" w:type="dxa"/>
            <w:vAlign w:val="center"/>
          </w:tcPr>
          <w:p>
            <w:pPr>
              <w:widowControl w:val="0"/>
              <w:ind w:firstLine="0" w:firstLineChars="0"/>
              <w:jc w:val="center"/>
              <w:rPr>
                <w:lang w:eastAsia="zh-CN"/>
              </w:rPr>
            </w:pPr>
          </w:p>
        </w:tc>
        <w:tc>
          <w:tcPr>
            <w:tcW w:w="594" w:type="dxa"/>
            <w:vAlign w:val="center"/>
          </w:tcPr>
          <w:p>
            <w:pPr>
              <w:widowControl w:val="0"/>
              <w:ind w:firstLine="0" w:firstLineChars="0"/>
              <w:jc w:val="center"/>
              <w:rPr>
                <w:lang w:eastAsia="zh-CN"/>
              </w:rPr>
            </w:pPr>
          </w:p>
        </w:tc>
        <w:tc>
          <w:tcPr>
            <w:tcW w:w="711" w:type="dxa"/>
            <w:vAlign w:val="center"/>
          </w:tcPr>
          <w:p>
            <w:pPr>
              <w:widowControl w:val="0"/>
              <w:ind w:firstLine="0" w:firstLineChars="0"/>
              <w:jc w:val="center"/>
              <w:rPr>
                <w:lang w:eastAsia="zh-CN"/>
              </w:rPr>
            </w:pPr>
          </w:p>
        </w:tc>
        <w:tc>
          <w:tcPr>
            <w:tcW w:w="634" w:type="dxa"/>
            <w:vAlign w:val="center"/>
          </w:tcPr>
          <w:p>
            <w:pPr>
              <w:widowControl w:val="0"/>
              <w:ind w:firstLine="0" w:firstLineChars="0"/>
              <w:jc w:val="center"/>
              <w:rPr>
                <w:lang w:eastAsia="zh-CN"/>
              </w:rPr>
            </w:pPr>
          </w:p>
        </w:tc>
        <w:tc>
          <w:tcPr>
            <w:tcW w:w="698" w:type="dxa"/>
            <w:vAlign w:val="center"/>
          </w:tcPr>
          <w:p>
            <w:pPr>
              <w:widowControl w:val="0"/>
              <w:ind w:firstLine="0" w:firstLineChars="0"/>
              <w:jc w:val="center"/>
              <w:rPr>
                <w:lang w:eastAsia="zh-CN"/>
              </w:rPr>
            </w:pPr>
          </w:p>
        </w:tc>
        <w:tc>
          <w:tcPr>
            <w:tcW w:w="621"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61" w:type="dxa"/>
            <w:vAlign w:val="center"/>
          </w:tcPr>
          <w:p>
            <w:pPr>
              <w:widowControl w:val="0"/>
              <w:ind w:firstLine="0" w:firstLineChars="0"/>
              <w:jc w:val="center"/>
              <w:rPr>
                <w:lang w:eastAsia="zh-CN"/>
              </w:rPr>
            </w:pPr>
          </w:p>
        </w:tc>
        <w:tc>
          <w:tcPr>
            <w:tcW w:w="490" w:type="dxa"/>
            <w:vAlign w:val="center"/>
          </w:tcPr>
          <w:p>
            <w:pPr>
              <w:widowControl w:val="0"/>
              <w:ind w:firstLine="0" w:firstLineChars="0"/>
              <w:jc w:val="center"/>
              <w:rPr>
                <w:lang w:eastAsia="zh-CN"/>
              </w:rPr>
            </w:pPr>
          </w:p>
        </w:tc>
        <w:tc>
          <w:tcPr>
            <w:tcW w:w="819"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29" w:type="dxa"/>
            <w:vAlign w:val="center"/>
          </w:tcPr>
          <w:p>
            <w:pPr>
              <w:widowControl w:val="0"/>
              <w:ind w:firstLine="0" w:firstLineChars="0"/>
              <w:jc w:val="center"/>
              <w:rPr>
                <w:lang w:eastAsia="zh-CN"/>
              </w:rPr>
            </w:pPr>
          </w:p>
        </w:tc>
        <w:tc>
          <w:tcPr>
            <w:tcW w:w="648"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5" w:type="dxa"/>
            <w:vAlign w:val="center"/>
          </w:tcPr>
          <w:p>
            <w:pPr>
              <w:widowControl w:val="0"/>
              <w:ind w:firstLine="0" w:firstLineChars="0"/>
              <w:jc w:val="center"/>
              <w:rPr>
                <w:lang w:eastAsia="zh-CN"/>
              </w:rPr>
            </w:pPr>
          </w:p>
        </w:tc>
        <w:tc>
          <w:tcPr>
            <w:tcW w:w="594" w:type="dxa"/>
            <w:vAlign w:val="center"/>
          </w:tcPr>
          <w:p>
            <w:pPr>
              <w:widowControl w:val="0"/>
              <w:ind w:firstLine="0" w:firstLineChars="0"/>
              <w:jc w:val="center"/>
              <w:rPr>
                <w:lang w:eastAsia="zh-CN"/>
              </w:rPr>
            </w:pPr>
          </w:p>
        </w:tc>
        <w:tc>
          <w:tcPr>
            <w:tcW w:w="711" w:type="dxa"/>
            <w:vAlign w:val="center"/>
          </w:tcPr>
          <w:p>
            <w:pPr>
              <w:widowControl w:val="0"/>
              <w:ind w:firstLine="0" w:firstLineChars="0"/>
              <w:jc w:val="center"/>
              <w:rPr>
                <w:lang w:eastAsia="zh-CN"/>
              </w:rPr>
            </w:pPr>
          </w:p>
        </w:tc>
        <w:tc>
          <w:tcPr>
            <w:tcW w:w="634" w:type="dxa"/>
            <w:vAlign w:val="center"/>
          </w:tcPr>
          <w:p>
            <w:pPr>
              <w:widowControl w:val="0"/>
              <w:ind w:firstLine="0" w:firstLineChars="0"/>
              <w:jc w:val="center"/>
              <w:rPr>
                <w:lang w:eastAsia="zh-CN"/>
              </w:rPr>
            </w:pPr>
          </w:p>
        </w:tc>
        <w:tc>
          <w:tcPr>
            <w:tcW w:w="698" w:type="dxa"/>
            <w:vAlign w:val="center"/>
          </w:tcPr>
          <w:p>
            <w:pPr>
              <w:widowControl w:val="0"/>
              <w:ind w:firstLine="0" w:firstLineChars="0"/>
              <w:jc w:val="center"/>
              <w:rPr>
                <w:lang w:eastAsia="zh-CN"/>
              </w:rPr>
            </w:pPr>
          </w:p>
        </w:tc>
        <w:tc>
          <w:tcPr>
            <w:tcW w:w="621"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61" w:type="dxa"/>
            <w:vAlign w:val="center"/>
          </w:tcPr>
          <w:p>
            <w:pPr>
              <w:widowControl w:val="0"/>
              <w:ind w:firstLine="0" w:firstLineChars="0"/>
              <w:jc w:val="center"/>
              <w:rPr>
                <w:lang w:eastAsia="zh-CN"/>
              </w:rPr>
            </w:pPr>
          </w:p>
        </w:tc>
        <w:tc>
          <w:tcPr>
            <w:tcW w:w="490" w:type="dxa"/>
            <w:vAlign w:val="center"/>
          </w:tcPr>
          <w:p>
            <w:pPr>
              <w:widowControl w:val="0"/>
              <w:ind w:firstLine="0" w:firstLineChars="0"/>
              <w:jc w:val="center"/>
              <w:rPr>
                <w:lang w:eastAsia="zh-CN"/>
              </w:rPr>
            </w:pPr>
          </w:p>
        </w:tc>
        <w:tc>
          <w:tcPr>
            <w:tcW w:w="819"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29" w:type="dxa"/>
            <w:vAlign w:val="center"/>
          </w:tcPr>
          <w:p>
            <w:pPr>
              <w:widowControl w:val="0"/>
              <w:ind w:firstLine="0" w:firstLineChars="0"/>
              <w:jc w:val="center"/>
              <w:rPr>
                <w:lang w:eastAsia="zh-CN"/>
              </w:rPr>
            </w:pPr>
          </w:p>
        </w:tc>
        <w:tc>
          <w:tcPr>
            <w:tcW w:w="648"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5" w:type="dxa"/>
            <w:vAlign w:val="center"/>
          </w:tcPr>
          <w:p>
            <w:pPr>
              <w:widowControl w:val="0"/>
              <w:ind w:firstLine="0" w:firstLineChars="0"/>
              <w:jc w:val="center"/>
              <w:rPr>
                <w:lang w:eastAsia="zh-CN"/>
              </w:rPr>
            </w:pPr>
          </w:p>
        </w:tc>
        <w:tc>
          <w:tcPr>
            <w:tcW w:w="594" w:type="dxa"/>
            <w:vAlign w:val="center"/>
          </w:tcPr>
          <w:p>
            <w:pPr>
              <w:widowControl w:val="0"/>
              <w:ind w:firstLine="0" w:firstLineChars="0"/>
              <w:jc w:val="center"/>
              <w:rPr>
                <w:lang w:eastAsia="zh-CN"/>
              </w:rPr>
            </w:pPr>
          </w:p>
        </w:tc>
        <w:tc>
          <w:tcPr>
            <w:tcW w:w="711" w:type="dxa"/>
            <w:vAlign w:val="center"/>
          </w:tcPr>
          <w:p>
            <w:pPr>
              <w:widowControl w:val="0"/>
              <w:ind w:firstLine="0" w:firstLineChars="0"/>
              <w:jc w:val="center"/>
              <w:rPr>
                <w:lang w:eastAsia="zh-CN"/>
              </w:rPr>
            </w:pPr>
          </w:p>
        </w:tc>
        <w:tc>
          <w:tcPr>
            <w:tcW w:w="634" w:type="dxa"/>
            <w:vAlign w:val="center"/>
          </w:tcPr>
          <w:p>
            <w:pPr>
              <w:widowControl w:val="0"/>
              <w:ind w:firstLine="0" w:firstLineChars="0"/>
              <w:jc w:val="center"/>
              <w:rPr>
                <w:lang w:eastAsia="zh-CN"/>
              </w:rPr>
            </w:pPr>
          </w:p>
        </w:tc>
        <w:tc>
          <w:tcPr>
            <w:tcW w:w="698" w:type="dxa"/>
            <w:vAlign w:val="center"/>
          </w:tcPr>
          <w:p>
            <w:pPr>
              <w:widowControl w:val="0"/>
              <w:ind w:firstLine="0" w:firstLineChars="0"/>
              <w:jc w:val="center"/>
              <w:rPr>
                <w:lang w:eastAsia="zh-CN"/>
              </w:rPr>
            </w:pPr>
          </w:p>
        </w:tc>
        <w:tc>
          <w:tcPr>
            <w:tcW w:w="621"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61" w:type="dxa"/>
            <w:vAlign w:val="center"/>
          </w:tcPr>
          <w:p>
            <w:pPr>
              <w:widowControl w:val="0"/>
              <w:ind w:firstLine="0" w:firstLineChars="0"/>
              <w:jc w:val="center"/>
              <w:rPr>
                <w:lang w:eastAsia="zh-CN"/>
              </w:rPr>
            </w:pPr>
          </w:p>
        </w:tc>
        <w:tc>
          <w:tcPr>
            <w:tcW w:w="490" w:type="dxa"/>
            <w:vAlign w:val="center"/>
          </w:tcPr>
          <w:p>
            <w:pPr>
              <w:widowControl w:val="0"/>
              <w:ind w:firstLine="0" w:firstLineChars="0"/>
              <w:jc w:val="center"/>
              <w:rPr>
                <w:lang w:eastAsia="zh-CN"/>
              </w:rPr>
            </w:pPr>
          </w:p>
        </w:tc>
        <w:tc>
          <w:tcPr>
            <w:tcW w:w="819"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29" w:type="dxa"/>
            <w:vAlign w:val="center"/>
          </w:tcPr>
          <w:p>
            <w:pPr>
              <w:widowControl w:val="0"/>
              <w:ind w:firstLine="0" w:firstLineChars="0"/>
              <w:jc w:val="center"/>
              <w:rPr>
                <w:lang w:eastAsia="zh-CN"/>
              </w:rPr>
            </w:pPr>
          </w:p>
        </w:tc>
        <w:tc>
          <w:tcPr>
            <w:tcW w:w="648"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5" w:type="dxa"/>
            <w:vAlign w:val="center"/>
          </w:tcPr>
          <w:p>
            <w:pPr>
              <w:widowControl w:val="0"/>
              <w:ind w:firstLine="0" w:firstLineChars="0"/>
              <w:jc w:val="center"/>
              <w:rPr>
                <w:lang w:eastAsia="zh-CN"/>
              </w:rPr>
            </w:pPr>
          </w:p>
        </w:tc>
        <w:tc>
          <w:tcPr>
            <w:tcW w:w="594" w:type="dxa"/>
            <w:vAlign w:val="center"/>
          </w:tcPr>
          <w:p>
            <w:pPr>
              <w:widowControl w:val="0"/>
              <w:ind w:firstLine="0" w:firstLineChars="0"/>
              <w:jc w:val="center"/>
              <w:rPr>
                <w:lang w:eastAsia="zh-CN"/>
              </w:rPr>
            </w:pPr>
          </w:p>
        </w:tc>
        <w:tc>
          <w:tcPr>
            <w:tcW w:w="711" w:type="dxa"/>
            <w:vAlign w:val="center"/>
          </w:tcPr>
          <w:p>
            <w:pPr>
              <w:widowControl w:val="0"/>
              <w:ind w:firstLine="0" w:firstLineChars="0"/>
              <w:jc w:val="center"/>
              <w:rPr>
                <w:lang w:eastAsia="zh-CN"/>
              </w:rPr>
            </w:pPr>
          </w:p>
        </w:tc>
        <w:tc>
          <w:tcPr>
            <w:tcW w:w="634" w:type="dxa"/>
            <w:vAlign w:val="center"/>
          </w:tcPr>
          <w:p>
            <w:pPr>
              <w:widowControl w:val="0"/>
              <w:ind w:firstLine="0" w:firstLineChars="0"/>
              <w:jc w:val="center"/>
              <w:rPr>
                <w:lang w:eastAsia="zh-CN"/>
              </w:rPr>
            </w:pPr>
          </w:p>
        </w:tc>
        <w:tc>
          <w:tcPr>
            <w:tcW w:w="698" w:type="dxa"/>
            <w:vAlign w:val="center"/>
          </w:tcPr>
          <w:p>
            <w:pPr>
              <w:widowControl w:val="0"/>
              <w:ind w:firstLine="0" w:firstLineChars="0"/>
              <w:jc w:val="center"/>
              <w:rPr>
                <w:lang w:eastAsia="zh-CN"/>
              </w:rPr>
            </w:pPr>
          </w:p>
        </w:tc>
        <w:tc>
          <w:tcPr>
            <w:tcW w:w="621"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61" w:type="dxa"/>
            <w:vAlign w:val="center"/>
          </w:tcPr>
          <w:p>
            <w:pPr>
              <w:widowControl w:val="0"/>
              <w:ind w:firstLine="0" w:firstLineChars="0"/>
              <w:jc w:val="center"/>
              <w:rPr>
                <w:lang w:eastAsia="zh-CN"/>
              </w:rPr>
            </w:pPr>
          </w:p>
        </w:tc>
        <w:tc>
          <w:tcPr>
            <w:tcW w:w="490" w:type="dxa"/>
            <w:vAlign w:val="center"/>
          </w:tcPr>
          <w:p>
            <w:pPr>
              <w:widowControl w:val="0"/>
              <w:ind w:firstLine="0" w:firstLineChars="0"/>
              <w:jc w:val="center"/>
              <w:rPr>
                <w:lang w:eastAsia="zh-CN"/>
              </w:rPr>
            </w:pPr>
          </w:p>
        </w:tc>
        <w:tc>
          <w:tcPr>
            <w:tcW w:w="819"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29" w:type="dxa"/>
            <w:vAlign w:val="center"/>
          </w:tcPr>
          <w:p>
            <w:pPr>
              <w:widowControl w:val="0"/>
              <w:ind w:firstLine="0" w:firstLineChars="0"/>
              <w:jc w:val="center"/>
              <w:rPr>
                <w:lang w:eastAsia="zh-CN"/>
              </w:rPr>
            </w:pPr>
          </w:p>
        </w:tc>
        <w:tc>
          <w:tcPr>
            <w:tcW w:w="648"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5" w:type="dxa"/>
            <w:vAlign w:val="center"/>
          </w:tcPr>
          <w:p>
            <w:pPr>
              <w:widowControl w:val="0"/>
              <w:ind w:firstLine="0" w:firstLineChars="0"/>
              <w:jc w:val="center"/>
              <w:rPr>
                <w:lang w:eastAsia="zh-CN"/>
              </w:rPr>
            </w:pPr>
          </w:p>
        </w:tc>
        <w:tc>
          <w:tcPr>
            <w:tcW w:w="594" w:type="dxa"/>
            <w:vAlign w:val="center"/>
          </w:tcPr>
          <w:p>
            <w:pPr>
              <w:widowControl w:val="0"/>
              <w:ind w:firstLine="0" w:firstLineChars="0"/>
              <w:jc w:val="center"/>
              <w:rPr>
                <w:lang w:eastAsia="zh-CN"/>
              </w:rPr>
            </w:pPr>
          </w:p>
        </w:tc>
        <w:tc>
          <w:tcPr>
            <w:tcW w:w="711" w:type="dxa"/>
            <w:vAlign w:val="center"/>
          </w:tcPr>
          <w:p>
            <w:pPr>
              <w:widowControl w:val="0"/>
              <w:ind w:firstLine="0" w:firstLineChars="0"/>
              <w:jc w:val="center"/>
              <w:rPr>
                <w:lang w:eastAsia="zh-CN"/>
              </w:rPr>
            </w:pPr>
          </w:p>
        </w:tc>
        <w:tc>
          <w:tcPr>
            <w:tcW w:w="634" w:type="dxa"/>
            <w:vAlign w:val="center"/>
          </w:tcPr>
          <w:p>
            <w:pPr>
              <w:widowControl w:val="0"/>
              <w:ind w:firstLine="0" w:firstLineChars="0"/>
              <w:jc w:val="center"/>
              <w:rPr>
                <w:lang w:eastAsia="zh-CN"/>
              </w:rPr>
            </w:pPr>
          </w:p>
        </w:tc>
        <w:tc>
          <w:tcPr>
            <w:tcW w:w="698" w:type="dxa"/>
            <w:vAlign w:val="center"/>
          </w:tcPr>
          <w:p>
            <w:pPr>
              <w:widowControl w:val="0"/>
              <w:ind w:firstLine="0" w:firstLineChars="0"/>
              <w:jc w:val="center"/>
              <w:rPr>
                <w:lang w:eastAsia="zh-CN"/>
              </w:rPr>
            </w:pPr>
          </w:p>
        </w:tc>
        <w:tc>
          <w:tcPr>
            <w:tcW w:w="621"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61" w:type="dxa"/>
            <w:vAlign w:val="center"/>
          </w:tcPr>
          <w:p>
            <w:pPr>
              <w:widowControl w:val="0"/>
              <w:ind w:firstLine="0" w:firstLineChars="0"/>
              <w:jc w:val="center"/>
              <w:rPr>
                <w:lang w:eastAsia="zh-CN"/>
              </w:rPr>
            </w:pPr>
          </w:p>
        </w:tc>
        <w:tc>
          <w:tcPr>
            <w:tcW w:w="490" w:type="dxa"/>
            <w:vAlign w:val="center"/>
          </w:tcPr>
          <w:p>
            <w:pPr>
              <w:widowControl w:val="0"/>
              <w:ind w:firstLine="0" w:firstLineChars="0"/>
              <w:jc w:val="center"/>
              <w:rPr>
                <w:lang w:eastAsia="zh-CN"/>
              </w:rPr>
            </w:pPr>
          </w:p>
        </w:tc>
        <w:tc>
          <w:tcPr>
            <w:tcW w:w="819" w:type="dxa"/>
            <w:vAlign w:val="center"/>
          </w:tcPr>
          <w:p>
            <w:pPr>
              <w:widowControl w:val="0"/>
              <w:ind w:firstLine="0" w:firstLineChars="0"/>
              <w:jc w:val="center"/>
              <w:rPr>
                <w:lang w:eastAsia="zh-CN"/>
              </w:rPr>
            </w:pPr>
          </w:p>
        </w:tc>
        <w:tc>
          <w:tcPr>
            <w:tcW w:w="693" w:type="dxa"/>
            <w:vAlign w:val="center"/>
          </w:tcPr>
          <w:p>
            <w:pPr>
              <w:widowControl w:val="0"/>
              <w:ind w:firstLine="0" w:firstLineChars="0"/>
              <w:jc w:val="center"/>
              <w:rPr>
                <w:lang w:eastAsia="zh-CN"/>
              </w:rPr>
            </w:pPr>
          </w:p>
        </w:tc>
        <w:tc>
          <w:tcPr>
            <w:tcW w:w="729" w:type="dxa"/>
            <w:vAlign w:val="center"/>
          </w:tcPr>
          <w:p>
            <w:pPr>
              <w:widowControl w:val="0"/>
              <w:ind w:firstLine="0" w:firstLineChars="0"/>
              <w:jc w:val="center"/>
              <w:rPr>
                <w:lang w:eastAsia="zh-CN"/>
              </w:rPr>
            </w:pPr>
          </w:p>
        </w:tc>
        <w:tc>
          <w:tcPr>
            <w:tcW w:w="648" w:type="dxa"/>
            <w:vAlign w:val="center"/>
          </w:tcPr>
          <w:p>
            <w:pPr>
              <w:widowControl w:val="0"/>
              <w:ind w:firstLine="0" w:firstLineChars="0"/>
              <w:jc w:val="center"/>
              <w:rPr>
                <w:lang w:eastAsia="zh-CN"/>
              </w:rPr>
            </w:pPr>
          </w:p>
        </w:tc>
        <w:tc>
          <w:tcPr>
            <w:tcW w:w="603" w:type="dxa"/>
            <w:vAlign w:val="center"/>
          </w:tcPr>
          <w:p>
            <w:pPr>
              <w:widowControl w:val="0"/>
              <w:ind w:firstLine="0" w:firstLineChars="0"/>
              <w:jc w:val="center"/>
              <w:rPr>
                <w:lang w:eastAsia="zh-CN"/>
              </w:rPr>
            </w:pPr>
          </w:p>
        </w:tc>
      </w:tr>
    </w:tbl>
    <w:p>
      <w:pPr>
        <w:ind w:firstLine="480"/>
        <w:jc w:val="center"/>
        <w:outlineLvl w:val="0"/>
        <w:rPr>
          <w:rFonts w:hint="eastAsia" w:ascii="黑体" w:hAnsi="黑体" w:eastAsia="黑体" w:cs="黑体"/>
          <w:lang w:eastAsia="zh-CN"/>
        </w:rPr>
      </w:pPr>
      <w:bookmarkStart w:id="273" w:name="_Toc27999"/>
      <w:bookmarkStart w:id="274" w:name="_Toc21314"/>
      <w:bookmarkStart w:id="275" w:name="_Toc28930"/>
      <w:bookmarkStart w:id="276" w:name="_Toc9245"/>
      <w:bookmarkStart w:id="277" w:name="_Toc16434"/>
      <w:bookmarkStart w:id="278" w:name="_Toc21489"/>
      <w:bookmarkStart w:id="279" w:name="_Toc758"/>
      <w:bookmarkStart w:id="280" w:name="_Toc1868"/>
      <w:bookmarkStart w:id="281" w:name="_Toc450"/>
      <w:bookmarkStart w:id="282" w:name="_Toc28715"/>
    </w:p>
    <w:p>
      <w:pPr>
        <w:ind w:firstLine="480"/>
        <w:jc w:val="center"/>
        <w:outlineLvl w:val="0"/>
        <w:rPr>
          <w:rFonts w:hint="eastAsia" w:ascii="黑体" w:hAnsi="黑体" w:eastAsia="黑体" w:cs="黑体"/>
          <w:lang w:eastAsia="zh-CN"/>
        </w:rPr>
      </w:pPr>
    </w:p>
    <w:p>
      <w:pPr>
        <w:ind w:firstLine="480"/>
        <w:jc w:val="center"/>
        <w:outlineLvl w:val="0"/>
        <w:rPr>
          <w:rFonts w:hint="eastAsia" w:ascii="黑体" w:hAnsi="黑体" w:eastAsia="黑体" w:cs="黑体"/>
          <w:lang w:eastAsia="zh-CN"/>
        </w:rPr>
      </w:pPr>
    </w:p>
    <w:p>
      <w:pPr>
        <w:ind w:firstLine="480"/>
        <w:jc w:val="center"/>
        <w:outlineLvl w:val="0"/>
        <w:rPr>
          <w:rFonts w:hint="eastAsia" w:ascii="黑体" w:hAnsi="黑体" w:eastAsia="黑体" w:cs="黑体"/>
          <w:lang w:eastAsia="zh-CN"/>
        </w:rPr>
      </w:pPr>
    </w:p>
    <w:p>
      <w:pPr>
        <w:ind w:firstLine="480"/>
        <w:jc w:val="center"/>
        <w:outlineLvl w:val="0"/>
        <w:rPr>
          <w:rFonts w:hint="eastAsia" w:ascii="黑体" w:hAnsi="黑体" w:eastAsia="黑体" w:cs="黑体"/>
          <w:lang w:eastAsia="zh-CN"/>
        </w:rPr>
      </w:pPr>
    </w:p>
    <w:p>
      <w:pPr>
        <w:ind w:firstLine="480"/>
        <w:jc w:val="center"/>
        <w:outlineLvl w:val="0"/>
        <w:rPr>
          <w:rFonts w:hint="eastAsia" w:ascii="黑体" w:hAnsi="黑体" w:eastAsia="黑体" w:cs="黑体"/>
          <w:lang w:eastAsia="zh-CN"/>
        </w:rPr>
      </w:pPr>
      <w:r>
        <w:rPr>
          <w:rFonts w:hint="eastAsia" w:ascii="黑体" w:hAnsi="黑体" w:eastAsia="黑体" w:cs="黑体"/>
          <w:lang w:eastAsia="zh-CN"/>
        </w:rPr>
        <w:t>表A.6</w:t>
      </w:r>
      <w:r>
        <w:rPr>
          <w:rFonts w:hint="eastAsia" w:ascii="黑体" w:hAnsi="黑体" w:eastAsia="黑体" w:cs="黑体"/>
          <w:lang w:val="en-US" w:eastAsia="zh-CN"/>
        </w:rPr>
        <w:t xml:space="preserve"> </w:t>
      </w:r>
      <w:r>
        <w:rPr>
          <w:rFonts w:hint="eastAsia" w:ascii="黑体" w:hAnsi="黑体" w:eastAsia="黑体" w:cs="黑体"/>
          <w:lang w:eastAsia="zh-CN"/>
        </w:rPr>
        <w:t>预警可接受准则及对应措施</w:t>
      </w:r>
      <w:bookmarkEnd w:id="273"/>
      <w:bookmarkEnd w:id="274"/>
      <w:bookmarkEnd w:id="275"/>
      <w:bookmarkEnd w:id="276"/>
      <w:bookmarkEnd w:id="277"/>
      <w:bookmarkEnd w:id="278"/>
      <w:bookmarkEnd w:id="279"/>
      <w:bookmarkEnd w:id="280"/>
      <w:bookmarkEnd w:id="281"/>
      <w:bookmarkEnd w:id="28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ind w:firstLine="480"/>
              <w:jc w:val="both"/>
              <w:rPr>
                <w:rFonts w:hint="eastAsia" w:ascii="宋体" w:hAnsi="宋体" w:eastAsia="宋体" w:cs="宋体"/>
                <w:lang w:eastAsia="zh-CN"/>
              </w:rPr>
            </w:pPr>
            <w:r>
              <w:rPr>
                <w:rFonts w:hint="eastAsia" w:ascii="宋体" w:hAnsi="宋体" w:eastAsia="宋体" w:cs="宋体"/>
                <w:lang w:eastAsia="zh-CN"/>
              </w:rPr>
              <w:t>序号</w:t>
            </w:r>
          </w:p>
        </w:tc>
        <w:tc>
          <w:tcPr>
            <w:tcW w:w="1704"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预警级别</w:t>
            </w:r>
          </w:p>
        </w:tc>
        <w:tc>
          <w:tcPr>
            <w:tcW w:w="1704"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可接受性</w:t>
            </w:r>
          </w:p>
        </w:tc>
        <w:tc>
          <w:tcPr>
            <w:tcW w:w="1705"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对应措施</w:t>
            </w:r>
          </w:p>
        </w:tc>
        <w:tc>
          <w:tcPr>
            <w:tcW w:w="1705"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管理原则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ind w:firstLine="480"/>
              <w:jc w:val="center"/>
              <w:rPr>
                <w:rFonts w:hint="eastAsia" w:ascii="宋体" w:hAnsi="宋体" w:eastAsia="宋体" w:cs="宋体"/>
                <w:lang w:eastAsia="zh-CN"/>
              </w:rPr>
            </w:pPr>
            <w:r>
              <w:rPr>
                <w:rFonts w:hint="eastAsia" w:ascii="宋体" w:hAnsi="宋体" w:eastAsia="宋体" w:cs="宋体"/>
                <w:lang w:eastAsia="zh-CN"/>
              </w:rPr>
              <w:t>1</w:t>
            </w:r>
          </w:p>
        </w:tc>
        <w:tc>
          <w:tcPr>
            <w:tcW w:w="1704"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Ⅰ级预警</w:t>
            </w:r>
          </w:p>
        </w:tc>
        <w:tc>
          <w:tcPr>
            <w:tcW w:w="1704"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不可接受</w:t>
            </w:r>
          </w:p>
        </w:tc>
        <w:tc>
          <w:tcPr>
            <w:tcW w:w="1705"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立即启动应急响应计划，对现场进行紧急疏散，保证人员安全，封锁事故现场</w:t>
            </w:r>
          </w:p>
        </w:tc>
        <w:tc>
          <w:tcPr>
            <w:tcW w:w="1705"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立即上报上级单位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ind w:firstLine="480"/>
              <w:jc w:val="center"/>
              <w:rPr>
                <w:rFonts w:hint="eastAsia" w:ascii="宋体" w:hAnsi="宋体" w:eastAsia="宋体" w:cs="宋体"/>
                <w:lang w:eastAsia="zh-CN"/>
              </w:rPr>
            </w:pPr>
            <w:r>
              <w:rPr>
                <w:rFonts w:hint="eastAsia" w:ascii="宋体" w:hAnsi="宋体" w:eastAsia="宋体" w:cs="宋体"/>
                <w:lang w:eastAsia="zh-CN"/>
              </w:rPr>
              <w:t>2</w:t>
            </w:r>
          </w:p>
        </w:tc>
        <w:tc>
          <w:tcPr>
            <w:tcW w:w="1704"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Ⅱ级预警</w:t>
            </w:r>
          </w:p>
        </w:tc>
        <w:tc>
          <w:tcPr>
            <w:tcW w:w="1704"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不可接受</w:t>
            </w:r>
          </w:p>
        </w:tc>
        <w:tc>
          <w:tcPr>
            <w:tcW w:w="1705"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启动应急预案，进行紧急处理和抢修，进行局部疏散和警戒</w:t>
            </w:r>
          </w:p>
        </w:tc>
        <w:tc>
          <w:tcPr>
            <w:tcW w:w="1705"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上级单位备案，并采取相应的措施，一旦恶化立即上报上级单位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ind w:firstLine="480"/>
              <w:jc w:val="center"/>
              <w:rPr>
                <w:rFonts w:hint="eastAsia" w:ascii="宋体" w:hAnsi="宋体" w:eastAsia="宋体" w:cs="宋体"/>
                <w:lang w:eastAsia="zh-CN"/>
              </w:rPr>
            </w:pPr>
            <w:r>
              <w:rPr>
                <w:rFonts w:hint="eastAsia" w:ascii="宋体" w:hAnsi="宋体" w:eastAsia="宋体" w:cs="宋体"/>
                <w:lang w:eastAsia="zh-CN"/>
              </w:rPr>
              <w:t>3</w:t>
            </w:r>
          </w:p>
        </w:tc>
        <w:tc>
          <w:tcPr>
            <w:tcW w:w="1704"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Ⅲ级预警</w:t>
            </w:r>
          </w:p>
        </w:tc>
        <w:tc>
          <w:tcPr>
            <w:tcW w:w="1704"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最低合理可行分析</w:t>
            </w:r>
          </w:p>
        </w:tc>
        <w:tc>
          <w:tcPr>
            <w:tcW w:w="1705"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加强对作业的监测，评估事故可能造成的影响，进行现场处理和抢修</w:t>
            </w:r>
          </w:p>
        </w:tc>
        <w:tc>
          <w:tcPr>
            <w:tcW w:w="1705"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自行监控，向相关部门报告事故情况。分析事故原因，制定防范措施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ind w:firstLine="480"/>
              <w:jc w:val="center"/>
              <w:rPr>
                <w:rFonts w:hint="eastAsia" w:ascii="宋体" w:hAnsi="宋体" w:eastAsia="宋体" w:cs="宋体"/>
                <w:lang w:eastAsia="zh-CN"/>
              </w:rPr>
            </w:pPr>
            <w:r>
              <w:rPr>
                <w:rFonts w:hint="eastAsia" w:ascii="宋体" w:hAnsi="宋体" w:eastAsia="宋体" w:cs="宋体"/>
                <w:lang w:eastAsia="zh-CN"/>
              </w:rPr>
              <w:t>4</w:t>
            </w:r>
          </w:p>
        </w:tc>
        <w:tc>
          <w:tcPr>
            <w:tcW w:w="1704"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Ⅳ预警</w:t>
            </w:r>
          </w:p>
        </w:tc>
        <w:tc>
          <w:tcPr>
            <w:tcW w:w="1704"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最低合理可行分析</w:t>
            </w:r>
          </w:p>
        </w:tc>
        <w:tc>
          <w:tcPr>
            <w:tcW w:w="1705"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加强对作业的监测，进行现场处理和抢修</w:t>
            </w:r>
          </w:p>
        </w:tc>
        <w:tc>
          <w:tcPr>
            <w:tcW w:w="1705" w:type="dxa"/>
            <w:vAlign w:val="center"/>
          </w:tcPr>
          <w:p>
            <w:pPr>
              <w:widowControl w:val="0"/>
              <w:ind w:firstLine="0" w:firstLineChars="0"/>
              <w:jc w:val="center"/>
              <w:rPr>
                <w:rFonts w:hint="eastAsia" w:ascii="宋体" w:hAnsi="宋体" w:eastAsia="宋体" w:cs="宋体"/>
                <w:lang w:eastAsia="zh-CN"/>
              </w:rPr>
            </w:pPr>
            <w:r>
              <w:rPr>
                <w:rFonts w:hint="eastAsia" w:ascii="宋体" w:hAnsi="宋体" w:eastAsia="宋体" w:cs="宋体"/>
                <w:lang w:eastAsia="zh-CN"/>
              </w:rPr>
              <w:t>自行监控，向相关部门报告事故情况</w:t>
            </w:r>
          </w:p>
        </w:tc>
      </w:tr>
    </w:tbl>
    <w:p>
      <w:pPr>
        <w:pStyle w:val="56"/>
        <w:sectPr>
          <w:pgSz w:w="11906" w:h="16838"/>
          <w:pgMar w:top="1928" w:right="1134" w:bottom="1134" w:left="1134" w:header="1418" w:footer="1134" w:gutter="284"/>
          <w:pgNumType w:start="1"/>
          <w:cols w:space="425" w:num="1"/>
          <w:formProt w:val="0"/>
          <w:docGrid w:linePitch="312" w:charSpace="0"/>
        </w:sectPr>
      </w:pPr>
    </w:p>
    <w:bookmarkEnd w:id="26"/>
    <w:p>
      <w:pPr>
        <w:pStyle w:val="63"/>
        <w:spacing w:after="120"/>
        <w:jc w:val="center"/>
      </w:pPr>
      <w:bookmarkStart w:id="283" w:name="BookMark6"/>
      <w:r>
        <w:rPr>
          <w:rFonts w:hint="eastAsia"/>
          <w:spacing w:val="105"/>
        </w:rPr>
        <w:t>参考文</w:t>
      </w:r>
      <w:r>
        <w:rPr>
          <w:rFonts w:hint="eastAsia"/>
        </w:rPr>
        <w:t>献</w:t>
      </w:r>
    </w:p>
    <w:p>
      <w:pPr>
        <w:pStyle w:val="232"/>
        <w:numPr>
          <w:ilvl w:val="0"/>
          <w:numId w:val="40"/>
        </w:numPr>
        <w:spacing w:after="60" w:line="360" w:lineRule="auto"/>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Q/SY 1636—2013 气藏型储气库建库地质及气藏工程设计技术规范</w:t>
      </w:r>
    </w:p>
    <w:p>
      <w:pPr>
        <w:pStyle w:val="232"/>
        <w:numPr>
          <w:ilvl w:val="0"/>
          <w:numId w:val="40"/>
        </w:numPr>
        <w:spacing w:after="60" w:line="360" w:lineRule="auto"/>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SY/T 6848—2012地下储气库设计规范</w:t>
      </w:r>
    </w:p>
    <w:p>
      <w:pPr>
        <w:pStyle w:val="232"/>
        <w:numPr>
          <w:ilvl w:val="0"/>
          <w:numId w:val="40"/>
        </w:numPr>
        <w:spacing w:after="60" w:line="360" w:lineRule="auto"/>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SY/T 6805—2017 油气藏型地下储气库安全技术规程</w:t>
      </w:r>
    </w:p>
    <w:p>
      <w:pPr>
        <w:pStyle w:val="232"/>
        <w:numPr>
          <w:ilvl w:val="0"/>
          <w:numId w:val="40"/>
        </w:numPr>
        <w:spacing w:after="60" w:line="360" w:lineRule="auto"/>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SY∕T 6827-2020 油气管道安全预警系统技术规范</w:t>
      </w:r>
    </w:p>
    <w:p>
      <w:pPr>
        <w:pStyle w:val="232"/>
        <w:numPr>
          <w:ilvl w:val="0"/>
          <w:numId w:val="40"/>
        </w:numPr>
        <w:spacing w:after="60" w:line="360" w:lineRule="auto"/>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SY/T 7645-2021 储气库井风险评价推荐做法</w:t>
      </w:r>
    </w:p>
    <w:p>
      <w:pPr>
        <w:pStyle w:val="232"/>
        <w:numPr>
          <w:ilvl w:val="0"/>
          <w:numId w:val="40"/>
        </w:numPr>
        <w:spacing w:after="60" w:line="360" w:lineRule="auto"/>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SY/T 7651—2021储气库井运行管理规范</w:t>
      </w:r>
    </w:p>
    <w:p>
      <w:pPr>
        <w:pStyle w:val="232"/>
        <w:numPr>
          <w:ilvl w:val="0"/>
          <w:numId w:val="40"/>
        </w:numPr>
        <w:spacing w:after="60" w:line="360" w:lineRule="auto"/>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SY/T 6827-2020 石油天然气管道安全预警系统技术规范</w:t>
      </w:r>
    </w:p>
    <w:p>
      <w:pPr>
        <w:pStyle w:val="232"/>
        <w:numPr>
          <w:ilvl w:val="0"/>
          <w:numId w:val="40"/>
        </w:numPr>
        <w:spacing w:after="60" w:line="360" w:lineRule="auto"/>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SY/T 6825 油气储层评价方法</w:t>
      </w:r>
    </w:p>
    <w:p>
      <w:pPr>
        <w:pStyle w:val="232"/>
        <w:numPr>
          <w:ilvl w:val="0"/>
          <w:numId w:val="40"/>
        </w:numPr>
        <w:spacing w:after="60" w:line="360" w:lineRule="auto"/>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SY/T 7372-2017 微地震地面监测技术规程</w:t>
      </w:r>
    </w:p>
    <w:p>
      <w:pPr>
        <w:pStyle w:val="232"/>
        <w:numPr>
          <w:ilvl w:val="0"/>
          <w:numId w:val="40"/>
        </w:numPr>
        <w:spacing w:after="60" w:line="360" w:lineRule="auto"/>
        <w:jc w:val="both"/>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SY/T 7633-2021 储气库井套管柱安全评价方法</w:t>
      </w:r>
    </w:p>
    <w:bookmarkEnd w:id="283"/>
    <w:p>
      <w:pPr>
        <w:pStyle w:val="56"/>
        <w:ind w:firstLine="0" w:firstLineChars="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mc:AlternateContent>
        <mc:Choice Requires="wps">
          <w:drawing>
            <wp:anchor distT="0" distB="0" distL="114300" distR="114300" simplePos="0" relativeHeight="251662336" behindDoc="0" locked="0" layoutInCell="1" allowOverlap="1">
              <wp:simplePos x="0" y="0"/>
              <wp:positionH relativeFrom="margin">
                <wp:posOffset>5571490</wp:posOffset>
              </wp:positionH>
              <wp:positionV relativeFrom="paragraph">
                <wp:posOffset>0</wp:posOffset>
              </wp:positionV>
              <wp:extent cx="3683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683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8.7pt;margin-top:0pt;height:144pt;width:29pt;mso-position-horizontal-relative:margin;z-index:251662336;mso-width-relative:page;mso-height-relative:page;" filled="f" stroked="f" coordsize="21600,21600" o:gfxdata="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mOV/1wAAAAgBAAAPAAAAAAAAAAEAIAAAACIAAABkcnMvZG93bnJldi54bWxQ&#10;SwECFAAUAAAACACHTuJALgCO6DECAABYBAAADgAAAAAAAAABACAAAAAmAQAAZHJzL2Uyb0RvYy54&#10;bWxQSwUGAAAAAAYABgBZAQAAyQU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rPr>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7"/>
                      <w:ind w:firstLine="360"/>
                      <w:rPr>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XIV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XIV</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B08AF"/>
    <w:multiLevelType w:val="singleLevel"/>
    <w:tmpl w:val="952B08AF"/>
    <w:lvl w:ilvl="0" w:tentative="0">
      <w:start w:val="1"/>
      <w:numFmt w:val="lowerLetter"/>
      <w:suff w:val="space"/>
      <w:lvlText w:val="%1)"/>
      <w:lvlJc w:val="left"/>
      <w:pPr>
        <w:tabs>
          <w:tab w:val="left" w:pos="0"/>
        </w:tabs>
        <w:ind w:left="420"/>
      </w:pPr>
      <w:rPr>
        <w:rFonts w:hint="default" w:ascii="宋体" w:hAnsi="宋体" w:eastAsia="宋体" w:cs="宋体"/>
      </w:rPr>
    </w:lvl>
  </w:abstractNum>
  <w:abstractNum w:abstractNumId="1">
    <w:nsid w:val="BE9ECBB8"/>
    <w:multiLevelType w:val="singleLevel"/>
    <w:tmpl w:val="BE9ECBB8"/>
    <w:lvl w:ilvl="0" w:tentative="0">
      <w:start w:val="1"/>
      <w:numFmt w:val="lowerLetter"/>
      <w:suff w:val="space"/>
      <w:lvlText w:val="%1)"/>
      <w:lvlJc w:val="left"/>
      <w:pPr>
        <w:tabs>
          <w:tab w:val="left" w:pos="0"/>
        </w:tabs>
        <w:ind w:left="420"/>
      </w:pPr>
      <w:rPr>
        <w:rFonts w:hint="default" w:ascii="宋体" w:hAnsi="宋体" w:eastAsia="宋体" w:cs="宋体"/>
      </w:rPr>
    </w:lvl>
  </w:abstractNum>
  <w:abstractNum w:abstractNumId="2">
    <w:nsid w:val="C1A361E4"/>
    <w:multiLevelType w:val="singleLevel"/>
    <w:tmpl w:val="C1A361E4"/>
    <w:lvl w:ilvl="0" w:tentative="0">
      <w:start w:val="1"/>
      <w:numFmt w:val="lowerLetter"/>
      <w:suff w:val="space"/>
      <w:lvlText w:val="%1)"/>
      <w:lvlJc w:val="left"/>
      <w:pPr>
        <w:tabs>
          <w:tab w:val="left" w:pos="0"/>
        </w:tabs>
        <w:ind w:left="420"/>
      </w:pPr>
      <w:rPr>
        <w:rFonts w:hint="default" w:ascii="宋体" w:hAnsi="宋体" w:eastAsia="宋体" w:cs="宋体"/>
      </w:rPr>
    </w:lvl>
  </w:abstractNum>
  <w:abstractNum w:abstractNumId="3">
    <w:nsid w:val="DC609A81"/>
    <w:multiLevelType w:val="singleLevel"/>
    <w:tmpl w:val="DC609A81"/>
    <w:lvl w:ilvl="0" w:tentative="0">
      <w:start w:val="1"/>
      <w:numFmt w:val="lowerLetter"/>
      <w:suff w:val="space"/>
      <w:lvlText w:val="%1)"/>
      <w:lvlJc w:val="left"/>
      <w:pPr>
        <w:tabs>
          <w:tab w:val="left" w:pos="0"/>
        </w:tabs>
        <w:ind w:left="840"/>
      </w:pPr>
      <w:rPr>
        <w:rFonts w:hint="default" w:ascii="宋体" w:hAnsi="宋体" w:eastAsia="宋体" w:cs="宋体"/>
      </w:rPr>
    </w:lvl>
  </w:abstractNum>
  <w:abstractNum w:abstractNumId="4">
    <w:nsid w:val="EFB0080A"/>
    <w:multiLevelType w:val="singleLevel"/>
    <w:tmpl w:val="EFB0080A"/>
    <w:lvl w:ilvl="0" w:tentative="0">
      <w:start w:val="1"/>
      <w:numFmt w:val="decimal"/>
      <w:lvlText w:val="[%1]"/>
      <w:lvlJc w:val="left"/>
      <w:pPr>
        <w:tabs>
          <w:tab w:val="left" w:pos="420"/>
        </w:tabs>
        <w:ind w:left="425" w:hanging="425"/>
      </w:pPr>
      <w:rPr>
        <w:rFonts w:hint="default"/>
      </w:rPr>
    </w:lvl>
  </w:abstractNum>
  <w:abstractNum w:abstractNumId="5">
    <w:nsid w:val="F09E955F"/>
    <w:multiLevelType w:val="singleLevel"/>
    <w:tmpl w:val="F09E955F"/>
    <w:lvl w:ilvl="0" w:tentative="0">
      <w:start w:val="1"/>
      <w:numFmt w:val="lowerLetter"/>
      <w:suff w:val="space"/>
      <w:lvlText w:val="%1)"/>
      <w:lvlJc w:val="left"/>
      <w:pPr>
        <w:tabs>
          <w:tab w:val="left" w:pos="0"/>
        </w:tabs>
        <w:ind w:left="840"/>
      </w:pPr>
      <w:rPr>
        <w:rFonts w:hint="default" w:ascii="宋体" w:hAnsi="宋体" w:eastAsia="宋体" w:cs="宋体"/>
      </w:rPr>
    </w:lvl>
  </w:abstractNum>
  <w:abstractNum w:abstractNumId="6">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7">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9">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3">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5A088F6"/>
    <w:multiLevelType w:val="singleLevel"/>
    <w:tmpl w:val="25A088F6"/>
    <w:lvl w:ilvl="0" w:tentative="0">
      <w:start w:val="1"/>
      <w:numFmt w:val="lowerLetter"/>
      <w:suff w:val="space"/>
      <w:lvlText w:val="%1)"/>
      <w:lvlJc w:val="left"/>
      <w:pPr>
        <w:tabs>
          <w:tab w:val="left" w:pos="0"/>
        </w:tabs>
        <w:ind w:left="840"/>
      </w:pPr>
      <w:rPr>
        <w:rFonts w:hint="default" w:ascii="宋体" w:hAnsi="宋体" w:eastAsia="宋体" w:cs="宋体"/>
      </w:rPr>
    </w:lvl>
  </w:abstractNum>
  <w:abstractNum w:abstractNumId="17">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2E57A862"/>
    <w:multiLevelType w:val="singleLevel"/>
    <w:tmpl w:val="2E57A862"/>
    <w:lvl w:ilvl="0" w:tentative="0">
      <w:start w:val="1"/>
      <w:numFmt w:val="lowerLetter"/>
      <w:suff w:val="space"/>
      <w:lvlText w:val="%1)"/>
      <w:lvlJc w:val="left"/>
      <w:pPr>
        <w:tabs>
          <w:tab w:val="left" w:pos="0"/>
        </w:tabs>
        <w:ind w:left="840"/>
      </w:pPr>
      <w:rPr>
        <w:rFonts w:hint="default" w:ascii="宋体" w:hAnsi="宋体" w:eastAsia="宋体" w:cs="宋体"/>
      </w:rPr>
    </w:lvl>
  </w:abstractNum>
  <w:abstractNum w:abstractNumId="19">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0">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C932750"/>
    <w:multiLevelType w:val="singleLevel"/>
    <w:tmpl w:val="7C932750"/>
    <w:lvl w:ilvl="0" w:tentative="0">
      <w:start w:val="1"/>
      <w:numFmt w:val="lowerLetter"/>
      <w:suff w:val="space"/>
      <w:lvlText w:val="%1)"/>
      <w:lvlJc w:val="left"/>
      <w:pPr>
        <w:tabs>
          <w:tab w:val="left" w:pos="0"/>
        </w:tabs>
        <w:ind w:left="420"/>
      </w:pPr>
      <w:rPr>
        <w:rFonts w:hint="default" w:ascii="宋体" w:hAnsi="宋体" w:eastAsia="宋体" w:cs="宋体"/>
      </w:rPr>
    </w:lvl>
  </w:abstractNum>
  <w:num w:numId="1">
    <w:abstractNumId w:val="6"/>
  </w:num>
  <w:num w:numId="2">
    <w:abstractNumId w:val="35"/>
  </w:num>
  <w:num w:numId="3">
    <w:abstractNumId w:val="11"/>
  </w:num>
  <w:num w:numId="4">
    <w:abstractNumId w:val="31"/>
  </w:num>
  <w:num w:numId="5">
    <w:abstractNumId w:val="26"/>
  </w:num>
  <w:num w:numId="6">
    <w:abstractNumId w:val="21"/>
  </w:num>
  <w:num w:numId="7">
    <w:abstractNumId w:val="14"/>
  </w:num>
  <w:num w:numId="8">
    <w:abstractNumId w:val="9"/>
  </w:num>
  <w:num w:numId="9">
    <w:abstractNumId w:val="15"/>
  </w:num>
  <w:num w:numId="10">
    <w:abstractNumId w:val="24"/>
  </w:num>
  <w:num w:numId="11">
    <w:abstractNumId w:val="33"/>
  </w:num>
  <w:num w:numId="12">
    <w:abstractNumId w:val="19"/>
  </w:num>
  <w:num w:numId="13">
    <w:abstractNumId w:val="20"/>
  </w:num>
  <w:num w:numId="14">
    <w:abstractNumId w:val="13"/>
  </w:num>
  <w:num w:numId="15">
    <w:abstractNumId w:val="27"/>
  </w:num>
  <w:num w:numId="16">
    <w:abstractNumId w:val="29"/>
  </w:num>
  <w:num w:numId="17">
    <w:abstractNumId w:val="25"/>
  </w:num>
  <w:num w:numId="18">
    <w:abstractNumId w:val="37"/>
  </w:num>
  <w:num w:numId="19">
    <w:abstractNumId w:val="23"/>
  </w:num>
  <w:num w:numId="20">
    <w:abstractNumId w:val="7"/>
  </w:num>
  <w:num w:numId="21">
    <w:abstractNumId w:val="17"/>
  </w:num>
  <w:num w:numId="22">
    <w:abstractNumId w:val="38"/>
  </w:num>
  <w:num w:numId="23">
    <w:abstractNumId w:val="28"/>
  </w:num>
  <w:num w:numId="24">
    <w:abstractNumId w:val="12"/>
  </w:num>
  <w:num w:numId="25">
    <w:abstractNumId w:val="34"/>
  </w:num>
  <w:num w:numId="26">
    <w:abstractNumId w:val="36"/>
  </w:num>
  <w:num w:numId="27">
    <w:abstractNumId w:val="8"/>
  </w:num>
  <w:num w:numId="28">
    <w:abstractNumId w:val="10"/>
  </w:num>
  <w:num w:numId="29">
    <w:abstractNumId w:val="22"/>
  </w:num>
  <w:num w:numId="30">
    <w:abstractNumId w:val="32"/>
  </w:num>
  <w:num w:numId="31">
    <w:abstractNumId w:val="30"/>
  </w:num>
  <w:num w:numId="32">
    <w:abstractNumId w:val="0"/>
  </w:num>
  <w:num w:numId="33">
    <w:abstractNumId w:val="2"/>
  </w:num>
  <w:num w:numId="34">
    <w:abstractNumId w:val="1"/>
  </w:num>
  <w:num w:numId="35">
    <w:abstractNumId w:val="39"/>
  </w:num>
  <w:num w:numId="36">
    <w:abstractNumId w:val="5"/>
  </w:num>
  <w:num w:numId="37">
    <w:abstractNumId w:val="3"/>
  </w:num>
  <w:num w:numId="38">
    <w:abstractNumId w:val="16"/>
  </w:num>
  <w:num w:numId="39">
    <w:abstractNumId w:val="1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svjvwZRtPytZZNTMuAFVg23ljtEy62F8NhfWbuzIX0x992FBFfp5WxptOw2pH2NTBeJvSvndK1BPa4pLj6rDxA==" w:salt="nUbKCuboqFCq0Xh8h8mn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zNjE2ZTg1NWY2MWJkYTIzODliYmVmNjZiMmY1NGIifQ=="/>
  </w:docVars>
  <w:rsids>
    <w:rsidRoot w:val="001534E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09"/>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4E9"/>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45A"/>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61E2"/>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03257BB"/>
    <w:rsid w:val="49214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autoRedefine/>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autoRedefin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uiPriority w:val="0"/>
    <w:rPr>
      <w:rFonts w:ascii="黑体" w:eastAsia="黑体"/>
      <w:spacing w:val="0"/>
      <w:w w:val="100"/>
      <w:position w:val="3"/>
      <w:sz w:val="28"/>
    </w:rPr>
  </w:style>
  <w:style w:type="paragraph" w:customStyle="1" w:styleId="67">
    <w:name w:val="标准文件_方框数字列项"/>
    <w:basedOn w:val="56"/>
    <w:autoRedefine/>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autoRedefine/>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WPSOffice手动目录 1"/>
    <w:autoRedefine/>
    <w:qFormat/>
    <w:uiPriority w:val="0"/>
    <w:rPr>
      <w:rFonts w:asciiTheme="minorHAnsi" w:hAnsiTheme="minorHAnsi" w:eastAsiaTheme="minorEastAsia" w:cstheme="minorBidi"/>
      <w:lang w:val="en-US" w:eastAsia="zh-CN" w:bidi="ar-SA"/>
    </w:rPr>
  </w:style>
  <w:style w:type="paragraph" w:customStyle="1" w:styleId="231">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32">
    <w:name w:val="Body text|1"/>
    <w:basedOn w:val="1"/>
    <w:autoRedefine/>
    <w:qFormat/>
    <w:uiPriority w:val="0"/>
    <w:pPr>
      <w:spacing w:line="430" w:lineRule="auto"/>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B74B3223B164E24912DE23C55927155"/>
        <w:style w:val=""/>
        <w:category>
          <w:name w:val="常规"/>
          <w:gallery w:val="placeholder"/>
        </w:category>
        <w:types>
          <w:type w:val="bbPlcHdr"/>
        </w:types>
        <w:behaviors>
          <w:behavior w:val="content"/>
        </w:behaviors>
        <w:description w:val=""/>
        <w:guid w:val="{AA11E64E-245B-42B3-82EA-955A5B406D9E}"/>
      </w:docPartPr>
      <w:docPartBody>
        <w:p>
          <w:pPr>
            <w:pStyle w:val="5"/>
          </w:pPr>
          <w:r>
            <w:rPr>
              <w:rStyle w:val="4"/>
              <w:rFonts w:hint="eastAsia"/>
            </w:rPr>
            <w:t>单击或点击此处输入文字。</w:t>
          </w:r>
        </w:p>
      </w:docPartBody>
    </w:docPart>
    <w:docPart>
      <w:docPartPr>
        <w:name w:val="1B9F0A87FF374F1B89675B412EBFA6B4"/>
        <w:style w:val=""/>
        <w:category>
          <w:name w:val="常规"/>
          <w:gallery w:val="placeholder"/>
        </w:category>
        <w:types>
          <w:type w:val="bbPlcHdr"/>
        </w:types>
        <w:behaviors>
          <w:behavior w:val="content"/>
        </w:behaviors>
        <w:description w:val=""/>
        <w:guid w:val="{451669A5-702F-4363-AB6C-915FDAEFD25A}"/>
      </w:docPartPr>
      <w:docPartBody>
        <w:p>
          <w:pPr>
            <w:pStyle w:val="6"/>
          </w:pPr>
          <w:r>
            <w:rPr>
              <w:rStyle w:val="4"/>
              <w:rFonts w:hint="eastAsia"/>
            </w:rPr>
            <w:t>选择一项。</w:t>
          </w:r>
        </w:p>
      </w:docPartBody>
    </w:docPart>
    <w:docPart>
      <w:docPartPr>
        <w:name w:val="6BE2362F0AB245C895EC2B080D55321F"/>
        <w:style w:val=""/>
        <w:category>
          <w:name w:val="常规"/>
          <w:gallery w:val="placeholder"/>
        </w:category>
        <w:types>
          <w:type w:val="bbPlcHdr"/>
        </w:types>
        <w:behaviors>
          <w:behavior w:val="content"/>
        </w:behaviors>
        <w:description w:val=""/>
        <w:guid w:val="{421A8E8B-3E0F-4F40-A275-64D63565082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CB"/>
    <w:rsid w:val="002A05C6"/>
    <w:rsid w:val="008029CB"/>
    <w:rsid w:val="00A3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autoRedefin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4B74B3223B164E24912DE23C55927155"/>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B9F0A87FF374F1B89675B412EBFA6B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BE2362F0AB245C895EC2B080D55321F"/>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448</Words>
  <Characters>561</Characters>
  <Lines>93</Lines>
  <Paragraphs>84</Paragraphs>
  <TotalTime>15</TotalTime>
  <ScaleCrop>false</ScaleCrop>
  <LinksUpToDate>false</LinksUpToDate>
  <CharactersWithSpaces>925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2023-12-21T08:04:00Z</dcterms:created>
  <dc:creator>张成</dc:creator>
  <dc:description>&lt;config cover="true" show_menu="true" version="1.0.0" doctype="SDKXY"&gt;_x000d_
&lt;/config&gt;</dc:description>
  <cp:lastModifiedBy>WPS_1670090446</cp:lastModifiedBy>
  <cp:lastPrinted>2021-02-02T08:22:00Z</cp:lastPrinted>
  <dcterms:modified xsi:type="dcterms:W3CDTF">2024-04-28T07:29:47Z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C5726F1757D74D52ADD064F8A2690201_13</vt:lpwstr>
  </property>
</Properties>
</file>