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66</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地理标志证明商标 行唐核桃</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Geographical Indication Certification Trademark - Xingtang Walnut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rFonts w:hint="eastAsia"/>
          <w:sz w:val="21"/>
          <w:szCs w:val="28"/>
          <w:lang w:val="en-US" w:eastAsia="zh-CN"/>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val="en-US"/>
        </w:rPr>
        <w:t>行唐县农业产业协会</w:t>
      </w:r>
      <w:r>
        <w:rPr>
          <w:rFonts w:hint="eastAsia"/>
        </w:rPr>
        <w:t>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r>
        <w:rPr>
          <w:rFonts w:hint="eastAsia"/>
          <w:lang w:val="en-US"/>
        </w:rPr>
        <w:t>行唐县农业产业协会</w:t>
      </w:r>
    </w:p>
    <w:p>
      <w:pPr>
        <w:pStyle w:val="57"/>
        <w:ind w:firstLine="420"/>
        <w:rPr>
          <w:sz w:val="22"/>
          <w:szCs w:val="22"/>
        </w:rPr>
      </w:pPr>
      <w:r>
        <w:rPr>
          <w:rFonts w:hint="eastAsia"/>
        </w:rPr>
        <w:t>本文件主要起草人：</w:t>
      </w:r>
      <w:r>
        <w:rPr>
          <w:rFonts w:hint="eastAsia"/>
          <w:highlight w:val="none"/>
          <w:lang w:eastAsia="zh-CN"/>
        </w:rPr>
        <w:t>顾振奇、范会英、申凯、樊素、卢新燕、马静、王琳、李亚伟、范晓琳</w:t>
      </w: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EndPr>
        <w:rPr>
          <w:rFonts w:hint="default"/>
          <w:lang w:val="en-US"/>
        </w:rPr>
      </w:sdtEndPr>
      <w:sdtContent>
        <w:p>
          <w:pPr>
            <w:pStyle w:val="178"/>
            <w:spacing w:before="2" w:beforeLines="1" w:after="528" w:afterLines="220"/>
          </w:pPr>
          <w:bookmarkStart w:id="23" w:name="NEW_STAND_NAME"/>
          <w:r>
            <w:rPr>
              <w:rFonts w:hint="eastAsia"/>
            </w:rPr>
            <w:t>地理标志证明商标 行唐核桃</w:t>
          </w:r>
        </w:p>
      </w:sdtContent>
    </w:sdt>
    <w:bookmarkEnd w:id="23"/>
    <w:p>
      <w:pPr>
        <w:pStyle w:val="105"/>
        <w:spacing w:before="240" w:after="240"/>
        <w:rPr>
          <w:color w:val="auto"/>
        </w:rPr>
      </w:pPr>
      <w:bookmarkStart w:id="24" w:name="_Toc24884211"/>
      <w:bookmarkStart w:id="25" w:name="_Toc26648465"/>
      <w:bookmarkStart w:id="26" w:name="_Toc26986530"/>
      <w:bookmarkStart w:id="27" w:name="_Toc17233325"/>
      <w:bookmarkStart w:id="28" w:name="_Toc107483146"/>
      <w:bookmarkStart w:id="29" w:name="_Toc24884218"/>
      <w:bookmarkStart w:id="30" w:name="_Toc17233333"/>
      <w:bookmarkStart w:id="31" w:name="_Toc97192964"/>
      <w:bookmarkStart w:id="32" w:name="_Toc26986771"/>
      <w:bookmarkStart w:id="33" w:name="_Toc26718930"/>
      <w:r>
        <w:rPr>
          <w:rFonts w:hint="eastAsia"/>
          <w:color w:val="auto"/>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107483147"/>
      <w:bookmarkStart w:id="35" w:name="_Toc17233326"/>
      <w:bookmarkStart w:id="36" w:name="_Toc26986772"/>
      <w:bookmarkStart w:id="37" w:name="_Toc24884219"/>
      <w:bookmarkStart w:id="38" w:name="_Toc26648466"/>
      <w:bookmarkStart w:id="39" w:name="_Toc17233334"/>
      <w:bookmarkStart w:id="40" w:name="_Toc26718931"/>
      <w:bookmarkStart w:id="41" w:name="_Toc24884212"/>
      <w:bookmarkStart w:id="42" w:name="_Toc26986531"/>
      <w:bookmarkStart w:id="43" w:name="_Toc97192965"/>
      <w:r>
        <w:rPr>
          <w:color w:val="auto"/>
        </w:rPr>
        <w:t>本文件规定了</w:t>
      </w:r>
      <w:r>
        <w:rPr>
          <w:rFonts w:hint="eastAsia"/>
          <w:color w:val="auto"/>
          <w:lang w:val="en-US" w:eastAsia="zh-CN"/>
        </w:rPr>
        <w:t>行唐核桃</w:t>
      </w:r>
      <w:r>
        <w:rPr>
          <w:color w:val="auto"/>
        </w:rPr>
        <w:t>的</w:t>
      </w:r>
      <w:r>
        <w:rPr>
          <w:rFonts w:hint="eastAsia"/>
          <w:color w:val="auto"/>
        </w:rPr>
        <w:t>术语和定义、</w:t>
      </w:r>
      <w:r>
        <w:rPr>
          <w:rFonts w:hint="eastAsia"/>
          <w:color w:val="auto"/>
          <w:lang w:val="en-US" w:eastAsia="zh-CN"/>
        </w:rPr>
        <w:t>地理标志产品保护范围、加工、</w:t>
      </w:r>
      <w:r>
        <w:rPr>
          <w:color w:val="auto"/>
        </w:rPr>
        <w:t>要求、检验方法、检验规则、标志、包装、运输</w:t>
      </w:r>
      <w:r>
        <w:rPr>
          <w:rFonts w:hint="eastAsia"/>
          <w:color w:val="auto"/>
        </w:rPr>
        <w:t>和</w:t>
      </w:r>
      <w:r>
        <w:rPr>
          <w:color w:val="auto"/>
        </w:rPr>
        <w:t>贮存。</w:t>
      </w:r>
    </w:p>
    <w:p>
      <w:pPr>
        <w:pStyle w:val="57"/>
        <w:ind w:firstLine="420"/>
        <w:rPr>
          <w:rFonts w:ascii="Times New Roman"/>
          <w:color w:val="auto"/>
        </w:rPr>
      </w:pPr>
      <w:r>
        <w:rPr>
          <w:rFonts w:hint="eastAsia"/>
          <w:color w:val="auto"/>
        </w:rPr>
        <w:t>本文件适用于国家知识产权局</w:t>
      </w:r>
      <w:r>
        <w:rPr>
          <w:rFonts w:hint="eastAsia"/>
          <w:color w:val="auto"/>
          <w:lang w:val="en-US" w:eastAsia="zh-CN"/>
        </w:rPr>
        <w:t>2023年</w:t>
      </w:r>
      <w:r>
        <w:rPr>
          <w:rFonts w:hint="eastAsia"/>
          <w:color w:val="auto"/>
        </w:rPr>
        <w:t>第</w:t>
      </w:r>
      <w:r>
        <w:rPr>
          <w:rFonts w:hint="eastAsia"/>
          <w:color w:val="auto"/>
          <w:lang w:val="en-US" w:eastAsia="zh-CN"/>
        </w:rPr>
        <w:t>1848</w:t>
      </w:r>
      <w:r>
        <w:rPr>
          <w:rFonts w:hint="eastAsia"/>
          <w:color w:val="auto"/>
        </w:rPr>
        <w:t>期《商标公告》，第</w:t>
      </w:r>
      <w:r>
        <w:rPr>
          <w:rFonts w:hint="eastAsia"/>
          <w:color w:val="auto"/>
          <w:lang w:val="en-US" w:eastAsia="zh-CN"/>
        </w:rPr>
        <w:t>65096317</w:t>
      </w:r>
      <w:r>
        <w:rPr>
          <w:rFonts w:hint="eastAsia"/>
          <w:color w:val="auto"/>
        </w:rPr>
        <w:t>号核准的地域保护范围内生产并使用“</w:t>
      </w:r>
      <w:r>
        <w:rPr>
          <w:rFonts w:hint="eastAsia"/>
          <w:color w:val="auto"/>
          <w:lang w:val="en-US" w:eastAsia="zh-CN"/>
        </w:rPr>
        <w:t>行唐核桃</w:t>
      </w:r>
      <w:r>
        <w:rPr>
          <w:rFonts w:hint="eastAsia"/>
          <w:color w:val="auto"/>
        </w:rPr>
        <w:t>”地理标志证明商标的</w:t>
      </w:r>
      <w:r>
        <w:rPr>
          <w:rFonts w:hint="eastAsia"/>
          <w:color w:val="auto"/>
          <w:lang w:val="en-US" w:eastAsia="zh-CN"/>
        </w:rPr>
        <w:t>核桃</w:t>
      </w:r>
      <w:r>
        <w:rPr>
          <w:rFonts w:hint="eastAsia"/>
          <w:color w:val="auto"/>
        </w:rPr>
        <w:t>产品。</w:t>
      </w:r>
    </w:p>
    <w:p>
      <w:pPr>
        <w:pStyle w:val="105"/>
        <w:spacing w:before="240" w:after="240"/>
        <w:rPr>
          <w:color w:val="auto"/>
        </w:rPr>
      </w:pPr>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color w:val="auto"/>
          <w:lang w:val="en-US" w:eastAsia="zh-CN"/>
        </w:rPr>
      </w:pPr>
      <w:bookmarkStart w:id="44" w:name="_Toc97192966"/>
      <w:bookmarkStart w:id="45" w:name="_Toc107483148"/>
      <w:r>
        <w:rPr>
          <w:rFonts w:hint="eastAsia" w:ascii="Times New Roman"/>
          <w:color w:val="auto"/>
          <w:lang w:val="en-US" w:eastAsia="zh-CN"/>
        </w:rPr>
        <w:t>GB/T 191 包装储运图示标志</w:t>
      </w:r>
    </w:p>
    <w:p>
      <w:pPr>
        <w:pStyle w:val="57"/>
        <w:ind w:firstLine="420"/>
        <w:rPr>
          <w:rFonts w:hint="eastAsia" w:ascii="Times New Roman"/>
          <w:color w:val="auto"/>
          <w:lang w:val="en-US" w:eastAsia="zh-CN"/>
        </w:rPr>
      </w:pPr>
      <w:r>
        <w:rPr>
          <w:rFonts w:hint="eastAsia" w:ascii="Times New Roman"/>
          <w:color w:val="auto"/>
          <w:lang w:val="en-US" w:eastAsia="zh-CN"/>
        </w:rPr>
        <w:t>NY/T 391 绿色食品 产地环境质量</w:t>
      </w:r>
    </w:p>
    <w:p>
      <w:pPr>
        <w:pStyle w:val="57"/>
        <w:ind w:firstLine="420"/>
        <w:rPr>
          <w:rFonts w:hint="eastAsia" w:ascii="Times New Roman"/>
          <w:color w:val="auto"/>
          <w:lang w:val="en-US" w:eastAsia="zh-CN"/>
        </w:rPr>
      </w:pPr>
      <w:r>
        <w:rPr>
          <w:rFonts w:hint="eastAsia" w:ascii="Times New Roman"/>
          <w:color w:val="auto"/>
          <w:lang w:val="en-US" w:eastAsia="zh-CN"/>
        </w:rPr>
        <w:t>HG/T 2496 漂白粉</w:t>
      </w:r>
    </w:p>
    <w:p>
      <w:pPr>
        <w:pStyle w:val="57"/>
        <w:ind w:firstLine="420"/>
        <w:rPr>
          <w:rFonts w:hint="eastAsia" w:ascii="Times New Roman"/>
          <w:color w:val="auto"/>
        </w:rPr>
      </w:pPr>
      <w:bookmarkStart w:id="49" w:name="_GoBack"/>
      <w:bookmarkEnd w:id="49"/>
      <w:r>
        <w:rPr>
          <w:rFonts w:hint="eastAsia" w:ascii="Times New Roman"/>
          <w:color w:val="auto"/>
        </w:rPr>
        <w:t>GB 5009.5 食品安全国家标准 食品中蛋白质的测定</w:t>
      </w:r>
    </w:p>
    <w:p>
      <w:pPr>
        <w:pStyle w:val="57"/>
        <w:ind w:firstLine="420"/>
        <w:rPr>
          <w:rFonts w:ascii="Times New Roman"/>
        </w:rPr>
      </w:pPr>
      <w:r>
        <w:rPr>
          <w:rFonts w:hint="eastAsia" w:ascii="Times New Roman"/>
        </w:rPr>
        <w:t>GB 5009.11 食品安全国家标准 食品中总砷及无机砷的测定</w:t>
      </w:r>
    </w:p>
    <w:p>
      <w:pPr>
        <w:pStyle w:val="57"/>
        <w:ind w:firstLine="420"/>
        <w:rPr>
          <w:rFonts w:hint="eastAsia" w:ascii="Times New Roman"/>
          <w:color w:val="auto"/>
        </w:rPr>
      </w:pPr>
      <w:r>
        <w:rPr>
          <w:rFonts w:hint="eastAsia" w:ascii="Times New Roman"/>
        </w:rPr>
        <w:t>GB 5009.12 食品中铅的测定</w:t>
      </w:r>
    </w:p>
    <w:p>
      <w:pPr>
        <w:pStyle w:val="57"/>
        <w:ind w:firstLine="420"/>
        <w:rPr>
          <w:rFonts w:ascii="Times New Roman"/>
        </w:rPr>
      </w:pPr>
      <w:r>
        <w:rPr>
          <w:rFonts w:hint="eastAsia" w:ascii="Times New Roman"/>
        </w:rPr>
        <w:t>GB 5009.22 食品安全国家标准 食品中黄曲霉毒素B族和G族的测定</w:t>
      </w:r>
    </w:p>
    <w:p>
      <w:pPr>
        <w:pStyle w:val="57"/>
        <w:ind w:firstLine="420"/>
        <w:rPr>
          <w:rFonts w:hint="eastAsia" w:ascii="Times New Roman"/>
          <w:color w:val="auto"/>
          <w:lang w:val="en-US" w:eastAsia="zh-CN"/>
        </w:rPr>
      </w:pPr>
      <w:r>
        <w:rPr>
          <w:rFonts w:hint="eastAsia" w:ascii="Times New Roman"/>
        </w:rPr>
        <w:t>GB/T 5009.102 植物性食品中辛硫磷农药残留</w:t>
      </w:r>
      <w:r>
        <w:rPr>
          <w:rFonts w:hint="eastAsia" w:ascii="Times New Roman"/>
          <w:color w:val="auto"/>
          <w:lang w:val="en-US" w:eastAsia="zh-CN"/>
        </w:rPr>
        <w:t>量</w:t>
      </w:r>
      <w:r>
        <w:rPr>
          <w:rFonts w:hint="eastAsia" w:ascii="Times New Roman"/>
        </w:rPr>
        <w:t>的测定</w:t>
      </w:r>
    </w:p>
    <w:p>
      <w:pPr>
        <w:pStyle w:val="57"/>
        <w:ind w:firstLine="420"/>
        <w:rPr>
          <w:rFonts w:hint="eastAsia" w:ascii="Times New Roman"/>
          <w:color w:val="auto"/>
        </w:rPr>
      </w:pPr>
      <w:r>
        <w:rPr>
          <w:rFonts w:hint="eastAsia" w:ascii="Times New Roman"/>
          <w:color w:val="auto"/>
        </w:rPr>
        <w:t>GB 5009.82 食品安全国家标准 食品中维生素A、D、E的测定</w:t>
      </w:r>
    </w:p>
    <w:p>
      <w:pPr>
        <w:pStyle w:val="57"/>
        <w:ind w:firstLine="420"/>
        <w:rPr>
          <w:rFonts w:hint="eastAsia" w:ascii="Times New Roman"/>
          <w:color w:val="auto"/>
        </w:rPr>
      </w:pPr>
      <w:r>
        <w:rPr>
          <w:rFonts w:hint="eastAsia" w:ascii="Times New Roman"/>
          <w:color w:val="auto"/>
        </w:rPr>
        <w:t>GB 5749</w:t>
      </w:r>
      <w:r>
        <w:rPr>
          <w:rFonts w:hint="eastAsia" w:ascii="Times New Roman"/>
          <w:color w:val="auto"/>
          <w:lang w:val="en-US" w:eastAsia="zh-CN"/>
        </w:rPr>
        <w:t xml:space="preserve"> </w:t>
      </w:r>
      <w:r>
        <w:rPr>
          <w:rFonts w:hint="eastAsia" w:ascii="Times New Roman"/>
          <w:color w:val="auto"/>
        </w:rPr>
        <w:t>生活饮用水卫生标准</w:t>
      </w:r>
    </w:p>
    <w:p>
      <w:pPr>
        <w:pStyle w:val="57"/>
        <w:ind w:firstLine="420"/>
        <w:rPr>
          <w:rFonts w:hint="eastAsia" w:ascii="Times New Roman"/>
          <w:color w:val="auto"/>
        </w:rPr>
      </w:pPr>
      <w:r>
        <w:rPr>
          <w:rFonts w:hint="eastAsia" w:ascii="Times New Roman"/>
          <w:color w:val="auto"/>
        </w:rPr>
        <w:t>GB 7718</w:t>
      </w:r>
      <w:r>
        <w:rPr>
          <w:rFonts w:hint="eastAsia" w:ascii="Times New Roman"/>
          <w:color w:val="auto"/>
          <w:lang w:val="en-US" w:eastAsia="zh-CN"/>
        </w:rPr>
        <w:t xml:space="preserve"> </w:t>
      </w:r>
      <w:r>
        <w:rPr>
          <w:rFonts w:hint="eastAsia" w:ascii="Times New Roman"/>
          <w:color w:val="auto"/>
        </w:rPr>
        <w:t xml:space="preserve"> 食品安全国家标准 预包装食品标签通则</w:t>
      </w:r>
    </w:p>
    <w:p>
      <w:pPr>
        <w:pStyle w:val="57"/>
        <w:ind w:firstLine="420"/>
        <w:rPr>
          <w:rFonts w:hint="eastAsia" w:ascii="Times New Roman"/>
          <w:color w:val="auto"/>
        </w:rPr>
      </w:pPr>
      <w:r>
        <w:rPr>
          <w:rFonts w:hint="eastAsia" w:ascii="Times New Roman"/>
          <w:color w:val="auto"/>
        </w:rPr>
        <w:t>GB/T 14488.1-2008 植物油料 含油量测定</w:t>
      </w:r>
    </w:p>
    <w:p>
      <w:pPr>
        <w:pStyle w:val="57"/>
        <w:ind w:firstLine="420"/>
        <w:rPr>
          <w:rFonts w:hint="eastAsia" w:ascii="Times New Roman"/>
        </w:rPr>
      </w:pPr>
      <w:r>
        <w:rPr>
          <w:rFonts w:hint="eastAsia" w:ascii="Times New Roman"/>
          <w:lang w:val="en-US" w:eastAsia="zh-CN"/>
        </w:rPr>
        <w:t>国家质量监督检验检疫总局[2005]第75号</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p>
    <w:p>
      <w:pPr>
        <w:pStyle w:val="224"/>
        <w:numPr>
          <w:ilvl w:val="2"/>
          <w:numId w:val="0"/>
        </w:numPr>
        <w:spacing w:before="120" w:beforeLines="50" w:after="120" w:afterLines="50" w:line="276" w:lineRule="auto"/>
        <w:ind w:leftChars="-198" w:firstLine="840" w:firstLineChars="400"/>
        <w:rPr>
          <w:rFonts w:ascii="黑体" w:hAnsi="黑体" w:eastAsia="黑体"/>
        </w:rPr>
      </w:pPr>
      <w:r>
        <w:rPr>
          <w:rFonts w:hint="eastAsia" w:ascii="黑体" w:hAnsi="黑体" w:eastAsia="黑体"/>
          <w:lang w:val="en-US" w:eastAsia="zh-CN"/>
        </w:rPr>
        <w:t>行唐核桃</w:t>
      </w:r>
      <w:r>
        <w:rPr>
          <w:rFonts w:ascii="黑体" w:hAnsi="黑体" w:eastAsia="黑体"/>
        </w:rPr>
        <w:t xml:space="preserve"> </w:t>
      </w:r>
      <w:r>
        <w:rPr>
          <w:rFonts w:hint="eastAsia" w:ascii="黑体" w:hAnsi="黑体" w:eastAsia="黑体"/>
          <w:lang w:val="en-US" w:eastAsia="zh-CN"/>
        </w:rPr>
        <w:t>Xingtang Walnut</w:t>
      </w:r>
    </w:p>
    <w:p>
      <w:pPr>
        <w:pStyle w:val="13"/>
        <w:spacing w:line="276" w:lineRule="auto"/>
        <w:ind w:left="138" w:right="275" w:firstLine="288"/>
        <w:rPr>
          <w:rFonts w:hint="default"/>
          <w:color w:val="auto"/>
          <w:spacing w:val="-6"/>
          <w:lang w:val="en-US" w:eastAsia="zh-CN"/>
        </w:rPr>
      </w:pPr>
      <w:r>
        <w:rPr>
          <w:rFonts w:hint="eastAsia"/>
          <w:color w:val="auto"/>
          <w:spacing w:val="-6"/>
          <w:lang w:val="en-US" w:eastAsia="zh-CN"/>
        </w:rPr>
        <w:t>由国家知识产权局2023年第1848期《商标公告》，第65096317号核准的地域保护范围内生产并使用“行唐核桃”地理标志证明商标的核桃产品。</w:t>
      </w:r>
    </w:p>
    <w:p>
      <w:pPr>
        <w:pStyle w:val="224"/>
        <w:spacing w:before="120" w:beforeLines="50" w:after="120" w:afterLines="50" w:line="276" w:lineRule="auto"/>
        <w:ind w:left="424" w:leftChars="2" w:hanging="420" w:hangingChars="200"/>
        <w:rPr>
          <w:rFonts w:ascii="黑体" w:hAnsi="黑体" w:eastAsia="黑体"/>
        </w:rPr>
      </w:pPr>
    </w:p>
    <w:p>
      <w:pPr>
        <w:pStyle w:val="224"/>
        <w:numPr>
          <w:ilvl w:val="2"/>
          <w:numId w:val="0"/>
        </w:numPr>
        <w:spacing w:before="120" w:beforeLines="50" w:after="120" w:afterLines="50" w:line="276" w:lineRule="auto"/>
        <w:ind w:leftChars="-198" w:firstLine="840" w:firstLineChars="400"/>
        <w:rPr>
          <w:rFonts w:ascii="黑体" w:hAnsi="黑体" w:eastAsia="黑体"/>
        </w:rPr>
      </w:pPr>
      <w:r>
        <w:rPr>
          <w:rFonts w:hint="eastAsia" w:ascii="黑体" w:hAnsi="黑体" w:eastAsia="黑体"/>
          <w:lang w:val="en-US" w:eastAsia="zh-CN"/>
        </w:rPr>
        <w:t>出仁率 kernel percentage</w:t>
      </w:r>
    </w:p>
    <w:p>
      <w:pPr>
        <w:pStyle w:val="13"/>
        <w:spacing w:line="276" w:lineRule="auto"/>
        <w:ind w:left="138" w:right="275" w:firstLine="288"/>
        <w:rPr>
          <w:rFonts w:hint="eastAsia"/>
          <w:spacing w:val="-6"/>
          <w:lang w:val="en-US" w:eastAsia="zh-CN"/>
        </w:rPr>
      </w:pPr>
      <w:r>
        <w:rPr>
          <w:rFonts w:hint="eastAsia"/>
          <w:spacing w:val="-6"/>
          <w:lang w:val="en-US" w:eastAsia="zh-CN"/>
        </w:rPr>
        <w:t>核仁重占核桃坚果重的比率。</w:t>
      </w:r>
    </w:p>
    <w:p>
      <w:pPr>
        <w:pStyle w:val="105"/>
        <w:spacing w:before="240" w:after="240"/>
        <w:rPr>
          <w:rFonts w:ascii="Times New Roman"/>
        </w:rPr>
      </w:pPr>
      <w:r>
        <w:rPr>
          <w:rFonts w:hint="eastAsia" w:ascii="Times New Roman"/>
          <w:lang w:val="en-US" w:eastAsia="zh-CN"/>
        </w:rPr>
        <w:t>地理标志产品保护范围</w:t>
      </w:r>
    </w:p>
    <w:p>
      <w:pPr>
        <w:pStyle w:val="13"/>
        <w:spacing w:line="276" w:lineRule="auto"/>
        <w:ind w:left="138" w:right="275" w:firstLine="420"/>
        <w:rPr>
          <w:rFonts w:hint="eastAsia" w:ascii="宋体" w:hAnsi="宋体" w:cs="微软雅黑"/>
          <w:lang w:val="en-US" w:eastAsia="zh-CN"/>
        </w:rPr>
      </w:pPr>
      <w:r>
        <w:rPr>
          <w:rFonts w:hint="eastAsia" w:ascii="宋体" w:hAnsi="宋体" w:cs="微软雅黑"/>
          <w:lang w:val="en-US" w:eastAsia="zh-CN"/>
        </w:rPr>
        <w:t>“行唐核桃”地理标志证明商标商品的生产地域范围:东经114°09′56″</w:t>
      </w:r>
      <w:r>
        <w:rPr>
          <w:rFonts w:ascii="Times New Roman" w:hAnsi="Times New Roman"/>
        </w:rPr>
        <w:t>～</w:t>
      </w:r>
      <w:r>
        <w:rPr>
          <w:rFonts w:hint="eastAsia" w:ascii="宋体" w:hAnsi="宋体" w:cs="微软雅黑"/>
          <w:lang w:val="en-US" w:eastAsia="zh-CN"/>
        </w:rPr>
        <w:t>114°41′52″北纬 38°20′34″</w:t>
      </w:r>
      <w:r>
        <w:rPr>
          <w:rFonts w:ascii="Times New Roman" w:hAnsi="Times New Roman"/>
        </w:rPr>
        <w:t>～</w:t>
      </w:r>
      <w:r>
        <w:rPr>
          <w:rFonts w:hint="eastAsia" w:ascii="宋体" w:hAnsi="宋体" w:cs="微软雅黑"/>
          <w:lang w:val="en-US" w:eastAsia="zh-CN"/>
        </w:rPr>
        <w:t>38°42′39″，分布在行唐县所辖龙州镇、南桥镇、上碑镇、口头镇、上方镇、独羊岗乡、安香乡、只里乡、市同乡、翟营乡、城寨乡、玉亭乡、北河乡、上阎庄乡、九口子乡境内。见附录A。</w:t>
      </w:r>
    </w:p>
    <w:p>
      <w:pPr>
        <w:pStyle w:val="105"/>
        <w:bidi w:val="0"/>
        <w:ind w:left="0" w:leftChars="0" w:firstLine="0" w:firstLineChars="0"/>
      </w:pPr>
      <w:r>
        <w:rPr>
          <w:rFonts w:hint="eastAsia"/>
          <w:lang w:val="en-US" w:eastAsia="zh-CN"/>
        </w:rPr>
        <w:t>园地选择</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产地环境</w:t>
      </w:r>
    </w:p>
    <w:p>
      <w:pPr>
        <w:pStyle w:val="57"/>
        <w:rPr>
          <w:rFonts w:hint="default" w:ascii="Times New Roman" w:hAnsi="Times New Roman" w:cs="Times New Roman"/>
          <w:lang w:val="en-US" w:eastAsia="zh-CN"/>
        </w:rPr>
      </w:pPr>
      <w:r>
        <w:rPr>
          <w:rFonts w:hint="default" w:ascii="Times New Roman" w:hAnsi="Times New Roman" w:cs="Times New Roman"/>
          <w:spacing w:val="-6"/>
          <w:lang w:val="en-US" w:eastAsia="zh-CN"/>
        </w:rPr>
        <w:t>应符合 NY/T 391的规定。</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土壤条件</w:t>
      </w:r>
    </w:p>
    <w:p>
      <w:pPr>
        <w:pStyle w:val="57"/>
        <w:rPr>
          <w:rFonts w:hint="default" w:ascii="Times New Roman" w:hAnsi="Times New Roman" w:cs="Times New Roman"/>
          <w:lang w:val="en-US" w:eastAsia="zh-CN"/>
        </w:rPr>
      </w:pPr>
      <w:r>
        <w:rPr>
          <w:rFonts w:hint="default" w:ascii="Times New Roman" w:hAnsi="Times New Roman" w:cs="Times New Roman"/>
          <w:spacing w:val="-6"/>
          <w:lang w:val="en-US" w:eastAsia="zh-CN"/>
        </w:rPr>
        <w:t>土壤应以砂质壤土为主，土壤透气、透水性好，pH 在 7.0</w:t>
      </w:r>
      <w:r>
        <w:rPr>
          <w:rFonts w:hint="default" w:ascii="Times New Roman" w:hAnsi="Times New Roman" w:cs="Times New Roman"/>
        </w:rPr>
        <w:t>～</w:t>
      </w:r>
      <w:r>
        <w:rPr>
          <w:rFonts w:hint="default" w:ascii="Times New Roman" w:hAnsi="Times New Roman" w:cs="Times New Roman"/>
          <w:spacing w:val="-6"/>
          <w:lang w:val="en-US" w:eastAsia="zh-CN"/>
        </w:rPr>
        <w:t>7.5，土壤中腐殖质含量宜在 21 %</w:t>
      </w:r>
      <w:r>
        <w:rPr>
          <w:rFonts w:hint="default" w:ascii="Times New Roman" w:hAnsi="Times New Roman" w:cs="Times New Roman"/>
        </w:rPr>
        <w:t>～</w:t>
      </w:r>
      <w:r>
        <w:rPr>
          <w:rFonts w:hint="default" w:ascii="Times New Roman" w:hAnsi="Times New Roman" w:cs="Times New Roman"/>
          <w:spacing w:val="-6"/>
          <w:lang w:val="en-US" w:eastAsia="zh-CN"/>
        </w:rPr>
        <w:t>26 %，全氮含量宜在 0.95 %</w:t>
      </w:r>
      <w:r>
        <w:rPr>
          <w:rFonts w:hint="default" w:ascii="Times New Roman" w:hAnsi="Times New Roman" w:cs="Times New Roman"/>
        </w:rPr>
        <w:t>～</w:t>
      </w:r>
      <w:r>
        <w:rPr>
          <w:rFonts w:hint="default" w:ascii="Times New Roman" w:hAnsi="Times New Roman" w:cs="Times New Roman"/>
          <w:spacing w:val="-6"/>
          <w:lang w:val="en-US" w:eastAsia="zh-CN"/>
        </w:rPr>
        <w:t>1.80 %，速效钾含量宜在 7</w:t>
      </w:r>
      <w:r>
        <w:rPr>
          <w:rFonts w:hint="default" w:ascii="Times New Roman" w:hAnsi="Times New Roman" w:cs="Times New Roman"/>
          <w:color w:val="auto"/>
          <w:spacing w:val="-6"/>
          <w:lang w:val="en-US" w:eastAsia="zh-CN"/>
        </w:rPr>
        <w:t>5 mg/kg</w:t>
      </w:r>
      <w:r>
        <w:rPr>
          <w:rFonts w:hint="default" w:ascii="Times New Roman" w:hAnsi="Times New Roman" w:cs="Times New Roman"/>
        </w:rPr>
        <w:t>～</w:t>
      </w:r>
      <w:r>
        <w:rPr>
          <w:rFonts w:hint="default" w:ascii="Times New Roman" w:hAnsi="Times New Roman" w:cs="Times New Roman"/>
          <w:spacing w:val="-6"/>
          <w:lang w:val="en-US" w:eastAsia="zh-CN"/>
        </w:rPr>
        <w:t>95 mg/kg。</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气候条件</w:t>
      </w:r>
    </w:p>
    <w:p>
      <w:pPr>
        <w:pStyle w:val="57"/>
        <w:rPr>
          <w:rFonts w:hint="default" w:ascii="Times New Roman" w:hAnsi="Times New Roman" w:cs="Times New Roman"/>
          <w:spacing w:val="-6"/>
          <w:lang w:val="en-US" w:eastAsia="zh-CN"/>
        </w:rPr>
      </w:pPr>
      <w:r>
        <w:rPr>
          <w:rFonts w:hint="eastAsia" w:ascii="Times New Roman" w:cs="Times New Roman"/>
          <w:spacing w:val="-6"/>
          <w:lang w:val="en-US" w:eastAsia="zh-CN"/>
        </w:rPr>
        <w:t>年</w:t>
      </w:r>
      <w:r>
        <w:rPr>
          <w:rFonts w:hint="default" w:ascii="Times New Roman" w:hAnsi="Times New Roman" w:cs="Times New Roman"/>
          <w:spacing w:val="-6"/>
          <w:lang w:val="en-US" w:eastAsia="zh-CN"/>
        </w:rPr>
        <w:t>平均温度应</w:t>
      </w:r>
      <w:r>
        <w:rPr>
          <w:rFonts w:hint="eastAsia" w:ascii="Times New Roman" w:cs="Times New Roman"/>
          <w:spacing w:val="-6"/>
          <w:lang w:val="en-US" w:eastAsia="zh-CN"/>
        </w:rPr>
        <w:t>≥</w:t>
      </w:r>
      <w:r>
        <w:rPr>
          <w:rFonts w:hint="default" w:ascii="Times New Roman" w:hAnsi="Times New Roman" w:cs="Times New Roman"/>
          <w:spacing w:val="-6"/>
          <w:lang w:val="en-US" w:eastAsia="zh-CN"/>
        </w:rPr>
        <w:t xml:space="preserve"> 26 ℃以上，年均日照时数宜在 1916.4 h</w:t>
      </w:r>
      <w:r>
        <w:rPr>
          <w:rFonts w:hint="default" w:ascii="Times New Roman" w:hAnsi="Times New Roman" w:cs="Times New Roman"/>
        </w:rPr>
        <w:t>～</w:t>
      </w:r>
      <w:r>
        <w:rPr>
          <w:rFonts w:hint="default" w:ascii="Times New Roman" w:hAnsi="Times New Roman" w:cs="Times New Roman"/>
          <w:spacing w:val="-6"/>
          <w:lang w:val="en-US" w:eastAsia="zh-CN"/>
        </w:rPr>
        <w:t>2571.2 h，年平均降水</w:t>
      </w:r>
      <w:r>
        <w:rPr>
          <w:rFonts w:hint="eastAsia" w:ascii="Times New Roman" w:cs="Times New Roman"/>
          <w:spacing w:val="-6"/>
          <w:lang w:val="en-US" w:eastAsia="zh-CN"/>
        </w:rPr>
        <w:t>宜在</w:t>
      </w:r>
      <w:r>
        <w:rPr>
          <w:rFonts w:hint="default" w:ascii="Times New Roman" w:hAnsi="Times New Roman" w:cs="Times New Roman"/>
          <w:spacing w:val="-6"/>
          <w:lang w:val="en-US" w:eastAsia="zh-CN"/>
        </w:rPr>
        <w:t xml:space="preserve"> </w:t>
      </w:r>
      <w:r>
        <w:rPr>
          <w:rFonts w:hint="eastAsia" w:ascii="Times New Roman" w:cs="Times New Roman"/>
          <w:spacing w:val="-6"/>
          <w:lang w:val="en-US" w:eastAsia="zh-CN"/>
        </w:rPr>
        <w:t>3</w:t>
      </w:r>
      <w:r>
        <w:rPr>
          <w:rFonts w:hint="default" w:ascii="Times New Roman" w:hAnsi="Times New Roman" w:cs="Times New Roman"/>
          <w:spacing w:val="-6"/>
          <w:lang w:val="en-US" w:eastAsia="zh-CN"/>
        </w:rPr>
        <w:t>50.4</w:t>
      </w:r>
      <w:r>
        <w:rPr>
          <w:rFonts w:hint="eastAsia" w:ascii="Times New Roman" w:cs="Times New Roman"/>
          <w:spacing w:val="-6"/>
          <w:lang w:val="en-US" w:eastAsia="zh-CN"/>
        </w:rPr>
        <w:t xml:space="preserve"> </w:t>
      </w:r>
      <w:r>
        <w:rPr>
          <w:rFonts w:hint="default" w:ascii="Times New Roman" w:hAnsi="Times New Roman" w:cs="Times New Roman"/>
          <w:spacing w:val="-6"/>
          <w:lang w:val="en-US" w:eastAsia="zh-CN"/>
        </w:rPr>
        <w:t>mm</w:t>
      </w:r>
      <w:r>
        <w:rPr>
          <w:rFonts w:hint="default" w:ascii="Times New Roman" w:hAnsi="Times New Roman" w:cs="Times New Roman"/>
        </w:rPr>
        <w:t>～</w:t>
      </w:r>
      <w:r>
        <w:rPr>
          <w:rFonts w:hint="eastAsia" w:ascii="Times New Roman" w:cs="Times New Roman"/>
          <w:lang w:val="en-US" w:eastAsia="zh-CN"/>
        </w:rPr>
        <w:t>450</w:t>
      </w:r>
      <w:r>
        <w:rPr>
          <w:rFonts w:hint="default" w:ascii="Times New Roman" w:hAnsi="Times New Roman" w:cs="Times New Roman"/>
          <w:spacing w:val="-6"/>
          <w:lang w:val="en-US" w:eastAsia="zh-CN"/>
        </w:rPr>
        <w:t xml:space="preserve"> mm。</w:t>
      </w:r>
    </w:p>
    <w:p>
      <w:pPr>
        <w:pStyle w:val="105"/>
        <w:bidi w:val="0"/>
        <w:ind w:left="0" w:leftChars="0" w:firstLine="0" w:firstLineChars="0"/>
      </w:pPr>
      <w:r>
        <w:rPr>
          <w:rFonts w:hint="eastAsia"/>
          <w:lang w:val="en-US" w:eastAsia="zh-CN"/>
        </w:rPr>
        <w:t>加工</w:t>
      </w:r>
    </w:p>
    <w:p>
      <w:pPr>
        <w:pStyle w:val="106"/>
        <w:spacing w:before="120" w:after="120"/>
        <w:rPr>
          <w:rFonts w:hint="eastAsia"/>
          <w:spacing w:val="-6"/>
          <w:lang w:val="en-US" w:eastAsia="zh-CN"/>
        </w:rPr>
      </w:pPr>
      <w:r>
        <w:rPr>
          <w:rFonts w:hint="eastAsia"/>
          <w:spacing w:val="-6"/>
          <w:lang w:val="en-US" w:eastAsia="zh-CN"/>
        </w:rPr>
        <w:t>去青皮</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青皮核桃禁止日晒，应将核桃堆放在阴凉处或室内。</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堆积高度宜在 30 cm～50 cm，上盖核桃叶或青草。</w:t>
      </w:r>
    </w:p>
    <w:p>
      <w:pPr>
        <w:pStyle w:val="66"/>
        <w:spacing w:before="120" w:after="120"/>
        <w:rPr>
          <w:rFonts w:hint="eastAsia" w:hAnsi="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经 3～5 d，青皮离壳时，手工剥去或用刀刻去青皮。</w:t>
      </w:r>
    </w:p>
    <w:p>
      <w:pPr>
        <w:pStyle w:val="106"/>
        <w:spacing w:before="120" w:after="120"/>
        <w:rPr>
          <w:rFonts w:hint="eastAsia"/>
          <w:spacing w:val="-6"/>
          <w:highlight w:val="none"/>
          <w:lang w:val="en-US" w:eastAsia="zh-CN"/>
        </w:rPr>
      </w:pPr>
      <w:r>
        <w:rPr>
          <w:rFonts w:hint="eastAsia"/>
          <w:spacing w:val="-6"/>
          <w:highlight w:val="none"/>
          <w:lang w:val="en-US" w:eastAsia="zh-CN"/>
        </w:rPr>
        <w:t>漂洗</w:t>
      </w:r>
    </w:p>
    <w:p>
      <w:pPr>
        <w:pStyle w:val="66"/>
        <w:spacing w:before="120" w:after="120"/>
        <w:rPr>
          <w:rFonts w:hint="eastAsia" w:ascii="宋体" w:hAnsi="宋体" w:eastAsia="宋体" w:cs="微软雅黑"/>
          <w:color w:val="auto"/>
          <w:kern w:val="2"/>
          <w:sz w:val="21"/>
          <w:szCs w:val="21"/>
          <w:highlight w:val="none"/>
          <w:lang w:val="en-US" w:eastAsia="zh-CN" w:bidi="ar-SA"/>
        </w:rPr>
      </w:pPr>
      <w:r>
        <w:rPr>
          <w:rFonts w:hint="eastAsia" w:ascii="宋体" w:hAnsi="宋体" w:eastAsia="宋体" w:cs="微软雅黑"/>
          <w:color w:val="auto"/>
          <w:kern w:val="2"/>
          <w:sz w:val="21"/>
          <w:szCs w:val="21"/>
          <w:highlight w:val="none"/>
          <w:lang w:val="en-US" w:eastAsia="zh-CN" w:bidi="ar-SA"/>
        </w:rPr>
        <w:t>应将核桃装在筐里，再放进水里，宜用竹扫帚搅洗，每次 5 min，洗 2～3 批换一次清水，清洗用水应符合 GB 5749 的规定。</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highlight w:val="none"/>
          <w:lang w:val="en-US" w:eastAsia="zh-CN" w:bidi="ar-SA"/>
        </w:rPr>
        <w:t>宜用1 kg漂白粉加温水 6～8 L，溶化后滤去渣，再加入60～80 L清水</w:t>
      </w:r>
      <w:r>
        <w:rPr>
          <w:rFonts w:hint="eastAsia" w:ascii="宋体" w:hAnsi="宋体" w:eastAsia="宋体" w:cs="微软雅黑"/>
          <w:color w:val="auto"/>
          <w:kern w:val="2"/>
          <w:sz w:val="21"/>
          <w:szCs w:val="21"/>
          <w:lang w:val="en-US" w:eastAsia="zh-CN" w:bidi="ar-SA"/>
        </w:rPr>
        <w:t>稀释成漂白液，漂白粉应符合 HG/T 2496 的规定。</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漂白过程应在缸里进行，不得用铁桶以防核桃壳面变为青绿色。</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核桃放入漂白液后，应不断搅拌，当外壳由青红色变为黄白色时捞出，应用清水反复冲洗去除残存漂白粉的白色斑点，至外壳浅白色为止。</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每次漂洗量应≤80 kg核桃，漂白时间应在 8 min～10 min。</w:t>
      </w:r>
    </w:p>
    <w:p>
      <w:pPr>
        <w:pStyle w:val="66"/>
        <w:spacing w:before="120" w:after="12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核桃捞出后，应在漂白液中再加入 0.5 kg漂白粉，重复漂洗 7～8 次。</w:t>
      </w:r>
    </w:p>
    <w:p>
      <w:pPr>
        <w:pStyle w:val="66"/>
        <w:numPr>
          <w:ilvl w:val="3"/>
          <w:numId w:val="0"/>
        </w:numPr>
        <w:spacing w:before="120" w:after="120"/>
        <w:ind w:leftChars="0"/>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核桃漂白后应阴凉至大部分水分蒸发后再摊晒。也可采取 40～50 ℃温度烘干。种仁应晒至皮色</w:t>
      </w:r>
      <w:r>
        <w:rPr>
          <w:rFonts w:hint="eastAsia" w:ascii="宋体" w:hAnsi="宋体" w:eastAsia="宋体" w:cs="微软雅黑"/>
          <w:strike w:val="0"/>
          <w:dstrike w:val="0"/>
          <w:color w:val="auto"/>
          <w:kern w:val="2"/>
          <w:sz w:val="21"/>
          <w:szCs w:val="21"/>
          <w:lang w:val="en-US" w:eastAsia="zh-CN" w:bidi="ar-SA"/>
        </w:rPr>
        <w:t>为</w:t>
      </w:r>
      <w:r>
        <w:rPr>
          <w:rFonts w:hint="eastAsia" w:ascii="宋体" w:hAnsi="宋体" w:eastAsia="宋体" w:cs="微软雅黑"/>
          <w:color w:val="auto"/>
          <w:kern w:val="2"/>
          <w:sz w:val="21"/>
          <w:szCs w:val="21"/>
          <w:lang w:val="en-US" w:eastAsia="zh-CN" w:bidi="ar-SA"/>
        </w:rPr>
        <w:t>淡黄褐色，横隔膜易折断，含水量≤ 8.0 %。</w:t>
      </w:r>
    </w:p>
    <w:p>
      <w:pPr>
        <w:pStyle w:val="66"/>
        <w:spacing w:before="120" w:after="120"/>
        <w:rPr>
          <w:rFonts w:hint="eastAsia"/>
          <w:lang w:val="en-US" w:eastAsia="zh-CN"/>
        </w:rPr>
      </w:pPr>
      <w:r>
        <w:rPr>
          <w:rFonts w:hint="eastAsia" w:ascii="宋体" w:hAnsi="宋体" w:eastAsia="宋体" w:cs="微软雅黑"/>
          <w:color w:val="auto"/>
          <w:kern w:val="2"/>
          <w:sz w:val="21"/>
          <w:szCs w:val="21"/>
          <w:lang w:val="en-US" w:eastAsia="zh-CN" w:bidi="ar-SA"/>
        </w:rPr>
        <w:t>晒干后的核桃应放在通风、干燥的室内贮存。</w:t>
      </w:r>
    </w:p>
    <w:p>
      <w:pPr>
        <w:pStyle w:val="105"/>
        <w:bidi w:val="0"/>
        <w:ind w:left="0" w:leftChars="0" w:firstLine="0" w:firstLineChars="0"/>
        <w:rPr>
          <w:rFonts w:hint="default"/>
          <w:spacing w:val="-6"/>
          <w:lang w:val="en-US" w:eastAsia="zh-CN"/>
        </w:rPr>
      </w:pPr>
      <w:r>
        <w:rPr>
          <w:rFonts w:hint="eastAsia"/>
          <w:spacing w:val="-6"/>
          <w:lang w:val="en-US" w:eastAsia="zh-CN"/>
        </w:rPr>
        <w:t>要求</w:t>
      </w:r>
    </w:p>
    <w:p>
      <w:pPr>
        <w:pStyle w:val="106"/>
        <w:spacing w:before="240" w:beforeLines="100" w:after="240" w:afterLines="100"/>
        <w:rPr>
          <w:rFonts w:ascii="Times New Roman"/>
        </w:rPr>
      </w:pPr>
      <w:r>
        <w:rPr>
          <w:rFonts w:hint="eastAsia" w:ascii="Times New Roman"/>
          <w:lang w:val="en-US" w:eastAsia="zh-CN"/>
        </w:rPr>
        <w:t>品种</w:t>
      </w:r>
    </w:p>
    <w:p>
      <w:pPr>
        <w:pStyle w:val="57"/>
        <w:rPr>
          <w:rFonts w:hint="default"/>
          <w:color w:val="FF0000"/>
          <w:lang w:val="en-US" w:eastAsia="zh-CN"/>
        </w:rPr>
      </w:pPr>
      <w:r>
        <w:rPr>
          <w:rFonts w:hint="eastAsia" w:ascii="Times New Roman" w:cs="Times New Roman"/>
          <w:lang w:val="en-US" w:eastAsia="zh-CN"/>
        </w:rPr>
        <w:t>适合当地种植的核桃品种。</w:t>
      </w:r>
    </w:p>
    <w:p>
      <w:pPr>
        <w:pStyle w:val="106"/>
        <w:spacing w:before="240" w:beforeLines="100" w:after="240" w:afterLines="100"/>
        <w:rPr>
          <w:rFonts w:ascii="Times New Roman"/>
        </w:rPr>
      </w:pPr>
      <w:r>
        <w:rPr>
          <w:rFonts w:hint="eastAsia" w:ascii="Times New Roman"/>
          <w:lang w:val="en-US" w:eastAsia="zh-CN"/>
        </w:rPr>
        <w:t>基本要求</w:t>
      </w:r>
    </w:p>
    <w:p>
      <w:pPr>
        <w:pStyle w:val="57"/>
        <w:ind w:firstLine="420"/>
        <w:rPr>
          <w:rFonts w:hint="default" w:ascii="Times New Roman" w:hAnsi="Times New Roman" w:cs="Times New Roman"/>
        </w:rPr>
      </w:pPr>
      <w:r>
        <w:rPr>
          <w:rFonts w:hint="default" w:ascii="Times New Roman" w:hAnsi="Times New Roman" w:cs="Times New Roman"/>
        </w:rPr>
        <w:t>坚果充分成熟，壳面洁净，缝合线紧密，</w:t>
      </w:r>
      <w:r>
        <w:rPr>
          <w:rFonts w:hint="default" w:ascii="Times New Roman" w:hAnsi="Times New Roman" w:cs="Times New Roman"/>
          <w:lang w:val="en-US" w:eastAsia="zh-CN"/>
        </w:rPr>
        <w:t>无</w:t>
      </w:r>
      <w:r>
        <w:rPr>
          <w:rFonts w:hint="default" w:ascii="Times New Roman" w:hAnsi="Times New Roman" w:cs="Times New Roman"/>
        </w:rPr>
        <w:t>露仁、</w:t>
      </w:r>
      <w:r>
        <w:rPr>
          <w:rFonts w:hint="default" w:ascii="Times New Roman" w:hAnsi="Times New Roman" w:cs="Times New Roman"/>
          <w:lang w:val="en-US" w:eastAsia="zh-CN"/>
        </w:rPr>
        <w:t>虫蛀</w:t>
      </w:r>
      <w:r>
        <w:rPr>
          <w:rFonts w:hint="default" w:ascii="Times New Roman" w:hAnsi="Times New Roman" w:cs="Times New Roman"/>
        </w:rPr>
        <w:t>、出油、</w:t>
      </w:r>
      <w:r>
        <w:rPr>
          <w:rFonts w:hint="default" w:ascii="Times New Roman" w:hAnsi="Times New Roman" w:cs="Times New Roman"/>
          <w:lang w:val="en-US" w:eastAsia="zh-CN"/>
        </w:rPr>
        <w:t>霉变</w:t>
      </w:r>
      <w:r>
        <w:rPr>
          <w:rFonts w:hint="default" w:ascii="Times New Roman" w:hAnsi="Times New Roman" w:cs="Times New Roman"/>
        </w:rPr>
        <w:t>、异味等果，无杂质</w:t>
      </w:r>
      <w:r>
        <w:rPr>
          <w:rFonts w:hint="default" w:ascii="Times New Roman" w:hAnsi="Times New Roman" w:cs="Times New Roman"/>
          <w:lang w:eastAsia="zh-CN"/>
        </w:rPr>
        <w:t>，</w:t>
      </w:r>
      <w:r>
        <w:rPr>
          <w:rFonts w:hint="default" w:ascii="Times New Roman" w:hAnsi="Times New Roman" w:cs="Times New Roman"/>
        </w:rPr>
        <w:t>坚果含水量≤</w:t>
      </w:r>
      <w:r>
        <w:rPr>
          <w:rFonts w:hint="default" w:ascii="Times New Roman" w:hAnsi="Times New Roman" w:cs="Times New Roman"/>
          <w:lang w:val="en-US" w:eastAsia="zh-CN"/>
        </w:rPr>
        <w:t xml:space="preserve"> </w:t>
      </w:r>
      <w:r>
        <w:rPr>
          <w:rFonts w:hint="default" w:ascii="Times New Roman" w:hAnsi="Times New Roman" w:cs="Times New Roman"/>
        </w:rPr>
        <w:t>8.0</w:t>
      </w:r>
      <w:r>
        <w:rPr>
          <w:rFonts w:hint="default" w:ascii="Times New Roman" w:hAnsi="Times New Roman" w:cs="Times New Roman"/>
          <w:lang w:val="en-US" w:eastAsia="zh-CN"/>
        </w:rPr>
        <w:t xml:space="preserve"> </w:t>
      </w:r>
      <w:r>
        <w:rPr>
          <w:rFonts w:hint="default" w:ascii="Times New Roman" w:hAnsi="Times New Roman" w:cs="Times New Roman"/>
        </w:rPr>
        <w:t>%。</w:t>
      </w:r>
    </w:p>
    <w:p>
      <w:pPr>
        <w:pStyle w:val="106"/>
        <w:spacing w:before="240" w:beforeLines="100" w:after="240" w:afterLines="100"/>
        <w:rPr>
          <w:rFonts w:ascii="Times New Roman"/>
        </w:rPr>
      </w:pPr>
      <w:r>
        <w:rPr>
          <w:rFonts w:hint="eastAsia" w:ascii="Times New Roman"/>
          <w:lang w:val="en-US" w:eastAsia="zh-CN"/>
        </w:rPr>
        <w:t>等级划分</w:t>
      </w:r>
    </w:p>
    <w:p>
      <w:pPr>
        <w:pStyle w:val="57"/>
        <w:ind w:firstLine="420"/>
        <w:rPr>
          <w:rFonts w:hint="default"/>
          <w:lang w:val="en-US" w:eastAsia="zh-CN"/>
        </w:rPr>
      </w:pPr>
      <w:r>
        <w:rPr>
          <w:rFonts w:hint="eastAsia" w:ascii="Times New Roman" w:hAnsi="Times New Roman" w:eastAsia="Times New Roman" w:cs="Times New Roman"/>
          <w:spacing w:val="-3"/>
          <w:sz w:val="21"/>
          <w:szCs w:val="21"/>
          <w:lang w:val="en-US" w:eastAsia="zh-CN" w:bidi="zh-CN"/>
        </w:rPr>
        <w:t>分为特级果、一级果和二级果。</w:t>
      </w:r>
    </w:p>
    <w:p>
      <w:pPr>
        <w:pStyle w:val="106"/>
        <w:spacing w:before="120" w:after="120"/>
        <w:rPr>
          <w:rFonts w:ascii="Times New Roman"/>
          <w:color w:val="auto"/>
        </w:rPr>
      </w:pPr>
      <w:r>
        <w:rPr>
          <w:rFonts w:hint="eastAsia" w:ascii="Times New Roman"/>
          <w:color w:val="auto"/>
          <w:lang w:val="en-US" w:eastAsia="zh-CN"/>
        </w:rPr>
        <w:t>感官品质要求</w:t>
      </w:r>
    </w:p>
    <w:p>
      <w:pPr>
        <w:pStyle w:val="57"/>
        <w:rPr>
          <w:color w:val="auto"/>
        </w:rPr>
      </w:pPr>
      <w:r>
        <w:rPr>
          <w:rFonts w:hint="eastAsia" w:ascii="Times New Roman"/>
          <w:color w:val="auto"/>
          <w:lang w:val="en-US" w:eastAsia="zh-CN"/>
        </w:rPr>
        <w:t>感官品质特征应符合表1规定。</w:t>
      </w:r>
    </w:p>
    <w:p>
      <w:pPr>
        <w:pStyle w:val="113"/>
        <w:spacing w:before="120" w:after="120"/>
        <w:rPr>
          <w:rFonts w:cs="宋体"/>
          <w:color w:val="auto"/>
        </w:rPr>
      </w:pPr>
      <w:r>
        <w:rPr>
          <w:rFonts w:hint="eastAsia"/>
          <w:color w:val="auto"/>
        </w:rPr>
        <w:t>感官</w:t>
      </w:r>
      <w:r>
        <w:rPr>
          <w:rFonts w:hint="eastAsia"/>
          <w:color w:val="auto"/>
          <w:lang w:val="en-US" w:eastAsia="zh-CN"/>
        </w:rPr>
        <w:t>品质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Merge w:val="restart"/>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w:t>
            </w:r>
          </w:p>
        </w:tc>
        <w:tc>
          <w:tcPr>
            <w:tcW w:w="6392" w:type="dxa"/>
            <w:gridSpan w:val="3"/>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Merge w:val="continue"/>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p>
        </w:tc>
        <w:tc>
          <w:tcPr>
            <w:tcW w:w="213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特级果</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一级果</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二级果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基本要求</w:t>
            </w:r>
          </w:p>
        </w:tc>
        <w:tc>
          <w:tcPr>
            <w:tcW w:w="6392" w:type="dxa"/>
            <w:gridSpan w:val="3"/>
            <w:vAlign w:val="center"/>
          </w:tcPr>
          <w:p>
            <w:pPr>
              <w:pStyle w:val="57"/>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坚果充分成熟，壳面洁净，缝合线紧密，</w:t>
            </w:r>
            <w:r>
              <w:rPr>
                <w:rFonts w:hint="default" w:ascii="Times New Roman" w:hAnsi="Times New Roman" w:eastAsia="宋体" w:cs="Times New Roman"/>
                <w:sz w:val="18"/>
                <w:szCs w:val="18"/>
                <w:lang w:val="en-US" w:eastAsia="zh-CN"/>
              </w:rPr>
              <w:t>无</w:t>
            </w:r>
            <w:r>
              <w:rPr>
                <w:rFonts w:hint="default" w:ascii="Times New Roman" w:hAnsi="Times New Roman" w:eastAsia="宋体" w:cs="Times New Roman"/>
                <w:sz w:val="18"/>
                <w:szCs w:val="18"/>
              </w:rPr>
              <w:t>露仁、</w:t>
            </w:r>
            <w:r>
              <w:rPr>
                <w:rFonts w:hint="default" w:ascii="Times New Roman" w:hAnsi="Times New Roman" w:eastAsia="宋体" w:cs="Times New Roman"/>
                <w:sz w:val="18"/>
                <w:szCs w:val="18"/>
                <w:lang w:val="en-US" w:eastAsia="zh-CN"/>
              </w:rPr>
              <w:t>虫蛀</w:t>
            </w:r>
            <w:r>
              <w:rPr>
                <w:rFonts w:hint="default" w:ascii="Times New Roman" w:hAnsi="Times New Roman" w:eastAsia="宋体" w:cs="Times New Roman"/>
                <w:sz w:val="18"/>
                <w:szCs w:val="18"/>
              </w:rPr>
              <w:t>、出油、</w:t>
            </w:r>
            <w:r>
              <w:rPr>
                <w:rFonts w:hint="default" w:ascii="Times New Roman" w:hAnsi="Times New Roman" w:eastAsia="宋体" w:cs="Times New Roman"/>
                <w:sz w:val="18"/>
                <w:szCs w:val="18"/>
                <w:lang w:val="en-US" w:eastAsia="zh-CN"/>
              </w:rPr>
              <w:t>霉变</w:t>
            </w:r>
            <w:r>
              <w:rPr>
                <w:rFonts w:hint="default" w:ascii="Times New Roman" w:hAnsi="Times New Roman" w:eastAsia="宋体" w:cs="Times New Roman"/>
                <w:sz w:val="18"/>
                <w:szCs w:val="18"/>
              </w:rPr>
              <w:t>、异味等果，无杂质</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未经化学漂白处理，坚果含水量≤</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8.0</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果形</w:t>
            </w:r>
          </w:p>
        </w:tc>
        <w:tc>
          <w:tcPr>
            <w:tcW w:w="213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大小均匀，形状一致</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基本一致</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val="en-US" w:eastAsia="zh-CN"/>
              </w:rPr>
              <w:t>单果质量（g）</w:t>
            </w:r>
          </w:p>
        </w:tc>
        <w:tc>
          <w:tcPr>
            <w:tcW w:w="213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13.5以上（含13.5）</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12</w:t>
            </w:r>
            <w:r>
              <w:rPr>
                <w:rFonts w:hint="default" w:ascii="Times New Roman" w:hAnsi="Times New Roman" w:eastAsia="宋体" w:cs="Times New Roman"/>
                <w:spacing w:val="-3"/>
                <w:sz w:val="18"/>
                <w:szCs w:val="18"/>
                <w:lang w:val="zh-CN" w:bidi="zh-CN"/>
              </w:rPr>
              <w:t>～</w:t>
            </w:r>
            <w:r>
              <w:rPr>
                <w:rFonts w:hint="default" w:ascii="Times New Roman" w:hAnsi="Times New Roman" w:eastAsia="宋体" w:cs="Times New Roman"/>
                <w:sz w:val="18"/>
                <w:szCs w:val="18"/>
                <w:lang w:val="en-US" w:eastAsia="zh-CN"/>
              </w:rPr>
              <w:t>13.5</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lang w:val="en-US" w:bidi="zh-CN"/>
              </w:rPr>
              <w:t>9</w:t>
            </w:r>
            <w:r>
              <w:rPr>
                <w:rFonts w:hint="default" w:ascii="Times New Roman" w:hAnsi="Times New Roman" w:eastAsia="宋体" w:cs="Times New Roman"/>
                <w:spacing w:val="-3"/>
                <w:sz w:val="18"/>
                <w:szCs w:val="18"/>
                <w:lang w:val="zh-CN" w:bidi="zh-CN"/>
              </w:rPr>
              <w:t>～</w:t>
            </w:r>
            <w:r>
              <w:rPr>
                <w:rFonts w:hint="default" w:ascii="Times New Roman" w:hAnsi="Times New Roman" w:eastAsia="宋体" w:cs="Times New Roman"/>
                <w:sz w:val="18"/>
                <w:szCs w:val="18"/>
                <w:lang w:val="en-US" w:eastAsia="zh-CN"/>
              </w:rPr>
              <w:t>12（含12）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外壳</w:t>
            </w:r>
          </w:p>
        </w:tc>
        <w:tc>
          <w:tcPr>
            <w:tcW w:w="213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呈自然黄白色，形态圆形</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呈自然黄白色至褐色，形态圆形</w:t>
            </w:r>
          </w:p>
        </w:tc>
        <w:tc>
          <w:tcPr>
            <w:tcW w:w="2131"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呈自然黄白色至褐色，无果形要求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果仁</w:t>
            </w:r>
          </w:p>
        </w:tc>
        <w:tc>
          <w:tcPr>
            <w:tcW w:w="213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果仁皮色淡黄褐色，仁肉乳白色</w:t>
            </w:r>
          </w:p>
        </w:tc>
        <w:tc>
          <w:tcPr>
            <w:tcW w:w="4262"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果仁皮色淡黄褐色，仁肉淡黄白色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7"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霉变果</w:t>
            </w:r>
          </w:p>
        </w:tc>
        <w:tc>
          <w:tcPr>
            <w:tcW w:w="6392" w:type="dxa"/>
            <w:gridSpan w:val="3"/>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不得检出</w:t>
            </w:r>
          </w:p>
        </w:tc>
      </w:tr>
    </w:tbl>
    <w:p>
      <w:pPr>
        <w:pStyle w:val="106"/>
        <w:spacing w:before="240" w:beforeLines="100" w:after="240" w:afterLines="100"/>
        <w:rPr>
          <w:rFonts w:ascii="Times New Roman"/>
        </w:rPr>
      </w:pPr>
      <w:r>
        <w:rPr>
          <w:rFonts w:hint="eastAsia" w:ascii="Times New Roman"/>
          <w:lang w:val="en-US" w:eastAsia="zh-CN"/>
        </w:rPr>
        <w:t>理化指标</w:t>
      </w:r>
    </w:p>
    <w:p>
      <w:pPr>
        <w:pStyle w:val="57"/>
        <w:ind w:firstLine="420"/>
        <w:rPr>
          <w:rFonts w:ascii="Times New Roman"/>
          <w:szCs w:val="21"/>
        </w:rPr>
      </w:pPr>
      <w:r>
        <w:t>理化指标应符合表</w:t>
      </w:r>
      <w:r>
        <w:rPr>
          <w:rFonts w:hint="eastAsia"/>
          <w:lang w:val="en-US" w:eastAsia="zh-CN"/>
        </w:rPr>
        <w:t xml:space="preserve"> </w:t>
      </w:r>
      <w:r>
        <w:rPr>
          <w:rFonts w:ascii="Times New Roman"/>
        </w:rPr>
        <w:t>2</w:t>
      </w:r>
      <w:r>
        <w:rPr>
          <w:rFonts w:hint="eastAsia" w:ascii="Times New Roman"/>
          <w:lang w:val="en-US" w:eastAsia="zh-CN"/>
        </w:rPr>
        <w:t xml:space="preserve"> </w:t>
      </w:r>
      <w:r>
        <w:t>的规定。</w:t>
      </w:r>
    </w:p>
    <w:p>
      <w:pPr>
        <w:pStyle w:val="113"/>
        <w:spacing w:before="120" w:after="120"/>
        <w:rPr>
          <w:rFonts w:cs="宋体"/>
        </w:rPr>
      </w:pPr>
      <w:r>
        <w:rPr>
          <w:rFonts w:hint="eastAsia"/>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3" w:type="dxa"/>
          </w:tcPr>
          <w:p>
            <w:pPr>
              <w:jc w:val="center"/>
              <w:rPr>
                <w:rFonts w:ascii="Times New Roman" w:hAnsi="Times New Roman" w:eastAsiaTheme="minorEastAsia"/>
                <w:sz w:val="18"/>
              </w:rPr>
            </w:pPr>
            <w:r>
              <w:rPr>
                <w:rFonts w:ascii="Times New Roman" w:hAnsi="Times New Roman"/>
                <w:sz w:val="18"/>
                <w:szCs w:val="18"/>
              </w:rPr>
              <w:t>项目</w:t>
            </w:r>
          </w:p>
        </w:tc>
        <w:tc>
          <w:tcPr>
            <w:tcW w:w="5549"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73" w:type="dxa"/>
            <w:vAlign w:val="center"/>
          </w:tcPr>
          <w:p>
            <w:pPr>
              <w:pStyle w:val="234"/>
              <w:spacing w:after="0"/>
              <w:ind w:firstLine="0"/>
              <w:jc w:val="center"/>
              <w:rPr>
                <w:rFonts w:hint="default" w:ascii="Times New Roman" w:hAnsi="Times New Roman" w:cs="Times New Roman" w:eastAsiaTheme="minorEastAsia"/>
                <w:color w:val="auto"/>
                <w:kern w:val="2"/>
                <w:sz w:val="18"/>
                <w:szCs w:val="21"/>
                <w:lang w:val="en-US" w:eastAsia="zh-CN"/>
              </w:rPr>
            </w:pPr>
            <w:r>
              <w:rPr>
                <w:rFonts w:hint="eastAsia" w:ascii="Times New Roman" w:hAnsi="Times New Roman" w:cs="Times New Roman"/>
                <w:kern w:val="2"/>
                <w:sz w:val="18"/>
                <w:szCs w:val="18"/>
                <w:lang w:val="en-US" w:eastAsia="zh-CN"/>
              </w:rPr>
              <w:t>维生素E，</w:t>
            </w:r>
            <w:r>
              <w:rPr>
                <w:rFonts w:hint="eastAsia" w:ascii="Times New Roman" w:hAnsi="Times New Roman" w:cs="Times New Roman" w:eastAsiaTheme="minorEastAsia"/>
                <w:color w:val="auto"/>
                <w:kern w:val="2"/>
                <w:sz w:val="18"/>
                <w:szCs w:val="21"/>
                <w:lang w:val="en-US" w:eastAsia="zh-CN"/>
              </w:rPr>
              <w:t>mg/100g</w:t>
            </w:r>
          </w:p>
        </w:tc>
        <w:tc>
          <w:tcPr>
            <w:tcW w:w="5549"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973" w:type="dxa"/>
            <w:vAlign w:val="center"/>
          </w:tcPr>
          <w:p>
            <w:pPr>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含油量</w:t>
            </w:r>
            <w:r>
              <w:rPr>
                <w:rFonts w:hint="eastAsia" w:ascii="Times New Roman" w:hAnsi="Times New Roman"/>
                <w:color w:val="auto"/>
                <w:sz w:val="18"/>
                <w:szCs w:val="18"/>
                <w:lang w:eastAsia="zh-CN"/>
              </w:rPr>
              <w:t>，</w:t>
            </w:r>
            <w:r>
              <w:rPr>
                <w:rFonts w:ascii="Times New Roman" w:hAnsi="Times New Roman"/>
                <w:color w:val="auto"/>
                <w:sz w:val="18"/>
                <w:szCs w:val="18"/>
              </w:rPr>
              <w:t>%</w:t>
            </w:r>
          </w:p>
        </w:tc>
        <w:tc>
          <w:tcPr>
            <w:tcW w:w="5549"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73" w:type="dxa"/>
            <w:vAlign w:val="center"/>
          </w:tcPr>
          <w:p>
            <w:pPr>
              <w:jc w:val="center"/>
              <w:rPr>
                <w:rFonts w:ascii="Times New Roman" w:hAnsi="Times New Roman"/>
                <w:color w:val="auto"/>
                <w:sz w:val="18"/>
                <w:szCs w:val="18"/>
              </w:rPr>
            </w:pPr>
            <w:r>
              <w:rPr>
                <w:rFonts w:hint="eastAsia" w:ascii="Times New Roman" w:hAnsi="Times New Roman"/>
                <w:color w:val="auto"/>
                <w:sz w:val="18"/>
                <w:szCs w:val="18"/>
                <w:lang w:val="en-US" w:eastAsia="zh-CN"/>
              </w:rPr>
              <w:t>蛋白质，</w:t>
            </w:r>
            <w:r>
              <w:rPr>
                <w:rFonts w:ascii="Times New Roman" w:hAnsi="Times New Roman"/>
                <w:color w:val="auto"/>
                <w:sz w:val="18"/>
                <w:szCs w:val="18"/>
              </w:rPr>
              <w:t>g/100g</w:t>
            </w:r>
          </w:p>
        </w:tc>
        <w:tc>
          <w:tcPr>
            <w:tcW w:w="5549"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73" w:type="dxa"/>
            <w:vAlign w:val="center"/>
          </w:tcPr>
          <w:p>
            <w:pPr>
              <w:jc w:val="center"/>
              <w:rPr>
                <w:rFonts w:hint="default" w:ascii="Times New Roman" w:hAnsi="Times New Roman"/>
                <w:color w:val="auto"/>
                <w:sz w:val="18"/>
                <w:szCs w:val="18"/>
                <w:lang w:val="en-US"/>
              </w:rPr>
            </w:pPr>
            <w:r>
              <w:rPr>
                <w:rFonts w:hint="eastAsia" w:ascii="Times New Roman" w:hAnsi="Times New Roman"/>
                <w:color w:val="auto"/>
                <w:sz w:val="18"/>
                <w:szCs w:val="18"/>
                <w:lang w:val="en-US" w:eastAsia="zh-CN"/>
              </w:rPr>
              <w:t>出仁率</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w:t>
            </w:r>
          </w:p>
        </w:tc>
        <w:tc>
          <w:tcPr>
            <w:tcW w:w="5549"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≥52</w:t>
            </w:r>
          </w:p>
        </w:tc>
      </w:tr>
    </w:tbl>
    <w:p>
      <w:pPr>
        <w:pStyle w:val="106"/>
        <w:spacing w:before="120" w:after="120"/>
        <w:rPr>
          <w:rFonts w:ascii="Times New Roman"/>
          <w:highlight w:val="none"/>
        </w:rPr>
      </w:pPr>
      <w:r>
        <w:rPr>
          <w:rFonts w:hint="eastAsia"/>
          <w:highlight w:val="none"/>
          <w:lang w:val="en-US" w:eastAsia="zh-CN"/>
        </w:rPr>
        <w:t>食品安全</w:t>
      </w:r>
    </w:p>
    <w:p>
      <w:pPr>
        <w:pStyle w:val="13"/>
        <w:spacing w:line="240" w:lineRule="auto"/>
        <w:ind w:left="138" w:right="275" w:firstLine="420"/>
        <w:rPr>
          <w:rFonts w:hint="eastAsia" w:ascii="Times New Roman" w:hAnsi="Times New Roman"/>
          <w:spacing w:val="-6"/>
          <w:lang w:val="en-US" w:eastAsia="zh-CN"/>
        </w:rPr>
      </w:pPr>
      <w:r>
        <w:rPr>
          <w:rFonts w:hint="eastAsia" w:ascii="Times New Roman" w:hAnsi="Times New Roman"/>
          <w:spacing w:val="-6"/>
          <w:highlight w:val="none"/>
          <w:lang w:val="en-US" w:eastAsia="zh-CN"/>
        </w:rPr>
        <w:t>食品安全应</w:t>
      </w:r>
      <w:r>
        <w:rPr>
          <w:rFonts w:hint="eastAsia" w:ascii="Times New Roman" w:hAnsi="Times New Roman"/>
          <w:spacing w:val="-6"/>
          <w:lang w:val="en-US" w:eastAsia="zh-CN"/>
        </w:rPr>
        <w:t>符合表3规定。</w:t>
      </w:r>
    </w:p>
    <w:p>
      <w:pPr>
        <w:pStyle w:val="113"/>
        <w:spacing w:before="120" w:after="120"/>
        <w:rPr>
          <w:rFonts w:cs="宋体"/>
        </w:rPr>
      </w:pPr>
      <w:r>
        <w:rPr>
          <w:rFonts w:hint="eastAsia"/>
          <w:lang w:val="en-US" w:eastAsia="zh-CN"/>
        </w:rPr>
        <w:t>食品安全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0" w:type="dxa"/>
          </w:tcPr>
          <w:p>
            <w:pPr>
              <w:jc w:val="center"/>
              <w:rPr>
                <w:rFonts w:ascii="Times New Roman" w:hAnsi="Times New Roman" w:eastAsiaTheme="minorEastAsia"/>
                <w:sz w:val="18"/>
              </w:rPr>
            </w:pPr>
            <w:r>
              <w:rPr>
                <w:rFonts w:ascii="Times New Roman" w:hAnsi="Times New Roman"/>
                <w:sz w:val="18"/>
                <w:szCs w:val="18"/>
              </w:rPr>
              <w:t>项目</w:t>
            </w:r>
          </w:p>
        </w:tc>
        <w:tc>
          <w:tcPr>
            <w:tcW w:w="5082"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黄曲霉毒素B</w:t>
            </w:r>
            <w:r>
              <w:rPr>
                <w:rFonts w:hint="eastAsia" w:ascii="微软雅黑" w:hAnsi="微软雅黑" w:eastAsia="微软雅黑" w:cs="微软雅黑"/>
                <w:color w:val="auto"/>
                <w:sz w:val="18"/>
                <w:szCs w:val="18"/>
                <w:lang w:val="en-US" w:eastAsia="zh-CN"/>
              </w:rPr>
              <w:t>₁</w:t>
            </w:r>
            <w:r>
              <w:rPr>
                <w:rFonts w:hint="default" w:ascii="Times New Roman" w:hAnsi="Times New Roman" w:cs="Times New Roman"/>
                <w:color w:val="auto"/>
                <w:sz w:val="18"/>
                <w:szCs w:val="18"/>
                <w:lang w:val="en-US" w:eastAsia="zh-CN"/>
              </w:rPr>
              <w:t>/（μg/kg）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eastAsia="宋体" w:cs="Times New Roman"/>
                <w:color w:val="auto"/>
                <w:sz w:val="18"/>
                <w:szCs w:val="18"/>
                <w:lang w:val="en-US" w:eastAsia="zh-CN"/>
              </w:rPr>
            </w:pPr>
            <w:r>
              <w:rPr>
                <w:rFonts w:hint="eastAsia" w:ascii="Times New Roman" w:hAnsi="Times New Roman"/>
                <w:sz w:val="18"/>
                <w:szCs w:val="18"/>
              </w:rPr>
              <w:t>辛硫磷残留量/（mg/kg）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铅（以Pb计）/（mg/kg）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总砷</w:t>
            </w:r>
            <w:r>
              <w:rPr>
                <w:rFonts w:hint="default" w:ascii="Times New Roman" w:hAnsi="Times New Roman" w:cs="Times New Roman"/>
                <w:color w:val="auto"/>
                <w:sz w:val="18"/>
                <w:szCs w:val="18"/>
                <w:lang w:val="en-US" w:eastAsia="zh-CN"/>
              </w:rPr>
              <w:t>（以</w:t>
            </w:r>
            <w:r>
              <w:rPr>
                <w:rFonts w:hint="eastAsia" w:ascii="Times New Roman" w:hAnsi="Times New Roman" w:cs="Times New Roman"/>
                <w:color w:val="auto"/>
                <w:sz w:val="18"/>
                <w:szCs w:val="18"/>
                <w:lang w:val="en-US" w:eastAsia="zh-CN"/>
              </w:rPr>
              <w:t>As</w:t>
            </w:r>
            <w:r>
              <w:rPr>
                <w:rFonts w:hint="default" w:ascii="Times New Roman" w:hAnsi="Times New Roman" w:cs="Times New Roman"/>
                <w:color w:val="auto"/>
                <w:sz w:val="18"/>
                <w:szCs w:val="18"/>
                <w:lang w:val="en-US" w:eastAsia="zh-CN"/>
              </w:rPr>
              <w:t>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0.5</w:t>
            </w:r>
          </w:p>
        </w:tc>
      </w:tr>
    </w:tbl>
    <w:p>
      <w:pPr>
        <w:pStyle w:val="106"/>
        <w:spacing w:before="120" w:after="120"/>
        <w:rPr>
          <w:rFonts w:ascii="Times New Roman"/>
        </w:rPr>
      </w:pPr>
      <w:r>
        <w:rPr>
          <w:rFonts w:hint="eastAsia"/>
          <w:lang w:val="en-US" w:eastAsia="zh-CN"/>
        </w:rPr>
        <w:t>净含量</w:t>
      </w:r>
    </w:p>
    <w:p>
      <w:pPr>
        <w:pStyle w:val="13"/>
        <w:spacing w:line="240" w:lineRule="auto"/>
        <w:ind w:left="138" w:right="275" w:firstLine="420"/>
        <w:rPr>
          <w:rFonts w:ascii="Times New Roman" w:hAnsi="Times New Roman"/>
          <w:spacing w:val="-6"/>
        </w:rPr>
      </w:pPr>
      <w:r>
        <w:rPr>
          <w:rFonts w:hint="eastAsia" w:ascii="Times New Roman" w:hAnsi="Times New Roman"/>
          <w:spacing w:val="-6"/>
          <w:lang w:val="en-US" w:eastAsia="zh-CN"/>
        </w:rPr>
        <w:t>应符合现国家质量监督检验检疫总局[2005]第75号令的规定。</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w:t>
      </w:r>
      <w:r>
        <w:rPr>
          <w:rFonts w:hint="eastAsia" w:ascii="Times New Roman"/>
          <w:color w:val="auto"/>
          <w:lang w:val="en-US" w:eastAsia="zh-CN"/>
        </w:rPr>
        <w:t>特征及等级要求</w:t>
      </w:r>
    </w:p>
    <w:p>
      <w:pPr>
        <w:pStyle w:val="66"/>
        <w:spacing w:before="120" w:after="120"/>
        <w:rPr>
          <w:rFonts w:ascii="Times New Roman"/>
          <w:color w:val="auto"/>
          <w:highlight w:val="none"/>
        </w:rPr>
      </w:pPr>
      <w:r>
        <w:rPr>
          <w:rFonts w:hint="eastAsia" w:ascii="Times New Roman"/>
          <w:color w:val="auto"/>
          <w:highlight w:val="none"/>
          <w:lang w:val="en-US" w:eastAsia="zh-CN"/>
        </w:rPr>
        <w:t>果形、外壳、果仁</w:t>
      </w:r>
    </w:p>
    <w:p>
      <w:pPr>
        <w:pStyle w:val="57"/>
        <w:ind w:firstLine="420"/>
        <w:rPr>
          <w:rFonts w:ascii="Times New Roman"/>
        </w:rPr>
      </w:pPr>
      <w:r>
        <w:rPr>
          <w:rFonts w:hint="eastAsia" w:ascii="Times New Roman"/>
        </w:rPr>
        <w:t>外观</w:t>
      </w:r>
      <w:r>
        <w:rPr>
          <w:rFonts w:hint="eastAsia" w:ascii="Times New Roman"/>
          <w:lang w:val="en-US" w:eastAsia="zh-CN"/>
        </w:rPr>
        <w:t>应</w:t>
      </w:r>
      <w:r>
        <w:rPr>
          <w:rFonts w:ascii="Times New Roman"/>
        </w:rPr>
        <w:t>在自然光线下，</w:t>
      </w:r>
      <w:r>
        <w:rPr>
          <w:rFonts w:hint="eastAsia" w:ascii="Times New Roman"/>
          <w:lang w:val="en-US" w:eastAsia="zh-CN"/>
        </w:rPr>
        <w:t>以</w:t>
      </w:r>
      <w:r>
        <w:rPr>
          <w:rFonts w:hint="eastAsia" w:ascii="Times New Roman"/>
        </w:rPr>
        <w:t>目测</w:t>
      </w:r>
      <w:r>
        <w:rPr>
          <w:rFonts w:hint="eastAsia" w:ascii="Times New Roman"/>
          <w:lang w:val="en-US" w:eastAsia="zh-CN"/>
        </w:rPr>
        <w:t>法、手感法测定。</w:t>
      </w:r>
    </w:p>
    <w:p>
      <w:pPr>
        <w:pStyle w:val="66"/>
        <w:spacing w:before="120" w:after="120"/>
        <w:rPr>
          <w:rFonts w:ascii="Times New Roman"/>
        </w:rPr>
      </w:pPr>
      <w:r>
        <w:rPr>
          <w:rFonts w:hint="eastAsia" w:ascii="Times New Roman"/>
          <w:color w:val="auto"/>
          <w:highlight w:val="none"/>
          <w:lang w:val="en-US" w:eastAsia="zh-CN"/>
        </w:rPr>
        <w:t>单果质量</w:t>
      </w:r>
    </w:p>
    <w:p>
      <w:pPr>
        <w:pStyle w:val="57"/>
        <w:ind w:firstLine="420"/>
        <w:rPr>
          <w:rFonts w:hint="eastAsia" w:ascii="Times New Roman"/>
          <w:lang w:val="en-US" w:eastAsia="zh-CN"/>
        </w:rPr>
      </w:pPr>
      <w:r>
        <w:rPr>
          <w:rFonts w:hint="eastAsia" w:ascii="Times New Roman"/>
          <w:lang w:val="en-US" w:eastAsia="zh-CN"/>
        </w:rPr>
        <w:t>应按四分法取样 1000 g，数果个数，求单果重，修</w:t>
      </w:r>
      <w:r>
        <w:rPr>
          <w:rFonts w:hint="eastAsia" w:ascii="Times New Roman"/>
          <w:color w:val="auto"/>
          <w:lang w:val="en-US" w:eastAsia="zh-CN"/>
        </w:rPr>
        <w:t>约到一</w:t>
      </w:r>
      <w:r>
        <w:rPr>
          <w:rFonts w:hint="eastAsia" w:ascii="Times New Roman"/>
          <w:lang w:val="en-US" w:eastAsia="zh-CN"/>
        </w:rPr>
        <w:t>位小数。</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hint="eastAsia" w:ascii="Times New Roman"/>
          <w:lang w:val="en-US" w:eastAsia="zh-CN"/>
        </w:rPr>
        <w:t>维生素E</w:t>
      </w:r>
    </w:p>
    <w:p>
      <w:pPr>
        <w:pStyle w:val="57"/>
        <w:ind w:firstLine="420"/>
        <w:rPr>
          <w:highlight w:val="none"/>
        </w:rPr>
      </w:pPr>
      <w:r>
        <w:rPr>
          <w:rFonts w:hint="eastAsia" w:ascii="Times New Roman"/>
          <w:highlight w:val="none"/>
          <w:lang w:val="en-US" w:eastAsia="zh-CN"/>
        </w:rPr>
        <w:t>应按 GB 5009.82 的规定执行</w:t>
      </w:r>
      <w:r>
        <w:rPr>
          <w:rFonts w:ascii="Times New Roman"/>
          <w:highlight w:val="none"/>
        </w:rPr>
        <w:t>。</w:t>
      </w:r>
    </w:p>
    <w:p>
      <w:pPr>
        <w:pStyle w:val="66"/>
        <w:spacing w:before="120" w:after="120"/>
        <w:rPr>
          <w:rFonts w:ascii="Times New Roman"/>
        </w:rPr>
      </w:pPr>
      <w:r>
        <w:rPr>
          <w:rFonts w:hint="eastAsia" w:ascii="Times New Roman"/>
          <w:lang w:val="en-US" w:eastAsia="zh-CN"/>
        </w:rPr>
        <w:t>含油量</w:t>
      </w:r>
    </w:p>
    <w:p>
      <w:pPr>
        <w:pStyle w:val="57"/>
        <w:ind w:firstLine="420"/>
        <w:rPr>
          <w:rFonts w:ascii="Times New Roman"/>
          <w:color w:val="000000"/>
          <w:szCs w:val="21"/>
        </w:rPr>
      </w:pPr>
      <w:r>
        <w:rPr>
          <w:rFonts w:hint="eastAsia" w:ascii="Times New Roman"/>
          <w:lang w:val="en-US" w:eastAsia="zh-CN"/>
        </w:rPr>
        <w:t>应按 GB/T 14488.1 的规定执行</w:t>
      </w:r>
      <w:r>
        <w:rPr>
          <w:rFonts w:ascii="Times New Roman"/>
        </w:rPr>
        <w:t>。</w:t>
      </w:r>
    </w:p>
    <w:p>
      <w:pPr>
        <w:pStyle w:val="66"/>
        <w:spacing w:before="120" w:after="120"/>
        <w:rPr>
          <w:rFonts w:ascii="Times New Roman"/>
        </w:rPr>
      </w:pPr>
      <w:r>
        <w:rPr>
          <w:rFonts w:hint="eastAsia" w:ascii="Times New Roman"/>
          <w:lang w:val="en-US" w:eastAsia="zh-CN"/>
        </w:rPr>
        <w:t>蛋白质</w:t>
      </w:r>
    </w:p>
    <w:p>
      <w:pPr>
        <w:pStyle w:val="57"/>
        <w:ind w:firstLine="420"/>
        <w:rPr>
          <w:rFonts w:ascii="Times New Roman"/>
        </w:rPr>
      </w:pPr>
      <w:r>
        <w:rPr>
          <w:rFonts w:hint="eastAsia" w:ascii="Times New Roman"/>
          <w:lang w:val="en-US" w:eastAsia="zh-CN"/>
        </w:rPr>
        <w:t>应按 GB/T 5009.5 的规定执行。</w:t>
      </w:r>
    </w:p>
    <w:p>
      <w:pPr>
        <w:pStyle w:val="66"/>
        <w:spacing w:before="120" w:after="120"/>
        <w:rPr>
          <w:rFonts w:ascii="Times New Roman"/>
        </w:rPr>
      </w:pPr>
      <w:r>
        <w:rPr>
          <w:rFonts w:hint="eastAsia" w:ascii="Times New Roman"/>
          <w:lang w:val="en-US" w:eastAsia="zh-CN"/>
        </w:rPr>
        <w:t>出仁率</w:t>
      </w:r>
    </w:p>
    <w:p>
      <w:pPr>
        <w:pStyle w:val="57"/>
        <w:ind w:firstLine="420"/>
        <w:rPr>
          <w:rFonts w:ascii="Times New Roman"/>
        </w:rPr>
      </w:pPr>
      <w:r>
        <w:rPr>
          <w:rFonts w:hint="eastAsia" w:ascii="Times New Roman"/>
          <w:lang w:val="en-US" w:eastAsia="zh-CN"/>
        </w:rPr>
        <w:t>应在核桃初样中，随机取样 1000 g，逐个取仁，应用感量 1/100的天平称重，计算仁重与坚果重之比，换算成百分数，精度为0.01，修</w:t>
      </w:r>
      <w:r>
        <w:rPr>
          <w:rFonts w:hint="eastAsia" w:ascii="Times New Roman"/>
          <w:color w:val="auto"/>
          <w:lang w:val="en-US" w:eastAsia="zh-CN"/>
        </w:rPr>
        <w:t>约到一</w:t>
      </w:r>
      <w:r>
        <w:rPr>
          <w:rFonts w:hint="eastAsia" w:ascii="Times New Roman"/>
          <w:lang w:val="en-US" w:eastAsia="zh-CN"/>
        </w:rPr>
        <w:t>位小数。</w:t>
      </w:r>
    </w:p>
    <w:p>
      <w:pPr>
        <w:pStyle w:val="106"/>
        <w:spacing w:before="120" w:after="120"/>
        <w:rPr>
          <w:rFonts w:ascii="Times New Roman"/>
          <w:highlight w:val="none"/>
        </w:rPr>
      </w:pPr>
      <w:r>
        <w:rPr>
          <w:rFonts w:hint="eastAsia" w:ascii="Times New Roman"/>
          <w:highlight w:val="none"/>
          <w:lang w:val="en-US" w:eastAsia="zh-CN"/>
        </w:rPr>
        <w:t>食品安全</w:t>
      </w:r>
    </w:p>
    <w:p>
      <w:pPr>
        <w:pStyle w:val="66"/>
        <w:spacing w:before="120" w:after="120"/>
        <w:rPr>
          <w:rFonts w:hint="eastAsia" w:ascii="黑体" w:hAnsi="黑体" w:eastAsia="黑体" w:cs="黑体"/>
          <w:sz w:val="21"/>
          <w:szCs w:val="21"/>
        </w:rPr>
      </w:pPr>
      <w:r>
        <w:rPr>
          <w:rFonts w:hint="eastAsia" w:ascii="黑体" w:hAnsi="黑体" w:eastAsia="黑体" w:cs="黑体"/>
          <w:color w:val="auto"/>
          <w:sz w:val="21"/>
          <w:szCs w:val="21"/>
          <w:lang w:val="en-US" w:eastAsia="zh-CN"/>
        </w:rPr>
        <w:t>黄曲霉毒素B₁</w:t>
      </w:r>
    </w:p>
    <w:p>
      <w:pPr>
        <w:pStyle w:val="57"/>
        <w:ind w:firstLine="420"/>
        <w:rPr>
          <w:rFonts w:ascii="Times New Roman"/>
        </w:rPr>
      </w:pPr>
      <w:r>
        <w:rPr>
          <w:rFonts w:hint="eastAsia" w:ascii="Times New Roman"/>
        </w:rPr>
        <w:t>应按GB 5009.22的规定执行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sz w:val="21"/>
          <w:szCs w:val="21"/>
          <w:lang w:val="en-US" w:eastAsia="zh-CN"/>
        </w:rPr>
        <w:t>辛硫磷残留量</w:t>
      </w:r>
    </w:p>
    <w:p>
      <w:pPr>
        <w:pStyle w:val="57"/>
        <w:ind w:firstLine="420"/>
        <w:rPr>
          <w:rFonts w:ascii="Times New Roman"/>
        </w:rPr>
      </w:pPr>
      <w:r>
        <w:rPr>
          <w:rFonts w:hint="eastAsia" w:ascii="Times New Roman"/>
        </w:rPr>
        <w:t>应按GB/T 5009.102的规定执行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铅</w:t>
      </w:r>
    </w:p>
    <w:p>
      <w:pPr>
        <w:pStyle w:val="57"/>
        <w:ind w:firstLine="420"/>
        <w:rPr>
          <w:rFonts w:ascii="Times New Roman"/>
        </w:rPr>
      </w:pPr>
      <w:r>
        <w:rPr>
          <w:rFonts w:hint="eastAsia" w:ascii="Times New Roman"/>
          <w:lang w:val="en-US" w:eastAsia="zh-CN"/>
        </w:rPr>
        <w:t>应按</w:t>
      </w:r>
      <w:r>
        <w:rPr>
          <w:rFonts w:hint="eastAsia" w:ascii="Times New Roman"/>
          <w:highlight w:val="none"/>
          <w:lang w:val="en-US" w:eastAsia="zh-CN"/>
        </w:rPr>
        <w:t>GB 5009.12的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总砷</w:t>
      </w:r>
    </w:p>
    <w:p>
      <w:pPr>
        <w:pStyle w:val="57"/>
        <w:ind w:firstLine="420"/>
        <w:rPr>
          <w:rFonts w:ascii="Times New Roman"/>
        </w:rPr>
      </w:pPr>
      <w:r>
        <w:rPr>
          <w:rFonts w:hint="eastAsia" w:ascii="Times New Roman"/>
          <w:lang w:val="en-US" w:eastAsia="zh-CN"/>
        </w:rPr>
        <w:t>应</w:t>
      </w:r>
      <w:r>
        <w:rPr>
          <w:rFonts w:hint="eastAsia" w:ascii="Times New Roman"/>
          <w:highlight w:val="none"/>
          <w:lang w:val="en-US" w:eastAsia="zh-CN"/>
        </w:rPr>
        <w:t>按</w:t>
      </w:r>
      <w:r>
        <w:rPr>
          <w:rFonts w:hint="eastAsia" w:ascii="Times New Roman"/>
          <w:color w:val="auto"/>
        </w:rPr>
        <w:t>GB 5009.11</w:t>
      </w:r>
      <w:r>
        <w:rPr>
          <w:rFonts w:hint="eastAsia" w:ascii="Times New Roman"/>
          <w:highlight w:val="none"/>
          <w:lang w:val="en-US" w:eastAsia="zh-CN"/>
        </w:rPr>
        <w:t>的</w:t>
      </w:r>
      <w:r>
        <w:rPr>
          <w:rFonts w:hint="eastAsia" w:ascii="Times New Roman"/>
          <w:lang w:val="en-US" w:eastAsia="zh-CN"/>
        </w:rPr>
        <w:t>规定执行</w:t>
      </w:r>
      <w:r>
        <w:rPr>
          <w:rFonts w:ascii="Times New Roman"/>
        </w:rPr>
        <w:t>。</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w:t>
      </w:r>
      <w:r>
        <w:rPr>
          <w:rFonts w:ascii="Times New Roman"/>
          <w:color w:val="auto"/>
        </w:rPr>
        <w:t>同一产地</w:t>
      </w:r>
      <w:r>
        <w:rPr>
          <w:rFonts w:hint="eastAsia" w:ascii="Times New Roman"/>
          <w:color w:val="auto"/>
          <w:lang w:eastAsia="zh-CN"/>
        </w:rPr>
        <w:t>、</w:t>
      </w:r>
      <w:r>
        <w:rPr>
          <w:rFonts w:hint="eastAsia" w:ascii="Times New Roman"/>
          <w:color w:val="auto"/>
        </w:rPr>
        <w:t>同一</w:t>
      </w:r>
      <w:r>
        <w:rPr>
          <w:rFonts w:hint="eastAsia" w:ascii="Times New Roman"/>
          <w:color w:val="auto"/>
          <w:lang w:val="en-US" w:eastAsia="zh-CN"/>
        </w:rPr>
        <w:t>采收</w:t>
      </w:r>
      <w:r>
        <w:rPr>
          <w:rFonts w:hint="eastAsia" w:ascii="Times New Roman"/>
          <w:color w:val="auto"/>
        </w:rPr>
        <w:t>期</w:t>
      </w:r>
      <w:r>
        <w:rPr>
          <w:rFonts w:hint="eastAsia" w:ascii="Times New Roman"/>
          <w:color w:val="auto"/>
          <w:lang w:eastAsia="zh-CN"/>
        </w:rPr>
        <w:t>、</w:t>
      </w:r>
      <w:r>
        <w:rPr>
          <w:rFonts w:hint="eastAsia" w:ascii="Times New Roman"/>
          <w:color w:val="auto"/>
        </w:rPr>
        <w:t>同一品种</w:t>
      </w:r>
      <w:r>
        <w:rPr>
          <w:rFonts w:hint="eastAsia" w:ascii="Times New Roman"/>
          <w:color w:val="auto"/>
          <w:lang w:eastAsia="zh-CN"/>
        </w:rPr>
        <w:t>、</w:t>
      </w:r>
      <w:r>
        <w:rPr>
          <w:rFonts w:hint="eastAsia" w:ascii="Times New Roman"/>
          <w:color w:val="auto"/>
          <w:lang w:val="en-US" w:eastAsia="zh-CN"/>
        </w:rPr>
        <w:t>同一等级</w:t>
      </w:r>
      <w:r>
        <w:rPr>
          <w:rFonts w:hint="eastAsia" w:ascii="Times New Roman"/>
          <w:color w:val="auto"/>
        </w:rPr>
        <w:t>的</w:t>
      </w:r>
      <w:r>
        <w:rPr>
          <w:rFonts w:hint="eastAsia" w:ascii="Times New Roman"/>
          <w:color w:val="auto"/>
          <w:lang w:val="en-US" w:eastAsia="zh-CN"/>
        </w:rPr>
        <w:t>核桃</w:t>
      </w:r>
      <w:r>
        <w:rPr>
          <w:rFonts w:hint="eastAsia" w:ascii="Times New Roman"/>
          <w:color w:val="auto"/>
        </w:rPr>
        <w:t>，为一个检验</w:t>
      </w:r>
      <w:r>
        <w:rPr>
          <w:rFonts w:hint="eastAsia" w:ascii="Times New Roman"/>
        </w:rPr>
        <w:t>批次</w:t>
      </w:r>
      <w:r>
        <w:rPr>
          <w:rFonts w:ascii="Times New Roman"/>
        </w:rPr>
        <w:t>。</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szCs w:val="21"/>
        </w:rPr>
      </w:pPr>
      <w:r>
        <w:rPr>
          <w:rFonts w:hint="eastAsia" w:ascii="Times New Roman"/>
          <w:color w:val="auto"/>
          <w:lang w:val="en-US" w:eastAsia="zh-CN"/>
        </w:rPr>
        <w:t>应采</w:t>
      </w:r>
      <w:r>
        <w:rPr>
          <w:rFonts w:hint="eastAsia" w:ascii="Times New Roman"/>
          <w:lang w:val="en-US" w:eastAsia="zh-CN"/>
        </w:rPr>
        <w:t>用四分法进行抽样。</w:t>
      </w:r>
    </w:p>
    <w:p>
      <w:pPr>
        <w:pStyle w:val="106"/>
        <w:spacing w:before="120" w:after="120"/>
        <w:rPr>
          <w:rFonts w:ascii="Times New Roman"/>
        </w:rPr>
      </w:pPr>
      <w:r>
        <w:t>检验</w:t>
      </w:r>
      <w:r>
        <w:rPr>
          <w:rFonts w:hint="eastAsia"/>
          <w:lang w:val="en-US" w:eastAsia="zh-CN"/>
        </w:rPr>
        <w:t>分类</w:t>
      </w:r>
    </w:p>
    <w:p>
      <w:pPr>
        <w:pStyle w:val="66"/>
        <w:spacing w:before="120" w:after="120"/>
        <w:rPr>
          <w:rFonts w:ascii="Times New Roman"/>
        </w:rPr>
      </w:pPr>
      <w:r>
        <w:rPr>
          <w:rFonts w:hint="eastAsia" w:ascii="Times New Roman"/>
          <w:lang w:val="en-US" w:eastAsia="zh-CN"/>
        </w:rPr>
        <w:t>出厂检验</w:t>
      </w:r>
    </w:p>
    <w:p>
      <w:pPr>
        <w:pStyle w:val="95"/>
        <w:bidi w:val="0"/>
        <w:rPr>
          <w:rFonts w:hint="eastAsia" w:ascii="宋体" w:hAnsi="宋体" w:eastAsia="宋体" w:cs="宋体"/>
          <w:color w:val="000000"/>
          <w:szCs w:val="21"/>
        </w:rPr>
      </w:pPr>
      <w:r>
        <w:rPr>
          <w:rFonts w:hint="eastAsia" w:ascii="宋体" w:hAnsi="宋体" w:eastAsia="宋体" w:cs="宋体"/>
          <w:lang w:val="en-US" w:eastAsia="zh-CN"/>
        </w:rPr>
        <w:t>每批</w:t>
      </w:r>
      <w:r>
        <w:rPr>
          <w:rFonts w:hint="eastAsia" w:ascii="宋体" w:hAnsi="宋体" w:eastAsia="宋体" w:cs="宋体"/>
          <w:color w:val="auto"/>
          <w:lang w:val="en-US" w:eastAsia="zh-CN"/>
        </w:rPr>
        <w:t>产品应经</w:t>
      </w:r>
      <w:r>
        <w:rPr>
          <w:rFonts w:hint="eastAsia" w:ascii="宋体" w:hAnsi="宋体" w:eastAsia="宋体" w:cs="宋体"/>
          <w:lang w:val="en-US" w:eastAsia="zh-CN"/>
        </w:rPr>
        <w:t>企业质量检验部门检验合格，签发质量合格证后方可出厂。</w:t>
      </w:r>
    </w:p>
    <w:p>
      <w:pPr>
        <w:pStyle w:val="95"/>
        <w:bidi w:val="0"/>
      </w:pPr>
      <w:r>
        <w:rPr>
          <w:rFonts w:hint="eastAsia" w:ascii="宋体" w:hAnsi="宋体" w:eastAsia="宋体" w:cs="宋体"/>
          <w:lang w:val="en-US" w:eastAsia="zh-CN"/>
        </w:rPr>
        <w:t>出厂检验项目</w:t>
      </w:r>
      <w:r>
        <w:rPr>
          <w:rFonts w:hint="eastAsia" w:ascii="宋体" w:hAnsi="宋体" w:eastAsia="宋体" w:cs="宋体"/>
          <w:color w:val="auto"/>
          <w:highlight w:val="none"/>
          <w:lang w:val="en-US" w:eastAsia="zh-CN"/>
        </w:rPr>
        <w:t>为感官特性、净含量。</w:t>
      </w:r>
    </w:p>
    <w:p>
      <w:pPr>
        <w:pStyle w:val="66"/>
        <w:spacing w:before="120" w:after="120"/>
        <w:rPr>
          <w:rFonts w:ascii="Times New Roman"/>
        </w:rPr>
      </w:pPr>
      <w:r>
        <w:rPr>
          <w:rFonts w:hint="eastAsia" w:ascii="Times New Roman"/>
          <w:lang w:val="en-US" w:eastAsia="zh-CN"/>
        </w:rPr>
        <w:t>型式试验</w:t>
      </w:r>
    </w:p>
    <w:p>
      <w:pPr>
        <w:pStyle w:val="95"/>
        <w:numPr>
          <w:ilvl w:val="4"/>
          <w:numId w:val="0"/>
        </w:numPr>
        <w:bidi w:val="0"/>
        <w:ind w:leftChars="0"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有下列情况发生时应进行型式检验：</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z w:val="21"/>
          <w:szCs w:val="21"/>
          <w:lang w:val="en-US" w:eastAsia="zh-CN"/>
        </w:rPr>
        <w:t>每</w:t>
      </w:r>
      <w:r>
        <w:rPr>
          <w:rFonts w:hint="eastAsia" w:ascii="Times New Roman" w:hAnsi="Times New Roman" w:cs="Times New Roman"/>
          <w:sz w:val="21"/>
          <w:szCs w:val="21"/>
          <w:lang w:val="en-US" w:eastAsia="zh-CN"/>
        </w:rPr>
        <w:t>年核桃</w:t>
      </w:r>
      <w:r>
        <w:rPr>
          <w:rFonts w:hint="default" w:ascii="Times New Roman" w:hAnsi="Times New Roman" w:cs="Times New Roman"/>
          <w:sz w:val="21"/>
          <w:szCs w:val="21"/>
          <w:lang w:val="en-US" w:eastAsia="zh-CN"/>
        </w:rPr>
        <w:t>果实成熟时</w:t>
      </w:r>
      <w:r>
        <w:rPr>
          <w:rFonts w:hint="eastAsia" w:ascii="Times New Roman" w:hAnsi="Times New Roman" w:cs="Times New Roman"/>
          <w:sz w:val="21"/>
          <w:szCs w:val="21"/>
          <w:lang w:val="en-US" w:eastAsia="zh-CN"/>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生产环境发生较大变化，可能影响产品质量时</w:t>
      </w:r>
      <w:r>
        <w:rPr>
          <w:rFonts w:hint="eastAsia" w:ascii="Times New Roman" w:hAnsi="Times New Roman" w:cs="Times New Roman"/>
          <w:spacing w:val="-4"/>
          <w:sz w:val="21"/>
          <w:szCs w:val="21"/>
          <w:lang w:val="en-US" w:eastAsia="zh-CN"/>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交收检验差异较大时</w:t>
      </w:r>
      <w:r>
        <w:rPr>
          <w:rFonts w:hint="eastAsia" w:ascii="Times New Roman" w:hAnsi="Times New Roman" w:cs="Times New Roman"/>
          <w:spacing w:val="-4"/>
          <w:sz w:val="21"/>
          <w:szCs w:val="21"/>
          <w:lang w:val="en-US" w:eastAsia="zh-CN"/>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国家市场监督机构或主管部门提出型式检验要求时。</w:t>
      </w:r>
    </w:p>
    <w:p>
      <w:pPr>
        <w:pStyle w:val="106"/>
        <w:spacing w:before="120" w:after="120"/>
        <w:rPr>
          <w:rFonts w:ascii="Times New Roman"/>
          <w:highlight w:val="none"/>
        </w:rPr>
      </w:pPr>
      <w:r>
        <w:rPr>
          <w:rFonts w:hint="eastAsia"/>
          <w:highlight w:val="none"/>
          <w:lang w:val="en-US" w:eastAsia="zh-CN"/>
        </w:rPr>
        <w:t>判定规则</w:t>
      </w:r>
    </w:p>
    <w:p>
      <w:pPr>
        <w:pStyle w:val="57"/>
      </w:pPr>
      <w:r>
        <w:rPr>
          <w:rFonts w:hint="eastAsia"/>
        </w:rPr>
        <w:t>检验项目全部符合本文件规定，应判该批产品合格。检验项</w:t>
      </w:r>
      <w:r>
        <w:rPr>
          <w:rFonts w:hint="eastAsia"/>
          <w:color w:val="auto"/>
        </w:rPr>
        <w:t>目中</w:t>
      </w:r>
      <w:r>
        <w:rPr>
          <w:rFonts w:hint="eastAsia"/>
          <w:color w:val="auto"/>
          <w:lang w:val="en-US" w:eastAsia="zh-CN"/>
        </w:rPr>
        <w:t>食品安全</w:t>
      </w:r>
      <w:r>
        <w:rPr>
          <w:rFonts w:hint="eastAsia"/>
        </w:rPr>
        <w:t>不符合规定时，应判该批产品不合格，不得复检。等级指标有一项不符合规定时，应逐级下判，低于</w:t>
      </w:r>
      <w:r>
        <w:rPr>
          <w:rFonts w:hint="eastAsia"/>
          <w:lang w:val="en-US" w:eastAsia="zh-CN"/>
        </w:rPr>
        <w:t>二</w:t>
      </w:r>
      <w:r>
        <w:rPr>
          <w:rFonts w:hint="eastAsia"/>
        </w:rPr>
        <w:t>级应判为级外品。理化指标</w:t>
      </w:r>
      <w:r>
        <w:rPr>
          <w:rFonts w:hint="eastAsia"/>
          <w:highlight w:val="none"/>
        </w:rPr>
        <w:t>和感官</w:t>
      </w:r>
      <w:r>
        <w:rPr>
          <w:rFonts w:hint="eastAsia"/>
          <w:highlight w:val="none"/>
          <w:lang w:val="en-US" w:eastAsia="zh-CN"/>
        </w:rPr>
        <w:t>特性</w:t>
      </w:r>
      <w:r>
        <w:rPr>
          <w:rFonts w:hint="eastAsia"/>
          <w:highlight w:val="none"/>
        </w:rPr>
        <w:t>不</w:t>
      </w:r>
      <w:r>
        <w:rPr>
          <w:rFonts w:hint="eastAsia"/>
        </w:rPr>
        <w:t>合格时，可加倍取样复检，复检仍不合格，应判该批产品不合格。</w:t>
      </w:r>
    </w:p>
    <w:p>
      <w:pPr>
        <w:pStyle w:val="105"/>
        <w:spacing w:before="240" w:after="240"/>
        <w:rPr>
          <w:rFonts w:ascii="Times New Roman"/>
        </w:rPr>
      </w:pPr>
      <w:r>
        <w:rPr>
          <w:rFonts w:hint="eastAsia" w:ascii="Times New Roman"/>
          <w:color w:val="auto"/>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color w:val="auto"/>
        </w:rPr>
        <w:t>标签、</w:t>
      </w:r>
      <w:r>
        <w:rPr>
          <w:rFonts w:ascii="Times New Roman"/>
        </w:rPr>
        <w:t>标志</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产品标签应按照 GB 7718 规定执行。</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获得批准的企业可在包装上使用地理标志产品保护专用标志，使用应符合《地理标志产品保护规定》的要求。</w:t>
      </w:r>
    </w:p>
    <w:p>
      <w:pPr>
        <w:pStyle w:val="66"/>
        <w:spacing w:before="120" w:after="120"/>
        <w:rPr>
          <w:rFonts w:hint="default"/>
        </w:rPr>
      </w:pPr>
      <w:r>
        <w:rPr>
          <w:rFonts w:hint="default" w:ascii="Times New Roman" w:hAnsi="Times New Roman" w:eastAsia="宋体" w:cs="Times New Roman"/>
          <w:lang w:val="en-US" w:eastAsia="zh-CN"/>
        </w:rPr>
        <w:t>外包装上的贮运图示标志应符合GB/T 191的有关规定。</w:t>
      </w:r>
    </w:p>
    <w:p>
      <w:pPr>
        <w:pStyle w:val="106"/>
        <w:spacing w:before="120" w:after="120"/>
        <w:rPr>
          <w:rFonts w:hint="default" w:ascii="Times New Roman" w:hAnsi="Times New Roman" w:cs="Times New Roman"/>
        </w:rPr>
      </w:pPr>
      <w:r>
        <w:rPr>
          <w:rFonts w:hint="default" w:ascii="Times New Roman" w:hAnsi="Times New Roman" w:cs="Times New Roman"/>
        </w:rPr>
        <w:t>包装</w:t>
      </w:r>
    </w:p>
    <w:p>
      <w:pPr>
        <w:pStyle w:val="57"/>
        <w:ind w:firstLine="420"/>
        <w:rPr>
          <w:rFonts w:hint="eastAsia" w:ascii="Times New Roman" w:hAnsi="Times New Roman" w:eastAsia="宋体" w:cs="Times New Roman"/>
          <w:szCs w:val="21"/>
          <w:highlight w:val="none"/>
          <w:lang w:val="en-US" w:eastAsia="zh-CN"/>
        </w:rPr>
      </w:pPr>
      <w:r>
        <w:rPr>
          <w:rFonts w:hint="default" w:ascii="Times New Roman" w:hAnsi="Times New Roman" w:cs="Times New Roman"/>
        </w:rPr>
        <w:t>产</w:t>
      </w:r>
      <w:r>
        <w:rPr>
          <w:rFonts w:hint="default" w:ascii="Times New Roman" w:hAnsi="Times New Roman" w:cs="Times New Roman"/>
          <w:color w:val="auto"/>
        </w:rPr>
        <w:t>品</w:t>
      </w:r>
      <w:r>
        <w:rPr>
          <w:rFonts w:hint="eastAsia" w:ascii="Times New Roman" w:cs="Times New Roman"/>
          <w:color w:val="auto"/>
          <w:lang w:val="en-US" w:eastAsia="zh-CN"/>
        </w:rPr>
        <w:t>应</w:t>
      </w:r>
      <w:r>
        <w:rPr>
          <w:rFonts w:hint="default" w:ascii="Times New Roman" w:hAnsi="Times New Roman" w:cs="Times New Roman"/>
          <w:color w:val="auto"/>
        </w:rPr>
        <w:t>按</w:t>
      </w:r>
      <w:r>
        <w:rPr>
          <w:rFonts w:hint="default" w:ascii="Times New Roman" w:hAnsi="Times New Roman" w:cs="Times New Roman"/>
        </w:rPr>
        <w:t>等级进行包装。包装材料应符合国家食品卫生要求。内包装材料应干燥、清洁、无毒、无异味和不影响产品质量。</w:t>
      </w:r>
    </w:p>
    <w:p>
      <w:pPr>
        <w:pStyle w:val="106"/>
        <w:spacing w:before="120" w:after="120"/>
        <w:rPr>
          <w:rFonts w:hint="default" w:ascii="Times New Roman" w:hAnsi="Times New Roman" w:cs="Times New Roman"/>
        </w:rPr>
      </w:pPr>
      <w:r>
        <w:rPr>
          <w:rFonts w:hint="default" w:ascii="Times New Roman" w:hAnsi="Times New Roman" w:cs="Times New Roman"/>
        </w:rPr>
        <w:t>运输</w:t>
      </w:r>
    </w:p>
    <w:p>
      <w:pPr>
        <w:pStyle w:val="66"/>
        <w:numPr>
          <w:ilvl w:val="3"/>
          <w:numId w:val="0"/>
        </w:numPr>
        <w:spacing w:before="120" w:after="120"/>
        <w:ind w:leftChars="0" w:firstLine="420" w:firstLineChars="200"/>
        <w:rPr>
          <w:rFonts w:hint="default" w:ascii="Times New Roman" w:hAnsi="Times New Roman" w:cs="Times New Roman"/>
        </w:rPr>
      </w:pPr>
      <w:r>
        <w:rPr>
          <w:rFonts w:hint="default" w:ascii="Times New Roman" w:hAnsi="Times New Roman" w:eastAsia="宋体" w:cs="Times New Roman"/>
          <w:lang w:val="en-US" w:eastAsia="zh-CN"/>
        </w:rPr>
        <w:t>运输工具应清洁、卫生、干燥、无其他污染物，运输过程中应具有防雨、防潮设施，不得与有毒、有害、有异味的物品混运，装卸时应轻拿、轻放。</w:t>
      </w:r>
    </w:p>
    <w:p>
      <w:pPr>
        <w:pStyle w:val="106"/>
        <w:spacing w:before="120" w:after="120"/>
        <w:rPr>
          <w:rFonts w:hint="default" w:ascii="Times New Roman" w:hAnsi="Times New Roman" w:cs="Times New Roman"/>
        </w:rPr>
      </w:pPr>
      <w:r>
        <w:rPr>
          <w:rFonts w:hint="eastAsia" w:ascii="Times New Roman" w:cs="Times New Roman"/>
          <w:lang w:val="en-US" w:eastAsia="zh-CN"/>
        </w:rPr>
        <w:t>贮</w:t>
      </w:r>
      <w:r>
        <w:rPr>
          <w:rFonts w:hint="default" w:ascii="Times New Roman" w:hAnsi="Times New Roman" w:cs="Times New Roman"/>
          <w:lang w:val="en-US" w:eastAsia="zh-CN"/>
        </w:rPr>
        <w:t>存</w:t>
      </w:r>
    </w:p>
    <w:bookmarkEnd w:id="22"/>
    <w:p>
      <w:pPr>
        <w:pStyle w:val="57"/>
        <w:ind w:firstLine="420" w:firstLineChars="200"/>
        <w:jc w:val="left"/>
      </w:pPr>
      <w:r>
        <w:rPr>
          <w:rFonts w:hint="eastAsia" w:ascii="Times New Roman" w:eastAsia="宋体" w:cs="Times New Roman"/>
          <w:color w:val="auto"/>
          <w:lang w:val="en-US" w:eastAsia="zh-CN"/>
        </w:rPr>
        <w:t>仓库应干燥通风，地面铺设枕木，防止底部受潮，注意倒垛。核桃</w:t>
      </w:r>
      <w:r>
        <w:rPr>
          <w:rFonts w:hint="eastAsia" w:ascii="Times New Roman" w:cs="Times New Roman"/>
          <w:color w:val="auto"/>
          <w:lang w:val="en-US" w:eastAsia="zh-CN"/>
        </w:rPr>
        <w:t>入</w:t>
      </w:r>
      <w:r>
        <w:rPr>
          <w:rFonts w:hint="eastAsia" w:ascii="Times New Roman" w:eastAsia="宋体" w:cs="Times New Roman"/>
          <w:color w:val="auto"/>
          <w:lang w:val="en-US" w:eastAsia="zh-CN"/>
        </w:rPr>
        <w:t>库后要在库房中加强防霉、防虫蛀、防出油、防鼠等措施，</w:t>
      </w:r>
      <w:r>
        <w:rPr>
          <w:rFonts w:hint="eastAsia" w:ascii="Times New Roman" w:cs="Times New Roman"/>
          <w:color w:val="auto"/>
          <w:highlight w:val="none"/>
          <w:lang w:val="en-US" w:eastAsia="zh-CN"/>
        </w:rPr>
        <w:t>宜</w:t>
      </w:r>
      <w:r>
        <w:rPr>
          <w:rFonts w:hint="eastAsia" w:ascii="Times New Roman" w:eastAsia="宋体" w:cs="Times New Roman"/>
          <w:color w:val="auto"/>
          <w:lang w:val="en-US" w:eastAsia="zh-CN"/>
        </w:rPr>
        <w:t>低温贮藏 (0</w:t>
      </w:r>
      <w:r>
        <w:rPr>
          <w:rFonts w:hint="eastAsia" w:ascii="Times New Roman" w:cs="Times New Roman"/>
          <w:color w:val="auto"/>
          <w:lang w:val="en-US" w:eastAsia="zh-CN"/>
        </w:rPr>
        <w:t>℃</w:t>
      </w:r>
      <w:r>
        <w:rPr>
          <w:rFonts w:hint="eastAsia" w:ascii="Times New Roman" w:eastAsia="Times New Roman"/>
          <w:spacing w:val="-3"/>
          <w:szCs w:val="21"/>
          <w:lang w:val="zh-CN" w:bidi="zh-CN"/>
        </w:rPr>
        <w:t>～</w:t>
      </w:r>
      <w:r>
        <w:rPr>
          <w:rFonts w:hint="eastAsia" w:ascii="Times New Roman" w:eastAsia="宋体" w:cs="Times New Roman"/>
          <w:color w:val="auto"/>
          <w:lang w:val="en-US" w:eastAsia="zh-CN"/>
        </w:rPr>
        <w:t>40</w:t>
      </w:r>
      <w:r>
        <w:rPr>
          <w:rFonts w:hint="eastAsia" w:ascii="Times New Roman" w:cs="Times New Roman"/>
          <w:color w:val="auto"/>
          <w:lang w:val="en-US" w:eastAsia="zh-CN"/>
        </w:rPr>
        <w:t>℃</w:t>
      </w:r>
      <w:r>
        <w:rPr>
          <w:rFonts w:hint="eastAsia" w:ascii="Times New Roman" w:eastAsia="宋体" w:cs="Times New Roman"/>
          <w:color w:val="auto"/>
          <w:lang w:val="en-US" w:eastAsia="zh-CN"/>
        </w:rPr>
        <w:t>)</w:t>
      </w:r>
      <w:r>
        <w:rPr>
          <w:rFonts w:hint="eastAsia" w:ascii="Times New Roman" w:cs="Times New Roman"/>
          <w:color w:val="auto"/>
          <w:lang w:val="en-US" w:eastAsia="zh-CN"/>
        </w:rPr>
        <w:t>。</w:t>
      </w:r>
    </w:p>
    <w:p>
      <w:pPr>
        <w:rPr>
          <w:rFonts w:hint="eastAsia" w:ascii="黑体" w:hAnsi="黑体" w:eastAsia="黑体" w:cs="黑体"/>
          <w:lang w:val="en-US" w:eastAsia="zh-CN"/>
        </w:rPr>
      </w:pPr>
      <w:r>
        <w:rPr>
          <w:rFonts w:hint="eastAsia" w:ascii="黑体" w:hAnsi="黑体" w:eastAsia="黑体" w:cs="黑体"/>
          <w:lang w:val="en-US" w:eastAsia="zh-CN"/>
        </w:rPr>
        <w:br w:type="page"/>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附录A</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（规范性）</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行唐核桃地理标志证明商标保护范围图</w:t>
      </w:r>
    </w:p>
    <w:p>
      <w:pPr>
        <w:pStyle w:val="57"/>
        <w:ind w:firstLine="0" w:firstLineChars="0"/>
        <w:jc w:val="center"/>
        <w:rPr>
          <w:rFonts w:hint="eastAsia" w:ascii="黑体" w:hAnsi="黑体" w:eastAsia="黑体" w:cs="黑体"/>
          <w:lang w:val="en-US" w:eastAsia="zh-CN"/>
        </w:rPr>
      </w:pPr>
    </w:p>
    <w:p>
      <w:pPr>
        <w:pStyle w:val="13"/>
        <w:ind w:firstLine="420" w:firstLineChars="200"/>
        <w:rPr>
          <w:rFonts w:hint="eastAsia"/>
          <w:color w:val="auto"/>
          <w:lang w:eastAsia="zh-CN"/>
        </w:rPr>
      </w:pPr>
      <w:r>
        <w:rPr>
          <w:rFonts w:hint="eastAsia" w:ascii="黑体" w:hAnsi="黑体" w:eastAsia="黑体" w:cs="黑体"/>
          <w:color w:val="auto"/>
          <w:lang w:val="en-US" w:eastAsia="zh-CN"/>
        </w:rPr>
        <w:t>A.1</w:t>
      </w:r>
      <w:r>
        <w:rPr>
          <w:rFonts w:hint="eastAsia" w:ascii="Times New Roman" w:hAnsi="Times New Roman" w:cs="Times New Roman"/>
          <w:color w:val="auto"/>
          <w:lang w:val="en-US" w:eastAsia="zh-CN"/>
        </w:rPr>
        <w:t xml:space="preserve"> 行唐核桃</w:t>
      </w:r>
      <w:r>
        <w:rPr>
          <w:color w:val="auto"/>
        </w:rPr>
        <w:t>地理标志</w:t>
      </w:r>
      <w:r>
        <w:rPr>
          <w:rFonts w:hint="eastAsia"/>
          <w:color w:val="auto"/>
          <w:lang w:val="en-US" w:eastAsia="zh-CN"/>
        </w:rPr>
        <w:t>证明商标</w:t>
      </w:r>
      <w:r>
        <w:rPr>
          <w:color w:val="auto"/>
        </w:rPr>
        <w:t>的保护范围</w:t>
      </w:r>
      <w:r>
        <w:rPr>
          <w:rFonts w:hint="eastAsia"/>
          <w:color w:val="auto"/>
          <w:lang w:val="en-US"/>
        </w:rPr>
        <w:t>示意图</w:t>
      </w:r>
      <w:r>
        <w:rPr>
          <w:color w:val="auto"/>
        </w:rPr>
        <w:t xml:space="preserve">见图 </w:t>
      </w:r>
      <w:r>
        <w:rPr>
          <w:rFonts w:ascii="Times New Roman" w:eastAsia="Times New Roman"/>
          <w:color w:val="auto"/>
        </w:rPr>
        <w:t>A.1</w:t>
      </w:r>
      <w:r>
        <w:rPr>
          <w:color w:val="auto"/>
        </w:rPr>
        <w:t>。</w:t>
      </w:r>
    </w:p>
    <w:p>
      <w:pPr>
        <w:pStyle w:val="57"/>
        <w:ind w:firstLine="0" w:firstLineChars="0"/>
        <w:jc w:val="center"/>
        <w:rPr>
          <w:rFonts w:ascii="宋体" w:hAnsi="宋体" w:eastAsia="宋体" w:cs="宋体"/>
          <w:sz w:val="24"/>
          <w:szCs w:val="24"/>
        </w:rPr>
      </w:pPr>
      <w:r>
        <w:rPr>
          <w:rFonts w:hint="eastAsia" w:ascii="黑体" w:hAnsi="黑体" w:eastAsia="黑体" w:cs="黑体"/>
          <w:lang w:val="en-US" w:eastAsia="zh-CN"/>
        </w:rPr>
        <w:drawing>
          <wp:inline distT="0" distB="0" distL="114300" distR="114300">
            <wp:extent cx="5906770" cy="4176395"/>
            <wp:effectExtent l="0" t="0" r="17780" b="14605"/>
            <wp:docPr id="3" name="图片 3" descr="行唐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唐县区划图"/>
                    <pic:cNvPicPr>
                      <a:picLocks noChangeAspect="1"/>
                    </pic:cNvPicPr>
                  </pic:nvPicPr>
                  <pic:blipFill>
                    <a:blip r:embed="rId17"/>
                    <a:stretch>
                      <a:fillRect/>
                    </a:stretch>
                  </pic:blipFill>
                  <pic:spPr>
                    <a:xfrm>
                      <a:off x="0" y="0"/>
                      <a:ext cx="5906770" cy="4176395"/>
                    </a:xfrm>
                    <a:prstGeom prst="rect">
                      <a:avLst/>
                    </a:prstGeom>
                  </pic:spPr>
                </pic:pic>
              </a:graphicData>
            </a:graphic>
          </wp:inline>
        </w:drawing>
      </w:r>
    </w:p>
    <w:p>
      <w:pPr>
        <w:pStyle w:val="57"/>
        <w:ind w:firstLine="0" w:firstLineChars="0"/>
        <w:jc w:val="both"/>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“行唐核桃”地理标志证明商标商品的生产地域范围:东经114°09′56″～114°41′52″北纬 38°20′34″～38°42′39″，分布在行唐县所辖龙州镇、南桥镇、上碑镇、口头镇、上方镇、独羊岗乡、安香乡、只里乡、市同乡、翟营乡、城寨乡、玉亭乡、北河乡、上阎庄乡、九口子乡境内。</w:t>
      </w:r>
    </w:p>
    <w:p>
      <w:pPr>
        <w:pStyle w:val="57"/>
        <w:ind w:firstLine="0" w:firstLineChars="0"/>
        <w:jc w:val="both"/>
        <w:rPr>
          <w:rFonts w:hint="default" w:hAnsi="宋体" w:cs="宋体"/>
          <w:sz w:val="18"/>
          <w:szCs w:val="18"/>
          <w:lang w:val="en-US" w:eastAsia="zh-CN"/>
        </w:rPr>
      </w:pPr>
    </w:p>
    <w:p>
      <w:pPr>
        <w:pStyle w:val="57"/>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图A 行唐核桃地理标志证明商标保护范围图</w:t>
      </w: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default" w:ascii="宋体" w:hAnsi="宋体" w:eastAsia="宋体" w:cs="宋体"/>
          <w:sz w:val="24"/>
          <w:szCs w:val="24"/>
          <w:lang w:val="en-US" w:eastAsia="zh-CN"/>
        </w:rPr>
      </w:pPr>
      <w:bookmarkStart w:id="48"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NTYwOGQxOWY2ZTAzYWUwM2RiYzQ4ODA0MDhlNzk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24A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603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793A25"/>
    <w:rsid w:val="01874ED4"/>
    <w:rsid w:val="01933B33"/>
    <w:rsid w:val="02295981"/>
    <w:rsid w:val="05390A72"/>
    <w:rsid w:val="05B94A03"/>
    <w:rsid w:val="05BC655C"/>
    <w:rsid w:val="061E58AB"/>
    <w:rsid w:val="063F4BC0"/>
    <w:rsid w:val="06D123C6"/>
    <w:rsid w:val="078857CE"/>
    <w:rsid w:val="09B3067A"/>
    <w:rsid w:val="09CA56A9"/>
    <w:rsid w:val="0AD77EB7"/>
    <w:rsid w:val="0B1C5858"/>
    <w:rsid w:val="0CD06F02"/>
    <w:rsid w:val="0CED5780"/>
    <w:rsid w:val="0D015129"/>
    <w:rsid w:val="0D7C6DF2"/>
    <w:rsid w:val="0D7F32E8"/>
    <w:rsid w:val="0E62212D"/>
    <w:rsid w:val="0F556719"/>
    <w:rsid w:val="100429DF"/>
    <w:rsid w:val="10636EE6"/>
    <w:rsid w:val="11FC4F42"/>
    <w:rsid w:val="12390586"/>
    <w:rsid w:val="12400D7E"/>
    <w:rsid w:val="127E3FD3"/>
    <w:rsid w:val="12B75C65"/>
    <w:rsid w:val="139E05BA"/>
    <w:rsid w:val="141B40A6"/>
    <w:rsid w:val="146D0389"/>
    <w:rsid w:val="14AE3227"/>
    <w:rsid w:val="14BD4D10"/>
    <w:rsid w:val="150B1F7A"/>
    <w:rsid w:val="15132B76"/>
    <w:rsid w:val="15780246"/>
    <w:rsid w:val="1689711C"/>
    <w:rsid w:val="1691120C"/>
    <w:rsid w:val="16AD7488"/>
    <w:rsid w:val="16BB079F"/>
    <w:rsid w:val="16D4611B"/>
    <w:rsid w:val="19B30FBD"/>
    <w:rsid w:val="19B62227"/>
    <w:rsid w:val="1A10558B"/>
    <w:rsid w:val="1AC217DA"/>
    <w:rsid w:val="1B233D3D"/>
    <w:rsid w:val="1B7E5AA8"/>
    <w:rsid w:val="1C314114"/>
    <w:rsid w:val="1D62298F"/>
    <w:rsid w:val="1D856025"/>
    <w:rsid w:val="1DF92EAF"/>
    <w:rsid w:val="1E0760C3"/>
    <w:rsid w:val="1E805C34"/>
    <w:rsid w:val="1F5C4B11"/>
    <w:rsid w:val="1FE22E5F"/>
    <w:rsid w:val="20074954"/>
    <w:rsid w:val="202C4A14"/>
    <w:rsid w:val="21651053"/>
    <w:rsid w:val="21D95473"/>
    <w:rsid w:val="23361FBB"/>
    <w:rsid w:val="24630AA4"/>
    <w:rsid w:val="246639F5"/>
    <w:rsid w:val="24AC7A77"/>
    <w:rsid w:val="27687AAA"/>
    <w:rsid w:val="28076179"/>
    <w:rsid w:val="28844573"/>
    <w:rsid w:val="2A082E3E"/>
    <w:rsid w:val="2A1D3984"/>
    <w:rsid w:val="2A5F5F48"/>
    <w:rsid w:val="2A743763"/>
    <w:rsid w:val="2AD64CAF"/>
    <w:rsid w:val="2BB0716F"/>
    <w:rsid w:val="2C4A4D6C"/>
    <w:rsid w:val="303A5B72"/>
    <w:rsid w:val="309E246E"/>
    <w:rsid w:val="30CD521B"/>
    <w:rsid w:val="30D8017D"/>
    <w:rsid w:val="311B3A87"/>
    <w:rsid w:val="319A5EBB"/>
    <w:rsid w:val="32CF5587"/>
    <w:rsid w:val="33592C3F"/>
    <w:rsid w:val="345D45F6"/>
    <w:rsid w:val="35394D03"/>
    <w:rsid w:val="35702A80"/>
    <w:rsid w:val="35E72927"/>
    <w:rsid w:val="371B1227"/>
    <w:rsid w:val="372335E0"/>
    <w:rsid w:val="39E74194"/>
    <w:rsid w:val="3BCB22BB"/>
    <w:rsid w:val="3D5A58EB"/>
    <w:rsid w:val="3DBC19B2"/>
    <w:rsid w:val="3DE37141"/>
    <w:rsid w:val="3F2333EC"/>
    <w:rsid w:val="3F2D7618"/>
    <w:rsid w:val="42656804"/>
    <w:rsid w:val="42800C1C"/>
    <w:rsid w:val="42B8661E"/>
    <w:rsid w:val="431B26A6"/>
    <w:rsid w:val="4388762A"/>
    <w:rsid w:val="43C9215A"/>
    <w:rsid w:val="4482643A"/>
    <w:rsid w:val="44937037"/>
    <w:rsid w:val="453809C7"/>
    <w:rsid w:val="45BB05C7"/>
    <w:rsid w:val="46CB3641"/>
    <w:rsid w:val="47816E9E"/>
    <w:rsid w:val="4A0E027C"/>
    <w:rsid w:val="4A51607B"/>
    <w:rsid w:val="4BBE217C"/>
    <w:rsid w:val="4BFC056A"/>
    <w:rsid w:val="4DFA75E6"/>
    <w:rsid w:val="4E006832"/>
    <w:rsid w:val="4F1862AA"/>
    <w:rsid w:val="4FD80B7D"/>
    <w:rsid w:val="500821B1"/>
    <w:rsid w:val="5212431D"/>
    <w:rsid w:val="53AE2862"/>
    <w:rsid w:val="53C80DCD"/>
    <w:rsid w:val="53EA4E77"/>
    <w:rsid w:val="54C46A1D"/>
    <w:rsid w:val="551E7032"/>
    <w:rsid w:val="562513CF"/>
    <w:rsid w:val="56C14F11"/>
    <w:rsid w:val="572160D4"/>
    <w:rsid w:val="577338B7"/>
    <w:rsid w:val="584C56BB"/>
    <w:rsid w:val="58574287"/>
    <w:rsid w:val="587B0A32"/>
    <w:rsid w:val="589E3637"/>
    <w:rsid w:val="5B1B1F97"/>
    <w:rsid w:val="5B41461C"/>
    <w:rsid w:val="5CDD2880"/>
    <w:rsid w:val="5DB36FBA"/>
    <w:rsid w:val="5DB3755A"/>
    <w:rsid w:val="5DD9180F"/>
    <w:rsid w:val="5E5F7277"/>
    <w:rsid w:val="5E783E91"/>
    <w:rsid w:val="5EDB0C18"/>
    <w:rsid w:val="60EC0A5A"/>
    <w:rsid w:val="61611BD9"/>
    <w:rsid w:val="61641787"/>
    <w:rsid w:val="62870500"/>
    <w:rsid w:val="62C31452"/>
    <w:rsid w:val="65C64CDE"/>
    <w:rsid w:val="682B5472"/>
    <w:rsid w:val="682E2D17"/>
    <w:rsid w:val="68B31CD6"/>
    <w:rsid w:val="68F435DC"/>
    <w:rsid w:val="6A742514"/>
    <w:rsid w:val="6A8B0509"/>
    <w:rsid w:val="6BA00118"/>
    <w:rsid w:val="6BA33781"/>
    <w:rsid w:val="6BA84A19"/>
    <w:rsid w:val="6C255CDF"/>
    <w:rsid w:val="6D0B5240"/>
    <w:rsid w:val="6D3517F6"/>
    <w:rsid w:val="6D603095"/>
    <w:rsid w:val="6E16669B"/>
    <w:rsid w:val="6F226A87"/>
    <w:rsid w:val="6F396CBF"/>
    <w:rsid w:val="6FE53A42"/>
    <w:rsid w:val="71D3431B"/>
    <w:rsid w:val="73C67BAF"/>
    <w:rsid w:val="73FB71BF"/>
    <w:rsid w:val="745C0BB4"/>
    <w:rsid w:val="749D2C7D"/>
    <w:rsid w:val="765015DC"/>
    <w:rsid w:val="77B11196"/>
    <w:rsid w:val="7877160F"/>
    <w:rsid w:val="79694470"/>
    <w:rsid w:val="7A1A24A9"/>
    <w:rsid w:val="7A1C2DC9"/>
    <w:rsid w:val="7AED4F43"/>
    <w:rsid w:val="7B4253BE"/>
    <w:rsid w:val="7CBD76E8"/>
    <w:rsid w:val="7D7A0C11"/>
    <w:rsid w:val="7D9250C9"/>
    <w:rsid w:val="7DAC2461"/>
    <w:rsid w:val="7E015CFD"/>
    <w:rsid w:val="7E9860D8"/>
    <w:rsid w:val="7FC7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2932</Words>
  <Characters>3532</Characters>
  <Lines>25</Lines>
  <Paragraphs>7</Paragraphs>
  <TotalTime>4</TotalTime>
  <ScaleCrop>false</ScaleCrop>
  <LinksUpToDate>false</LinksUpToDate>
  <CharactersWithSpaces>3651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WPS_1609822043</cp:lastModifiedBy>
  <cp:lastPrinted>2021-02-02T08:22:00Z</cp:lastPrinted>
  <dcterms:modified xsi:type="dcterms:W3CDTF">2024-03-26T01:45:09Z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97872A7338E741B089880BF7C3DF10D2_13</vt:lpwstr>
  </property>
</Properties>
</file>