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r>
        <w:rPr>
          <w:rFonts w:ascii="Times New Roman" w:eastAsia="宋体"/>
        </w:rPr>
        <w:t>T/SSEA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ascii="Times New Roman"/>
          <w:lang w:bidi="zh-CN"/>
        </w:rPr>
      </w:pPr>
      <w:r>
        <w:rPr>
          <w:rFonts w:hint="eastAsia" w:ascii="Times New Roman"/>
          <w:lang w:bidi="zh-CN"/>
        </w:rPr>
        <w:t xml:space="preserve">中国钢铁产品放心品牌评价规范 </w:t>
      </w:r>
    </w:p>
    <w:p>
      <w:pPr>
        <w:pStyle w:val="68"/>
        <w:framePr w:wrap="around"/>
        <w:rPr>
          <w:rFonts w:ascii="Times New Roman"/>
        </w:rPr>
      </w:pPr>
      <w:r>
        <w:rPr>
          <w:rFonts w:hint="eastAsia" w:ascii="Times New Roman"/>
          <w:lang w:bidi="zh-CN"/>
        </w:rPr>
        <w:t>一般用途焊管用热轧钢带</w:t>
      </w:r>
    </w:p>
    <w:p>
      <w:pPr>
        <w:pStyle w:val="66"/>
        <w:framePr w:wrap="around"/>
        <w:spacing w:before="156" w:after="156"/>
        <w:rPr>
          <w:rFonts w:ascii="Times New Roman" w:eastAsia="仿宋_GB2312"/>
        </w:rPr>
      </w:pPr>
      <w:r>
        <w:rPr>
          <w:rFonts w:ascii="Times New Roman" w:eastAsia="仿宋_GB2312"/>
        </w:rPr>
        <w:t>Specification for evaluation of China steel products relieved brand</w:t>
      </w:r>
    </w:p>
    <w:p>
      <w:pPr>
        <w:pStyle w:val="66"/>
        <w:framePr w:wrap="around"/>
        <w:spacing w:before="156" w:after="156"/>
        <w:rPr>
          <w:rFonts w:ascii="Times New Roman"/>
        </w:rPr>
      </w:pPr>
      <w:r>
        <w:rPr>
          <w:rFonts w:hint="eastAsia" w:ascii="Times New Roman" w:eastAsia="仿宋_GB2312"/>
        </w:rPr>
        <w:t>Hot rolled steel strip for general use welding pipe</w:t>
      </w:r>
    </w:p>
    <w:p>
      <w:pPr>
        <w:pStyle w:val="109"/>
        <w:framePr w:wrap="around" w:hAnchor="page" w:x="1175" w:y="14086"/>
        <w:rPr>
          <w:rFonts w:eastAsia="宋体"/>
        </w:rPr>
      </w:pPr>
      <w:bookmarkStart w:id="0" w:name="FM"/>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2"/>
        <w:framePr w:wrap="around" w:x="2156" w:y="15196"/>
        <w:rPr>
          <w:rFonts w:ascii="Times New Roman"/>
        </w:rPr>
      </w:pPr>
      <w:r>
        <w:rPr>
          <w:rFonts w:ascii="Times New Roman"/>
          <w:sz w:val="36"/>
          <w:szCs w:val="36"/>
        </w:rPr>
        <w:t xml:space="preserve">中国特钢企业协会  </w:t>
      </w:r>
      <w:r>
        <w:rPr>
          <w:rFonts w:ascii="Times New Roman"/>
        </w:rPr>
        <w:t>发布</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00827985"/>
      <w:bookmarkStart w:id="3" w:name="_Toc101445081"/>
      <w:bookmarkStart w:id="4" w:name="_Toc123746859"/>
      <w:bookmarkStart w:id="5" w:name="_Toc101430624"/>
      <w:bookmarkStart w:id="6" w:name="_Toc123746513"/>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8"/>
        <w:spacing w:before="78" w:after="78"/>
        <w:rPr>
          <w:rFonts w:asciiTheme="minorHAnsi" w:hAnsiTheme="minorHAnsi" w:eastAsiaTheme="minorEastAsia" w:cstheme="minorBidi"/>
          <w:szCs w:val="22"/>
        </w:rPr>
      </w:pPr>
      <w:r>
        <w:fldChar w:fldCharType="begin"/>
      </w:r>
      <w:r>
        <w:instrText xml:space="preserve"> HYPERLINK \l "_Toc123746860" </w:instrText>
      </w:r>
      <w:r>
        <w:fldChar w:fldCharType="separate"/>
      </w:r>
      <w:r>
        <w:rPr>
          <w:rStyle w:val="36"/>
          <w:rFonts w:hint="eastAsia" w:eastAsia="黑体"/>
          <w:kern w:val="0"/>
        </w:rPr>
        <w:t>前</w:t>
      </w:r>
      <w:r>
        <w:rPr>
          <w:rStyle w:val="36"/>
          <w:rFonts w:eastAsia="黑体"/>
          <w:kern w:val="0"/>
        </w:rPr>
        <w:t>  </w:t>
      </w:r>
      <w:r>
        <w:rPr>
          <w:rStyle w:val="36"/>
          <w:rFonts w:hint="eastAsia" w:eastAsia="黑体"/>
          <w:kern w:val="0"/>
        </w:rPr>
        <w:t>言</w:t>
      </w:r>
      <w:r>
        <w:tab/>
      </w:r>
      <w:r>
        <w:fldChar w:fldCharType="begin"/>
      </w:r>
      <w:r>
        <w:instrText xml:space="preserve"> PAGEREF _Toc123746860 \h </w:instrText>
      </w:r>
      <w:r>
        <w:fldChar w:fldCharType="separate"/>
      </w:r>
      <w:r>
        <w:t>II</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"_Toc123746862" </w:instrText>
      </w:r>
      <w:r>
        <w:fldChar w:fldCharType="separate"/>
      </w:r>
      <w:r>
        <w:rPr>
          <w:rStyle w:val="36"/>
        </w:rPr>
        <w:t>1</w:t>
      </w:r>
      <w:r>
        <w:rPr>
          <w:rStyle w:val="36"/>
          <w:rFonts w:hint="eastAsia" w:ascii="Times New Roman"/>
        </w:rPr>
        <w:t xml:space="preserve"> 范围</w:t>
      </w:r>
      <w:r>
        <w:tab/>
      </w:r>
      <w:r>
        <w:fldChar w:fldCharType="begin"/>
      </w:r>
      <w:r>
        <w:instrText xml:space="preserve"> PAGEREF _Toc123746862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"_Toc123746863" </w:instrText>
      </w:r>
      <w:r>
        <w:fldChar w:fldCharType="separate"/>
      </w:r>
      <w:r>
        <w:rPr>
          <w:rStyle w:val="36"/>
        </w:rPr>
        <w:t>2</w:t>
      </w:r>
      <w:r>
        <w:rPr>
          <w:rStyle w:val="36"/>
          <w:rFonts w:hint="eastAsia" w:ascii="Times New Roman"/>
        </w:rPr>
        <w:t xml:space="preserve"> 规范性引用文件</w:t>
      </w:r>
      <w:r>
        <w:tab/>
      </w:r>
      <w:r>
        <w:fldChar w:fldCharType="begin"/>
      </w:r>
      <w:r>
        <w:instrText xml:space="preserve"> PAGEREF _Toc123746863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"_Toc123746864" </w:instrText>
      </w:r>
      <w:r>
        <w:fldChar w:fldCharType="separate"/>
      </w:r>
      <w:r>
        <w:rPr>
          <w:rStyle w:val="36"/>
        </w:rPr>
        <w:t>3</w:t>
      </w:r>
      <w:r>
        <w:rPr>
          <w:rStyle w:val="36"/>
          <w:rFonts w:hint="eastAsia" w:ascii="Times New Roman"/>
        </w:rPr>
        <w:t xml:space="preserve"> 术语和定义</w:t>
      </w:r>
      <w:r>
        <w:tab/>
      </w:r>
      <w:r>
        <w:fldChar w:fldCharType="begin"/>
      </w:r>
      <w:r>
        <w:instrText xml:space="preserve"> PAGEREF _Toc123746864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"_Toc123746865" </w:instrText>
      </w:r>
      <w:r>
        <w:fldChar w:fldCharType="separate"/>
      </w:r>
      <w:r>
        <w:rPr>
          <w:rStyle w:val="36"/>
        </w:rPr>
        <w:t>4</w:t>
      </w:r>
      <w:r>
        <w:rPr>
          <w:rStyle w:val="36"/>
          <w:rFonts w:hint="eastAsia" w:ascii="Times New Roman"/>
        </w:rPr>
        <w:t xml:space="preserve"> 评价原则</w:t>
      </w:r>
      <w:r>
        <w:tab/>
      </w:r>
      <w:r>
        <w:fldChar w:fldCharType="begin"/>
      </w:r>
      <w:r>
        <w:instrText xml:space="preserve"> PAGEREF _Toc123746865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"_Toc123746866" </w:instrText>
      </w:r>
      <w:r>
        <w:fldChar w:fldCharType="separate"/>
      </w:r>
      <w:r>
        <w:rPr>
          <w:rStyle w:val="36"/>
        </w:rPr>
        <w:t>5</w:t>
      </w:r>
      <w:r>
        <w:rPr>
          <w:rStyle w:val="36"/>
          <w:rFonts w:hint="eastAsia" w:ascii="Times New Roman"/>
        </w:rPr>
        <w:t xml:space="preserve"> 评价内容</w:t>
      </w:r>
      <w:r>
        <w:tab/>
      </w:r>
      <w:r>
        <w:fldChar w:fldCharType="begin"/>
      </w:r>
      <w:r>
        <w:instrText xml:space="preserve"> PAGEREF _Toc123746866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"_Toc123746867" </w:instrText>
      </w:r>
      <w:r>
        <w:fldChar w:fldCharType="separate"/>
      </w:r>
      <w:r>
        <w:rPr>
          <w:rStyle w:val="36"/>
        </w:rPr>
        <w:t>6</w:t>
      </w:r>
      <w:r>
        <w:rPr>
          <w:rStyle w:val="36"/>
          <w:rFonts w:hint="eastAsia" w:ascii="Times New Roman"/>
        </w:rPr>
        <w:t xml:space="preserve"> 评价方法</w:t>
      </w:r>
      <w:r>
        <w:tab/>
      </w:r>
      <w:r>
        <w:fldChar w:fldCharType="begin"/>
      </w:r>
      <w:r>
        <w:instrText xml:space="preserve"> PAGEREF _Toc123746867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"_Toc123746868" </w:instrText>
      </w:r>
      <w:r>
        <w:fldChar w:fldCharType="separate"/>
      </w:r>
      <w:r>
        <w:rPr>
          <w:rStyle w:val="36"/>
          <w:rFonts w:hint="eastAsia" w:eastAsia="黑体"/>
          <w:kern w:val="0"/>
        </w:rPr>
        <w:t>附　录　</w:t>
      </w:r>
      <w:r>
        <w:rPr>
          <w:rStyle w:val="36"/>
          <w:rFonts w:eastAsia="黑体"/>
          <w:kern w:val="0"/>
        </w:rPr>
        <w:t xml:space="preserve">A </w:t>
      </w:r>
      <w:r>
        <w:rPr>
          <w:rStyle w:val="36"/>
          <w:rFonts w:hint="eastAsia" w:eastAsia="黑体"/>
          <w:kern w:val="0"/>
        </w:rPr>
        <w:t>（规范性）</w:t>
      </w:r>
      <w:r>
        <w:rPr>
          <w:rStyle w:val="36"/>
          <w:rFonts w:eastAsia="黑体"/>
          <w:kern w:val="0"/>
        </w:rPr>
        <w:t xml:space="preserve"> </w:t>
      </w:r>
      <w:r>
        <w:rPr>
          <w:rStyle w:val="36"/>
          <w:rFonts w:hint="eastAsia" w:eastAsia="黑体"/>
          <w:kern w:val="0"/>
        </w:rPr>
        <w:t>评价指标体系</w:t>
      </w:r>
      <w:r>
        <w:tab/>
      </w:r>
      <w:r>
        <w:fldChar w:fldCharType="begin"/>
      </w:r>
      <w:r>
        <w:instrText xml:space="preserve"> PAGEREF _Toc123746868 \h </w:instrText>
      </w:r>
      <w:r>
        <w:fldChar w:fldCharType="separate"/>
      </w:r>
      <w:r>
        <w:t>5</w:t>
      </w:r>
      <w:r>
        <w:fldChar w:fldCharType="end"/>
      </w:r>
      <w: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本团体标准按照GB/T 1.1-2020《标准化工作导则</w:t>
      </w:r>
      <w:r>
        <w:rPr>
          <w:rFonts w:hint="eastAsia"/>
          <w:szCs w:val="21"/>
        </w:rPr>
        <w:t xml:space="preserve"> </w:t>
      </w:r>
      <w:r>
        <w:rPr>
          <w:szCs w:val="21"/>
        </w:rPr>
        <w:t>第1部分：标准化文件的结构和起草规则》</w:t>
      </w:r>
      <w:r>
        <w:rPr>
          <w:rFonts w:hint="eastAsia"/>
          <w:szCs w:val="21"/>
        </w:rPr>
        <w:t>的规定</w:t>
      </w:r>
      <w:r>
        <w:rPr>
          <w:szCs w:val="21"/>
        </w:rPr>
        <w:t>起草。</w:t>
      </w:r>
    </w:p>
    <w:p>
      <w:pPr>
        <w:ind w:firstLine="420" w:firstLineChars="200"/>
        <w:rPr>
          <w:szCs w:val="21"/>
        </w:rPr>
      </w:pPr>
      <w:r>
        <w:rPr>
          <w:szCs w:val="21"/>
        </w:rPr>
        <w:t>请注意本文件的某些内容可能涉及专利。本文件的发布机构不承担识别专利的责任。</w:t>
      </w:r>
    </w:p>
    <w:p>
      <w:pPr>
        <w:ind w:firstLine="420" w:firstLineChars="200"/>
        <w:rPr>
          <w:szCs w:val="21"/>
        </w:rPr>
      </w:pPr>
      <w:r>
        <w:rPr>
          <w:szCs w:val="21"/>
        </w:rPr>
        <w:t>本标准由中国特钢企业协会团体标准化工作委员会提出并归口。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11" w:name="_Toc123746861"/>
      <w:bookmarkStart w:id="12" w:name="_Toc123746515"/>
      <w:r>
        <w:rPr>
          <w:rFonts w:hint="eastAsia" w:ascii="Times New Roman"/>
        </w:rPr>
        <w:t xml:space="preserve">中国钢铁产品放心品牌评价规范 </w:t>
      </w:r>
      <w:bookmarkEnd w:id="11"/>
      <w:bookmarkEnd w:id="12"/>
      <w:r>
        <w:rPr>
          <w:rFonts w:hint="eastAsia" w:ascii="Times New Roman"/>
        </w:rPr>
        <w:t>一般用途焊管用热轧钢带</w:t>
      </w:r>
    </w:p>
    <w:p>
      <w:pPr>
        <w:pStyle w:val="45"/>
        <w:numPr>
          <w:ilvl w:val="0"/>
          <w:numId w:val="2"/>
        </w:numPr>
        <w:spacing w:before="312" w:after="312"/>
        <w:rPr>
          <w:rFonts w:ascii="Times New Roman"/>
        </w:rPr>
      </w:pPr>
      <w:bookmarkStart w:id="13" w:name="_Toc123746862"/>
      <w:bookmarkStart w:id="14" w:name="_Toc520380391"/>
      <w:r>
        <w:rPr>
          <w:rFonts w:ascii="Times New Roman"/>
        </w:rPr>
        <w:t>范围</w:t>
      </w:r>
      <w:bookmarkEnd w:id="13"/>
      <w:bookmarkEnd w:id="14"/>
    </w:p>
    <w:p>
      <w:pPr>
        <w:pStyle w:val="22"/>
        <w:rPr>
          <w:rFonts w:ascii="Times New Roman"/>
        </w:rPr>
      </w:pPr>
      <w:bookmarkStart w:id="15" w:name="_Toc520380392"/>
      <w:r>
        <w:rPr>
          <w:rFonts w:hint="eastAsia" w:ascii="Times New Roman"/>
        </w:rPr>
        <w:t>本文件规定了一般用途焊管用热轧钢带产品</w:t>
      </w:r>
      <w:r>
        <w:rPr>
          <w:rFonts w:ascii="Times New Roman"/>
        </w:rPr>
        <w:t>的</w:t>
      </w:r>
      <w:r>
        <w:rPr>
          <w:rFonts w:hint="eastAsia" w:ascii="Times New Roman"/>
        </w:rPr>
        <w:t>中国钢铁产品放心品牌的评价原则、评价内容、评价机构、评价程序和评价信息管理。</w:t>
      </w:r>
    </w:p>
    <w:p>
      <w:pPr>
        <w:pStyle w:val="22"/>
        <w:rPr>
          <w:rFonts w:ascii="Times New Roman"/>
        </w:rPr>
      </w:pPr>
      <w:r>
        <w:rPr>
          <w:rFonts w:hint="eastAsia" w:ascii="Times New Roman"/>
        </w:rPr>
        <w:t>本文件适用于认证机构对一般用途焊管用热轧钢带产品</w:t>
      </w:r>
      <w:r>
        <w:rPr>
          <w:rFonts w:ascii="Times New Roman"/>
        </w:rPr>
        <w:t>的放心品牌</w:t>
      </w:r>
      <w:r>
        <w:rPr>
          <w:rFonts w:hint="eastAsia" w:ascii="Times New Roman"/>
        </w:rPr>
        <w:t>进行评价和认证，也适用于组织内部进行自我评价</w:t>
      </w:r>
      <w:r>
        <w:rPr>
          <w:rFonts w:ascii="Times New Roman"/>
        </w:rPr>
        <w:t>。</w:t>
      </w:r>
      <w:bookmarkEnd w:id="15"/>
    </w:p>
    <w:p>
      <w:pPr>
        <w:pStyle w:val="45"/>
        <w:numPr>
          <w:ilvl w:val="0"/>
          <w:numId w:val="2"/>
        </w:numPr>
        <w:spacing w:before="312" w:after="312"/>
        <w:rPr>
          <w:rFonts w:ascii="Times New Roman"/>
        </w:rPr>
      </w:pPr>
      <w:bookmarkStart w:id="16" w:name="_Toc123746863"/>
      <w:bookmarkStart w:id="17" w:name="_Toc520380393"/>
      <w:r>
        <w:rPr>
          <w:rFonts w:ascii="Times New Roman"/>
        </w:rPr>
        <w:t>规范性引用文件</w:t>
      </w:r>
      <w:bookmarkEnd w:id="16"/>
    </w:p>
    <w:bookmarkEnd w:id="17"/>
    <w:p>
      <w:pPr>
        <w:ind w:firstLine="420" w:firstLineChars="200"/>
      </w:pPr>
      <w:bookmarkStart w:id="18" w:name="_Toc123746864"/>
      <w:bookmarkStart w:id="19" w:name="_Toc520380394"/>
      <w:r>
        <w:t>下列文件中的内容通过文中的规范性引用而成为本文件必不可少的条款。其中，注日期的引用文件，仅该日期对应的版本适用于本文件；不注日期的引用文件，其最新版本（包括所有的修改单）适用于本文件。</w:t>
      </w:r>
    </w:p>
    <w:p>
      <w:pPr>
        <w:ind w:firstLine="420" w:firstLineChars="200"/>
      </w:pPr>
      <w:r>
        <w:rPr>
          <w:rFonts w:hint="eastAsia"/>
        </w:rPr>
        <w:t>GB/T 1591   低合金高强度结构钢</w:t>
      </w:r>
    </w:p>
    <w:p>
      <w:pPr>
        <w:ind w:firstLine="420" w:firstLineChars="200"/>
      </w:pPr>
      <w:r>
        <w:rPr>
          <w:rFonts w:hint="eastAsia"/>
        </w:rPr>
        <w:t>GB/T 19001  质量管理体系要求</w:t>
      </w:r>
    </w:p>
    <w:p>
      <w:pPr>
        <w:ind w:firstLine="420" w:firstLineChars="200"/>
      </w:pPr>
      <w:r>
        <w:rPr>
          <w:rFonts w:hint="eastAsia"/>
        </w:rPr>
        <w:t>GB/T 23331  能源管理体系要求及使用指南</w:t>
      </w:r>
    </w:p>
    <w:p>
      <w:pPr>
        <w:ind w:firstLine="420" w:firstLineChars="200"/>
      </w:pPr>
      <w:r>
        <w:rPr>
          <w:rFonts w:hint="eastAsia"/>
        </w:rPr>
        <w:t>GB/T 24001  环境管理体系要求及使用指南</w:t>
      </w:r>
    </w:p>
    <w:p>
      <w:pPr>
        <w:ind w:firstLine="420" w:firstLineChars="200"/>
      </w:pPr>
      <w:r>
        <w:rPr>
          <w:rFonts w:hint="eastAsia"/>
        </w:rPr>
        <w:t>GB/T 45001  职业健康安全管理体系要求及使用指南</w:t>
      </w:r>
    </w:p>
    <w:p>
      <w:pPr>
        <w:pStyle w:val="45"/>
        <w:numPr>
          <w:ilvl w:val="0"/>
          <w:numId w:val="2"/>
        </w:numPr>
        <w:spacing w:before="312" w:after="312"/>
        <w:rPr>
          <w:rFonts w:ascii="Times New Roman"/>
        </w:rPr>
      </w:pPr>
      <w:r>
        <w:rPr>
          <w:rFonts w:ascii="Times New Roman"/>
        </w:rPr>
        <w:t>术语和定义</w:t>
      </w:r>
      <w:bookmarkEnd w:id="18"/>
    </w:p>
    <w:p>
      <w:pPr>
        <w:ind w:firstLine="420" w:firstLineChars="200"/>
      </w:pPr>
      <w:bookmarkStart w:id="20" w:name="_Toc123746865"/>
      <w:r>
        <w:rPr>
          <w:rFonts w:hint="eastAsia"/>
        </w:rPr>
        <w:t>GB/T 1591界定的术语和定义适用于本文件</w:t>
      </w:r>
      <w:r>
        <w:t>。</w:t>
      </w:r>
    </w:p>
    <w:p>
      <w:pPr>
        <w:pStyle w:val="45"/>
        <w:numPr>
          <w:ilvl w:val="0"/>
          <w:numId w:val="2"/>
        </w:numPr>
        <w:spacing w:before="312" w:after="312"/>
        <w:rPr>
          <w:rFonts w:ascii="Times New Roman"/>
        </w:rPr>
      </w:pPr>
      <w:r>
        <w:rPr>
          <w:rFonts w:hint="eastAsia" w:ascii="Times New Roman"/>
        </w:rPr>
        <w:t>评价原则</w:t>
      </w:r>
      <w:bookmarkEnd w:id="20"/>
    </w:p>
    <w:bookmarkEnd w:id="19"/>
    <w:p>
      <w:pPr>
        <w:pStyle w:val="47"/>
        <w:spacing w:before="156" w:after="156"/>
        <w:ind w:left="0"/>
        <w:rPr>
          <w:rFonts w:ascii="Times New Roman"/>
        </w:rPr>
      </w:pPr>
      <w:r>
        <w:rPr>
          <w:rFonts w:hint="eastAsia" w:ascii="Times New Roman"/>
        </w:rPr>
        <w:t>公平性</w:t>
      </w:r>
    </w:p>
    <w:p>
      <w:pPr>
        <w:ind w:firstLine="420" w:firstLineChars="200"/>
      </w:pPr>
      <w:r>
        <w:rPr>
          <w:rFonts w:hint="eastAsia"/>
        </w:rPr>
        <w:t>评价和认证应公平、公正，应按照工作程序和有关要求执行，认证机构应独立作出判断。</w:t>
      </w:r>
    </w:p>
    <w:p>
      <w:pPr>
        <w:pStyle w:val="47"/>
        <w:spacing w:before="156" w:after="156"/>
        <w:ind w:left="0"/>
        <w:rPr>
          <w:rFonts w:ascii="Times New Roman"/>
        </w:rPr>
      </w:pPr>
      <w:r>
        <w:rPr>
          <w:rFonts w:hint="eastAsia" w:ascii="Times New Roman"/>
        </w:rPr>
        <w:t>全面性</w:t>
      </w:r>
    </w:p>
    <w:p>
      <w:pPr>
        <w:ind w:firstLine="420" w:firstLineChars="200"/>
      </w:pPr>
      <w:r>
        <w:rPr>
          <w:rFonts w:hint="eastAsia"/>
        </w:rPr>
        <w:t>评价和认证实施过程应选取木标准的全部内容。</w:t>
      </w:r>
    </w:p>
    <w:p>
      <w:pPr>
        <w:pStyle w:val="47"/>
        <w:spacing w:before="156" w:after="156"/>
        <w:ind w:left="0"/>
        <w:rPr>
          <w:rFonts w:ascii="Times New Roman"/>
        </w:rPr>
      </w:pPr>
      <w:r>
        <w:rPr>
          <w:rFonts w:hint="eastAsia" w:ascii="Times New Roman"/>
        </w:rPr>
        <w:t>规范性</w:t>
      </w:r>
    </w:p>
    <w:p>
      <w:pPr>
        <w:ind w:firstLine="420" w:firstLineChars="200"/>
      </w:pPr>
      <w:r>
        <w:rPr>
          <w:rFonts w:hint="eastAsia"/>
        </w:rPr>
        <w:t>评价和认证的开展应基于已有的客观数据、规范性材料或其他已被普遍接受的协议或惯例，评价和认证依据的信息内容应真实准确，与客观实际情况相一致。</w:t>
      </w:r>
    </w:p>
    <w:p>
      <w:pPr>
        <w:pStyle w:val="47"/>
        <w:spacing w:before="156" w:after="156"/>
        <w:ind w:left="0"/>
      </w:pPr>
      <w:r>
        <w:rPr>
          <w:rFonts w:hint="eastAsia"/>
        </w:rPr>
        <w:t>保密性</w:t>
      </w:r>
    </w:p>
    <w:p>
      <w:pPr>
        <w:ind w:firstLine="420" w:firstLineChars="200"/>
      </w:pPr>
      <w:r>
        <w:rPr>
          <w:rFonts w:hint="eastAsia"/>
        </w:rPr>
        <w:t>应对评价和认证过程中获得的企业的商业、技术秘密进行保密。</w:t>
      </w:r>
    </w:p>
    <w:p>
      <w:pPr>
        <w:pStyle w:val="45"/>
        <w:numPr>
          <w:ilvl w:val="0"/>
          <w:numId w:val="2"/>
        </w:numPr>
        <w:spacing w:before="312" w:after="312"/>
        <w:rPr>
          <w:rFonts w:ascii="Times New Roman"/>
        </w:rPr>
      </w:pPr>
      <w:bookmarkStart w:id="21" w:name="_Toc123746866"/>
      <w:r>
        <w:rPr>
          <w:rFonts w:hint="eastAsia" w:ascii="Times New Roman"/>
        </w:rPr>
        <w:t>评价内容</w:t>
      </w:r>
      <w:bookmarkEnd w:id="21"/>
    </w:p>
    <w:p>
      <w:pPr>
        <w:pStyle w:val="47"/>
        <w:spacing w:before="156" w:after="156"/>
        <w:ind w:left="0"/>
      </w:pPr>
      <w:r>
        <w:rPr>
          <w:rFonts w:hint="eastAsia"/>
        </w:rPr>
        <w:t>基本要求</w:t>
      </w:r>
    </w:p>
    <w:p>
      <w:pPr>
        <w:pStyle w:val="50"/>
        <w:spacing w:before="156" w:after="156"/>
        <w:jc w:val="both"/>
        <w:rPr>
          <w:rFonts w:ascii="Times New Roman" w:eastAsia="宋体"/>
        </w:rPr>
      </w:pPr>
      <w:r>
        <w:rPr>
          <w:rFonts w:hint="eastAsia" w:ascii="Times New Roman" w:eastAsia="宋体"/>
        </w:rPr>
        <w:t>企业在中国境内依法注册并具有法人资格，连续稳定生产 3 年以上。</w:t>
      </w:r>
    </w:p>
    <w:p>
      <w:pPr>
        <w:pStyle w:val="50"/>
        <w:spacing w:before="156" w:after="156"/>
        <w:jc w:val="both"/>
        <w:rPr>
          <w:rFonts w:ascii="Times New Roman" w:eastAsia="宋体"/>
        </w:rPr>
      </w:pPr>
      <w:r>
        <w:rPr>
          <w:rFonts w:hint="eastAsia" w:ascii="Times New Roman" w:eastAsia="宋体"/>
        </w:rPr>
        <w:t>企业经营状况良好，净资产为正。</w:t>
      </w:r>
    </w:p>
    <w:p>
      <w:pPr>
        <w:pStyle w:val="50"/>
        <w:spacing w:before="156" w:after="156"/>
        <w:jc w:val="both"/>
        <w:rPr>
          <w:rFonts w:ascii="Times New Roman" w:eastAsia="宋体"/>
        </w:rPr>
      </w:pPr>
      <w:r>
        <w:rPr>
          <w:rFonts w:hint="eastAsia" w:ascii="Times New Roman" w:eastAsia="宋体"/>
        </w:rPr>
        <w:t>产品应为量产产品，应满足GB/T 1591的要求。</w:t>
      </w:r>
    </w:p>
    <w:p>
      <w:pPr>
        <w:pStyle w:val="50"/>
        <w:spacing w:before="156" w:after="156"/>
        <w:jc w:val="both"/>
        <w:rPr>
          <w:rFonts w:ascii="Times New Roman" w:eastAsia="宋体"/>
        </w:rPr>
      </w:pPr>
      <w:r>
        <w:rPr>
          <w:rFonts w:hint="eastAsia" w:ascii="Times New Roman" w:eastAsia="宋体"/>
        </w:rPr>
        <w:t>企业应按照 GB/T 19001、GB/T 23331、GB/T 24001、GB/T 45001 建立并运行相应质量、能源、</w:t>
      </w:r>
    </w:p>
    <w:p>
      <w:pPr>
        <w:pStyle w:val="50"/>
        <w:numPr>
          <w:ilvl w:val="2"/>
          <w:numId w:val="0"/>
        </w:numPr>
        <w:spacing w:before="156" w:after="156"/>
        <w:jc w:val="both"/>
        <w:rPr>
          <w:rFonts w:ascii="Times New Roman" w:eastAsia="宋体"/>
        </w:rPr>
      </w:pPr>
      <w:r>
        <w:rPr>
          <w:rFonts w:hint="eastAsia" w:ascii="Times New Roman" w:eastAsia="宋体"/>
        </w:rPr>
        <w:t>环境、职业健康安全体系。</w:t>
      </w:r>
    </w:p>
    <w:p>
      <w:pPr>
        <w:pStyle w:val="50"/>
        <w:spacing w:before="156" w:after="156"/>
        <w:jc w:val="both"/>
        <w:rPr>
          <w:rFonts w:ascii="Times New Roman" w:eastAsia="宋体"/>
        </w:rPr>
      </w:pPr>
      <w:r>
        <w:rPr>
          <w:rFonts w:hint="eastAsia" w:ascii="Times New Roman" w:eastAsia="宋体"/>
        </w:rPr>
        <w:t>企业近 3 年无严重违法违规行为，无较大及以上环境、安全、质量事故。</w:t>
      </w:r>
    </w:p>
    <w:p>
      <w:pPr>
        <w:pStyle w:val="50"/>
        <w:spacing w:before="156" w:after="156"/>
        <w:jc w:val="both"/>
      </w:pPr>
      <w:r>
        <w:rPr>
          <w:rFonts w:hint="eastAsia" w:ascii="Times New Roman" w:eastAsia="宋体"/>
        </w:rPr>
        <w:t>企业应未列入国家信用信息严重失信主体相关名录。</w:t>
      </w:r>
    </w:p>
    <w:p>
      <w:pPr>
        <w:pStyle w:val="47"/>
        <w:spacing w:before="156" w:after="156"/>
        <w:ind w:left="0"/>
      </w:pPr>
      <w:r>
        <w:rPr>
          <w:rFonts w:hint="eastAsia"/>
        </w:rPr>
        <w:t>评价指标</w:t>
      </w:r>
    </w:p>
    <w:p>
      <w:pPr>
        <w:ind w:firstLine="420" w:firstLineChars="200"/>
      </w:pPr>
      <w:r>
        <w:rPr>
          <w:rFonts w:hint="eastAsia"/>
        </w:rPr>
        <w:t>产品</w:t>
      </w:r>
      <w:r>
        <w:t>评价指标</w:t>
      </w:r>
      <w:r>
        <w:rPr>
          <w:rFonts w:hint="eastAsia"/>
        </w:rPr>
        <w:t>体系</w:t>
      </w:r>
      <w:r>
        <w:t>见</w:t>
      </w:r>
      <w:r>
        <w:rPr>
          <w:rFonts w:hint="eastAsia"/>
        </w:rPr>
        <w:t>附录A</w:t>
      </w:r>
      <w:r>
        <w:t>。</w:t>
      </w:r>
    </w:p>
    <w:p>
      <w:pPr>
        <w:pStyle w:val="45"/>
        <w:numPr>
          <w:ilvl w:val="0"/>
          <w:numId w:val="2"/>
        </w:numPr>
        <w:spacing w:before="312" w:after="312"/>
        <w:rPr>
          <w:rFonts w:ascii="Times New Roman"/>
        </w:rPr>
      </w:pPr>
      <w:bookmarkStart w:id="22" w:name="_Toc123746867"/>
      <w:r>
        <w:rPr>
          <w:rFonts w:hint="eastAsia" w:ascii="Times New Roman"/>
        </w:rPr>
        <w:t>评价方法</w:t>
      </w:r>
      <w:bookmarkEnd w:id="22"/>
    </w:p>
    <w:p>
      <w:pPr>
        <w:ind w:firstLine="420" w:firstLineChars="200"/>
      </w:pPr>
      <w:r>
        <w:rPr>
          <w:rFonts w:hint="eastAsia"/>
        </w:rPr>
        <w:t>在</w:t>
      </w:r>
      <w:r>
        <w:t>满足5.1基本要求</w:t>
      </w:r>
      <w:r>
        <w:rPr>
          <w:rFonts w:hint="eastAsia"/>
        </w:rPr>
        <w:t>的</w:t>
      </w:r>
      <w:r>
        <w:t>前提下，</w:t>
      </w:r>
      <w:r>
        <w:rPr>
          <w:rFonts w:hint="eastAsia"/>
        </w:rPr>
        <w:t>根据5</w:t>
      </w:r>
      <w:r>
        <w:t>.2</w:t>
      </w:r>
      <w:r>
        <w:rPr>
          <w:rFonts w:hint="eastAsia"/>
        </w:rPr>
        <w:t>评价指标对企业的各项</w:t>
      </w:r>
      <w:r>
        <w:t>评价要素进行</w:t>
      </w:r>
      <w:r>
        <w:rPr>
          <w:rFonts w:hint="eastAsia"/>
        </w:rPr>
        <w:t>打分</w:t>
      </w:r>
      <w:r>
        <w:t>评价。</w:t>
      </w:r>
      <w:r>
        <w:rPr>
          <w:rFonts w:hint="eastAsia"/>
        </w:rPr>
        <w:t>评价</w:t>
      </w:r>
      <w:r>
        <w:t>结果分为</w:t>
      </w:r>
      <w:r>
        <w:rPr>
          <w:rFonts w:hint="eastAsia"/>
        </w:rPr>
        <w:t>5星</w:t>
      </w:r>
      <w:r>
        <w:t>、</w:t>
      </w:r>
      <w:r>
        <w:rPr>
          <w:rFonts w:hint="eastAsia"/>
        </w:rPr>
        <w:t>4星</w:t>
      </w:r>
      <w:r>
        <w:t>、</w:t>
      </w:r>
      <w:r>
        <w:rPr>
          <w:rFonts w:hint="eastAsia"/>
        </w:rPr>
        <w:t>3星</w:t>
      </w:r>
      <w:r>
        <w:t>，各</w:t>
      </w:r>
      <w:r>
        <w:rPr>
          <w:rFonts w:hint="eastAsia"/>
        </w:rPr>
        <w:t>等级</w:t>
      </w:r>
      <w:r>
        <w:t>对应的划分依据见</w:t>
      </w:r>
      <w:r>
        <w:rPr>
          <w:rFonts w:hint="eastAsia"/>
        </w:rPr>
        <w:t>表</w:t>
      </w:r>
      <w:r>
        <w:t>1</w:t>
      </w:r>
      <w:r>
        <w:rPr>
          <w:rFonts w:hint="eastAsia"/>
        </w:rPr>
        <w:t>。</w:t>
      </w:r>
    </w:p>
    <w:p>
      <w:pPr>
        <w:pStyle w:val="77"/>
        <w:spacing w:before="156" w:after="156"/>
        <w:ind w:left="0"/>
        <w:rPr>
          <w:rFonts w:ascii="Times New Roman" w:eastAsia="宋体"/>
          <w:sz w:val="18"/>
        </w:rPr>
      </w:pPr>
      <w:r>
        <w:rPr>
          <w:rFonts w:ascii="Times New Roman"/>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rFonts w:hint="eastAsia"/>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75~</w:t>
            </w:r>
            <w:r>
              <w:rPr>
                <w:rFonts w:hint="eastAsia"/>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hint="eastAsia" w:eastAsia="仿宋_GB2312"/>
                <w:bCs/>
                <w:color w:val="000000"/>
                <w:kern w:val="0"/>
                <w:szCs w:val="21"/>
              </w:rPr>
              <w:t>≥</w:t>
            </w:r>
            <w:r>
              <w:rPr>
                <w:rFonts w:eastAsia="仿宋_GB2312"/>
                <w:bCs/>
                <w:color w:val="000000"/>
                <w:kern w:val="0"/>
                <w:szCs w:val="21"/>
              </w:rPr>
              <w:t>60~</w:t>
            </w:r>
            <w:r>
              <w:rPr>
                <w:rFonts w:hint="eastAsia" w:eastAsia="仿宋_GB2312"/>
                <w:bCs/>
                <w:color w:val="000000"/>
                <w:kern w:val="0"/>
                <w:szCs w:val="21"/>
              </w:rPr>
              <w:t>＜</w:t>
            </w:r>
            <w:r>
              <w:rPr>
                <w:rFonts w:eastAsia="仿宋_GB2312"/>
                <w:bCs/>
                <w:color w:val="000000"/>
                <w:kern w:val="0"/>
                <w:szCs w:val="21"/>
              </w:rPr>
              <w:t>75</w:t>
            </w:r>
          </w:p>
        </w:tc>
      </w:tr>
    </w:tbl>
    <w:p>
      <w:pPr>
        <w:rPr>
          <w:szCs w:val="20"/>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23" w:name="_Toc123746868"/>
      <w:r>
        <w:rPr>
          <w:rFonts w:hint="eastAsia" w:eastAsia="黑体"/>
          <w:kern w:val="0"/>
          <w:szCs w:val="21"/>
        </w:rPr>
        <w:t>附　录　A</w:t>
      </w:r>
      <w:r>
        <w:rPr>
          <w:rFonts w:eastAsia="黑体"/>
          <w:kern w:val="0"/>
          <w:szCs w:val="21"/>
        </w:rPr>
        <w:br w:type="textWrapping"/>
      </w:r>
      <w:bookmarkStart w:id="24" w:name="_Toc5802968"/>
      <w:bookmarkStart w:id="25" w:name="_GoBack"/>
      <w:bookmarkEnd w:id="25"/>
      <w:r>
        <w:rPr>
          <w:rFonts w:eastAsia="黑体"/>
          <w:kern w:val="0"/>
          <w:szCs w:val="21"/>
        </w:rPr>
        <w:t>（</w:t>
      </w:r>
      <w:r>
        <w:rPr>
          <w:rFonts w:hint="eastAsia" w:eastAsia="黑体"/>
          <w:kern w:val="0"/>
          <w:szCs w:val="21"/>
        </w:rPr>
        <w:t>规范</w:t>
      </w:r>
      <w:r>
        <w:rPr>
          <w:rFonts w:eastAsia="黑体"/>
          <w:kern w:val="0"/>
          <w:szCs w:val="21"/>
        </w:rPr>
        <w:t>性）</w:t>
      </w:r>
      <w:bookmarkEnd w:id="24"/>
      <w:r>
        <w:rPr>
          <w:rFonts w:eastAsia="黑体"/>
          <w:kern w:val="0"/>
          <w:szCs w:val="21"/>
        </w:rPr>
        <w:br w:type="textWrapping"/>
      </w:r>
      <w:r>
        <w:rPr>
          <w:rFonts w:hint="eastAsia" w:eastAsia="黑体"/>
          <w:kern w:val="0"/>
          <w:szCs w:val="21"/>
        </w:rPr>
        <w:t>评价指标体系</w:t>
      </w:r>
      <w:bookmarkEnd w:id="23"/>
    </w:p>
    <w:p>
      <w:pPr>
        <w:widowControl/>
        <w:tabs>
          <w:tab w:val="center" w:pos="4201"/>
          <w:tab w:val="right" w:leader="dot" w:pos="9298"/>
        </w:tabs>
        <w:autoSpaceDE w:val="0"/>
        <w:autoSpaceDN w:val="0"/>
        <w:ind w:firstLine="420"/>
        <w:rPr>
          <w:color w:val="000000"/>
          <w:kern w:val="0"/>
          <w:szCs w:val="21"/>
        </w:rPr>
      </w:pPr>
      <w:r>
        <w:rPr>
          <w:rFonts w:hint="eastAsia"/>
          <w:color w:val="000000"/>
          <w:kern w:val="0"/>
          <w:szCs w:val="21"/>
        </w:rPr>
        <w:t>产品评价指标</w:t>
      </w:r>
      <w:r>
        <w:rPr>
          <w:color w:val="000000"/>
          <w:kern w:val="0"/>
          <w:szCs w:val="21"/>
        </w:rPr>
        <w:t>体系见表A.1。</w:t>
      </w:r>
    </w:p>
    <w:p>
      <w:pPr>
        <w:spacing w:line="480" w:lineRule="auto"/>
        <w:jc w:val="center"/>
        <w:rPr>
          <w:szCs w:val="20"/>
        </w:rPr>
      </w:pPr>
      <w:r>
        <w:rPr>
          <w:rFonts w:eastAsia="黑体"/>
          <w:color w:val="000000"/>
          <w:szCs w:val="21"/>
        </w:rPr>
        <w:t xml:space="preserve">表A.1  </w:t>
      </w:r>
      <w:r>
        <w:rPr>
          <w:rFonts w:hint="eastAsia" w:eastAsia="黑体"/>
          <w:color w:val="000000"/>
          <w:szCs w:val="21"/>
        </w:rPr>
        <w:t>评价指标体系</w:t>
      </w:r>
    </w:p>
    <w:tbl>
      <w:tblPr>
        <w:tblStyle w:val="31"/>
        <w:tblW w:w="5000" w:type="pct"/>
        <w:tblInd w:w="0" w:type="dxa"/>
        <w:tblLayout w:type="autofit"/>
        <w:tblCellMar>
          <w:top w:w="0" w:type="dxa"/>
          <w:left w:w="108" w:type="dxa"/>
          <w:bottom w:w="0" w:type="dxa"/>
          <w:right w:w="108" w:type="dxa"/>
        </w:tblCellMar>
      </w:tblPr>
      <w:tblGrid>
        <w:gridCol w:w="694"/>
        <w:gridCol w:w="722"/>
        <w:gridCol w:w="2464"/>
        <w:gridCol w:w="5478"/>
        <w:gridCol w:w="2443"/>
        <w:gridCol w:w="1579"/>
        <w:gridCol w:w="1973"/>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分值权重</w:t>
            </w:r>
            <w:r>
              <w:rPr>
                <w:rFonts w:hint="eastAsia" w:ascii="仿宋_GB2312" w:eastAsia="仿宋_GB2312"/>
                <w:b/>
                <w:bCs/>
                <w:color w:val="000000"/>
                <w:kern w:val="0"/>
                <w:szCs w:val="21"/>
              </w:rPr>
              <w:br w:type="textWrapping"/>
            </w: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26"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生产装备水平</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国内一般：</w:t>
            </w:r>
            <w:r>
              <w:rPr>
                <w:rFonts w:eastAsia="仿宋_GB2312"/>
                <w:kern w:val="0"/>
                <w:szCs w:val="21"/>
              </w:rPr>
              <w:t>电炉/转炉+LF</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若存在《产业结构调整指导目录》限制类装备，此项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国内先进：</w:t>
            </w:r>
            <w:r>
              <w:rPr>
                <w:rFonts w:eastAsia="仿宋_GB2312"/>
                <w:kern w:val="0"/>
                <w:szCs w:val="21"/>
              </w:rPr>
              <w:t>电炉/转炉+LF+</w:t>
            </w:r>
            <w:r>
              <w:rPr>
                <w:rFonts w:hint="eastAsia" w:eastAsia="仿宋_GB2312"/>
                <w:kern w:val="0"/>
                <w:szCs w:val="21"/>
              </w:rPr>
              <w:t>RH</w:t>
            </w:r>
            <w:r>
              <w:rPr>
                <w:rFonts w:eastAsia="仿宋_GB2312"/>
                <w:kern w:val="0"/>
                <w:szCs w:val="21"/>
              </w:rPr>
              <w:t>/VD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国内领先：</w:t>
            </w:r>
            <w:r>
              <w:rPr>
                <w:rFonts w:eastAsia="仿宋_GB2312"/>
                <w:kern w:val="0"/>
                <w:szCs w:val="21"/>
              </w:rPr>
              <w:t>电炉/转炉+LF+</w:t>
            </w:r>
            <w:r>
              <w:rPr>
                <w:rFonts w:hint="eastAsia" w:eastAsia="仿宋_GB2312"/>
                <w:kern w:val="0"/>
                <w:szCs w:val="21"/>
              </w:rPr>
              <w:t xml:space="preserve"> RH</w:t>
            </w:r>
            <w:r>
              <w:rPr>
                <w:rFonts w:eastAsia="仿宋_GB2312"/>
                <w:kern w:val="0"/>
                <w:szCs w:val="21"/>
              </w:rPr>
              <w:t>/VD</w:t>
            </w:r>
            <w:r>
              <w:rPr>
                <w:rFonts w:hint="eastAsia" w:eastAsia="仿宋_GB2312"/>
                <w:kern w:val="0"/>
                <w:szCs w:val="21"/>
              </w:rPr>
              <w:t>，层流冷却，AGC厚度控制</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国际领先：</w:t>
            </w:r>
            <w:r>
              <w:rPr>
                <w:rFonts w:eastAsia="仿宋_GB2312"/>
                <w:kern w:val="0"/>
                <w:szCs w:val="21"/>
              </w:rPr>
              <w:t>电炉/转炉+LF+</w:t>
            </w:r>
            <w:r>
              <w:rPr>
                <w:rFonts w:hint="eastAsia" w:eastAsia="仿宋_GB2312"/>
                <w:kern w:val="0"/>
                <w:szCs w:val="21"/>
              </w:rPr>
              <w:t xml:space="preserve"> RH</w:t>
            </w:r>
            <w:r>
              <w:rPr>
                <w:rFonts w:eastAsia="仿宋_GB2312"/>
                <w:kern w:val="0"/>
                <w:szCs w:val="21"/>
              </w:rPr>
              <w:t>/VD</w:t>
            </w:r>
            <w:r>
              <w:rPr>
                <w:rFonts w:hint="eastAsia" w:eastAsia="仿宋_GB2312"/>
                <w:kern w:val="0"/>
                <w:szCs w:val="21"/>
              </w:rPr>
              <w:t>，层流冷却，AGC厚度控制、液压弯辊控制系统</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专利数量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3" w:type="pct"/>
            <w:vMerge w:val="restart"/>
            <w:tcBorders>
              <w:top w:val="nil"/>
              <w:left w:val="single" w:color="auto" w:sz="8" w:space="0"/>
              <w:bottom w:val="single" w:color="000000" w:sz="8" w:space="0"/>
              <w:right w:val="single" w:color="auto" w:sz="8" w:space="0"/>
            </w:tcBorders>
            <w:shd w:val="clear" w:color="auto" w:fill="auto"/>
            <w:vAlign w:val="center"/>
          </w:tcPr>
          <w:p>
            <w:pPr>
              <w:pStyle w:val="151"/>
              <w:spacing w:before="53" w:line="254" w:lineRule="auto"/>
              <w:ind w:right="105"/>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按公式计算得分：[（1×初中及以下文化人数+2×高中文化 程度+3×专科文化程度+4×本科文化程度+5×硕士文化程度+6×博士文化程度） /员工总数]- 1</w:t>
            </w:r>
          </w:p>
          <w:p>
            <w:pPr>
              <w:pStyle w:val="151"/>
              <w:spacing w:line="217"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技术职称和文化程度可等效对应如下：</w:t>
            </w:r>
          </w:p>
          <w:p>
            <w:pPr>
              <w:pStyle w:val="151"/>
              <w:spacing w:before="64" w:line="312" w:lineRule="exact"/>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高中：初级工</w:t>
            </w:r>
          </w:p>
          <w:p>
            <w:pPr>
              <w:pStyle w:val="151"/>
              <w:spacing w:before="1"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专科：中级工</w:t>
            </w:r>
          </w:p>
          <w:p>
            <w:pPr>
              <w:pStyle w:val="151"/>
              <w:spacing w:before="62"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本科：高级工</w:t>
            </w:r>
          </w:p>
          <w:p>
            <w:pPr>
              <w:pStyle w:val="151"/>
              <w:spacing w:before="63"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硕士：技师、工程师</w:t>
            </w:r>
          </w:p>
          <w:p>
            <w:pPr>
              <w:widowControl/>
              <w:rPr>
                <w:color w:val="000000"/>
                <w:kern w:val="0"/>
                <w:szCs w:val="21"/>
              </w:rPr>
            </w:pPr>
            <w:r>
              <w:rPr>
                <w:rFonts w:eastAsia="仿宋_GB2312"/>
                <w:color w:val="000000"/>
                <w:kern w:val="0"/>
                <w:szCs w:val="21"/>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3"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研发投入占比</w:t>
            </w:r>
            <w:r>
              <w:rPr>
                <w:rFonts w:hint="eastAsia" w:ascii="仿宋_GB2312" w:eastAsia="仿宋_GB2312"/>
                <w:color w:val="000000"/>
                <w:kern w:val="0"/>
                <w:szCs w:val="21"/>
              </w:rPr>
              <w:br w:type="textWrapping"/>
            </w: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资产负债率</w:t>
            </w:r>
            <w:r>
              <w:rPr>
                <w:rFonts w:hint="eastAsia" w:ascii="仿宋_GB2312" w:eastAsia="仿宋_GB2312"/>
                <w:color w:val="000000"/>
                <w:kern w:val="0"/>
                <w:szCs w:val="21"/>
              </w:rPr>
              <w:br w:type="textWrapping"/>
            </w: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tcPr>
          <w:p>
            <w:pPr>
              <w:spacing w:line="323" w:lineRule="auto"/>
              <w:rPr>
                <w:rFonts w:ascii="Arial"/>
              </w:rPr>
            </w:pPr>
          </w:p>
          <w:p>
            <w:pPr>
              <w:pStyle w:val="151"/>
              <w:spacing w:before="68" w:line="218" w:lineRule="auto"/>
              <w:ind w:left="604"/>
              <w:rPr>
                <w:color w:val="000000"/>
                <w:kern w:val="0"/>
                <w:highlight w:val="yellow"/>
              </w:rPr>
            </w:pPr>
            <w:r>
              <w:rPr>
                <w:rFonts w:hint="eastAsia" w:ascii="仿宋_GB2312" w:hAnsi="Times New Roman" w:eastAsia="仿宋_GB2312" w:cs="Times New Roman"/>
                <w:color w:val="000000"/>
                <w:kern w:val="0"/>
                <w:lang w:eastAsia="zh-CN"/>
              </w:rPr>
              <w:t>配送时效保障</w:t>
            </w:r>
          </w:p>
        </w:tc>
        <w:tc>
          <w:tcPr>
            <w:tcW w:w="1783" w:type="pct"/>
            <w:tcBorders>
              <w:top w:val="nil"/>
              <w:left w:val="nil"/>
              <w:bottom w:val="single" w:color="auto" w:sz="8" w:space="0"/>
              <w:right w:val="single" w:color="auto" w:sz="8" w:space="0"/>
            </w:tcBorders>
            <w:shd w:val="clear" w:color="auto" w:fill="auto"/>
          </w:tcPr>
          <w:p>
            <w:pPr>
              <w:pStyle w:val="151"/>
              <w:spacing w:before="60" w:line="216" w:lineRule="auto"/>
              <w:ind w:left="1926"/>
              <w:rPr>
                <w:color w:val="000000"/>
                <w:kern w:val="0"/>
                <w:highlight w:val="yellow"/>
              </w:rPr>
            </w:pPr>
            <w:r>
              <w:rPr>
                <w:rFonts w:hint="eastAsia" w:ascii="仿宋_GB2312" w:hAnsi="Times New Roman" w:eastAsia="仿宋_GB2312" w:cs="Times New Roman"/>
                <w:color w:val="000000"/>
                <w:kern w:val="0"/>
                <w:lang w:eastAsia="zh-CN"/>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63" w:line="215"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61" w:line="223"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3" w:line="225"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按时交付率≥99%</w:t>
            </w:r>
          </w:p>
        </w:tc>
        <w:tc>
          <w:tcPr>
            <w:tcW w:w="795" w:type="pct"/>
            <w:tcBorders>
              <w:top w:val="nil"/>
              <w:left w:val="nil"/>
              <w:bottom w:val="single" w:color="auto" w:sz="8" w:space="0"/>
              <w:right w:val="single" w:color="auto" w:sz="8" w:space="0"/>
            </w:tcBorders>
            <w:shd w:val="clear" w:color="auto" w:fill="auto"/>
          </w:tcPr>
          <w:p>
            <w:pPr>
              <w:widowControl/>
              <w:jc w:val="center"/>
              <w:rPr>
                <w:color w:val="000000"/>
                <w:kern w:val="0"/>
                <w:szCs w:val="21"/>
              </w:rPr>
            </w:pPr>
            <w:r>
              <w:rPr>
                <w:rFonts w:hint="eastAsia"/>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质量追溯</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产品质量检测无法实现追踪溯源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产品质量检测部分实现追踪溯源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产品质量检测全部实现追踪溯源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r>
              <w:rPr>
                <w:rFonts w:hint="eastAsia" w:ascii="仿宋_GB2312" w:eastAsia="仿宋_GB2312"/>
                <w:color w:val="000000"/>
                <w:kern w:val="0"/>
                <w:szCs w:val="21"/>
              </w:rPr>
              <w:br w:type="textWrapping"/>
            </w:r>
            <w:r>
              <w:rPr>
                <w:color w:val="000000"/>
                <w:kern w:val="0"/>
                <w:szCs w:val="21"/>
              </w:rPr>
              <w:t>2.</w:t>
            </w:r>
            <w:r>
              <w:rPr>
                <w:rFonts w:hint="eastAsia" w:ascii="仿宋_GB2312" w:eastAsia="仿宋_GB2312"/>
                <w:color w:val="000000"/>
                <w:kern w:val="0"/>
                <w:szCs w:val="21"/>
              </w:rPr>
              <w:t>质量异议解决制度得到了严格遵守和运行</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rPr>
              <w:t>1</w:t>
            </w:r>
            <w:r>
              <w:rPr>
                <w:rFonts w:hint="eastAsia" w:ascii="仿宋_GB2312" w:eastAsia="仿宋_GB2312"/>
                <w:color w:val="000000"/>
                <w:kern w:val="0"/>
                <w:szCs w:val="21"/>
              </w:rPr>
              <w:t>分，最多</w:t>
            </w:r>
            <w:r>
              <w:rPr>
                <w:rFonts w:hint="eastAsia" w:eastAsia="仿宋_GB2312"/>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产品层面</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质量一致性</w:t>
            </w:r>
            <w:r>
              <w:rPr>
                <w:rFonts w:hint="eastAsia" w:ascii="仿宋_GB2312" w:eastAsia="仿宋_GB2312"/>
                <w:color w:val="000000"/>
                <w:kern w:val="0"/>
                <w:szCs w:val="21"/>
              </w:rPr>
              <w:br w:type="textWrapping"/>
            </w:r>
            <w:r>
              <w:rPr>
                <w:rFonts w:hint="eastAsia" w:ascii="仿宋_GB2312" w:eastAsia="仿宋_GB2312"/>
                <w:color w:val="000000"/>
                <w:kern w:val="0"/>
                <w:szCs w:val="21"/>
              </w:rPr>
              <w:t>（工序能力指数）</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rFonts w:hint="eastAsia" w:eastAsia="仿宋_GB2312"/>
                <w:color w:val="000000"/>
                <w:kern w:val="0"/>
                <w:szCs w:val="21"/>
              </w:rPr>
              <w:t>厚度尺寸及允许偏差</w:t>
            </w:r>
            <w:r>
              <w:rPr>
                <w:rFonts w:hint="eastAsia" w:ascii="仿宋_GB2312" w:eastAsia="仿宋_GB2312"/>
                <w:color w:val="000000"/>
                <w:kern w:val="0"/>
                <w:szCs w:val="21"/>
              </w:rPr>
              <w:t>）</w:t>
            </w:r>
          </w:p>
        </w:tc>
        <w:tc>
          <w:tcPr>
            <w:tcW w:w="178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各项按公式计算得分，即</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0.8</w:t>
            </w:r>
            <w:r>
              <w:rPr>
                <w:rFonts w:hint="eastAsia" w:ascii="仿宋_GB2312" w:eastAsia="仿宋_GB2312"/>
                <w:color w:val="000000"/>
                <w:kern w:val="0"/>
                <w:szCs w:val="21"/>
              </w:rPr>
              <w:t>时，</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1.2</w:t>
            </w:r>
            <w:r>
              <w:rPr>
                <w:rFonts w:hint="eastAsia" w:ascii="仿宋_GB2312" w:eastAsia="仿宋_GB2312"/>
                <w:color w:val="000000"/>
                <w:kern w:val="0"/>
                <w:szCs w:val="21"/>
              </w:rPr>
              <w:t>时，</w:t>
            </w:r>
            <w:r>
              <w:rPr>
                <w:rFonts w:hint="eastAsia" w:eastAsia="仿宋_GB2312"/>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single" w:color="auto" w:sz="4" w:space="0"/>
              <w:left w:val="single" w:color="auto" w:sz="4"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235" w:type="pct"/>
            <w:vMerge w:val="continue"/>
            <w:tcBorders>
              <w:top w:val="single" w:color="auto" w:sz="4" w:space="0"/>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802"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（宽</w:t>
            </w:r>
            <w:r>
              <w:rPr>
                <w:rFonts w:hint="eastAsia" w:eastAsia="仿宋_GB2312"/>
                <w:color w:val="000000"/>
                <w:kern w:val="0"/>
                <w:szCs w:val="21"/>
              </w:rPr>
              <w:t>度尺寸及允许偏差</w:t>
            </w:r>
            <w:r>
              <w:rPr>
                <w:rFonts w:hint="eastAsia" w:ascii="仿宋_GB2312" w:eastAsia="仿宋_GB2312"/>
                <w:color w:val="000000"/>
                <w:kern w:val="0"/>
                <w:szCs w:val="21"/>
              </w:rPr>
              <w:t>）</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4"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235"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（不平度）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（凸度）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（同条差）</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（屈服强度）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（抗拉强度）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（断后伸长率）</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（冲击吸收能量）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Cp（碳当量）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重点客户销量占比</w:t>
            </w:r>
            <w:r>
              <w:rPr>
                <w:rFonts w:hint="eastAsia" w:ascii="仿宋_GB2312" w:eastAsia="仿宋_GB2312"/>
                <w:color w:val="000000"/>
                <w:kern w:val="0"/>
                <w:szCs w:val="21"/>
              </w:rPr>
              <w:br w:type="textWrapping"/>
            </w: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50%</w:t>
            </w:r>
            <w:r>
              <w:rPr>
                <w:rFonts w:hint="eastAsia" w:ascii="仿宋_GB2312" w:eastAsia="仿宋_GB2312"/>
                <w:color w:val="000000"/>
                <w:kern w:val="0"/>
                <w:szCs w:val="21"/>
              </w:rPr>
              <w:t>以上，3分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质量异议经济损失率</w:t>
            </w:r>
          </w:p>
          <w:p>
            <w:pPr>
              <w:widowControl/>
              <w:jc w:val="center"/>
              <w:rPr>
                <w:color w:val="000000"/>
                <w:kern w:val="0"/>
                <w:szCs w:val="21"/>
                <w:highlight w:val="yellow"/>
              </w:rPr>
            </w:pPr>
            <w:r>
              <w:rPr>
                <w:rFonts w:hint="eastAsia" w:ascii="仿宋_GB2312" w:eastAsia="仿宋_GB2312"/>
                <w:color w:val="000000"/>
                <w:kern w:val="0"/>
                <w:szCs w:val="21"/>
              </w:rPr>
              <w:t>（元/万元—赔偿额/销售额）</w:t>
            </w:r>
            <w:r>
              <w:rPr>
                <w:rFonts w:hint="eastAsia" w:ascii="仿宋_GB2312" w:eastAsia="仿宋_GB2312"/>
                <w:color w:val="000000"/>
                <w:kern w:val="0"/>
                <w:szCs w:val="21"/>
              </w:rPr>
              <w:br w:type="textWrapping"/>
            </w:r>
          </w:p>
        </w:tc>
        <w:tc>
          <w:tcPr>
            <w:tcW w:w="1783" w:type="pct"/>
            <w:tcBorders>
              <w:top w:val="nil"/>
              <w:left w:val="nil"/>
              <w:bottom w:val="single" w:color="auto" w:sz="8" w:space="0"/>
              <w:right w:val="single" w:color="auto" w:sz="8" w:space="0"/>
            </w:tcBorders>
            <w:shd w:val="clear" w:color="auto" w:fill="auto"/>
            <w:vAlign w:val="center"/>
          </w:tcPr>
          <w:p>
            <w:pPr>
              <w:pStyle w:val="151"/>
              <w:spacing w:before="60" w:line="218" w:lineRule="auto"/>
              <w:ind w:left="1776"/>
              <w:rPr>
                <w:color w:val="000000"/>
                <w:kern w:val="0"/>
                <w:highlight w:val="yellow"/>
              </w:rPr>
            </w:pPr>
            <w:r>
              <w:rPr>
                <w:rFonts w:ascii="Times New Roman" w:hAnsi="Times New Roman" w:eastAsia="仿宋_GB2312" w:cs="Times New Roman"/>
                <w:color w:val="000000"/>
                <w:kern w:val="0"/>
                <w:lang w:eastAsia="zh-CN"/>
              </w:rPr>
              <w:t xml:space="preserve"> ＞1.5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151"/>
              <w:spacing w:before="53" w:line="218" w:lineRule="auto"/>
              <w:ind w:left="1798"/>
              <w:rPr>
                <w:color w:val="000000"/>
                <w:kern w:val="0"/>
                <w:highlight w:val="yellow"/>
              </w:rPr>
            </w:pPr>
            <w:r>
              <w:rPr>
                <w:rFonts w:ascii="Times New Roman" w:hAnsi="Times New Roman" w:eastAsia="仿宋_GB2312" w:cs="Times New Roman"/>
                <w:color w:val="000000"/>
                <w:kern w:val="0"/>
                <w:lang w:eastAsia="zh-CN"/>
              </w:rPr>
              <w:t>＜1.0~1.5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151"/>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＜0.5~1.0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151"/>
              <w:spacing w:before="52" w:line="225" w:lineRule="auto"/>
              <w:ind w:left="2033"/>
              <w:rPr>
                <w:color w:val="000000"/>
                <w:kern w:val="0"/>
                <w:highlight w:val="yellow"/>
              </w:rPr>
            </w:pPr>
            <w:r>
              <w:rPr>
                <w:rFonts w:ascii="Times New Roman" w:hAnsi="Times New Roman" w:eastAsia="仿宋_GB2312" w:cs="Times New Roman"/>
                <w:color w:val="000000"/>
                <w:kern w:val="0"/>
                <w:lang w:eastAsia="zh-CN"/>
              </w:rPr>
              <w:t>≤0.5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tcPr>
          <w:p>
            <w:pPr>
              <w:widowControl/>
              <w:jc w:val="center"/>
              <w:rPr>
                <w:rFonts w:ascii="仿宋_GB2312" w:eastAsia="仿宋_GB2312"/>
                <w:color w:val="000000"/>
                <w:kern w:val="0"/>
                <w:szCs w:val="21"/>
              </w:rPr>
            </w:pPr>
          </w:p>
          <w:p>
            <w:pPr>
              <w:widowControl/>
              <w:jc w:val="center"/>
              <w:rPr>
                <w:rFonts w:ascii="仿宋_GB2312" w:eastAsia="仿宋_GB2312"/>
                <w:kern w:val="0"/>
                <w:szCs w:val="21"/>
              </w:rPr>
            </w:pPr>
            <w:r>
              <w:rPr>
                <w:rFonts w:hint="eastAsia" w:ascii="仿宋_GB2312" w:eastAsia="仿宋_GB2312"/>
                <w:kern w:val="0"/>
                <w:szCs w:val="21"/>
              </w:rPr>
              <w:t xml:space="preserve">质量异议响应时间 </w:t>
            </w:r>
          </w:p>
          <w:p>
            <w:pPr>
              <w:widowControl/>
              <w:jc w:val="center"/>
              <w:rPr>
                <w:color w:val="000000"/>
                <w:kern w:val="0"/>
                <w:szCs w:val="21"/>
                <w:highlight w:val="yellow"/>
              </w:rPr>
            </w:pPr>
            <w:r>
              <w:rPr>
                <w:rFonts w:hint="eastAsia" w:ascii="仿宋_GB2312" w:eastAsia="仿宋_GB2312"/>
                <w:kern w:val="0"/>
                <w:szCs w:val="21"/>
              </w:rPr>
              <w:t>（单位：小时）</w:t>
            </w: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24~48</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12~24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8~12</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ascii="Times New Roman" w:hAnsi="Times New Roman" w:eastAsia="仿宋_GB2312" w:cs="Times New Roman"/>
                <w:kern w:val="0"/>
                <w:lang w:eastAsia="zh-CN"/>
              </w:rPr>
              <w:t xml:space="preserve"> ≤</w:t>
            </w:r>
            <w:r>
              <w:rPr>
                <w:rFonts w:hint="eastAsia" w:ascii="Times New Roman" w:hAnsi="Times New Roman" w:eastAsia="仿宋_GB2312" w:cs="Times New Roman"/>
                <w:kern w:val="0"/>
                <w:lang w:eastAsia="zh-CN"/>
              </w:rPr>
              <w:t>8</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tcPr>
          <w:p>
            <w:pPr>
              <w:widowControl/>
              <w:jc w:val="center"/>
              <w:rPr>
                <w:rFonts w:ascii="仿宋_GB2312" w:eastAsia="仿宋_GB2312"/>
                <w:color w:val="000000"/>
                <w:kern w:val="0"/>
                <w:szCs w:val="21"/>
              </w:rPr>
            </w:pPr>
          </w:p>
          <w:p>
            <w:pPr>
              <w:widowControl/>
              <w:jc w:val="center"/>
              <w:rPr>
                <w:rFonts w:ascii="仿宋_GB2312" w:eastAsia="仿宋_GB2312"/>
                <w:color w:val="000000"/>
                <w:kern w:val="0"/>
                <w:szCs w:val="21"/>
              </w:rPr>
            </w:pPr>
            <w:r>
              <w:rPr>
                <w:rFonts w:hint="eastAsia" w:ascii="仿宋_GB2312" w:eastAsia="仿宋_GB2312"/>
                <w:color w:val="000000"/>
                <w:kern w:val="0"/>
                <w:szCs w:val="21"/>
              </w:rPr>
              <w:t>顾客满意度</w:t>
            </w:r>
          </w:p>
          <w:p>
            <w:pPr>
              <w:widowControl/>
              <w:jc w:val="center"/>
              <w:rPr>
                <w:color w:val="000000"/>
                <w:kern w:val="0"/>
                <w:szCs w:val="21"/>
                <w:highlight w:val="yellow"/>
              </w:rPr>
            </w:pPr>
            <w:r>
              <w:rPr>
                <w:rFonts w:hint="eastAsia" w:ascii="仿宋_GB2312" w:eastAsia="仿宋_GB2312"/>
                <w:color w:val="000000"/>
                <w:kern w:val="0"/>
                <w:szCs w:val="21"/>
              </w:rPr>
              <w:t>（单位：分）</w:t>
            </w: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顾客满意度＜70，或未开展顾客满意度调查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rPr>
            </w:pPr>
            <w:r>
              <w:rPr>
                <w:rFonts w:ascii="Times New Roman" w:hAnsi="Times New Roman" w:eastAsia="仿宋_GB2312" w:cs="Times New Roman"/>
                <w:color w:val="000000"/>
                <w:kern w:val="0"/>
                <w:lang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行业一般： 70~＜80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行业平均： 80~＜90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151"/>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行业领先： ≥90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3"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ascii="仿宋_GB2312" w:eastAsia="仿宋_GB2312"/>
                <w:color w:val="000000"/>
                <w:kern w:val="0"/>
                <w:szCs w:val="21"/>
              </w:rPr>
              <w:t>信息化水平</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ascii="仿宋_GB2312" w:hAnsi="宋体" w:eastAsia="仿宋_GB2312" w:cs="宋体"/>
                <w:color w:val="000000"/>
                <w:kern w:val="0"/>
                <w:szCs w:val="21"/>
              </w:rPr>
              <w:t>智能制造成熟度</w:t>
            </w: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未达一级-基础级：企业具备最基础的网络化办公及电子化 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51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2.5</w:t>
            </w:r>
          </w:p>
        </w:tc>
        <w:tc>
          <w:tcPr>
            <w:tcW w:w="642" w:type="pct"/>
            <w:vMerge w:val="restart"/>
            <w:tcBorders>
              <w:top w:val="single" w:color="auto" w:sz="4" w:space="0"/>
              <w:left w:val="single" w:color="auto" w:sz="4" w:space="0"/>
              <w:bottom w:val="single" w:color="auto" w:sz="4" w:space="0"/>
              <w:right w:val="single" w:color="auto" w:sz="4" w:space="0"/>
            </w:tcBorders>
            <w:vAlign w:val="center"/>
          </w:tcPr>
          <w:p>
            <w:pPr>
              <w:pStyle w:val="151"/>
              <w:spacing w:before="63" w:line="219" w:lineRule="auto"/>
              <w:rPr>
                <w:rFonts w:ascii="仿宋_GB2312" w:hAnsi="宋体" w:eastAsia="仿宋_GB2312" w:cs="宋体"/>
                <w:color w:val="000000"/>
                <w:kern w:val="0"/>
                <w:lang w:eastAsia="zh-CN"/>
              </w:rPr>
            </w:pPr>
            <w:r>
              <w:rPr>
                <w:rFonts w:hint="eastAsia" w:ascii="仿宋_GB2312" w:hAnsi="宋体" w:eastAsia="仿宋_GB2312" w:cs="宋体"/>
                <w:color w:val="000000"/>
                <w:kern w:val="0"/>
                <w:lang w:eastAsia="zh-CN"/>
              </w:rPr>
              <w:t>此为加分项，评价</w:t>
            </w:r>
          </w:p>
          <w:p>
            <w:pPr>
              <w:pStyle w:val="151"/>
              <w:widowControl/>
              <w:spacing w:before="63" w:line="219" w:lineRule="auto"/>
              <w:jc w:val="left"/>
              <w:rPr>
                <w:rFonts w:ascii="仿宋_GB2312" w:hAnsi="宋体" w:eastAsia="仿宋_GB2312" w:cs="宋体"/>
                <w:color w:val="000000"/>
                <w:kern w:val="0"/>
                <w:lang w:eastAsia="zh-CN"/>
              </w:rPr>
            </w:pPr>
            <w:r>
              <w:rPr>
                <w:rFonts w:hint="eastAsia" w:ascii="仿宋_GB2312" w:hAnsi="宋体" w:eastAsia="仿宋_GB2312" w:cs="宋体"/>
                <w:color w:val="000000"/>
                <w:kern w:val="0"/>
                <w:lang w:eastAsia="zh-CN"/>
              </w:rPr>
              <w:t>指标得分未满 100分时可以计入</w:t>
            </w:r>
          </w:p>
          <w:p>
            <w:pPr>
              <w:pStyle w:val="151"/>
              <w:widowControl/>
              <w:spacing w:before="63" w:line="219" w:lineRule="auto"/>
              <w:jc w:val="left"/>
              <w:rPr>
                <w:color w:val="000000"/>
                <w:kern w:val="0"/>
              </w:rPr>
            </w:pPr>
            <w:r>
              <w:rPr>
                <w:rFonts w:hint="eastAsia" w:ascii="仿宋_GB2312" w:hAnsi="宋体" w:eastAsia="仿宋_GB2312" w:cs="宋体"/>
                <w:color w:val="000000"/>
                <w:kern w:val="0"/>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一级-规划级：企业应开始对实施智能制造的基础和条件进行规划，能够对核心业务活动（设计、生产、物流、销售、服务）进行流程化管理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0.5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二级-规范级：企业应采用自动化技术、信息技术手段对核心装备和业务活动等进行改造和规范，实现单一业务活动的数据共享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三级-集成级：企业应对装备、系统等开展集成，实现跨业务活动间的数据共享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四级-优化级：企业应对人员、资源、制造等进行数据挖掘，形成知识、模型等，实现对核心业务活动的精准预测和优化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rPr>
          <w:szCs w:val="20"/>
        </w:rPr>
      </w:pPr>
    </w:p>
    <w:p>
      <w:pPr>
        <w:rPr>
          <w:szCs w:val="20"/>
        </w:rP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172085</wp:posOffset>
                </wp:positionV>
                <wp:extent cx="1925955" cy="0"/>
                <wp:effectExtent l="0" t="0" r="36195"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13.55pt;height:0pt;width:151.65pt;mso-position-horizontal:center;mso-position-horizontal-relative:page;z-index:251659264;mso-width-relative:page;mso-height-relative:page;" filled="f" stroked="t"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8</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097"/>
    <w:rsid w:val="00000244"/>
    <w:rsid w:val="0000185F"/>
    <w:rsid w:val="0000586F"/>
    <w:rsid w:val="00005D79"/>
    <w:rsid w:val="00007340"/>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0A5A"/>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2D80"/>
    <w:rsid w:val="004A2EB0"/>
    <w:rsid w:val="004A35F9"/>
    <w:rsid w:val="004A4A72"/>
    <w:rsid w:val="004A6875"/>
    <w:rsid w:val="004B1107"/>
    <w:rsid w:val="004B1EA1"/>
    <w:rsid w:val="004B24C1"/>
    <w:rsid w:val="004B3527"/>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564E"/>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1FAA"/>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7A4"/>
    <w:rsid w:val="00A94C41"/>
    <w:rsid w:val="00A97D1F"/>
    <w:rsid w:val="00AA038C"/>
    <w:rsid w:val="00AA1737"/>
    <w:rsid w:val="00AA1741"/>
    <w:rsid w:val="00AA7A09"/>
    <w:rsid w:val="00AA7AD2"/>
    <w:rsid w:val="00AB2D90"/>
    <w:rsid w:val="00AB3B50"/>
    <w:rsid w:val="00AB3C6A"/>
    <w:rsid w:val="00AC05B1"/>
    <w:rsid w:val="00AC51E3"/>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26303E3"/>
    <w:rsid w:val="03F16C24"/>
    <w:rsid w:val="0A842761"/>
    <w:rsid w:val="0C68411F"/>
    <w:rsid w:val="0DD7773F"/>
    <w:rsid w:val="0E8D76BF"/>
    <w:rsid w:val="128A1009"/>
    <w:rsid w:val="18694035"/>
    <w:rsid w:val="1F3E57F5"/>
    <w:rsid w:val="215C14F1"/>
    <w:rsid w:val="24642242"/>
    <w:rsid w:val="2E1C1A4E"/>
    <w:rsid w:val="3A2D707E"/>
    <w:rsid w:val="3C7916D2"/>
    <w:rsid w:val="41207BC3"/>
    <w:rsid w:val="467A300D"/>
    <w:rsid w:val="491C63D6"/>
    <w:rsid w:val="4DC024C2"/>
    <w:rsid w:val="51C508AC"/>
    <w:rsid w:val="5AE12A2F"/>
    <w:rsid w:val="5E455D41"/>
    <w:rsid w:val="5F7B5377"/>
    <w:rsid w:val="61B24587"/>
    <w:rsid w:val="6568477B"/>
    <w:rsid w:val="674B0307"/>
    <w:rsid w:val="68D52A0C"/>
    <w:rsid w:val="6E906FA7"/>
    <w:rsid w:val="711E79B3"/>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autoRedefine/>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autoRedefine/>
    <w:semiHidden/>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autoRedefine/>
    <w:qFormat/>
    <w:uiPriority w:val="99"/>
    <w:pPr>
      <w:snapToGrid w:val="0"/>
      <w:ind w:right="210" w:rightChars="100"/>
      <w:jc w:val="right"/>
    </w:pPr>
    <w:rPr>
      <w:sz w:val="18"/>
      <w:szCs w:val="18"/>
    </w:rPr>
  </w:style>
  <w:style w:type="paragraph" w:styleId="17">
    <w:name w:val="header"/>
    <w:basedOn w:val="1"/>
    <w:link w:val="41"/>
    <w:autoRedefine/>
    <w:qFormat/>
    <w:uiPriority w:val="99"/>
    <w:pPr>
      <w:snapToGrid w:val="0"/>
      <w:jc w:val="left"/>
    </w:pPr>
    <w:rPr>
      <w:sz w:val="18"/>
      <w:szCs w:val="18"/>
    </w:rPr>
  </w:style>
  <w:style w:type="paragraph" w:styleId="18">
    <w:name w:val="toc 1"/>
    <w:basedOn w:val="1"/>
    <w:next w:val="1"/>
    <w:autoRedefine/>
    <w:qFormat/>
    <w:uiPriority w:val="39"/>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tabs>
        <w:tab w:val="left" w:pos="0"/>
      </w:tabs>
      <w:snapToGrid w:val="0"/>
      <w:ind w:left="720" w:hanging="357"/>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qFormat/>
    <w:uiPriority w:val="39"/>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47"/>
    <w:autoRedefine/>
    <w:semiHidden/>
    <w:unhideWhenUsed/>
    <w:qFormat/>
    <w:uiPriority w:val="0"/>
    <w:rPr>
      <w:b/>
      <w:bCs/>
    </w:rPr>
  </w:style>
  <w:style w:type="table" w:styleId="32">
    <w:name w:val="Table Grid"/>
    <w:basedOn w:val="31"/>
    <w:autoRedefine/>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autoRedefine/>
    <w:qFormat/>
    <w:uiPriority w:val="99"/>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autoRedefin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autoRedefine/>
    <w:qFormat/>
    <w:uiPriority w:val="0"/>
    <w:rPr>
      <w:color w:val="800080"/>
      <w:u w:val="single"/>
    </w:rPr>
  </w:style>
  <w:style w:type="character" w:customStyle="1" w:styleId="41">
    <w:name w:val="页眉 字符"/>
    <w:link w:val="17"/>
    <w:autoRedefine/>
    <w:qFormat/>
    <w:locked/>
    <w:uiPriority w:val="99"/>
    <w:rPr>
      <w:kern w:val="2"/>
      <w:sz w:val="18"/>
      <w:szCs w:val="18"/>
    </w:rPr>
  </w:style>
  <w:style w:type="character" w:customStyle="1" w:styleId="42">
    <w:name w:val="批注框文本 字符"/>
    <w:link w:val="15"/>
    <w:autoRedefine/>
    <w:qFormat/>
    <w:uiPriority w:val="0"/>
    <w:rPr>
      <w:kern w:val="2"/>
      <w:sz w:val="18"/>
      <w:szCs w:val="18"/>
    </w:rPr>
  </w:style>
  <w:style w:type="character" w:customStyle="1" w:styleId="43">
    <w:name w:val="发布"/>
    <w:autoRedefine/>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numPr>
        <w:ilvl w:val="2"/>
      </w:numPr>
      <w:spacing w:before="50" w:after="5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字符"/>
    <w:link w:val="16"/>
    <w:autoRedefine/>
    <w:qFormat/>
    <w:locked/>
    <w:uiPriority w:val="99"/>
    <w:rPr>
      <w:kern w:val="2"/>
      <w:sz w:val="18"/>
      <w:szCs w:val="18"/>
    </w:rPr>
  </w:style>
  <w:style w:type="character" w:customStyle="1" w:styleId="54">
    <w:name w:val="首示例 Char"/>
    <w:link w:val="55"/>
    <w:autoRedefine/>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autoRedefine/>
    <w:qFormat/>
    <w:uiPriority w:val="0"/>
    <w:pPr>
      <w:ind w:firstLine="360"/>
    </w:pPr>
    <w:rPr>
      <w:sz w:val="18"/>
    </w:rPr>
  </w:style>
  <w:style w:type="paragraph" w:customStyle="1" w:styleId="6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autoRedefine/>
    <w:qFormat/>
    <w:uiPriority w:val="0"/>
    <w:pPr>
      <w:spacing w:line="14" w:lineRule="exact"/>
      <w:ind w:left="811" w:hanging="448"/>
      <w:jc w:val="center"/>
      <w:outlineLvl w:val="0"/>
    </w:pPr>
    <w:rPr>
      <w:color w:val="FFFFFF"/>
    </w:rPr>
  </w:style>
  <w:style w:type="paragraph" w:customStyle="1" w:styleId="65">
    <w:name w:val="附录二级条标题"/>
    <w:basedOn w:val="1"/>
    <w:next w:val="22"/>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autoRedefine/>
    <w:qFormat/>
    <w:uiPriority w:val="99"/>
    <w:pPr>
      <w:framePr w:wrap="around"/>
      <w:spacing w:before="440"/>
    </w:pPr>
    <w:rPr>
      <w:rFonts w:ascii="宋体" w:eastAsia="宋体"/>
    </w:rPr>
  </w:style>
  <w:style w:type="paragraph" w:customStyle="1" w:styleId="67">
    <w:name w:val="封面标准英文名称"/>
    <w:basedOn w:val="68"/>
    <w:autoRedefine/>
    <w:qFormat/>
    <w:uiPriority w:val="0"/>
    <w:pPr>
      <w:framePr w:wrap="around"/>
      <w:spacing w:before="370" w:line="400" w:lineRule="exact"/>
    </w:pPr>
    <w:rPr>
      <w:rFonts w:ascii="Times New Roman"/>
      <w:sz w:val="28"/>
      <w:szCs w:val="28"/>
    </w:rPr>
  </w:style>
  <w:style w:type="paragraph" w:customStyle="1" w:styleId="6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autoRedefine/>
    <w:qFormat/>
    <w:uiPriority w:val="0"/>
    <w:pPr>
      <w:tabs>
        <w:tab w:val="clear" w:pos="360"/>
      </w:tabs>
      <w:spacing w:beforeLines="0" w:afterLines="0"/>
    </w:pPr>
    <w:rPr>
      <w:rFonts w:ascii="宋体" w:eastAsia="宋体"/>
      <w:szCs w:val="21"/>
    </w:rPr>
  </w:style>
  <w:style w:type="paragraph" w:customStyle="1" w:styleId="70">
    <w:name w:val="一级无"/>
    <w:basedOn w:val="47"/>
    <w:autoRedefine/>
    <w:qFormat/>
    <w:uiPriority w:val="0"/>
    <w:pPr>
      <w:spacing w:beforeLines="0" w:afterLines="0"/>
    </w:pPr>
    <w:rPr>
      <w:rFonts w:ascii="宋体" w:eastAsia="宋体"/>
    </w:rPr>
  </w:style>
  <w:style w:type="paragraph" w:customStyle="1" w:styleId="71">
    <w:name w:val="实施日期"/>
    <w:basedOn w:val="57"/>
    <w:autoRedefine/>
    <w:qFormat/>
    <w:uiPriority w:val="0"/>
    <w:pPr>
      <w:framePr w:wrap="around" w:vAnchor="page" w:hAnchor="text"/>
      <w:jc w:val="right"/>
    </w:pPr>
  </w:style>
  <w:style w:type="paragraph" w:customStyle="1" w:styleId="72">
    <w:name w:val="四级无"/>
    <w:basedOn w:val="73"/>
    <w:autoRedefine/>
    <w:qFormat/>
    <w:uiPriority w:val="0"/>
    <w:pPr>
      <w:spacing w:beforeLines="0" w:afterLines="0"/>
    </w:pPr>
    <w:rPr>
      <w:rFonts w:ascii="宋体" w:eastAsia="宋体"/>
    </w:rPr>
  </w:style>
  <w:style w:type="paragraph" w:customStyle="1" w:styleId="73">
    <w:name w:val="四级条标题"/>
    <w:basedOn w:val="74"/>
    <w:next w:val="22"/>
    <w:autoRedefine/>
    <w:qFormat/>
    <w:uiPriority w:val="0"/>
    <w:pPr>
      <w:outlineLvl w:val="5"/>
    </w:pPr>
  </w:style>
  <w:style w:type="paragraph" w:customStyle="1" w:styleId="74">
    <w:name w:val="三级条标题"/>
    <w:basedOn w:val="50"/>
    <w:next w:val="22"/>
    <w:autoRedefine/>
    <w:qFormat/>
    <w:uiPriority w:val="99"/>
    <w:pPr>
      <w:numPr>
        <w:ilvl w:val="0"/>
        <w:numId w:val="0"/>
      </w:numPr>
      <w:outlineLvl w:val="4"/>
    </w:pPr>
  </w:style>
  <w:style w:type="paragraph" w:customStyle="1" w:styleId="75">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autoRedefine/>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autoRedefine/>
    <w:qFormat/>
    <w:uiPriority w:val="0"/>
    <w:pPr>
      <w:ind w:left="840" w:hanging="420" w:firstLineChars="0"/>
    </w:pPr>
    <w:rPr>
      <w:sz w:val="18"/>
      <w:szCs w:val="18"/>
    </w:rPr>
  </w:style>
  <w:style w:type="paragraph" w:customStyle="1" w:styleId="80">
    <w:name w:val="列项◆（三级）"/>
    <w:basedOn w:val="1"/>
    <w:autoRedefine/>
    <w:qFormat/>
    <w:uiPriority w:val="0"/>
    <w:pPr>
      <w:tabs>
        <w:tab w:val="left" w:pos="1678"/>
      </w:tabs>
      <w:ind w:left="1678" w:hanging="414"/>
    </w:pPr>
    <w:rPr>
      <w:rFonts w:ascii="宋体"/>
      <w:szCs w:val="21"/>
    </w:rPr>
  </w:style>
  <w:style w:type="paragraph" w:customStyle="1" w:styleId="8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autoRedefine/>
    <w:qFormat/>
    <w:uiPriority w:val="0"/>
    <w:pPr>
      <w:outlineLvl w:val="4"/>
    </w:pPr>
  </w:style>
  <w:style w:type="paragraph" w:customStyle="1" w:styleId="8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autoRedefine/>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autoRedefine/>
    <w:qFormat/>
    <w:uiPriority w:val="0"/>
    <w:pPr>
      <w:tabs>
        <w:tab w:val="left" w:pos="360"/>
      </w:tabs>
      <w:outlineLvl w:val="6"/>
    </w:pPr>
  </w:style>
  <w:style w:type="paragraph" w:customStyle="1" w:styleId="86">
    <w:name w:val="附录四级条标题"/>
    <w:basedOn w:val="82"/>
    <w:next w:val="22"/>
    <w:autoRedefine/>
    <w:qFormat/>
    <w:uiPriority w:val="0"/>
    <w:pPr>
      <w:outlineLvl w:val="5"/>
    </w:pPr>
  </w:style>
  <w:style w:type="paragraph" w:customStyle="1" w:styleId="8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autoRedefine/>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autoRedefine/>
    <w:qFormat/>
    <w:uiPriority w:val="0"/>
    <w:pPr>
      <w:tabs>
        <w:tab w:val="left" w:pos="360"/>
      </w:tabs>
      <w:autoSpaceDN w:val="0"/>
      <w:spacing w:beforeLines="50" w:afterLines="50"/>
      <w:outlineLvl w:val="2"/>
    </w:pPr>
  </w:style>
  <w:style w:type="paragraph" w:customStyle="1" w:styleId="90">
    <w:name w:val="附录章标题"/>
    <w:next w:val="22"/>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autoRedefine/>
    <w:qFormat/>
    <w:uiPriority w:val="0"/>
    <w:pPr>
      <w:tabs>
        <w:tab w:val="left" w:pos="363"/>
      </w:tabs>
      <w:spacing w:beforeLines="50" w:afterLines="50"/>
      <w:jc w:val="center"/>
    </w:pPr>
    <w:rPr>
      <w:rFonts w:ascii="黑体" w:eastAsia="黑体"/>
      <w:szCs w:val="21"/>
    </w:rPr>
  </w:style>
  <w:style w:type="paragraph" w:customStyle="1" w:styleId="95">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autoRedefine/>
    <w:qFormat/>
    <w:uiPriority w:val="0"/>
    <w:pPr>
      <w:ind w:left="0" w:firstLine="0"/>
      <w:jc w:val="both"/>
    </w:pPr>
  </w:style>
  <w:style w:type="paragraph" w:customStyle="1" w:styleId="10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autoRedefine/>
    <w:qFormat/>
    <w:uiPriority w:val="0"/>
    <w:pPr>
      <w:framePr w:wrap="around" w:y="4469"/>
    </w:pPr>
  </w:style>
  <w:style w:type="paragraph" w:customStyle="1" w:styleId="107">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autoRedefine/>
    <w:qFormat/>
    <w:uiPriority w:val="0"/>
    <w:pPr>
      <w:tabs>
        <w:tab w:val="clear" w:pos="360"/>
      </w:tabs>
      <w:spacing w:beforeLines="0" w:afterLines="0"/>
    </w:pPr>
    <w:rPr>
      <w:rFonts w:ascii="宋体" w:eastAsia="宋体"/>
      <w:szCs w:val="21"/>
    </w:rPr>
  </w:style>
  <w:style w:type="paragraph" w:customStyle="1" w:styleId="109">
    <w:name w:val="其他发布日期"/>
    <w:basedOn w:val="57"/>
    <w:autoRedefine/>
    <w:qFormat/>
    <w:uiPriority w:val="99"/>
    <w:pPr>
      <w:framePr w:wrap="around" w:vAnchor="page" w:hAnchor="text" w:x="1419"/>
    </w:pPr>
  </w:style>
  <w:style w:type="paragraph" w:customStyle="1" w:styleId="110">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autoRedefine/>
    <w:qFormat/>
    <w:uiPriority w:val="0"/>
    <w:pPr>
      <w:framePr w:w="6101" w:wrap="around" w:vAnchor="page" w:hAnchor="page" w:x="4673" w:y="942"/>
    </w:pPr>
    <w:rPr>
      <w:w w:val="130"/>
    </w:rPr>
  </w:style>
  <w:style w:type="paragraph" w:customStyle="1" w:styleId="1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autoRedefine/>
    <w:qFormat/>
    <w:uiPriority w:val="0"/>
    <w:pPr>
      <w:ind w:left="544" w:hanging="181"/>
    </w:pPr>
    <w:rPr>
      <w:rFonts w:ascii="宋体"/>
      <w:sz w:val="18"/>
      <w:szCs w:val="18"/>
    </w:rPr>
  </w:style>
  <w:style w:type="paragraph" w:customStyle="1" w:styleId="114">
    <w:name w:val="五级条标题"/>
    <w:basedOn w:val="73"/>
    <w:next w:val="22"/>
    <w:autoRedefine/>
    <w:qFormat/>
    <w:uiPriority w:val="0"/>
    <w:pPr>
      <w:numPr>
        <w:ilvl w:val="5"/>
      </w:numPr>
      <w:outlineLvl w:val="6"/>
    </w:pPr>
  </w:style>
  <w:style w:type="paragraph" w:customStyle="1" w:styleId="115">
    <w:name w:val="封面标准文稿类别"/>
    <w:basedOn w:val="66"/>
    <w:autoRedefine/>
    <w:qFormat/>
    <w:uiPriority w:val="0"/>
    <w:pPr>
      <w:framePr w:wrap="around"/>
      <w:spacing w:after="160" w:line="240" w:lineRule="auto"/>
    </w:pPr>
    <w:rPr>
      <w:sz w:val="24"/>
    </w:rPr>
  </w:style>
  <w:style w:type="paragraph" w:customStyle="1" w:styleId="1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autoRedefine/>
    <w:qFormat/>
    <w:uiPriority w:val="0"/>
    <w:pPr>
      <w:spacing w:beforeLines="0" w:afterLines="0"/>
      <w:ind w:firstLine="363"/>
      <w:outlineLvl w:val="9"/>
    </w:pPr>
    <w:rPr>
      <w:rFonts w:ascii="宋体" w:eastAsia="宋体"/>
      <w:sz w:val="18"/>
      <w:szCs w:val="18"/>
    </w:rPr>
  </w:style>
  <w:style w:type="paragraph" w:customStyle="1" w:styleId="11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autoRedefine/>
    <w:qFormat/>
    <w:uiPriority w:val="0"/>
    <w:pPr>
      <w:jc w:val="left"/>
    </w:pPr>
  </w:style>
  <w:style w:type="paragraph" w:customStyle="1" w:styleId="122">
    <w:name w:val="封面标准文稿编辑信息"/>
    <w:basedOn w:val="115"/>
    <w:autoRedefine/>
    <w:qFormat/>
    <w:uiPriority w:val="0"/>
    <w:pPr>
      <w:framePr w:wrap="around"/>
      <w:spacing w:before="180" w:line="180" w:lineRule="exact"/>
    </w:pPr>
    <w:rPr>
      <w:sz w:val="21"/>
    </w:rPr>
  </w:style>
  <w:style w:type="paragraph" w:customStyle="1" w:styleId="123">
    <w:name w:val="附录表标题"/>
    <w:basedOn w:val="1"/>
    <w:next w:val="22"/>
    <w:autoRedefine/>
    <w:qFormat/>
    <w:uiPriority w:val="0"/>
    <w:pPr>
      <w:tabs>
        <w:tab w:val="left" w:pos="180"/>
      </w:tabs>
      <w:spacing w:beforeLines="50" w:afterLines="50"/>
      <w:jc w:val="center"/>
    </w:pPr>
    <w:rPr>
      <w:rFonts w:ascii="黑体" w:eastAsia="黑体"/>
      <w:szCs w:val="21"/>
    </w:rPr>
  </w:style>
  <w:style w:type="paragraph" w:customStyle="1" w:styleId="124">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autoRedefine/>
    <w:qFormat/>
    <w:uiPriority w:val="0"/>
  </w:style>
  <w:style w:type="paragraph" w:customStyle="1" w:styleId="126">
    <w:name w:val="封面正文"/>
    <w:autoRedefine/>
    <w:qFormat/>
    <w:uiPriority w:val="0"/>
    <w:pPr>
      <w:jc w:val="both"/>
    </w:pPr>
    <w:rPr>
      <w:rFonts w:ascii="Times New Roman" w:hAnsi="Times New Roman" w:eastAsia="宋体" w:cs="Times New Roman"/>
      <w:lang w:val="en-US" w:eastAsia="zh-CN" w:bidi="ar-SA"/>
    </w:rPr>
  </w:style>
  <w:style w:type="paragraph" w:customStyle="1" w:styleId="12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autoRedefine/>
    <w:qFormat/>
    <w:uiPriority w:val="0"/>
    <w:pPr>
      <w:ind w:firstLine="0" w:firstLineChars="0"/>
      <w:jc w:val="center"/>
    </w:pPr>
    <w:rPr>
      <w:rFonts w:ascii="黑体" w:eastAsia="黑体"/>
    </w:rPr>
  </w:style>
  <w:style w:type="paragraph" w:customStyle="1" w:styleId="13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autoRedefine/>
    <w:qFormat/>
    <w:uiPriority w:val="0"/>
    <w:pPr>
      <w:framePr w:wrap="around" w:y="4469"/>
      <w:spacing w:beforeLines="630"/>
    </w:pPr>
  </w:style>
  <w:style w:type="paragraph" w:customStyle="1" w:styleId="132">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autoRedefine/>
    <w:qFormat/>
    <w:uiPriority w:val="0"/>
    <w:pPr>
      <w:framePr w:wrap="around" w:y="4469"/>
    </w:pPr>
  </w:style>
  <w:style w:type="paragraph" w:customStyle="1" w:styleId="134">
    <w:name w:val="其他发布部门"/>
    <w:basedOn w:val="132"/>
    <w:autoRedefine/>
    <w:qFormat/>
    <w:uiPriority w:val="0"/>
    <w:pPr>
      <w:framePr w:wrap="around" w:y="15310"/>
      <w:spacing w:line="0" w:lineRule="atLeast"/>
    </w:pPr>
    <w:rPr>
      <w:rFonts w:ascii="黑体" w:eastAsia="黑体"/>
      <w:b w:val="0"/>
    </w:rPr>
  </w:style>
  <w:style w:type="paragraph" w:customStyle="1" w:styleId="135">
    <w:name w:val="附录四级无"/>
    <w:basedOn w:val="86"/>
    <w:autoRedefine/>
    <w:qFormat/>
    <w:uiPriority w:val="0"/>
    <w:pPr>
      <w:tabs>
        <w:tab w:val="clear" w:pos="360"/>
      </w:tabs>
      <w:spacing w:beforeLines="0" w:afterLines="0"/>
    </w:pPr>
    <w:rPr>
      <w:rFonts w:ascii="宋体" w:eastAsia="宋体"/>
      <w:szCs w:val="21"/>
    </w:rPr>
  </w:style>
  <w:style w:type="paragraph" w:customStyle="1" w:styleId="136">
    <w:name w:val="三级无"/>
    <w:basedOn w:val="74"/>
    <w:autoRedefine/>
    <w:qFormat/>
    <w:uiPriority w:val="0"/>
    <w:pPr>
      <w:spacing w:beforeLines="0" w:afterLines="0"/>
    </w:pPr>
    <w:rPr>
      <w:rFonts w:ascii="宋体" w:eastAsia="宋体"/>
    </w:rPr>
  </w:style>
  <w:style w:type="paragraph" w:customStyle="1" w:styleId="137">
    <w:name w:val="五级无"/>
    <w:basedOn w:val="114"/>
    <w:autoRedefine/>
    <w:qFormat/>
    <w:uiPriority w:val="0"/>
    <w:pPr>
      <w:spacing w:beforeLines="0" w:afterLines="0"/>
    </w:pPr>
    <w:rPr>
      <w:rFonts w:ascii="宋体" w:eastAsia="宋体"/>
    </w:rPr>
  </w:style>
  <w:style w:type="paragraph" w:customStyle="1" w:styleId="138">
    <w:name w:val="正文公式编号制表符"/>
    <w:basedOn w:val="22"/>
    <w:next w:val="22"/>
    <w:autoRedefine/>
    <w:qFormat/>
    <w:uiPriority w:val="0"/>
    <w:pPr>
      <w:ind w:firstLine="0" w:firstLineChars="0"/>
    </w:pPr>
  </w:style>
  <w:style w:type="paragraph" w:customStyle="1" w:styleId="139">
    <w:name w:val="终结线"/>
    <w:basedOn w:val="1"/>
    <w:autoRedefine/>
    <w:qFormat/>
    <w:uiPriority w:val="0"/>
    <w:pPr>
      <w:framePr w:hSpace="181" w:vSpace="181" w:wrap="around" w:vAnchor="text" w:hAnchor="margin" w:xAlign="center" w:y="285"/>
    </w:pPr>
  </w:style>
  <w:style w:type="paragraph" w:customStyle="1" w:styleId="140">
    <w:name w:val="其他实施日期"/>
    <w:basedOn w:val="71"/>
    <w:autoRedefine/>
    <w:qFormat/>
    <w:uiPriority w:val="99"/>
    <w:pPr>
      <w:framePr w:wrap="around"/>
    </w:pPr>
  </w:style>
  <w:style w:type="paragraph" w:customStyle="1" w:styleId="141">
    <w:name w:val="封面标准英文名称2"/>
    <w:basedOn w:val="67"/>
    <w:autoRedefine/>
    <w:qFormat/>
    <w:uiPriority w:val="0"/>
    <w:pPr>
      <w:framePr w:wrap="around" w:y="4469"/>
    </w:pPr>
  </w:style>
  <w:style w:type="paragraph" w:customStyle="1" w:styleId="142">
    <w:name w:val="封面标准文稿类别2"/>
    <w:basedOn w:val="115"/>
    <w:autoRedefine/>
    <w:qFormat/>
    <w:uiPriority w:val="0"/>
    <w:pPr>
      <w:framePr w:wrap="around" w:y="4469"/>
    </w:pPr>
  </w:style>
  <w:style w:type="paragraph" w:styleId="143">
    <w:name w:val="List Paragraph"/>
    <w:basedOn w:val="1"/>
    <w:autoRedefine/>
    <w:qFormat/>
    <w:uiPriority w:val="34"/>
    <w:pPr>
      <w:ind w:firstLine="420" w:firstLineChars="200"/>
    </w:pPr>
    <w:rPr>
      <w:rFonts w:ascii="Calibri" w:hAnsi="Calibri"/>
      <w:szCs w:val="22"/>
    </w:rPr>
  </w:style>
  <w:style w:type="paragraph" w:customStyle="1" w:styleId="144">
    <w:name w:val="Char Char Char Char"/>
    <w:basedOn w:val="1"/>
    <w:autoRedefine/>
    <w:qFormat/>
    <w:uiPriority w:val="0"/>
    <w:pPr>
      <w:adjustRightInd w:val="0"/>
      <w:spacing w:line="360" w:lineRule="auto"/>
    </w:pPr>
    <w:rPr>
      <w:kern w:val="0"/>
      <w:sz w:val="24"/>
      <w:szCs w:val="20"/>
    </w:rPr>
  </w:style>
  <w:style w:type="character" w:customStyle="1" w:styleId="145">
    <w:name w:val="二级条标题 Char"/>
    <w:link w:val="50"/>
    <w:autoRedefine/>
    <w:qFormat/>
    <w:locked/>
    <w:uiPriority w:val="0"/>
    <w:rPr>
      <w:rFonts w:ascii="黑体" w:eastAsia="黑体"/>
      <w:sz w:val="21"/>
      <w:szCs w:val="21"/>
    </w:rPr>
  </w:style>
  <w:style w:type="character" w:customStyle="1" w:styleId="146">
    <w:name w:val="批注文字 字符"/>
    <w:basedOn w:val="33"/>
    <w:link w:val="7"/>
    <w:autoRedefine/>
    <w:semiHidden/>
    <w:qFormat/>
    <w:uiPriority w:val="0"/>
    <w:rPr>
      <w:kern w:val="2"/>
      <w:sz w:val="21"/>
      <w:szCs w:val="24"/>
    </w:rPr>
  </w:style>
  <w:style w:type="character" w:customStyle="1" w:styleId="147">
    <w:name w:val="批注主题 字符"/>
    <w:basedOn w:val="146"/>
    <w:link w:val="30"/>
    <w:autoRedefine/>
    <w:semiHidden/>
    <w:qFormat/>
    <w:uiPriority w:val="0"/>
    <w:rPr>
      <w:b/>
      <w:bCs/>
      <w:kern w:val="2"/>
      <w:sz w:val="21"/>
      <w:szCs w:val="24"/>
    </w:rPr>
  </w:style>
  <w:style w:type="table" w:customStyle="1" w:styleId="148">
    <w:name w:val="网格型1"/>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autoRedefine/>
    <w:qFormat/>
    <w:uiPriority w:val="1"/>
    <w:pPr>
      <w:spacing w:line="300" w:lineRule="auto"/>
      <w:jc w:val="left"/>
    </w:pPr>
    <w:rPr>
      <w:rFonts w:ascii="Calibri" w:hAnsi="Calibri" w:cs="宋体"/>
      <w:kern w:val="0"/>
      <w:sz w:val="22"/>
      <w:szCs w:val="22"/>
      <w:lang w:eastAsia="en-US"/>
    </w:rPr>
  </w:style>
  <w:style w:type="paragraph" w:customStyle="1" w:styleId="151">
    <w:name w:val="Table Text"/>
    <w:basedOn w:val="1"/>
    <w:autoRedefine/>
    <w:semiHidden/>
    <w:qFormat/>
    <w:uiPriority w:val="0"/>
    <w:rPr>
      <w:rFonts w:ascii="仿宋" w:hAnsi="仿宋" w:eastAsia="仿宋" w:cs="仿宋"/>
      <w:szCs w:val="21"/>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4B145-73C4-44EA-AF57-EEEE34F3267B}">
  <ds:schemaRefs/>
</ds:datastoreItem>
</file>

<file path=docProps/app.xml><?xml version="1.0" encoding="utf-8"?>
<Properties xmlns="http://schemas.openxmlformats.org/officeDocument/2006/extended-properties" xmlns:vt="http://schemas.openxmlformats.org/officeDocument/2006/docPropsVTypes">
  <Template>Normal</Template>
  <Pages>14</Pages>
  <Words>827</Words>
  <Characters>4718</Characters>
  <Lines>39</Lines>
  <Paragraphs>11</Paragraphs>
  <TotalTime>8</TotalTime>
  <ScaleCrop>false</ScaleCrop>
  <LinksUpToDate>false</LinksUpToDate>
  <CharactersWithSpaces>5534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2024-04-28T07:41:21Z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02E9BE8401A846B1970AA17CB9CC1CF9</vt:lpwstr>
  </property>
</Properties>
</file>