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一般用途焊管用热轧钢带</w:t>
      </w:r>
      <w:r>
        <w:rPr>
          <w:rFonts w:ascii="Times New Roman" w:hAnsi="Times New Roman" w:eastAsia="仿宋_GB2312" w:cs="Times New Roman"/>
          <w:b/>
          <w:bCs/>
          <w:kern w:val="0"/>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焊接钢管</w:t>
      </w:r>
      <w:r>
        <w:rPr>
          <w:rFonts w:hint="eastAsia" w:ascii="Times New Roman" w:hAnsi="Times New Roman" w:eastAsia="仿宋_GB2312" w:cs="Times New Roman"/>
          <w:sz w:val="28"/>
          <w:szCs w:val="28"/>
          <w:lang w:val="en-US" w:eastAsia="zh-CN"/>
        </w:rPr>
        <w:t>产品冶金质量、力学性能、表面质量等关键指标直接受制于原材料</w:t>
      </w:r>
      <w:r>
        <w:rPr>
          <w:rFonts w:hint="eastAsia" w:ascii="Times New Roman" w:hAnsi="Times New Roman" w:eastAsia="仿宋_GB2312" w:cs="Times New Roman"/>
          <w:sz w:val="28"/>
          <w:szCs w:val="28"/>
        </w:rPr>
        <w:t>热轧钢带</w:t>
      </w:r>
      <w:r>
        <w:rPr>
          <w:rFonts w:hint="eastAsia" w:ascii="Times New Roman" w:hAnsi="Times New Roman" w:eastAsia="仿宋_GB2312" w:cs="Times New Roman"/>
          <w:sz w:val="28"/>
          <w:szCs w:val="28"/>
          <w:lang w:val="en-US" w:eastAsia="zh-CN"/>
        </w:rPr>
        <w:t>产品，随着终端用户对</w:t>
      </w:r>
      <w:r>
        <w:rPr>
          <w:rFonts w:hint="eastAsia" w:ascii="Times New Roman" w:hAnsi="Times New Roman" w:eastAsia="仿宋_GB2312" w:cs="Times New Roman"/>
          <w:sz w:val="28"/>
          <w:szCs w:val="28"/>
        </w:rPr>
        <w:t>高频直缝焊管用管线钢，直缝埋弧焊管用管线钢、螺旋埋弧焊</w:t>
      </w:r>
      <w:r>
        <w:rPr>
          <w:rFonts w:hint="eastAsia" w:ascii="Times New Roman" w:hAnsi="Times New Roman" w:eastAsia="仿宋_GB2312" w:cs="Times New Roman"/>
          <w:sz w:val="28"/>
          <w:szCs w:val="28"/>
          <w:lang w:val="en-US" w:eastAsia="zh-CN"/>
        </w:rPr>
        <w:t>管等产品质量提升提出更高要求，需要热轧钢带生产企业供应具有</w:t>
      </w:r>
      <w:r>
        <w:rPr>
          <w:rFonts w:hint="eastAsia" w:ascii="Times New Roman" w:hAnsi="Times New Roman" w:eastAsia="仿宋_GB2312" w:cs="Times New Roman"/>
          <w:sz w:val="28"/>
          <w:szCs w:val="28"/>
        </w:rPr>
        <w:t>优异机械性能与焊接性能，表面质量良好，尺寸公差精度高</w:t>
      </w:r>
      <w:r>
        <w:rPr>
          <w:rFonts w:hint="eastAsia" w:ascii="Times New Roman" w:hAnsi="Times New Roman" w:eastAsia="仿宋_GB2312" w:cs="Times New Roman"/>
          <w:sz w:val="28"/>
          <w:szCs w:val="28"/>
          <w:lang w:val="en-US" w:eastAsia="zh-CN"/>
        </w:rPr>
        <w:t>的产品</w:t>
      </w:r>
      <w:r>
        <w:rPr>
          <w:rFonts w:hint="eastAsia" w:ascii="Times New Roman" w:hAnsi="Times New Roman" w:eastAsia="仿宋_GB2312" w:cs="Times New Roman"/>
          <w:sz w:val="28"/>
          <w:szCs w:val="28"/>
        </w:rPr>
        <w:t>。为保障</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产品质量，满足下游客户采购需求，提高产业链上下游行业互信，拟开展《中国钢铁产品放心品牌评价规范</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pPr>
        <w:spacing w:line="360" w:lineRule="auto"/>
        <w:ind w:firstLine="560" w:firstLineChars="200"/>
        <w:rPr>
          <w:rFonts w:ascii="Times New Roman" w:hAnsi="Times New Roman" w:eastAsia="仿宋_GB2312" w:cs="Times New Roman"/>
          <w:b/>
          <w:kern w:val="44"/>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的放心品牌认证工作，培育行业信任，打造细分领域钢材产品优质供货商。落实党中央质量提升行动政策要求，为产品优质优价提供标准与认证技术支撑，打造细分赛道中国钢铁放心品牌，提升企业品牌行业影响力，推动</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行业企业实现高质量发展。</w:t>
      </w:r>
      <w:r>
        <w:rPr>
          <w:rFonts w:ascii="Times New Roman" w:hAnsi="Times New Roman" w:eastAsia="仿宋_GB2312" w:cs="Times New Roman"/>
          <w:b/>
          <w:kern w:val="44"/>
          <w:sz w:val="28"/>
          <w:szCs w:val="28"/>
        </w:rPr>
        <w:t>三、主要编制过程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2022年7月，中国特钢企业协会团体标准化工作委员会（以下简称团标委）秘书处给各位委员发出团体标准立项函审单。到立项函审截止日期，没有委员提出不同意见。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2022年8月，团标委正式下达团体标准立项计划（2022年第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2022年9月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一般用途焊管用热轧钢带</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产品的中国钢铁产品放心品牌的评价原则、评价内容和评价方法。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一般用途焊管用热轧钢带</w:t>
      </w:r>
      <w:r>
        <w:rPr>
          <w:rFonts w:hint="eastAsia" w:ascii="Times New Roman" w:hAnsi="Times New Roman" w:eastAsia="仿宋_GB2312" w:cs="Times New Roman"/>
          <w:sz w:val="28"/>
          <w:szCs w:val="28"/>
        </w:rPr>
        <w:t>产品的放心品牌进行评价和认证，也适用于组织内部进行自我评价。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企业在中国境内依法注册并具有法人资格，连续稳定生产 3 年以上。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企业经营状况良好，净资产为正。</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产品应为量产产品，应满足GB/T 1591的要求。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企业应按照 GB/T 19001、GB/T 23331、GB/T 24001、GB/T 45001 建立并运行相应质量、能源、环境、职业健康安全体系。</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企业近 3 年无严重违法违规行为，无较大及以上环境、安全、质量事故。</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企业应未列入国家信用信息严重失信主体相关名录。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W w:w="5000" w:type="pct"/>
        <w:tblInd w:w="0" w:type="dxa"/>
        <w:tblLayout w:type="autofit"/>
        <w:tblCellMar>
          <w:top w:w="0" w:type="dxa"/>
          <w:left w:w="108" w:type="dxa"/>
          <w:bottom w:w="0" w:type="dxa"/>
          <w:right w:w="108" w:type="dxa"/>
        </w:tblCellMar>
      </w:tblPr>
      <w:tblGrid>
        <w:gridCol w:w="427"/>
        <w:gridCol w:w="636"/>
        <w:gridCol w:w="1313"/>
        <w:gridCol w:w="2988"/>
        <w:gridCol w:w="1302"/>
        <w:gridCol w:w="822"/>
        <w:gridCol w:w="1041"/>
      </w:tblGrid>
      <w:tr>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评价要素</w:t>
            </w:r>
          </w:p>
        </w:tc>
        <w:tc>
          <w:tcPr>
            <w:tcW w:w="2578"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分值权重</w:t>
            </w:r>
            <w:r>
              <w:rPr>
                <w:rFonts w:hint="eastAsia" w:ascii="仿宋_GB2312" w:eastAsia="仿宋_GB2312"/>
                <w:b/>
                <w:bCs/>
                <w:color w:val="000000"/>
                <w:kern w:val="0"/>
                <w:szCs w:val="21"/>
              </w:rPr>
              <w:br w:type="textWrapping"/>
            </w:r>
            <w:r>
              <w:rPr>
                <w:rFonts w:hint="eastAsia" w:ascii="仿宋_GB2312" w:eastAsia="仿宋_GB2312"/>
                <w:b/>
                <w:bCs/>
                <w:color w:val="000000"/>
                <w:kern w:val="0"/>
                <w:szCs w:val="21"/>
              </w:rPr>
              <w:t>（满分</w:t>
            </w:r>
            <w:r>
              <w:rPr>
                <w:b/>
                <w:bCs/>
                <w:color w:val="000000"/>
                <w:kern w:val="0"/>
                <w:szCs w:val="21"/>
              </w:rPr>
              <w:t>100</w:t>
            </w:r>
            <w:r>
              <w:rPr>
                <w:rFonts w:hint="eastAsia" w:ascii="仿宋_GB2312"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二级指标</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三级指标</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20" w:hRule="atLeast"/>
        </w:trPr>
        <w:tc>
          <w:tcPr>
            <w:tcW w:w="226" w:type="pct"/>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质量保证</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生产装备水平</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国内一般：</w:t>
            </w:r>
            <w:r>
              <w:rPr>
                <w:rFonts w:eastAsia="仿宋_GB2312"/>
                <w:kern w:val="0"/>
                <w:szCs w:val="21"/>
              </w:rPr>
              <w:t>电炉/转炉+LF</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若存在《产业结构调整指导目录》限制类装备，此项</w:t>
            </w:r>
            <w:r>
              <w:rPr>
                <w:color w:val="000000"/>
                <w:kern w:val="0"/>
                <w:szCs w:val="21"/>
              </w:rPr>
              <w:t>0</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国内先进：</w:t>
            </w:r>
            <w:r>
              <w:rPr>
                <w:rFonts w:eastAsia="仿宋_GB2312"/>
                <w:kern w:val="0"/>
                <w:szCs w:val="21"/>
              </w:rPr>
              <w:t>电炉/转炉+LF+</w:t>
            </w:r>
            <w:r>
              <w:rPr>
                <w:rFonts w:hint="eastAsia" w:eastAsia="仿宋_GB2312"/>
                <w:kern w:val="0"/>
                <w:szCs w:val="21"/>
              </w:rPr>
              <w:t>RH</w:t>
            </w:r>
            <w:r>
              <w:rPr>
                <w:rFonts w:eastAsia="仿宋_GB2312"/>
                <w:kern w:val="0"/>
                <w:szCs w:val="21"/>
              </w:rPr>
              <w:t>/VD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国内领先：</w:t>
            </w:r>
            <w:r>
              <w:rPr>
                <w:rFonts w:eastAsia="仿宋_GB2312"/>
                <w:kern w:val="0"/>
                <w:szCs w:val="21"/>
              </w:rPr>
              <w:t>电炉/转炉+LF+</w:t>
            </w:r>
            <w:r>
              <w:rPr>
                <w:rFonts w:hint="eastAsia" w:eastAsia="仿宋_GB2312"/>
                <w:kern w:val="0"/>
                <w:szCs w:val="21"/>
              </w:rPr>
              <w:t xml:space="preserve"> RH</w:t>
            </w:r>
            <w:r>
              <w:rPr>
                <w:rFonts w:eastAsia="仿宋_GB2312"/>
                <w:kern w:val="0"/>
                <w:szCs w:val="21"/>
              </w:rPr>
              <w:t>/VD</w:t>
            </w:r>
            <w:r>
              <w:rPr>
                <w:rFonts w:hint="eastAsia" w:eastAsia="仿宋_GB2312"/>
                <w:kern w:val="0"/>
                <w:szCs w:val="21"/>
              </w:rPr>
              <w:t>，层流冷却，AGC厚度控制</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rPr>
              <w:t>国际领先：</w:t>
            </w:r>
            <w:r>
              <w:rPr>
                <w:rFonts w:eastAsia="仿宋_GB2312"/>
                <w:kern w:val="0"/>
                <w:szCs w:val="21"/>
              </w:rPr>
              <w:t>电炉/转炉+LF+</w:t>
            </w:r>
            <w:r>
              <w:rPr>
                <w:rFonts w:hint="eastAsia" w:eastAsia="仿宋_GB2312"/>
                <w:kern w:val="0"/>
                <w:szCs w:val="21"/>
              </w:rPr>
              <w:t xml:space="preserve"> RH</w:t>
            </w:r>
            <w:r>
              <w:rPr>
                <w:rFonts w:eastAsia="仿宋_GB2312"/>
                <w:kern w:val="0"/>
                <w:szCs w:val="21"/>
              </w:rPr>
              <w:t>/VD</w:t>
            </w:r>
            <w:r>
              <w:rPr>
                <w:rFonts w:hint="eastAsia" w:eastAsia="仿宋_GB2312"/>
                <w:kern w:val="0"/>
                <w:szCs w:val="21"/>
              </w:rPr>
              <w:t>，层流冷却，AGC厚度控制、液压弯辊控制系统</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检验检测能力</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r>
              <w:rPr>
                <w:color w:val="000000"/>
                <w:kern w:val="0"/>
                <w:szCs w:val="21"/>
              </w:rPr>
              <w:t>CNAS</w:t>
            </w:r>
            <w:r>
              <w:rPr>
                <w:rFonts w:hint="eastAsia" w:ascii="仿宋_GB2312" w:eastAsia="仿宋_GB2312"/>
                <w:color w:val="000000"/>
                <w:kern w:val="0"/>
                <w:szCs w:val="21"/>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体系保证</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w:t>
            </w:r>
            <w:r>
              <w:rPr>
                <w:color w:val="000000"/>
                <w:kern w:val="0"/>
                <w:szCs w:val="21"/>
              </w:rPr>
              <w:t>1</w:t>
            </w:r>
            <w:r>
              <w:rPr>
                <w:rFonts w:hint="eastAsia" w:ascii="仿宋_GB2312" w:eastAsia="仿宋_GB2312"/>
                <w:color w:val="000000"/>
                <w:kern w:val="0"/>
                <w:szCs w:val="21"/>
              </w:rPr>
              <w:t>分，最多</w:t>
            </w:r>
            <w:r>
              <w:rPr>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创新能力</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企业技术中心等级</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专利数量</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人才结构</w:t>
            </w:r>
          </w:p>
        </w:tc>
        <w:tc>
          <w:tcPr>
            <w:tcW w:w="1783" w:type="pct"/>
            <w:vMerge w:val="restart"/>
            <w:tcBorders>
              <w:top w:val="nil"/>
              <w:left w:val="single" w:color="auto" w:sz="8" w:space="0"/>
              <w:bottom w:val="single" w:color="000000" w:sz="8" w:space="0"/>
              <w:right w:val="single" w:color="auto" w:sz="8" w:space="0"/>
            </w:tcBorders>
            <w:shd w:val="clear" w:color="auto" w:fill="auto"/>
            <w:vAlign w:val="center"/>
          </w:tcPr>
          <w:p>
            <w:pPr>
              <w:pStyle w:val="26"/>
              <w:spacing w:before="53" w:line="254" w:lineRule="auto"/>
              <w:ind w:right="105"/>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按公式计算得分：[（1×初中及以下文化人数+2×高中文化 程度+3×专科文化程度+4×本科文化程度+5×硕士文化程度+6×博士文化程度） /员工总数]- 1</w:t>
            </w:r>
          </w:p>
          <w:p>
            <w:pPr>
              <w:pStyle w:val="26"/>
              <w:spacing w:line="217"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技术职称和文化程度可等效对应如下：</w:t>
            </w:r>
          </w:p>
          <w:p>
            <w:pPr>
              <w:pStyle w:val="26"/>
              <w:spacing w:before="64" w:line="312" w:lineRule="exact"/>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高中：初级工</w:t>
            </w:r>
          </w:p>
          <w:p>
            <w:pPr>
              <w:pStyle w:val="26"/>
              <w:spacing w:before="1" w:line="219"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专科：中级工</w:t>
            </w:r>
          </w:p>
          <w:p>
            <w:pPr>
              <w:pStyle w:val="26"/>
              <w:spacing w:before="62" w:line="219"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本科：高级工</w:t>
            </w:r>
          </w:p>
          <w:p>
            <w:pPr>
              <w:pStyle w:val="26"/>
              <w:spacing w:before="63" w:line="219" w:lineRule="auto"/>
              <w:rPr>
                <w:rFonts w:ascii="Times New Roman" w:hAnsi="Times New Roman" w:eastAsia="仿宋_GB2312" w:cs="Times New Roman"/>
                <w:color w:val="000000"/>
                <w:kern w:val="0"/>
                <w:lang w:eastAsia="zh-CN"/>
              </w:rPr>
            </w:pPr>
            <w:r>
              <w:rPr>
                <w:rFonts w:ascii="Times New Roman" w:hAnsi="Times New Roman" w:eastAsia="仿宋_GB2312" w:cs="Times New Roman"/>
                <w:color w:val="000000"/>
                <w:kern w:val="0"/>
                <w:lang w:eastAsia="zh-CN"/>
              </w:rPr>
              <w:t>硕士：技师、工程师</w:t>
            </w:r>
          </w:p>
          <w:p>
            <w:pPr>
              <w:widowControl/>
              <w:rPr>
                <w:color w:val="000000"/>
                <w:kern w:val="0"/>
                <w:szCs w:val="21"/>
              </w:rPr>
            </w:pPr>
            <w:r>
              <w:rPr>
                <w:rFonts w:eastAsia="仿宋_GB2312"/>
                <w:color w:val="000000"/>
                <w:kern w:val="0"/>
                <w:szCs w:val="21"/>
              </w:rPr>
              <w:t>博士：高级技师、高级工程师</w:t>
            </w:r>
          </w:p>
        </w:tc>
        <w:tc>
          <w:tcPr>
            <w:tcW w:w="79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全员小学文化</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全员本科文化</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研发投入比例</w:t>
            </w:r>
          </w:p>
        </w:tc>
        <w:tc>
          <w:tcPr>
            <w:tcW w:w="1783"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按公式计算得分：研发投入占比</w:t>
            </w:r>
            <w:r>
              <w:rPr>
                <w:color w:val="000000"/>
                <w:kern w:val="0"/>
                <w:szCs w:val="21"/>
              </w:rPr>
              <w:t>×100</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研发投入占比</w:t>
            </w:r>
            <w:r>
              <w:rPr>
                <w:rFonts w:hint="eastAsia" w:ascii="仿宋_GB2312" w:eastAsia="仿宋_GB2312"/>
                <w:color w:val="000000"/>
                <w:kern w:val="0"/>
                <w:szCs w:val="21"/>
              </w:rPr>
              <w:br w:type="textWrapping"/>
            </w:r>
            <w:r>
              <w:rPr>
                <w:color w:val="000000"/>
                <w:kern w:val="0"/>
                <w:szCs w:val="21"/>
              </w:rPr>
              <w:t>0</w:t>
            </w:r>
            <w:r>
              <w:rPr>
                <w:rFonts w:hint="eastAsia" w:ascii="仿宋_GB2312" w:eastAsia="仿宋_GB2312"/>
                <w:color w:val="000000"/>
                <w:kern w:val="0"/>
                <w:szCs w:val="21"/>
              </w:rPr>
              <w:t>，</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1.5%</w:t>
            </w:r>
            <w:r>
              <w:rPr>
                <w:rFonts w:hint="eastAsia" w:ascii="仿宋_GB2312" w:eastAsia="仿宋_GB2312"/>
                <w:color w:val="000000"/>
                <w:kern w:val="0"/>
                <w:szCs w:val="21"/>
              </w:rPr>
              <w:t>，</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以上，</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企业诚信</w:t>
            </w: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诚信管理体系建设</w:t>
            </w:r>
          </w:p>
        </w:tc>
        <w:tc>
          <w:tcPr>
            <w:tcW w:w="178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企业信用等级</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w:t>
            </w:r>
            <w:r>
              <w:rPr>
                <w:rFonts w:hint="eastAsia" w:ascii="仿宋_GB2312" w:eastAsia="仿宋_GB2312"/>
                <w:color w:val="000000"/>
                <w:kern w:val="0"/>
                <w:szCs w:val="21"/>
              </w:rPr>
              <w:t>、</w:t>
            </w:r>
            <w:r>
              <w:rPr>
                <w:color w:val="000000"/>
                <w:kern w:val="0"/>
                <w:szCs w:val="21"/>
              </w:rPr>
              <w:t>CC</w:t>
            </w:r>
            <w:r>
              <w:rPr>
                <w:rFonts w:hint="eastAsia" w:ascii="仿宋_GB2312" w:eastAsia="仿宋_GB2312"/>
                <w:color w:val="000000"/>
                <w:kern w:val="0"/>
                <w:szCs w:val="21"/>
              </w:rPr>
              <w:t>、</w:t>
            </w:r>
            <w:r>
              <w:rPr>
                <w:color w:val="000000"/>
                <w:kern w:val="0"/>
                <w:szCs w:val="21"/>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w:t>
            </w:r>
            <w:r>
              <w:rPr>
                <w:rFonts w:hint="eastAsia" w:ascii="仿宋_GB2312" w:eastAsia="仿宋_GB2312"/>
                <w:color w:val="000000"/>
                <w:kern w:val="0"/>
                <w:szCs w:val="21"/>
              </w:rPr>
              <w:t>、</w:t>
            </w:r>
            <w:r>
              <w:rPr>
                <w:color w:val="000000"/>
                <w:kern w:val="0"/>
                <w:szCs w:val="21"/>
              </w:rPr>
              <w:t>BB</w:t>
            </w:r>
            <w:r>
              <w:rPr>
                <w:rFonts w:hint="eastAsia" w:ascii="仿宋_GB2312" w:eastAsia="仿宋_GB2312"/>
                <w:color w:val="000000"/>
                <w:kern w:val="0"/>
                <w:szCs w:val="21"/>
              </w:rPr>
              <w:t>、</w:t>
            </w:r>
            <w:r>
              <w:rPr>
                <w:color w:val="000000"/>
                <w:kern w:val="0"/>
                <w:szCs w:val="21"/>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w:t>
            </w:r>
            <w:r>
              <w:rPr>
                <w:rFonts w:hint="eastAsia" w:ascii="仿宋_GB2312" w:eastAsia="仿宋_GB2312"/>
                <w:color w:val="000000"/>
                <w:kern w:val="0"/>
                <w:szCs w:val="21"/>
              </w:rPr>
              <w:t>、</w:t>
            </w:r>
            <w:r>
              <w:rPr>
                <w:color w:val="000000"/>
                <w:kern w:val="0"/>
                <w:szCs w:val="21"/>
              </w:rPr>
              <w:t>AA</w:t>
            </w:r>
            <w:r>
              <w:rPr>
                <w:rFonts w:hint="eastAsia" w:ascii="仿宋_GB2312" w:eastAsia="仿宋_GB2312"/>
                <w:color w:val="000000"/>
                <w:kern w:val="0"/>
                <w:szCs w:val="21"/>
              </w:rPr>
              <w:t>、</w:t>
            </w:r>
            <w:r>
              <w:rPr>
                <w:color w:val="000000"/>
                <w:kern w:val="0"/>
                <w:szCs w:val="21"/>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管理层信用</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偿债能力</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w:t>
            </w:r>
            <w:r>
              <w:rPr>
                <w:rFonts w:hint="eastAsia" w:ascii="仿宋_GB2312" w:eastAsia="仿宋_GB2312"/>
                <w:color w:val="000000"/>
                <w:kern w:val="0"/>
                <w:szCs w:val="21"/>
              </w:rPr>
              <w:t>总资产负债率</w:t>
            </w:r>
            <w:r>
              <w:rPr>
                <w:color w:val="000000"/>
                <w:kern w:val="0"/>
                <w:szCs w:val="21"/>
              </w:rPr>
              <w:t>+5</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资产负债率</w:t>
            </w:r>
            <w:r>
              <w:rPr>
                <w:rFonts w:hint="eastAsia" w:ascii="仿宋_GB2312" w:eastAsia="仿宋_GB2312"/>
                <w:color w:val="000000"/>
                <w:kern w:val="0"/>
                <w:szCs w:val="21"/>
              </w:rPr>
              <w:br w:type="textWrapping"/>
            </w:r>
            <w:r>
              <w:rPr>
                <w:color w:val="000000"/>
                <w:kern w:val="0"/>
                <w:szCs w:val="21"/>
              </w:rPr>
              <w:t>100%</w:t>
            </w:r>
            <w:r>
              <w:rPr>
                <w:rFonts w:hint="eastAsia" w:ascii="仿宋_GB2312" w:eastAsia="仿宋_GB2312"/>
                <w:color w:val="000000"/>
                <w:kern w:val="0"/>
                <w:szCs w:val="21"/>
              </w:rPr>
              <w:t>以上，</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40%</w:t>
            </w:r>
            <w:r>
              <w:rPr>
                <w:rFonts w:hint="eastAsia" w:ascii="仿宋_GB2312" w:eastAsia="仿宋_GB2312"/>
                <w:color w:val="000000"/>
                <w:kern w:val="0"/>
                <w:szCs w:val="21"/>
              </w:rPr>
              <w:t>以下，</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合同履约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企业不良行为记录</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每条不良行为记录减</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服务水平</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服务体系建设</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每项得</w:t>
            </w:r>
            <w:r>
              <w:rPr>
                <w:color w:val="000000"/>
                <w:kern w:val="0"/>
                <w:szCs w:val="21"/>
              </w:rPr>
              <w:t>1</w:t>
            </w:r>
            <w:r>
              <w:rPr>
                <w:rFonts w:hint="eastAsia" w:ascii="仿宋_GB2312" w:eastAsia="仿宋_GB2312"/>
                <w:color w:val="000000"/>
                <w:kern w:val="0"/>
                <w:szCs w:val="21"/>
              </w:rPr>
              <w:t>分，最多</w:t>
            </w:r>
            <w:r>
              <w:rPr>
                <w:color w:val="000000"/>
                <w:kern w:val="0"/>
                <w:szCs w:val="21"/>
              </w:rPr>
              <w:t>4</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tcPr>
          <w:p>
            <w:pPr>
              <w:spacing w:line="323" w:lineRule="auto"/>
              <w:rPr>
                <w:rFonts w:ascii="Arial"/>
              </w:rPr>
            </w:pPr>
          </w:p>
          <w:p>
            <w:pPr>
              <w:pStyle w:val="26"/>
              <w:spacing w:before="68" w:line="218" w:lineRule="auto"/>
              <w:ind w:left="604"/>
              <w:rPr>
                <w:color w:val="000000"/>
                <w:kern w:val="0"/>
                <w:highlight w:val="yellow"/>
              </w:rPr>
            </w:pPr>
            <w:r>
              <w:rPr>
                <w:rFonts w:hint="eastAsia" w:ascii="仿宋_GB2312" w:hAnsi="Times New Roman" w:eastAsia="仿宋_GB2312" w:cs="Times New Roman"/>
                <w:color w:val="000000"/>
                <w:kern w:val="0"/>
                <w:lang w:eastAsia="zh-CN"/>
              </w:rPr>
              <w:t>配送时效保障</w:t>
            </w:r>
          </w:p>
        </w:tc>
        <w:tc>
          <w:tcPr>
            <w:tcW w:w="1783" w:type="pct"/>
            <w:tcBorders>
              <w:top w:val="nil"/>
              <w:left w:val="nil"/>
              <w:bottom w:val="single" w:color="auto" w:sz="8" w:space="0"/>
              <w:right w:val="single" w:color="auto" w:sz="8" w:space="0"/>
            </w:tcBorders>
            <w:shd w:val="clear" w:color="auto" w:fill="auto"/>
          </w:tcPr>
          <w:p>
            <w:pPr>
              <w:pStyle w:val="26"/>
              <w:spacing w:before="60" w:line="216" w:lineRule="auto"/>
              <w:ind w:left="1926"/>
              <w:rPr>
                <w:color w:val="000000"/>
                <w:kern w:val="0"/>
                <w:highlight w:val="yellow"/>
              </w:rPr>
            </w:pPr>
            <w:r>
              <w:rPr>
                <w:rFonts w:hint="eastAsia" w:ascii="仿宋_GB2312" w:hAnsi="Times New Roman" w:eastAsia="仿宋_GB2312" w:cs="Times New Roman"/>
                <w:color w:val="000000"/>
                <w:kern w:val="0"/>
                <w:lang w:eastAsia="zh-CN"/>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63" w:line="215" w:lineRule="auto"/>
              <w:ind w:left="1974"/>
              <w:rPr>
                <w:color w:val="000000"/>
                <w:kern w:val="0"/>
                <w:highlight w:val="yellow"/>
              </w:rPr>
            </w:pPr>
            <w:r>
              <w:rPr>
                <w:rFonts w:hint="eastAsia" w:ascii="仿宋_GB2312" w:hAnsi="Times New Roman" w:eastAsia="仿宋_GB2312" w:cs="Times New Roman"/>
                <w:color w:val="000000"/>
                <w:kern w:val="0"/>
                <w:lang w:eastAsia="zh-CN"/>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61" w:line="223" w:lineRule="auto"/>
              <w:ind w:left="1974"/>
              <w:rPr>
                <w:color w:val="000000"/>
                <w:kern w:val="0"/>
                <w:highlight w:val="yellow"/>
              </w:rPr>
            </w:pPr>
            <w:r>
              <w:rPr>
                <w:rFonts w:hint="eastAsia" w:ascii="仿宋_GB2312" w:hAnsi="Times New Roman" w:eastAsia="仿宋_GB2312" w:cs="Times New Roman"/>
                <w:color w:val="000000"/>
                <w:kern w:val="0"/>
                <w:lang w:eastAsia="zh-CN"/>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3" w:line="225" w:lineRule="auto"/>
              <w:ind w:left="1974"/>
              <w:rPr>
                <w:color w:val="000000"/>
                <w:kern w:val="0"/>
                <w:highlight w:val="yellow"/>
              </w:rPr>
            </w:pPr>
            <w:r>
              <w:rPr>
                <w:rFonts w:hint="eastAsia" w:ascii="仿宋_GB2312" w:hAnsi="Times New Roman" w:eastAsia="仿宋_GB2312" w:cs="Times New Roman"/>
                <w:color w:val="000000"/>
                <w:kern w:val="0"/>
                <w:lang w:eastAsia="zh-CN"/>
              </w:rPr>
              <w:t>按时交付率≥99%</w:t>
            </w:r>
          </w:p>
        </w:tc>
        <w:tc>
          <w:tcPr>
            <w:tcW w:w="795" w:type="pct"/>
            <w:tcBorders>
              <w:top w:val="nil"/>
              <w:left w:val="nil"/>
              <w:bottom w:val="single" w:color="auto" w:sz="8" w:space="0"/>
              <w:right w:val="single" w:color="auto" w:sz="8" w:space="0"/>
            </w:tcBorders>
            <w:shd w:val="clear" w:color="auto" w:fill="auto"/>
          </w:tcPr>
          <w:p>
            <w:pPr>
              <w:widowControl/>
              <w:jc w:val="center"/>
              <w:rPr>
                <w:color w:val="000000"/>
                <w:kern w:val="0"/>
                <w:szCs w:val="21"/>
              </w:rPr>
            </w:pPr>
            <w:r>
              <w:rPr>
                <w:rFonts w:hint="eastAsia"/>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质量追溯</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产品质量检测无法实现追踪溯源</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产品质量检测部分实现追踪溯源</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产品质量检测全部实现追踪溯源</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质量异议解决制度</w:t>
            </w:r>
          </w:p>
        </w:tc>
        <w:tc>
          <w:tcPr>
            <w:tcW w:w="1783"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hint="eastAsia" w:ascii="仿宋_GB2312" w:eastAsia="仿宋_GB2312"/>
                <w:color w:val="000000"/>
                <w:kern w:val="0"/>
                <w:szCs w:val="21"/>
              </w:rPr>
              <w:t>建立了完善的质量异议解决制度</w:t>
            </w:r>
            <w:r>
              <w:rPr>
                <w:rFonts w:hint="eastAsia" w:ascii="仿宋_GB2312" w:eastAsia="仿宋_GB2312"/>
                <w:color w:val="000000"/>
                <w:kern w:val="0"/>
                <w:szCs w:val="21"/>
              </w:rPr>
              <w:br w:type="textWrapping"/>
            </w:r>
            <w:r>
              <w:rPr>
                <w:color w:val="000000"/>
                <w:kern w:val="0"/>
                <w:szCs w:val="21"/>
              </w:rPr>
              <w:t>2.</w:t>
            </w:r>
            <w:r>
              <w:rPr>
                <w:rFonts w:hint="eastAsia" w:ascii="仿宋_GB2312" w:eastAsia="仿宋_GB2312"/>
                <w:color w:val="000000"/>
                <w:kern w:val="0"/>
                <w:szCs w:val="21"/>
              </w:rPr>
              <w:t>质量异议解决制度得到了严格遵守和运行</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达到每条得</w:t>
            </w:r>
            <w:r>
              <w:rPr>
                <w:rFonts w:hint="eastAsia" w:eastAsia="仿宋_GB2312"/>
                <w:color w:val="000000"/>
                <w:kern w:val="0"/>
                <w:szCs w:val="21"/>
              </w:rPr>
              <w:t>1</w:t>
            </w:r>
            <w:r>
              <w:rPr>
                <w:rFonts w:hint="eastAsia" w:ascii="仿宋_GB2312" w:eastAsia="仿宋_GB2312"/>
                <w:color w:val="000000"/>
                <w:kern w:val="0"/>
                <w:szCs w:val="21"/>
              </w:rPr>
              <w:t>分，最多</w:t>
            </w:r>
            <w:r>
              <w:rPr>
                <w:rFonts w:hint="eastAsia" w:eastAsia="仿宋_GB2312"/>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产品层面</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质量一致性</w:t>
            </w:r>
            <w:r>
              <w:rPr>
                <w:rFonts w:hint="eastAsia" w:ascii="仿宋_GB2312" w:eastAsia="仿宋_GB2312"/>
                <w:color w:val="000000"/>
                <w:kern w:val="0"/>
                <w:szCs w:val="21"/>
              </w:rPr>
              <w:br w:type="textWrapping"/>
            </w:r>
            <w:r>
              <w:rPr>
                <w:rFonts w:hint="eastAsia" w:ascii="仿宋_GB2312" w:eastAsia="仿宋_GB2312"/>
                <w:color w:val="000000"/>
                <w:kern w:val="0"/>
                <w:szCs w:val="21"/>
              </w:rPr>
              <w:t>（工序能力指数）</w:t>
            </w:r>
          </w:p>
        </w:tc>
        <w:tc>
          <w:tcPr>
            <w:tcW w:w="8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w:t>
            </w:r>
            <w:r>
              <w:rPr>
                <w:rFonts w:hint="eastAsia" w:eastAsia="仿宋_GB2312"/>
                <w:color w:val="000000"/>
                <w:kern w:val="0"/>
                <w:szCs w:val="21"/>
              </w:rPr>
              <w:t>厚度尺寸及允许偏差</w:t>
            </w:r>
            <w:r>
              <w:rPr>
                <w:rFonts w:hint="eastAsia" w:ascii="仿宋_GB2312" w:eastAsia="仿宋_GB2312"/>
                <w:color w:val="000000"/>
                <w:kern w:val="0"/>
                <w:szCs w:val="21"/>
              </w:rPr>
              <w:t>）</w:t>
            </w:r>
          </w:p>
        </w:tc>
        <w:tc>
          <w:tcPr>
            <w:tcW w:w="1783"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各项按公式计算得分，即</w:t>
            </w:r>
            <w:r>
              <w:rPr>
                <w:rFonts w:hint="eastAsia" w:ascii="仿宋_GB2312" w:eastAsia="仿宋_GB2312"/>
                <w:color w:val="000000"/>
                <w:kern w:val="0"/>
                <w:szCs w:val="21"/>
              </w:rPr>
              <w:br w:type="textWrapping"/>
            </w:r>
            <w:r>
              <w:rPr>
                <w:color w:val="000000"/>
                <w:kern w:val="0"/>
                <w:szCs w:val="21"/>
              </w:rPr>
              <w:t>Cp</w:t>
            </w:r>
            <w:r>
              <w:rPr>
                <w:rFonts w:hint="eastAsia" w:ascii="仿宋_GB2312" w:eastAsia="仿宋_GB2312"/>
                <w:color w:val="000000"/>
                <w:kern w:val="0"/>
                <w:szCs w:val="21"/>
              </w:rPr>
              <w:t>≤</w:t>
            </w:r>
            <w:r>
              <w:rPr>
                <w:color w:val="000000"/>
                <w:kern w:val="0"/>
                <w:szCs w:val="21"/>
              </w:rPr>
              <w:t>0.8</w:t>
            </w:r>
            <w:r>
              <w:rPr>
                <w:rFonts w:hint="eastAsia" w:ascii="仿宋_GB2312" w:eastAsia="仿宋_GB2312"/>
                <w:color w:val="000000"/>
                <w:kern w:val="0"/>
                <w:szCs w:val="21"/>
              </w:rPr>
              <w:t>时，</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Cp</w:t>
            </w:r>
            <w:r>
              <w:rPr>
                <w:rFonts w:hint="eastAsia" w:ascii="仿宋_GB2312" w:eastAsia="仿宋_GB2312"/>
                <w:color w:val="000000"/>
                <w:kern w:val="0"/>
                <w:szCs w:val="21"/>
              </w:rPr>
              <w:t>≥</w:t>
            </w:r>
            <w:r>
              <w:rPr>
                <w:color w:val="000000"/>
                <w:kern w:val="0"/>
                <w:szCs w:val="21"/>
              </w:rPr>
              <w:t>1.2</w:t>
            </w:r>
            <w:r>
              <w:rPr>
                <w:rFonts w:hint="eastAsia" w:ascii="仿宋_GB2312" w:eastAsia="仿宋_GB2312"/>
                <w:color w:val="000000"/>
                <w:kern w:val="0"/>
                <w:szCs w:val="21"/>
              </w:rPr>
              <w:t>时，</w:t>
            </w:r>
            <w:r>
              <w:rPr>
                <w:rFonts w:hint="eastAsia" w:eastAsia="仿宋_GB2312"/>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single" w:color="auto" w:sz="4" w:space="0"/>
              <w:left w:val="single" w:color="auto" w:sz="4"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235" w:type="pct"/>
            <w:vMerge w:val="continue"/>
            <w:tcBorders>
              <w:top w:val="single" w:color="auto" w:sz="4" w:space="0"/>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802"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（宽</w:t>
            </w:r>
            <w:r>
              <w:rPr>
                <w:rFonts w:hint="eastAsia" w:eastAsia="仿宋_GB2312"/>
                <w:color w:val="000000"/>
                <w:kern w:val="0"/>
                <w:szCs w:val="21"/>
              </w:rPr>
              <w:t>度尺寸及允许偏差</w:t>
            </w:r>
            <w:r>
              <w:rPr>
                <w:rFonts w:hint="eastAsia" w:ascii="仿宋_GB2312" w:eastAsia="仿宋_GB2312"/>
                <w:color w:val="000000"/>
                <w:kern w:val="0"/>
                <w:szCs w:val="21"/>
              </w:rPr>
              <w:t>）</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left w:val="single" w:color="auto" w:sz="4"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235" w:type="pct"/>
            <w:vMerge w:val="continue"/>
            <w:tcBorders>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（不平度）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（凸度）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（同条差）</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（屈服强度）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（抗拉强度）</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（断后伸长率）</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（冲击吸收能量）</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Cp（碳当量）</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终端客户水平</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按公式计算得分：（央企、国企、上市公司客户采购数量占产品总销量比重）</w:t>
            </w:r>
            <w:r>
              <w:rPr>
                <w:color w:val="000000"/>
                <w:kern w:val="0"/>
                <w:szCs w:val="21"/>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重点客户销量占比</w:t>
            </w:r>
            <w:r>
              <w:rPr>
                <w:rFonts w:hint="eastAsia" w:ascii="仿宋_GB2312" w:eastAsia="仿宋_GB2312"/>
                <w:color w:val="000000"/>
                <w:kern w:val="0"/>
                <w:szCs w:val="21"/>
              </w:rPr>
              <w:br w:type="textWrapping"/>
            </w:r>
            <w:r>
              <w:rPr>
                <w:color w:val="000000"/>
                <w:kern w:val="0"/>
                <w:szCs w:val="21"/>
              </w:rPr>
              <w:t>10%</w:t>
            </w:r>
            <w:r>
              <w:rPr>
                <w:rFonts w:hint="eastAsia" w:ascii="仿宋_GB2312" w:eastAsia="仿宋_GB2312"/>
                <w:color w:val="000000"/>
                <w:kern w:val="0"/>
                <w:szCs w:val="21"/>
              </w:rPr>
              <w:t>以下，</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50%</w:t>
            </w:r>
            <w:r>
              <w:rPr>
                <w:rFonts w:hint="eastAsia" w:ascii="仿宋_GB2312" w:eastAsia="仿宋_GB2312"/>
                <w:color w:val="000000"/>
                <w:kern w:val="0"/>
                <w:szCs w:val="21"/>
              </w:rPr>
              <w:t>以上，3分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质量异议经济损失率</w:t>
            </w:r>
          </w:p>
          <w:p>
            <w:pPr>
              <w:widowControl/>
              <w:jc w:val="center"/>
              <w:rPr>
                <w:color w:val="000000"/>
                <w:kern w:val="0"/>
                <w:szCs w:val="21"/>
                <w:highlight w:val="yellow"/>
              </w:rPr>
            </w:pPr>
            <w:r>
              <w:rPr>
                <w:rFonts w:hint="eastAsia" w:ascii="仿宋_GB2312" w:eastAsia="仿宋_GB2312"/>
                <w:color w:val="000000"/>
                <w:kern w:val="0"/>
                <w:szCs w:val="21"/>
              </w:rPr>
              <w:t>（元/万元—赔偿额/销售额）</w:t>
            </w:r>
            <w:r>
              <w:rPr>
                <w:rFonts w:hint="eastAsia" w:ascii="仿宋_GB2312" w:eastAsia="仿宋_GB2312"/>
                <w:color w:val="000000"/>
                <w:kern w:val="0"/>
                <w:szCs w:val="21"/>
              </w:rPr>
              <w:br w:type="textWrapping"/>
            </w:r>
          </w:p>
        </w:tc>
        <w:tc>
          <w:tcPr>
            <w:tcW w:w="1783" w:type="pct"/>
            <w:tcBorders>
              <w:top w:val="nil"/>
              <w:left w:val="nil"/>
              <w:bottom w:val="single" w:color="auto" w:sz="8" w:space="0"/>
              <w:right w:val="single" w:color="auto" w:sz="8" w:space="0"/>
            </w:tcBorders>
            <w:shd w:val="clear" w:color="auto" w:fill="auto"/>
            <w:vAlign w:val="center"/>
          </w:tcPr>
          <w:p>
            <w:pPr>
              <w:pStyle w:val="26"/>
              <w:spacing w:before="60" w:line="218" w:lineRule="auto"/>
              <w:ind w:left="1776"/>
              <w:rPr>
                <w:color w:val="000000"/>
                <w:kern w:val="0"/>
                <w:highlight w:val="yellow"/>
              </w:rPr>
            </w:pPr>
            <w:r>
              <w:rPr>
                <w:rFonts w:ascii="Times New Roman" w:hAnsi="Times New Roman" w:eastAsia="仿宋_GB2312" w:cs="Times New Roman"/>
                <w:color w:val="000000"/>
                <w:kern w:val="0"/>
                <w:lang w:eastAsia="zh-CN"/>
              </w:rPr>
              <w:t xml:space="preserve"> ＞1.5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pStyle w:val="26"/>
              <w:spacing w:before="53" w:line="218" w:lineRule="auto"/>
              <w:ind w:left="1798"/>
              <w:rPr>
                <w:color w:val="000000"/>
                <w:kern w:val="0"/>
                <w:highlight w:val="yellow"/>
              </w:rPr>
            </w:pPr>
            <w:r>
              <w:rPr>
                <w:rFonts w:ascii="Times New Roman" w:hAnsi="Times New Roman" w:eastAsia="仿宋_GB2312" w:cs="Times New Roman"/>
                <w:color w:val="000000"/>
                <w:kern w:val="0"/>
                <w:lang w:eastAsia="zh-CN"/>
              </w:rPr>
              <w:t>＜1.0~1.5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pStyle w:val="26"/>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＜0.5~1.0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vAlign w:val="center"/>
          </w:tcPr>
          <w:p>
            <w:pPr>
              <w:pStyle w:val="26"/>
              <w:spacing w:before="52" w:line="225" w:lineRule="auto"/>
              <w:ind w:left="2033"/>
              <w:rPr>
                <w:color w:val="000000"/>
                <w:kern w:val="0"/>
                <w:highlight w:val="yellow"/>
              </w:rPr>
            </w:pPr>
            <w:r>
              <w:rPr>
                <w:rFonts w:ascii="Times New Roman" w:hAnsi="Times New Roman" w:eastAsia="仿宋_GB2312" w:cs="Times New Roman"/>
                <w:color w:val="000000"/>
                <w:kern w:val="0"/>
                <w:lang w:eastAsia="zh-CN"/>
              </w:rPr>
              <w:t>≤0.5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tcPr>
          <w:p>
            <w:pPr>
              <w:widowControl/>
              <w:jc w:val="center"/>
              <w:rPr>
                <w:rFonts w:ascii="仿宋_GB2312" w:eastAsia="仿宋_GB2312"/>
                <w:color w:val="000000"/>
                <w:kern w:val="0"/>
                <w:szCs w:val="21"/>
              </w:rPr>
            </w:pPr>
          </w:p>
          <w:p>
            <w:pPr>
              <w:widowControl/>
              <w:jc w:val="center"/>
              <w:rPr>
                <w:rFonts w:ascii="仿宋_GB2312" w:eastAsia="仿宋_GB2312"/>
                <w:kern w:val="0"/>
                <w:szCs w:val="21"/>
              </w:rPr>
            </w:pPr>
            <w:r>
              <w:rPr>
                <w:rFonts w:hint="eastAsia" w:ascii="仿宋_GB2312" w:eastAsia="仿宋_GB2312"/>
                <w:kern w:val="0"/>
                <w:szCs w:val="21"/>
              </w:rPr>
              <w:t xml:space="preserve">质量异议响应时间 </w:t>
            </w:r>
          </w:p>
          <w:p>
            <w:pPr>
              <w:widowControl/>
              <w:jc w:val="center"/>
              <w:rPr>
                <w:color w:val="000000"/>
                <w:kern w:val="0"/>
                <w:szCs w:val="21"/>
                <w:highlight w:val="yellow"/>
              </w:rPr>
            </w:pPr>
            <w:r>
              <w:rPr>
                <w:rFonts w:hint="eastAsia" w:ascii="仿宋_GB2312" w:eastAsia="仿宋_GB2312"/>
                <w:kern w:val="0"/>
                <w:szCs w:val="21"/>
              </w:rPr>
              <w:t>（单位：小时）</w:t>
            </w: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hint="eastAsia" w:ascii="Times New Roman" w:hAnsi="Times New Roman" w:eastAsia="仿宋_GB2312" w:cs="Times New Roman"/>
                <w:kern w:val="0"/>
                <w:lang w:eastAsia="zh-CN"/>
              </w:rPr>
              <w:t>24~48</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widowControl/>
              <w:jc w:val="cente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hint="eastAsia" w:ascii="Times New Roman" w:hAnsi="Times New Roman" w:eastAsia="仿宋_GB2312" w:cs="Times New Roman"/>
                <w:kern w:val="0"/>
                <w:lang w:eastAsia="zh-CN"/>
              </w:rPr>
              <w:t>12~24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widowControl/>
              <w:jc w:val="cente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hint="eastAsia" w:ascii="Times New Roman" w:hAnsi="Times New Roman" w:eastAsia="仿宋_GB2312" w:cs="Times New Roman"/>
                <w:kern w:val="0"/>
                <w:lang w:eastAsia="zh-CN"/>
              </w:rPr>
              <w:t>8~12</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widowControl/>
              <w:jc w:val="cente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ascii="Times New Roman" w:hAnsi="Times New Roman" w:eastAsia="仿宋_GB2312" w:cs="Times New Roman"/>
                <w:kern w:val="0"/>
                <w:lang w:eastAsia="zh-CN"/>
              </w:rPr>
              <w:t xml:space="preserve"> ≤</w:t>
            </w:r>
            <w:r>
              <w:rPr>
                <w:rFonts w:hint="eastAsia" w:ascii="Times New Roman" w:hAnsi="Times New Roman" w:eastAsia="仿宋_GB2312" w:cs="Times New Roman"/>
                <w:kern w:val="0"/>
                <w:lang w:eastAsia="zh-CN"/>
              </w:rPr>
              <w:t>8</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tcPr>
          <w:p>
            <w:pPr>
              <w:widowControl/>
              <w:jc w:val="center"/>
              <w:rPr>
                <w:rFonts w:ascii="仿宋_GB2312" w:eastAsia="仿宋_GB2312"/>
                <w:color w:val="000000"/>
                <w:kern w:val="0"/>
                <w:szCs w:val="21"/>
              </w:rPr>
            </w:pPr>
          </w:p>
          <w:p>
            <w:pPr>
              <w:widowControl/>
              <w:jc w:val="center"/>
              <w:rPr>
                <w:rFonts w:ascii="仿宋_GB2312" w:eastAsia="仿宋_GB2312"/>
                <w:color w:val="000000"/>
                <w:kern w:val="0"/>
                <w:szCs w:val="21"/>
              </w:rPr>
            </w:pPr>
            <w:r>
              <w:rPr>
                <w:rFonts w:hint="eastAsia" w:ascii="仿宋_GB2312" w:eastAsia="仿宋_GB2312"/>
                <w:color w:val="000000"/>
                <w:kern w:val="0"/>
                <w:szCs w:val="21"/>
              </w:rPr>
              <w:t>顾客满意度</w:t>
            </w:r>
          </w:p>
          <w:p>
            <w:pPr>
              <w:widowControl/>
              <w:jc w:val="center"/>
              <w:rPr>
                <w:color w:val="000000"/>
                <w:kern w:val="0"/>
                <w:szCs w:val="21"/>
                <w:highlight w:val="yellow"/>
              </w:rPr>
            </w:pPr>
            <w:r>
              <w:rPr>
                <w:rFonts w:hint="eastAsia" w:ascii="仿宋_GB2312" w:eastAsia="仿宋_GB2312"/>
                <w:color w:val="000000"/>
                <w:kern w:val="0"/>
                <w:szCs w:val="21"/>
              </w:rPr>
              <w:t>（单位：分）</w:t>
            </w: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顾客满意度＜70，或未开展顾客满意度调查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rPr>
            </w:pPr>
            <w:r>
              <w:rPr>
                <w:rFonts w:ascii="Times New Roman" w:hAnsi="Times New Roman" w:eastAsia="仿宋_GB2312" w:cs="Times New Roman"/>
                <w:color w:val="000000"/>
                <w:kern w:val="0"/>
                <w:lang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行业一般： 70~＜80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rPr>
            </w:pPr>
            <w:r>
              <w:rPr>
                <w:rFonts w:hint="eastAsia" w:ascii="Times New Roman" w:hAnsi="Times New Roman" w:eastAsia="仿宋_GB2312" w:cs="Times New Roman"/>
                <w:color w:val="000000"/>
                <w:kern w:val="0"/>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行业平均： 80~＜90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rPr>
            </w:pPr>
            <w:r>
              <w:rPr>
                <w:rFonts w:hint="eastAsia" w:ascii="Times New Roman" w:hAnsi="Times New Roman" w:eastAsia="仿宋_GB2312" w:cs="Times New Roman"/>
                <w:color w:val="000000"/>
                <w:kern w:val="0"/>
                <w:lang w:val="en-US" w:eastAsia="zh-CN"/>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tcPr>
          <w:p>
            <w:pPr>
              <w:rPr>
                <w:color w:val="000000"/>
                <w:kern w:val="0"/>
                <w:szCs w:val="21"/>
                <w:highlight w:val="yellow"/>
              </w:rPr>
            </w:pPr>
          </w:p>
        </w:tc>
        <w:tc>
          <w:tcPr>
            <w:tcW w:w="1783" w:type="pct"/>
            <w:tcBorders>
              <w:top w:val="nil"/>
              <w:left w:val="nil"/>
              <w:bottom w:val="single" w:color="auto" w:sz="8" w:space="0"/>
              <w:right w:val="single" w:color="auto" w:sz="8" w:space="0"/>
            </w:tcBorders>
            <w:shd w:val="clear" w:color="auto" w:fill="auto"/>
          </w:tcPr>
          <w:p>
            <w:pPr>
              <w:pStyle w:val="26"/>
              <w:spacing w:before="51" w:line="218" w:lineRule="auto"/>
              <w:ind w:left="1798"/>
              <w:rPr>
                <w:color w:val="000000"/>
                <w:kern w:val="0"/>
                <w:highlight w:val="yellow"/>
              </w:rPr>
            </w:pPr>
            <w:r>
              <w:rPr>
                <w:rFonts w:ascii="Times New Roman" w:hAnsi="Times New Roman" w:eastAsia="仿宋_GB2312" w:cs="Times New Roman"/>
                <w:color w:val="000000"/>
                <w:kern w:val="0"/>
                <w:lang w:eastAsia="zh-CN"/>
              </w:rPr>
              <w:t>行业领先： ≥90</w:t>
            </w:r>
          </w:p>
        </w:tc>
        <w:tc>
          <w:tcPr>
            <w:tcW w:w="795" w:type="pct"/>
            <w:tcBorders>
              <w:top w:val="nil"/>
              <w:left w:val="nil"/>
              <w:bottom w:val="single" w:color="auto" w:sz="8" w:space="0"/>
              <w:right w:val="single" w:color="auto" w:sz="8" w:space="0"/>
            </w:tcBorders>
            <w:shd w:val="clear" w:color="auto" w:fill="auto"/>
            <w:vAlign w:val="center"/>
          </w:tcPr>
          <w:p>
            <w:pPr>
              <w:pStyle w:val="26"/>
              <w:spacing w:before="51" w:line="218" w:lineRule="auto"/>
              <w:jc w:val="center"/>
              <w:rPr>
                <w:color w:val="000000"/>
                <w:kern w:val="0"/>
              </w:rPr>
            </w:pPr>
            <w:r>
              <w:rPr>
                <w:rFonts w:hint="eastAsia" w:ascii="Times New Roman" w:hAnsi="Times New Roman" w:eastAsia="仿宋_GB2312" w:cs="Times New Roman"/>
                <w:color w:val="000000"/>
                <w:kern w:val="0"/>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质量认证</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第二方评价</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每项供应商评价得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第三方认证</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每项认证得</w:t>
            </w:r>
            <w:r>
              <w:rPr>
                <w:color w:val="000000"/>
                <w:kern w:val="0"/>
                <w:szCs w:val="21"/>
              </w:rPr>
              <w:t xml:space="preserve">0.5 </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荣誉奖项</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产品质量奖</w:t>
            </w:r>
          </w:p>
        </w:tc>
        <w:tc>
          <w:tcPr>
            <w:tcW w:w="1783"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国家级质量奖：每项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国家级提名奖：每项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省部级质量奖：每项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省部级提名奖：每项</w:t>
            </w:r>
            <w:r>
              <w:rPr>
                <w:color w:val="000000"/>
                <w:kern w:val="0"/>
                <w:szCs w:val="21"/>
              </w:rPr>
              <w:t>1</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市级质量奖：每项</w:t>
            </w:r>
            <w:r>
              <w:rPr>
                <w:color w:val="000000"/>
                <w:kern w:val="0"/>
                <w:szCs w:val="21"/>
              </w:rPr>
              <w:t>0.5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44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产品科技奖</w:t>
            </w:r>
          </w:p>
        </w:tc>
        <w:tc>
          <w:tcPr>
            <w:tcW w:w="1783"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国家级一等奖：每项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国家级二等奖：每项</w:t>
            </w:r>
            <w:r>
              <w:rPr>
                <w:color w:val="000000"/>
                <w:kern w:val="0"/>
                <w:szCs w:val="21"/>
              </w:rPr>
              <w:t>3.5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省部级一等奖：每项</w:t>
            </w:r>
            <w:r>
              <w:rPr>
                <w:color w:val="000000"/>
                <w:kern w:val="0"/>
                <w:szCs w:val="21"/>
              </w:rPr>
              <w:t>2.5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省部级二等奖：每项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省部级三等奖：每项</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单项冠军</w:t>
            </w:r>
          </w:p>
        </w:tc>
        <w:tc>
          <w:tcPr>
            <w:tcW w:w="1783"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4"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3"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ascii="仿宋_GB2312" w:eastAsia="仿宋_GB2312"/>
                <w:color w:val="000000"/>
                <w:kern w:val="0"/>
                <w:szCs w:val="21"/>
              </w:rPr>
              <w:t>信息化水平</w:t>
            </w:r>
          </w:p>
        </w:tc>
        <w:tc>
          <w:tcPr>
            <w:tcW w:w="80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ascii="仿宋_GB2312" w:hAnsi="宋体" w:eastAsia="仿宋_GB2312" w:cs="宋体"/>
                <w:color w:val="000000"/>
                <w:kern w:val="0"/>
                <w:szCs w:val="21"/>
              </w:rPr>
              <w:t>智能制造成熟度</w:t>
            </w: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未达一级-基础级：企业具备最基础的网络化办公及电子化 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0</w:t>
            </w:r>
          </w:p>
        </w:tc>
        <w:tc>
          <w:tcPr>
            <w:tcW w:w="51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2.5</w:t>
            </w:r>
          </w:p>
        </w:tc>
        <w:tc>
          <w:tcPr>
            <w:tcW w:w="642" w:type="pct"/>
            <w:vMerge w:val="restart"/>
            <w:tcBorders>
              <w:top w:val="single" w:color="auto" w:sz="4" w:space="0"/>
              <w:left w:val="single" w:color="auto" w:sz="4" w:space="0"/>
              <w:bottom w:val="single" w:color="auto" w:sz="4" w:space="0"/>
              <w:right w:val="single" w:color="auto" w:sz="4" w:space="0"/>
            </w:tcBorders>
            <w:vAlign w:val="center"/>
          </w:tcPr>
          <w:p>
            <w:pPr>
              <w:pStyle w:val="26"/>
              <w:spacing w:before="63" w:line="219" w:lineRule="auto"/>
              <w:rPr>
                <w:rFonts w:ascii="仿宋_GB2312" w:hAnsi="宋体" w:eastAsia="仿宋_GB2312" w:cs="宋体"/>
                <w:color w:val="000000"/>
                <w:kern w:val="0"/>
                <w:lang w:eastAsia="zh-CN"/>
              </w:rPr>
            </w:pPr>
            <w:r>
              <w:rPr>
                <w:rFonts w:hint="eastAsia" w:ascii="仿宋_GB2312" w:hAnsi="宋体" w:eastAsia="仿宋_GB2312" w:cs="宋体"/>
                <w:color w:val="000000"/>
                <w:kern w:val="0"/>
                <w:lang w:eastAsia="zh-CN"/>
              </w:rPr>
              <w:t>此为加分项，评价</w:t>
            </w:r>
          </w:p>
          <w:p>
            <w:pPr>
              <w:pStyle w:val="26"/>
              <w:widowControl/>
              <w:spacing w:before="63" w:line="219" w:lineRule="auto"/>
              <w:jc w:val="left"/>
              <w:rPr>
                <w:rFonts w:ascii="仿宋_GB2312" w:hAnsi="宋体" w:eastAsia="仿宋_GB2312" w:cs="宋体"/>
                <w:color w:val="000000"/>
                <w:kern w:val="0"/>
                <w:lang w:eastAsia="zh-CN"/>
              </w:rPr>
            </w:pPr>
            <w:r>
              <w:rPr>
                <w:rFonts w:hint="eastAsia" w:ascii="仿宋_GB2312" w:hAnsi="宋体" w:eastAsia="仿宋_GB2312" w:cs="宋体"/>
                <w:color w:val="000000"/>
                <w:kern w:val="0"/>
                <w:lang w:eastAsia="zh-CN"/>
              </w:rPr>
              <w:t>指标得分未满 100分时可以计入</w:t>
            </w:r>
          </w:p>
          <w:p>
            <w:pPr>
              <w:pStyle w:val="26"/>
              <w:widowControl/>
              <w:spacing w:before="63" w:line="219" w:lineRule="auto"/>
              <w:jc w:val="left"/>
              <w:rPr>
                <w:color w:val="000000"/>
                <w:kern w:val="0"/>
              </w:rPr>
            </w:pPr>
            <w:r>
              <w:rPr>
                <w:rFonts w:hint="eastAsia" w:ascii="仿宋_GB2312" w:hAnsi="宋体" w:eastAsia="仿宋_GB2312" w:cs="宋体"/>
                <w:color w:val="000000"/>
                <w:kern w:val="0"/>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一级-规划级：企业应开始对实施智能制造的基础和条件进行规划，能够对核心业务活动（设计、生产、物流、销售、服务）进行流程化管理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0.5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二级-规范级：企业应采用自动化技术、信息技术手段对核心装备和业务活动等进行改造和规范，实现单一业务活动的数据共享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三级-集成级：企业应对装备、系统等开展集成，实现跨业务活动间的数据共享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四级-优化级：企业应对人员、资源、制造等进行数据挖掘，形成知识、模型等，实现对核心业务活动的精准预测和优化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3" w:type="pc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color w:val="000000"/>
                <w:kern w:val="0"/>
                <w:szCs w:val="21"/>
              </w:rPr>
            </w:pPr>
            <w:r>
              <w:rPr>
                <w:rFonts w:hint="eastAsia" w:ascii="仿宋_GB2312" w:hAnsi="宋体" w:eastAsia="仿宋_GB2312" w:cs="宋体"/>
                <w:kern w:val="0"/>
                <w:szCs w:val="21"/>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2.5</w:t>
            </w:r>
          </w:p>
        </w:tc>
        <w:tc>
          <w:tcPr>
            <w:tcW w:w="5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r>
    </w:tbl>
    <w:p>
      <w:pPr>
        <w:spacing w:line="360" w:lineRule="auto"/>
        <w:ind w:firstLine="560" w:firstLineChars="200"/>
        <w:rPr>
          <w:rFonts w:ascii="Times New Roman" w:hAnsi="Times New Roman" w:eastAsia="仿宋_GB2312" w:cs="Times New Roman"/>
          <w:sz w:val="28"/>
          <w:szCs w:val="28"/>
        </w:rPr>
      </w:pPr>
      <w:bookmarkStart w:id="1" w:name="_GoBack"/>
      <w:bookmarkEnd w:id="1"/>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12FC017C"/>
    <w:rsid w:val="17896087"/>
    <w:rsid w:val="17987BB8"/>
    <w:rsid w:val="1CB54DAF"/>
    <w:rsid w:val="1F7F17B2"/>
    <w:rsid w:val="27073136"/>
    <w:rsid w:val="374101FF"/>
    <w:rsid w:val="3EE84C99"/>
    <w:rsid w:val="47D17698"/>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table" w:customStyle="1" w:styleId="10">
    <w:name w:val="网格型1"/>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autoRedefine/>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autoRedefine/>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autoRedefine/>
    <w:semiHidden/>
    <w:qFormat/>
    <w:uiPriority w:val="99"/>
    <w:rPr>
      <w:sz w:val="18"/>
      <w:szCs w:val="18"/>
    </w:rPr>
  </w:style>
  <w:style w:type="paragraph" w:styleId="14">
    <w:name w:val="List Paragraph"/>
    <w:basedOn w:val="1"/>
    <w:autoRedefine/>
    <w:qFormat/>
    <w:uiPriority w:val="34"/>
    <w:pPr>
      <w:ind w:firstLine="420" w:firstLineChars="200"/>
    </w:pPr>
    <w:rPr>
      <w:rFonts w:ascii="Calibri" w:hAnsi="Calibri" w:eastAsia="宋体" w:cs="Times New Roman"/>
    </w:rPr>
  </w:style>
  <w:style w:type="paragraph" w:customStyle="1" w:styleId="15">
    <w:name w:val="正文表标题"/>
    <w:next w:val="1"/>
    <w:autoRedefine/>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autoRedefine/>
    <w:qFormat/>
    <w:locked/>
    <w:uiPriority w:val="0"/>
    <w:rPr>
      <w:rFonts w:ascii="宋体" w:hAnsi="Times New Roman" w:eastAsia="宋体" w:cs="宋体"/>
      <w:kern w:val="0"/>
      <w:szCs w:val="21"/>
    </w:rPr>
  </w:style>
  <w:style w:type="table" w:customStyle="1" w:styleId="19">
    <w:name w:val="网格型4"/>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autoRedefine/>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autoRedefine/>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autoRedefine/>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13</Pages>
  <Words>6210</Words>
  <Characters>6582</Characters>
  <Lines>46</Lines>
  <Paragraphs>13</Paragraphs>
  <TotalTime>0</TotalTime>
  <ScaleCrop>false</ScaleCrop>
  <LinksUpToDate>false</LinksUpToDate>
  <CharactersWithSpaces>6660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2024-04-28T07:41:03Z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E7629A85EEDC478BBACA8601864DD664_12</vt:lpwstr>
  </property>
</Properties>
</file>