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8C" w:rsidRDefault="00561372">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sidR="00D21634">
        <w:rPr>
          <w:rFonts w:ascii="Times New Roman" w:eastAsia="黑体" w:hAnsi="Times New Roman" w:cs="Times New Roman" w:hint="eastAsia"/>
          <w:b/>
          <w:kern w:val="0"/>
          <w:sz w:val="36"/>
          <w:szCs w:val="36"/>
        </w:rPr>
        <w:t>碳素结构钢和低合金结构钢钢板</w:t>
      </w:r>
      <w:r w:rsidR="00C63BD1">
        <w:rPr>
          <w:rFonts w:ascii="Times New Roman" w:eastAsia="黑体" w:hAnsi="Times New Roman" w:cs="Times New Roman" w:hint="eastAsia"/>
          <w:b/>
          <w:kern w:val="0"/>
          <w:sz w:val="36"/>
          <w:szCs w:val="36"/>
        </w:rPr>
        <w:t>产品质量分级和评价方法</w:t>
      </w:r>
      <w:r>
        <w:rPr>
          <w:rFonts w:ascii="Times New Roman" w:eastAsia="黑体" w:hAnsi="Times New Roman" w:cs="Times New Roman"/>
          <w:b/>
          <w:kern w:val="0"/>
          <w:sz w:val="36"/>
          <w:szCs w:val="36"/>
        </w:rPr>
        <w:t>》</w:t>
      </w:r>
    </w:p>
    <w:p w:rsidR="00AC318C" w:rsidRDefault="00561372">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标准编制说明</w:t>
      </w:r>
    </w:p>
    <w:p w:rsidR="004F3AC8" w:rsidRDefault="004F3AC8">
      <w:pPr>
        <w:spacing w:line="240" w:lineRule="auto"/>
        <w:ind w:firstLineChars="0" w:firstLine="0"/>
        <w:jc w:val="center"/>
        <w:rPr>
          <w:rFonts w:ascii="Times New Roman" w:eastAsia="黑体" w:hAnsi="Times New Roman" w:cs="Times New Roman"/>
          <w:b/>
          <w:kern w:val="0"/>
          <w:sz w:val="36"/>
          <w:szCs w:val="36"/>
        </w:rPr>
      </w:pP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一、任务来源</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由中国特钢企业协会提出并归口，冶金工业规划研究院作为标准组织协调单位。根据中国特钢企业协会团体标准化工作委员会团体标准制修订计划，由</w:t>
      </w:r>
      <w:r w:rsidRPr="004F3AC8">
        <w:rPr>
          <w:rFonts w:ascii="Times New Roman" w:hAnsi="Times New Roman" w:cs="Times New Roman" w:hint="eastAsia"/>
          <w:sz w:val="28"/>
          <w:szCs w:val="28"/>
        </w:rPr>
        <w:t>冶金工业规划研究院</w:t>
      </w:r>
      <w:r w:rsidRPr="004F3AC8">
        <w:rPr>
          <w:rFonts w:ascii="Times New Roman" w:hAnsi="Times New Roman" w:cs="Times New Roman"/>
          <w:sz w:val="28"/>
          <w:szCs w:val="28"/>
        </w:rPr>
        <w:t>等单位共同参与起草，完成《</w:t>
      </w:r>
      <w:r w:rsidR="00D21634">
        <w:rPr>
          <w:rFonts w:ascii="Times New Roman" w:hAnsi="Times New Roman" w:cs="Times New Roman" w:hint="eastAsia"/>
          <w:sz w:val="28"/>
          <w:szCs w:val="28"/>
        </w:rPr>
        <w:t>碳素结构钢和低合金结构钢钢板</w:t>
      </w:r>
      <w:r w:rsidR="00C63BD1" w:rsidRPr="004F3AC8">
        <w:rPr>
          <w:rFonts w:ascii="Times New Roman" w:hAnsi="Times New Roman" w:cs="Times New Roman" w:hint="eastAsia"/>
          <w:sz w:val="28"/>
          <w:szCs w:val="28"/>
        </w:rPr>
        <w:t>产品质量分级和评价方法</w:t>
      </w:r>
      <w:r w:rsidRPr="004F3AC8">
        <w:rPr>
          <w:rFonts w:ascii="Times New Roman" w:hAnsi="Times New Roman" w:cs="Times New Roman"/>
          <w:sz w:val="28"/>
          <w:szCs w:val="28"/>
        </w:rPr>
        <w:t>》标准的制定工作。</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二、制定</w:t>
      </w:r>
      <w:r w:rsidRPr="004F3AC8">
        <w:rPr>
          <w:rFonts w:ascii="Times New Roman" w:eastAsia="仿宋_GB2312" w:hAnsi="Times New Roman" w:cs="Times New Roman" w:hint="eastAsia"/>
          <w:b/>
          <w:kern w:val="44"/>
          <w:sz w:val="28"/>
          <w:szCs w:val="28"/>
        </w:rPr>
        <w:t>本文件</w:t>
      </w:r>
      <w:r w:rsidRPr="004F3AC8">
        <w:rPr>
          <w:rFonts w:ascii="Times New Roman" w:eastAsia="仿宋_GB2312" w:hAnsi="Times New Roman" w:cs="Times New Roman"/>
          <w:b/>
          <w:kern w:val="44"/>
          <w:sz w:val="28"/>
          <w:szCs w:val="28"/>
        </w:rPr>
        <w:t>的目的和意义</w:t>
      </w:r>
    </w:p>
    <w:p w:rsidR="0097527C" w:rsidRPr="0097527C" w:rsidRDefault="0097527C" w:rsidP="0097527C">
      <w:pPr>
        <w:ind w:firstLine="560"/>
        <w:rPr>
          <w:rFonts w:ascii="Times New Roman" w:hAnsi="Times New Roman" w:cs="Times New Roman" w:hint="eastAsia"/>
          <w:sz w:val="28"/>
          <w:szCs w:val="28"/>
        </w:rPr>
      </w:pPr>
      <w:r w:rsidRPr="0097527C">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产品大量</w:t>
      </w:r>
      <w:r>
        <w:rPr>
          <w:rFonts w:ascii="Times New Roman" w:hAnsi="Times New Roman" w:cs="Times New Roman" w:hint="eastAsia"/>
          <w:sz w:val="28"/>
          <w:szCs w:val="28"/>
        </w:rPr>
        <w:t>一般工程</w:t>
      </w:r>
      <w:r>
        <w:rPr>
          <w:rFonts w:ascii="Times New Roman" w:hAnsi="Times New Roman" w:cs="Times New Roman"/>
          <w:sz w:val="28"/>
          <w:szCs w:val="28"/>
        </w:rPr>
        <w:t>结构和机械结构</w:t>
      </w:r>
      <w:r w:rsidRPr="0097527C">
        <w:rPr>
          <w:rFonts w:ascii="Times New Roman" w:hAnsi="Times New Roman" w:cs="Times New Roman" w:hint="eastAsia"/>
          <w:sz w:val="28"/>
          <w:szCs w:val="28"/>
        </w:rPr>
        <w:t>，是保障</w:t>
      </w:r>
      <w:r>
        <w:rPr>
          <w:rFonts w:ascii="Times New Roman" w:hAnsi="Times New Roman" w:cs="Times New Roman" w:hint="eastAsia"/>
          <w:sz w:val="28"/>
          <w:szCs w:val="28"/>
        </w:rPr>
        <w:t>工程结构</w:t>
      </w:r>
      <w:r>
        <w:rPr>
          <w:rFonts w:ascii="Times New Roman" w:hAnsi="Times New Roman" w:cs="Times New Roman"/>
          <w:sz w:val="28"/>
          <w:szCs w:val="28"/>
        </w:rPr>
        <w:t>和</w:t>
      </w:r>
      <w:r>
        <w:rPr>
          <w:rFonts w:ascii="Times New Roman" w:hAnsi="Times New Roman" w:cs="Times New Roman" w:hint="eastAsia"/>
          <w:sz w:val="28"/>
          <w:szCs w:val="28"/>
        </w:rPr>
        <w:t>机械装备</w:t>
      </w:r>
      <w:r w:rsidRPr="0097527C">
        <w:rPr>
          <w:rFonts w:ascii="Times New Roman" w:hAnsi="Times New Roman" w:cs="Times New Roman" w:hint="eastAsia"/>
          <w:sz w:val="28"/>
          <w:szCs w:val="28"/>
        </w:rPr>
        <w:t>质量的重要原材料。碳素结构钢和低合金结构钢钢板对材料强度、韧性、焊接性能要求较高，产品种类规格较多、应用领域和应用要求差异不尽相同，市场上</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产品质量水平参差不齐，相同牌号规格的</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由于不同企业生产控制水平差异。因此，</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的生产应用对产品质量分级和评价的需求十分迫切，制定</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产品质量分级和评价方法标准十分必要。</w:t>
      </w:r>
    </w:p>
    <w:p w:rsidR="00AC318C" w:rsidRPr="004F3AC8" w:rsidRDefault="0097527C" w:rsidP="0097527C">
      <w:pPr>
        <w:ind w:firstLine="560"/>
        <w:rPr>
          <w:rFonts w:ascii="Times New Roman" w:hAnsi="Times New Roman" w:cs="Times New Roman"/>
          <w:sz w:val="28"/>
          <w:szCs w:val="28"/>
        </w:rPr>
      </w:pPr>
      <w:r w:rsidRPr="0097527C">
        <w:rPr>
          <w:rFonts w:ascii="Times New Roman" w:hAnsi="Times New Roman" w:cs="Times New Roman" w:hint="eastAsia"/>
          <w:sz w:val="28"/>
          <w:szCs w:val="28"/>
        </w:rPr>
        <w:t>根据中共中央、国务院关于开展质量提升行动的政策精神，我国将建立质量分级制度，倡导优质优价，引导、保护企业质量创新和质</w:t>
      </w:r>
      <w:r w:rsidRPr="0097527C">
        <w:rPr>
          <w:rFonts w:ascii="Times New Roman" w:hAnsi="Times New Roman" w:cs="Times New Roman" w:hint="eastAsia"/>
          <w:sz w:val="28"/>
          <w:szCs w:val="28"/>
        </w:rPr>
        <w:lastRenderedPageBreak/>
        <w:t>量提升的积极性，完善第三方质量评价体系，开展高端品质认证等要求。工业和信息化部印发相关文件，将稳步推动质量分级评价工作，以钢铁为重点研究制定产品质量分级标准，开展质量分级示范应用。因此，以</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为重点开展产品分级认证工作具有重要意义。本标准将围绕下一步开展质量分级认证的目标，广泛调研上下游行业对</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质量分级的实际需要，细化提出关键技术要求的分解指标，制定发布</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产品质量分级和评价方法团体标准。充分发挥团体标准在公正性、规范性、科学性、先进性等方面的作用，为</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产品质量分级认证提供有力支撑，推动</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产品质量的对标达标，促进形成“优质优价”的市场氛围，引领</w:t>
      </w:r>
      <w:r>
        <w:rPr>
          <w:rFonts w:ascii="Times New Roman" w:hAnsi="Times New Roman" w:cs="Times New Roman" w:hint="eastAsia"/>
          <w:sz w:val="28"/>
          <w:szCs w:val="28"/>
        </w:rPr>
        <w:t>碳素结构钢和低合金结构钢钢板</w:t>
      </w:r>
      <w:r w:rsidRPr="0097527C">
        <w:rPr>
          <w:rFonts w:ascii="Times New Roman" w:hAnsi="Times New Roman" w:cs="Times New Roman" w:hint="eastAsia"/>
          <w:sz w:val="28"/>
          <w:szCs w:val="28"/>
        </w:rPr>
        <w:t>行业的高质量发展。</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三、标准编制过程</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Pr="004F3AC8">
        <w:rPr>
          <w:rFonts w:ascii="Times New Roman" w:hAnsi="Times New Roman" w:cs="Times New Roman" w:hint="eastAsia"/>
          <w:sz w:val="28"/>
          <w:szCs w:val="28"/>
        </w:rPr>
        <w:t>2</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10</w:t>
      </w:r>
      <w:r w:rsidRPr="004F3AC8">
        <w:rPr>
          <w:rFonts w:ascii="Times New Roman" w:hAnsi="Times New Roman" w:cs="Times New Roman" w:hint="eastAsia"/>
          <w:sz w:val="28"/>
          <w:szCs w:val="28"/>
        </w:rPr>
        <w:t>月，中国特钢企业协会团体标准化工作委员会（以下简称团标委）秘书处给各位委员发出团体标准立项函审单。到立项函审截止日期，没有委员提出不同意见。</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Pr="004F3AC8">
        <w:rPr>
          <w:rFonts w:ascii="Times New Roman" w:hAnsi="Times New Roman" w:cs="Times New Roman" w:hint="eastAsia"/>
          <w:sz w:val="28"/>
          <w:szCs w:val="28"/>
        </w:rPr>
        <w:t>2</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11</w:t>
      </w:r>
      <w:r w:rsidRPr="004F3AC8">
        <w:rPr>
          <w:rFonts w:ascii="Times New Roman" w:hAnsi="Times New Roman" w:cs="Times New Roman" w:hint="eastAsia"/>
          <w:sz w:val="28"/>
          <w:szCs w:val="28"/>
        </w:rPr>
        <w:t>月，团标委正式下达立项计划</w:t>
      </w:r>
      <w:r w:rsidR="00C63BD1" w:rsidRPr="004F3AC8">
        <w:rPr>
          <w:rFonts w:ascii="Times New Roman" w:hAnsi="Times New Roman" w:cs="Times New Roman" w:hint="eastAsia"/>
          <w:sz w:val="28"/>
          <w:szCs w:val="28"/>
        </w:rPr>
        <w:t>（</w:t>
      </w:r>
      <w:r w:rsidR="00C63BD1" w:rsidRPr="004F3AC8">
        <w:rPr>
          <w:rFonts w:ascii="Times New Roman" w:hAnsi="Times New Roman" w:cs="Times New Roman" w:hint="eastAsia"/>
          <w:sz w:val="28"/>
          <w:szCs w:val="28"/>
        </w:rPr>
        <w:t>2022</w:t>
      </w:r>
      <w:r w:rsidR="00C63BD1"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第</w:t>
      </w:r>
      <w:r w:rsidR="00C63BD1" w:rsidRPr="004F3AC8">
        <w:rPr>
          <w:rFonts w:ascii="Times New Roman" w:hAnsi="Times New Roman" w:cs="Times New Roman" w:hint="eastAsia"/>
          <w:sz w:val="28"/>
          <w:szCs w:val="28"/>
        </w:rPr>
        <w:t>6</w:t>
      </w:r>
      <w:r w:rsidR="00C63BD1" w:rsidRPr="004F3AC8">
        <w:rPr>
          <w:rFonts w:ascii="Times New Roman" w:hAnsi="Times New Roman" w:cs="Times New Roman" w:hint="eastAsia"/>
          <w:sz w:val="28"/>
          <w:szCs w:val="28"/>
        </w:rPr>
        <w:t>批）</w:t>
      </w:r>
      <w:r w:rsidRPr="004F3AC8">
        <w:rPr>
          <w:rFonts w:ascii="Times New Roman" w:hAnsi="Times New Roman" w:cs="Times New Roman" w:hint="eastAsia"/>
          <w:sz w:val="28"/>
          <w:szCs w:val="28"/>
        </w:rPr>
        <w:t>，组成了标准起草组，提出了标准编制计划和任务分工，并开始标准编制工作。</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Pr="004F3AC8">
        <w:rPr>
          <w:rFonts w:ascii="Times New Roman" w:hAnsi="Times New Roman" w:cs="Times New Roman" w:hint="eastAsia"/>
          <w:sz w:val="28"/>
          <w:szCs w:val="28"/>
        </w:rPr>
        <w:t>2</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12</w:t>
      </w:r>
      <w:r w:rsidRPr="004F3AC8">
        <w:rPr>
          <w:rFonts w:ascii="Times New Roman" w:hAnsi="Times New Roman" w:cs="Times New Roman" w:hint="eastAsia"/>
          <w:sz w:val="28"/>
          <w:szCs w:val="28"/>
        </w:rPr>
        <w:t>月</w:t>
      </w:r>
      <w:r w:rsidR="00C63BD1" w:rsidRPr="004F3AC8">
        <w:rPr>
          <w:rFonts w:ascii="Times New Roman" w:hAnsi="Times New Roman" w:cs="Times New Roman" w:hint="eastAsia"/>
          <w:sz w:val="28"/>
          <w:szCs w:val="28"/>
        </w:rPr>
        <w:t>~2024</w:t>
      </w:r>
      <w:r w:rsidR="00C63BD1" w:rsidRPr="004F3AC8">
        <w:rPr>
          <w:rFonts w:ascii="Times New Roman" w:hAnsi="Times New Roman" w:cs="Times New Roman" w:hint="eastAsia"/>
          <w:sz w:val="28"/>
          <w:szCs w:val="28"/>
        </w:rPr>
        <w:t>年</w:t>
      </w:r>
      <w:r w:rsidR="00C63BD1" w:rsidRPr="004F3AC8">
        <w:rPr>
          <w:rFonts w:ascii="Times New Roman" w:hAnsi="Times New Roman" w:cs="Times New Roman" w:hint="eastAsia"/>
          <w:sz w:val="28"/>
          <w:szCs w:val="28"/>
        </w:rPr>
        <w:t>3</w:t>
      </w:r>
      <w:r w:rsidR="00C63BD1" w:rsidRPr="004F3AC8">
        <w:rPr>
          <w:rFonts w:ascii="Times New Roman" w:hAnsi="Times New Roman" w:cs="Times New Roman" w:hint="eastAsia"/>
          <w:sz w:val="28"/>
          <w:szCs w:val="28"/>
        </w:rPr>
        <w:t>月</w:t>
      </w:r>
      <w:r w:rsidRPr="004F3AC8">
        <w:rPr>
          <w:rFonts w:ascii="Times New Roman" w:hAnsi="Times New Roman" w:cs="Times New Roman"/>
          <w:sz w:val="28"/>
          <w:szCs w:val="28"/>
        </w:rPr>
        <w:t>：进行了起草标准的调研、问题分析和相关资料收集等准备工作，完成了标准制定提纲、标准草案。</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4</w:t>
      </w:r>
      <w:r w:rsidRPr="004F3AC8">
        <w:rPr>
          <w:rFonts w:ascii="Times New Roman" w:hAnsi="Times New Roman" w:cs="Times New Roman"/>
          <w:sz w:val="28"/>
          <w:szCs w:val="28"/>
        </w:rPr>
        <w:t>月：召开标准启动会，围绕标准草案进行了讨论，并</w:t>
      </w:r>
      <w:r w:rsidRPr="004F3AC8">
        <w:rPr>
          <w:rFonts w:ascii="Times New Roman" w:hAnsi="Times New Roman" w:cs="Times New Roman"/>
          <w:sz w:val="28"/>
          <w:szCs w:val="28"/>
        </w:rPr>
        <w:lastRenderedPageBreak/>
        <w:t>按照与会意见和建议进行了修改</w:t>
      </w:r>
      <w:r w:rsidRPr="004F3AC8">
        <w:rPr>
          <w:rFonts w:ascii="Times New Roman" w:hAnsi="Times New Roman" w:cs="Times New Roman" w:hint="eastAsia"/>
          <w:sz w:val="28"/>
          <w:szCs w:val="28"/>
        </w:rPr>
        <w:t>。</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7B6120">
        <w:rPr>
          <w:rFonts w:ascii="Times New Roman" w:hAnsi="Times New Roman" w:cs="Times New Roman"/>
          <w:sz w:val="28"/>
          <w:szCs w:val="28"/>
        </w:rPr>
        <w:t>5</w:t>
      </w:r>
      <w:r w:rsidRPr="004F3AC8">
        <w:rPr>
          <w:rFonts w:ascii="Times New Roman" w:hAnsi="Times New Roman" w:cs="Times New Roman" w:hint="eastAsia"/>
          <w:sz w:val="28"/>
          <w:szCs w:val="28"/>
        </w:rPr>
        <w:t>月</w:t>
      </w:r>
      <w:r w:rsidRPr="004F3AC8">
        <w:rPr>
          <w:rFonts w:ascii="Times New Roman" w:hAnsi="Times New Roman" w:cs="Times New Roman"/>
          <w:sz w:val="28"/>
          <w:szCs w:val="28"/>
        </w:rPr>
        <w:t>：形成征求意见稿并发出征求意见。</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 xml:space="preserve"> </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完成征求意见处理、形成标准送审稿</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完成该标准审定会和标准报批稿，上报</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审批</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完成该标准发布、实施。</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四、标准编制原则</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sz w:val="28"/>
          <w:szCs w:val="28"/>
        </w:rPr>
        <w:t>充分考虑</w:t>
      </w:r>
      <w:r w:rsidRPr="004F3AC8">
        <w:rPr>
          <w:rFonts w:ascii="Times New Roman" w:hAnsi="Times New Roman" w:cs="Times New Roman" w:hint="eastAsia"/>
          <w:sz w:val="28"/>
          <w:szCs w:val="28"/>
        </w:rPr>
        <w:t>下游行业对</w:t>
      </w:r>
      <w:r w:rsidR="00D21634">
        <w:rPr>
          <w:rFonts w:ascii="Times New Roman" w:hAnsi="Times New Roman" w:cs="Times New Roman" w:hint="eastAsia"/>
          <w:sz w:val="28"/>
          <w:szCs w:val="28"/>
        </w:rPr>
        <w:t>碳素结构钢和低合金结构钢钢板</w:t>
      </w:r>
      <w:r w:rsidRPr="004F3AC8">
        <w:rPr>
          <w:rFonts w:ascii="Times New Roman" w:hAnsi="Times New Roman" w:cs="Times New Roman" w:hint="eastAsia"/>
          <w:sz w:val="28"/>
          <w:szCs w:val="28"/>
        </w:rPr>
        <w:t>产品</w:t>
      </w:r>
      <w:r w:rsidRPr="004F3AC8">
        <w:rPr>
          <w:rFonts w:ascii="Times New Roman" w:hAnsi="Times New Roman" w:cs="Times New Roman"/>
          <w:sz w:val="28"/>
          <w:szCs w:val="28"/>
        </w:rPr>
        <w:t>的高质量需求，联合</w:t>
      </w:r>
      <w:r w:rsidRPr="004F3AC8">
        <w:rPr>
          <w:rFonts w:ascii="Times New Roman" w:hAnsi="Times New Roman" w:cs="Times New Roman" w:hint="eastAsia"/>
          <w:sz w:val="28"/>
          <w:szCs w:val="28"/>
        </w:rPr>
        <w:t>用户</w:t>
      </w:r>
      <w:r w:rsidRPr="004F3AC8">
        <w:rPr>
          <w:rFonts w:ascii="Times New Roman" w:hAnsi="Times New Roman" w:cs="Times New Roman"/>
          <w:sz w:val="28"/>
          <w:szCs w:val="28"/>
        </w:rPr>
        <w:t>企业协同攻关，</w:t>
      </w:r>
      <w:r w:rsidRPr="004F3AC8">
        <w:rPr>
          <w:rFonts w:ascii="Times New Roman" w:hAnsi="Times New Roman" w:cs="Times New Roman" w:hint="eastAsia"/>
          <w:sz w:val="28"/>
          <w:szCs w:val="28"/>
        </w:rPr>
        <w:t>通过制定标准支撑</w:t>
      </w:r>
      <w:r w:rsidR="00D21634">
        <w:rPr>
          <w:rFonts w:ascii="Times New Roman" w:hAnsi="Times New Roman" w:cs="Times New Roman" w:hint="eastAsia"/>
          <w:sz w:val="28"/>
          <w:szCs w:val="28"/>
        </w:rPr>
        <w:t>碳素结构钢和低合金结构钢钢板</w:t>
      </w:r>
      <w:r w:rsidRPr="004F3AC8">
        <w:rPr>
          <w:rFonts w:ascii="Times New Roman" w:hAnsi="Times New Roman" w:cs="Times New Roman" w:hint="eastAsia"/>
          <w:sz w:val="28"/>
          <w:szCs w:val="28"/>
        </w:rPr>
        <w:t>产品质量分级和评价工作</w:t>
      </w:r>
      <w:r w:rsidRPr="004F3AC8">
        <w:rPr>
          <w:rFonts w:ascii="Times New Roman" w:hAnsi="Times New Roman" w:cs="Times New Roman"/>
          <w:sz w:val="28"/>
          <w:szCs w:val="28"/>
        </w:rPr>
        <w:t>，展现</w:t>
      </w:r>
      <w:r w:rsidRPr="004F3AC8">
        <w:rPr>
          <w:rFonts w:ascii="Times New Roman" w:hAnsi="Times New Roman" w:cs="Times New Roman" w:hint="eastAsia"/>
          <w:sz w:val="28"/>
          <w:szCs w:val="28"/>
        </w:rPr>
        <w:t>我国</w:t>
      </w:r>
      <w:r w:rsidR="00D21634">
        <w:rPr>
          <w:rFonts w:ascii="Times New Roman" w:hAnsi="Times New Roman" w:cs="Times New Roman" w:hint="eastAsia"/>
          <w:sz w:val="28"/>
          <w:szCs w:val="28"/>
        </w:rPr>
        <w:t>碳素结构钢和低合金结构钢钢板</w:t>
      </w:r>
      <w:r w:rsidRPr="004F3AC8">
        <w:rPr>
          <w:rFonts w:ascii="Times New Roman" w:hAnsi="Times New Roman" w:cs="Times New Roman" w:hint="eastAsia"/>
          <w:sz w:val="28"/>
          <w:szCs w:val="28"/>
        </w:rPr>
        <w:t>产品先进技术</w:t>
      </w:r>
      <w:r w:rsidRPr="004F3AC8">
        <w:rPr>
          <w:rFonts w:ascii="Times New Roman" w:hAnsi="Times New Roman" w:cs="Times New Roman"/>
          <w:sz w:val="28"/>
          <w:szCs w:val="28"/>
        </w:rPr>
        <w:t>水平。</w:t>
      </w: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以满足</w:t>
      </w:r>
      <w:r w:rsidRPr="004F3AC8">
        <w:rPr>
          <w:rFonts w:ascii="Times New Roman" w:hAnsi="Times New Roman" w:cs="Times New Roman" w:hint="eastAsia"/>
          <w:sz w:val="28"/>
          <w:szCs w:val="28"/>
        </w:rPr>
        <w:t>下游行业对</w:t>
      </w:r>
      <w:r w:rsidR="00D21634">
        <w:rPr>
          <w:rFonts w:ascii="Times New Roman" w:hAnsi="Times New Roman" w:cs="Times New Roman" w:hint="eastAsia"/>
          <w:sz w:val="28"/>
          <w:szCs w:val="28"/>
        </w:rPr>
        <w:t>碳素结构钢和低合金结构钢钢板</w:t>
      </w:r>
      <w:r w:rsidRPr="004F3AC8">
        <w:rPr>
          <w:rFonts w:ascii="Times New Roman" w:hAnsi="Times New Roman" w:cs="Times New Roman" w:hint="eastAsia"/>
          <w:sz w:val="28"/>
          <w:szCs w:val="28"/>
        </w:rPr>
        <w:t>产品质量分级差异化需求</w:t>
      </w:r>
      <w:r w:rsidRPr="004F3AC8">
        <w:rPr>
          <w:rFonts w:ascii="Times New Roman" w:hAnsi="Times New Roman" w:cs="Times New Roman"/>
          <w:sz w:val="28"/>
          <w:szCs w:val="28"/>
        </w:rPr>
        <w:t>为前提，充分提高标准的市场适应能力，填补标准领域空白；通过对下游用钢行业的研究，了解</w:t>
      </w:r>
      <w:r w:rsidRPr="004F3AC8">
        <w:rPr>
          <w:rFonts w:ascii="Times New Roman" w:hAnsi="Times New Roman" w:cs="Times New Roman" w:hint="eastAsia"/>
          <w:sz w:val="28"/>
          <w:szCs w:val="28"/>
        </w:rPr>
        <w:t>不同质量等级产品的</w:t>
      </w:r>
      <w:r w:rsidRPr="004F3AC8">
        <w:rPr>
          <w:rFonts w:ascii="Times New Roman" w:hAnsi="Times New Roman" w:cs="Times New Roman"/>
          <w:sz w:val="28"/>
          <w:szCs w:val="28"/>
        </w:rPr>
        <w:t>实际需求，确定</w:t>
      </w:r>
      <w:r w:rsidRPr="004F3AC8">
        <w:rPr>
          <w:rFonts w:ascii="Times New Roman" w:hAnsi="Times New Roman" w:cs="Times New Roman" w:hint="eastAsia"/>
          <w:sz w:val="28"/>
          <w:szCs w:val="28"/>
        </w:rPr>
        <w:t>分级评价</w:t>
      </w:r>
      <w:r w:rsidRPr="004F3AC8">
        <w:rPr>
          <w:rFonts w:ascii="Times New Roman" w:hAnsi="Times New Roman" w:cs="Times New Roman"/>
          <w:sz w:val="28"/>
          <w:szCs w:val="28"/>
        </w:rPr>
        <w:t>技术指标，满足下游行业</w:t>
      </w:r>
      <w:r w:rsidRPr="004F3AC8">
        <w:rPr>
          <w:rFonts w:ascii="Times New Roman" w:hAnsi="Times New Roman" w:cs="Times New Roman" w:hint="eastAsia"/>
          <w:sz w:val="28"/>
          <w:szCs w:val="28"/>
        </w:rPr>
        <w:t>生产需要</w:t>
      </w:r>
      <w:r w:rsidRPr="004F3AC8">
        <w:rPr>
          <w:rFonts w:ascii="Times New Roman" w:hAnsi="Times New Roman" w:cs="Times New Roman"/>
          <w:sz w:val="28"/>
          <w:szCs w:val="28"/>
        </w:rPr>
        <w:t>，建立彼此之间的联系，扩大影响力。</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五、</w:t>
      </w:r>
      <w:r w:rsidR="00673458" w:rsidRPr="004F3AC8">
        <w:rPr>
          <w:rFonts w:ascii="Times New Roman" w:eastAsia="仿宋_GB2312" w:hAnsi="Times New Roman" w:cs="Times New Roman" w:hint="eastAsia"/>
          <w:b/>
          <w:kern w:val="44"/>
          <w:sz w:val="28"/>
          <w:szCs w:val="28"/>
        </w:rPr>
        <w:t>主要技术</w:t>
      </w:r>
      <w:r w:rsidR="00673458" w:rsidRPr="004F3AC8">
        <w:rPr>
          <w:rFonts w:ascii="Times New Roman" w:eastAsia="仿宋_GB2312" w:hAnsi="Times New Roman" w:cs="Times New Roman"/>
          <w:b/>
          <w:kern w:val="44"/>
          <w:sz w:val="28"/>
          <w:szCs w:val="28"/>
        </w:rPr>
        <w:t>内容</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（一）标准编写格式</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本文件内容符合</w:t>
      </w:r>
      <w:r w:rsidRPr="004F3AC8">
        <w:rPr>
          <w:rFonts w:ascii="Times New Roman" w:hAnsi="Times New Roman" w:cs="Times New Roman" w:hint="eastAsia"/>
          <w:sz w:val="28"/>
          <w:szCs w:val="28"/>
        </w:rPr>
        <w:t>GB/T 1.1-2020</w:t>
      </w:r>
      <w:r w:rsidRPr="004F3AC8">
        <w:rPr>
          <w:rFonts w:ascii="Times New Roman" w:hAnsi="Times New Roman" w:cs="Times New Roman" w:hint="eastAsia"/>
          <w:sz w:val="28"/>
          <w:szCs w:val="28"/>
        </w:rPr>
        <w:t>《标准化工作导则</w:t>
      </w:r>
      <w:r w:rsidRPr="004F3AC8">
        <w:rPr>
          <w:rFonts w:ascii="Times New Roman" w:hAnsi="Times New Roman" w:cs="Times New Roman" w:hint="eastAsia"/>
          <w:sz w:val="28"/>
          <w:szCs w:val="28"/>
        </w:rPr>
        <w:t xml:space="preserve"> </w:t>
      </w:r>
      <w:r w:rsidRPr="004F3AC8">
        <w:rPr>
          <w:rFonts w:ascii="Times New Roman" w:hAnsi="Times New Roman" w:cs="Times New Roman" w:hint="eastAsia"/>
          <w:sz w:val="28"/>
          <w:szCs w:val="28"/>
        </w:rPr>
        <w:t>第</w:t>
      </w:r>
      <w:r w:rsidRPr="004F3AC8">
        <w:rPr>
          <w:rFonts w:ascii="Times New Roman" w:hAnsi="Times New Roman" w:cs="Times New Roman" w:hint="eastAsia"/>
          <w:sz w:val="28"/>
          <w:szCs w:val="28"/>
        </w:rPr>
        <w:t>1</w:t>
      </w:r>
      <w:r w:rsidRPr="004F3AC8">
        <w:rPr>
          <w:rFonts w:ascii="Times New Roman" w:hAnsi="Times New Roman" w:cs="Times New Roman" w:hint="eastAsia"/>
          <w:sz w:val="28"/>
          <w:szCs w:val="28"/>
        </w:rPr>
        <w:t>部分</w:t>
      </w:r>
      <w:r w:rsidRPr="004F3AC8">
        <w:rPr>
          <w:rFonts w:ascii="Times New Roman" w:hAnsi="Times New Roman" w:cs="Times New Roman" w:hint="eastAsia"/>
          <w:sz w:val="28"/>
          <w:szCs w:val="28"/>
        </w:rPr>
        <w:t>:</w:t>
      </w:r>
      <w:r w:rsidRPr="004F3AC8">
        <w:rPr>
          <w:rFonts w:ascii="Times New Roman" w:hAnsi="Times New Roman" w:cs="Times New Roman" w:hint="eastAsia"/>
          <w:sz w:val="28"/>
          <w:szCs w:val="28"/>
        </w:rPr>
        <w:t>标准化文件的结构和起草规则》的规定。</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本文件规定了</w:t>
      </w:r>
      <w:r w:rsidR="00D21634">
        <w:rPr>
          <w:rFonts w:ascii="Times New Roman" w:hAnsi="Times New Roman" w:cs="Times New Roman" w:hint="eastAsia"/>
          <w:sz w:val="28"/>
          <w:szCs w:val="28"/>
        </w:rPr>
        <w:t>碳素结构钢和低合金结构钢钢板</w:t>
      </w:r>
      <w:r w:rsidRPr="004F3AC8">
        <w:rPr>
          <w:rFonts w:ascii="Times New Roman" w:hAnsi="Times New Roman" w:cs="Times New Roman" w:hint="eastAsia"/>
          <w:sz w:val="28"/>
          <w:szCs w:val="28"/>
        </w:rPr>
        <w:t>产品质量分级和评价的评价指标体系、评价方法、等级标识。</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（二）关于适用范围</w:t>
      </w:r>
    </w:p>
    <w:p w:rsidR="00673458" w:rsidRDefault="0097527C" w:rsidP="004F3AC8">
      <w:pPr>
        <w:ind w:firstLine="560"/>
        <w:rPr>
          <w:rFonts w:ascii="Times New Roman" w:hAnsi="Times New Roman" w:cs="Times New Roman"/>
          <w:sz w:val="28"/>
          <w:szCs w:val="28"/>
        </w:rPr>
      </w:pPr>
      <w:r w:rsidRPr="0097527C">
        <w:rPr>
          <w:rFonts w:ascii="Times New Roman" w:hAnsi="Times New Roman" w:cs="Times New Roman" w:hint="eastAsia"/>
          <w:sz w:val="28"/>
          <w:szCs w:val="28"/>
        </w:rPr>
        <w:lastRenderedPageBreak/>
        <w:t>本文件适用于碳素结构钢和低合金结构钢单轧钢板（以下简称钢板）产品的质量分级和评价。</w:t>
      </w:r>
    </w:p>
    <w:p w:rsidR="0097527C" w:rsidRPr="004F3AC8" w:rsidRDefault="003948D7" w:rsidP="004F3AC8">
      <w:pPr>
        <w:ind w:firstLine="560"/>
        <w:rPr>
          <w:rFonts w:ascii="Times New Roman" w:hAnsi="Times New Roman" w:cs="Times New Roman" w:hint="eastAsia"/>
          <w:sz w:val="28"/>
          <w:szCs w:val="28"/>
        </w:rPr>
      </w:pPr>
      <w:r>
        <w:rPr>
          <w:rFonts w:ascii="Times New Roman" w:hAnsi="Times New Roman" w:cs="Times New Roman" w:hint="eastAsia"/>
          <w:sz w:val="28"/>
          <w:szCs w:val="28"/>
        </w:rPr>
        <w:t>已发布</w:t>
      </w:r>
      <w:r>
        <w:rPr>
          <w:rFonts w:ascii="Times New Roman" w:hAnsi="Times New Roman" w:cs="Times New Roman"/>
          <w:sz w:val="28"/>
          <w:szCs w:val="28"/>
        </w:rPr>
        <w:t>标准</w:t>
      </w:r>
      <w:r w:rsidRPr="003948D7">
        <w:rPr>
          <w:rFonts w:ascii="Times New Roman" w:hAnsi="Times New Roman" w:cs="Times New Roman"/>
          <w:sz w:val="28"/>
          <w:szCs w:val="28"/>
        </w:rPr>
        <w:t>T/SSEA 0199</w:t>
      </w:r>
      <w:r>
        <w:rPr>
          <w:rFonts w:ascii="Times New Roman" w:hAnsi="Times New Roman" w:cs="Times New Roman"/>
          <w:sz w:val="28"/>
          <w:szCs w:val="28"/>
        </w:rPr>
        <w:t>-</w:t>
      </w:r>
      <w:r w:rsidRPr="003948D7">
        <w:rPr>
          <w:rFonts w:ascii="Times New Roman" w:hAnsi="Times New Roman" w:cs="Times New Roman"/>
          <w:sz w:val="28"/>
          <w:szCs w:val="28"/>
        </w:rPr>
        <w:t>2022</w:t>
      </w:r>
      <w:r>
        <w:rPr>
          <w:rFonts w:ascii="Times New Roman" w:hAnsi="Times New Roman" w:cs="Times New Roman" w:hint="eastAsia"/>
          <w:sz w:val="28"/>
          <w:szCs w:val="28"/>
        </w:rPr>
        <w:t>《</w:t>
      </w:r>
      <w:r w:rsidRPr="003948D7">
        <w:rPr>
          <w:rFonts w:ascii="Times New Roman" w:hAnsi="Times New Roman" w:cs="Times New Roman" w:hint="eastAsia"/>
          <w:sz w:val="28"/>
          <w:szCs w:val="28"/>
        </w:rPr>
        <w:t>热轧带钢产品质量分级和评价方法</w:t>
      </w:r>
      <w:r w:rsidRPr="003948D7">
        <w:rPr>
          <w:rFonts w:ascii="Times New Roman" w:hAnsi="Times New Roman" w:cs="Times New Roman" w:hint="eastAsia"/>
          <w:sz w:val="28"/>
          <w:szCs w:val="28"/>
        </w:rPr>
        <w:t xml:space="preserve"> </w:t>
      </w:r>
      <w:r w:rsidRPr="003948D7">
        <w:rPr>
          <w:rFonts w:ascii="Times New Roman" w:hAnsi="Times New Roman" w:cs="Times New Roman" w:hint="eastAsia"/>
          <w:sz w:val="28"/>
          <w:szCs w:val="28"/>
        </w:rPr>
        <w:t>第</w:t>
      </w:r>
      <w:r w:rsidRPr="003948D7">
        <w:rPr>
          <w:rFonts w:ascii="Times New Roman" w:hAnsi="Times New Roman" w:cs="Times New Roman" w:hint="eastAsia"/>
          <w:sz w:val="28"/>
          <w:szCs w:val="28"/>
        </w:rPr>
        <w:t>1</w:t>
      </w:r>
      <w:r w:rsidRPr="003948D7">
        <w:rPr>
          <w:rFonts w:ascii="Times New Roman" w:hAnsi="Times New Roman" w:cs="Times New Roman" w:hint="eastAsia"/>
          <w:sz w:val="28"/>
          <w:szCs w:val="28"/>
        </w:rPr>
        <w:t>部分：碳素结构钢和低合金结构钢</w:t>
      </w:r>
      <w:r>
        <w:rPr>
          <w:rFonts w:ascii="Times New Roman" w:hAnsi="Times New Roman" w:cs="Times New Roman" w:hint="eastAsia"/>
          <w:sz w:val="28"/>
          <w:szCs w:val="28"/>
        </w:rPr>
        <w:t>》规定了</w:t>
      </w:r>
      <w:r>
        <w:rPr>
          <w:rFonts w:ascii="Times New Roman" w:hAnsi="Times New Roman" w:cs="Times New Roman"/>
          <w:sz w:val="28"/>
          <w:szCs w:val="28"/>
        </w:rPr>
        <w:t>碳素结构钢和低合金结构钢热轧钢带的质量分级要求，</w:t>
      </w:r>
      <w:r>
        <w:rPr>
          <w:rFonts w:ascii="Times New Roman" w:hAnsi="Times New Roman" w:cs="Times New Roman" w:hint="eastAsia"/>
          <w:sz w:val="28"/>
          <w:szCs w:val="28"/>
        </w:rPr>
        <w:t>也可适用于</w:t>
      </w:r>
      <w:r>
        <w:rPr>
          <w:rFonts w:ascii="Times New Roman" w:hAnsi="Times New Roman" w:cs="Times New Roman"/>
          <w:sz w:val="28"/>
          <w:szCs w:val="28"/>
        </w:rPr>
        <w:t>剪切钢板，因此</w:t>
      </w:r>
      <w:r>
        <w:rPr>
          <w:rFonts w:ascii="Times New Roman" w:hAnsi="Times New Roman" w:cs="Times New Roman" w:hint="eastAsia"/>
          <w:sz w:val="28"/>
          <w:szCs w:val="28"/>
        </w:rPr>
        <w:t>本文件在范围中</w:t>
      </w:r>
      <w:r>
        <w:rPr>
          <w:rFonts w:ascii="Times New Roman" w:hAnsi="Times New Roman" w:cs="Times New Roman"/>
          <w:sz w:val="28"/>
          <w:szCs w:val="28"/>
        </w:rPr>
        <w:t>明确</w:t>
      </w:r>
      <w:r>
        <w:rPr>
          <w:rFonts w:ascii="Times New Roman" w:hAnsi="Times New Roman" w:cs="Times New Roman" w:hint="eastAsia"/>
          <w:sz w:val="28"/>
          <w:szCs w:val="28"/>
        </w:rPr>
        <w:t>适用于单轧</w:t>
      </w:r>
      <w:r>
        <w:rPr>
          <w:rFonts w:ascii="Times New Roman" w:hAnsi="Times New Roman" w:cs="Times New Roman"/>
          <w:sz w:val="28"/>
          <w:szCs w:val="28"/>
        </w:rPr>
        <w:t>钢板的产品质量分级。</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（三）关于术语和定义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本文件没有需要界定的术语和定义。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（四）关于评价指标体系</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1. </w:t>
      </w:r>
      <w:r w:rsidRPr="004F3AC8">
        <w:rPr>
          <w:rFonts w:ascii="Times New Roman" w:hAnsi="Times New Roman" w:cs="Times New Roman" w:hint="eastAsia"/>
          <w:sz w:val="28"/>
          <w:szCs w:val="28"/>
        </w:rPr>
        <w:t>基本要求</w:t>
      </w:r>
    </w:p>
    <w:p w:rsidR="00FD0B9D" w:rsidRDefault="00FD0B9D" w:rsidP="00FD0B9D">
      <w:pPr>
        <w:ind w:firstLine="560"/>
        <w:rPr>
          <w:rFonts w:ascii="Times New Roman" w:hAnsi="Times New Roman" w:cs="Times New Roman"/>
          <w:sz w:val="28"/>
          <w:szCs w:val="28"/>
        </w:rPr>
      </w:pPr>
      <w:r w:rsidRPr="00FD0B9D">
        <w:rPr>
          <w:rFonts w:ascii="Times New Roman" w:hAnsi="Times New Roman" w:cs="Times New Roman" w:hint="eastAsia"/>
          <w:sz w:val="28"/>
          <w:szCs w:val="28"/>
        </w:rPr>
        <w:t>钢板生产企业生产产品应至少满两年。钢板产品质量应满足</w:t>
      </w:r>
      <w:r w:rsidRPr="00FD0B9D">
        <w:rPr>
          <w:rFonts w:ascii="Times New Roman" w:hAnsi="Times New Roman" w:cs="Times New Roman" w:hint="eastAsia"/>
          <w:sz w:val="28"/>
          <w:szCs w:val="28"/>
        </w:rPr>
        <w:t>GB/T 700</w:t>
      </w:r>
      <w:r w:rsidRPr="00FD0B9D">
        <w:rPr>
          <w:rFonts w:ascii="Times New Roman" w:hAnsi="Times New Roman" w:cs="Times New Roman" w:hint="eastAsia"/>
          <w:sz w:val="28"/>
          <w:szCs w:val="28"/>
        </w:rPr>
        <w:t>、</w:t>
      </w:r>
      <w:r w:rsidRPr="00FD0B9D">
        <w:rPr>
          <w:rFonts w:ascii="Times New Roman" w:hAnsi="Times New Roman" w:cs="Times New Roman" w:hint="eastAsia"/>
          <w:sz w:val="28"/>
          <w:szCs w:val="28"/>
        </w:rPr>
        <w:t>GB/T 1591</w:t>
      </w:r>
      <w:r w:rsidRPr="00FD0B9D">
        <w:rPr>
          <w:rFonts w:ascii="Times New Roman" w:hAnsi="Times New Roman" w:cs="Times New Roman" w:hint="eastAsia"/>
          <w:sz w:val="28"/>
          <w:szCs w:val="28"/>
        </w:rPr>
        <w:t>的要求。钢板生产企业开展评价前两年内未发生重大产品质量事故。钢板生产企业应未列入国家信用信息严重失信主体相关名录。钢板生产企业应根据</w:t>
      </w:r>
      <w:r w:rsidRPr="00FD0B9D">
        <w:rPr>
          <w:rFonts w:ascii="Times New Roman" w:hAnsi="Times New Roman" w:cs="Times New Roman" w:hint="eastAsia"/>
          <w:sz w:val="28"/>
          <w:szCs w:val="28"/>
        </w:rPr>
        <w:t>GB/T 19001</w:t>
      </w:r>
      <w:r w:rsidRPr="00FD0B9D">
        <w:rPr>
          <w:rFonts w:ascii="Times New Roman" w:hAnsi="Times New Roman" w:cs="Times New Roman" w:hint="eastAsia"/>
          <w:sz w:val="28"/>
          <w:szCs w:val="28"/>
        </w:rPr>
        <w:t>建立并运行相应质量管理体系。钢板生产企业应具有钢板产品过程监控体系，具有相应的化学成分、力学性能及相关检化验设备设施。</w:t>
      </w:r>
    </w:p>
    <w:p w:rsidR="00673458" w:rsidRPr="004F3AC8" w:rsidRDefault="00673458" w:rsidP="00FD0B9D">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本文件用于产品质量分级和评价，因此对与产品质量密切相关的质量管理体系和基本的国家标准进行了要求。考虑到工业产品生产的稳定性和批量化应用需要，要求生产企业连续稳定生产至少满两年。</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评价指标分类及要求</w:t>
      </w:r>
    </w:p>
    <w:p w:rsidR="00673458" w:rsidRPr="004F3AC8" w:rsidRDefault="00FD0B9D" w:rsidP="004F3AC8">
      <w:pPr>
        <w:ind w:firstLine="560"/>
        <w:rPr>
          <w:rFonts w:ascii="Times New Roman" w:hAnsi="Times New Roman" w:cs="Times New Roman"/>
          <w:sz w:val="28"/>
          <w:szCs w:val="28"/>
        </w:rPr>
      </w:pPr>
      <w:r w:rsidRPr="00FD0B9D">
        <w:rPr>
          <w:rFonts w:ascii="Times New Roman" w:hAnsi="Times New Roman" w:cs="Times New Roman" w:hint="eastAsia"/>
          <w:sz w:val="28"/>
          <w:szCs w:val="28"/>
        </w:rPr>
        <w:t>钢板质量等级根据尺寸外形、化学成分，分为特优级、优质级、一般级。钢板产品质量分级见表</w:t>
      </w:r>
      <w:r w:rsidRPr="00FD0B9D">
        <w:rPr>
          <w:rFonts w:ascii="Times New Roman" w:hAnsi="Times New Roman" w:cs="Times New Roman" w:hint="eastAsia"/>
          <w:sz w:val="28"/>
          <w:szCs w:val="28"/>
        </w:rPr>
        <w:t>1</w:t>
      </w:r>
      <w:r w:rsidR="00FA5CB7" w:rsidRPr="004F3AC8">
        <w:rPr>
          <w:rFonts w:ascii="Times New Roman" w:hAnsi="Times New Roman" w:cs="Times New Roman" w:hint="eastAsia"/>
          <w:sz w:val="28"/>
          <w:szCs w:val="28"/>
        </w:rPr>
        <w:t>。</w:t>
      </w:r>
    </w:p>
    <w:p w:rsidR="00AC318C"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lastRenderedPageBreak/>
        <w:t>本文件考虑到</w:t>
      </w:r>
      <w:r w:rsidR="00D21634">
        <w:rPr>
          <w:rFonts w:ascii="Times New Roman" w:hAnsi="Times New Roman" w:cs="Times New Roman" w:hint="eastAsia"/>
          <w:sz w:val="28"/>
          <w:szCs w:val="28"/>
        </w:rPr>
        <w:t>碳素结构钢和低合金结构钢钢板</w:t>
      </w:r>
      <w:r w:rsidRPr="004F3AC8">
        <w:rPr>
          <w:rFonts w:ascii="Times New Roman" w:hAnsi="Times New Roman" w:cs="Times New Roman" w:hint="eastAsia"/>
          <w:sz w:val="28"/>
          <w:szCs w:val="28"/>
        </w:rPr>
        <w:t>的实际质量差异，</w:t>
      </w:r>
      <w:r w:rsidR="00FA5CB7" w:rsidRPr="004F3AC8">
        <w:rPr>
          <w:rFonts w:ascii="Times New Roman" w:hAnsi="Times New Roman" w:cs="Times New Roman" w:hint="eastAsia"/>
          <w:sz w:val="28"/>
          <w:szCs w:val="28"/>
        </w:rPr>
        <w:t>参考</w:t>
      </w:r>
      <w:r w:rsidR="00FD0B9D" w:rsidRPr="00FD0B9D">
        <w:rPr>
          <w:rFonts w:ascii="Times New Roman" w:hAnsi="Times New Roman" w:cs="Times New Roman" w:hint="eastAsia"/>
          <w:sz w:val="28"/>
          <w:szCs w:val="28"/>
        </w:rPr>
        <w:t>GB/T 700</w:t>
      </w:r>
      <w:r w:rsidR="00FD0B9D" w:rsidRPr="00FD0B9D">
        <w:rPr>
          <w:rFonts w:ascii="Times New Roman" w:hAnsi="Times New Roman" w:cs="Times New Roman" w:hint="eastAsia"/>
          <w:sz w:val="28"/>
          <w:szCs w:val="28"/>
        </w:rPr>
        <w:t>、</w:t>
      </w:r>
      <w:r w:rsidR="00FD0B9D" w:rsidRPr="00FD0B9D">
        <w:rPr>
          <w:rFonts w:ascii="Times New Roman" w:hAnsi="Times New Roman" w:cs="Times New Roman" w:hint="eastAsia"/>
          <w:sz w:val="28"/>
          <w:szCs w:val="28"/>
        </w:rPr>
        <w:t>GB/T 1591</w:t>
      </w:r>
      <w:r w:rsidR="00FA5CB7" w:rsidRPr="004F3AC8">
        <w:rPr>
          <w:rFonts w:ascii="Times New Roman" w:hAnsi="Times New Roman" w:cs="Times New Roman" w:hint="eastAsia"/>
          <w:sz w:val="28"/>
          <w:szCs w:val="28"/>
        </w:rPr>
        <w:t>给出一般级</w:t>
      </w:r>
      <w:r w:rsidR="00D21634">
        <w:rPr>
          <w:rFonts w:ascii="Times New Roman" w:hAnsi="Times New Roman" w:cs="Times New Roman" w:hint="eastAsia"/>
          <w:sz w:val="28"/>
          <w:szCs w:val="28"/>
        </w:rPr>
        <w:t>碳素结构钢和低合金结构钢钢板</w:t>
      </w:r>
      <w:r w:rsidR="00FA5CB7" w:rsidRPr="004F3AC8">
        <w:rPr>
          <w:rFonts w:ascii="Times New Roman" w:hAnsi="Times New Roman" w:cs="Times New Roman" w:hint="eastAsia"/>
          <w:sz w:val="28"/>
          <w:szCs w:val="28"/>
        </w:rPr>
        <w:t>的指标要求。考虑</w:t>
      </w:r>
      <w:r w:rsidR="00FD0B9D">
        <w:rPr>
          <w:rFonts w:ascii="Times New Roman" w:hAnsi="Times New Roman" w:cs="Times New Roman" w:hint="eastAsia"/>
          <w:sz w:val="28"/>
          <w:szCs w:val="28"/>
        </w:rPr>
        <w:t>下游用户关注</w:t>
      </w:r>
      <w:r w:rsidR="00FD0B9D">
        <w:rPr>
          <w:rFonts w:ascii="Times New Roman" w:hAnsi="Times New Roman" w:cs="Times New Roman"/>
          <w:sz w:val="28"/>
          <w:szCs w:val="28"/>
        </w:rPr>
        <w:t>的产品性能指标，</w:t>
      </w:r>
      <w:r w:rsidR="00FD0B9D">
        <w:rPr>
          <w:rFonts w:ascii="Times New Roman" w:hAnsi="Times New Roman" w:cs="Times New Roman" w:hint="eastAsia"/>
          <w:sz w:val="28"/>
          <w:szCs w:val="28"/>
        </w:rPr>
        <w:t>厚度允许偏差、</w:t>
      </w:r>
      <w:r w:rsidR="00FD0B9D">
        <w:rPr>
          <w:rFonts w:ascii="Times New Roman" w:hAnsi="Times New Roman" w:cs="Times New Roman"/>
          <w:sz w:val="28"/>
          <w:szCs w:val="28"/>
        </w:rPr>
        <w:t>不平度、</w:t>
      </w:r>
      <w:r w:rsidR="00FD0B9D">
        <w:rPr>
          <w:rFonts w:ascii="Times New Roman" w:hAnsi="Times New Roman" w:cs="Times New Roman"/>
          <w:sz w:val="28"/>
          <w:szCs w:val="28"/>
        </w:rPr>
        <w:t>P</w:t>
      </w:r>
      <w:r w:rsidR="00FD0B9D">
        <w:rPr>
          <w:rFonts w:ascii="Times New Roman" w:hAnsi="Times New Roman" w:cs="Times New Roman"/>
          <w:sz w:val="28"/>
          <w:szCs w:val="28"/>
        </w:rPr>
        <w:t>含量、</w:t>
      </w:r>
      <w:r w:rsidR="00FD0B9D">
        <w:rPr>
          <w:rFonts w:ascii="Times New Roman" w:hAnsi="Times New Roman" w:cs="Times New Roman"/>
          <w:sz w:val="28"/>
          <w:szCs w:val="28"/>
        </w:rPr>
        <w:t>S</w:t>
      </w:r>
      <w:r w:rsidR="00FD0B9D">
        <w:rPr>
          <w:rFonts w:ascii="Times New Roman" w:hAnsi="Times New Roman" w:cs="Times New Roman"/>
          <w:sz w:val="28"/>
          <w:szCs w:val="28"/>
        </w:rPr>
        <w:t>含量、碳当量给出了质量分级指标</w:t>
      </w:r>
      <w:r w:rsidR="00FA5CB7" w:rsidRPr="004F3AC8">
        <w:rPr>
          <w:rFonts w:ascii="Times New Roman" w:hAnsi="Times New Roman" w:cs="Times New Roman"/>
          <w:sz w:val="28"/>
          <w:szCs w:val="28"/>
        </w:rPr>
        <w:t>。</w:t>
      </w:r>
      <w:r w:rsidRPr="004F3AC8">
        <w:rPr>
          <w:rFonts w:ascii="Times New Roman" w:hAnsi="Times New Roman" w:cs="Times New Roman" w:hint="eastAsia"/>
          <w:sz w:val="28"/>
          <w:szCs w:val="28"/>
        </w:rPr>
        <w:t>详见下表。</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778"/>
        <w:gridCol w:w="1288"/>
        <w:gridCol w:w="1968"/>
        <w:gridCol w:w="1911"/>
        <w:gridCol w:w="2027"/>
      </w:tblGrid>
      <w:tr w:rsidR="00FD0B9D" w:rsidRPr="00FD0B9D" w:rsidTr="00500BE4">
        <w:trPr>
          <w:trHeight w:val="20"/>
          <w:jc w:val="center"/>
        </w:trPr>
        <w:tc>
          <w:tcPr>
            <w:tcW w:w="1530" w:type="pct"/>
            <w:gridSpan w:val="3"/>
            <w:vMerge w:val="restar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sz w:val="18"/>
                <w:szCs w:val="18"/>
              </w:rPr>
              <w:t>质量要求</w:t>
            </w:r>
          </w:p>
        </w:tc>
        <w:tc>
          <w:tcPr>
            <w:tcW w:w="3470" w:type="pct"/>
            <w:gridSpan w:val="3"/>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sz w:val="18"/>
                <w:szCs w:val="18"/>
              </w:rPr>
              <w:t>质量等级</w:t>
            </w:r>
          </w:p>
        </w:tc>
      </w:tr>
      <w:tr w:rsidR="00FD0B9D" w:rsidRPr="00FD0B9D" w:rsidTr="00500BE4">
        <w:trPr>
          <w:trHeight w:val="20"/>
          <w:jc w:val="center"/>
        </w:trPr>
        <w:tc>
          <w:tcPr>
            <w:tcW w:w="1530" w:type="pct"/>
            <w:gridSpan w:val="3"/>
            <w:vMerge/>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p>
        </w:tc>
        <w:tc>
          <w:tcPr>
            <w:tcW w:w="1156"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sz w:val="18"/>
                <w:szCs w:val="18"/>
              </w:rPr>
              <w:t>特优级</w:t>
            </w:r>
          </w:p>
        </w:tc>
        <w:tc>
          <w:tcPr>
            <w:tcW w:w="1123"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sz w:val="18"/>
                <w:szCs w:val="18"/>
              </w:rPr>
              <w:t>优质级</w:t>
            </w:r>
          </w:p>
        </w:tc>
        <w:tc>
          <w:tcPr>
            <w:tcW w:w="1191"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sz w:val="18"/>
                <w:szCs w:val="18"/>
              </w:rPr>
              <w:t>一般级</w:t>
            </w:r>
          </w:p>
        </w:tc>
      </w:tr>
      <w:tr w:rsidR="00FD0B9D" w:rsidRPr="00FD0B9D" w:rsidTr="00500BE4">
        <w:trPr>
          <w:trHeight w:val="20"/>
          <w:jc w:val="center"/>
        </w:trPr>
        <w:tc>
          <w:tcPr>
            <w:tcW w:w="316" w:type="pct"/>
            <w:vMerge w:val="restar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尺寸</w:t>
            </w:r>
            <w:r w:rsidRPr="00FD0B9D">
              <w:rPr>
                <w:rFonts w:ascii="Times New Roman" w:eastAsia="宋体" w:hAnsi="Times New Roman" w:cs="Times New Roman"/>
                <w:sz w:val="18"/>
                <w:szCs w:val="18"/>
              </w:rPr>
              <w:t>外形</w:t>
            </w:r>
          </w:p>
        </w:tc>
        <w:tc>
          <w:tcPr>
            <w:tcW w:w="1214" w:type="pct"/>
            <w:gridSpan w:val="2"/>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厚度</w:t>
            </w:r>
            <w:r w:rsidRPr="00FD0B9D">
              <w:rPr>
                <w:rFonts w:ascii="Times New Roman" w:eastAsia="宋体" w:hAnsi="Times New Roman" w:cs="Times New Roman"/>
                <w:sz w:val="18"/>
                <w:szCs w:val="18"/>
              </w:rPr>
              <w:t>允许偏差</w:t>
            </w:r>
          </w:p>
        </w:tc>
        <w:tc>
          <w:tcPr>
            <w:tcW w:w="1156"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符合</w:t>
            </w:r>
            <w:r w:rsidRPr="00FD0B9D">
              <w:rPr>
                <w:rFonts w:ascii="Times New Roman" w:eastAsia="宋体" w:hAnsi="Times New Roman" w:cs="Times New Roman"/>
                <w:sz w:val="18"/>
                <w:szCs w:val="18"/>
              </w:rPr>
              <w:t>GB/T 709-2019</w:t>
            </w:r>
            <w:r w:rsidRPr="00FD0B9D">
              <w:rPr>
                <w:rFonts w:ascii="Times New Roman" w:eastAsia="宋体" w:hAnsi="Times New Roman" w:cs="Times New Roman" w:hint="eastAsia"/>
                <w:sz w:val="18"/>
                <w:szCs w:val="18"/>
              </w:rPr>
              <w:t>表</w:t>
            </w:r>
            <w:r w:rsidRPr="00FD0B9D">
              <w:rPr>
                <w:rFonts w:ascii="Times New Roman" w:eastAsia="宋体" w:hAnsi="Times New Roman" w:cs="Times New Roman" w:hint="eastAsia"/>
                <w:sz w:val="18"/>
                <w:szCs w:val="18"/>
              </w:rPr>
              <w:t>2</w:t>
            </w:r>
            <w:r w:rsidRPr="00FD0B9D">
              <w:rPr>
                <w:rFonts w:ascii="Times New Roman" w:eastAsia="宋体" w:hAnsi="Times New Roman" w:cs="Times New Roman" w:hint="eastAsia"/>
                <w:sz w:val="18"/>
                <w:szCs w:val="18"/>
              </w:rPr>
              <w:t>中</w:t>
            </w:r>
            <w:r w:rsidRPr="00FD0B9D">
              <w:rPr>
                <w:rFonts w:ascii="Times New Roman" w:eastAsia="宋体" w:hAnsi="Times New Roman" w:cs="Times New Roman"/>
                <w:sz w:val="18"/>
                <w:szCs w:val="18"/>
              </w:rPr>
              <w:t>B</w:t>
            </w:r>
            <w:r w:rsidRPr="00FD0B9D">
              <w:rPr>
                <w:rFonts w:ascii="Times New Roman" w:eastAsia="宋体" w:hAnsi="Times New Roman" w:cs="Times New Roman"/>
                <w:sz w:val="18"/>
                <w:szCs w:val="18"/>
              </w:rPr>
              <w:t>类的规定</w:t>
            </w:r>
          </w:p>
        </w:tc>
        <w:tc>
          <w:tcPr>
            <w:tcW w:w="1123"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符合</w:t>
            </w:r>
            <w:r w:rsidRPr="00FD0B9D">
              <w:rPr>
                <w:rFonts w:ascii="Times New Roman" w:eastAsia="宋体" w:hAnsi="Times New Roman" w:cs="Times New Roman"/>
                <w:sz w:val="18"/>
                <w:szCs w:val="18"/>
              </w:rPr>
              <w:t>GB/T 709-2019</w:t>
            </w:r>
            <w:r w:rsidRPr="00FD0B9D">
              <w:rPr>
                <w:rFonts w:ascii="Times New Roman" w:eastAsia="宋体" w:hAnsi="Times New Roman" w:cs="Times New Roman" w:hint="eastAsia"/>
                <w:sz w:val="18"/>
                <w:szCs w:val="18"/>
              </w:rPr>
              <w:t>表</w:t>
            </w:r>
            <w:r w:rsidRPr="00FD0B9D">
              <w:rPr>
                <w:rFonts w:ascii="Times New Roman" w:eastAsia="宋体" w:hAnsi="Times New Roman" w:cs="Times New Roman" w:hint="eastAsia"/>
                <w:sz w:val="18"/>
                <w:szCs w:val="18"/>
              </w:rPr>
              <w:t>2</w:t>
            </w:r>
            <w:r w:rsidRPr="00FD0B9D">
              <w:rPr>
                <w:rFonts w:ascii="Times New Roman" w:eastAsia="宋体" w:hAnsi="Times New Roman" w:cs="Times New Roman" w:hint="eastAsia"/>
                <w:sz w:val="18"/>
                <w:szCs w:val="18"/>
              </w:rPr>
              <w:t>中</w:t>
            </w:r>
            <w:r w:rsidRPr="00FD0B9D">
              <w:rPr>
                <w:rFonts w:ascii="Times New Roman" w:eastAsia="宋体" w:hAnsi="Times New Roman" w:cs="Times New Roman"/>
                <w:sz w:val="18"/>
                <w:szCs w:val="18"/>
              </w:rPr>
              <w:t>A</w:t>
            </w:r>
            <w:r w:rsidRPr="00FD0B9D">
              <w:rPr>
                <w:rFonts w:ascii="Times New Roman" w:eastAsia="宋体" w:hAnsi="Times New Roman" w:cs="Times New Roman"/>
                <w:sz w:val="18"/>
                <w:szCs w:val="18"/>
              </w:rPr>
              <w:t>类的规定</w:t>
            </w:r>
          </w:p>
        </w:tc>
        <w:tc>
          <w:tcPr>
            <w:tcW w:w="1191"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符合</w:t>
            </w:r>
            <w:r w:rsidRPr="00FD0B9D">
              <w:rPr>
                <w:rFonts w:ascii="Times New Roman" w:eastAsia="宋体" w:hAnsi="Times New Roman" w:cs="Times New Roman"/>
                <w:sz w:val="18"/>
                <w:szCs w:val="18"/>
              </w:rPr>
              <w:t>GB/T 709-2019</w:t>
            </w:r>
            <w:r w:rsidRPr="00FD0B9D">
              <w:rPr>
                <w:rFonts w:ascii="Times New Roman" w:eastAsia="宋体" w:hAnsi="Times New Roman" w:cs="Times New Roman" w:hint="eastAsia"/>
                <w:sz w:val="18"/>
                <w:szCs w:val="18"/>
              </w:rPr>
              <w:t>表</w:t>
            </w:r>
            <w:r w:rsidRPr="00FD0B9D">
              <w:rPr>
                <w:rFonts w:ascii="Times New Roman" w:eastAsia="宋体" w:hAnsi="Times New Roman" w:cs="Times New Roman" w:hint="eastAsia"/>
                <w:sz w:val="18"/>
                <w:szCs w:val="18"/>
              </w:rPr>
              <w:t>2</w:t>
            </w:r>
            <w:r w:rsidRPr="00FD0B9D">
              <w:rPr>
                <w:rFonts w:ascii="Times New Roman" w:eastAsia="宋体" w:hAnsi="Times New Roman" w:cs="Times New Roman" w:hint="eastAsia"/>
                <w:sz w:val="18"/>
                <w:szCs w:val="18"/>
              </w:rPr>
              <w:t>中</w:t>
            </w:r>
            <w:r w:rsidRPr="00FD0B9D">
              <w:rPr>
                <w:rFonts w:ascii="Times New Roman" w:eastAsia="宋体" w:hAnsi="Times New Roman" w:cs="Times New Roman"/>
                <w:sz w:val="18"/>
                <w:szCs w:val="18"/>
              </w:rPr>
              <w:t>N</w:t>
            </w:r>
            <w:r w:rsidRPr="00FD0B9D">
              <w:rPr>
                <w:rFonts w:ascii="Times New Roman" w:eastAsia="宋体" w:hAnsi="Times New Roman" w:cs="Times New Roman"/>
                <w:sz w:val="18"/>
                <w:szCs w:val="18"/>
              </w:rPr>
              <w:t>类的规定</w:t>
            </w:r>
          </w:p>
        </w:tc>
      </w:tr>
      <w:tr w:rsidR="00FD0B9D" w:rsidRPr="00FD0B9D" w:rsidTr="00500BE4">
        <w:trPr>
          <w:trHeight w:val="20"/>
          <w:jc w:val="center"/>
        </w:trPr>
        <w:tc>
          <w:tcPr>
            <w:tcW w:w="316" w:type="pct"/>
            <w:vMerge/>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p>
        </w:tc>
        <w:tc>
          <w:tcPr>
            <w:tcW w:w="1214" w:type="pct"/>
            <w:gridSpan w:val="2"/>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不平度</w:t>
            </w:r>
          </w:p>
        </w:tc>
        <w:tc>
          <w:tcPr>
            <w:tcW w:w="2279" w:type="pct"/>
            <w:gridSpan w:val="2"/>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符合</w:t>
            </w:r>
            <w:r w:rsidRPr="00FD0B9D">
              <w:rPr>
                <w:rFonts w:ascii="Times New Roman" w:eastAsia="宋体" w:hAnsi="Times New Roman" w:cs="Times New Roman"/>
                <w:sz w:val="18"/>
                <w:szCs w:val="18"/>
              </w:rPr>
              <w:t>GB/T 709-2019</w:t>
            </w:r>
            <w:r w:rsidRPr="00FD0B9D">
              <w:rPr>
                <w:rFonts w:ascii="Times New Roman" w:eastAsia="宋体" w:hAnsi="Times New Roman" w:cs="Times New Roman" w:hint="eastAsia"/>
                <w:sz w:val="18"/>
                <w:szCs w:val="18"/>
              </w:rPr>
              <w:t>中</w:t>
            </w:r>
            <w:r w:rsidRPr="00FD0B9D">
              <w:rPr>
                <w:rFonts w:ascii="Times New Roman" w:eastAsia="宋体" w:hAnsi="Times New Roman" w:cs="Times New Roman" w:hint="eastAsia"/>
                <w:sz w:val="18"/>
                <w:szCs w:val="18"/>
              </w:rPr>
              <w:t>7.1.1</w:t>
            </w:r>
            <w:r w:rsidRPr="00FD0B9D">
              <w:rPr>
                <w:rFonts w:ascii="Times New Roman" w:eastAsia="宋体" w:hAnsi="Times New Roman" w:cs="Times New Roman" w:hint="eastAsia"/>
                <w:sz w:val="18"/>
                <w:szCs w:val="18"/>
              </w:rPr>
              <w:t>，较高不平度精度</w:t>
            </w:r>
            <w:r w:rsidRPr="00FD0B9D">
              <w:rPr>
                <w:rFonts w:ascii="Times New Roman" w:eastAsia="宋体" w:hAnsi="Times New Roman" w:cs="Times New Roman"/>
                <w:sz w:val="18"/>
                <w:szCs w:val="18"/>
              </w:rPr>
              <w:t>（</w:t>
            </w:r>
            <w:r w:rsidRPr="00FD0B9D">
              <w:rPr>
                <w:rFonts w:ascii="Times New Roman" w:eastAsia="宋体" w:hAnsi="Times New Roman" w:cs="Times New Roman" w:hint="eastAsia"/>
                <w:sz w:val="18"/>
                <w:szCs w:val="18"/>
              </w:rPr>
              <w:t>PF.</w:t>
            </w:r>
            <w:r w:rsidRPr="00FD0B9D">
              <w:rPr>
                <w:rFonts w:ascii="Times New Roman" w:eastAsia="宋体" w:hAnsi="Times New Roman" w:cs="Times New Roman"/>
                <w:sz w:val="18"/>
                <w:szCs w:val="18"/>
              </w:rPr>
              <w:t>B</w:t>
            </w:r>
            <w:r w:rsidRPr="00FD0B9D">
              <w:rPr>
                <w:rFonts w:ascii="Times New Roman" w:eastAsia="宋体" w:hAnsi="Times New Roman" w:cs="Times New Roman"/>
                <w:sz w:val="18"/>
                <w:szCs w:val="18"/>
              </w:rPr>
              <w:t>）</w:t>
            </w:r>
            <w:r w:rsidRPr="00FD0B9D">
              <w:rPr>
                <w:rFonts w:ascii="Times New Roman" w:eastAsia="宋体" w:hAnsi="Times New Roman" w:cs="Times New Roman" w:hint="eastAsia"/>
                <w:sz w:val="18"/>
                <w:szCs w:val="18"/>
              </w:rPr>
              <w:t>的规定</w:t>
            </w:r>
          </w:p>
        </w:tc>
        <w:tc>
          <w:tcPr>
            <w:tcW w:w="1191"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符合</w:t>
            </w:r>
            <w:r w:rsidRPr="00FD0B9D">
              <w:rPr>
                <w:rFonts w:ascii="Times New Roman" w:eastAsia="宋体" w:hAnsi="Times New Roman" w:cs="Times New Roman"/>
                <w:sz w:val="18"/>
                <w:szCs w:val="18"/>
              </w:rPr>
              <w:t>GB/T 709-2019</w:t>
            </w:r>
            <w:r w:rsidRPr="00FD0B9D">
              <w:rPr>
                <w:rFonts w:ascii="Times New Roman" w:eastAsia="宋体" w:hAnsi="Times New Roman" w:cs="Times New Roman" w:hint="eastAsia"/>
                <w:sz w:val="18"/>
                <w:szCs w:val="18"/>
              </w:rPr>
              <w:t>中</w:t>
            </w:r>
            <w:r w:rsidRPr="00FD0B9D">
              <w:rPr>
                <w:rFonts w:ascii="Times New Roman" w:eastAsia="宋体" w:hAnsi="Times New Roman" w:cs="Times New Roman" w:hint="eastAsia"/>
                <w:sz w:val="18"/>
                <w:szCs w:val="18"/>
              </w:rPr>
              <w:t>7.1.1</w:t>
            </w:r>
            <w:r w:rsidRPr="00FD0B9D">
              <w:rPr>
                <w:rFonts w:ascii="Times New Roman" w:eastAsia="宋体" w:hAnsi="Times New Roman" w:cs="Times New Roman" w:hint="eastAsia"/>
                <w:sz w:val="18"/>
                <w:szCs w:val="18"/>
              </w:rPr>
              <w:t>，普通不平度精度</w:t>
            </w:r>
            <w:r w:rsidRPr="00FD0B9D">
              <w:rPr>
                <w:rFonts w:ascii="Times New Roman" w:eastAsia="宋体" w:hAnsi="Times New Roman" w:cs="Times New Roman"/>
                <w:sz w:val="18"/>
                <w:szCs w:val="18"/>
              </w:rPr>
              <w:t>（</w:t>
            </w:r>
            <w:r w:rsidRPr="00FD0B9D">
              <w:rPr>
                <w:rFonts w:ascii="Times New Roman" w:eastAsia="宋体" w:hAnsi="Times New Roman" w:cs="Times New Roman" w:hint="eastAsia"/>
                <w:sz w:val="18"/>
                <w:szCs w:val="18"/>
              </w:rPr>
              <w:t>PF.A</w:t>
            </w:r>
            <w:r w:rsidRPr="00FD0B9D">
              <w:rPr>
                <w:rFonts w:ascii="Times New Roman" w:eastAsia="宋体" w:hAnsi="Times New Roman" w:cs="Times New Roman"/>
                <w:sz w:val="18"/>
                <w:szCs w:val="18"/>
              </w:rPr>
              <w:t>）</w:t>
            </w:r>
            <w:r w:rsidRPr="00FD0B9D">
              <w:rPr>
                <w:rFonts w:ascii="Times New Roman" w:eastAsia="宋体" w:hAnsi="Times New Roman" w:cs="Times New Roman" w:hint="eastAsia"/>
                <w:sz w:val="18"/>
                <w:szCs w:val="18"/>
              </w:rPr>
              <w:t>的规定</w:t>
            </w:r>
          </w:p>
        </w:tc>
      </w:tr>
      <w:tr w:rsidR="00FD0B9D" w:rsidRPr="00FD0B9D" w:rsidTr="00500BE4">
        <w:trPr>
          <w:trHeight w:val="20"/>
          <w:jc w:val="center"/>
        </w:trPr>
        <w:tc>
          <w:tcPr>
            <w:tcW w:w="316" w:type="pct"/>
            <w:vMerge w:val="restar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sz w:val="18"/>
                <w:szCs w:val="18"/>
              </w:rPr>
              <w:t>化学成分</w:t>
            </w:r>
          </w:p>
        </w:tc>
        <w:tc>
          <w:tcPr>
            <w:tcW w:w="1214" w:type="pct"/>
            <w:gridSpan w:val="2"/>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P</w:t>
            </w:r>
            <w:r w:rsidRPr="00FD0B9D">
              <w:rPr>
                <w:rFonts w:ascii="Times New Roman" w:eastAsia="宋体" w:hAnsi="Times New Roman" w:cs="Times New Roman" w:hint="eastAsia"/>
                <w:sz w:val="18"/>
                <w:szCs w:val="18"/>
              </w:rPr>
              <w:t>含量</w:t>
            </w:r>
          </w:p>
        </w:tc>
        <w:tc>
          <w:tcPr>
            <w:tcW w:w="1156"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w:t>
            </w:r>
            <w:r w:rsidRPr="00FD0B9D">
              <w:rPr>
                <w:rFonts w:ascii="Times New Roman" w:eastAsia="宋体" w:hAnsi="Times New Roman" w:cs="Times New Roman" w:hint="eastAsia"/>
                <w:sz w:val="18"/>
                <w:szCs w:val="18"/>
              </w:rPr>
              <w:t>0.025</w:t>
            </w:r>
            <w:r w:rsidRPr="00FD0B9D">
              <w:rPr>
                <w:rFonts w:ascii="Times New Roman" w:eastAsia="宋体" w:hAnsi="Times New Roman" w:cs="Times New Roman"/>
                <w:sz w:val="18"/>
                <w:szCs w:val="18"/>
              </w:rPr>
              <w:t>%</w:t>
            </w:r>
          </w:p>
        </w:tc>
        <w:tc>
          <w:tcPr>
            <w:tcW w:w="1123"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w:t>
            </w:r>
            <w:r w:rsidRPr="00FD0B9D">
              <w:rPr>
                <w:rFonts w:ascii="Times New Roman" w:eastAsia="宋体" w:hAnsi="Times New Roman" w:cs="Times New Roman" w:hint="eastAsia"/>
                <w:sz w:val="18"/>
                <w:szCs w:val="18"/>
              </w:rPr>
              <w:t>0.030</w:t>
            </w:r>
            <w:r w:rsidRPr="00FD0B9D">
              <w:rPr>
                <w:rFonts w:ascii="Times New Roman" w:eastAsia="宋体" w:hAnsi="Times New Roman" w:cs="Times New Roman"/>
                <w:sz w:val="18"/>
                <w:szCs w:val="18"/>
              </w:rPr>
              <w:t>%</w:t>
            </w:r>
          </w:p>
        </w:tc>
        <w:tc>
          <w:tcPr>
            <w:tcW w:w="1191"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符合</w:t>
            </w:r>
            <w:r w:rsidRPr="00FD0B9D">
              <w:rPr>
                <w:rFonts w:ascii="Times New Roman" w:eastAsia="宋体" w:hAnsi="Times New Roman" w:cs="Times New Roman" w:hint="eastAsia"/>
                <w:sz w:val="18"/>
                <w:szCs w:val="18"/>
              </w:rPr>
              <w:t>GB/T</w:t>
            </w:r>
            <w:r w:rsidRPr="00FD0B9D">
              <w:rPr>
                <w:rFonts w:ascii="Times New Roman" w:eastAsia="宋体" w:hAnsi="Times New Roman" w:cs="Times New Roman"/>
                <w:sz w:val="18"/>
                <w:szCs w:val="18"/>
              </w:rPr>
              <w:t xml:space="preserve"> 700</w:t>
            </w:r>
            <w:r w:rsidRPr="00FD0B9D">
              <w:rPr>
                <w:rFonts w:ascii="Times New Roman" w:eastAsia="宋体" w:hAnsi="Times New Roman" w:cs="Times New Roman" w:hint="eastAsia"/>
                <w:sz w:val="18"/>
                <w:szCs w:val="18"/>
              </w:rPr>
              <w:t>、</w:t>
            </w:r>
            <w:r w:rsidRPr="00FD0B9D">
              <w:rPr>
                <w:rFonts w:ascii="Times New Roman" w:eastAsia="宋体" w:hAnsi="Times New Roman" w:cs="Times New Roman"/>
                <w:sz w:val="18"/>
                <w:szCs w:val="18"/>
              </w:rPr>
              <w:t>GB/T 1591</w:t>
            </w:r>
            <w:r w:rsidRPr="00FD0B9D">
              <w:rPr>
                <w:rFonts w:ascii="Times New Roman" w:eastAsia="宋体" w:hAnsi="Times New Roman" w:cs="Times New Roman" w:hint="eastAsia"/>
                <w:sz w:val="18"/>
                <w:szCs w:val="18"/>
              </w:rPr>
              <w:t>的</w:t>
            </w:r>
            <w:r w:rsidRPr="00FD0B9D">
              <w:rPr>
                <w:rFonts w:ascii="Times New Roman" w:eastAsia="宋体" w:hAnsi="Times New Roman" w:cs="Times New Roman"/>
                <w:sz w:val="18"/>
                <w:szCs w:val="18"/>
              </w:rPr>
              <w:t>规定</w:t>
            </w:r>
          </w:p>
        </w:tc>
      </w:tr>
      <w:tr w:rsidR="00FD0B9D" w:rsidRPr="00FD0B9D" w:rsidTr="00500BE4">
        <w:trPr>
          <w:trHeight w:val="20"/>
          <w:jc w:val="center"/>
        </w:trPr>
        <w:tc>
          <w:tcPr>
            <w:tcW w:w="316" w:type="pct"/>
            <w:vMerge/>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p>
        </w:tc>
        <w:tc>
          <w:tcPr>
            <w:tcW w:w="1214" w:type="pct"/>
            <w:gridSpan w:val="2"/>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S</w:t>
            </w:r>
            <w:r w:rsidRPr="00FD0B9D">
              <w:rPr>
                <w:rFonts w:ascii="Times New Roman" w:eastAsia="宋体" w:hAnsi="Times New Roman" w:cs="Times New Roman" w:hint="eastAsia"/>
                <w:sz w:val="18"/>
                <w:szCs w:val="18"/>
              </w:rPr>
              <w:t>含量</w:t>
            </w:r>
          </w:p>
        </w:tc>
        <w:tc>
          <w:tcPr>
            <w:tcW w:w="1156"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w:t>
            </w:r>
            <w:r w:rsidRPr="00FD0B9D">
              <w:rPr>
                <w:rFonts w:ascii="Times New Roman" w:eastAsia="宋体" w:hAnsi="Times New Roman" w:cs="Times New Roman" w:hint="eastAsia"/>
                <w:sz w:val="18"/>
                <w:szCs w:val="18"/>
              </w:rPr>
              <w:t>0.025</w:t>
            </w:r>
            <w:r w:rsidRPr="00FD0B9D">
              <w:rPr>
                <w:rFonts w:ascii="Times New Roman" w:eastAsia="宋体" w:hAnsi="Times New Roman" w:cs="Times New Roman"/>
                <w:sz w:val="18"/>
                <w:szCs w:val="18"/>
              </w:rPr>
              <w:t>%</w:t>
            </w:r>
          </w:p>
        </w:tc>
        <w:tc>
          <w:tcPr>
            <w:tcW w:w="1123"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w:t>
            </w:r>
            <w:r w:rsidRPr="00FD0B9D">
              <w:rPr>
                <w:rFonts w:ascii="Times New Roman" w:eastAsia="宋体" w:hAnsi="Times New Roman" w:cs="Times New Roman" w:hint="eastAsia"/>
                <w:sz w:val="18"/>
                <w:szCs w:val="18"/>
              </w:rPr>
              <w:t>0.030</w:t>
            </w:r>
            <w:r w:rsidRPr="00FD0B9D">
              <w:rPr>
                <w:rFonts w:ascii="Times New Roman" w:eastAsia="宋体" w:hAnsi="Times New Roman" w:cs="Times New Roman"/>
                <w:sz w:val="18"/>
                <w:szCs w:val="18"/>
              </w:rPr>
              <w:t>%</w:t>
            </w:r>
          </w:p>
        </w:tc>
        <w:tc>
          <w:tcPr>
            <w:tcW w:w="1191"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符合</w:t>
            </w:r>
            <w:r w:rsidRPr="00FD0B9D">
              <w:rPr>
                <w:rFonts w:ascii="Times New Roman" w:eastAsia="宋体" w:hAnsi="Times New Roman" w:cs="Times New Roman" w:hint="eastAsia"/>
                <w:sz w:val="18"/>
                <w:szCs w:val="18"/>
              </w:rPr>
              <w:t>GB/T</w:t>
            </w:r>
            <w:r w:rsidRPr="00FD0B9D">
              <w:rPr>
                <w:rFonts w:ascii="Times New Roman" w:eastAsia="宋体" w:hAnsi="Times New Roman" w:cs="Times New Roman"/>
                <w:sz w:val="18"/>
                <w:szCs w:val="18"/>
              </w:rPr>
              <w:t xml:space="preserve"> 700</w:t>
            </w:r>
            <w:r w:rsidRPr="00FD0B9D">
              <w:rPr>
                <w:rFonts w:ascii="Times New Roman" w:eastAsia="宋体" w:hAnsi="Times New Roman" w:cs="Times New Roman" w:hint="eastAsia"/>
                <w:sz w:val="18"/>
                <w:szCs w:val="18"/>
              </w:rPr>
              <w:t>、</w:t>
            </w:r>
            <w:r w:rsidRPr="00FD0B9D">
              <w:rPr>
                <w:rFonts w:ascii="Times New Roman" w:eastAsia="宋体" w:hAnsi="Times New Roman" w:cs="Times New Roman"/>
                <w:sz w:val="18"/>
                <w:szCs w:val="18"/>
              </w:rPr>
              <w:t>GB/T 1591</w:t>
            </w:r>
            <w:r w:rsidRPr="00FD0B9D">
              <w:rPr>
                <w:rFonts w:ascii="Times New Roman" w:eastAsia="宋体" w:hAnsi="Times New Roman" w:cs="Times New Roman" w:hint="eastAsia"/>
                <w:sz w:val="18"/>
                <w:szCs w:val="18"/>
              </w:rPr>
              <w:t>的</w:t>
            </w:r>
            <w:r w:rsidRPr="00FD0B9D">
              <w:rPr>
                <w:rFonts w:ascii="Times New Roman" w:eastAsia="宋体" w:hAnsi="Times New Roman" w:cs="Times New Roman"/>
                <w:sz w:val="18"/>
                <w:szCs w:val="18"/>
              </w:rPr>
              <w:t>规定</w:t>
            </w:r>
          </w:p>
        </w:tc>
      </w:tr>
      <w:tr w:rsidR="00FD0B9D" w:rsidRPr="00FD0B9D" w:rsidTr="00500BE4">
        <w:trPr>
          <w:trHeight w:val="345"/>
          <w:jc w:val="center"/>
        </w:trPr>
        <w:tc>
          <w:tcPr>
            <w:tcW w:w="316" w:type="pct"/>
            <w:vMerge/>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p>
        </w:tc>
        <w:tc>
          <w:tcPr>
            <w:tcW w:w="457" w:type="pct"/>
            <w:vMerge w:val="restar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碳当量</w:t>
            </w:r>
            <w:r w:rsidRPr="00FD0B9D">
              <w:rPr>
                <w:rFonts w:ascii="Times New Roman" w:eastAsia="宋体" w:hAnsi="Times New Roman" w:cs="Times New Roman" w:hint="eastAsia"/>
                <w:sz w:val="18"/>
                <w:szCs w:val="18"/>
              </w:rPr>
              <w:t>CEV</w:t>
            </w:r>
          </w:p>
        </w:tc>
        <w:tc>
          <w:tcPr>
            <w:tcW w:w="757"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碳素结构钢</w:t>
            </w:r>
          </w:p>
        </w:tc>
        <w:tc>
          <w:tcPr>
            <w:tcW w:w="1156"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w:t>
            </w:r>
            <w:r w:rsidRPr="00FD0B9D">
              <w:rPr>
                <w:rFonts w:ascii="Times New Roman" w:eastAsia="宋体" w:hAnsi="Times New Roman" w:cs="Times New Roman"/>
                <w:sz w:val="18"/>
                <w:szCs w:val="18"/>
              </w:rPr>
              <w:t>0.45%</w:t>
            </w:r>
          </w:p>
        </w:tc>
        <w:tc>
          <w:tcPr>
            <w:tcW w:w="1123"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w:t>
            </w:r>
            <w:r w:rsidRPr="00FD0B9D">
              <w:rPr>
                <w:rFonts w:ascii="Times New Roman" w:eastAsia="宋体" w:hAnsi="Times New Roman" w:cs="Times New Roman"/>
                <w:sz w:val="18"/>
                <w:szCs w:val="18"/>
              </w:rPr>
              <w:t>0.47%</w:t>
            </w:r>
          </w:p>
        </w:tc>
        <w:tc>
          <w:tcPr>
            <w:tcW w:w="1191"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w:t>
            </w:r>
            <w:r w:rsidRPr="00FD0B9D">
              <w:rPr>
                <w:rFonts w:ascii="Times New Roman" w:eastAsia="宋体" w:hAnsi="Times New Roman" w:cs="Times New Roman"/>
                <w:sz w:val="18"/>
                <w:szCs w:val="18"/>
              </w:rPr>
              <w:t>0.49%</w:t>
            </w:r>
          </w:p>
        </w:tc>
      </w:tr>
      <w:tr w:rsidR="00FD0B9D" w:rsidRPr="00FD0B9D" w:rsidTr="00500BE4">
        <w:trPr>
          <w:trHeight w:val="345"/>
          <w:jc w:val="center"/>
        </w:trPr>
        <w:tc>
          <w:tcPr>
            <w:tcW w:w="316" w:type="pct"/>
            <w:vMerge/>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p>
        </w:tc>
        <w:tc>
          <w:tcPr>
            <w:tcW w:w="457" w:type="pct"/>
            <w:vMerge/>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hint="eastAsia"/>
                <w:sz w:val="18"/>
                <w:szCs w:val="18"/>
              </w:rPr>
            </w:pPr>
          </w:p>
        </w:tc>
        <w:tc>
          <w:tcPr>
            <w:tcW w:w="757"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hint="eastAsia"/>
                <w:sz w:val="18"/>
                <w:szCs w:val="18"/>
              </w:rPr>
            </w:pPr>
            <w:r w:rsidRPr="00FD0B9D">
              <w:rPr>
                <w:rFonts w:ascii="Times New Roman" w:eastAsia="宋体" w:hAnsi="Times New Roman" w:cs="Times New Roman" w:hint="eastAsia"/>
                <w:sz w:val="18"/>
                <w:szCs w:val="18"/>
              </w:rPr>
              <w:t>低合金</w:t>
            </w:r>
            <w:r w:rsidRPr="00FD0B9D">
              <w:rPr>
                <w:rFonts w:ascii="Times New Roman" w:eastAsia="宋体" w:hAnsi="Times New Roman" w:cs="Times New Roman"/>
                <w:sz w:val="18"/>
                <w:szCs w:val="18"/>
              </w:rPr>
              <w:t>结构钢</w:t>
            </w:r>
          </w:p>
        </w:tc>
        <w:tc>
          <w:tcPr>
            <w:tcW w:w="1156"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比</w:t>
            </w:r>
            <w:r w:rsidRPr="00FD0B9D">
              <w:rPr>
                <w:rFonts w:ascii="Times New Roman" w:eastAsia="宋体" w:hAnsi="Times New Roman" w:cs="Times New Roman"/>
                <w:sz w:val="18"/>
                <w:szCs w:val="18"/>
              </w:rPr>
              <w:t>GB/T 1591</w:t>
            </w:r>
            <w:r w:rsidRPr="00FD0B9D">
              <w:rPr>
                <w:rFonts w:ascii="Times New Roman" w:eastAsia="宋体" w:hAnsi="Times New Roman" w:cs="Times New Roman" w:hint="eastAsia"/>
                <w:sz w:val="18"/>
                <w:szCs w:val="18"/>
              </w:rPr>
              <w:t>的</w:t>
            </w:r>
            <w:r w:rsidRPr="00FD0B9D">
              <w:rPr>
                <w:rFonts w:ascii="Times New Roman" w:eastAsia="宋体" w:hAnsi="Times New Roman" w:cs="Times New Roman"/>
                <w:sz w:val="18"/>
                <w:szCs w:val="18"/>
              </w:rPr>
              <w:t>规定降低</w:t>
            </w:r>
            <w:r w:rsidRPr="00FD0B9D">
              <w:rPr>
                <w:rFonts w:ascii="Times New Roman" w:eastAsia="宋体" w:hAnsi="Times New Roman" w:cs="Times New Roman" w:hint="eastAsia"/>
                <w:sz w:val="18"/>
                <w:szCs w:val="18"/>
              </w:rPr>
              <w:t>0.0</w:t>
            </w:r>
            <w:r w:rsidRPr="00FD0B9D">
              <w:rPr>
                <w:rFonts w:ascii="Times New Roman" w:eastAsia="宋体" w:hAnsi="Times New Roman" w:cs="Times New Roman"/>
                <w:sz w:val="18"/>
                <w:szCs w:val="18"/>
              </w:rPr>
              <w:t>4</w:t>
            </w:r>
            <w:r w:rsidRPr="00FD0B9D">
              <w:rPr>
                <w:rFonts w:ascii="Times New Roman" w:eastAsia="宋体" w:hAnsi="Times New Roman" w:cs="Times New Roman" w:hint="eastAsia"/>
                <w:sz w:val="18"/>
                <w:szCs w:val="18"/>
              </w:rPr>
              <w:t>%</w:t>
            </w:r>
          </w:p>
        </w:tc>
        <w:tc>
          <w:tcPr>
            <w:tcW w:w="1123"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sz w:val="18"/>
                <w:szCs w:val="18"/>
              </w:rPr>
            </w:pPr>
            <w:r w:rsidRPr="00FD0B9D">
              <w:rPr>
                <w:rFonts w:ascii="Times New Roman" w:eastAsia="宋体" w:hAnsi="Times New Roman" w:cs="Times New Roman" w:hint="eastAsia"/>
                <w:sz w:val="18"/>
                <w:szCs w:val="18"/>
              </w:rPr>
              <w:t>比</w:t>
            </w:r>
            <w:r w:rsidRPr="00FD0B9D">
              <w:rPr>
                <w:rFonts w:ascii="Times New Roman" w:eastAsia="宋体" w:hAnsi="Times New Roman" w:cs="Times New Roman"/>
                <w:sz w:val="18"/>
                <w:szCs w:val="18"/>
              </w:rPr>
              <w:t>GB/T 1591</w:t>
            </w:r>
            <w:r w:rsidRPr="00FD0B9D">
              <w:rPr>
                <w:rFonts w:ascii="Times New Roman" w:eastAsia="宋体" w:hAnsi="Times New Roman" w:cs="Times New Roman" w:hint="eastAsia"/>
                <w:sz w:val="18"/>
                <w:szCs w:val="18"/>
              </w:rPr>
              <w:t>的</w:t>
            </w:r>
            <w:r w:rsidRPr="00FD0B9D">
              <w:rPr>
                <w:rFonts w:ascii="Times New Roman" w:eastAsia="宋体" w:hAnsi="Times New Roman" w:cs="Times New Roman"/>
                <w:sz w:val="18"/>
                <w:szCs w:val="18"/>
              </w:rPr>
              <w:t>规定降低</w:t>
            </w:r>
            <w:r w:rsidRPr="00FD0B9D">
              <w:rPr>
                <w:rFonts w:ascii="Times New Roman" w:eastAsia="宋体" w:hAnsi="Times New Roman" w:cs="Times New Roman" w:hint="eastAsia"/>
                <w:sz w:val="18"/>
                <w:szCs w:val="18"/>
              </w:rPr>
              <w:t>0.02%</w:t>
            </w:r>
          </w:p>
        </w:tc>
        <w:tc>
          <w:tcPr>
            <w:tcW w:w="1191" w:type="pct"/>
            <w:tcBorders>
              <w:tl2br w:val="nil"/>
              <w:tr2bl w:val="nil"/>
            </w:tcBorders>
            <w:shd w:val="clear" w:color="auto" w:fill="auto"/>
            <w:vAlign w:val="center"/>
          </w:tcPr>
          <w:p w:rsidR="00FD0B9D" w:rsidRPr="00FD0B9D" w:rsidRDefault="00FD0B9D" w:rsidP="00FD0B9D">
            <w:pPr>
              <w:adjustRightInd w:val="0"/>
              <w:snapToGrid w:val="0"/>
              <w:spacing w:line="240" w:lineRule="auto"/>
              <w:ind w:firstLineChars="0" w:firstLine="0"/>
              <w:jc w:val="center"/>
              <w:rPr>
                <w:rFonts w:ascii="Times New Roman" w:eastAsia="宋体" w:hAnsi="Times New Roman" w:cs="Times New Roman" w:hint="eastAsia"/>
                <w:sz w:val="18"/>
                <w:szCs w:val="18"/>
              </w:rPr>
            </w:pPr>
            <w:r w:rsidRPr="00FD0B9D">
              <w:rPr>
                <w:rFonts w:ascii="Times New Roman" w:eastAsia="宋体" w:hAnsi="Times New Roman" w:cs="Times New Roman" w:hint="eastAsia"/>
                <w:sz w:val="18"/>
                <w:szCs w:val="18"/>
              </w:rPr>
              <w:t>符合</w:t>
            </w:r>
            <w:r w:rsidRPr="00FD0B9D">
              <w:rPr>
                <w:rFonts w:ascii="Times New Roman" w:eastAsia="宋体" w:hAnsi="Times New Roman" w:cs="Times New Roman"/>
                <w:sz w:val="18"/>
                <w:szCs w:val="18"/>
              </w:rPr>
              <w:t>GB/T 1591</w:t>
            </w:r>
            <w:r w:rsidRPr="00FD0B9D">
              <w:rPr>
                <w:rFonts w:ascii="Times New Roman" w:eastAsia="宋体" w:hAnsi="Times New Roman" w:cs="Times New Roman" w:hint="eastAsia"/>
                <w:sz w:val="18"/>
                <w:szCs w:val="18"/>
              </w:rPr>
              <w:t>的</w:t>
            </w:r>
            <w:r w:rsidRPr="00FD0B9D">
              <w:rPr>
                <w:rFonts w:ascii="Times New Roman" w:eastAsia="宋体" w:hAnsi="Times New Roman" w:cs="Times New Roman"/>
                <w:sz w:val="18"/>
                <w:szCs w:val="18"/>
              </w:rPr>
              <w:t>规定</w:t>
            </w:r>
          </w:p>
        </w:tc>
      </w:tr>
    </w:tbl>
    <w:p w:rsidR="00FD0B9D" w:rsidRDefault="00FD0B9D" w:rsidP="00FD0B9D">
      <w:pPr>
        <w:ind w:firstLineChars="0" w:firstLine="0"/>
        <w:rPr>
          <w:rFonts w:ascii="Times New Roman" w:hAnsi="Times New Roman" w:cs="Times New Roman" w:hint="eastAsia"/>
          <w:sz w:val="28"/>
          <w:szCs w:val="28"/>
        </w:rPr>
      </w:pPr>
    </w:p>
    <w:p w:rsidR="00AC318C"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（五）</w:t>
      </w:r>
      <w:r w:rsidR="00561372" w:rsidRPr="004F3AC8">
        <w:rPr>
          <w:rFonts w:ascii="Times New Roman" w:hAnsi="Times New Roman" w:cs="Times New Roman" w:hint="eastAsia"/>
          <w:sz w:val="28"/>
          <w:szCs w:val="28"/>
        </w:rPr>
        <w:t>评价方法</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sz w:val="28"/>
          <w:szCs w:val="28"/>
        </w:rPr>
        <w:t xml:space="preserve">1. </w:t>
      </w:r>
      <w:r w:rsidRPr="004F3AC8">
        <w:rPr>
          <w:rFonts w:ascii="Times New Roman" w:hAnsi="Times New Roman" w:cs="Times New Roman" w:hint="eastAsia"/>
          <w:sz w:val="28"/>
          <w:szCs w:val="28"/>
        </w:rPr>
        <w:t>试验方法</w:t>
      </w:r>
    </w:p>
    <w:p w:rsidR="00FA5CB7" w:rsidRPr="004F3AC8" w:rsidRDefault="00FD0B9D" w:rsidP="004F3AC8">
      <w:pPr>
        <w:ind w:firstLine="560"/>
        <w:rPr>
          <w:rFonts w:ascii="Times New Roman" w:hAnsi="Times New Roman" w:cs="Times New Roman"/>
          <w:sz w:val="28"/>
          <w:szCs w:val="28"/>
        </w:rPr>
      </w:pPr>
      <w:r w:rsidRPr="00FD0B9D">
        <w:rPr>
          <w:rFonts w:ascii="Times New Roman" w:hAnsi="Times New Roman" w:cs="Times New Roman" w:hint="eastAsia"/>
          <w:sz w:val="28"/>
          <w:szCs w:val="28"/>
        </w:rPr>
        <w:t>钢板质量分级的检验项目、取样数量、取样方法及试验方法应符合</w:t>
      </w:r>
      <w:r w:rsidRPr="00FD0B9D">
        <w:rPr>
          <w:rFonts w:ascii="Times New Roman" w:hAnsi="Times New Roman" w:cs="Times New Roman" w:hint="eastAsia"/>
          <w:sz w:val="28"/>
          <w:szCs w:val="28"/>
        </w:rPr>
        <w:t>GB/T 700</w:t>
      </w:r>
      <w:r w:rsidRPr="00FD0B9D">
        <w:rPr>
          <w:rFonts w:ascii="Times New Roman" w:hAnsi="Times New Roman" w:cs="Times New Roman" w:hint="eastAsia"/>
          <w:sz w:val="28"/>
          <w:szCs w:val="28"/>
        </w:rPr>
        <w:t>、</w:t>
      </w:r>
      <w:r w:rsidRPr="00FD0B9D">
        <w:rPr>
          <w:rFonts w:ascii="Times New Roman" w:hAnsi="Times New Roman" w:cs="Times New Roman" w:hint="eastAsia"/>
          <w:sz w:val="28"/>
          <w:szCs w:val="28"/>
        </w:rPr>
        <w:t>GB/T 1591</w:t>
      </w:r>
      <w:r w:rsidRPr="00FD0B9D">
        <w:rPr>
          <w:rFonts w:ascii="Times New Roman" w:hAnsi="Times New Roman" w:cs="Times New Roman" w:hint="eastAsia"/>
          <w:sz w:val="28"/>
          <w:szCs w:val="28"/>
        </w:rPr>
        <w:t>的规定。</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评价要求</w:t>
      </w:r>
    </w:p>
    <w:p w:rsidR="00AC318C" w:rsidRPr="004F3AC8" w:rsidRDefault="00FD0B9D" w:rsidP="00FD0B9D">
      <w:pPr>
        <w:ind w:firstLine="560"/>
        <w:rPr>
          <w:rFonts w:ascii="Times New Roman" w:hAnsi="Times New Roman" w:cs="Times New Roman"/>
          <w:sz w:val="28"/>
          <w:szCs w:val="28"/>
        </w:rPr>
      </w:pPr>
      <w:r w:rsidRPr="00FD0B9D">
        <w:rPr>
          <w:rFonts w:ascii="Times New Roman" w:hAnsi="Times New Roman" w:cs="Times New Roman" w:hint="eastAsia"/>
          <w:sz w:val="28"/>
          <w:szCs w:val="28"/>
        </w:rPr>
        <w:t>钢板产品分级评价应建立规范的评价工作流程，包括评价准备、组建评价工作组、制定评价方案、现场评价、编制评价报告、技术评审等。钢板按批进行质量分级和评价，组批规则应符合</w:t>
      </w:r>
      <w:r w:rsidRPr="00FD0B9D">
        <w:rPr>
          <w:rFonts w:ascii="Times New Roman" w:hAnsi="Times New Roman" w:cs="Times New Roman" w:hint="eastAsia"/>
          <w:sz w:val="28"/>
          <w:szCs w:val="28"/>
        </w:rPr>
        <w:t>GB/T 700</w:t>
      </w:r>
      <w:r w:rsidRPr="00FD0B9D">
        <w:rPr>
          <w:rFonts w:ascii="Times New Roman" w:hAnsi="Times New Roman" w:cs="Times New Roman" w:hint="eastAsia"/>
          <w:sz w:val="28"/>
          <w:szCs w:val="28"/>
        </w:rPr>
        <w:t>、</w:t>
      </w:r>
      <w:r w:rsidRPr="00FD0B9D">
        <w:rPr>
          <w:rFonts w:ascii="Times New Roman" w:hAnsi="Times New Roman" w:cs="Times New Roman" w:hint="eastAsia"/>
          <w:sz w:val="28"/>
          <w:szCs w:val="28"/>
        </w:rPr>
        <w:t>GB/T 1591</w:t>
      </w:r>
      <w:r w:rsidRPr="00FD0B9D">
        <w:rPr>
          <w:rFonts w:ascii="Times New Roman" w:hAnsi="Times New Roman" w:cs="Times New Roman" w:hint="eastAsia"/>
          <w:sz w:val="28"/>
          <w:szCs w:val="28"/>
        </w:rPr>
        <w:t>的规定。钢板按</w:t>
      </w:r>
      <w:r w:rsidRPr="00FD0B9D">
        <w:rPr>
          <w:rFonts w:ascii="Times New Roman" w:hAnsi="Times New Roman" w:cs="Times New Roman" w:hint="eastAsia"/>
          <w:sz w:val="28"/>
          <w:szCs w:val="28"/>
        </w:rPr>
        <w:t>5.1</w:t>
      </w:r>
      <w:r w:rsidRPr="00FD0B9D">
        <w:rPr>
          <w:rFonts w:ascii="Times New Roman" w:hAnsi="Times New Roman" w:cs="Times New Roman" w:hint="eastAsia"/>
          <w:sz w:val="28"/>
          <w:szCs w:val="28"/>
        </w:rPr>
        <w:t>进行检验，检验项目全部达到表</w:t>
      </w:r>
      <w:r w:rsidRPr="00FD0B9D">
        <w:rPr>
          <w:rFonts w:ascii="Times New Roman" w:hAnsi="Times New Roman" w:cs="Times New Roman" w:hint="eastAsia"/>
          <w:sz w:val="28"/>
          <w:szCs w:val="28"/>
        </w:rPr>
        <w:t>1</w:t>
      </w:r>
      <w:r w:rsidRPr="00FD0B9D">
        <w:rPr>
          <w:rFonts w:ascii="Times New Roman" w:hAnsi="Times New Roman" w:cs="Times New Roman" w:hint="eastAsia"/>
          <w:sz w:val="28"/>
          <w:szCs w:val="28"/>
        </w:rPr>
        <w:t>某一等级要求时，该批产品可评价为该等级。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（六）等级标识</w:t>
      </w:r>
    </w:p>
    <w:p w:rsidR="004F3AC8" w:rsidRPr="004F3AC8" w:rsidRDefault="00FD0B9D" w:rsidP="004F3AC8">
      <w:pPr>
        <w:ind w:firstLine="560"/>
        <w:rPr>
          <w:rFonts w:ascii="Times New Roman" w:hAnsi="Times New Roman" w:cs="Times New Roman"/>
          <w:sz w:val="28"/>
          <w:szCs w:val="28"/>
        </w:rPr>
      </w:pPr>
      <w:r>
        <w:rPr>
          <w:rFonts w:ascii="Times New Roman" w:hAnsi="Times New Roman" w:cs="Times New Roman" w:hint="eastAsia"/>
          <w:sz w:val="28"/>
          <w:szCs w:val="28"/>
        </w:rPr>
        <w:t>钢板</w:t>
      </w:r>
      <w:bookmarkStart w:id="0" w:name="_GoBack"/>
      <w:bookmarkEnd w:id="0"/>
      <w:r w:rsidR="004F3AC8" w:rsidRPr="004F3AC8">
        <w:rPr>
          <w:rFonts w:ascii="Times New Roman" w:hAnsi="Times New Roman" w:cs="Times New Roman" w:hint="eastAsia"/>
          <w:sz w:val="28"/>
          <w:szCs w:val="28"/>
        </w:rPr>
        <w:t>的质量等级标识由供方标注于外包装及质量证明书上。一般</w:t>
      </w:r>
      <w:r w:rsidR="004F3AC8" w:rsidRPr="004F3AC8">
        <w:rPr>
          <w:rFonts w:ascii="Times New Roman" w:hAnsi="Times New Roman" w:cs="Times New Roman" w:hint="eastAsia"/>
          <w:sz w:val="28"/>
          <w:szCs w:val="28"/>
        </w:rPr>
        <w:lastRenderedPageBreak/>
        <w:t>级可标注“</w:t>
      </w:r>
      <w:r w:rsidR="004F3AC8" w:rsidRPr="004F3AC8">
        <w:rPr>
          <w:rFonts w:ascii="Times New Roman" w:hAnsi="Times New Roman" w:cs="Times New Roman" w:hint="eastAsia"/>
          <w:sz w:val="28"/>
          <w:szCs w:val="28"/>
        </w:rPr>
        <w:t>AAA</w:t>
      </w:r>
      <w:r w:rsidR="004F3AC8" w:rsidRPr="004F3AC8">
        <w:rPr>
          <w:rFonts w:ascii="Times New Roman" w:hAnsi="Times New Roman" w:cs="Times New Roman" w:hint="eastAsia"/>
          <w:sz w:val="28"/>
          <w:szCs w:val="28"/>
        </w:rPr>
        <w:t>级”，优质级可标注“</w:t>
      </w:r>
      <w:r w:rsidR="004F3AC8" w:rsidRPr="004F3AC8">
        <w:rPr>
          <w:rFonts w:ascii="Times New Roman" w:hAnsi="Times New Roman" w:cs="Times New Roman" w:hint="eastAsia"/>
          <w:sz w:val="28"/>
          <w:szCs w:val="28"/>
        </w:rPr>
        <w:t>AAAA</w:t>
      </w:r>
      <w:r w:rsidR="004F3AC8" w:rsidRPr="004F3AC8">
        <w:rPr>
          <w:rFonts w:ascii="Times New Roman" w:hAnsi="Times New Roman" w:cs="Times New Roman" w:hint="eastAsia"/>
          <w:sz w:val="28"/>
          <w:szCs w:val="28"/>
        </w:rPr>
        <w:t>级”，特优级可标注“</w:t>
      </w:r>
      <w:r w:rsidR="004F3AC8" w:rsidRPr="004F3AC8">
        <w:rPr>
          <w:rFonts w:ascii="Times New Roman" w:hAnsi="Times New Roman" w:cs="Times New Roman" w:hint="eastAsia"/>
          <w:sz w:val="28"/>
          <w:szCs w:val="28"/>
        </w:rPr>
        <w:t>AAAAA</w:t>
      </w:r>
      <w:r w:rsidR="004F3AC8" w:rsidRPr="004F3AC8">
        <w:rPr>
          <w:rFonts w:ascii="Times New Roman" w:hAnsi="Times New Roman" w:cs="Times New Roman" w:hint="eastAsia"/>
          <w:sz w:val="28"/>
          <w:szCs w:val="28"/>
        </w:rPr>
        <w:t>级”</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六</w:t>
      </w:r>
      <w:r w:rsidRPr="004F3AC8">
        <w:rPr>
          <w:rFonts w:ascii="Times New Roman" w:eastAsia="仿宋_GB2312" w:hAnsi="Times New Roman" w:cs="Times New Roman"/>
          <w:b/>
          <w:kern w:val="44"/>
          <w:sz w:val="28"/>
          <w:szCs w:val="28"/>
        </w:rPr>
        <w:t>、与国内其它法律、法规的关系</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制定本文件时依据并引用了国内有关现行有效的文件，也不违背国内其它行业标准、法律、法规及强制性</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的有关规定。</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七</w:t>
      </w:r>
      <w:r w:rsidRPr="004F3AC8">
        <w:rPr>
          <w:rFonts w:ascii="Times New Roman" w:eastAsia="仿宋_GB2312" w:hAnsi="Times New Roman" w:cs="Times New Roman"/>
          <w:b/>
          <w:kern w:val="44"/>
          <w:sz w:val="28"/>
          <w:szCs w:val="28"/>
        </w:rPr>
        <w:t>、文件属性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本文件属于</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团体标准。</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八</w:t>
      </w:r>
      <w:r w:rsidRPr="004F3AC8">
        <w:rPr>
          <w:rFonts w:ascii="Times New Roman" w:eastAsia="仿宋_GB2312" w:hAnsi="Times New Roman" w:cs="Times New Roman"/>
          <w:b/>
          <w:kern w:val="44"/>
          <w:sz w:val="28"/>
          <w:szCs w:val="28"/>
        </w:rPr>
        <w:t>、文件水平及预期效果</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该</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的制定</w:t>
      </w:r>
      <w:r w:rsidRPr="004F3AC8">
        <w:rPr>
          <w:rFonts w:ascii="Times New Roman" w:hAnsi="Times New Roman" w:cs="Times New Roman" w:hint="eastAsia"/>
          <w:sz w:val="28"/>
          <w:szCs w:val="28"/>
        </w:rPr>
        <w:t>能有效</w:t>
      </w:r>
      <w:r w:rsidRPr="004F3AC8">
        <w:rPr>
          <w:rFonts w:ascii="Times New Roman" w:hAnsi="Times New Roman" w:cs="Times New Roman"/>
          <w:sz w:val="28"/>
          <w:szCs w:val="28"/>
        </w:rPr>
        <w:t>规范</w:t>
      </w:r>
      <w:r w:rsidR="00D21634">
        <w:rPr>
          <w:rFonts w:ascii="Times New Roman" w:hAnsi="Times New Roman" w:cs="Times New Roman" w:hint="eastAsia"/>
          <w:sz w:val="28"/>
          <w:szCs w:val="28"/>
        </w:rPr>
        <w:t>碳素结构钢和低合金结构钢钢板</w:t>
      </w:r>
      <w:r w:rsidRPr="004F3AC8">
        <w:rPr>
          <w:rFonts w:ascii="Times New Roman" w:hAnsi="Times New Roman" w:cs="Times New Roman" w:hint="eastAsia"/>
          <w:sz w:val="28"/>
          <w:szCs w:val="28"/>
        </w:rPr>
        <w:t>产品质量分等分级和评价</w:t>
      </w:r>
      <w:r w:rsidRPr="004F3AC8">
        <w:rPr>
          <w:rFonts w:ascii="Times New Roman" w:hAnsi="Times New Roman" w:cs="Times New Roman"/>
          <w:sz w:val="28"/>
          <w:szCs w:val="28"/>
        </w:rPr>
        <w:t>工作</w:t>
      </w:r>
      <w:r w:rsidRPr="004F3AC8">
        <w:rPr>
          <w:rFonts w:ascii="Times New Roman" w:hAnsi="Times New Roman" w:cs="Times New Roman" w:hint="eastAsia"/>
          <w:sz w:val="28"/>
          <w:szCs w:val="28"/>
        </w:rPr>
        <w:t>，对</w:t>
      </w:r>
      <w:r w:rsidR="00D21634">
        <w:rPr>
          <w:rFonts w:ascii="Times New Roman" w:hAnsi="Times New Roman" w:cs="Times New Roman" w:hint="eastAsia"/>
          <w:sz w:val="28"/>
          <w:szCs w:val="28"/>
        </w:rPr>
        <w:t>碳素结构钢和低合金结构钢钢板</w:t>
      </w:r>
      <w:r w:rsidRPr="004F3AC8">
        <w:rPr>
          <w:rFonts w:ascii="Times New Roman" w:hAnsi="Times New Roman" w:cs="Times New Roman" w:hint="eastAsia"/>
          <w:sz w:val="28"/>
          <w:szCs w:val="28"/>
        </w:rPr>
        <w:t>产品质量等级评价和规范</w:t>
      </w:r>
      <w:r w:rsidRPr="004F3AC8">
        <w:rPr>
          <w:rFonts w:ascii="Times New Roman" w:hAnsi="Times New Roman" w:cs="Times New Roman"/>
          <w:sz w:val="28"/>
          <w:szCs w:val="28"/>
        </w:rPr>
        <w:t>生产</w:t>
      </w:r>
      <w:r w:rsidRPr="004F3AC8">
        <w:rPr>
          <w:rFonts w:ascii="Times New Roman" w:hAnsi="Times New Roman" w:cs="Times New Roman" w:hint="eastAsia"/>
          <w:sz w:val="28"/>
          <w:szCs w:val="28"/>
        </w:rPr>
        <w:t>销售具有</w:t>
      </w:r>
      <w:r w:rsidRPr="004F3AC8">
        <w:rPr>
          <w:rFonts w:ascii="Times New Roman" w:hAnsi="Times New Roman" w:cs="Times New Roman"/>
          <w:sz w:val="28"/>
          <w:szCs w:val="28"/>
        </w:rPr>
        <w:t>重要意义。</w:t>
      </w:r>
      <w:r w:rsidRPr="004F3AC8">
        <w:rPr>
          <w:rFonts w:ascii="Times New Roman" w:hAnsi="Times New Roman" w:cs="Times New Roman" w:hint="eastAsia"/>
          <w:sz w:val="28"/>
          <w:szCs w:val="28"/>
        </w:rPr>
        <w:t>同时该文件对产品的</w:t>
      </w:r>
      <w:r w:rsidRPr="004F3AC8">
        <w:rPr>
          <w:rFonts w:ascii="Times New Roman" w:hAnsi="Times New Roman" w:cs="Times New Roman"/>
          <w:sz w:val="28"/>
          <w:szCs w:val="28"/>
        </w:rPr>
        <w:t>质量提升具有</w:t>
      </w:r>
      <w:r w:rsidRPr="004F3AC8">
        <w:rPr>
          <w:rFonts w:ascii="Times New Roman" w:hAnsi="Times New Roman" w:cs="Times New Roman" w:hint="eastAsia"/>
          <w:sz w:val="28"/>
          <w:szCs w:val="28"/>
        </w:rPr>
        <w:t>意义，有利于促进生产企业和</w:t>
      </w:r>
      <w:r w:rsidRPr="004F3AC8">
        <w:rPr>
          <w:rFonts w:ascii="Times New Roman" w:hAnsi="Times New Roman" w:cs="Times New Roman"/>
          <w:sz w:val="28"/>
          <w:szCs w:val="28"/>
        </w:rPr>
        <w:t>下游用户关注产品质量</w:t>
      </w:r>
      <w:r w:rsidRPr="004F3AC8">
        <w:rPr>
          <w:rFonts w:ascii="Times New Roman" w:hAnsi="Times New Roman" w:cs="Times New Roman" w:hint="eastAsia"/>
          <w:sz w:val="28"/>
          <w:szCs w:val="28"/>
        </w:rPr>
        <w:t>，促进</w:t>
      </w:r>
      <w:r w:rsidRPr="004F3AC8">
        <w:rPr>
          <w:rFonts w:ascii="Times New Roman" w:hAnsi="Times New Roman" w:cs="Times New Roman"/>
          <w:sz w:val="28"/>
          <w:szCs w:val="28"/>
        </w:rPr>
        <w:t>产品实现优质优价</w:t>
      </w:r>
      <w:r w:rsidRPr="004F3AC8">
        <w:rPr>
          <w:rFonts w:ascii="Times New Roman" w:hAnsi="Times New Roman" w:cs="Times New Roman" w:hint="eastAsia"/>
          <w:sz w:val="28"/>
          <w:szCs w:val="28"/>
        </w:rPr>
        <w:t>，</w:t>
      </w:r>
      <w:r w:rsidRPr="004F3AC8">
        <w:rPr>
          <w:rFonts w:ascii="Times New Roman" w:hAnsi="Times New Roman" w:cs="Times New Roman"/>
          <w:sz w:val="28"/>
          <w:szCs w:val="28"/>
        </w:rPr>
        <w:t>促进行业健康发展</w:t>
      </w:r>
      <w:r w:rsidRPr="004F3AC8">
        <w:rPr>
          <w:rFonts w:ascii="Times New Roman" w:hAnsi="Times New Roman" w:cs="Times New Roman" w:hint="eastAsia"/>
          <w:sz w:val="28"/>
          <w:szCs w:val="28"/>
        </w:rPr>
        <w:t>，体现团体标准的引领作用</w:t>
      </w:r>
      <w:r w:rsidRPr="004F3AC8">
        <w:rPr>
          <w:rFonts w:ascii="Times New Roman" w:hAnsi="Times New Roman" w:cs="Times New Roman"/>
          <w:sz w:val="28"/>
          <w:szCs w:val="28"/>
        </w:rPr>
        <w:t>。</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九</w:t>
      </w:r>
      <w:r w:rsidRPr="004F3AC8">
        <w:rPr>
          <w:rFonts w:ascii="Times New Roman" w:eastAsia="仿宋_GB2312" w:hAnsi="Times New Roman" w:cs="Times New Roman"/>
          <w:b/>
          <w:kern w:val="44"/>
          <w:sz w:val="28"/>
          <w:szCs w:val="28"/>
        </w:rPr>
        <w:t>、贯彻要求及建议</w:t>
      </w:r>
    </w:p>
    <w:p w:rsidR="00AC318C"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归口单位为中国</w:t>
      </w:r>
      <w:r w:rsidRPr="004F3AC8">
        <w:rPr>
          <w:rFonts w:ascii="Times New Roman" w:hAnsi="Times New Roman" w:cs="Times New Roman" w:hint="eastAsia"/>
          <w:sz w:val="28"/>
          <w:szCs w:val="28"/>
        </w:rPr>
        <w:t>特钢企业协会</w:t>
      </w:r>
      <w:r w:rsidRPr="004F3AC8">
        <w:rPr>
          <w:rFonts w:ascii="Times New Roman" w:hAnsi="Times New Roman" w:cs="Times New Roman"/>
          <w:sz w:val="28"/>
          <w:szCs w:val="28"/>
        </w:rPr>
        <w:t>，经过审定报批后，</w:t>
      </w:r>
      <w:r w:rsidRPr="004F3AC8">
        <w:rPr>
          <w:rFonts w:ascii="Times New Roman" w:hAnsi="Times New Roman" w:cs="Times New Roman" w:hint="eastAsia"/>
          <w:sz w:val="28"/>
          <w:szCs w:val="28"/>
        </w:rPr>
        <w:t>由中国特钢企业协会发布</w:t>
      </w:r>
      <w:r w:rsidRPr="004F3AC8">
        <w:rPr>
          <w:rFonts w:ascii="Times New Roman" w:hAnsi="Times New Roman" w:cs="Times New Roman"/>
          <w:sz w:val="28"/>
          <w:szCs w:val="28"/>
        </w:rPr>
        <w:t>。建议在</w:t>
      </w:r>
      <w:r w:rsidR="00D21634">
        <w:rPr>
          <w:rFonts w:ascii="Times New Roman" w:hAnsi="Times New Roman" w:cs="Times New Roman" w:hint="eastAsia"/>
          <w:sz w:val="28"/>
          <w:szCs w:val="28"/>
        </w:rPr>
        <w:t>碳素结构钢和低合金结构钢钢板</w:t>
      </w:r>
      <w:r w:rsidRPr="004F3AC8">
        <w:rPr>
          <w:rFonts w:ascii="Times New Roman" w:hAnsi="Times New Roman" w:cs="Times New Roman" w:hint="eastAsia"/>
          <w:sz w:val="28"/>
          <w:szCs w:val="28"/>
        </w:rPr>
        <w:t>产品的生产</w:t>
      </w:r>
      <w:r w:rsidRPr="004F3AC8">
        <w:rPr>
          <w:rFonts w:ascii="Times New Roman" w:hAnsi="Times New Roman" w:cs="Times New Roman"/>
          <w:sz w:val="28"/>
          <w:szCs w:val="28"/>
        </w:rPr>
        <w:t>、贸易</w:t>
      </w:r>
      <w:r w:rsidRPr="004F3AC8">
        <w:rPr>
          <w:rFonts w:ascii="Times New Roman" w:hAnsi="Times New Roman" w:cs="Times New Roman" w:hint="eastAsia"/>
          <w:sz w:val="28"/>
          <w:szCs w:val="28"/>
        </w:rPr>
        <w:t>、应用、</w:t>
      </w:r>
      <w:r w:rsidRPr="004F3AC8">
        <w:rPr>
          <w:rFonts w:ascii="Times New Roman" w:hAnsi="Times New Roman" w:cs="Times New Roman"/>
          <w:sz w:val="28"/>
          <w:szCs w:val="28"/>
        </w:rPr>
        <w:t>检测评价机构</w:t>
      </w:r>
      <w:r w:rsidRPr="004F3AC8">
        <w:rPr>
          <w:rFonts w:ascii="Times New Roman" w:hAnsi="Times New Roman" w:cs="Times New Roman" w:hint="eastAsia"/>
          <w:sz w:val="28"/>
          <w:szCs w:val="28"/>
        </w:rPr>
        <w:t>等相关</w:t>
      </w:r>
      <w:r w:rsidRPr="004F3AC8">
        <w:rPr>
          <w:rFonts w:ascii="Times New Roman" w:hAnsi="Times New Roman" w:cs="Times New Roman"/>
          <w:sz w:val="28"/>
          <w:szCs w:val="28"/>
        </w:rPr>
        <w:t>单位进行宣贯执行。</w:t>
      </w:r>
    </w:p>
    <w:sectPr w:rsidR="00AC318C" w:rsidRPr="004F3A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94C" w:rsidRDefault="0052694C">
      <w:pPr>
        <w:spacing w:line="240" w:lineRule="auto"/>
        <w:ind w:firstLine="640"/>
      </w:pPr>
      <w:r>
        <w:separator/>
      </w:r>
    </w:p>
  </w:endnote>
  <w:endnote w:type="continuationSeparator" w:id="0">
    <w:p w:rsidR="0052694C" w:rsidRDefault="0052694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94C" w:rsidRDefault="0052694C">
      <w:pPr>
        <w:ind w:firstLine="640"/>
      </w:pPr>
      <w:r>
        <w:separator/>
      </w:r>
    </w:p>
  </w:footnote>
  <w:footnote w:type="continuationSeparator" w:id="0">
    <w:p w:rsidR="0052694C" w:rsidRDefault="0052694C">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Pr="00C63BD1" w:rsidRDefault="00AC318C" w:rsidP="00C63BD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A466B"/>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48D7"/>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3AC8"/>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4C"/>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1372"/>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25A4"/>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3458"/>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4848"/>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120"/>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45AA7"/>
    <w:rsid w:val="00850748"/>
    <w:rsid w:val="00851CB1"/>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27C"/>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2C23"/>
    <w:rsid w:val="00A551AD"/>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18C"/>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5D4A"/>
    <w:rsid w:val="00BA78C3"/>
    <w:rsid w:val="00BB3EEA"/>
    <w:rsid w:val="00BB76C9"/>
    <w:rsid w:val="00BB7CA0"/>
    <w:rsid w:val="00BC1E7F"/>
    <w:rsid w:val="00BC1F23"/>
    <w:rsid w:val="00BC63D0"/>
    <w:rsid w:val="00BC7D72"/>
    <w:rsid w:val="00BD3394"/>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3BD1"/>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1634"/>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D24"/>
    <w:rsid w:val="00FA58D8"/>
    <w:rsid w:val="00FA5CB7"/>
    <w:rsid w:val="00FA6A32"/>
    <w:rsid w:val="00FA793F"/>
    <w:rsid w:val="00FA7C2E"/>
    <w:rsid w:val="00FB07FC"/>
    <w:rsid w:val="00FB1888"/>
    <w:rsid w:val="00FB260B"/>
    <w:rsid w:val="00FB3AB1"/>
    <w:rsid w:val="00FB42A5"/>
    <w:rsid w:val="00FB4F70"/>
    <w:rsid w:val="00FB5819"/>
    <w:rsid w:val="00FB7DEC"/>
    <w:rsid w:val="00FC088D"/>
    <w:rsid w:val="00FC2610"/>
    <w:rsid w:val="00FC4AF2"/>
    <w:rsid w:val="00FC6DF5"/>
    <w:rsid w:val="00FD0B9D"/>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6A4242"/>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4B5210"/>
    <w:rsid w:val="0A3E26FC"/>
    <w:rsid w:val="0AD9642E"/>
    <w:rsid w:val="0B52548A"/>
    <w:rsid w:val="0B8E390A"/>
    <w:rsid w:val="0B9F4D98"/>
    <w:rsid w:val="0BCD7581"/>
    <w:rsid w:val="0C050D8B"/>
    <w:rsid w:val="0C301086"/>
    <w:rsid w:val="0C355509"/>
    <w:rsid w:val="0C6467C6"/>
    <w:rsid w:val="0CEF091E"/>
    <w:rsid w:val="0CFC55E5"/>
    <w:rsid w:val="0F6D1551"/>
    <w:rsid w:val="10FB18C2"/>
    <w:rsid w:val="112334B2"/>
    <w:rsid w:val="11454BE8"/>
    <w:rsid w:val="11A80A94"/>
    <w:rsid w:val="134E3BB4"/>
    <w:rsid w:val="139410FF"/>
    <w:rsid w:val="13DD0093"/>
    <w:rsid w:val="156C5DB0"/>
    <w:rsid w:val="158D359A"/>
    <w:rsid w:val="158E06CA"/>
    <w:rsid w:val="16AA5406"/>
    <w:rsid w:val="16F151C5"/>
    <w:rsid w:val="19BB66E2"/>
    <w:rsid w:val="19DF121F"/>
    <w:rsid w:val="1A017313"/>
    <w:rsid w:val="1A0F4EFC"/>
    <w:rsid w:val="1AE05AFE"/>
    <w:rsid w:val="1C186AEB"/>
    <w:rsid w:val="1C5D3FA3"/>
    <w:rsid w:val="1CA64CB7"/>
    <w:rsid w:val="1CC246D4"/>
    <w:rsid w:val="1CEB0F2C"/>
    <w:rsid w:val="1D433C58"/>
    <w:rsid w:val="1D856F7B"/>
    <w:rsid w:val="1D8D13E7"/>
    <w:rsid w:val="1E5329A4"/>
    <w:rsid w:val="1E590BA1"/>
    <w:rsid w:val="1E8C53F8"/>
    <w:rsid w:val="1EA6157D"/>
    <w:rsid w:val="1EBF365E"/>
    <w:rsid w:val="21BF051C"/>
    <w:rsid w:val="220F1AA2"/>
    <w:rsid w:val="22592F43"/>
    <w:rsid w:val="2356208B"/>
    <w:rsid w:val="24351E83"/>
    <w:rsid w:val="24F51056"/>
    <w:rsid w:val="252817C0"/>
    <w:rsid w:val="25826007"/>
    <w:rsid w:val="26716FE8"/>
    <w:rsid w:val="268A4F91"/>
    <w:rsid w:val="273D640D"/>
    <w:rsid w:val="27B6088C"/>
    <w:rsid w:val="27F33BD1"/>
    <w:rsid w:val="28240F1D"/>
    <w:rsid w:val="290A162E"/>
    <w:rsid w:val="29E0762F"/>
    <w:rsid w:val="2A16263A"/>
    <w:rsid w:val="2A203897"/>
    <w:rsid w:val="2AB85420"/>
    <w:rsid w:val="2AE658B3"/>
    <w:rsid w:val="2B4523C6"/>
    <w:rsid w:val="2C8E22B8"/>
    <w:rsid w:val="2C967788"/>
    <w:rsid w:val="2CFC2547"/>
    <w:rsid w:val="2D8812A4"/>
    <w:rsid w:val="2D8B22E9"/>
    <w:rsid w:val="2D9A7884"/>
    <w:rsid w:val="2DAF5414"/>
    <w:rsid w:val="2DBC4B62"/>
    <w:rsid w:val="2E446561"/>
    <w:rsid w:val="2E992820"/>
    <w:rsid w:val="2F2C7D49"/>
    <w:rsid w:val="2F3B0E8D"/>
    <w:rsid w:val="2FA70FC9"/>
    <w:rsid w:val="300E4E3D"/>
    <w:rsid w:val="314B6A1C"/>
    <w:rsid w:val="31717D48"/>
    <w:rsid w:val="31DC0908"/>
    <w:rsid w:val="322C2919"/>
    <w:rsid w:val="327C421C"/>
    <w:rsid w:val="32CF6089"/>
    <w:rsid w:val="32E064BC"/>
    <w:rsid w:val="335A778C"/>
    <w:rsid w:val="336C27C6"/>
    <w:rsid w:val="340D4DA1"/>
    <w:rsid w:val="34685552"/>
    <w:rsid w:val="350767DC"/>
    <w:rsid w:val="350864AC"/>
    <w:rsid w:val="366E20FD"/>
    <w:rsid w:val="371645EB"/>
    <w:rsid w:val="388050CF"/>
    <w:rsid w:val="388741D3"/>
    <w:rsid w:val="39AA2F7F"/>
    <w:rsid w:val="3A1838AE"/>
    <w:rsid w:val="3AA045FD"/>
    <w:rsid w:val="3AC246FE"/>
    <w:rsid w:val="3CD3362E"/>
    <w:rsid w:val="3CEA0579"/>
    <w:rsid w:val="3D2E6B3B"/>
    <w:rsid w:val="3D845E3F"/>
    <w:rsid w:val="3DAE6772"/>
    <w:rsid w:val="3E64673C"/>
    <w:rsid w:val="3E860F10"/>
    <w:rsid w:val="3EFF0669"/>
    <w:rsid w:val="3FD46A12"/>
    <w:rsid w:val="401B3E09"/>
    <w:rsid w:val="402674E6"/>
    <w:rsid w:val="41C0188D"/>
    <w:rsid w:val="41C07145"/>
    <w:rsid w:val="420E74B0"/>
    <w:rsid w:val="421D6C07"/>
    <w:rsid w:val="422F7B7B"/>
    <w:rsid w:val="42F265E0"/>
    <w:rsid w:val="43FF7F26"/>
    <w:rsid w:val="44243511"/>
    <w:rsid w:val="455D3AF9"/>
    <w:rsid w:val="45FF5777"/>
    <w:rsid w:val="47832184"/>
    <w:rsid w:val="47EC2027"/>
    <w:rsid w:val="48090121"/>
    <w:rsid w:val="48517835"/>
    <w:rsid w:val="491F66A5"/>
    <w:rsid w:val="49953679"/>
    <w:rsid w:val="4A0A33B3"/>
    <w:rsid w:val="4A0B4BD6"/>
    <w:rsid w:val="4A400C02"/>
    <w:rsid w:val="4BFF46EB"/>
    <w:rsid w:val="4C2D1849"/>
    <w:rsid w:val="4D4D29C6"/>
    <w:rsid w:val="4DA931EB"/>
    <w:rsid w:val="4EF3144E"/>
    <w:rsid w:val="4FD4695C"/>
    <w:rsid w:val="4FDD001E"/>
    <w:rsid w:val="50074DB1"/>
    <w:rsid w:val="50646E22"/>
    <w:rsid w:val="507B2078"/>
    <w:rsid w:val="50AF20B7"/>
    <w:rsid w:val="50D057FB"/>
    <w:rsid w:val="512122FA"/>
    <w:rsid w:val="52C41A12"/>
    <w:rsid w:val="53080939"/>
    <w:rsid w:val="540C1746"/>
    <w:rsid w:val="547E1EA8"/>
    <w:rsid w:val="54A96125"/>
    <w:rsid w:val="54DD0834"/>
    <w:rsid w:val="54E678E0"/>
    <w:rsid w:val="54F9767B"/>
    <w:rsid w:val="552D2F4B"/>
    <w:rsid w:val="555A678D"/>
    <w:rsid w:val="557916B4"/>
    <w:rsid w:val="55FC2059"/>
    <w:rsid w:val="564E5574"/>
    <w:rsid w:val="56712946"/>
    <w:rsid w:val="56804E61"/>
    <w:rsid w:val="57522239"/>
    <w:rsid w:val="5768210B"/>
    <w:rsid w:val="57CA7597"/>
    <w:rsid w:val="57F771B9"/>
    <w:rsid w:val="583D4408"/>
    <w:rsid w:val="58462E6A"/>
    <w:rsid w:val="58515FAC"/>
    <w:rsid w:val="58AC11CA"/>
    <w:rsid w:val="591D17EE"/>
    <w:rsid w:val="593B07D8"/>
    <w:rsid w:val="5957590F"/>
    <w:rsid w:val="59C20CE0"/>
    <w:rsid w:val="59F07EB3"/>
    <w:rsid w:val="5AF410FB"/>
    <w:rsid w:val="5B7B1939"/>
    <w:rsid w:val="5BA65FC6"/>
    <w:rsid w:val="5BC12768"/>
    <w:rsid w:val="5C114C5F"/>
    <w:rsid w:val="5CE34F37"/>
    <w:rsid w:val="5D5C411F"/>
    <w:rsid w:val="5D6E6A93"/>
    <w:rsid w:val="5D871A10"/>
    <w:rsid w:val="5E2042D5"/>
    <w:rsid w:val="5E3462EB"/>
    <w:rsid w:val="5E442B56"/>
    <w:rsid w:val="5E840B5B"/>
    <w:rsid w:val="5EB07780"/>
    <w:rsid w:val="5EDB3E71"/>
    <w:rsid w:val="5F7101A2"/>
    <w:rsid w:val="5FDD3307"/>
    <w:rsid w:val="60164E79"/>
    <w:rsid w:val="60F666A9"/>
    <w:rsid w:val="61532D24"/>
    <w:rsid w:val="615D1744"/>
    <w:rsid w:val="61FB3BAD"/>
    <w:rsid w:val="62332990"/>
    <w:rsid w:val="62FC2FFD"/>
    <w:rsid w:val="630C42D5"/>
    <w:rsid w:val="637B778C"/>
    <w:rsid w:val="644F0457"/>
    <w:rsid w:val="64AF0BB7"/>
    <w:rsid w:val="64EB18ED"/>
    <w:rsid w:val="65C732D9"/>
    <w:rsid w:val="66511D7F"/>
    <w:rsid w:val="67245C40"/>
    <w:rsid w:val="67487E87"/>
    <w:rsid w:val="67AF59F5"/>
    <w:rsid w:val="6A4B1902"/>
    <w:rsid w:val="6AA74529"/>
    <w:rsid w:val="6AC137B3"/>
    <w:rsid w:val="6AEE6971"/>
    <w:rsid w:val="6AF36141"/>
    <w:rsid w:val="6D091DAB"/>
    <w:rsid w:val="6D107649"/>
    <w:rsid w:val="6D1628D6"/>
    <w:rsid w:val="6D577891"/>
    <w:rsid w:val="6D6D5048"/>
    <w:rsid w:val="6DDC178D"/>
    <w:rsid w:val="6EC07D41"/>
    <w:rsid w:val="6EF8526B"/>
    <w:rsid w:val="6F712C50"/>
    <w:rsid w:val="6FC32EA6"/>
    <w:rsid w:val="6FCC398B"/>
    <w:rsid w:val="6FE56A35"/>
    <w:rsid w:val="72B30AD0"/>
    <w:rsid w:val="72FC0F56"/>
    <w:rsid w:val="738E3645"/>
    <w:rsid w:val="73952D92"/>
    <w:rsid w:val="73E76502"/>
    <w:rsid w:val="743B0A5B"/>
    <w:rsid w:val="74480AA6"/>
    <w:rsid w:val="76202410"/>
    <w:rsid w:val="77E72D1B"/>
    <w:rsid w:val="781227C7"/>
    <w:rsid w:val="78895FA2"/>
    <w:rsid w:val="78CA240C"/>
    <w:rsid w:val="798E03C5"/>
    <w:rsid w:val="799B6611"/>
    <w:rsid w:val="79AB6234"/>
    <w:rsid w:val="7A261261"/>
    <w:rsid w:val="7AD76D1F"/>
    <w:rsid w:val="7B4F5E0F"/>
    <w:rsid w:val="7CA1240F"/>
    <w:rsid w:val="7D8C6A5C"/>
    <w:rsid w:val="7DBC62B5"/>
    <w:rsid w:val="7DEF58B3"/>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0469C-2E52-4C44-8EB8-D7C87500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Char"/>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c">
    <w:name w:val="annotation text"/>
    <w:basedOn w:val="a7"/>
    <w:unhideWhenUsed/>
    <w:qFormat/>
    <w:pPr>
      <w:jc w:val="left"/>
    </w:pPr>
  </w:style>
  <w:style w:type="paragraph" w:styleId="ad">
    <w:name w:val="Date"/>
    <w:basedOn w:val="a7"/>
    <w:next w:val="a7"/>
    <w:link w:val="Char0"/>
    <w:qFormat/>
    <w:pPr>
      <w:ind w:leftChars="2500" w:left="100"/>
    </w:pPr>
  </w:style>
  <w:style w:type="paragraph" w:styleId="20">
    <w:name w:val="Body Text Indent 2"/>
    <w:basedOn w:val="a7"/>
    <w:link w:val="2Char0"/>
    <w:qFormat/>
    <w:pPr>
      <w:ind w:firstLineChars="0" w:firstLine="480"/>
    </w:pPr>
    <w:rPr>
      <w:rFonts w:ascii="Times New Roman" w:eastAsia="宋体" w:hAnsi="Times New Roman" w:cs="Times New Roman"/>
      <w:b/>
      <w:sz w:val="24"/>
      <w:szCs w:val="20"/>
    </w:rPr>
  </w:style>
  <w:style w:type="paragraph" w:styleId="ae">
    <w:name w:val="endnote text"/>
    <w:basedOn w:val="a7"/>
    <w:link w:val="Char1"/>
    <w:qFormat/>
    <w:pPr>
      <w:snapToGrid w:val="0"/>
      <w:spacing w:line="240" w:lineRule="auto"/>
      <w:ind w:firstLineChars="0" w:firstLine="0"/>
      <w:jc w:val="left"/>
    </w:pPr>
    <w:rPr>
      <w:rFonts w:ascii="Times New Roman" w:eastAsia="宋体" w:hAnsi="Times New Roman" w:cs="Times New Roman"/>
      <w:sz w:val="21"/>
      <w:szCs w:val="24"/>
    </w:rPr>
  </w:style>
  <w:style w:type="paragraph" w:styleId="af">
    <w:name w:val="Balloon Text"/>
    <w:basedOn w:val="a7"/>
    <w:link w:val="Char2"/>
    <w:semiHidden/>
    <w:unhideWhenUsed/>
    <w:qFormat/>
    <w:pPr>
      <w:spacing w:line="240" w:lineRule="auto"/>
    </w:pPr>
    <w:rPr>
      <w:sz w:val="18"/>
      <w:szCs w:val="18"/>
    </w:rPr>
  </w:style>
  <w:style w:type="paragraph" w:styleId="af0">
    <w:name w:val="footer"/>
    <w:basedOn w:val="a7"/>
    <w:link w:val="Char3"/>
    <w:unhideWhenUsed/>
    <w:qFormat/>
    <w:pPr>
      <w:tabs>
        <w:tab w:val="center" w:pos="4153"/>
        <w:tab w:val="right" w:pos="8306"/>
      </w:tabs>
      <w:snapToGrid w:val="0"/>
      <w:spacing w:line="240" w:lineRule="auto"/>
      <w:jc w:val="left"/>
    </w:pPr>
    <w:rPr>
      <w:sz w:val="18"/>
      <w:szCs w:val="18"/>
    </w:rPr>
  </w:style>
  <w:style w:type="paragraph" w:styleId="af1">
    <w:name w:val="header"/>
    <w:basedOn w:val="a7"/>
    <w:link w:val="Char4"/>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7"/>
    <w:next w:val="a7"/>
    <w:semiHidden/>
    <w:qFormat/>
    <w:pPr>
      <w:tabs>
        <w:tab w:val="right" w:leader="dot" w:pos="9242"/>
      </w:tabs>
      <w:spacing w:beforeLines="25" w:afterLines="25"/>
      <w:jc w:val="left"/>
    </w:pPr>
    <w:rPr>
      <w:rFonts w:ascii="宋体"/>
      <w:szCs w:val="21"/>
    </w:rPr>
  </w:style>
  <w:style w:type="paragraph" w:styleId="af2">
    <w:name w:val="footnote text"/>
    <w:basedOn w:val="a7"/>
    <w:link w:val="Char5"/>
    <w:qFormat/>
    <w:pPr>
      <w:snapToGrid w:val="0"/>
      <w:spacing w:line="240" w:lineRule="auto"/>
      <w:ind w:firstLineChars="0" w:firstLine="0"/>
      <w:jc w:val="left"/>
    </w:pPr>
    <w:rPr>
      <w:rFonts w:ascii="Times New Roman" w:eastAsia="宋体" w:hAnsi="Times New Roman" w:cs="Times New Roman"/>
      <w:sz w:val="18"/>
      <w:szCs w:val="18"/>
    </w:rPr>
  </w:style>
  <w:style w:type="paragraph" w:styleId="af3">
    <w:name w:val="Normal (Web)"/>
    <w:basedOn w:val="a7"/>
    <w:uiPriority w:val="99"/>
    <w:qFormat/>
    <w:pPr>
      <w:spacing w:beforeAutospacing="1" w:afterAutospacing="1"/>
      <w:jc w:val="left"/>
    </w:pPr>
    <w:rPr>
      <w:rFonts w:cs="Times New Roman"/>
      <w:kern w:val="0"/>
      <w:sz w:val="24"/>
    </w:rPr>
  </w:style>
  <w:style w:type="table" w:styleId="af4">
    <w:name w:val="Table Grid"/>
    <w:basedOn w:val="a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endnote reference"/>
    <w:basedOn w:val="a8"/>
    <w:qFormat/>
    <w:rPr>
      <w:vertAlign w:val="superscript"/>
    </w:rPr>
  </w:style>
  <w:style w:type="character" w:styleId="af6">
    <w:name w:val="Hyperlink"/>
    <w:basedOn w:val="a8"/>
    <w:uiPriority w:val="99"/>
    <w:unhideWhenUsed/>
    <w:qFormat/>
    <w:rPr>
      <w:color w:val="0000FF"/>
      <w:u w:val="single"/>
    </w:rPr>
  </w:style>
  <w:style w:type="character" w:styleId="af7">
    <w:name w:val="annotation reference"/>
    <w:basedOn w:val="a8"/>
    <w:semiHidden/>
    <w:unhideWhenUsed/>
    <w:qFormat/>
    <w:rPr>
      <w:sz w:val="21"/>
      <w:szCs w:val="21"/>
    </w:rPr>
  </w:style>
  <w:style w:type="character" w:styleId="af8">
    <w:name w:val="footnote reference"/>
    <w:basedOn w:val="a8"/>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9">
    <w:name w:val="段"/>
    <w:link w:val="Char6"/>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9"/>
    <w:link w:val="Char7"/>
    <w:uiPriority w:val="99"/>
    <w:qFormat/>
    <w:pPr>
      <w:numPr>
        <w:numId w:val="1"/>
      </w:numPr>
      <w:spacing w:beforeLines="100" w:afterLines="100"/>
      <w:jc w:val="both"/>
      <w:outlineLvl w:val="1"/>
    </w:pPr>
    <w:rPr>
      <w:rFonts w:ascii="黑体" w:eastAsia="黑体" w:hAnsi="Times New Roman"/>
      <w:sz w:val="21"/>
    </w:rPr>
  </w:style>
  <w:style w:type="character" w:customStyle="1" w:styleId="Char4">
    <w:name w:val="页眉 Char"/>
    <w:basedOn w:val="a8"/>
    <w:link w:val="af1"/>
    <w:qFormat/>
    <w:rPr>
      <w:rFonts w:asciiTheme="minorHAnsi" w:eastAsia="仿宋" w:hAnsiTheme="minorHAnsi" w:cstheme="minorBidi"/>
      <w:kern w:val="2"/>
      <w:sz w:val="18"/>
      <w:szCs w:val="18"/>
    </w:rPr>
  </w:style>
  <w:style w:type="character" w:customStyle="1" w:styleId="Char3">
    <w:name w:val="页脚 Char"/>
    <w:basedOn w:val="a8"/>
    <w:link w:val="af0"/>
    <w:qFormat/>
    <w:rPr>
      <w:rFonts w:asciiTheme="minorHAnsi" w:eastAsia="仿宋" w:hAnsiTheme="minorHAnsi" w:cstheme="minorBidi"/>
      <w:kern w:val="2"/>
      <w:sz w:val="18"/>
      <w:szCs w:val="18"/>
    </w:rPr>
  </w:style>
  <w:style w:type="paragraph" w:styleId="afa">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6">
    <w:name w:val="段 Char"/>
    <w:basedOn w:val="a8"/>
    <w:link w:val="af9"/>
    <w:qFormat/>
    <w:locked/>
    <w:rPr>
      <w:rFonts w:ascii="宋体"/>
      <w:sz w:val="21"/>
    </w:rPr>
  </w:style>
  <w:style w:type="character" w:customStyle="1" w:styleId="Char8">
    <w:name w:val="一级条标题 Char"/>
    <w:link w:val="afb"/>
    <w:uiPriority w:val="99"/>
    <w:qFormat/>
    <w:locked/>
    <w:rPr>
      <w:rFonts w:ascii="黑体" w:eastAsia="黑体"/>
      <w:sz w:val="22"/>
    </w:rPr>
  </w:style>
  <w:style w:type="paragraph" w:customStyle="1" w:styleId="afb">
    <w:name w:val="一级条标题"/>
    <w:next w:val="af9"/>
    <w:link w:val="Char8"/>
    <w:uiPriority w:val="99"/>
    <w:qFormat/>
    <w:pPr>
      <w:spacing w:beforeLines="50" w:afterLines="50"/>
      <w:outlineLvl w:val="2"/>
    </w:pPr>
    <w:rPr>
      <w:rFonts w:ascii="黑体" w:eastAsia="黑体" w:hAnsi="Times New Roman"/>
      <w:sz w:val="22"/>
    </w:rPr>
  </w:style>
  <w:style w:type="paragraph" w:customStyle="1" w:styleId="afc">
    <w:name w:val="四级条标题"/>
    <w:basedOn w:val="afd"/>
    <w:next w:val="af9"/>
    <w:qFormat/>
    <w:pPr>
      <w:outlineLvl w:val="5"/>
    </w:pPr>
  </w:style>
  <w:style w:type="paragraph" w:customStyle="1" w:styleId="afd">
    <w:name w:val="三级条标题"/>
    <w:basedOn w:val="afe"/>
    <w:next w:val="af9"/>
    <w:qFormat/>
    <w:pPr>
      <w:outlineLvl w:val="4"/>
    </w:pPr>
  </w:style>
  <w:style w:type="paragraph" w:customStyle="1" w:styleId="afe">
    <w:name w:val="二级条标题"/>
    <w:basedOn w:val="afb"/>
    <w:next w:val="af9"/>
    <w:qFormat/>
    <w:pPr>
      <w:spacing w:before="50" w:after="50"/>
      <w:outlineLvl w:val="3"/>
    </w:pPr>
  </w:style>
  <w:style w:type="paragraph" w:customStyle="1" w:styleId="aff">
    <w:name w:val="五级条标题"/>
    <w:basedOn w:val="afc"/>
    <w:next w:val="af9"/>
    <w:qFormat/>
    <w:pPr>
      <w:outlineLvl w:val="6"/>
    </w:pPr>
  </w:style>
  <w:style w:type="paragraph" w:customStyle="1" w:styleId="aff0">
    <w:name w:val="正文表标题"/>
    <w:next w:val="af9"/>
    <w:qFormat/>
    <w:pPr>
      <w:spacing w:beforeLines="50" w:afterLines="50"/>
      <w:jc w:val="center"/>
    </w:pPr>
    <w:rPr>
      <w:rFonts w:ascii="黑体" w:eastAsia="黑体" w:hAnsi="Times New Roman"/>
      <w:sz w:val="21"/>
    </w:rPr>
  </w:style>
  <w:style w:type="paragraph" w:customStyle="1" w:styleId="a5">
    <w:name w:val="附录表标号"/>
    <w:basedOn w:val="a7"/>
    <w:next w:val="af9"/>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9"/>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7">
    <w:name w:val="章标题 Char"/>
    <w:link w:val="a4"/>
    <w:uiPriority w:val="99"/>
    <w:qFormat/>
    <w:locked/>
    <w:rPr>
      <w:rFonts w:ascii="黑体" w:eastAsia="黑体"/>
      <w:sz w:val="21"/>
    </w:rPr>
  </w:style>
  <w:style w:type="character" w:customStyle="1" w:styleId="Char2">
    <w:name w:val="批注框文本 Char"/>
    <w:basedOn w:val="a8"/>
    <w:link w:val="af"/>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1">
    <w:name w:val="标题 2 字符"/>
    <w:basedOn w:val="a8"/>
    <w:uiPriority w:val="9"/>
    <w:semiHidden/>
    <w:qFormat/>
    <w:rPr>
      <w:rFonts w:asciiTheme="majorHAnsi" w:eastAsiaTheme="majorEastAsia" w:hAnsiTheme="majorHAnsi" w:cstheme="majorBidi"/>
      <w:b/>
      <w:bCs/>
      <w:kern w:val="2"/>
      <w:sz w:val="32"/>
      <w:szCs w:val="32"/>
    </w:rPr>
  </w:style>
  <w:style w:type="character" w:customStyle="1" w:styleId="2Char">
    <w:name w:val="标题 2 Char"/>
    <w:basedOn w:val="a8"/>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9">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Char0">
    <w:name w:val="正文文本缩进 2 Char"/>
    <w:basedOn w:val="a8"/>
    <w:link w:val="20"/>
    <w:qFormat/>
    <w:rPr>
      <w:b/>
      <w:kern w:val="2"/>
      <w:sz w:val="24"/>
    </w:rPr>
  </w:style>
  <w:style w:type="table" w:customStyle="1" w:styleId="10">
    <w:name w:val="网格型1"/>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一级无"/>
    <w:basedOn w:val="afb"/>
    <w:qFormat/>
    <w:pPr>
      <w:spacing w:beforeLines="0" w:afterLines="0"/>
      <w:ind w:left="210"/>
    </w:pPr>
    <w:rPr>
      <w:rFonts w:ascii="宋体" w:eastAsia="宋体"/>
      <w:sz w:val="21"/>
      <w:szCs w:val="21"/>
    </w:rPr>
  </w:style>
  <w:style w:type="paragraph" w:customStyle="1" w:styleId="aff2">
    <w:name w:val="示例"/>
    <w:next w:val="a7"/>
    <w:qFormat/>
    <w:pPr>
      <w:widowControl w:val="0"/>
      <w:tabs>
        <w:tab w:val="left" w:pos="839"/>
      </w:tabs>
      <w:ind w:left="839" w:hanging="419"/>
      <w:jc w:val="both"/>
    </w:pPr>
    <w:rPr>
      <w:rFonts w:ascii="宋体" w:eastAsia="宋体" w:hAnsi="Times New Roman"/>
      <w:sz w:val="18"/>
      <w:szCs w:val="18"/>
    </w:rPr>
  </w:style>
  <w:style w:type="character" w:customStyle="1" w:styleId="Char">
    <w:name w:val="文档结构图 Char"/>
    <w:basedOn w:val="a8"/>
    <w:link w:val="ab"/>
    <w:semiHidden/>
    <w:qFormat/>
    <w:rPr>
      <w:kern w:val="2"/>
      <w:sz w:val="21"/>
      <w:szCs w:val="24"/>
      <w:shd w:val="clear" w:color="auto" w:fill="000080"/>
    </w:rPr>
  </w:style>
  <w:style w:type="paragraph" w:customStyle="1" w:styleId="aff3">
    <w:name w:val="二级无"/>
    <w:basedOn w:val="afe"/>
    <w:qFormat/>
    <w:pPr>
      <w:spacing w:beforeLines="0" w:afterLines="0"/>
    </w:pPr>
    <w:rPr>
      <w:rFonts w:ascii="宋体" w:eastAsia="宋体"/>
      <w:sz w:val="21"/>
      <w:szCs w:val="21"/>
    </w:rPr>
  </w:style>
  <w:style w:type="paragraph" w:customStyle="1" w:styleId="aff4">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5">
    <w:name w:val="尾注文本 字符"/>
    <w:basedOn w:val="a8"/>
    <w:uiPriority w:val="99"/>
    <w:semiHidden/>
    <w:qFormat/>
    <w:rPr>
      <w:rFonts w:asciiTheme="minorHAnsi" w:eastAsia="仿宋" w:hAnsiTheme="minorHAnsi" w:cstheme="minorBidi"/>
      <w:kern w:val="2"/>
      <w:sz w:val="32"/>
      <w:szCs w:val="22"/>
    </w:rPr>
  </w:style>
  <w:style w:type="character" w:customStyle="1" w:styleId="Char1">
    <w:name w:val="尾注文本 Char"/>
    <w:basedOn w:val="a8"/>
    <w:link w:val="ae"/>
    <w:qFormat/>
    <w:rPr>
      <w:kern w:val="2"/>
      <w:sz w:val="21"/>
      <w:szCs w:val="24"/>
    </w:rPr>
  </w:style>
  <w:style w:type="character" w:customStyle="1" w:styleId="aff6">
    <w:name w:val="脚注文本 字符"/>
    <w:basedOn w:val="a8"/>
    <w:uiPriority w:val="99"/>
    <w:semiHidden/>
    <w:qFormat/>
    <w:rPr>
      <w:rFonts w:asciiTheme="minorHAnsi" w:eastAsia="仿宋" w:hAnsiTheme="minorHAnsi" w:cstheme="minorBidi"/>
      <w:kern w:val="2"/>
      <w:sz w:val="18"/>
      <w:szCs w:val="18"/>
    </w:rPr>
  </w:style>
  <w:style w:type="character" w:customStyle="1" w:styleId="Char5">
    <w:name w:val="脚注文本 Char"/>
    <w:basedOn w:val="a8"/>
    <w:link w:val="af2"/>
    <w:qFormat/>
    <w:rPr>
      <w:kern w:val="2"/>
      <w:sz w:val="18"/>
      <w:szCs w:val="18"/>
    </w:rPr>
  </w:style>
  <w:style w:type="table" w:customStyle="1" w:styleId="22">
    <w:name w:val="网格型2"/>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网格型4"/>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日期 Char"/>
    <w:basedOn w:val="a8"/>
    <w:link w:val="ad"/>
    <w:qFormat/>
    <w:rPr>
      <w:rFonts w:asciiTheme="minorHAnsi" w:eastAsia="仿宋" w:hAnsiTheme="minorHAnsi" w:cstheme="minorBidi"/>
      <w:kern w:val="2"/>
      <w:sz w:val="32"/>
      <w:szCs w:val="22"/>
    </w:rPr>
  </w:style>
  <w:style w:type="table" w:customStyle="1" w:styleId="7">
    <w:name w:val="网格型7"/>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714C-CBAC-45E7-8897-7A724B58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wangzequn</cp:lastModifiedBy>
  <cp:revision>1711</cp:revision>
  <cp:lastPrinted>2018-08-29T11:18:00Z</cp:lastPrinted>
  <dcterms:created xsi:type="dcterms:W3CDTF">2018-10-16T20:29:00Z</dcterms:created>
  <dcterms:modified xsi:type="dcterms:W3CDTF">2024-04-26T02:51:00Z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5892EABC6E774A1C8DD6A06F49629E05</vt:lpwstr>
  </property>
</Properties>
</file>