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9"/>
        <w:framePr w:w="0" w:hRule="auto" w:wrap="around" w:x="1590" w:y="2356"/>
        <w:shd w:val="clear" w:color="auto" w:fill="FFFFFF" w:themeFill="background1"/>
        <w:rPr>
          <w:rFonts w:ascii="Times New Roman"/>
          <w:szCs w:val="48"/>
          <w:highlight w:val="none"/>
        </w:rPr>
      </w:pPr>
      <w:r>
        <w:rPr>
          <w:rFonts w:ascii="Times New Roman"/>
          <w:highlight w:val="none"/>
        </w:rPr>
        <w:t>团体标准</w:t>
      </w:r>
    </w:p>
    <w:p>
      <w:pPr>
        <w:pStyle w:val="70"/>
        <w:framePr w:wrap="around" w:x="1033" w:y="5955"/>
        <w:shd w:val="clear" w:color="auto" w:fill="FFFFFF" w:themeFill="background1"/>
        <w:rPr>
          <w:rFonts w:hint="eastAsia" w:ascii="Times New Roman" w:eastAsia="黑体"/>
          <w:highlight w:val="none"/>
          <w:lang w:eastAsia="zh-CN"/>
        </w:rPr>
      </w:pPr>
      <w:bookmarkStart w:id="0" w:name="OLE_LINK53"/>
      <w:r>
        <w:rPr>
          <w:rFonts w:hint="eastAsia" w:ascii="Times New Roman"/>
          <w:highlight w:val="none"/>
          <w:lang w:eastAsia="zh-CN"/>
        </w:rPr>
        <w:t>精密制冷焊管用冷</w:t>
      </w:r>
      <w:r>
        <w:rPr>
          <w:rFonts w:hint="eastAsia" w:ascii="Times New Roman"/>
          <w:highlight w:val="none"/>
          <w:lang w:val="en-US" w:eastAsia="zh-CN"/>
        </w:rPr>
        <w:t>连</w:t>
      </w:r>
      <w:r>
        <w:rPr>
          <w:rFonts w:hint="eastAsia" w:ascii="Times New Roman"/>
          <w:highlight w:val="none"/>
          <w:lang w:eastAsia="zh-CN"/>
        </w:rPr>
        <w:t>轧钢带</w:t>
      </w:r>
    </w:p>
    <w:bookmarkEnd w:id="0"/>
    <w:p>
      <w:pPr>
        <w:pStyle w:val="68"/>
        <w:framePr w:wrap="around" w:x="1033" w:y="5955"/>
        <w:shd w:val="clear" w:color="auto" w:fill="FFFFFF" w:themeFill="background1"/>
        <w:spacing w:before="156" w:after="156"/>
        <w:rPr>
          <w:rFonts w:ascii="Times New Roman"/>
          <w:highlight w:val="none"/>
        </w:rPr>
      </w:pPr>
      <w:r>
        <w:rPr>
          <w:rFonts w:hint="eastAsia" w:ascii="Times New Roman" w:eastAsia="仿宋_GB2312"/>
          <w:highlight w:val="none"/>
        </w:rPr>
        <w:t>Cold-rolled steel strip for precision welded</w:t>
      </w:r>
      <w:r>
        <w:rPr>
          <w:rFonts w:hint="eastAsia" w:ascii="Times New Roman" w:eastAsia="仿宋_GB2312"/>
          <w:highlight w:val="none"/>
          <w:lang w:val="en-US" w:eastAsia="zh-CN"/>
        </w:rPr>
        <w:t xml:space="preserve"> cooling</w:t>
      </w:r>
      <w:r>
        <w:rPr>
          <w:rFonts w:hint="eastAsia" w:ascii="Times New Roman" w:eastAsia="仿宋_GB2312"/>
          <w:highlight w:val="none"/>
        </w:rPr>
        <w:t xml:space="preserve"> tubes</w:t>
      </w:r>
      <w:r>
        <w:rPr>
          <w:rFonts w:ascii="Times New Roman" w:eastAsia="仿宋_GB2312"/>
          <w:highlight w:val="none"/>
        </w:rPr>
        <w:t xml:space="preserve"> </w:t>
      </w:r>
    </w:p>
    <w:p>
      <w:pPr>
        <w:pStyle w:val="111"/>
        <w:framePr w:wrap="around" w:hAnchor="page" w:x="1175" w:y="14086"/>
        <w:shd w:val="clear" w:color="auto" w:fill="FFFFFF" w:themeFill="background1"/>
        <w:rPr>
          <w:rFonts w:eastAsia="宋体"/>
          <w:highlight w:val="none"/>
        </w:rPr>
      </w:pPr>
      <w:bookmarkStart w:id="1" w:name="FM"/>
      <w:r>
        <w:rPr>
          <w:highlight w:val="none"/>
        </w:rPr>
        <mc:AlternateContent>
          <mc:Choice Requires="wps">
            <w:drawing>
              <wp:anchor distT="0" distB="0" distL="114300" distR="114300" simplePos="0" relativeHeight="251660288" behindDoc="1" locked="0" layoutInCell="1" allowOverlap="1">
                <wp:simplePos x="0" y="0"/>
                <wp:positionH relativeFrom="column">
                  <wp:posOffset>53340</wp:posOffset>
                </wp:positionH>
                <wp:positionV relativeFrom="paragraph">
                  <wp:posOffset>385445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4.2pt;margin-top:30.3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8y/6dQAAAAHAQAADwAAAAAAAAABACAAAAAiAAAAZHJzL2Rvd25y&#10;ZXYueG1sUEsBAhQAFAAAAAgAh07iQDwK9SbJAQAAnwMAAA4AAAAAAAAAAQAgAAAAIwEAAGRycy9l&#10;Mm9Eb2MueG1sUEsFBgAAAAAGAAYAWQEAAF4FAAAAAA==&#10;">
                <v:fill on="f" focussize="0,0"/>
                <v:stroke color="#000000" joinstyle="round"/>
                <v:imagedata o:title=""/>
                <o:lock v:ext="edit" aspectratio="f"/>
                <w10:wrap type="tight"/>
              </v:line>
            </w:pict>
          </mc:Fallback>
        </mc:AlternateContent>
      </w:r>
      <w:r>
        <w:rPr>
          <w:rFonts w:eastAsia="宋体"/>
          <w:highlight w:val="none"/>
        </w:rPr>
        <w:t>XXXX-</w:t>
      </w:r>
      <w:bookmarkEnd w:id="1"/>
      <w:r>
        <w:rPr>
          <w:rFonts w:eastAsia="宋体"/>
          <w:highlight w:val="none"/>
        </w:rPr>
        <w:t>XX-XX</w:t>
      </w:r>
      <w:r>
        <w:rPr>
          <w:highlight w:val="none"/>
        </w:rPr>
        <w:t>发布</w:t>
      </w:r>
    </w:p>
    <w:p>
      <w:pPr>
        <w:pStyle w:val="142"/>
        <w:framePr w:wrap="around" w:hAnchor="page" w:x="6661" w:y="14041"/>
        <w:shd w:val="clear" w:color="auto" w:fill="FFFFFF" w:themeFill="background1"/>
        <w:rPr>
          <w:highlight w:val="none"/>
        </w:rPr>
      </w:pPr>
      <w:r>
        <w:rPr>
          <w:rFonts w:eastAsia="宋体"/>
          <w:highlight w:val="none"/>
        </w:rPr>
        <w:t>XXXX-XX-XX</w:t>
      </w:r>
      <w:r>
        <w:rPr>
          <w:highlight w:val="none"/>
        </w:rPr>
        <w:t>实施</w:t>
      </w:r>
    </w:p>
    <w:p>
      <w:pPr>
        <w:pStyle w:val="23"/>
        <w:spacing w:line="240" w:lineRule="auto"/>
        <w:rPr>
          <w:highlight w:val="none"/>
        </w:rPr>
      </w:pPr>
      <w:r>
        <w:rPr>
          <w:highlight w:val="none"/>
        </w:rPr>
        <w:t>ICS 77.140.50</w:t>
      </w:r>
    </w:p>
    <w:p>
      <w:pPr>
        <w:pStyle w:val="23"/>
        <w:spacing w:line="240" w:lineRule="auto"/>
        <w:rPr>
          <w:highlight w:val="none"/>
        </w:rPr>
      </w:pPr>
      <w:r>
        <w:rPr>
          <w:highlight w:val="none"/>
        </w:rPr>
        <w:t>CCS H 46</w:t>
      </w:r>
    </w:p>
    <w:p>
      <w:pPr>
        <w:pStyle w:val="23"/>
        <w:spacing w:line="240" w:lineRule="auto"/>
        <w:rPr>
          <w:highlight w:val="none"/>
        </w:rPr>
      </w:pPr>
    </w:p>
    <w:p>
      <w:pPr>
        <w:pStyle w:val="80"/>
        <w:framePr w:h="2001" w:hRule="exact" w:wrap="around"/>
        <w:pBdr>
          <w:bottom w:val="single" w:color="auto" w:sz="4" w:space="1"/>
        </w:pBdr>
        <w:wordWrap w:val="0"/>
        <w:rPr>
          <w:rFonts w:hint="eastAsia" w:ascii="Times New Roman" w:eastAsia="宋体"/>
          <w:highlight w:val="none"/>
          <w:lang w:eastAsia="zh-CN"/>
        </w:rPr>
      </w:pPr>
      <w:r>
        <w:rPr>
          <w:rFonts w:ascii="Times New Roman" w:eastAsia="宋体"/>
          <w:highlight w:val="none"/>
        </w:rPr>
        <w:t xml:space="preserve">T/SSEA </w:t>
      </w:r>
      <w:r>
        <w:rPr>
          <w:rFonts w:hint="eastAsia" w:ascii="Times New Roman" w:eastAsia="宋体"/>
          <w:highlight w:val="none"/>
        </w:rPr>
        <w:t>XXXX</w:t>
      </w:r>
      <w:r>
        <w:rPr>
          <w:rFonts w:ascii="Times New Roman" w:eastAsia="宋体"/>
          <w:highlight w:val="none"/>
        </w:rPr>
        <w:t>—20</w:t>
      </w:r>
      <w:r>
        <w:rPr>
          <w:rFonts w:hint="eastAsia" w:ascii="Times New Roman" w:eastAsia="宋体"/>
          <w:highlight w:val="none"/>
        </w:rPr>
        <w:t>2</w:t>
      </w:r>
      <w:r>
        <w:rPr>
          <w:rFonts w:hint="eastAsia" w:ascii="Times New Roman" w:eastAsia="宋体"/>
          <w:highlight w:val="none"/>
          <w:lang w:val="en-US" w:eastAsia="zh-CN"/>
        </w:rPr>
        <w:t>4</w:t>
      </w:r>
    </w:p>
    <w:p>
      <w:pPr>
        <w:pStyle w:val="80"/>
        <w:framePr w:h="2001" w:hRule="exact" w:wrap="around"/>
        <w:pBdr>
          <w:bottom w:val="single" w:color="auto" w:sz="4" w:space="1"/>
        </w:pBdr>
        <w:wordWrap w:val="0"/>
        <w:rPr>
          <w:rFonts w:hint="eastAsia" w:ascii="Times New Roman" w:eastAsia="宋体"/>
          <w:highlight w:val="none"/>
          <w:lang w:eastAsia="zh-CN"/>
        </w:rPr>
      </w:pPr>
      <w:r>
        <w:rPr>
          <w:rFonts w:ascii="Times New Roman" w:eastAsia="宋体"/>
          <w:highlight w:val="none"/>
        </w:rPr>
        <w:t>T/</w:t>
      </w:r>
      <w:r>
        <w:rPr>
          <w:rFonts w:hint="eastAsia" w:ascii="Times New Roman" w:eastAsia="宋体"/>
          <w:highlight w:val="none"/>
        </w:rPr>
        <w:t>CSTA XXXX</w:t>
      </w:r>
      <w:r>
        <w:rPr>
          <w:rFonts w:ascii="Times New Roman" w:eastAsia="宋体"/>
          <w:highlight w:val="none"/>
        </w:rPr>
        <w:t>—</w:t>
      </w:r>
      <w:r>
        <w:rPr>
          <w:rFonts w:hint="eastAsia" w:ascii="Times New Roman" w:eastAsia="宋体"/>
          <w:highlight w:val="none"/>
        </w:rPr>
        <w:t>202</w:t>
      </w:r>
      <w:r>
        <w:rPr>
          <w:rFonts w:hint="eastAsia" w:ascii="Times New Roman" w:eastAsia="宋体"/>
          <w:highlight w:val="none"/>
          <w:lang w:val="en-US" w:eastAsia="zh-CN"/>
        </w:rPr>
        <w:t>4</w:t>
      </w:r>
    </w:p>
    <w:p>
      <w:pPr>
        <w:pStyle w:val="80"/>
        <w:framePr w:h="2001" w:hRule="exact" w:wrap="around"/>
        <w:rPr>
          <w:rFonts w:ascii="Times New Roman" w:eastAsia="宋体"/>
          <w:highlight w:val="none"/>
        </w:rPr>
      </w:pPr>
    </w:p>
    <w:p>
      <w:pPr>
        <w:pStyle w:val="80"/>
        <w:framePr w:h="2001" w:hRule="exact" w:wrap="around"/>
        <w:rPr>
          <w:rFonts w:ascii="Times New Roman" w:eastAsia="宋体"/>
          <w:highlight w:val="none"/>
        </w:rPr>
      </w:pPr>
    </w:p>
    <w:p>
      <w:pPr>
        <w:shd w:val="clear" w:color="auto" w:fill="FFFFFF" w:themeFill="background1"/>
        <w:jc w:val="center"/>
        <w:rPr>
          <w:spacing w:val="20"/>
          <w:sz w:val="28"/>
          <w:szCs w:val="28"/>
          <w:highlight w:val="none"/>
        </w:rPr>
      </w:pPr>
    </w:p>
    <w:p>
      <w:pPr>
        <w:shd w:val="clear" w:color="auto" w:fill="FFFFFF" w:themeFill="background1"/>
        <w:jc w:val="center"/>
        <w:rPr>
          <w:spacing w:val="20"/>
          <w:sz w:val="28"/>
          <w:szCs w:val="28"/>
          <w:highlight w:val="none"/>
        </w:rPr>
      </w:pPr>
    </w:p>
    <w:p>
      <w:pPr>
        <w:pStyle w:val="136"/>
        <w:framePr w:w="8988" w:h="1351" w:hRule="exact" w:wrap="around" w:x="1332" w:y="14940"/>
        <w:rPr>
          <w:rFonts w:ascii="Times New Roman"/>
          <w:sz w:val="32"/>
          <w:highlight w:val="none"/>
        </w:rPr>
      </w:pPr>
      <w:r>
        <w:rPr>
          <w:rFonts w:ascii="Times New Roman"/>
          <w:sz w:val="32"/>
          <w:highlight w:val="none"/>
        </w:rPr>
        <w:t>中国特钢企业协会</w:t>
      </w:r>
    </w:p>
    <w:p>
      <w:pPr>
        <w:pStyle w:val="136"/>
        <w:framePr w:w="8988" w:h="1351" w:hRule="exact" w:wrap="around" w:x="1332" w:y="14940"/>
        <w:jc w:val="right"/>
        <w:rPr>
          <w:rFonts w:ascii="Times New Roman"/>
          <w:sz w:val="32"/>
          <w:szCs w:val="32"/>
          <w:highlight w:val="none"/>
        </w:rPr>
      </w:pPr>
      <w:r>
        <w:rPr>
          <w:rFonts w:ascii="Times New Roman"/>
          <w:sz w:val="32"/>
          <w:szCs w:val="32"/>
          <w:highlight w:val="none"/>
        </w:rPr>
        <w:t xml:space="preserve">中关村不锈及特种合金新材料   </w:t>
      </w:r>
      <w:r>
        <w:rPr>
          <w:rStyle w:val="45"/>
          <w:rFonts w:ascii="Times New Roman"/>
          <w:highlight w:val="none"/>
        </w:rPr>
        <w:t>发布</w:t>
      </w:r>
    </w:p>
    <w:p>
      <w:pPr>
        <w:pStyle w:val="136"/>
        <w:framePr w:w="8988" w:h="1351" w:hRule="exact" w:wrap="around" w:x="1332" w:y="14940"/>
        <w:rPr>
          <w:rFonts w:ascii="Times New Roman"/>
          <w:highlight w:val="none"/>
        </w:rPr>
      </w:pPr>
      <w:r>
        <w:rPr>
          <w:rFonts w:ascii="Times New Roman"/>
          <w:sz w:val="32"/>
          <w:szCs w:val="32"/>
          <w:highlight w:val="none"/>
        </w:rPr>
        <w:t>产业技术创新联盟</w:t>
      </w:r>
    </w:p>
    <w:p>
      <w:pPr>
        <w:shd w:val="clear" w:color="auto" w:fill="FFFFFF" w:themeFill="background1"/>
        <w:jc w:val="center"/>
        <w:rPr>
          <w:spacing w:val="20"/>
          <w:sz w:val="28"/>
          <w:szCs w:val="28"/>
          <w:highlight w:val="none"/>
        </w:rPr>
      </w:pPr>
    </w:p>
    <w:p>
      <w:pPr>
        <w:shd w:val="clear" w:color="auto" w:fill="FFFFFF" w:themeFill="background1"/>
        <w:jc w:val="center"/>
        <w:rPr>
          <w:b/>
          <w:sz w:val="32"/>
          <w:highlight w:val="none"/>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themeFill="background1"/>
        <w:spacing w:before="640" w:after="560"/>
        <w:jc w:val="center"/>
        <w:outlineLvl w:val="0"/>
        <w:rPr>
          <w:rFonts w:eastAsia="黑体"/>
          <w:kern w:val="0"/>
          <w:sz w:val="32"/>
          <w:szCs w:val="20"/>
          <w:highlight w:val="none"/>
        </w:rPr>
      </w:pPr>
      <w:bookmarkStart w:id="2" w:name="_Toc520380389"/>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widowControl/>
        <w:shd w:val="clear" w:color="auto" w:fill="FFFFFF" w:themeFill="background1"/>
        <w:tabs>
          <w:tab w:val="center" w:pos="4201"/>
          <w:tab w:val="right" w:leader="dot" w:pos="9298"/>
        </w:tabs>
        <w:autoSpaceDE w:val="0"/>
        <w:autoSpaceDN w:val="0"/>
        <w:ind w:firstLine="400" w:firstLineChars="200"/>
        <w:rPr>
          <w:kern w:val="0"/>
          <w:sz w:val="20"/>
          <w:szCs w:val="20"/>
          <w:highlight w:val="none"/>
        </w:rPr>
      </w:pPr>
    </w:p>
    <w:p>
      <w:pPr>
        <w:shd w:val="clear" w:color="auto" w:fill="FFFFFF" w:themeFill="background1"/>
        <w:rPr>
          <w:szCs w:val="21"/>
          <w:highlight w:val="none"/>
        </w:rPr>
      </w:pPr>
      <w:r>
        <w:rPr>
          <w:szCs w:val="21"/>
          <w:highlight w:val="none"/>
        </w:rPr>
        <w:drawing>
          <wp:inline distT="0" distB="0" distL="0" distR="0">
            <wp:extent cx="809625" cy="762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highlight w:val="none"/>
        </w:rPr>
        <w:t xml:space="preserve"> 版权保护文件</w:t>
      </w:r>
    </w:p>
    <w:p>
      <w:pPr>
        <w:shd w:val="clear" w:color="auto" w:fill="FFFFFF" w:themeFill="background1"/>
        <w:spacing w:before="156" w:beforeLines="50" w:after="156" w:afterLines="50"/>
        <w:rPr>
          <w:szCs w:val="21"/>
          <w:highlight w:val="none"/>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highlight w:val="none"/>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83"/>
        <w:shd w:val="clear" w:color="auto" w:fill="FFFFFF" w:themeFill="background1"/>
        <w:rPr>
          <w:rFonts w:ascii="Times New Roman"/>
          <w:highlight w:val="none"/>
        </w:rPr>
      </w:pPr>
      <w:bookmarkStart w:id="3" w:name="_Toc6605"/>
      <w:r>
        <w:rPr>
          <w:rFonts w:ascii="Times New Roman"/>
          <w:highlight w:val="none"/>
        </w:rPr>
        <w:t>前　言</w:t>
      </w:r>
      <w:bookmarkEnd w:id="2"/>
      <w:bookmarkEnd w:id="3"/>
    </w:p>
    <w:p>
      <w:pPr>
        <w:pStyle w:val="23"/>
        <w:rPr>
          <w:highlight w:val="none"/>
        </w:rPr>
      </w:pPr>
      <w:r>
        <w:rPr>
          <w:highlight w:val="none"/>
        </w:rPr>
        <w:t>本文件按照GB/T 1.1—2020《标准化工作导则  第1部分：标准化文件的结构和起草规则》的规定起草。</w:t>
      </w:r>
    </w:p>
    <w:p>
      <w:pPr>
        <w:pStyle w:val="23"/>
        <w:rPr>
          <w:highlight w:val="none"/>
        </w:rPr>
      </w:pPr>
      <w:r>
        <w:rPr>
          <w:highlight w:val="none"/>
        </w:rPr>
        <w:t>请注意本文件的某些内容可能涉及专利。本文件的发布机构不承担识别专利的责任。</w:t>
      </w:r>
    </w:p>
    <w:p>
      <w:pPr>
        <w:pStyle w:val="23"/>
        <w:rPr>
          <w:rFonts w:ascii="Times New Roman"/>
          <w:highlight w:val="none"/>
        </w:rPr>
      </w:pPr>
      <w:r>
        <w:rPr>
          <w:rFonts w:ascii="Times New Roman"/>
          <w:highlight w:val="none"/>
        </w:rPr>
        <w:t>本文件由</w:t>
      </w:r>
      <w:r>
        <w:rPr>
          <w:highlight w:val="none"/>
        </w:rPr>
        <w:t>中国特钢企业协会团体标准化工作委员会、中关村不锈及特种合金新材料产业技术创新联盟团体标准化工作委员会联合提出并归口</w:t>
      </w:r>
      <w:r>
        <w:rPr>
          <w:rFonts w:ascii="Times New Roman"/>
          <w:highlight w:val="none"/>
        </w:rPr>
        <w:t>。</w:t>
      </w:r>
    </w:p>
    <w:p>
      <w:pPr>
        <w:pStyle w:val="23"/>
        <w:rPr>
          <w:highlight w:val="none"/>
        </w:rPr>
      </w:pPr>
      <w:r>
        <w:rPr>
          <w:highlight w:val="none"/>
        </w:rPr>
        <w:t>本文件起草单位：</w:t>
      </w:r>
      <w:r>
        <w:rPr>
          <w:rFonts w:hint="eastAsia"/>
          <w:highlight w:val="none"/>
        </w:rPr>
        <w:t>山东钢铁集团日照有限公司、冶金工业规划研究院</w:t>
      </w:r>
    </w:p>
    <w:p>
      <w:pPr>
        <w:pStyle w:val="23"/>
        <w:rPr>
          <w:rFonts w:hint="default" w:eastAsia="宋体"/>
          <w:highlight w:val="none"/>
          <w:lang w:val="en-US" w:eastAsia="zh-CN"/>
        </w:rPr>
      </w:pPr>
      <w:r>
        <w:rPr>
          <w:highlight w:val="none"/>
        </w:rPr>
        <w:t>本文件主要起草人：</w:t>
      </w:r>
      <w:r>
        <w:rPr>
          <w:rFonts w:hint="eastAsia"/>
          <w:highlight w:val="none"/>
          <w:lang w:val="en-US" w:eastAsia="zh-CN"/>
        </w:rPr>
        <w:t>王乐，栾彩霞，张冲冲，孙冰，王鹏</w:t>
      </w:r>
    </w:p>
    <w:p>
      <w:pPr>
        <w:pStyle w:val="23"/>
        <w:rPr>
          <w:highlight w:val="none"/>
        </w:rPr>
      </w:pPr>
    </w:p>
    <w:p>
      <w:pPr>
        <w:shd w:val="clear" w:color="auto" w:fill="FFFFFF" w:themeFill="background1"/>
        <w:tabs>
          <w:tab w:val="left" w:pos="7033"/>
        </w:tabs>
        <w:ind w:firstLine="420" w:firstLineChars="200"/>
        <w:rPr>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r>
        <w:rPr>
          <w:highlight w:val="none"/>
        </w:rPr>
        <w:tab/>
      </w:r>
    </w:p>
    <w:p>
      <w:pPr>
        <w:pStyle w:val="60"/>
        <w:shd w:val="clear" w:color="auto" w:fill="FFFFFF" w:themeFill="background1"/>
        <w:spacing w:after="624" w:afterLines="200"/>
        <w:rPr>
          <w:rFonts w:hint="eastAsia" w:ascii="Times New Roman" w:eastAsia="黑体"/>
          <w:highlight w:val="none"/>
          <w:lang w:eastAsia="zh-CN"/>
        </w:rPr>
      </w:pPr>
      <w:r>
        <w:rPr>
          <w:rFonts w:hint="eastAsia" w:ascii="Times New Roman"/>
          <w:highlight w:val="none"/>
          <w:lang w:eastAsia="zh-CN"/>
        </w:rPr>
        <w:t>精密制冷焊管用</w:t>
      </w:r>
      <w:r>
        <w:rPr>
          <w:rFonts w:hint="eastAsia" w:ascii="Times New Roman"/>
          <w:highlight w:val="none"/>
          <w:lang w:val="en-US" w:eastAsia="zh-CN"/>
        </w:rPr>
        <w:t>冷连轧钢</w:t>
      </w:r>
      <w:r>
        <w:rPr>
          <w:rFonts w:hint="eastAsia" w:ascii="Times New Roman"/>
          <w:highlight w:val="none"/>
          <w:lang w:eastAsia="zh-CN"/>
        </w:rPr>
        <w:t>带</w:t>
      </w:r>
    </w:p>
    <w:p>
      <w:pPr>
        <w:pStyle w:val="47"/>
        <w:rPr>
          <w:highlight w:val="none"/>
        </w:rPr>
      </w:pPr>
      <w:bookmarkStart w:id="4" w:name="_Toc28026"/>
      <w:bookmarkStart w:id="5" w:name="_Toc520380391"/>
      <w:r>
        <w:rPr>
          <w:highlight w:val="none"/>
        </w:rPr>
        <w:t>范围</w:t>
      </w:r>
      <w:bookmarkEnd w:id="4"/>
      <w:bookmarkEnd w:id="5"/>
    </w:p>
    <w:p>
      <w:pPr>
        <w:pStyle w:val="23"/>
        <w:rPr>
          <w:rFonts w:hint="default" w:ascii="Times New Roman" w:hAnsi="Times New Roman" w:cs="Times New Roman"/>
          <w:highlight w:val="none"/>
        </w:rPr>
      </w:pPr>
      <w:bookmarkStart w:id="6" w:name="_Toc520380392"/>
      <w:r>
        <w:rPr>
          <w:rFonts w:hint="default" w:ascii="Times New Roman" w:hAnsi="Times New Roman" w:cs="Times New Roman"/>
          <w:highlight w:val="none"/>
        </w:rPr>
        <w:t>本文件规定了</w:t>
      </w:r>
      <w:r>
        <w:rPr>
          <w:rFonts w:hint="default" w:ascii="Times New Roman" w:hAnsi="Times New Roman" w:cs="Times New Roman"/>
          <w:highlight w:val="none"/>
          <w:lang w:eastAsia="zh-CN"/>
        </w:rPr>
        <w:t>精密制冷焊管用冷</w:t>
      </w:r>
      <w:r>
        <w:rPr>
          <w:rFonts w:hint="default" w:ascii="Times New Roman" w:hAnsi="Times New Roman" w:cs="Times New Roman"/>
          <w:highlight w:val="none"/>
          <w:lang w:val="en-US" w:eastAsia="zh-CN"/>
        </w:rPr>
        <w:t>连轧</w:t>
      </w:r>
      <w:r>
        <w:rPr>
          <w:rFonts w:hint="default" w:ascii="Times New Roman" w:hAnsi="Times New Roman" w:cs="Times New Roman"/>
          <w:highlight w:val="none"/>
          <w:lang w:eastAsia="zh-CN"/>
        </w:rPr>
        <w:t>钢带</w:t>
      </w:r>
      <w:r>
        <w:rPr>
          <w:rFonts w:hint="default" w:ascii="Times New Roman" w:hAnsi="Times New Roman" w:cs="Times New Roman"/>
          <w:highlight w:val="none"/>
        </w:rPr>
        <w:t>的牌号</w:t>
      </w:r>
      <w:r>
        <w:rPr>
          <w:rFonts w:hint="default" w:ascii="Times New Roman" w:hAnsi="Times New Roman" w:cs="Times New Roman"/>
          <w:highlight w:val="none"/>
          <w:lang w:val="en-US" w:eastAsia="zh-CN"/>
        </w:rPr>
        <w:t>表示方法</w:t>
      </w:r>
      <w:r>
        <w:rPr>
          <w:rFonts w:hint="default" w:ascii="Times New Roman" w:hAnsi="Times New Roman" w:cs="Times New Roman"/>
          <w:highlight w:val="none"/>
        </w:rPr>
        <w:t>、订货内容、尺寸、外形、重量、技术要求、试验方法、检验规则、包装、标志及质量证明书。</w:t>
      </w:r>
    </w:p>
    <w:bookmarkEnd w:id="6"/>
    <w:p>
      <w:pPr>
        <w:pStyle w:val="23"/>
        <w:rPr>
          <w:rFonts w:hint="default" w:ascii="Times New Roman" w:hAnsi="Times New Roman" w:cs="Times New Roman"/>
          <w:highlight w:val="none"/>
        </w:rPr>
      </w:pPr>
      <w:r>
        <w:rPr>
          <w:rFonts w:hint="default" w:ascii="Times New Roman" w:hAnsi="Times New Roman" w:cs="Times New Roman"/>
          <w:highlight w:val="none"/>
        </w:rPr>
        <w:t>本文件适用于</w:t>
      </w:r>
      <w:r>
        <w:rPr>
          <w:rFonts w:hint="default" w:ascii="Times New Roman" w:hAnsi="Times New Roman" w:cs="Times New Roman"/>
          <w:highlight w:val="none"/>
          <w:lang w:val="en-US" w:eastAsia="zh-CN"/>
        </w:rPr>
        <w:t>空调、冰箱等家电行业单层精密制冷焊管的</w:t>
      </w:r>
      <w:r>
        <w:rPr>
          <w:rFonts w:hint="default" w:ascii="Times New Roman" w:hAnsi="Times New Roman" w:cs="Times New Roman"/>
          <w:highlight w:val="none"/>
        </w:rPr>
        <w:t>制造</w:t>
      </w:r>
      <w:r>
        <w:rPr>
          <w:rFonts w:hint="eastAsia" w:ascii="Times New Roman" w:cs="Times New Roman"/>
          <w:highlight w:val="none"/>
          <w:lang w:val="en-US" w:eastAsia="zh-CN"/>
        </w:rPr>
        <w:t>用</w:t>
      </w:r>
      <w:r>
        <w:rPr>
          <w:rFonts w:hint="default" w:ascii="Times New Roman" w:hAnsi="Times New Roman" w:cs="Times New Roman"/>
          <w:highlight w:val="none"/>
        </w:rPr>
        <w:t>厚度为0.</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5 mm～</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w:t>
      </w:r>
      <w:r>
        <w:rPr>
          <w:rFonts w:hint="default" w:ascii="Times New Roman" w:hAnsi="Times New Roman" w:cs="Times New Roman"/>
          <w:highlight w:val="none"/>
          <w:lang w:val="en-US" w:eastAsia="zh-CN"/>
        </w:rPr>
        <w:t>8</w:t>
      </w:r>
      <w:r>
        <w:rPr>
          <w:rFonts w:hint="default" w:ascii="Times New Roman" w:hAnsi="Times New Roman" w:cs="Times New Roman"/>
          <w:highlight w:val="none"/>
        </w:rPr>
        <w:t>0mm的冷</w:t>
      </w:r>
      <w:r>
        <w:rPr>
          <w:rFonts w:hint="default" w:ascii="Times New Roman" w:hAnsi="Times New Roman" w:cs="Times New Roman"/>
          <w:highlight w:val="none"/>
          <w:lang w:val="en-US" w:eastAsia="zh-CN"/>
        </w:rPr>
        <w:t>连</w:t>
      </w:r>
      <w:r>
        <w:rPr>
          <w:rFonts w:hint="default" w:ascii="Times New Roman" w:hAnsi="Times New Roman" w:cs="Times New Roman"/>
          <w:highlight w:val="none"/>
        </w:rPr>
        <w:t>轧钢带（以下简称钢带）。</w:t>
      </w:r>
    </w:p>
    <w:p>
      <w:pPr>
        <w:pStyle w:val="47"/>
        <w:rPr>
          <w:highlight w:val="none"/>
        </w:rPr>
      </w:pPr>
      <w:bookmarkStart w:id="7" w:name="_Toc1366"/>
      <w:bookmarkStart w:id="8" w:name="_Toc520380393"/>
      <w:r>
        <w:rPr>
          <w:highlight w:val="none"/>
        </w:rPr>
        <w:t>规范性引用文件</w:t>
      </w:r>
      <w:bookmarkEnd w:id="7"/>
    </w:p>
    <w:p>
      <w:pPr>
        <w:shd w:val="clear" w:color="auto" w:fill="FFFFFF" w:themeFill="background1"/>
        <w:ind w:firstLine="420" w:firstLineChars="200"/>
        <w:rPr>
          <w:rFonts w:hint="default" w:ascii="Times New Roman" w:hAnsi="Times New Roman" w:cs="Times New Roman"/>
          <w:highlight w:val="none"/>
        </w:rPr>
      </w:pPr>
      <w:r>
        <w:rPr>
          <w:rFonts w:hint="default" w:ascii="Times New Roman" w:hAnsi="Times New Roman" w:cs="Times New Roman"/>
          <w:highlight w:val="none"/>
        </w:rP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8"/>
    <w:p>
      <w:pPr>
        <w:pStyle w:val="23"/>
        <w:rPr>
          <w:rFonts w:hint="default" w:ascii="Times New Roman" w:hAnsi="Times New Roman" w:cs="Times New Roman"/>
          <w:highlight w:val="none"/>
          <w:lang w:eastAsia="zh-CN"/>
        </w:rPr>
      </w:pPr>
      <w:bookmarkStart w:id="9" w:name="_Toc6996"/>
      <w:bookmarkStart w:id="10" w:name="_Toc520380394"/>
      <w:r>
        <w:rPr>
          <w:rFonts w:hint="default" w:ascii="Times New Roman" w:hAnsi="Times New Roman" w:cs="Times New Roman"/>
          <w:highlight w:val="none"/>
          <w:lang w:eastAsia="zh-CN"/>
        </w:rPr>
        <w:t xml:space="preserve">GB/T 222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钢的成品化学成分允许偏差</w:t>
      </w:r>
    </w:p>
    <w:p>
      <w:pPr>
        <w:pStyle w:val="23"/>
        <w:shd w:val="clear" w:color="auto" w:fill="FFFFFF" w:themeFill="background1"/>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 xml:space="preserve">.9   </w:t>
      </w:r>
      <w:r>
        <w:rPr>
          <w:rFonts w:hint="eastAsia" w:ascii="Times New Roman" w:cs="Times New Roman"/>
          <w:highlight w:val="none"/>
          <w:lang w:val="en-US" w:eastAsia="zh-CN"/>
        </w:rPr>
        <w:t xml:space="preserve">    </w:t>
      </w:r>
      <w:r>
        <w:rPr>
          <w:rFonts w:hint="eastAsia" w:ascii="Times New Roman" w:hAnsi="Times New Roman" w:cs="Times New Roman"/>
          <w:highlight w:val="none"/>
          <w:lang w:eastAsia="zh-CN"/>
        </w:rPr>
        <w:t>钢铁及合金 铝含量的测定 铬天青S分光光度法</w:t>
      </w:r>
    </w:p>
    <w:p>
      <w:pPr>
        <w:pStyle w:val="23"/>
        <w:shd w:val="clear" w:color="auto" w:fill="FFFFFF" w:themeFill="background1"/>
        <w:rPr>
          <w:rFonts w:hint="eastAsia" w:ascii="Times New Roman" w:hAnsi="Times New Roman" w:cs="Times New Roman"/>
          <w:highlight w:val="none"/>
          <w:lang w:eastAsia="zh-CN"/>
        </w:rPr>
      </w:pP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 xml:space="preserve">.59  </w:t>
      </w:r>
      <w:r>
        <w:rPr>
          <w:rFonts w:hint="eastAsia" w:ascii="Times New Roman" w:cs="Times New Roman"/>
          <w:highlight w:val="none"/>
          <w:lang w:val="en-US" w:eastAsia="zh-CN"/>
        </w:rPr>
        <w:t xml:space="preserve">    </w:t>
      </w:r>
      <w:r>
        <w:rPr>
          <w:rFonts w:hint="eastAsia" w:ascii="Times New Roman" w:hAnsi="Times New Roman" w:cs="Times New Roman"/>
          <w:highlight w:val="none"/>
          <w:lang w:eastAsia="zh-CN"/>
        </w:rPr>
        <w:t>钢铁及合金 磷含量的测定 铋磷钼蓝分光光度法和锑磷钼蓝分光光度法</w:t>
      </w:r>
    </w:p>
    <w:p>
      <w:pPr>
        <w:pStyle w:val="23"/>
        <w:shd w:val="clear" w:color="auto" w:fill="FFFFFF" w:themeFill="background1"/>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.60</w:t>
      </w:r>
      <w:r>
        <w:rPr>
          <w:rFonts w:hint="eastAsia" w:ascii="Times New Roman" w:cs="Times New Roman"/>
          <w:highlight w:val="none"/>
          <w:lang w:val="en-US" w:eastAsia="zh-CN"/>
        </w:rPr>
        <w:t xml:space="preserve">      </w:t>
      </w:r>
      <w:r>
        <w:rPr>
          <w:rFonts w:hint="eastAsia" w:ascii="Times New Roman" w:hAnsi="Times New Roman" w:cs="Times New Roman"/>
          <w:highlight w:val="none"/>
          <w:lang w:eastAsia="zh-CN"/>
        </w:rPr>
        <w:t>钢铁及合金化学分析方法 高氯酸脱水重量法测定硅含量</w:t>
      </w:r>
    </w:p>
    <w:p>
      <w:pPr>
        <w:pStyle w:val="23"/>
        <w:shd w:val="clear" w:color="auto" w:fill="FFFFFF" w:themeFill="background1"/>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 xml:space="preserve">.63  </w:t>
      </w:r>
      <w:r>
        <w:rPr>
          <w:rFonts w:hint="eastAsia" w:ascii="Times New Roman" w:cs="Times New Roman"/>
          <w:highlight w:val="none"/>
          <w:lang w:val="en-US" w:eastAsia="zh-CN"/>
        </w:rPr>
        <w:t xml:space="preserve">    </w:t>
      </w:r>
      <w:r>
        <w:rPr>
          <w:rFonts w:hint="eastAsia" w:ascii="Times New Roman" w:hAnsi="Times New Roman" w:cs="Times New Roman"/>
          <w:highlight w:val="none"/>
          <w:lang w:eastAsia="zh-CN"/>
        </w:rPr>
        <w:t>钢铁及合金 锰含量的测定 高碘酸钠（钾）分光光度法</w:t>
      </w:r>
    </w:p>
    <w:p>
      <w:pPr>
        <w:pStyle w:val="23"/>
        <w:shd w:val="clear" w:color="auto" w:fill="FFFFFF" w:themeFill="background1"/>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.64</w:t>
      </w:r>
      <w:r>
        <w:rPr>
          <w:rFonts w:hint="default" w:ascii="Times New Roman" w:hAnsi="Times New Roman" w:cs="Times New Roman"/>
          <w:highlight w:val="none"/>
          <w:lang w:eastAsia="zh-CN"/>
        </w:rPr>
        <w:t xml:space="preserve"> </w:t>
      </w:r>
      <w:r>
        <w:rPr>
          <w:rFonts w:hint="default" w:ascii="Times New Roman" w:hAnsi="Times New Roman" w:cs="Times New Roman"/>
          <w:highlight w:val="none"/>
          <w:lang w:val="en-US" w:eastAsia="zh-CN"/>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lang w:val="en-US" w:eastAsia="zh-CN"/>
        </w:rPr>
        <w:t>钢铁及合金 锰含量的测定 火焰原子吸收光谱法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GB/T 228.1</w:t>
      </w:r>
      <w:r>
        <w:rPr>
          <w:rFonts w:hint="default" w:ascii="Times New Roman" w:hAnsi="Times New Roman" w:cs="Times New Roman"/>
          <w:highlight w:val="none"/>
          <w:lang w:val="en-US" w:eastAsia="zh-CN"/>
        </w:rPr>
        <w:t>-</w:t>
      </w:r>
      <w:r>
        <w:rPr>
          <w:rFonts w:hint="default" w:ascii="Times New Roman" w:hAnsi="Times New Roman" w:cs="Times New Roman"/>
          <w:highlight w:val="none"/>
          <w:lang w:eastAsia="zh-CN"/>
        </w:rPr>
        <w:t>2010  金属材料  拉伸试验  第1部分：室温试验方法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247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钢板和钢带包装、标志及质量证明书的一般规定</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2523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冷轧金属薄钢板(带)表面粗糙度和峰值数的测量方法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2975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钢及钢产品  力学性能试验取样位置及试样制备</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4336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碳素钢和中低合金钢  火花源原子发射光谱分析方法(常规法)</w:t>
      </w:r>
    </w:p>
    <w:p>
      <w:pPr>
        <w:pStyle w:val="23"/>
        <w:shd w:val="clear" w:color="auto" w:fill="FFFFFF" w:themeFill="background1"/>
        <w:rPr>
          <w:rFonts w:hint="eastAsia" w:ascii="Times New Roman" w:hAnsi="Times New Roman" w:cs="Times New Roman"/>
          <w:highlight w:val="none"/>
          <w:lang w:val="en-US" w:eastAsia="zh-CN"/>
        </w:rPr>
      </w:pPr>
      <w:r>
        <w:rPr>
          <w:rFonts w:hint="default" w:ascii="Times New Roman" w:hAnsi="Times New Roman" w:cs="Times New Roman"/>
          <w:highlight w:val="none"/>
          <w:lang w:eastAsia="zh-CN"/>
        </w:rPr>
        <w:t>GB/T 6394</w:t>
      </w:r>
      <w:r>
        <w:rPr>
          <w:rFonts w:hint="eastAsia" w:ascii="Times New Roman" w:hAnsi="Times New Roman" w:cs="Times New Roman"/>
          <w:highlight w:val="none"/>
          <w:lang w:val="en-US" w:eastAsia="zh-CN"/>
        </w:rPr>
        <w:t xml:space="preserve"> </w:t>
      </w:r>
      <w:r>
        <w:rPr>
          <w:rFonts w:hint="eastAsia" w:ascii="Times New Roman" w:cs="Times New Roman"/>
          <w:highlight w:val="none"/>
          <w:lang w:val="en-US" w:eastAsia="zh-CN"/>
        </w:rPr>
        <w:t xml:space="preserve">      </w:t>
      </w:r>
      <w:r>
        <w:rPr>
          <w:rFonts w:hint="eastAsia" w:ascii="Times New Roman" w:hAnsi="Times New Roman" w:cs="Times New Roman"/>
          <w:highlight w:val="none"/>
          <w:lang w:val="en-US" w:eastAsia="zh-CN"/>
        </w:rPr>
        <w:t>金属平均晶粒度测定方法</w:t>
      </w:r>
    </w:p>
    <w:p>
      <w:pPr>
        <w:pStyle w:val="23"/>
        <w:shd w:val="clear" w:color="auto" w:fill="FFFFFF" w:themeFill="background1"/>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8170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数值修约规则与极限数值的表示和判定</w:t>
      </w:r>
    </w:p>
    <w:p>
      <w:pPr>
        <w:pStyle w:val="23"/>
        <w:shd w:val="clear" w:color="auto" w:fill="FFFFFF" w:themeFill="background1"/>
        <w:rPr>
          <w:rFonts w:hint="default" w:ascii="Times New Roman" w:hAnsi="Times New Roman" w:cs="Times New Roman"/>
          <w:highlight w:val="none"/>
          <w:lang w:eastAsia="zh-CN"/>
        </w:rPr>
      </w:pPr>
      <w:r>
        <w:rPr>
          <w:rFonts w:hint="default" w:ascii="Times New Roman" w:hAnsi="Times New Roman" w:cs="Times New Roman"/>
          <w:highlight w:val="none"/>
          <w:lang w:eastAsia="zh-CN"/>
        </w:rPr>
        <w:t>GB/T 10561</w:t>
      </w:r>
      <w:r>
        <w:rPr>
          <w:rFonts w:hint="eastAsia" w:ascii="Times New Roman" w:cs="Times New Roman"/>
          <w:highlight w:val="none"/>
          <w:lang w:val="en-US" w:eastAsia="zh-CN"/>
        </w:rPr>
        <w:t xml:space="preserve">      </w:t>
      </w:r>
      <w:r>
        <w:rPr>
          <w:rFonts w:hint="eastAsia" w:ascii="Times New Roman" w:hAnsi="Times New Roman" w:cs="Times New Roman"/>
          <w:highlight w:val="none"/>
          <w:lang w:eastAsia="zh-CN"/>
        </w:rPr>
        <w:t>钢中非金属夹杂物含量的测定 标准评级图显微检验法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17505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钢及钢产品 交货一般技术要求</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20066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钢和铁  化学成分测定用试样的取样和制样方法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20123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钢铁  总碳硫含量的测定  高频感应炉燃烧后红外吸收法(常规方法)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20125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低合金钢  多元素含量的测定  电感耦合等离子体原子发射光谱法</w:t>
      </w:r>
    </w:p>
    <w:p>
      <w:pPr>
        <w:pStyle w:val="23"/>
        <w:rPr>
          <w:rFonts w:hint="default" w:ascii="Times New Roman" w:hAnsi="Times New Roman" w:cs="Times New Roman"/>
          <w:highlight w:val="none"/>
          <w:lang w:eastAsia="zh-CN"/>
        </w:rPr>
      </w:pPr>
      <w:r>
        <w:rPr>
          <w:rFonts w:hint="default" w:ascii="Times New Roman" w:hAnsi="Times New Roman" w:cs="Times New Roman"/>
          <w:highlight w:val="none"/>
          <w:lang w:eastAsia="zh-CN"/>
        </w:rPr>
        <w:t xml:space="preserve">GB/T 20126  </w:t>
      </w: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lang w:eastAsia="zh-CN"/>
        </w:rPr>
        <w:t>非合金钢  低碳含量的测定  第2部分：感应炉(经预加热)内燃烧后红外吸收法</w:t>
      </w:r>
    </w:p>
    <w:p>
      <w:pPr>
        <w:pStyle w:val="47"/>
        <w:rPr>
          <w:highlight w:val="none"/>
        </w:rPr>
      </w:pPr>
      <w:r>
        <w:rPr>
          <w:highlight w:val="none"/>
        </w:rPr>
        <w:t>术语和定义</w:t>
      </w:r>
      <w:bookmarkEnd w:id="9"/>
    </w:p>
    <w:p>
      <w:pPr>
        <w:shd w:val="clear" w:color="auto" w:fill="FFFFFF" w:themeFill="background1"/>
        <w:ind w:firstLine="420" w:firstLineChars="200"/>
        <w:rPr>
          <w:highlight w:val="none"/>
        </w:rPr>
      </w:pPr>
      <w:r>
        <w:rPr>
          <w:highlight w:val="none"/>
        </w:rPr>
        <w:t>本文件没有需要界定的术语和定义。</w:t>
      </w:r>
    </w:p>
    <w:p>
      <w:pPr>
        <w:pStyle w:val="47"/>
        <w:rPr>
          <w:highlight w:val="none"/>
        </w:rPr>
      </w:pPr>
      <w:r>
        <w:rPr>
          <w:rFonts w:hint="eastAsia"/>
          <w:highlight w:val="none"/>
          <w:lang w:val="en-US" w:eastAsia="zh-CN"/>
        </w:rPr>
        <w:t>牌号表示方法</w:t>
      </w:r>
    </w:p>
    <w:p>
      <w:pPr>
        <w:pStyle w:val="23"/>
        <w:ind w:left="0" w:leftChars="0" w:firstLine="420" w:firstLineChars="200"/>
        <w:rPr>
          <w:rFonts w:hint="default" w:ascii="Times New Roman" w:hAnsi="Times New Roman" w:cs="Times New Roman"/>
          <w:highlight w:val="none"/>
        </w:rPr>
      </w:pPr>
      <w:r>
        <w:rPr>
          <w:rFonts w:hint="default" w:ascii="Times New Roman" w:hAnsi="Times New Roman" w:cs="Times New Roman"/>
          <w:highlight w:val="none"/>
        </w:rPr>
        <w:t>钢的牌号由代表</w:t>
      </w:r>
      <w:r>
        <w:rPr>
          <w:rFonts w:hint="default" w:ascii="Times New Roman" w:hAnsi="Times New Roman" w:cs="Times New Roman"/>
          <w:highlight w:val="none"/>
          <w:lang w:val="en-US" w:eastAsia="zh-CN"/>
        </w:rPr>
        <w:t>制冷管</w:t>
      </w:r>
      <w:r>
        <w:rPr>
          <w:rFonts w:hint="default" w:ascii="Times New Roman" w:hAnsi="Times New Roman" w:cs="Times New Roman"/>
          <w:highlight w:val="none"/>
        </w:rPr>
        <w:t>汉语拼音首字母和</w:t>
      </w:r>
      <w:r>
        <w:rPr>
          <w:rFonts w:hint="default" w:ascii="Times New Roman" w:hAnsi="Times New Roman" w:cs="Times New Roman"/>
          <w:highlight w:val="none"/>
          <w:lang w:val="en-US" w:eastAsia="zh-CN"/>
        </w:rPr>
        <w:t>成型等级</w:t>
      </w:r>
      <w:r>
        <w:rPr>
          <w:rFonts w:hint="eastAsia" w:ascii="Times New Roman" w:hAnsi="Times New Roman" w:cs="Times New Roman"/>
          <w:highlight w:val="none"/>
          <w:lang w:val="en-US" w:eastAsia="zh-CN"/>
        </w:rPr>
        <w:t>两部分</w:t>
      </w:r>
      <w:r>
        <w:rPr>
          <w:rFonts w:hint="default" w:ascii="Times New Roman" w:hAnsi="Times New Roman" w:cs="Times New Roman"/>
          <w:highlight w:val="none"/>
        </w:rPr>
        <w:t xml:space="preserve">组成。 </w:t>
      </w:r>
    </w:p>
    <w:p>
      <w:pPr>
        <w:pStyle w:val="23"/>
        <w:ind w:left="0" w:leftChars="0"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示例：</w:t>
      </w:r>
      <w:r>
        <w:rPr>
          <w:rFonts w:hint="default" w:ascii="Times New Roman" w:hAnsi="Times New Roman" w:eastAsia="宋体" w:cs="Times New Roman"/>
          <w:sz w:val="18"/>
          <w:szCs w:val="18"/>
          <w:highlight w:val="none"/>
          <w:lang w:val="en-US" w:eastAsia="zh-CN"/>
        </w:rPr>
        <w:t>ZLG03</w:t>
      </w:r>
      <w:r>
        <w:rPr>
          <w:rFonts w:hint="default" w:ascii="Times New Roman" w:hAnsi="Times New Roman" w:eastAsia="宋体" w:cs="Times New Roman"/>
          <w:sz w:val="18"/>
          <w:szCs w:val="18"/>
          <w:highlight w:val="none"/>
        </w:rPr>
        <w:t xml:space="preserve">  其中：</w:t>
      </w:r>
    </w:p>
    <w:p>
      <w:pPr>
        <w:pStyle w:val="23"/>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 xml:space="preserve">ZLG </w:t>
      </w:r>
      <w:r>
        <w:rPr>
          <w:rFonts w:hint="default" w:ascii="Times New Roman" w:hAnsi="Times New Roman" w:eastAsia="宋体" w:cs="Times New Roman"/>
          <w:sz w:val="18"/>
          <w:szCs w:val="18"/>
          <w:highlight w:val="none"/>
        </w:rPr>
        <w:t>——</w:t>
      </w:r>
      <w:r>
        <w:rPr>
          <w:rFonts w:hint="eastAsia" w:ascii="Times New Roman" w:hAnsi="Times New Roman"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制冷管</w:t>
      </w:r>
      <w:r>
        <w:rPr>
          <w:rFonts w:hint="eastAsia" w:ascii="Times New Roman" w:hAnsi="Times New Roman" w:cs="Times New Roman"/>
          <w:sz w:val="18"/>
          <w:szCs w:val="18"/>
          <w:highlight w:val="none"/>
          <w:lang w:eastAsia="zh-CN"/>
        </w:rPr>
        <w:t>”</w:t>
      </w:r>
      <w:r>
        <w:rPr>
          <w:rFonts w:hint="default" w:ascii="Times New Roman" w:hAnsi="Times New Roman" w:eastAsia="宋体" w:cs="Times New Roman"/>
          <w:sz w:val="18"/>
          <w:szCs w:val="18"/>
          <w:highlight w:val="none"/>
        </w:rPr>
        <w:t>汉语拼音首字母；</w:t>
      </w:r>
    </w:p>
    <w:p>
      <w:pPr>
        <w:pStyle w:val="23"/>
        <w:rPr>
          <w:rFonts w:hint="eastAsia" w:ascii="宋体" w:hAnsi="宋体" w:eastAsia="宋体" w:cs="宋体"/>
          <w:sz w:val="18"/>
          <w:szCs w:val="18"/>
          <w:highlight w:val="none"/>
        </w:rPr>
      </w:pPr>
      <w:r>
        <w:rPr>
          <w:rFonts w:hint="default" w:ascii="Times New Roman" w:hAnsi="Times New Roman" w:eastAsia="宋体" w:cs="Times New Roman"/>
          <w:sz w:val="18"/>
          <w:szCs w:val="18"/>
          <w:highlight w:val="none"/>
          <w:lang w:val="en-US" w:eastAsia="zh-CN"/>
        </w:rPr>
        <w:t>03</w:t>
      </w:r>
      <w:r>
        <w:rPr>
          <w:rFonts w:hint="default" w:ascii="Times New Roman" w:hAnsi="Times New Roman" w:eastAsia="宋体" w:cs="Times New Roman"/>
          <w:sz w:val="18"/>
          <w:szCs w:val="18"/>
          <w:highlight w:val="none"/>
        </w:rPr>
        <w:t xml:space="preserve">  ——</w:t>
      </w:r>
      <w:r>
        <w:rPr>
          <w:rFonts w:hint="default" w:ascii="Times New Roman" w:hAnsi="Times New Roman" w:eastAsia="宋体" w:cs="Times New Roman"/>
          <w:sz w:val="18"/>
          <w:szCs w:val="18"/>
          <w:highlight w:val="none"/>
          <w:lang w:val="en-US" w:eastAsia="zh-CN"/>
        </w:rPr>
        <w:t>成型等级</w:t>
      </w:r>
      <w:r>
        <w:rPr>
          <w:rFonts w:hint="default" w:ascii="Times New Roman" w:hAnsi="Times New Roman" w:eastAsia="宋体" w:cs="Times New Roman"/>
          <w:sz w:val="18"/>
          <w:szCs w:val="18"/>
          <w:highlight w:val="none"/>
        </w:rPr>
        <w:t>。</w:t>
      </w:r>
    </w:p>
    <w:p>
      <w:pPr>
        <w:pStyle w:val="47"/>
        <w:rPr>
          <w:highlight w:val="none"/>
        </w:rPr>
      </w:pPr>
      <w:bookmarkStart w:id="11" w:name="_Toc21592"/>
      <w:r>
        <w:rPr>
          <w:highlight w:val="none"/>
        </w:rPr>
        <w:t>订货内容</w:t>
      </w:r>
      <w:bookmarkEnd w:id="11"/>
    </w:p>
    <w:p>
      <w:pPr>
        <w:pStyle w:val="23"/>
        <w:rPr>
          <w:rFonts w:hint="default" w:ascii="Times New Roman" w:hAnsi="Times New Roman" w:cs="Times New Roman"/>
          <w:highlight w:val="none"/>
        </w:rPr>
      </w:pPr>
      <w:r>
        <w:rPr>
          <w:rFonts w:hint="default" w:ascii="Times New Roman" w:hAnsi="Times New Roman" w:cs="Times New Roman"/>
          <w:highlight w:val="none"/>
        </w:rPr>
        <w:t>按本文件订货的合同或订单应包括下列内容：</w:t>
      </w:r>
    </w:p>
    <w:p>
      <w:pPr>
        <w:pStyle w:val="104"/>
        <w:numPr>
          <w:ilvl w:val="0"/>
          <w:numId w:val="4"/>
        </w:numPr>
        <w:shd w:val="clear" w:color="auto" w:fill="FFFFFF" w:themeFill="background1"/>
        <w:rPr>
          <w:rFonts w:hint="default" w:ascii="Times New Roman" w:hAnsi="Times New Roman" w:cs="Times New Roman"/>
          <w:highlight w:val="none"/>
        </w:rPr>
      </w:pPr>
      <w:bookmarkStart w:id="12" w:name="OLE_LINK78"/>
      <w:r>
        <w:rPr>
          <w:rFonts w:hint="default" w:ascii="Times New Roman" w:hAnsi="Times New Roman" w:cs="Times New Roman"/>
          <w:highlight w:val="none"/>
        </w:rPr>
        <w:t>产品名称；</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rPr>
        <w:t>本文件编号；</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rPr>
        <w:t>牌号；</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rPr>
        <w:t>尺寸及精度；</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lang w:val="en-US" w:eastAsia="zh-CN"/>
        </w:rPr>
        <w:t>边缘状态</w:t>
      </w:r>
      <w:r>
        <w:rPr>
          <w:rFonts w:hint="default" w:ascii="Times New Roman" w:hAnsi="Times New Roman" w:cs="Times New Roman"/>
          <w:highlight w:val="none"/>
        </w:rPr>
        <w:t>；</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lang w:val="en-US" w:eastAsia="zh-CN"/>
        </w:rPr>
        <w:t>包装方式</w:t>
      </w:r>
      <w:r>
        <w:rPr>
          <w:rFonts w:hint="default" w:ascii="Times New Roman" w:hAnsi="Times New Roman" w:cs="Times New Roman"/>
          <w:highlight w:val="none"/>
        </w:rPr>
        <w:t>；</w:t>
      </w:r>
    </w:p>
    <w:p>
      <w:pPr>
        <w:pStyle w:val="104"/>
        <w:numPr>
          <w:ilvl w:val="0"/>
          <w:numId w:val="4"/>
        </w:numPr>
        <w:shd w:val="clear" w:color="auto" w:fill="FFFFFF" w:themeFill="background1"/>
        <w:rPr>
          <w:rFonts w:hint="default" w:ascii="Times New Roman" w:hAnsi="Times New Roman" w:cs="Times New Roman"/>
          <w:highlight w:val="none"/>
        </w:rPr>
      </w:pPr>
      <w:r>
        <w:rPr>
          <w:rFonts w:hint="default" w:ascii="Times New Roman" w:hAnsi="Times New Roman" w:cs="Times New Roman"/>
          <w:highlight w:val="none"/>
        </w:rPr>
        <w:t>特殊要求。</w:t>
      </w:r>
    </w:p>
    <w:bookmarkEnd w:id="10"/>
    <w:bookmarkEnd w:id="12"/>
    <w:p>
      <w:pPr>
        <w:pStyle w:val="47"/>
        <w:rPr>
          <w:highlight w:val="none"/>
        </w:rPr>
      </w:pPr>
      <w:bookmarkStart w:id="13" w:name="_Toc520380395"/>
      <w:bookmarkStart w:id="14" w:name="_Toc15685"/>
      <w:r>
        <w:rPr>
          <w:highlight w:val="none"/>
        </w:rPr>
        <w:t>尺寸、外形、重量</w:t>
      </w:r>
      <w:bookmarkEnd w:id="13"/>
      <w:bookmarkEnd w:id="14"/>
    </w:p>
    <w:p>
      <w:pPr>
        <w:pStyle w:val="49"/>
        <w:keepNext w:val="0"/>
        <w:keepLines w:val="0"/>
        <w:pageBreakBefore w:val="0"/>
        <w:widowControl/>
        <w:kinsoku/>
        <w:wordWrap/>
        <w:overflowPunct/>
        <w:topLinePunct w:val="0"/>
        <w:autoSpaceDE/>
        <w:autoSpaceDN/>
        <w:bidi w:val="0"/>
        <w:adjustRightInd/>
        <w:snapToGrid/>
        <w:spacing w:before="0" w:beforeLines="0" w:after="0" w:afterLines="0"/>
        <w:ind w:left="0"/>
        <w:textAlignment w:val="auto"/>
        <w:rPr>
          <w:highlight w:val="none"/>
        </w:rPr>
      </w:pPr>
      <w:bookmarkStart w:id="15" w:name="_Hlk5804893"/>
      <w:r>
        <w:rPr>
          <w:highlight w:val="none"/>
        </w:rPr>
        <w:t>尺寸及允许偏差</w:t>
      </w:r>
    </w:p>
    <w:p>
      <w:pPr>
        <w:pStyle w:val="23"/>
        <w:shd w:val="clear" w:color="auto" w:fill="FFFFFF" w:themeFill="background1"/>
        <w:rPr>
          <w:highlight w:val="none"/>
        </w:rPr>
      </w:pPr>
      <w:bookmarkStart w:id="16" w:name="OLE_LINK75"/>
      <w:bookmarkStart w:id="17" w:name="OLE_LINK74"/>
      <w:r>
        <w:rPr>
          <w:highlight w:val="none"/>
        </w:rPr>
        <w:t>钢带的公称尺寸</w:t>
      </w:r>
      <w:bookmarkStart w:id="18" w:name="OLE_LINK77"/>
      <w:r>
        <w:rPr>
          <w:highlight w:val="none"/>
        </w:rPr>
        <w:t>范围见表</w:t>
      </w:r>
      <w:bookmarkEnd w:id="18"/>
      <w:r>
        <w:rPr>
          <w:highlight w:val="none"/>
        </w:rPr>
        <w:t>1</w:t>
      </w:r>
      <w:bookmarkEnd w:id="16"/>
      <w:r>
        <w:rPr>
          <w:rFonts w:hint="eastAsia"/>
          <w:highlight w:val="none"/>
        </w:rPr>
        <w:t>，根据需方要求，经供需双方协商，并在合同中注明，可供应其他尺寸的产品。</w:t>
      </w:r>
    </w:p>
    <w:bookmarkEnd w:id="17"/>
    <w:p>
      <w:pPr>
        <w:pStyle w:val="79"/>
        <w:wordWrap w:val="0"/>
        <w:spacing w:before="156" w:after="156"/>
        <w:ind w:left="0"/>
        <w:jc w:val="right"/>
        <w:rPr>
          <w:rFonts w:ascii="Times New Roman" w:cs="Times New Roman"/>
          <w:highlight w:val="none"/>
        </w:rPr>
      </w:pPr>
      <w:bookmarkStart w:id="19" w:name="OLE_LINK76"/>
      <w:r>
        <w:rPr>
          <w:rFonts w:ascii="Times New Roman" w:cs="Times New Roman"/>
          <w:highlight w:val="none"/>
        </w:rPr>
        <w:t xml:space="preserve">    </w:t>
      </w:r>
      <w:r>
        <w:rPr>
          <w:rFonts w:hint="eastAsia" w:ascii="Times New Roman" w:cs="Times New Roman"/>
          <w:highlight w:val="none"/>
          <w:lang w:val="en-US" w:eastAsia="zh-CN"/>
        </w:rPr>
        <w:t xml:space="preserve">           </w:t>
      </w:r>
      <w:r>
        <w:rPr>
          <w:rFonts w:ascii="Times New Roman" w:cs="Times New Roman"/>
          <w:highlight w:val="none"/>
        </w:rPr>
        <w:t xml:space="preserve">                   单位为毫米</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1"/>
        <w:gridCol w:w="285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89" w:type="pct"/>
          </w:tcPr>
          <w:p>
            <w:pPr>
              <w:numPr>
                <w:ilvl w:val="0"/>
                <w:numId w:val="0"/>
              </w:numPr>
              <w:shd w:val="clear" w:color="auto" w:fill="FFFFFF" w:themeFill="background1"/>
              <w:ind w:left="363" w:hanging="181"/>
              <w:jc w:val="center"/>
              <w:rPr>
                <w:rFonts w:ascii="宋体"/>
                <w:highlight w:val="none"/>
              </w:rPr>
            </w:pPr>
            <w:r>
              <w:rPr>
                <w:rFonts w:ascii="宋体"/>
                <w:highlight w:val="none"/>
              </w:rPr>
              <w:t>公称厚度</w:t>
            </w:r>
          </w:p>
        </w:tc>
        <w:tc>
          <w:tcPr>
            <w:tcW w:w="1493" w:type="pct"/>
          </w:tcPr>
          <w:p>
            <w:pPr>
              <w:numPr>
                <w:ilvl w:val="0"/>
                <w:numId w:val="0"/>
              </w:numPr>
              <w:shd w:val="clear" w:color="auto" w:fill="FFFFFF" w:themeFill="background1"/>
              <w:ind w:left="363" w:hanging="181"/>
              <w:jc w:val="center"/>
              <w:rPr>
                <w:rFonts w:ascii="宋体"/>
                <w:highlight w:val="none"/>
              </w:rPr>
            </w:pPr>
            <w:r>
              <w:rPr>
                <w:rFonts w:ascii="宋体"/>
                <w:highlight w:val="none"/>
              </w:rPr>
              <w:t>公称宽度</w:t>
            </w:r>
          </w:p>
        </w:tc>
        <w:tc>
          <w:tcPr>
            <w:tcW w:w="2016" w:type="pct"/>
          </w:tcPr>
          <w:p>
            <w:pPr>
              <w:numPr>
                <w:ilvl w:val="0"/>
                <w:numId w:val="0"/>
              </w:numPr>
              <w:shd w:val="clear" w:color="auto" w:fill="FFFFFF" w:themeFill="background1"/>
              <w:ind w:left="544" w:hanging="181"/>
              <w:jc w:val="center"/>
              <w:rPr>
                <w:rFonts w:hint="default" w:ascii="宋体" w:eastAsia="宋体"/>
                <w:highlight w:val="none"/>
                <w:lang w:val="en-US" w:eastAsia="zh-CN"/>
              </w:rPr>
            </w:pPr>
            <w:r>
              <w:rPr>
                <w:rFonts w:hint="eastAsia" w:ascii="宋体"/>
                <w:highlight w:val="none"/>
                <w:lang w:val="en-US" w:eastAsia="zh-CN"/>
              </w:rPr>
              <w:t>钢卷内径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89" w:type="pct"/>
          </w:tcPr>
          <w:p>
            <w:pPr>
              <w:numPr>
                <w:ilvl w:val="0"/>
                <w:numId w:val="0"/>
              </w:numPr>
              <w:ind w:left="544" w:hanging="181"/>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0.35</w:t>
            </w:r>
            <w:r>
              <w:rPr>
                <w:rFonts w:ascii="Times New Roman" w:hAnsi="Times New Roman" w:cs="Times New Roman"/>
                <w:sz w:val="18"/>
                <w:szCs w:val="18"/>
                <w:highlight w:val="none"/>
              </w:rPr>
              <w:t>~</w:t>
            </w:r>
            <w:r>
              <w:rPr>
                <w:rFonts w:hint="eastAsia" w:ascii="Times New Roman" w:hAnsi="Times New Roman" w:cs="Times New Roman"/>
                <w:sz w:val="18"/>
                <w:szCs w:val="18"/>
                <w:highlight w:val="none"/>
                <w:lang w:val="en-US" w:eastAsia="zh-CN"/>
              </w:rPr>
              <w:t>0.80</w:t>
            </w:r>
          </w:p>
        </w:tc>
        <w:tc>
          <w:tcPr>
            <w:tcW w:w="1493" w:type="pct"/>
          </w:tcPr>
          <w:p>
            <w:pPr>
              <w:numPr>
                <w:ilvl w:val="0"/>
                <w:numId w:val="0"/>
              </w:numPr>
              <w:ind w:left="544" w:hanging="181"/>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900</w:t>
            </w:r>
            <w:r>
              <w:rPr>
                <w:rFonts w:ascii="Times New Roman" w:hAnsi="Times New Roman" w:cs="Times New Roman"/>
                <w:sz w:val="18"/>
                <w:szCs w:val="18"/>
                <w:highlight w:val="none"/>
              </w:rPr>
              <w:t>~</w:t>
            </w:r>
            <w:r>
              <w:rPr>
                <w:rFonts w:hint="eastAsia" w:ascii="Times New Roman" w:hAnsi="Times New Roman" w:cs="Times New Roman"/>
                <w:sz w:val="18"/>
                <w:szCs w:val="18"/>
                <w:highlight w:val="none"/>
                <w:lang w:val="en-US" w:eastAsia="zh-CN"/>
              </w:rPr>
              <w:t>1750</w:t>
            </w:r>
          </w:p>
        </w:tc>
        <w:tc>
          <w:tcPr>
            <w:tcW w:w="2016" w:type="pct"/>
          </w:tcPr>
          <w:p>
            <w:pPr>
              <w:numPr>
                <w:ilvl w:val="0"/>
                <w:numId w:val="0"/>
              </w:numPr>
              <w:ind w:left="544" w:hanging="181"/>
              <w:jc w:val="center"/>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508（或610）</w:t>
            </w:r>
          </w:p>
        </w:tc>
      </w:tr>
      <w:bookmarkEnd w:id="19"/>
    </w:tbl>
    <w:p>
      <w:pPr>
        <w:pStyle w:val="52"/>
        <w:shd w:val="clear" w:color="auto" w:fill="FFFFFF" w:themeFill="background1"/>
        <w:spacing w:before="156" w:after="156"/>
        <w:rPr>
          <w:rFonts w:hint="eastAsia" w:ascii="黑体" w:hAnsi="黑体" w:eastAsia="黑体" w:cs="黑体"/>
          <w:sz w:val="21"/>
          <w:szCs w:val="21"/>
          <w:highlight w:val="none"/>
          <w:lang w:val="en-US" w:eastAsia="zh-CN" w:bidi="ar-SA"/>
        </w:rPr>
      </w:pPr>
      <w:r>
        <w:rPr>
          <w:rFonts w:hint="eastAsia" w:ascii="黑体" w:hAnsi="黑体" w:eastAsia="黑体" w:cs="黑体"/>
          <w:sz w:val="21"/>
          <w:szCs w:val="21"/>
          <w:highlight w:val="none"/>
          <w:lang w:val="en-US" w:eastAsia="zh-CN" w:bidi="ar-SA"/>
        </w:rPr>
        <w:t>厚度允许偏差</w:t>
      </w:r>
    </w:p>
    <w:p>
      <w:pPr>
        <w:pStyle w:val="52"/>
        <w:numPr>
          <w:ilvl w:val="3"/>
          <w:numId w:val="2"/>
        </w:numPr>
        <w:shd w:val="clear" w:color="auto" w:fill="FFFFFF" w:themeFill="background1"/>
        <w:spacing w:before="156" w:after="156"/>
        <w:rPr>
          <w:rFonts w:ascii="Times New Roman" w:eastAsia="宋体"/>
          <w:highlight w:val="none"/>
        </w:rPr>
      </w:pPr>
      <w:r>
        <w:rPr>
          <w:rFonts w:ascii="Times New Roman" w:eastAsia="宋体"/>
          <w:highlight w:val="none"/>
        </w:rPr>
        <w:t>钢带的厚度允许偏差应符合表2的规定。</w:t>
      </w:r>
    </w:p>
    <w:p>
      <w:pPr>
        <w:pStyle w:val="79"/>
        <w:wordWrap w:val="0"/>
        <w:spacing w:before="156" w:after="156"/>
        <w:ind w:left="0"/>
        <w:jc w:val="right"/>
        <w:rPr>
          <w:rFonts w:ascii="Times New Roman" w:cs="Times New Roman"/>
          <w:highlight w:val="none"/>
        </w:rPr>
      </w:pPr>
      <w:r>
        <w:rPr>
          <w:rFonts w:ascii="Times New Roman" w:cs="Times New Roman"/>
          <w:highlight w:val="none"/>
        </w:rPr>
        <w:t xml:space="preserve">   </w:t>
      </w:r>
      <w:r>
        <w:rPr>
          <w:rFonts w:hint="eastAsia" w:ascii="Times New Roman" w:cs="Times New Roman"/>
          <w:highlight w:val="none"/>
          <w:lang w:val="en-US" w:eastAsia="zh-CN"/>
        </w:rPr>
        <w:t xml:space="preserve">   </w:t>
      </w:r>
      <w:r>
        <w:rPr>
          <w:rFonts w:ascii="Times New Roman" w:cs="Times New Roman"/>
          <w:highlight w:val="none"/>
        </w:rPr>
        <w:t xml:space="preserve">                          单位为毫米</w:t>
      </w:r>
    </w:p>
    <w:tbl>
      <w:tblPr>
        <w:tblStyle w:val="32"/>
        <w:tblW w:w="4999" w:type="pct"/>
        <w:tblInd w:w="0" w:type="dxa"/>
        <w:tblLayout w:type="autofit"/>
        <w:tblCellMar>
          <w:top w:w="0" w:type="dxa"/>
          <w:left w:w="108" w:type="dxa"/>
          <w:bottom w:w="0" w:type="dxa"/>
          <w:right w:w="108" w:type="dxa"/>
        </w:tblCellMar>
      </w:tblPr>
      <w:tblGrid>
        <w:gridCol w:w="4658"/>
        <w:gridCol w:w="4910"/>
      </w:tblGrid>
      <w:tr>
        <w:tblPrEx>
          <w:tblCellMar>
            <w:top w:w="0" w:type="dxa"/>
            <w:left w:w="108" w:type="dxa"/>
            <w:bottom w:w="0" w:type="dxa"/>
            <w:right w:w="108" w:type="dxa"/>
          </w:tblCellMar>
        </w:tblPrEx>
        <w:trPr>
          <w:cantSplit/>
          <w:trHeight w:val="333" w:hRule="exact"/>
        </w:trPr>
        <w:tc>
          <w:tcPr>
            <w:tcW w:w="2434"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公称厚度</w:t>
            </w:r>
          </w:p>
        </w:tc>
        <w:tc>
          <w:tcPr>
            <w:tcW w:w="2565"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厚度允许偏差</w:t>
            </w:r>
          </w:p>
        </w:tc>
      </w:tr>
      <w:tr>
        <w:tblPrEx>
          <w:tblCellMar>
            <w:top w:w="0" w:type="dxa"/>
            <w:left w:w="108" w:type="dxa"/>
            <w:bottom w:w="0" w:type="dxa"/>
            <w:right w:w="108" w:type="dxa"/>
          </w:tblCellMar>
        </w:tblPrEx>
        <w:trPr>
          <w:cantSplit/>
          <w:trHeight w:val="333" w:hRule="exact"/>
        </w:trPr>
        <w:tc>
          <w:tcPr>
            <w:tcW w:w="2434" w:type="pct"/>
            <w:tcBorders>
              <w:top w:val="single" w:color="auto" w:sz="4" w:space="0"/>
              <w:left w:val="single" w:color="000000" w:sz="2" w:space="0"/>
              <w:bottom w:val="single" w:color="000000" w:sz="2" w:space="0"/>
              <w:right w:val="single" w:color="auto" w:sz="4" w:space="0"/>
            </w:tcBorders>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w:t>
            </w:r>
            <w:r>
              <w:rPr>
                <w:rFonts w:hint="default" w:ascii="Times New Roman" w:hAnsi="Times New Roman" w:cs="Times New Roman"/>
                <w:sz w:val="18"/>
                <w:szCs w:val="18"/>
                <w:highlight w:val="none"/>
                <w:lang w:val="en-US" w:eastAsia="zh-CN"/>
              </w:rPr>
              <w:t>3</w:t>
            </w:r>
            <w:r>
              <w:rPr>
                <w:rFonts w:hint="default" w:ascii="Times New Roman" w:hAnsi="Times New Roman" w:cs="Times New Roman"/>
                <w:sz w:val="18"/>
                <w:szCs w:val="18"/>
                <w:highlight w:val="none"/>
              </w:rPr>
              <w:t>5~0.</w:t>
            </w:r>
            <w:r>
              <w:rPr>
                <w:rFonts w:hint="default" w:ascii="Times New Roman" w:hAnsi="Times New Roman" w:cs="Times New Roman"/>
                <w:sz w:val="18"/>
                <w:szCs w:val="18"/>
                <w:highlight w:val="none"/>
                <w:lang w:val="en-US" w:eastAsia="zh-CN"/>
              </w:rPr>
              <w:t>5</w:t>
            </w:r>
            <w:r>
              <w:rPr>
                <w:rFonts w:hint="default" w:ascii="Times New Roman" w:hAnsi="Times New Roman" w:cs="Times New Roman"/>
                <w:sz w:val="18"/>
                <w:szCs w:val="18"/>
                <w:highlight w:val="none"/>
              </w:rPr>
              <w:t>0</w:t>
            </w:r>
          </w:p>
        </w:tc>
        <w:tc>
          <w:tcPr>
            <w:tcW w:w="2565" w:type="pct"/>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val="en-US" w:eastAsia="zh-CN"/>
              </w:rPr>
              <w:t>15</w:t>
            </w:r>
          </w:p>
        </w:tc>
      </w:tr>
      <w:tr>
        <w:tblPrEx>
          <w:tblCellMar>
            <w:top w:w="0" w:type="dxa"/>
            <w:left w:w="108" w:type="dxa"/>
            <w:bottom w:w="0" w:type="dxa"/>
            <w:right w:w="108" w:type="dxa"/>
          </w:tblCellMar>
        </w:tblPrEx>
        <w:trPr>
          <w:cantSplit/>
          <w:trHeight w:val="333" w:hRule="exact"/>
        </w:trPr>
        <w:tc>
          <w:tcPr>
            <w:tcW w:w="2434" w:type="pct"/>
            <w:tcBorders>
              <w:top w:val="single" w:color="000000" w:sz="2" w:space="0"/>
              <w:left w:val="single" w:color="000000" w:sz="2" w:space="0"/>
              <w:bottom w:val="single" w:color="000000" w:sz="2" w:space="0"/>
              <w:right w:val="single" w:color="auto" w:sz="4" w:space="0"/>
            </w:tcBorders>
            <w:noWrap w:val="0"/>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w:t>
            </w:r>
            <w:r>
              <w:rPr>
                <w:rFonts w:hint="default" w:ascii="Times New Roman" w:hAnsi="Times New Roman" w:cs="Times New Roman"/>
                <w:sz w:val="18"/>
                <w:szCs w:val="18"/>
                <w:highlight w:val="none"/>
                <w:lang w:val="en-US" w:eastAsia="zh-CN"/>
              </w:rPr>
              <w:t>5</w:t>
            </w:r>
            <w:r>
              <w:rPr>
                <w:rFonts w:hint="default" w:ascii="Times New Roman" w:hAnsi="Times New Roman" w:cs="Times New Roman"/>
                <w:sz w:val="18"/>
                <w:szCs w:val="18"/>
                <w:highlight w:val="none"/>
              </w:rPr>
              <w:t>0~&lt;</w:t>
            </w:r>
            <w:r>
              <w:rPr>
                <w:rFonts w:hint="default" w:ascii="Times New Roman" w:hAnsi="Times New Roman" w:cs="Times New Roman"/>
                <w:sz w:val="18"/>
                <w:szCs w:val="18"/>
                <w:highlight w:val="none"/>
                <w:lang w:val="en-US" w:eastAsia="zh-CN"/>
              </w:rPr>
              <w:t>0.8</w:t>
            </w:r>
            <w:r>
              <w:rPr>
                <w:rFonts w:hint="default" w:ascii="Times New Roman" w:hAnsi="Times New Roman" w:cs="Times New Roman"/>
                <w:sz w:val="18"/>
                <w:szCs w:val="18"/>
                <w:highlight w:val="none"/>
              </w:rPr>
              <w:t>0</w:t>
            </w:r>
          </w:p>
        </w:tc>
        <w:tc>
          <w:tcPr>
            <w:tcW w:w="2565" w:type="pct"/>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±0.02</w:t>
            </w:r>
            <w:r>
              <w:rPr>
                <w:rFonts w:hint="default" w:ascii="Times New Roman" w:hAnsi="Times New Roman" w:cs="Times New Roman"/>
                <w:sz w:val="18"/>
                <w:szCs w:val="18"/>
                <w:highlight w:val="none"/>
                <w:lang w:val="en-US" w:eastAsia="zh-CN"/>
              </w:rPr>
              <w:t>0</w:t>
            </w:r>
          </w:p>
        </w:tc>
      </w:tr>
      <w:tr>
        <w:tblPrEx>
          <w:tblCellMar>
            <w:top w:w="0" w:type="dxa"/>
            <w:left w:w="108" w:type="dxa"/>
            <w:bottom w:w="0" w:type="dxa"/>
            <w:right w:w="108" w:type="dxa"/>
          </w:tblCellMar>
        </w:tblPrEx>
        <w:trPr>
          <w:cantSplit/>
          <w:trHeight w:val="333" w:hRule="exact"/>
        </w:trPr>
        <w:tc>
          <w:tcPr>
            <w:tcW w:w="5000" w:type="pct"/>
            <w:gridSpan w:val="2"/>
            <w:tcBorders>
              <w:top w:val="single" w:color="000000" w:sz="2" w:space="0"/>
              <w:left w:val="single" w:color="000000" w:sz="2" w:space="0"/>
              <w:bottom w:val="single" w:color="000000" w:sz="2" w:space="0"/>
              <w:right w:val="single" w:color="000000" w:sz="2" w:space="0"/>
            </w:tcBorders>
            <w:noWrap w:val="0"/>
            <w:vAlign w:val="center"/>
          </w:tcPr>
          <w:p>
            <w:pPr>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注：厚度测量位置为钢带中间位置</w:t>
            </w:r>
            <w:r>
              <w:rPr>
                <w:rFonts w:hint="default" w:ascii="Times New Roman" w:hAnsi="Times New Roman" w:cs="Times New Roman"/>
                <w:sz w:val="18"/>
                <w:szCs w:val="18"/>
                <w:highlight w:val="none"/>
                <w:lang w:eastAsia="zh-CN"/>
              </w:rPr>
              <w:t>。</w:t>
            </w:r>
          </w:p>
        </w:tc>
      </w:tr>
    </w:tbl>
    <w:p>
      <w:pPr>
        <w:pStyle w:val="52"/>
        <w:numPr>
          <w:ilvl w:val="3"/>
          <w:numId w:val="2"/>
        </w:numPr>
        <w:shd w:val="clear" w:color="auto" w:fill="FFFFFF" w:themeFill="background1"/>
        <w:spacing w:before="156" w:beforeLines="50" w:after="156" w:afterLines="50"/>
        <w:jc w:val="both"/>
        <w:outlineLvl w:val="3"/>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钢带头尾部分（总长度不大于10000mm）的厚度偏差值允许比表2允许偏差值增加50%。</w:t>
      </w:r>
    </w:p>
    <w:p>
      <w:pPr>
        <w:pStyle w:val="52"/>
        <w:shd w:val="clear" w:color="auto" w:fill="FFFFFF" w:themeFill="background1"/>
        <w:spacing w:before="156" w:after="156"/>
        <w:rPr>
          <w:rFonts w:hint="default" w:ascii="Times New Roman" w:hAnsi="Times New Roman" w:eastAsia="黑体" w:cs="Times New Roman"/>
          <w:sz w:val="21"/>
          <w:szCs w:val="21"/>
          <w:highlight w:val="none"/>
          <w:lang w:val="en-US" w:eastAsia="zh-CN" w:bidi="ar-SA"/>
        </w:rPr>
      </w:pPr>
      <w:r>
        <w:rPr>
          <w:rFonts w:hint="default" w:ascii="Times New Roman" w:hAnsi="Times New Roman" w:eastAsia="黑体" w:cs="Times New Roman"/>
          <w:sz w:val="21"/>
          <w:szCs w:val="21"/>
          <w:highlight w:val="none"/>
          <w:lang w:val="en-US" w:eastAsia="zh-CN" w:bidi="ar-SA"/>
        </w:rPr>
        <w:t>宽度允许偏差</w:t>
      </w:r>
    </w:p>
    <w:p>
      <w:pPr>
        <w:pStyle w:val="52"/>
        <w:numPr>
          <w:ilvl w:val="3"/>
          <w:numId w:val="2"/>
        </w:numPr>
        <w:shd w:val="clear" w:color="auto" w:fill="FFFFFF" w:themeFill="background1"/>
        <w:spacing w:before="156" w:after="156"/>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切边钢带的宽度允许偏差应符合表3的规定。如需方要求并在合同中注明，可执行更高宽度公差要求。</w:t>
      </w:r>
    </w:p>
    <w:p>
      <w:pPr>
        <w:pStyle w:val="79"/>
        <w:wordWrap w:val="0"/>
        <w:spacing w:before="156" w:after="156"/>
        <w:ind w:left="0"/>
        <w:jc w:val="right"/>
        <w:rPr>
          <w:rFonts w:hint="default" w:ascii="Times New Roman" w:hAnsi="Times New Roman" w:cs="Times New Roman"/>
          <w:highlight w:val="none"/>
        </w:rPr>
      </w:pPr>
      <w:r>
        <w:rPr>
          <w:rFonts w:hint="eastAsia"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      单位为毫米</w:t>
      </w:r>
    </w:p>
    <w:tbl>
      <w:tblPr>
        <w:tblStyle w:val="3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1"/>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exact"/>
        </w:trPr>
        <w:tc>
          <w:tcPr>
            <w:tcW w:w="2641" w:type="pct"/>
            <w:noWrap w:val="0"/>
            <w:vAlign w:val="center"/>
          </w:tcPr>
          <w:p>
            <w:pPr>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highlight w:val="none"/>
              </w:rPr>
              <w:t>公称宽度</w:t>
            </w:r>
          </w:p>
        </w:tc>
        <w:tc>
          <w:tcPr>
            <w:tcW w:w="2358" w:type="pct"/>
            <w:noWrap w:val="0"/>
            <w:vAlign w:val="center"/>
          </w:tcPr>
          <w:p>
            <w:pPr>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宽度允许公差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641" w:type="pct"/>
            <w:noWrap w:val="0"/>
            <w:vAlign w:val="center"/>
          </w:tcPr>
          <w:p>
            <w:pPr>
              <w:pStyle w:val="153"/>
              <w:spacing w:after="0" w:line="240" w:lineRule="auto"/>
              <w:jc w:val="center"/>
              <w:rPr>
                <w:rFonts w:hint="default" w:ascii="Times New Roman" w:hAnsi="Times New Roman" w:eastAsia="Times New Roman" w:cs="Times New Roman"/>
                <w:color w:val="000000"/>
                <w:sz w:val="18"/>
                <w:szCs w:val="18"/>
                <w:highlight w:val="none"/>
                <w:lang w:eastAsia="en-US" w:bidi="en-US"/>
              </w:rPr>
            </w:pPr>
            <w:r>
              <w:rPr>
                <w:rFonts w:hint="default" w:ascii="Times New Roman" w:hAnsi="Times New Roman" w:cs="Times New Roman"/>
                <w:sz w:val="18"/>
                <w:szCs w:val="18"/>
                <w:highlight w:val="none"/>
                <w:lang w:val="en-US" w:eastAsia="zh-CN"/>
              </w:rPr>
              <w:t>900</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1750</w:t>
            </w:r>
          </w:p>
        </w:tc>
        <w:tc>
          <w:tcPr>
            <w:tcW w:w="2358" w:type="pct"/>
            <w:noWrap w:val="0"/>
            <w:vAlign w:val="center"/>
          </w:tcPr>
          <w:p>
            <w:pPr>
              <w:pStyle w:val="153"/>
              <w:spacing w:after="0" w:line="240" w:lineRule="auto"/>
              <w:jc w:val="center"/>
              <w:rPr>
                <w:rFonts w:hint="default" w:ascii="Times New Roman" w:hAnsi="Times New Roman" w:eastAsia="宋体" w:cs="Times New Roman"/>
                <w:color w:val="000000"/>
                <w:sz w:val="18"/>
                <w:szCs w:val="15"/>
                <w:highlight w:val="none"/>
                <w:lang w:eastAsia="zh-CN" w:bidi="en-US"/>
              </w:rPr>
            </w:pPr>
            <w:r>
              <w:rPr>
                <w:rFonts w:hint="default" w:ascii="Times New Roman" w:hAnsi="Times New Roman" w:eastAsia="Times New Roman" w:cs="Times New Roman"/>
                <w:color w:val="000000"/>
                <w:sz w:val="18"/>
                <w:szCs w:val="15"/>
                <w:highlight w:val="none"/>
                <w:lang w:eastAsia="en-US" w:bidi="en-US"/>
              </w:rPr>
              <w:t>+</w:t>
            </w:r>
            <w:r>
              <w:rPr>
                <w:rFonts w:hint="default" w:ascii="Times New Roman" w:hAnsi="Times New Roman" w:cs="Times New Roman"/>
                <w:color w:val="000000"/>
                <w:sz w:val="18"/>
                <w:szCs w:val="15"/>
                <w:highlight w:val="none"/>
                <w:lang w:val="en-US" w:eastAsia="zh-CN" w:bidi="en-US"/>
              </w:rPr>
              <w:t>3</w:t>
            </w:r>
          </w:p>
          <w:p>
            <w:pPr>
              <w:pStyle w:val="153"/>
              <w:spacing w:after="0" w:line="240" w:lineRule="auto"/>
              <w:jc w:val="center"/>
              <w:rPr>
                <w:rFonts w:hint="default" w:ascii="Times New Roman" w:hAnsi="Times New Roman" w:eastAsia="Times New Roman" w:cs="Times New Roman"/>
                <w:color w:val="000000"/>
                <w:sz w:val="18"/>
                <w:szCs w:val="15"/>
                <w:highlight w:val="none"/>
                <w:lang w:eastAsia="en-US" w:bidi="en-US"/>
              </w:rPr>
            </w:pPr>
            <w:r>
              <w:rPr>
                <w:rFonts w:hint="default" w:ascii="Times New Roman" w:hAnsi="Times New Roman" w:eastAsia="Times New Roman" w:cs="Times New Roman"/>
                <w:color w:val="000000"/>
                <w:sz w:val="18"/>
                <w:szCs w:val="15"/>
                <w:highlight w:val="none"/>
                <w:lang w:eastAsia="en-US" w:bidi="en-US"/>
              </w:rPr>
              <w:t>0</w:t>
            </w:r>
          </w:p>
        </w:tc>
      </w:tr>
    </w:tbl>
    <w:p>
      <w:pPr>
        <w:pStyle w:val="52"/>
        <w:numPr>
          <w:ilvl w:val="3"/>
          <w:numId w:val="2"/>
        </w:numPr>
        <w:shd w:val="clear" w:color="auto" w:fill="FFFFFF" w:themeFill="background1"/>
        <w:spacing w:before="156" w:beforeLines="50" w:after="156" w:afterLines="50"/>
        <w:jc w:val="both"/>
        <w:outlineLvl w:val="3"/>
        <w:rPr>
          <w:rFonts w:hint="eastAsia" w:ascii="Times New Roman" w:hAnsi="Times New Roman" w:eastAsia="宋体" w:cs="Times New Roman"/>
          <w:sz w:val="21"/>
          <w:szCs w:val="21"/>
          <w:highlight w:val="none"/>
          <w:lang w:val="en-US" w:eastAsia="zh-CN" w:bidi="ar-SA"/>
        </w:rPr>
      </w:pPr>
      <w:r>
        <w:rPr>
          <w:rFonts w:hint="eastAsia" w:ascii="Times New Roman" w:eastAsia="宋体" w:cs="Times New Roman"/>
          <w:sz w:val="21"/>
          <w:szCs w:val="21"/>
          <w:highlight w:val="none"/>
          <w:lang w:val="en-US" w:eastAsia="zh-CN" w:bidi="ar-SA"/>
        </w:rPr>
        <w:t>不切边钢带的宽度允许偏差由供需双方协商确定。</w:t>
      </w:r>
    </w:p>
    <w:p>
      <w:pPr>
        <w:pStyle w:val="52"/>
        <w:shd w:val="clear" w:color="auto" w:fill="FFFFFF" w:themeFill="background1"/>
        <w:spacing w:before="156" w:after="156"/>
        <w:rPr>
          <w:rFonts w:hint="eastAsia" w:ascii="黑体" w:hAnsi="黑体" w:eastAsia="黑体" w:cs="黑体"/>
          <w:sz w:val="21"/>
          <w:szCs w:val="21"/>
          <w:highlight w:val="none"/>
          <w:lang w:val="en-US" w:eastAsia="zh-CN" w:bidi="ar-SA"/>
        </w:rPr>
      </w:pPr>
      <w:r>
        <w:rPr>
          <w:rFonts w:hint="eastAsia" w:ascii="黑体" w:hAnsi="黑体" w:eastAsia="黑体" w:cs="黑体"/>
          <w:sz w:val="21"/>
          <w:szCs w:val="21"/>
          <w:highlight w:val="none"/>
          <w:lang w:val="en-US" w:eastAsia="zh-CN" w:bidi="ar-SA"/>
        </w:rPr>
        <w:t>不平度</w:t>
      </w:r>
    </w:p>
    <w:p>
      <w:pPr>
        <w:pStyle w:val="23"/>
        <w:rPr>
          <w:rFonts w:hint="default" w:ascii="Times New Roman" w:hAnsi="Times New Roman" w:cs="Times New Roman"/>
          <w:highlight w:val="none"/>
        </w:rPr>
      </w:pPr>
      <w:r>
        <w:rPr>
          <w:rFonts w:hint="default" w:ascii="Times New Roman" w:hAnsi="Times New Roman" w:cs="Times New Roman"/>
          <w:highlight w:val="none"/>
        </w:rPr>
        <w:t>钢带的不平度应不大于</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mm。如需方要求并在合同中注明，可执行更高不平度要求。</w:t>
      </w:r>
    </w:p>
    <w:p>
      <w:pPr>
        <w:pStyle w:val="49"/>
        <w:spacing w:before="156" w:after="156"/>
        <w:ind w:left="0"/>
        <w:rPr>
          <w:highlight w:val="none"/>
        </w:rPr>
      </w:pPr>
      <w:r>
        <w:rPr>
          <w:highlight w:val="none"/>
        </w:rPr>
        <w:t>重量</w:t>
      </w:r>
    </w:p>
    <w:p>
      <w:pPr>
        <w:pStyle w:val="23"/>
        <w:rPr>
          <w:highlight w:val="none"/>
        </w:rPr>
      </w:pPr>
      <w:r>
        <w:rPr>
          <w:highlight w:val="none"/>
        </w:rPr>
        <w:t>钢带按实际重量交货。</w:t>
      </w:r>
    </w:p>
    <w:bookmarkEnd w:id="15"/>
    <w:p>
      <w:pPr>
        <w:pStyle w:val="47"/>
        <w:rPr>
          <w:highlight w:val="none"/>
        </w:rPr>
      </w:pPr>
      <w:bookmarkStart w:id="20" w:name="_Toc30656"/>
      <w:r>
        <w:rPr>
          <w:highlight w:val="none"/>
        </w:rPr>
        <w:t>技术要求</w:t>
      </w:r>
      <w:bookmarkEnd w:id="20"/>
    </w:p>
    <w:p>
      <w:pPr>
        <w:pStyle w:val="49"/>
        <w:spacing w:before="156" w:after="156"/>
        <w:ind w:left="0"/>
        <w:rPr>
          <w:highlight w:val="none"/>
        </w:rPr>
      </w:pPr>
      <w:r>
        <w:rPr>
          <w:highlight w:val="none"/>
        </w:rPr>
        <w:t>牌号和化学成分</w:t>
      </w:r>
    </w:p>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钢的牌号和化学成分（熔炼分析）应符合表</w:t>
      </w:r>
      <w:r>
        <w:rPr>
          <w:rFonts w:hint="default" w:ascii="Times New Roman" w:hAnsi="Times New Roman" w:eastAsia="宋体" w:cs="Times New Roman"/>
          <w:highlight w:val="none"/>
          <w:lang w:val="en-US" w:eastAsia="zh-CN"/>
        </w:rPr>
        <w:t>4</w:t>
      </w:r>
      <w:r>
        <w:rPr>
          <w:rFonts w:hint="default" w:ascii="Times New Roman" w:hAnsi="Times New Roman" w:eastAsia="宋体" w:cs="Times New Roman"/>
          <w:highlight w:val="none"/>
        </w:rPr>
        <w:t>的规定。</w:t>
      </w:r>
    </w:p>
    <w:p>
      <w:pPr>
        <w:pStyle w:val="79"/>
        <w:wordWrap/>
        <w:spacing w:before="156" w:after="156"/>
        <w:ind w:left="0"/>
        <w:jc w:val="center"/>
        <w:rPr>
          <w:rFonts w:ascii="Times New Roman" w:cs="Times New Roman"/>
          <w:highlight w:val="none"/>
        </w:rPr>
      </w:pPr>
    </w:p>
    <w:tbl>
      <w:tblPr>
        <w:tblStyle w:val="15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1"/>
        <w:gridCol w:w="1330"/>
        <w:gridCol w:w="1330"/>
        <w:gridCol w:w="1330"/>
        <w:gridCol w:w="1330"/>
        <w:gridCol w:w="1330"/>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26" w:type="pct"/>
            <w:vMerge w:val="restar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bookmarkStart w:id="21" w:name="_Hlk107862947"/>
            <w:bookmarkStart w:id="22" w:name="OLE_LINK73"/>
            <w:r>
              <w:rPr>
                <w:rFonts w:hint="default" w:ascii="Times New Roman" w:hAnsi="Times New Roman" w:cs="Times New Roman"/>
                <w:kern w:val="0"/>
                <w:sz w:val="18"/>
                <w:szCs w:val="18"/>
                <w:highlight w:val="none"/>
              </w:rPr>
              <w:t>牌号</w:t>
            </w:r>
          </w:p>
        </w:tc>
        <w:tc>
          <w:tcPr>
            <w:tcW w:w="4173" w:type="pct"/>
            <w:gridSpan w:val="6"/>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eastAsiaTheme="minorEastAsia"/>
                <w:kern w:val="0"/>
                <w:sz w:val="18"/>
                <w:szCs w:val="18"/>
                <w:highlight w:val="none"/>
              </w:rPr>
              <w:t xml:space="preserve">化学成分（质量分数）/%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Merge w:val="continue"/>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C</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Si</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Mn</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P</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S</w:t>
            </w:r>
          </w:p>
        </w:tc>
        <w:tc>
          <w:tcPr>
            <w:tcW w:w="696"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Al</w:t>
            </w:r>
            <w:r>
              <w:rPr>
                <w:rFonts w:hint="default" w:ascii="Times New Roman" w:hAnsi="Times New Roman" w:cs="Times New Roman"/>
                <w:kern w:val="0"/>
                <w:sz w:val="18"/>
                <w:szCs w:val="18"/>
                <w:highlight w:val="none"/>
                <w:vertAlign w:val="subscript"/>
                <w:lang w:val="en-US" w:eastAsia="zh-CN"/>
              </w:rPr>
              <w:t>t</w:t>
            </w:r>
            <w:r>
              <w:rPr>
                <w:rFonts w:hint="default" w:ascii="Times New Roman" w:hAnsi="Times New Roman" w:cs="Times New Roman"/>
                <w:kern w:val="0"/>
                <w:sz w:val="18"/>
                <w:szCs w:val="18"/>
                <w:highlight w:val="none"/>
                <w:vertAlign w:val="superscript"/>
                <w:lang w:val="en-US"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Align w:val="top"/>
          </w:tcPr>
          <w:p>
            <w:pPr>
              <w:pStyle w:val="155"/>
              <w:spacing w:before="114" w:line="184" w:lineRule="auto"/>
              <w:ind w:left="664" w:leftChars="0"/>
              <w:rPr>
                <w:rFonts w:hint="default" w:ascii="Times New Roman" w:hAnsi="Times New Roman" w:eastAsia="宋体" w:cs="Times New Roman"/>
                <w:kern w:val="2"/>
                <w:sz w:val="17"/>
                <w:szCs w:val="17"/>
                <w:highlight w:val="none"/>
                <w:lang w:val="en-US" w:eastAsia="zh-CN" w:bidi="ar-SA"/>
              </w:rPr>
            </w:pPr>
            <w:bookmarkStart w:id="23" w:name="OLE_LINK32" w:colFirst="1" w:colLast="1"/>
            <w:r>
              <w:rPr>
                <w:rFonts w:hint="default" w:ascii="Times New Roman" w:hAnsi="Times New Roman" w:cs="Times New Roman"/>
                <w:spacing w:val="-1"/>
                <w:sz w:val="17"/>
                <w:szCs w:val="17"/>
                <w:highlight w:val="none"/>
                <w:lang w:val="en-US" w:eastAsia="zh-CN"/>
              </w:rPr>
              <w:t>ZLG03</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≤0.004</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lang w:val="en-US" w:eastAsia="zh-CN"/>
              </w:rPr>
              <w:t>≤0.030</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lang w:val="en-US" w:eastAsia="zh-CN"/>
              </w:rPr>
              <w:t>≤0.25</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lang w:val="en-US" w:eastAsia="zh-CN"/>
              </w:rPr>
              <w:t>≤0.018</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lang w:val="en-US" w:eastAsia="zh-CN"/>
              </w:rPr>
              <w:t>≤0.018</w:t>
            </w:r>
          </w:p>
        </w:tc>
        <w:tc>
          <w:tcPr>
            <w:tcW w:w="696"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6" w:type="pct"/>
            <w:vAlign w:val="top"/>
          </w:tcPr>
          <w:p>
            <w:pPr>
              <w:pStyle w:val="155"/>
              <w:spacing w:before="114" w:line="184" w:lineRule="auto"/>
              <w:ind w:left="664" w:leftChars="0"/>
              <w:rPr>
                <w:rFonts w:hint="default" w:ascii="Times New Roman" w:hAnsi="Times New Roman" w:cs="Times New Roman"/>
                <w:spacing w:val="-1"/>
                <w:sz w:val="17"/>
                <w:szCs w:val="17"/>
                <w:highlight w:val="none"/>
                <w:lang w:val="en-US" w:eastAsia="zh-CN"/>
              </w:rPr>
            </w:pPr>
            <w:r>
              <w:rPr>
                <w:rFonts w:hint="default" w:ascii="Times New Roman" w:hAnsi="Times New Roman" w:cs="Times New Roman"/>
                <w:sz w:val="18"/>
                <w:szCs w:val="18"/>
                <w:highlight w:val="none"/>
                <w:lang w:val="en-US" w:eastAsia="zh-CN"/>
              </w:rPr>
              <w:t>ZLG04</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≤0.003</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≤0.030</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≤0.20</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≤0.015</w:t>
            </w:r>
          </w:p>
        </w:tc>
        <w:tc>
          <w:tcPr>
            <w:tcW w:w="695"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≤0.015</w:t>
            </w:r>
          </w:p>
        </w:tc>
        <w:tc>
          <w:tcPr>
            <w:tcW w:w="696" w:type="pct"/>
            <w:vAlign w:val="center"/>
          </w:tcPr>
          <w:p>
            <w:pPr>
              <w:widowControl/>
              <w:tabs>
                <w:tab w:val="center" w:pos="4201"/>
                <w:tab w:val="right" w:leader="dot" w:pos="9298"/>
              </w:tabs>
              <w:autoSpaceDE w:val="0"/>
              <w:autoSpaceDN w:val="0"/>
              <w:adjustRightInd w:val="0"/>
              <w:snapToGrid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000" w:type="pct"/>
            <w:gridSpan w:val="7"/>
            <w:vAlign w:val="center"/>
          </w:tcPr>
          <w:p>
            <w:pPr>
              <w:widowControl/>
              <w:tabs>
                <w:tab w:val="center" w:pos="4201"/>
                <w:tab w:val="right" w:leader="dot" w:pos="9298"/>
              </w:tabs>
              <w:autoSpaceDE w:val="0"/>
              <w:autoSpaceDN w:val="0"/>
              <w:adjustRightInd w:val="0"/>
              <w:snapToGrid w:val="0"/>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sz w:val="17"/>
                <w:szCs w:val="17"/>
                <w:highlight w:val="none"/>
                <w:vertAlign w:val="superscript"/>
                <w:lang w:val="en-US" w:eastAsia="zh-CN"/>
              </w:rPr>
              <w:t>a</w:t>
            </w:r>
            <w:r>
              <w:rPr>
                <w:rFonts w:hint="default" w:ascii="Times New Roman" w:hAnsi="Times New Roman" w:cs="Times New Roman"/>
                <w:sz w:val="17"/>
                <w:szCs w:val="17"/>
                <w:highlight w:val="none"/>
              </w:rPr>
              <w:t>可采用酸溶铝(Als)代替全铝(Alt)</w:t>
            </w:r>
            <w:r>
              <w:rPr>
                <w:rFonts w:hint="default" w:ascii="Times New Roman" w:hAnsi="Times New Roman" w:cs="Times New Roman"/>
                <w:sz w:val="17"/>
                <w:szCs w:val="17"/>
                <w:highlight w:val="none"/>
                <w:lang w:eastAsia="zh-CN"/>
              </w:rPr>
              <w:t>，</w:t>
            </w:r>
            <w:r>
              <w:rPr>
                <w:rFonts w:hint="default" w:ascii="Times New Roman" w:hAnsi="Times New Roman" w:cs="Times New Roman"/>
                <w:sz w:val="17"/>
                <w:szCs w:val="17"/>
                <w:highlight w:val="none"/>
              </w:rPr>
              <w:t>当采用酸溶铝时</w:t>
            </w:r>
            <w:r>
              <w:rPr>
                <w:rFonts w:hint="default" w:ascii="Times New Roman" w:hAnsi="Times New Roman" w:cs="Times New Roman"/>
                <w:sz w:val="17"/>
                <w:szCs w:val="17"/>
                <w:highlight w:val="none"/>
                <w:lang w:eastAsia="zh-CN"/>
              </w:rPr>
              <w:t>，</w:t>
            </w:r>
            <w:r>
              <w:rPr>
                <w:rFonts w:hint="default" w:ascii="Times New Roman" w:hAnsi="Times New Roman" w:cs="Times New Roman"/>
                <w:sz w:val="17"/>
                <w:szCs w:val="17"/>
                <w:highlight w:val="none"/>
              </w:rPr>
              <w:t>Als≥0.010%</w:t>
            </w:r>
            <w:r>
              <w:rPr>
                <w:rFonts w:hint="default" w:ascii="Times New Roman" w:hAnsi="Times New Roman" w:cs="Times New Roman"/>
                <w:sz w:val="17"/>
                <w:szCs w:val="17"/>
                <w:highlight w:val="none"/>
                <w:lang w:eastAsia="zh-CN"/>
              </w:rPr>
              <w:t>。</w:t>
            </w:r>
          </w:p>
        </w:tc>
      </w:tr>
      <w:bookmarkEnd w:id="21"/>
      <w:bookmarkEnd w:id="22"/>
      <w:bookmarkEnd w:id="23"/>
    </w:tbl>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成品化学成分允许偏差应符合GB/T 222的规定。</w:t>
      </w:r>
    </w:p>
    <w:p>
      <w:pPr>
        <w:pStyle w:val="52"/>
        <w:keepNext w:val="0"/>
        <w:keepLines w:val="0"/>
        <w:pageBreakBefore w:val="0"/>
        <w:widowControl/>
        <w:kinsoku/>
        <w:wordWrap/>
        <w:overflowPunct/>
        <w:topLinePunct w:val="0"/>
        <w:autoSpaceDE/>
        <w:autoSpaceDN/>
        <w:bidi w:val="0"/>
        <w:adjustRightInd/>
        <w:snapToGrid/>
        <w:spacing w:before="156" w:after="156"/>
        <w:textAlignment w:val="auto"/>
        <w:rPr>
          <w:rFonts w:hint="default" w:ascii="Times New Roman" w:hAnsi="Times New Roman" w:eastAsia="宋体" w:cs="Times New Roman"/>
          <w:highlight w:val="none"/>
        </w:rPr>
      </w:pPr>
      <w:r>
        <w:rPr>
          <w:rFonts w:hint="default" w:ascii="Times New Roman" w:hAnsi="Times New Roman" w:eastAsia="宋体" w:cs="Times New Roman"/>
          <w:highlight w:val="none"/>
        </w:rPr>
        <w:t>经供需双方协商，并在合同中注明，也可</w:t>
      </w:r>
      <w:r>
        <w:rPr>
          <w:rFonts w:hint="eastAsia" w:ascii="Times New Roman" w:hAnsi="Times New Roman" w:eastAsia="宋体" w:cs="Times New Roman"/>
          <w:highlight w:val="none"/>
          <w:lang w:val="en-US" w:eastAsia="zh-CN"/>
        </w:rPr>
        <w:t>采用</w:t>
      </w:r>
      <w:r>
        <w:rPr>
          <w:rFonts w:hint="default" w:ascii="Times New Roman" w:hAnsi="Times New Roman" w:eastAsia="宋体" w:cs="Times New Roman"/>
          <w:highlight w:val="none"/>
        </w:rPr>
        <w:t>其他化学成分要求的钢带。</w:t>
      </w:r>
    </w:p>
    <w:p>
      <w:pPr>
        <w:pStyle w:val="49"/>
        <w:spacing w:before="156" w:after="156"/>
        <w:ind w:left="0"/>
        <w:rPr>
          <w:rFonts w:hint="default" w:ascii="Times New Roman" w:hAnsi="Times New Roman" w:cs="Times New Roman"/>
          <w:highlight w:val="none"/>
        </w:rPr>
      </w:pPr>
      <w:bookmarkStart w:id="24" w:name="_Toc520380396"/>
      <w:r>
        <w:rPr>
          <w:rFonts w:hint="default" w:ascii="Times New Roman" w:hAnsi="Times New Roman" w:cs="Times New Roman"/>
          <w:highlight w:val="none"/>
        </w:rPr>
        <w:t>交货状态</w:t>
      </w:r>
    </w:p>
    <w:p>
      <w:pPr>
        <w:pStyle w:val="52"/>
        <w:spacing w:before="156" w:after="156"/>
        <w:rPr>
          <w:rFonts w:hint="default" w:ascii="Times New Roman" w:hAnsi="Times New Roman" w:eastAsia="宋体" w:cs="Times New Roman"/>
          <w:highlight w:val="none"/>
        </w:rPr>
      </w:pPr>
      <w:r>
        <w:rPr>
          <w:rFonts w:hint="default" w:ascii="Times New Roman" w:hAnsi="Times New Roman" w:eastAsia="宋体" w:cs="Times New Roman"/>
          <w:highlight w:val="none"/>
        </w:rPr>
        <w:t>钢带以退火+平整状态交货。</w:t>
      </w:r>
    </w:p>
    <w:p>
      <w:pPr>
        <w:pStyle w:val="52"/>
        <w:spacing w:before="156" w:after="156"/>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钢带</w:t>
      </w:r>
      <w:r>
        <w:rPr>
          <w:rFonts w:hint="default" w:ascii="Times New Roman" w:hAnsi="Times New Roman" w:eastAsia="宋体" w:cs="Times New Roman"/>
          <w:highlight w:val="none"/>
        </w:rPr>
        <w:t>通常涂油供货，所涂油膜应符合环保要求并能用碱水溶液去除，在通常的包装、运输、装卸及贮存条件下，供方应保证自制造完成之日起6个月内，</w:t>
      </w:r>
      <w:r>
        <w:rPr>
          <w:rFonts w:hint="default" w:ascii="Times New Roman" w:hAnsi="Times New Roman" w:eastAsia="宋体" w:cs="Times New Roman"/>
          <w:highlight w:val="none"/>
          <w:lang w:val="en-US" w:eastAsia="zh-CN"/>
        </w:rPr>
        <w:t>钢带</w:t>
      </w:r>
      <w:r>
        <w:rPr>
          <w:rFonts w:hint="default" w:ascii="Times New Roman" w:hAnsi="Times New Roman" w:eastAsia="宋体" w:cs="Times New Roman"/>
          <w:highlight w:val="none"/>
        </w:rPr>
        <w:t>表面不生锈。根据需方要求，经供需双方协议并在合同中注明，也可以不涂油供货。</w:t>
      </w:r>
    </w:p>
    <w:p>
      <w:pPr>
        <w:pStyle w:val="52"/>
        <w:numPr>
          <w:ilvl w:val="2"/>
          <w:numId w:val="0"/>
        </w:numPr>
        <w:spacing w:before="156" w:after="156"/>
        <w:ind w:leftChars="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注：如果需方要求不涂油</w:t>
      </w:r>
      <w:r>
        <w:rPr>
          <w:rFonts w:hint="default" w:ascii="Times New Roman" w:hAnsi="Times New Roman" w:eastAsia="宋体" w:cs="Times New Roman"/>
          <w:sz w:val="18"/>
          <w:szCs w:val="18"/>
          <w:highlight w:val="none"/>
          <w:lang w:val="en-US" w:eastAsia="zh-CN"/>
        </w:rPr>
        <w:t>钢带</w:t>
      </w:r>
      <w:r>
        <w:rPr>
          <w:rFonts w:hint="default" w:ascii="Times New Roman" w:hAnsi="Times New Roman" w:eastAsia="宋体" w:cs="Times New Roman"/>
          <w:sz w:val="18"/>
          <w:szCs w:val="18"/>
          <w:highlight w:val="none"/>
        </w:rPr>
        <w:t>，供方不承担钢带锈蚀的风险。不涂油</w:t>
      </w:r>
      <w:r>
        <w:rPr>
          <w:rFonts w:hint="default" w:ascii="Times New Roman" w:hAnsi="Times New Roman" w:eastAsia="宋体" w:cs="Times New Roman"/>
          <w:sz w:val="18"/>
          <w:szCs w:val="18"/>
          <w:highlight w:val="none"/>
          <w:lang w:val="en-US" w:eastAsia="zh-CN"/>
        </w:rPr>
        <w:t>钢带</w:t>
      </w:r>
      <w:r>
        <w:rPr>
          <w:rFonts w:hint="default" w:ascii="Times New Roman" w:hAnsi="Times New Roman" w:eastAsia="宋体" w:cs="Times New Roman"/>
          <w:sz w:val="18"/>
          <w:szCs w:val="18"/>
          <w:highlight w:val="none"/>
        </w:rPr>
        <w:t>在运输、装卸、贮存和使用过程中易产生表面划伤</w:t>
      </w:r>
      <w:r>
        <w:rPr>
          <w:rFonts w:hint="default" w:ascii="Times New Roman" w:hAnsi="Times New Roman" w:eastAsia="宋体" w:cs="Times New Roman"/>
          <w:sz w:val="18"/>
          <w:szCs w:val="18"/>
          <w:highlight w:val="none"/>
          <w:lang w:eastAsia="zh-CN"/>
        </w:rPr>
        <w:t>、</w:t>
      </w:r>
      <w:r>
        <w:rPr>
          <w:rFonts w:hint="default" w:ascii="Times New Roman" w:hAnsi="Times New Roman" w:eastAsia="宋体" w:cs="Times New Roman"/>
          <w:sz w:val="18"/>
          <w:szCs w:val="18"/>
          <w:highlight w:val="none"/>
          <w:lang w:val="en-US" w:eastAsia="zh-CN"/>
        </w:rPr>
        <w:t>黑斑等缺陷</w:t>
      </w:r>
      <w:r>
        <w:rPr>
          <w:rFonts w:hint="default" w:ascii="Times New Roman" w:hAnsi="Times New Roman" w:eastAsia="宋体" w:cs="Times New Roman"/>
          <w:sz w:val="18"/>
          <w:szCs w:val="18"/>
          <w:highlight w:val="none"/>
        </w:rPr>
        <w:t>。</w:t>
      </w:r>
    </w:p>
    <w:p>
      <w:pPr>
        <w:pStyle w:val="49"/>
        <w:spacing w:before="156" w:after="156"/>
        <w:ind w:left="0"/>
        <w:rPr>
          <w:rFonts w:hint="default" w:ascii="Times New Roman" w:hAnsi="Times New Roman" w:cs="Times New Roman"/>
          <w:highlight w:val="none"/>
        </w:rPr>
      </w:pPr>
      <w:r>
        <w:rPr>
          <w:highlight w:val="none"/>
        </w:rPr>
        <w:t>力</w:t>
      </w:r>
      <w:r>
        <w:rPr>
          <w:rFonts w:hint="default" w:ascii="Times New Roman" w:hAnsi="Times New Roman" w:cs="Times New Roman"/>
          <w:highlight w:val="none"/>
        </w:rPr>
        <w:t>学性能</w:t>
      </w:r>
    </w:p>
    <w:p>
      <w:pPr>
        <w:pStyle w:val="52"/>
        <w:spacing w:before="156" w:after="156"/>
        <w:rPr>
          <w:rFonts w:hint="default" w:ascii="Times New Roman" w:hAnsi="Times New Roman" w:eastAsia="宋体" w:cs="Times New Roman"/>
          <w:highlight w:val="none"/>
        </w:rPr>
      </w:pPr>
      <w:r>
        <w:rPr>
          <w:rFonts w:hint="default" w:ascii="Times New Roman" w:hAnsi="Times New Roman" w:eastAsia="宋体" w:cs="Times New Roman"/>
          <w:sz w:val="21"/>
          <w:szCs w:val="21"/>
          <w:highlight w:val="none"/>
          <w:lang w:val="en-US" w:eastAsia="zh-CN" w:bidi="ar-SA"/>
        </w:rPr>
        <w:t>钢带</w:t>
      </w:r>
      <w:r>
        <w:rPr>
          <w:rFonts w:hint="default" w:ascii="Times New Roman" w:hAnsi="Times New Roman" w:eastAsia="宋体" w:cs="Times New Roman"/>
          <w:highlight w:val="none"/>
        </w:rPr>
        <w:t>的力学性能应符合表</w:t>
      </w:r>
      <w:r>
        <w:rPr>
          <w:rFonts w:hint="default" w:ascii="Times New Roman" w:hAnsi="Times New Roman" w:eastAsia="宋体" w:cs="Times New Roman"/>
          <w:highlight w:val="none"/>
          <w:lang w:val="en-US" w:eastAsia="zh-CN"/>
        </w:rPr>
        <w:t>5</w:t>
      </w:r>
      <w:r>
        <w:rPr>
          <w:rFonts w:hint="default" w:ascii="Times New Roman" w:hAnsi="Times New Roman" w:eastAsia="宋体" w:cs="Times New Roman"/>
          <w:highlight w:val="none"/>
        </w:rPr>
        <w:t>规定。</w:t>
      </w:r>
    </w:p>
    <w:p>
      <w:pPr>
        <w:pStyle w:val="79"/>
        <w:wordWrap/>
        <w:spacing w:before="156" w:after="156"/>
        <w:ind w:left="0"/>
        <w:jc w:val="center"/>
        <w:rPr>
          <w:rFonts w:ascii="Times New Roman" w:cs="Times New Roman"/>
          <w:highlight w:val="none"/>
        </w:rPr>
      </w:pPr>
    </w:p>
    <w:tbl>
      <w:tblPr>
        <w:tblStyle w:val="151"/>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03"/>
        <w:gridCol w:w="1797"/>
        <w:gridCol w:w="1866"/>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937" w:type="pc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18"/>
                <w:szCs w:val="18"/>
                <w:highlight w:val="none"/>
              </w:rPr>
            </w:pPr>
            <w:bookmarkStart w:id="25" w:name="OLE_LINK71"/>
            <w:r>
              <w:rPr>
                <w:rFonts w:hint="default" w:ascii="Times New Roman" w:hAnsi="Times New Roman" w:cs="Times New Roman"/>
                <w:kern w:val="0"/>
                <w:sz w:val="18"/>
                <w:szCs w:val="18"/>
                <w:highlight w:val="none"/>
              </w:rPr>
              <w:t>牌号</w:t>
            </w:r>
          </w:p>
        </w:tc>
        <w:tc>
          <w:tcPr>
            <w:tcW w:w="940" w:type="pct"/>
            <w:tcBorders>
              <w:right w:val="single" w:color="auto" w:sz="4" w:space="0"/>
            </w:tcBorders>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塑性延伸强度</w:t>
            </w:r>
            <w:r>
              <w:rPr>
                <w:rFonts w:hint="default" w:ascii="Times New Roman" w:hAnsi="Times New Roman" w:cs="Times New Roman"/>
                <w:i/>
                <w:iCs/>
                <w:kern w:val="0"/>
                <w:sz w:val="18"/>
                <w:szCs w:val="18"/>
                <w:highlight w:val="none"/>
                <w:lang w:eastAsia="en-US"/>
              </w:rPr>
              <w:t>R</w:t>
            </w:r>
            <w:r>
              <w:rPr>
                <w:rFonts w:hint="default" w:ascii="Times New Roman" w:hAnsi="Times New Roman" w:cs="Times New Roman"/>
                <w:i/>
                <w:iCs/>
                <w:kern w:val="0"/>
                <w:sz w:val="18"/>
                <w:szCs w:val="18"/>
                <w:highlight w:val="none"/>
                <w:vertAlign w:val="subscript"/>
              </w:rPr>
              <w:t>p</w:t>
            </w:r>
            <w:r>
              <w:rPr>
                <w:rFonts w:hint="default" w:ascii="Times New Roman" w:hAnsi="Times New Roman" w:cs="Times New Roman"/>
                <w:i/>
                <w:iCs/>
                <w:kern w:val="0"/>
                <w:sz w:val="18"/>
                <w:szCs w:val="18"/>
                <w:highlight w:val="none"/>
                <w:vertAlign w:val="subscript"/>
                <w:lang w:eastAsia="en-US"/>
              </w:rPr>
              <w:t>0.2</w:t>
            </w:r>
            <w:r>
              <w:rPr>
                <w:rFonts w:hint="default" w:ascii="Times New Roman" w:hAnsi="Times New Roman" w:cs="Times New Roman"/>
                <w:i/>
                <w:iCs/>
                <w:kern w:val="0"/>
                <w:sz w:val="18"/>
                <w:szCs w:val="18"/>
                <w:highlight w:val="none"/>
                <w:lang w:eastAsia="en-US"/>
              </w:rPr>
              <w:t>/</w:t>
            </w:r>
            <w:r>
              <w:rPr>
                <w:rFonts w:hint="default" w:ascii="Times New Roman" w:hAnsi="Times New Roman" w:cs="Times New Roman"/>
                <w:kern w:val="0"/>
                <w:sz w:val="18"/>
                <w:szCs w:val="18"/>
                <w:highlight w:val="none"/>
                <w:lang w:eastAsia="en-US"/>
              </w:rPr>
              <w:t>MPa</w:t>
            </w:r>
          </w:p>
        </w:tc>
        <w:tc>
          <w:tcPr>
            <w:tcW w:w="976" w:type="pct"/>
            <w:tcBorders>
              <w:left w:val="single" w:color="auto" w:sz="4" w:space="0"/>
              <w:right w:val="single" w:color="auto" w:sz="4" w:space="0"/>
            </w:tcBorders>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抗拉强度</w:t>
            </w:r>
          </w:p>
          <w:p>
            <w:pPr>
              <w:widowControl/>
              <w:tabs>
                <w:tab w:val="center" w:pos="4201"/>
                <w:tab w:val="right" w:leader="dot" w:pos="9298"/>
              </w:tabs>
              <w:autoSpaceDE w:val="0"/>
              <w:autoSpaceDN w:val="0"/>
              <w:jc w:val="center"/>
              <w:rPr>
                <w:rFonts w:hint="default" w:ascii="Times New Roman" w:hAnsi="Times New Roman" w:cs="Times New Roman"/>
                <w:kern w:val="0"/>
                <w:sz w:val="18"/>
                <w:szCs w:val="18"/>
                <w:highlight w:val="none"/>
              </w:rPr>
            </w:pPr>
            <w:r>
              <w:rPr>
                <w:rFonts w:hint="default" w:ascii="Times New Roman" w:hAnsi="Times New Roman" w:cs="Times New Roman"/>
                <w:i/>
                <w:iCs/>
                <w:kern w:val="0"/>
                <w:sz w:val="18"/>
                <w:szCs w:val="18"/>
                <w:highlight w:val="none"/>
                <w:lang w:eastAsia="en-US"/>
              </w:rPr>
              <w:t>R</w:t>
            </w:r>
            <w:r>
              <w:rPr>
                <w:rFonts w:hint="default" w:ascii="Times New Roman" w:hAnsi="Times New Roman" w:cs="Times New Roman"/>
                <w:i/>
                <w:iCs/>
                <w:kern w:val="0"/>
                <w:sz w:val="18"/>
                <w:szCs w:val="18"/>
                <w:highlight w:val="none"/>
                <w:vertAlign w:val="subscript"/>
                <w:lang w:eastAsia="en-US"/>
              </w:rPr>
              <w:t>m</w:t>
            </w:r>
            <w:r>
              <w:rPr>
                <w:rFonts w:hint="default" w:ascii="Times New Roman" w:hAnsi="Times New Roman" w:cs="Times New Roman"/>
                <w:kern w:val="0"/>
                <w:sz w:val="18"/>
                <w:szCs w:val="18"/>
                <w:highlight w:val="none"/>
                <w:lang w:eastAsia="en-US"/>
              </w:rPr>
              <w:t>/MPa</w:t>
            </w:r>
          </w:p>
        </w:tc>
        <w:tc>
          <w:tcPr>
            <w:tcW w:w="1144" w:type="pct"/>
            <w:tcBorders>
              <w:left w:val="single" w:color="auto" w:sz="4" w:space="0"/>
              <w:right w:val="single" w:color="auto" w:sz="4" w:space="0"/>
            </w:tcBorders>
            <w:vAlign w:val="center"/>
          </w:tcPr>
          <w:p>
            <w:pPr>
              <w:shd w:val="clear" w:color="auto" w:fill="FFFFFF" w:themeFill="background1"/>
              <w:jc w:val="center"/>
              <w:rPr>
                <w:rFonts w:hint="default" w:ascii="Times New Roman" w:hAnsi="Times New Roman" w:cs="Times New Roman"/>
                <w:sz w:val="18"/>
                <w:szCs w:val="18"/>
                <w:highlight w:val="none"/>
                <w:vertAlign w:val="superscript"/>
              </w:rPr>
            </w:pPr>
            <w:r>
              <w:rPr>
                <w:rFonts w:hint="default" w:ascii="Times New Roman" w:hAnsi="Times New Roman" w:cs="Times New Roman"/>
                <w:sz w:val="18"/>
                <w:szCs w:val="18"/>
                <w:highlight w:val="none"/>
                <w:lang w:val="zh-TW" w:eastAsia="zh-TW"/>
              </w:rPr>
              <w:t>断后伸长率</w:t>
            </w:r>
          </w:p>
          <w:p>
            <w:pPr>
              <w:widowControl/>
              <w:jc w:val="center"/>
              <w:rPr>
                <w:rFonts w:hint="default" w:ascii="Times New Roman" w:hAnsi="Times New Roman" w:cs="Times New Roman"/>
                <w:i/>
                <w:iCs/>
                <w:sz w:val="18"/>
                <w:szCs w:val="18"/>
                <w:highlight w:val="none"/>
              </w:rPr>
            </w:pPr>
            <w:r>
              <w:rPr>
                <w:rFonts w:hint="default" w:ascii="Times New Roman" w:hAnsi="Times New Roman" w:cs="Times New Roman"/>
                <w:sz w:val="18"/>
                <w:szCs w:val="18"/>
                <w:highlight w:val="none"/>
              </w:rPr>
              <w:t>A</w:t>
            </w:r>
            <w:r>
              <w:rPr>
                <w:rFonts w:hint="default" w:ascii="Times New Roman" w:hAnsi="Times New Roman" w:cs="Times New Roman"/>
                <w:sz w:val="18"/>
                <w:szCs w:val="18"/>
                <w:highlight w:val="none"/>
                <w:vertAlign w:val="subscript"/>
                <w:lang w:val="en-US" w:eastAsia="zh-CN"/>
              </w:rPr>
              <w:t>50</w:t>
            </w:r>
            <w:r>
              <w:rPr>
                <w:rFonts w:hint="default" w:ascii="Times New Roman" w:hAnsi="Times New Roman" w:cs="Times New Roman"/>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37" w:type="pct"/>
            <w:vAlign w:val="center"/>
          </w:tcPr>
          <w:p>
            <w:pPr>
              <w:widowControl/>
              <w:tabs>
                <w:tab w:val="center" w:pos="4201"/>
                <w:tab w:val="right" w:leader="dot" w:pos="9298"/>
              </w:tabs>
              <w:autoSpaceDE w:val="0"/>
              <w:autoSpaceDN w:val="0"/>
              <w:jc w:val="center"/>
              <w:rPr>
                <w:rFonts w:hint="default" w:ascii="Times New Roman" w:hAnsi="Times New Roman" w:eastAsia="宋体" w:cs="Times New Roman"/>
                <w:kern w:val="0"/>
                <w:sz w:val="18"/>
                <w:szCs w:val="18"/>
                <w:highlight w:val="none"/>
                <w:lang w:val="en-US" w:eastAsia="zh-CN"/>
              </w:rPr>
            </w:pPr>
            <w:bookmarkStart w:id="26" w:name="OLE_LINK36" w:colFirst="2" w:colLast="7"/>
            <w:bookmarkStart w:id="27" w:name="OLE_LINK69" w:colFirst="0" w:colLast="0"/>
            <w:bookmarkStart w:id="28" w:name="OLE_LINK42" w:colFirst="1" w:colLast="1"/>
            <w:r>
              <w:rPr>
                <w:rFonts w:hint="default" w:ascii="Times New Roman" w:hAnsi="Times New Roman" w:cs="Times New Roman"/>
                <w:kern w:val="0"/>
                <w:sz w:val="18"/>
                <w:szCs w:val="18"/>
                <w:highlight w:val="none"/>
                <w:lang w:val="en-US" w:eastAsia="zh-CN"/>
              </w:rPr>
              <w:t>ZLG03</w:t>
            </w:r>
          </w:p>
        </w:tc>
        <w:tc>
          <w:tcPr>
            <w:tcW w:w="940" w:type="pct"/>
            <w:vAlign w:val="center"/>
          </w:tcPr>
          <w:p>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Cs w:val="21"/>
                <w:highlight w:val="none"/>
              </w:rPr>
              <w:t>125～175</w:t>
            </w:r>
          </w:p>
        </w:tc>
        <w:tc>
          <w:tcPr>
            <w:tcW w:w="976" w:type="pct"/>
            <w:vAlign w:val="center"/>
          </w:tcPr>
          <w:p>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Cs w:val="21"/>
                <w:highlight w:val="none"/>
              </w:rPr>
              <w:t>270～330</w:t>
            </w:r>
          </w:p>
        </w:tc>
        <w:tc>
          <w:tcPr>
            <w:tcW w:w="1144" w:type="pct"/>
            <w:tcBorders>
              <w:right w:val="single" w:color="auto" w:sz="4" w:space="0"/>
            </w:tcBorders>
            <w:vAlign w:val="center"/>
          </w:tcPr>
          <w:p>
            <w:pPr>
              <w:widowControl/>
              <w:jc w:val="center"/>
              <w:rPr>
                <w:rFonts w:hint="default" w:ascii="Times New Roman" w:hAnsi="Times New Roman" w:cs="Times New Roman"/>
                <w:kern w:val="0"/>
                <w:sz w:val="18"/>
                <w:szCs w:val="18"/>
                <w:highlight w:val="none"/>
              </w:rPr>
            </w:pPr>
            <w:r>
              <w:rPr>
                <w:rFonts w:hint="default" w:ascii="Times New Roman" w:hAnsi="Times New Roman" w:cs="Times New Roman"/>
                <w:kern w:val="0"/>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1937" w:type="pct"/>
            <w:vAlign w:val="center"/>
          </w:tcPr>
          <w:p>
            <w:pPr>
              <w:widowControl/>
              <w:tabs>
                <w:tab w:val="center" w:pos="4201"/>
                <w:tab w:val="right" w:leader="dot" w:pos="9298"/>
              </w:tabs>
              <w:autoSpaceDE w:val="0"/>
              <w:autoSpaceDN w:val="0"/>
              <w:jc w:val="center"/>
              <w:rPr>
                <w:rFonts w:hint="default" w:ascii="Times New Roman" w:hAnsi="Times New Roman" w:cs="Times New Roman"/>
                <w:kern w:val="0"/>
                <w:sz w:val="18"/>
                <w:szCs w:val="18"/>
                <w:highlight w:val="none"/>
                <w:lang w:val="en-US" w:eastAsia="zh-CN"/>
              </w:rPr>
            </w:pPr>
            <w:r>
              <w:rPr>
                <w:rFonts w:hint="default" w:ascii="Times New Roman" w:hAnsi="Times New Roman" w:cs="Times New Roman"/>
                <w:sz w:val="18"/>
                <w:szCs w:val="18"/>
                <w:highlight w:val="none"/>
                <w:lang w:val="en-US" w:eastAsia="zh-CN"/>
              </w:rPr>
              <w:t>ZLG04</w:t>
            </w:r>
          </w:p>
        </w:tc>
        <w:tc>
          <w:tcPr>
            <w:tcW w:w="940" w:type="pct"/>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rPr>
              <w:t>1</w:t>
            </w:r>
            <w:r>
              <w:rPr>
                <w:rFonts w:hint="default" w:ascii="Times New Roman" w:hAnsi="Times New Roman" w:cs="Times New Roman"/>
                <w:kern w:val="0"/>
                <w:szCs w:val="21"/>
                <w:highlight w:val="none"/>
                <w:lang w:val="en-US" w:eastAsia="zh-CN"/>
              </w:rPr>
              <w:t>10</w:t>
            </w:r>
            <w:r>
              <w:rPr>
                <w:rFonts w:hint="default" w:ascii="Times New Roman" w:hAnsi="Times New Roman" w:cs="Times New Roman"/>
                <w:kern w:val="0"/>
                <w:szCs w:val="21"/>
                <w:highlight w:val="none"/>
              </w:rPr>
              <w:t>～1</w:t>
            </w:r>
            <w:r>
              <w:rPr>
                <w:rFonts w:hint="default" w:ascii="Times New Roman" w:hAnsi="Times New Roman" w:cs="Times New Roman"/>
                <w:kern w:val="0"/>
                <w:szCs w:val="21"/>
                <w:highlight w:val="none"/>
                <w:lang w:val="en-US" w:eastAsia="zh-CN"/>
              </w:rPr>
              <w:t>50</w:t>
            </w:r>
          </w:p>
        </w:tc>
        <w:tc>
          <w:tcPr>
            <w:tcW w:w="976" w:type="pct"/>
            <w:vAlign w:val="center"/>
          </w:tcPr>
          <w:p>
            <w:pPr>
              <w:widowControl/>
              <w:jc w:val="center"/>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w:t>
            </w:r>
            <w:r>
              <w:rPr>
                <w:rFonts w:hint="default" w:ascii="Times New Roman" w:hAnsi="Times New Roman" w:cs="Times New Roman"/>
                <w:kern w:val="0"/>
                <w:szCs w:val="21"/>
                <w:highlight w:val="none"/>
                <w:lang w:val="en-US" w:eastAsia="zh-CN"/>
              </w:rPr>
              <w:t>6</w:t>
            </w:r>
            <w:r>
              <w:rPr>
                <w:rFonts w:hint="default" w:ascii="Times New Roman" w:hAnsi="Times New Roman" w:cs="Times New Roman"/>
                <w:kern w:val="0"/>
                <w:szCs w:val="21"/>
                <w:highlight w:val="none"/>
              </w:rPr>
              <w:t>0～3</w:t>
            </w:r>
            <w:r>
              <w:rPr>
                <w:rFonts w:hint="default" w:ascii="Times New Roman" w:hAnsi="Times New Roman" w:cs="Times New Roman"/>
                <w:kern w:val="0"/>
                <w:szCs w:val="21"/>
                <w:highlight w:val="none"/>
                <w:lang w:val="en-US" w:eastAsia="zh-CN"/>
              </w:rPr>
              <w:t>3</w:t>
            </w:r>
            <w:r>
              <w:rPr>
                <w:rFonts w:hint="default" w:ascii="Times New Roman" w:hAnsi="Times New Roman" w:cs="Times New Roman"/>
                <w:kern w:val="0"/>
                <w:szCs w:val="21"/>
                <w:highlight w:val="none"/>
              </w:rPr>
              <w:t>0</w:t>
            </w:r>
          </w:p>
        </w:tc>
        <w:tc>
          <w:tcPr>
            <w:tcW w:w="1144" w:type="pct"/>
            <w:tcBorders>
              <w:right w:val="single" w:color="auto" w:sz="4" w:space="0"/>
            </w:tcBorders>
            <w:vAlign w:val="center"/>
          </w:tcPr>
          <w:p>
            <w:pPr>
              <w:widowControl/>
              <w:jc w:val="center"/>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rPr>
              <w:t>≥4</w:t>
            </w:r>
            <w:r>
              <w:rPr>
                <w:rFonts w:hint="default" w:ascii="Times New Roman" w:hAnsi="Times New Roman" w:cs="Times New Roman"/>
                <w:kern w:val="0"/>
                <w:szCs w:val="21"/>
                <w:highlight w:val="none"/>
                <w:lang w:val="en-US" w:eastAsia="zh-CN"/>
              </w:rPr>
              <w:t>2</w:t>
            </w:r>
          </w:p>
        </w:tc>
      </w:tr>
      <w:bookmarkEnd w:id="26"/>
      <w:bookmarkEnd w:id="2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5000" w:type="pct"/>
            <w:gridSpan w:val="4"/>
            <w:tcBorders>
              <w:right w:val="single" w:color="auto" w:sz="4" w:space="0"/>
            </w:tcBorders>
            <w:vAlign w:val="center"/>
          </w:tcPr>
          <w:p>
            <w:pPr>
              <w:widowControl/>
              <w:tabs>
                <w:tab w:val="center" w:pos="4201"/>
                <w:tab w:val="right" w:leader="dot" w:pos="9298"/>
              </w:tabs>
              <w:autoSpaceDE w:val="0"/>
              <w:autoSpaceDN w:val="0"/>
              <w:rPr>
                <w:rFonts w:hint="default" w:ascii="Times New Roman" w:hAnsi="Times New Roman" w:cs="Times New Roman" w:eastAsiaTheme="minorEastAsia"/>
                <w:kern w:val="0"/>
                <w:sz w:val="18"/>
                <w:szCs w:val="18"/>
                <w:highlight w:val="none"/>
                <w:lang w:eastAsia="zh-CN"/>
              </w:rPr>
            </w:pPr>
            <w:r>
              <w:rPr>
                <w:rFonts w:hint="default" w:ascii="Times New Roman" w:hAnsi="Times New Roman" w:cs="Times New Roman"/>
                <w:sz w:val="18"/>
                <w:szCs w:val="18"/>
                <w:highlight w:val="none"/>
                <w:lang w:val="en-US" w:eastAsia="zh-CN"/>
              </w:rPr>
              <w:t>注：</w:t>
            </w:r>
            <w:r>
              <w:rPr>
                <w:rFonts w:hint="default" w:ascii="Times New Roman" w:hAnsi="Times New Roman" w:eastAsia="宋体" w:cs="Times New Roman"/>
                <w:color w:val="000000"/>
                <w:kern w:val="0"/>
                <w:sz w:val="18"/>
                <w:szCs w:val="18"/>
                <w:highlight w:val="none"/>
                <w:lang w:val="en-US" w:eastAsia="zh-CN" w:bidi="ar"/>
              </w:rPr>
              <w:t xml:space="preserve">试样为 </w:t>
            </w:r>
            <w:r>
              <w:rPr>
                <w:rFonts w:hint="default" w:ascii="Times New Roman" w:hAnsi="Times New Roman" w:cs="Times New Roman"/>
                <w:color w:val="000000"/>
                <w:kern w:val="0"/>
                <w:sz w:val="18"/>
                <w:szCs w:val="18"/>
                <w:highlight w:val="none"/>
                <w:lang w:val="en-US" w:eastAsia="zh-CN" w:bidi="ar"/>
              </w:rPr>
              <w:t>GB</w:t>
            </w:r>
            <w:r>
              <w:rPr>
                <w:rFonts w:hint="eastAsia" w:ascii="Times New Roman" w:hAnsi="Times New Roman" w:cs="Times New Roman"/>
                <w:color w:val="000000"/>
                <w:kern w:val="0"/>
                <w:sz w:val="18"/>
                <w:szCs w:val="18"/>
                <w:highlight w:val="none"/>
                <w:lang w:val="en-US" w:eastAsia="zh-CN" w:bidi="ar"/>
              </w:rPr>
              <w:t>/T</w:t>
            </w:r>
            <w:r>
              <w:rPr>
                <w:rFonts w:hint="default" w:ascii="Times New Roman" w:hAnsi="Times New Roman" w:cs="Times New Roman"/>
                <w:color w:val="000000"/>
                <w:kern w:val="0"/>
                <w:sz w:val="18"/>
                <w:szCs w:val="18"/>
                <w:highlight w:val="none"/>
                <w:lang w:val="en-US" w:eastAsia="zh-CN" w:bidi="ar"/>
              </w:rPr>
              <w:t xml:space="preserve"> 228.1</w:t>
            </w:r>
            <w:r>
              <w:rPr>
                <w:rFonts w:hint="eastAsia" w:ascii="Times New Roman" w:hAnsi="Times New Roman" w:cs="Times New Roman"/>
                <w:color w:val="000000"/>
                <w:kern w:val="0"/>
                <w:sz w:val="18"/>
                <w:szCs w:val="18"/>
                <w:highlight w:val="none"/>
                <w:lang w:val="en-US" w:eastAsia="zh-CN" w:bidi="ar"/>
              </w:rPr>
              <w:t>-2010</w:t>
            </w:r>
            <w:r>
              <w:rPr>
                <w:rFonts w:hint="default" w:ascii="Times New Roman" w:hAnsi="Times New Roman" w:eastAsia="宋体" w:cs="Times New Roman"/>
                <w:color w:val="000000"/>
                <w:kern w:val="0"/>
                <w:sz w:val="18"/>
                <w:szCs w:val="18"/>
                <w:highlight w:val="none"/>
                <w:lang w:val="en-US" w:eastAsia="zh-CN" w:bidi="ar"/>
              </w:rPr>
              <w:t>规定的</w:t>
            </w:r>
            <w:r>
              <w:rPr>
                <w:rFonts w:hint="default" w:ascii="Times New Roman" w:hAnsi="Times New Roman" w:cs="Times New Roman"/>
                <w:color w:val="000000"/>
                <w:kern w:val="0"/>
                <w:sz w:val="18"/>
                <w:szCs w:val="18"/>
                <w:highlight w:val="none"/>
                <w:lang w:val="en-US" w:eastAsia="zh-CN" w:bidi="ar"/>
              </w:rPr>
              <w:t>P14</w:t>
            </w:r>
            <w:r>
              <w:rPr>
                <w:rFonts w:hint="default" w:ascii="Times New Roman" w:hAnsi="Times New Roman" w:eastAsia="宋体" w:cs="Times New Roman"/>
                <w:color w:val="000000"/>
                <w:kern w:val="0"/>
                <w:sz w:val="18"/>
                <w:szCs w:val="18"/>
                <w:highlight w:val="none"/>
                <w:lang w:val="en-US" w:eastAsia="zh-CN" w:bidi="ar"/>
              </w:rPr>
              <w:t>试样</w:t>
            </w:r>
            <w:r>
              <w:rPr>
                <w:rFonts w:hint="default" w:ascii="Times New Roman" w:hAnsi="Times New Roman" w:cs="Times New Roman" w:eastAsiaTheme="minorEastAsia"/>
                <w:sz w:val="18"/>
                <w:szCs w:val="18"/>
                <w:highlight w:val="none"/>
              </w:rPr>
              <w:t>；</w:t>
            </w:r>
            <w:r>
              <w:rPr>
                <w:rFonts w:hint="eastAsia" w:cs="Times New Roman" w:eastAsiaTheme="minorEastAsia"/>
                <w:sz w:val="18"/>
                <w:szCs w:val="18"/>
                <w:highlight w:val="none"/>
                <w:lang w:val="en-US" w:eastAsia="zh-CN"/>
              </w:rPr>
              <w:t>试样方向为</w:t>
            </w:r>
            <w:r>
              <w:rPr>
                <w:rFonts w:hint="default" w:ascii="Times New Roman" w:hAnsi="Times New Roman" w:cs="Times New Roman"/>
                <w:sz w:val="18"/>
                <w:szCs w:val="18"/>
                <w:highlight w:val="none"/>
                <w:lang w:val="en-US" w:eastAsia="zh-CN"/>
              </w:rPr>
              <w:t>纵</w:t>
            </w:r>
            <w:r>
              <w:rPr>
                <w:rFonts w:hint="default" w:ascii="Times New Roman" w:hAnsi="Times New Roman" w:cs="Times New Roman"/>
                <w:sz w:val="18"/>
                <w:szCs w:val="18"/>
                <w:highlight w:val="none"/>
              </w:rPr>
              <w:t>向</w:t>
            </w:r>
            <w:r>
              <w:rPr>
                <w:rFonts w:hint="eastAsia" w:cs="Times New Roman"/>
                <w:sz w:val="18"/>
                <w:szCs w:val="18"/>
                <w:highlight w:val="none"/>
                <w:lang w:eastAsia="zh-CN"/>
              </w:rPr>
              <w:t>；</w:t>
            </w:r>
            <w:r>
              <w:rPr>
                <w:rFonts w:hint="default" w:ascii="Times New Roman" w:hAnsi="Times New Roman" w:cs="Times New Roman" w:eastAsiaTheme="minorEastAsia"/>
                <w:kern w:val="0"/>
                <w:sz w:val="18"/>
                <w:szCs w:val="18"/>
                <w:highlight w:val="none"/>
              </w:rPr>
              <w:t>取样位置为带宽方</w:t>
            </w:r>
            <w:r>
              <w:rPr>
                <w:rFonts w:hint="default" w:ascii="Times New Roman" w:hAnsi="Times New Roman" w:cs="Times New Roman" w:eastAsiaTheme="minorEastAsia"/>
                <w:sz w:val="18"/>
                <w:szCs w:val="18"/>
                <w:highlight w:val="none"/>
              </w:rPr>
              <w:t>向1/4处</w:t>
            </w:r>
            <w:r>
              <w:rPr>
                <w:rFonts w:hint="default" w:ascii="Times New Roman" w:hAnsi="Times New Roman" w:cs="Times New Roman" w:eastAsiaTheme="minorEastAsia"/>
                <w:sz w:val="18"/>
                <w:szCs w:val="18"/>
                <w:highlight w:val="none"/>
                <w:lang w:eastAsia="zh-CN"/>
              </w:rPr>
              <w:t>。</w:t>
            </w:r>
          </w:p>
        </w:tc>
      </w:tr>
      <w:bookmarkEnd w:id="25"/>
      <w:bookmarkEnd w:id="28"/>
    </w:tbl>
    <w:p>
      <w:pPr>
        <w:pStyle w:val="49"/>
        <w:spacing w:before="156" w:after="156"/>
        <w:ind w:left="0"/>
        <w:rPr>
          <w:highlight w:val="none"/>
        </w:rPr>
      </w:pPr>
      <w:r>
        <w:rPr>
          <w:highlight w:val="none"/>
        </w:rPr>
        <w:t>表面质量</w:t>
      </w:r>
    </w:p>
    <w:p>
      <w:pPr>
        <w:pStyle w:val="52"/>
        <w:spacing w:before="156" w:after="156"/>
        <w:rPr>
          <w:rFonts w:hint="eastAsia" w:ascii="宋体" w:hAnsi="宋体" w:eastAsia="宋体" w:cs="宋体"/>
          <w:sz w:val="21"/>
          <w:szCs w:val="21"/>
          <w:highlight w:val="none"/>
          <w:lang w:val="en-US" w:eastAsia="zh-CN" w:bidi="ar-SA"/>
        </w:rPr>
      </w:pPr>
      <w:bookmarkStart w:id="29" w:name="_Hlk6857923"/>
      <w:r>
        <w:rPr>
          <w:rFonts w:hint="eastAsia" w:ascii="宋体" w:hAnsi="宋体" w:eastAsia="宋体" w:cs="宋体"/>
          <w:highlight w:val="none"/>
        </w:rPr>
        <w:t>钢带</w:t>
      </w:r>
      <w:r>
        <w:rPr>
          <w:rFonts w:hint="eastAsia" w:ascii="宋体" w:hAnsi="宋体" w:eastAsia="宋体" w:cs="宋体"/>
          <w:sz w:val="21"/>
          <w:szCs w:val="21"/>
          <w:highlight w:val="none"/>
          <w:lang w:val="en-US" w:eastAsia="zh-CN" w:bidi="ar-SA"/>
        </w:rPr>
        <w:t>不允许有砂眼、</w:t>
      </w:r>
      <w:bookmarkStart w:id="44" w:name="_GoBack"/>
      <w:bookmarkEnd w:id="44"/>
      <w:r>
        <w:rPr>
          <w:rFonts w:hint="eastAsia" w:ascii="宋体" w:hAnsi="宋体" w:eastAsia="宋体" w:cs="宋体"/>
          <w:sz w:val="21"/>
          <w:szCs w:val="21"/>
          <w:highlight w:val="none"/>
          <w:lang w:val="en-US" w:eastAsia="zh-CN" w:bidi="ar-SA"/>
        </w:rPr>
        <w:t>裂纹、气泡、结疤、拉裂、夹杂、凸凹、辊印和分层等影响焊管质量的缺陷。</w:t>
      </w:r>
    </w:p>
    <w:p>
      <w:pPr>
        <w:pStyle w:val="52"/>
        <w:spacing w:before="156" w:after="156"/>
        <w:rPr>
          <w:rFonts w:hint="eastAsia" w:ascii="宋体" w:hAnsi="宋体" w:eastAsia="宋体" w:cs="宋体"/>
          <w:highlight w:val="none"/>
        </w:rPr>
      </w:pPr>
      <w:r>
        <w:rPr>
          <w:rFonts w:hint="eastAsia" w:ascii="宋体" w:hAnsi="宋体" w:eastAsia="宋体" w:cs="宋体"/>
          <w:highlight w:val="none"/>
        </w:rPr>
        <w:t>钢带边缘应平整。切边钢带边缘不允许有深度大于宽度公差之半的切割不齐和大于钢带厚度公差的毛刺</w:t>
      </w:r>
      <w:bookmarkEnd w:id="29"/>
      <w:r>
        <w:rPr>
          <w:rFonts w:hint="eastAsia" w:ascii="宋体" w:hAnsi="宋体" w:eastAsia="宋体" w:cs="宋体"/>
          <w:highlight w:val="none"/>
        </w:rPr>
        <w:t>；不切边钢带不允许有大于宽度公差的裂边。</w:t>
      </w:r>
    </w:p>
    <w:p>
      <w:pPr>
        <w:pStyle w:val="49"/>
        <w:spacing w:before="156" w:after="156"/>
        <w:ind w:left="0"/>
        <w:rPr>
          <w:highlight w:val="none"/>
        </w:rPr>
      </w:pPr>
      <w:r>
        <w:rPr>
          <w:rFonts w:hint="eastAsia"/>
          <w:highlight w:val="none"/>
          <w:lang w:val="en-US" w:eastAsia="zh-CN"/>
        </w:rPr>
        <w:t>表面结构</w:t>
      </w:r>
    </w:p>
    <w:p>
      <w:pPr>
        <w:pStyle w:val="9"/>
        <w:spacing w:before="229" w:line="219" w:lineRule="auto"/>
        <w:ind w:firstLine="432" w:firstLineChars="200"/>
        <w:rPr>
          <w:sz w:val="21"/>
          <w:szCs w:val="21"/>
          <w:highlight w:val="none"/>
        </w:rPr>
      </w:pPr>
      <w:r>
        <w:rPr>
          <w:spacing w:val="3"/>
          <w:sz w:val="21"/>
          <w:szCs w:val="21"/>
          <w:highlight w:val="none"/>
        </w:rPr>
        <w:t>钢带的表面平均粗糙度应符合表</w:t>
      </w:r>
      <w:r>
        <w:rPr>
          <w:rFonts w:hint="eastAsia"/>
          <w:spacing w:val="3"/>
          <w:sz w:val="21"/>
          <w:szCs w:val="21"/>
          <w:highlight w:val="none"/>
          <w:lang w:val="en-US" w:eastAsia="zh-CN"/>
        </w:rPr>
        <w:t>6</w:t>
      </w:r>
      <w:r>
        <w:rPr>
          <w:spacing w:val="3"/>
          <w:sz w:val="21"/>
          <w:szCs w:val="21"/>
          <w:highlight w:val="none"/>
        </w:rPr>
        <w:t>的规定。</w:t>
      </w:r>
    </w:p>
    <w:p>
      <w:pPr>
        <w:pStyle w:val="79"/>
        <w:wordWrap/>
        <w:spacing w:before="156" w:after="156"/>
        <w:ind w:left="0"/>
        <w:jc w:val="right"/>
        <w:rPr>
          <w:rFonts w:ascii="Times New Roman" w:cs="Times New Roman"/>
          <w:highlight w:val="none"/>
        </w:rPr>
      </w:pPr>
      <w:r>
        <w:rPr>
          <w:rFonts w:hint="eastAsia" w:ascii="Times New Roman" w:cs="Times New Roman"/>
          <w:highlight w:val="none"/>
          <w:lang w:val="en-US" w:eastAsia="zh-CN"/>
        </w:rPr>
        <w:t xml:space="preserve">                              </w:t>
      </w:r>
      <w:r>
        <w:rPr>
          <w:rFonts w:ascii="Times New Roman" w:cs="Times New Roman"/>
          <w:highlight w:val="none"/>
        </w:rPr>
        <w:t xml:space="preserve"> 单位为微米</w:t>
      </w:r>
    </w:p>
    <w:tbl>
      <w:tblPr>
        <w:tblStyle w:val="15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66"/>
        <w:gridCol w:w="4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489" w:type="pct"/>
            <w:vAlign w:val="top"/>
          </w:tcPr>
          <w:p>
            <w:pPr>
              <w:pStyle w:val="155"/>
              <w:spacing w:before="92" w:line="219" w:lineRule="auto"/>
              <w:ind w:left="1965"/>
              <w:rPr>
                <w:rFonts w:hint="default" w:ascii="Times New Roman" w:hAnsi="Times New Roman" w:cs="Times New Roman"/>
                <w:sz w:val="18"/>
                <w:szCs w:val="18"/>
                <w:highlight w:val="none"/>
              </w:rPr>
            </w:pPr>
            <w:r>
              <w:rPr>
                <w:rFonts w:hint="default" w:ascii="Times New Roman" w:hAnsi="Times New Roman" w:cs="Times New Roman"/>
                <w:spacing w:val="-4"/>
                <w:sz w:val="18"/>
                <w:szCs w:val="18"/>
                <w:highlight w:val="none"/>
              </w:rPr>
              <w:t>牌</w:t>
            </w:r>
            <w:r>
              <w:rPr>
                <w:rFonts w:hint="default" w:ascii="Times New Roman" w:hAnsi="Times New Roman" w:cs="Times New Roman"/>
                <w:spacing w:val="3"/>
                <w:sz w:val="18"/>
                <w:szCs w:val="18"/>
                <w:highlight w:val="none"/>
              </w:rPr>
              <w:t xml:space="preserve">   </w:t>
            </w:r>
            <w:r>
              <w:rPr>
                <w:rFonts w:hint="default" w:ascii="Times New Roman" w:hAnsi="Times New Roman" w:cs="Times New Roman"/>
                <w:spacing w:val="-4"/>
                <w:sz w:val="18"/>
                <w:szCs w:val="18"/>
                <w:highlight w:val="none"/>
              </w:rPr>
              <w:t>号</w:t>
            </w:r>
          </w:p>
        </w:tc>
        <w:tc>
          <w:tcPr>
            <w:tcW w:w="2510" w:type="pct"/>
            <w:vAlign w:val="top"/>
          </w:tcPr>
          <w:p>
            <w:pPr>
              <w:pStyle w:val="155"/>
              <w:spacing w:before="92" w:line="219" w:lineRule="auto"/>
              <w:ind w:left="1585"/>
              <w:rPr>
                <w:rFonts w:hint="default" w:ascii="Times New Roman" w:hAnsi="Times New Roman" w:cs="Times New Roman"/>
                <w:sz w:val="18"/>
                <w:szCs w:val="18"/>
                <w:highlight w:val="none"/>
              </w:rPr>
            </w:pPr>
            <w:r>
              <w:rPr>
                <w:rFonts w:hint="default" w:ascii="Times New Roman" w:hAnsi="Times New Roman" w:cs="Times New Roman"/>
                <w:spacing w:val="-1"/>
                <w:sz w:val="18"/>
                <w:szCs w:val="18"/>
                <w:highlight w:val="none"/>
              </w:rPr>
              <w:t>表面平均粗糙度Ra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489" w:type="pct"/>
            <w:vAlign w:val="top"/>
          </w:tcPr>
          <w:p>
            <w:pPr>
              <w:pStyle w:val="155"/>
              <w:spacing w:before="108" w:line="234"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pacing w:val="-1"/>
                <w:sz w:val="18"/>
                <w:szCs w:val="18"/>
                <w:highlight w:val="none"/>
                <w:lang w:val="en-US" w:eastAsia="zh-CN"/>
              </w:rPr>
              <w:t>ZLG03/</w:t>
            </w:r>
            <w:r>
              <w:rPr>
                <w:rFonts w:hint="default" w:ascii="Times New Roman" w:hAnsi="Times New Roman" w:cs="Times New Roman"/>
                <w:sz w:val="18"/>
                <w:szCs w:val="18"/>
                <w:highlight w:val="none"/>
                <w:lang w:val="en-US" w:eastAsia="zh-CN"/>
              </w:rPr>
              <w:t>ZLG04</w:t>
            </w:r>
          </w:p>
        </w:tc>
        <w:tc>
          <w:tcPr>
            <w:tcW w:w="2510" w:type="pct"/>
            <w:vAlign w:val="top"/>
          </w:tcPr>
          <w:p>
            <w:pPr>
              <w:pStyle w:val="155"/>
              <w:spacing w:before="106" w:line="236" w:lineRule="auto"/>
              <w:ind w:left="1765"/>
              <w:rPr>
                <w:rFonts w:hint="default" w:ascii="Times New Roman" w:hAnsi="Times New Roman" w:eastAsia="宋体" w:cs="Times New Roman"/>
                <w:sz w:val="18"/>
                <w:szCs w:val="18"/>
                <w:highlight w:val="none"/>
                <w:lang w:eastAsia="zh-CN"/>
              </w:rPr>
            </w:pPr>
            <w:r>
              <w:rPr>
                <w:rFonts w:hint="default" w:ascii="Times New Roman" w:hAnsi="Times New Roman" w:cs="Times New Roman"/>
                <w:spacing w:val="-1"/>
                <w:sz w:val="18"/>
                <w:szCs w:val="18"/>
                <w:highlight w:val="none"/>
              </w:rPr>
              <w:t>0.6≤Ra≤1.</w:t>
            </w:r>
            <w:r>
              <w:rPr>
                <w:rFonts w:hint="default" w:ascii="Times New Roman" w:hAnsi="Times New Roman" w:cs="Times New Roman"/>
                <w:spacing w:val="-1"/>
                <w:sz w:val="18"/>
                <w:szCs w:val="18"/>
                <w:highlight w:val="none"/>
                <w:lang w:val="en-US" w:eastAsia="zh-CN"/>
              </w:rPr>
              <w:t>6</w:t>
            </w:r>
          </w:p>
        </w:tc>
      </w:tr>
    </w:tbl>
    <w:p>
      <w:pPr>
        <w:pStyle w:val="49"/>
        <w:spacing w:before="156" w:after="156"/>
        <w:ind w:left="0"/>
        <w:rPr>
          <w:highlight w:val="none"/>
        </w:rPr>
      </w:pPr>
      <w:r>
        <w:rPr>
          <w:highlight w:val="none"/>
        </w:rPr>
        <w:t>特殊要求</w:t>
      </w:r>
    </w:p>
    <w:p>
      <w:pPr>
        <w:shd w:val="clear" w:color="auto" w:fill="FFFFFF" w:themeFill="background1"/>
        <w:ind w:firstLine="420" w:firstLineChars="200"/>
        <w:rPr>
          <w:highlight w:val="none"/>
        </w:rPr>
      </w:pPr>
      <w:r>
        <w:rPr>
          <w:highlight w:val="none"/>
        </w:rPr>
        <w:t>根据需方要求，</w:t>
      </w:r>
      <w:bookmarkStart w:id="30" w:name="OLE_LINK85"/>
      <w:r>
        <w:rPr>
          <w:highlight w:val="none"/>
        </w:rPr>
        <w:t>经供需双方协商</w:t>
      </w:r>
      <w:bookmarkEnd w:id="30"/>
      <w:r>
        <w:rPr>
          <w:highlight w:val="none"/>
        </w:rPr>
        <w:t>，可对</w:t>
      </w:r>
      <w:r>
        <w:rPr>
          <w:rFonts w:hint="eastAsia" w:ascii="宋体" w:hAnsi="宋体" w:eastAsia="宋体" w:cs="宋体"/>
          <w:sz w:val="21"/>
          <w:szCs w:val="21"/>
          <w:highlight w:val="none"/>
          <w:lang w:val="en-US" w:eastAsia="zh-CN" w:bidi="ar-SA"/>
        </w:rPr>
        <w:t>钢带</w:t>
      </w:r>
      <w:r>
        <w:rPr>
          <w:highlight w:val="none"/>
        </w:rPr>
        <w:t>提出非金属夹杂物</w:t>
      </w:r>
      <w:r>
        <w:rPr>
          <w:rFonts w:hint="eastAsia"/>
          <w:highlight w:val="none"/>
        </w:rPr>
        <w:t>、晶粒度</w:t>
      </w:r>
      <w:r>
        <w:rPr>
          <w:highlight w:val="none"/>
        </w:rPr>
        <w:t>等其他特殊要求。</w:t>
      </w:r>
    </w:p>
    <w:bookmarkEnd w:id="24"/>
    <w:p>
      <w:pPr>
        <w:pStyle w:val="47"/>
        <w:rPr>
          <w:highlight w:val="none"/>
        </w:rPr>
      </w:pPr>
      <w:bookmarkStart w:id="31" w:name="_Toc5372"/>
      <w:r>
        <w:rPr>
          <w:highlight w:val="none"/>
        </w:rPr>
        <w:t>试验方法</w:t>
      </w:r>
      <w:bookmarkEnd w:id="31"/>
    </w:p>
    <w:p>
      <w:pPr>
        <w:pStyle w:val="49"/>
        <w:spacing w:beforeLines="0" w:afterLines="0"/>
        <w:ind w:left="0"/>
        <w:rPr>
          <w:rFonts w:hint="default" w:ascii="Times New Roman" w:hAnsi="Times New Roman" w:cs="Times New Roman"/>
          <w:highlight w:val="none"/>
        </w:rPr>
      </w:pPr>
      <w:bookmarkStart w:id="32" w:name="OLE_LINK92"/>
      <w:bookmarkStart w:id="33" w:name="_Hlk59177872"/>
      <w:bookmarkStart w:id="34" w:name="OLE_LINK65"/>
      <w:r>
        <w:rPr>
          <w:rFonts w:hint="default" w:ascii="Times New Roman" w:hAnsi="Times New Roman" w:eastAsia="宋体" w:cs="Times New Roman"/>
          <w:highlight w:val="none"/>
        </w:rPr>
        <w:t>钢的化学成分试验方法按GB/T</w:t>
      </w:r>
      <w:r>
        <w:rPr>
          <w:rFonts w:hint="eastAsia" w:ascii="Times New Roman" w:eastAsia="宋体" w:cs="Times New Roman"/>
          <w:highlight w:val="none"/>
          <w:lang w:val="en-US" w:eastAsia="zh-CN"/>
        </w:rPr>
        <w:t xml:space="preserve"> 223.9、</w:t>
      </w:r>
      <w:r>
        <w:rPr>
          <w:rFonts w:hint="default" w:ascii="Times New Roman" w:hAnsi="Times New Roman" w:eastAsia="宋体" w:cs="Times New Roman"/>
          <w:highlight w:val="none"/>
        </w:rPr>
        <w:t>GB/T</w:t>
      </w:r>
      <w:r>
        <w:rPr>
          <w:rFonts w:hint="eastAsia" w:ascii="Times New Roman" w:eastAsia="宋体" w:cs="Times New Roman"/>
          <w:highlight w:val="none"/>
          <w:lang w:val="en-US" w:eastAsia="zh-CN"/>
        </w:rPr>
        <w:t xml:space="preserve"> 223.59、</w:t>
      </w:r>
      <w:r>
        <w:rPr>
          <w:rFonts w:hint="default" w:ascii="Times New Roman" w:hAnsi="Times New Roman" w:eastAsia="宋体" w:cs="Times New Roman"/>
          <w:highlight w:val="none"/>
        </w:rPr>
        <w:t>GB/T</w:t>
      </w:r>
      <w:r>
        <w:rPr>
          <w:rFonts w:hint="eastAsia" w:ascii="Times New Roman" w:eastAsia="宋体" w:cs="Times New Roman"/>
          <w:highlight w:val="none"/>
          <w:lang w:val="en-US" w:eastAsia="zh-CN"/>
        </w:rPr>
        <w:t xml:space="preserve"> 223.63、</w:t>
      </w:r>
      <w:r>
        <w:rPr>
          <w:rFonts w:hint="default" w:ascii="Times New Roman" w:hAnsi="Times New Roman" w:eastAsia="宋体" w:cs="Times New Roman"/>
          <w:highlight w:val="none"/>
        </w:rPr>
        <w:t>GB/T</w:t>
      </w:r>
      <w:r>
        <w:rPr>
          <w:rFonts w:hint="eastAsia" w:ascii="Times New Roman" w:eastAsia="宋体" w:cs="Times New Roman"/>
          <w:highlight w:val="none"/>
          <w:lang w:val="en-US" w:eastAsia="zh-CN"/>
        </w:rPr>
        <w:t xml:space="preserve"> 223.64、</w:t>
      </w:r>
      <w:r>
        <w:rPr>
          <w:rFonts w:hint="default" w:ascii="Times New Roman" w:hAnsi="Times New Roman" w:eastAsia="宋体" w:cs="Times New Roman"/>
          <w:highlight w:val="none"/>
        </w:rPr>
        <w:t>GB/T 4336、 GB/T 20123或通用方法的规定进行，但仲裁时应按</w:t>
      </w:r>
      <w:bookmarkStart w:id="35" w:name="OLE_LINK55"/>
      <w:r>
        <w:rPr>
          <w:rFonts w:hint="default" w:ascii="Times New Roman" w:hAnsi="Times New Roman" w:eastAsia="宋体" w:cs="Times New Roman"/>
          <w:highlight w:val="none"/>
        </w:rPr>
        <w:t xml:space="preserve"> GB/T 223.9、GB/T 223.59、</w:t>
      </w:r>
      <w:r>
        <w:rPr>
          <w:rFonts w:hint="default" w:ascii="Times New Roman" w:hAnsi="Times New Roman" w:cs="Times New Roman"/>
          <w:highlight w:val="none"/>
          <w:lang w:eastAsia="zh-CN"/>
        </w:rPr>
        <w:t>GB/T 223</w:t>
      </w:r>
      <w:r>
        <w:rPr>
          <w:rFonts w:hint="eastAsia" w:ascii="Times New Roman" w:hAnsi="Times New Roman" w:cs="Times New Roman"/>
          <w:highlight w:val="none"/>
          <w:lang w:val="en-US" w:eastAsia="zh-CN"/>
        </w:rPr>
        <w:t>.60</w:t>
      </w:r>
      <w:r>
        <w:rPr>
          <w:rFonts w:hint="eastAsia" w:ascii="Times New Roman" w:cs="Times New Roman"/>
          <w:highlight w:val="none"/>
          <w:lang w:val="en-US" w:eastAsia="zh-CN"/>
        </w:rPr>
        <w:t>、</w:t>
      </w:r>
      <w:r>
        <w:rPr>
          <w:rFonts w:hint="default" w:ascii="Times New Roman" w:hAnsi="Times New Roman" w:eastAsia="宋体" w:cs="Times New Roman"/>
          <w:highlight w:val="none"/>
        </w:rPr>
        <w:t xml:space="preserve">GB/T 223.63、GB/T 223.64、GB/T 20125、GB/T 20126 </w:t>
      </w:r>
      <w:bookmarkEnd w:id="35"/>
      <w:r>
        <w:rPr>
          <w:rFonts w:hint="default" w:ascii="Times New Roman" w:hAnsi="Times New Roman" w:eastAsia="宋体" w:cs="Times New Roman"/>
          <w:highlight w:val="none"/>
        </w:rPr>
        <w:t>的规定执行。</w:t>
      </w:r>
      <w:bookmarkEnd w:id="32"/>
    </w:p>
    <w:bookmarkEnd w:id="33"/>
    <w:bookmarkEnd w:id="34"/>
    <w:p>
      <w:pPr>
        <w:pStyle w:val="49"/>
        <w:spacing w:beforeLines="0" w:afterLines="0"/>
        <w:ind w:left="0"/>
        <w:rPr>
          <w:rFonts w:hint="default" w:ascii="Times New Roman" w:hAnsi="Times New Roman" w:eastAsia="宋体" w:cs="Times New Roman"/>
          <w:highlight w:val="none"/>
        </w:rPr>
      </w:pPr>
      <w:r>
        <w:rPr>
          <w:rFonts w:hint="default" w:ascii="Times New Roman" w:hAnsi="Times New Roman" w:eastAsia="宋体" w:cs="Times New Roman"/>
          <w:sz w:val="21"/>
          <w:szCs w:val="21"/>
          <w:highlight w:val="none"/>
          <w:lang w:val="en-US" w:eastAsia="zh-CN" w:bidi="ar-SA"/>
        </w:rPr>
        <w:t>钢带</w:t>
      </w:r>
      <w:r>
        <w:rPr>
          <w:rFonts w:hint="default" w:ascii="Times New Roman" w:hAnsi="Times New Roman" w:eastAsia="宋体" w:cs="Times New Roman"/>
          <w:highlight w:val="none"/>
        </w:rPr>
        <w:t>的检验项目、取样方法及试验方法应符合表</w:t>
      </w:r>
      <w:r>
        <w:rPr>
          <w:rFonts w:hint="eastAsia" w:ascii="Times New Roman" w:hAnsi="Times New Roman" w:eastAsia="宋体" w:cs="Times New Roman"/>
          <w:highlight w:val="none"/>
          <w:lang w:val="en-US" w:eastAsia="zh-CN"/>
        </w:rPr>
        <w:t>7</w:t>
      </w:r>
      <w:r>
        <w:rPr>
          <w:rFonts w:hint="default" w:ascii="Times New Roman" w:hAnsi="Times New Roman" w:eastAsia="宋体" w:cs="Times New Roman"/>
          <w:highlight w:val="none"/>
        </w:rPr>
        <w:t>的规定。</w:t>
      </w:r>
    </w:p>
    <w:p>
      <w:pPr>
        <w:pStyle w:val="79"/>
        <w:wordWrap/>
        <w:spacing w:before="156" w:after="156"/>
        <w:ind w:left="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  检验项目、取样数量、取样方法及试验方法</w:t>
      </w:r>
    </w:p>
    <w:tbl>
      <w:tblPr>
        <w:tblStyle w:val="32"/>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73"/>
        <w:gridCol w:w="1930"/>
        <w:gridCol w:w="2047"/>
        <w:gridCol w:w="24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pPr>
              <w:jc w:val="center"/>
              <w:rPr>
                <w:rFonts w:hint="default" w:ascii="Times New Roman" w:hAnsi="Times New Roman" w:cs="Times New Roman"/>
                <w:sz w:val="18"/>
                <w:szCs w:val="18"/>
                <w:highlight w:val="none"/>
              </w:rPr>
            </w:pPr>
            <w:bookmarkStart w:id="36" w:name="_Hlk102125459"/>
            <w:bookmarkStart w:id="37" w:name="OLE_LINK64"/>
            <w:r>
              <w:rPr>
                <w:rFonts w:hint="default" w:ascii="Times New Roman" w:hAnsi="Times New Roman" w:cs="Times New Roman"/>
                <w:sz w:val="18"/>
                <w:szCs w:val="18"/>
                <w:highlight w:val="none"/>
              </w:rPr>
              <w:t>序号</w:t>
            </w:r>
          </w:p>
        </w:tc>
        <w:tc>
          <w:tcPr>
            <w:tcW w:w="2273" w:type="dxa"/>
            <w:tcBorders>
              <w:top w:val="single" w:color="auto" w:sz="8" w:space="0"/>
              <w:bottom w:val="single" w:color="auto" w:sz="8" w:space="0"/>
            </w:tcBorders>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检验项目</w:t>
            </w:r>
          </w:p>
        </w:tc>
        <w:tc>
          <w:tcPr>
            <w:tcW w:w="1930" w:type="dxa"/>
            <w:tcBorders>
              <w:top w:val="single" w:color="auto" w:sz="8" w:space="0"/>
              <w:bottom w:val="single" w:color="auto" w:sz="8" w:space="0"/>
            </w:tcBorders>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取样数量</w:t>
            </w:r>
          </w:p>
        </w:tc>
        <w:tc>
          <w:tcPr>
            <w:tcW w:w="2047" w:type="dxa"/>
            <w:tcBorders>
              <w:top w:val="single" w:color="auto" w:sz="8" w:space="0"/>
              <w:bottom w:val="single" w:color="auto" w:sz="8" w:space="0"/>
            </w:tcBorders>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取样方法及部位</w:t>
            </w:r>
          </w:p>
        </w:tc>
        <w:tc>
          <w:tcPr>
            <w:tcW w:w="2433" w:type="dxa"/>
            <w:tcBorders>
              <w:top w:val="single" w:color="auto" w:sz="8" w:space="0"/>
              <w:bottom w:val="single" w:color="auto" w:sz="8" w:space="0"/>
            </w:tcBorders>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c>
          <w:tcPr>
            <w:tcW w:w="227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化学成分</w:t>
            </w:r>
          </w:p>
        </w:tc>
        <w:tc>
          <w:tcPr>
            <w:tcW w:w="1930"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1个/炉</w:t>
            </w:r>
          </w:p>
        </w:tc>
        <w:tc>
          <w:tcPr>
            <w:tcW w:w="2047" w:type="dxa"/>
            <w:vAlign w:val="center"/>
          </w:tcPr>
          <w:p>
            <w:pPr>
              <w:jc w:val="center"/>
              <w:rPr>
                <w:rFonts w:hint="default" w:ascii="Times New Roman" w:hAnsi="Times New Roman" w:cs="Times New Roman"/>
                <w:sz w:val="18"/>
                <w:szCs w:val="18"/>
                <w:highlight w:val="none"/>
              </w:rPr>
            </w:pPr>
            <w:bookmarkStart w:id="38" w:name="OLE_LINK83"/>
            <w:r>
              <w:rPr>
                <w:rFonts w:hint="default" w:ascii="Times New Roman" w:hAnsi="Times New Roman" w:cs="Times New Roman"/>
                <w:kern w:val="0"/>
                <w:sz w:val="18"/>
                <w:szCs w:val="18"/>
                <w:highlight w:val="none"/>
              </w:rPr>
              <w:t xml:space="preserve">GB/T </w:t>
            </w:r>
            <w:bookmarkStart w:id="39" w:name="OLE_LINK48"/>
            <w:r>
              <w:rPr>
                <w:rFonts w:hint="default" w:ascii="Times New Roman" w:hAnsi="Times New Roman" w:cs="Times New Roman"/>
                <w:kern w:val="0"/>
                <w:sz w:val="18"/>
                <w:szCs w:val="18"/>
                <w:highlight w:val="none"/>
              </w:rPr>
              <w:t>20066</w:t>
            </w:r>
            <w:bookmarkEnd w:id="38"/>
            <w:bookmarkEnd w:id="39"/>
          </w:p>
        </w:tc>
        <w:tc>
          <w:tcPr>
            <w:tcW w:w="243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rPr>
              <w:t>见</w:t>
            </w:r>
            <w:r>
              <w:rPr>
                <w:rFonts w:hint="eastAsia" w:cs="Times New Roman"/>
                <w:kern w:val="0"/>
                <w:sz w:val="18"/>
                <w:szCs w:val="18"/>
                <w:highlight w:val="none"/>
                <w:lang w:val="en-US" w:eastAsia="zh-CN"/>
              </w:rPr>
              <w:t>8</w:t>
            </w:r>
            <w:r>
              <w:rPr>
                <w:rFonts w:hint="default" w:ascii="Times New Roman" w:hAnsi="Times New Roman" w:cs="Times New Roman"/>
                <w:kern w:val="0"/>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2</w:t>
            </w:r>
          </w:p>
        </w:tc>
        <w:tc>
          <w:tcPr>
            <w:tcW w:w="227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拉伸试验</w:t>
            </w:r>
          </w:p>
        </w:tc>
        <w:tc>
          <w:tcPr>
            <w:tcW w:w="1930" w:type="dxa"/>
          </w:tcPr>
          <w:p>
            <w:pPr>
              <w:jc w:val="center"/>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lang w:val="en-US" w:eastAsia="zh-CN"/>
              </w:rPr>
              <w:t>1</w:t>
            </w:r>
            <w:r>
              <w:rPr>
                <w:rFonts w:hint="default" w:ascii="Times New Roman" w:hAnsi="Times New Roman" w:cs="Times New Roman"/>
                <w:sz w:val="18"/>
                <w:szCs w:val="18"/>
                <w:highlight w:val="none"/>
              </w:rPr>
              <w:t>个/批</w:t>
            </w:r>
          </w:p>
        </w:tc>
        <w:tc>
          <w:tcPr>
            <w:tcW w:w="2047" w:type="dxa"/>
            <w:vAlign w:val="center"/>
          </w:tcPr>
          <w:p>
            <w:pPr>
              <w:jc w:val="center"/>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GB/T 2975</w:t>
            </w:r>
            <w:r>
              <w:rPr>
                <w:rFonts w:hint="default" w:ascii="Times New Roman" w:hAnsi="Times New Roman" w:cs="Times New Roman"/>
                <w:sz w:val="18"/>
                <w:szCs w:val="18"/>
                <w:highlight w:val="none"/>
              </w:rPr>
              <w:t xml:space="preserve"> </w:t>
            </w:r>
          </w:p>
        </w:tc>
        <w:tc>
          <w:tcPr>
            <w:tcW w:w="2433" w:type="dxa"/>
            <w:vAlign w:val="center"/>
          </w:tcPr>
          <w:p>
            <w:pPr>
              <w:jc w:val="center"/>
              <w:rPr>
                <w:rFonts w:hint="default" w:ascii="Times New Roman" w:hAnsi="Times New Roman" w:eastAsia="宋体" w:cs="Times New Roman"/>
                <w:kern w:val="0"/>
                <w:sz w:val="18"/>
                <w:szCs w:val="18"/>
                <w:highlight w:val="none"/>
                <w:lang w:val="en-US" w:eastAsia="zh-CN"/>
              </w:rPr>
            </w:pPr>
            <w:r>
              <w:rPr>
                <w:rFonts w:hint="default" w:ascii="Times New Roman" w:hAnsi="Times New Roman" w:cs="Times New Roman"/>
                <w:kern w:val="0"/>
                <w:sz w:val="18"/>
                <w:szCs w:val="18"/>
                <w:highlight w:val="none"/>
              </w:rPr>
              <w:t>GB/T 228.1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w:t>
            </w:r>
          </w:p>
        </w:tc>
        <w:tc>
          <w:tcPr>
            <w:tcW w:w="2273" w:type="dxa"/>
            <w:vAlign w:val="center"/>
          </w:tcPr>
          <w:p>
            <w:pPr>
              <w:jc w:val="center"/>
              <w:rPr>
                <w:rFonts w:hint="default" w:ascii="Times New Roman" w:hAnsi="Times New Roman" w:eastAsia="宋体" w:cs="Times New Roman"/>
                <w:spacing w:val="-2"/>
                <w:kern w:val="2"/>
                <w:sz w:val="18"/>
                <w:szCs w:val="18"/>
                <w:highlight w:val="none"/>
                <w:lang w:val="en-US" w:eastAsia="zh-CN" w:bidi="ar-SA"/>
              </w:rPr>
            </w:pPr>
            <w:r>
              <w:rPr>
                <w:rFonts w:hint="default" w:ascii="Times New Roman" w:hAnsi="Times New Roman" w:cs="Times New Roman"/>
                <w:sz w:val="18"/>
                <w:szCs w:val="18"/>
                <w:highlight w:val="none"/>
              </w:rPr>
              <w:t>晶粒度</w:t>
            </w:r>
          </w:p>
        </w:tc>
        <w:tc>
          <w:tcPr>
            <w:tcW w:w="1930"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1个/批</w:t>
            </w:r>
          </w:p>
        </w:tc>
        <w:tc>
          <w:tcPr>
            <w:tcW w:w="2047"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宽度1/4处      </w:t>
            </w:r>
          </w:p>
        </w:tc>
        <w:tc>
          <w:tcPr>
            <w:tcW w:w="2433"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GB/T 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w:t>
            </w:r>
          </w:p>
        </w:tc>
        <w:tc>
          <w:tcPr>
            <w:tcW w:w="2273" w:type="dxa"/>
            <w:vAlign w:val="center"/>
          </w:tcPr>
          <w:p>
            <w:pPr>
              <w:jc w:val="center"/>
              <w:rPr>
                <w:rFonts w:hint="default" w:ascii="Times New Roman" w:hAnsi="Times New Roman" w:eastAsia="宋体" w:cs="Times New Roman"/>
                <w:spacing w:val="-2"/>
                <w:kern w:val="2"/>
                <w:sz w:val="18"/>
                <w:szCs w:val="18"/>
                <w:highlight w:val="none"/>
                <w:lang w:val="en-US" w:eastAsia="zh-CN" w:bidi="ar-SA"/>
              </w:rPr>
            </w:pPr>
            <w:r>
              <w:rPr>
                <w:rFonts w:hint="default" w:ascii="Times New Roman" w:hAnsi="Times New Roman" w:cs="Times New Roman"/>
                <w:sz w:val="18"/>
                <w:szCs w:val="18"/>
                <w:highlight w:val="none"/>
              </w:rPr>
              <w:t>非金属夹杂物</w:t>
            </w:r>
          </w:p>
        </w:tc>
        <w:tc>
          <w:tcPr>
            <w:tcW w:w="1930"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1个/批</w:t>
            </w:r>
          </w:p>
        </w:tc>
        <w:tc>
          <w:tcPr>
            <w:tcW w:w="2047"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宽度1/4处</w:t>
            </w:r>
          </w:p>
        </w:tc>
        <w:tc>
          <w:tcPr>
            <w:tcW w:w="2433"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GB/T 10561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vAlign w:val="center"/>
          </w:tcPr>
          <w:p>
            <w:pPr>
              <w:jc w:val="center"/>
              <w:rPr>
                <w:rFonts w:hint="default" w:ascii="Times New Roman" w:hAnsi="Times New Roman" w:cs="Times New Roman"/>
                <w:sz w:val="18"/>
                <w:szCs w:val="18"/>
                <w:highlight w:val="none"/>
              </w:rPr>
            </w:pPr>
            <w:bookmarkStart w:id="40" w:name="OLE_LINK90" w:colFirst="1" w:colLast="4"/>
            <w:r>
              <w:rPr>
                <w:rFonts w:hint="default" w:ascii="Times New Roman" w:hAnsi="Times New Roman" w:cs="Times New Roman"/>
                <w:sz w:val="18"/>
                <w:szCs w:val="18"/>
                <w:highlight w:val="none"/>
              </w:rPr>
              <w:t>5</w:t>
            </w:r>
          </w:p>
        </w:tc>
        <w:tc>
          <w:tcPr>
            <w:tcW w:w="2273" w:type="dxa"/>
            <w:vAlign w:val="top"/>
          </w:tcPr>
          <w:p>
            <w:pPr>
              <w:jc w:val="center"/>
              <w:rPr>
                <w:rFonts w:hint="default" w:ascii="Times New Roman" w:hAnsi="Times New Roman" w:cs="Times New Roman"/>
                <w:sz w:val="18"/>
                <w:szCs w:val="18"/>
                <w:highlight w:val="none"/>
                <w:lang w:val="en-US" w:eastAsia="en-US"/>
              </w:rPr>
            </w:pPr>
            <w:r>
              <w:rPr>
                <w:rFonts w:hint="default" w:ascii="Times New Roman" w:hAnsi="Times New Roman" w:cs="Times New Roman"/>
                <w:sz w:val="18"/>
                <w:szCs w:val="18"/>
                <w:highlight w:val="none"/>
              </w:rPr>
              <w:t>表面平均粗糙度</w:t>
            </w:r>
          </w:p>
        </w:tc>
        <w:tc>
          <w:tcPr>
            <w:tcW w:w="1930" w:type="dxa"/>
            <w:vAlign w:val="top"/>
          </w:tcPr>
          <w:p>
            <w:pPr>
              <w:jc w:val="center"/>
              <w:rPr>
                <w:rFonts w:hint="default" w:ascii="Times New Roman" w:hAnsi="Times New Roman" w:cs="Times New Roman"/>
                <w:sz w:val="18"/>
                <w:szCs w:val="18"/>
                <w:highlight w:val="none"/>
                <w:lang w:val="en-US" w:eastAsia="en-US"/>
              </w:rPr>
            </w:pPr>
            <w:r>
              <w:rPr>
                <w:rFonts w:hint="default" w:ascii="Times New Roman" w:hAnsi="Times New Roman" w:cs="Times New Roman"/>
                <w:sz w:val="18"/>
                <w:szCs w:val="18"/>
                <w:highlight w:val="none"/>
              </w:rPr>
              <w:t>1个/批</w:t>
            </w:r>
          </w:p>
        </w:tc>
        <w:tc>
          <w:tcPr>
            <w:tcW w:w="2047" w:type="dxa"/>
            <w:vAlign w:val="top"/>
          </w:tcPr>
          <w:p>
            <w:pPr>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rPr>
              <w:t>GB/T 2975</w:t>
            </w:r>
          </w:p>
        </w:tc>
        <w:tc>
          <w:tcPr>
            <w:tcW w:w="2433" w:type="dxa"/>
            <w:vAlign w:val="top"/>
          </w:tcPr>
          <w:p>
            <w:pPr>
              <w:jc w:val="center"/>
              <w:rPr>
                <w:rFonts w:hint="default" w:ascii="Times New Roman" w:hAnsi="Times New Roman" w:cs="Times New Roman"/>
                <w:sz w:val="18"/>
                <w:szCs w:val="18"/>
                <w:highlight w:val="none"/>
                <w:lang w:val="en-US" w:eastAsia="en-US"/>
              </w:rPr>
            </w:pPr>
            <w:r>
              <w:rPr>
                <w:rFonts w:hint="default" w:ascii="Times New Roman" w:hAnsi="Times New Roman" w:cs="Times New Roman"/>
                <w:sz w:val="18"/>
                <w:szCs w:val="18"/>
                <w:highlight w:val="none"/>
              </w:rPr>
              <w:t>GB/T 2523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6</w:t>
            </w:r>
          </w:p>
        </w:tc>
        <w:tc>
          <w:tcPr>
            <w:tcW w:w="2273"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z w:val="18"/>
                <w:szCs w:val="18"/>
                <w:highlight w:val="none"/>
              </w:rPr>
              <w:t>尺寸外形</w:t>
            </w:r>
          </w:p>
        </w:tc>
        <w:tc>
          <w:tcPr>
            <w:tcW w:w="1930"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逐卷</w:t>
            </w:r>
          </w:p>
        </w:tc>
        <w:tc>
          <w:tcPr>
            <w:tcW w:w="2047"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p>
        </w:tc>
        <w:tc>
          <w:tcPr>
            <w:tcW w:w="2433"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eastAsia" w:ascii="Times New Roman" w:hAnsi="Times New Roman" w:cs="Times New Roman"/>
                <w:kern w:val="0"/>
                <w:sz w:val="18"/>
                <w:szCs w:val="18"/>
                <w:highlight w:val="none"/>
                <w:lang w:val="en-US" w:eastAsia="zh-CN"/>
              </w:rPr>
              <w:t>合适的量具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7</w:t>
            </w:r>
          </w:p>
        </w:tc>
        <w:tc>
          <w:tcPr>
            <w:tcW w:w="2273"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cs="Times New Roman"/>
                <w:spacing w:val="-2"/>
                <w:sz w:val="18"/>
                <w:szCs w:val="18"/>
                <w:highlight w:val="none"/>
              </w:rPr>
              <w:t>表面质量</w:t>
            </w:r>
          </w:p>
        </w:tc>
        <w:tc>
          <w:tcPr>
            <w:tcW w:w="1930"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逐卷</w:t>
            </w:r>
          </w:p>
        </w:tc>
        <w:tc>
          <w:tcPr>
            <w:tcW w:w="2047"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p>
        </w:tc>
        <w:tc>
          <w:tcPr>
            <w:tcW w:w="2433" w:type="dxa"/>
            <w:vAlign w:val="center"/>
          </w:tcPr>
          <w:p>
            <w:pPr>
              <w:jc w:val="center"/>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目视</w:t>
            </w:r>
          </w:p>
        </w:tc>
      </w:tr>
      <w:bookmarkEnd w:id="36"/>
      <w:bookmarkEnd w:id="37"/>
      <w:bookmarkEnd w:id="40"/>
    </w:tbl>
    <w:p>
      <w:pPr>
        <w:pStyle w:val="47"/>
        <w:rPr>
          <w:highlight w:val="none"/>
        </w:rPr>
      </w:pPr>
      <w:bookmarkStart w:id="41" w:name="_Toc4588"/>
      <w:r>
        <w:rPr>
          <w:highlight w:val="none"/>
        </w:rPr>
        <w:t>检验规则</w:t>
      </w:r>
      <w:bookmarkEnd w:id="41"/>
    </w:p>
    <w:p>
      <w:pPr>
        <w:pStyle w:val="49"/>
        <w:spacing w:before="156" w:after="156"/>
        <w:ind w:left="0"/>
        <w:rPr>
          <w:highlight w:val="none"/>
        </w:rPr>
      </w:pPr>
      <w:r>
        <w:rPr>
          <w:highlight w:val="none"/>
        </w:rPr>
        <w:t>检查和验收</w:t>
      </w:r>
    </w:p>
    <w:p>
      <w:pPr>
        <w:pStyle w:val="145"/>
        <w:shd w:val="clear" w:color="auto" w:fill="FFFFFF" w:themeFill="background1"/>
        <w:ind w:firstLine="373" w:firstLineChars="178"/>
        <w:rPr>
          <w:rFonts w:ascii="Times New Roman" w:hAnsi="Times New Roman"/>
          <w:highlight w:val="none"/>
        </w:rPr>
      </w:pPr>
      <w:r>
        <w:rPr>
          <w:rFonts w:hint="eastAsia" w:ascii="宋体" w:hAnsi="宋体" w:eastAsia="宋体" w:cs="宋体"/>
          <w:sz w:val="21"/>
          <w:szCs w:val="21"/>
          <w:highlight w:val="none"/>
          <w:lang w:val="en-US" w:eastAsia="zh-CN" w:bidi="ar-SA"/>
        </w:rPr>
        <w:t>钢带</w:t>
      </w:r>
      <w:r>
        <w:rPr>
          <w:rFonts w:ascii="Times New Roman" w:hAnsi="Times New Roman"/>
          <w:highlight w:val="none"/>
        </w:rPr>
        <w:t>的检查和验收由供方质量检验部门进行。</w:t>
      </w:r>
    </w:p>
    <w:p>
      <w:pPr>
        <w:pStyle w:val="49"/>
        <w:spacing w:before="156" w:after="156"/>
        <w:ind w:left="0"/>
        <w:rPr>
          <w:highlight w:val="none"/>
        </w:rPr>
      </w:pPr>
      <w:r>
        <w:rPr>
          <w:highlight w:val="none"/>
        </w:rPr>
        <w:t>组批规则</w:t>
      </w:r>
    </w:p>
    <w:p>
      <w:pPr>
        <w:pStyle w:val="145"/>
        <w:shd w:val="clear" w:color="auto" w:fill="FFFFFF" w:themeFill="background1"/>
        <w:ind w:firstLine="373" w:firstLineChars="178"/>
        <w:rPr>
          <w:rFonts w:ascii="Times New Roman" w:hAnsi="Times New Roman"/>
          <w:highlight w:val="none"/>
        </w:rPr>
      </w:pPr>
      <w:r>
        <w:rPr>
          <w:rFonts w:hint="eastAsia" w:ascii="Times New Roman"/>
          <w:highlight w:val="none"/>
        </w:rPr>
        <w:t>钢带应成批验收，每批由同一牌号、同一炉号、同一厚度、同一交货状态、同一热处理制度的钢带组成。</w:t>
      </w:r>
    </w:p>
    <w:p>
      <w:pPr>
        <w:pStyle w:val="49"/>
        <w:spacing w:before="156" w:after="156"/>
        <w:ind w:left="0"/>
        <w:rPr>
          <w:highlight w:val="none"/>
        </w:rPr>
      </w:pPr>
      <w:r>
        <w:rPr>
          <w:highlight w:val="none"/>
        </w:rPr>
        <w:t>取样数量</w:t>
      </w:r>
    </w:p>
    <w:p>
      <w:pPr>
        <w:pStyle w:val="23"/>
        <w:rPr>
          <w:rFonts w:hint="default" w:ascii="Times New Roman" w:hAnsi="Times New Roman" w:cs="Times New Roman"/>
          <w:highlight w:val="none"/>
        </w:rPr>
      </w:pPr>
      <w:r>
        <w:rPr>
          <w:rFonts w:hint="default" w:ascii="Times New Roman" w:hAnsi="Times New Roman" w:eastAsia="宋体" w:cs="Times New Roman"/>
          <w:sz w:val="21"/>
          <w:szCs w:val="21"/>
          <w:highlight w:val="none"/>
          <w:lang w:val="en-US" w:eastAsia="zh-CN" w:bidi="ar-SA"/>
        </w:rPr>
        <w:t>钢带</w:t>
      </w:r>
      <w:r>
        <w:rPr>
          <w:rFonts w:hint="default" w:ascii="Times New Roman" w:hAnsi="Times New Roman" w:cs="Times New Roman"/>
          <w:highlight w:val="none"/>
        </w:rPr>
        <w:t>的取样数量应符合表</w:t>
      </w:r>
      <w:r>
        <w:rPr>
          <w:rFonts w:hint="default" w:ascii="Times New Roman" w:hAnsi="Times New Roman" w:cs="Times New Roman"/>
          <w:highlight w:val="none"/>
          <w:lang w:val="en-US" w:eastAsia="zh-CN"/>
        </w:rPr>
        <w:t>7</w:t>
      </w:r>
      <w:r>
        <w:rPr>
          <w:rFonts w:hint="default" w:ascii="Times New Roman" w:hAnsi="Times New Roman" w:cs="Times New Roman"/>
          <w:highlight w:val="none"/>
        </w:rPr>
        <w:t>的规定。</w:t>
      </w:r>
    </w:p>
    <w:p>
      <w:pPr>
        <w:pStyle w:val="49"/>
        <w:spacing w:before="156" w:after="156"/>
        <w:ind w:left="0"/>
        <w:rPr>
          <w:highlight w:val="none"/>
        </w:rPr>
      </w:pPr>
      <w:r>
        <w:rPr>
          <w:highlight w:val="none"/>
        </w:rPr>
        <w:t>复验和判定规则</w:t>
      </w:r>
    </w:p>
    <w:p>
      <w:pPr>
        <w:pStyle w:val="145"/>
        <w:shd w:val="clear" w:color="auto" w:fill="FFFFFF" w:themeFill="background1"/>
        <w:ind w:firstLine="373" w:firstLineChars="178"/>
        <w:rPr>
          <w:rFonts w:ascii="Times New Roman" w:hAnsi="Times New Roman"/>
          <w:highlight w:val="none"/>
        </w:rPr>
      </w:pPr>
      <w:r>
        <w:rPr>
          <w:rFonts w:hint="eastAsia" w:ascii="宋体" w:hAnsi="宋体" w:eastAsia="宋体" w:cs="宋体"/>
          <w:sz w:val="21"/>
          <w:szCs w:val="21"/>
          <w:highlight w:val="none"/>
          <w:lang w:val="en-US" w:eastAsia="zh-CN" w:bidi="ar-SA"/>
        </w:rPr>
        <w:t>钢带</w:t>
      </w:r>
      <w:r>
        <w:rPr>
          <w:rFonts w:ascii="Times New Roman" w:hAnsi="Times New Roman"/>
          <w:highlight w:val="none"/>
        </w:rPr>
        <w:t>的复验与判定应符合GB/T 17505的规定。</w:t>
      </w:r>
    </w:p>
    <w:p>
      <w:pPr>
        <w:pStyle w:val="49"/>
        <w:spacing w:before="156" w:after="156"/>
        <w:ind w:left="0"/>
        <w:rPr>
          <w:highlight w:val="none"/>
        </w:rPr>
      </w:pPr>
      <w:r>
        <w:rPr>
          <w:highlight w:val="none"/>
        </w:rPr>
        <w:t>数值修约</w:t>
      </w:r>
    </w:p>
    <w:p>
      <w:pPr>
        <w:pStyle w:val="145"/>
        <w:shd w:val="clear" w:color="auto" w:fill="FFFFFF" w:themeFill="background1"/>
        <w:ind w:firstLine="373" w:firstLineChars="178"/>
        <w:rPr>
          <w:rFonts w:ascii="Times New Roman" w:hAnsi="Times New Roman"/>
          <w:highlight w:val="none"/>
        </w:rPr>
      </w:pPr>
      <w:r>
        <w:rPr>
          <w:rFonts w:ascii="Times New Roman" w:hAnsi="Times New Roman"/>
          <w:highlight w:val="none"/>
        </w:rPr>
        <w:t>数值判定采用修约值比较法进行修约，修约规则应符合GB/T 8170的规定。</w:t>
      </w:r>
    </w:p>
    <w:p>
      <w:pPr>
        <w:pStyle w:val="47"/>
        <w:rPr>
          <w:highlight w:val="none"/>
        </w:rPr>
      </w:pPr>
      <w:bookmarkStart w:id="42" w:name="_Toc11556"/>
      <w:r>
        <w:rPr>
          <w:highlight w:val="none"/>
        </w:rPr>
        <w:t>包装、标志和质量证明书</w:t>
      </w:r>
      <w:bookmarkEnd w:id="42"/>
    </w:p>
    <w:p>
      <w:pPr>
        <w:pStyle w:val="145"/>
        <w:shd w:val="clear" w:color="auto" w:fill="FFFFFF" w:themeFill="background1"/>
        <w:ind w:firstLine="373" w:firstLineChars="178"/>
        <w:rPr>
          <w:rFonts w:ascii="Times New Roman" w:hAnsi="Times New Roman"/>
          <w:highlight w:val="none"/>
        </w:rPr>
      </w:pPr>
      <w:r>
        <w:rPr>
          <w:rFonts w:hint="eastAsia" w:ascii="宋体" w:hAnsi="宋体" w:eastAsia="宋体" w:cs="宋体"/>
          <w:sz w:val="21"/>
          <w:szCs w:val="21"/>
          <w:highlight w:val="none"/>
          <w:lang w:val="en-US" w:eastAsia="zh-CN" w:bidi="ar-SA"/>
        </w:rPr>
        <w:t>钢带</w:t>
      </w:r>
      <w:r>
        <w:rPr>
          <w:rFonts w:ascii="Times New Roman" w:hAnsi="Times New Roman"/>
          <w:highlight w:val="none"/>
        </w:rPr>
        <w:t>的包装、标志和质量证明书应符合</w:t>
      </w:r>
      <w:bookmarkStart w:id="43" w:name="OLE_LINK5"/>
      <w:r>
        <w:rPr>
          <w:rFonts w:ascii="Times New Roman" w:hAnsi="Times New Roman"/>
          <w:highlight w:val="none"/>
        </w:rPr>
        <w:t>GB/T 247</w:t>
      </w:r>
      <w:bookmarkEnd w:id="43"/>
      <w:r>
        <w:rPr>
          <w:rFonts w:ascii="Times New Roman" w:hAnsi="Times New Roman"/>
          <w:highlight w:val="none"/>
        </w:rPr>
        <w:t>的规定。</w:t>
      </w:r>
    </w:p>
    <w:p>
      <w:pPr>
        <w:pStyle w:val="145"/>
        <w:shd w:val="clear" w:color="auto" w:fill="FFFFFF" w:themeFill="background1"/>
        <w:ind w:firstLine="373" w:firstLineChars="178"/>
        <w:rPr>
          <w:rFonts w:ascii="Times New Roman" w:hAnsi="Times New Roman"/>
          <w:szCs w:val="20"/>
          <w:highlight w:val="none"/>
        </w:rPr>
      </w:pPr>
      <w:r>
        <w:rPr>
          <w:rFonts w:ascii="Times New Roman" w:hAnsi="Times New Roman"/>
          <w:szCs w:val="20"/>
          <w:highlight w:val="none"/>
        </w:rPr>
        <mc:AlternateContent>
          <mc:Choice Requires="wps">
            <w:drawing>
              <wp:anchor distT="0" distB="0" distL="114300" distR="114300" simplePos="0" relativeHeight="251659264" behindDoc="0" locked="0" layoutInCell="1" allowOverlap="1">
                <wp:simplePos x="0" y="0"/>
                <wp:positionH relativeFrom="column">
                  <wp:posOffset>1988185</wp:posOffset>
                </wp:positionH>
                <wp:positionV relativeFrom="paragraph">
                  <wp:posOffset>372110</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56.55pt;margin-top:29.3pt;height:0pt;width:151.5pt;z-index:251659264;mso-width-relative:page;mso-height-relative:page;" filled="f" stroked="t" coordsize="21600,21600" o:gfxdata="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uvYD/WAAAACQEAAA8AAAAAAAAAAQAgAAAA&#10;IgAAAGRycy9kb3ducmV2LnhtbFBLAQIUABQAAAAIAIdO4kC7kI+y1AEAALIDAAAOAAAAAAAAAAEA&#10;IAAAACUBAABkcnMvZTJvRG9jLnhtbFBLBQYAAAAABgAGAFkBAABrBQAAAAA=&#10;">
                <v:fill on="f" focussize="0,0"/>
                <v:stroke color="#000000" joinstyle="round"/>
                <v:imagedata o:title=""/>
                <o:lock v:ext="edit" aspectratio="f"/>
              </v:shape>
            </w:pict>
          </mc:Fallback>
        </mc:AlternateContent>
      </w:r>
    </w:p>
    <w:sectPr>
      <w:headerReference r:id="rId12" w:type="default"/>
      <w:footerReference r:id="rId13"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7"/>
          <w:jc w:val="left"/>
        </w:pPr>
        <w:r>
          <w:fldChar w:fldCharType="begin"/>
        </w:r>
        <w:r>
          <w:instrText xml:space="preserve">PAGE   \* MERGEFORMAT</w:instrText>
        </w:r>
        <w:r>
          <w:fldChar w:fldCharType="separate"/>
        </w:r>
        <w:r>
          <w:rPr>
            <w:lang w:val="zh-CN"/>
          </w:rPr>
          <w:t>6</w:t>
        </w:r>
        <w:r>
          <w:fldChar w:fldCharType="end"/>
        </w:r>
      </w:p>
    </w:sdtContent>
  </w:sdt>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-XXXX</w:t>
    </w:r>
  </w:p>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黑体" w:eastAsia="黑体" w:cs="黑体"/>
        <w:b/>
        <w:bCs/>
        <w:sz w:val="21"/>
        <w:szCs w:val="21"/>
      </w:rPr>
    </w:pPr>
    <w:r>
      <w:rPr>
        <w:rFonts w:hint="eastAsia" w:ascii="黑体" w:eastAsia="黑体" w:cs="黑体"/>
        <w:b/>
        <w:bCs/>
        <w:sz w:val="21"/>
        <w:szCs w:val="21"/>
      </w:rPr>
      <w:t>T/SSEA</w:t>
    </w:r>
    <w:r>
      <w:rPr>
        <w:rFonts w:hint="eastAsia" w:ascii="黑体" w:cs="黑体"/>
        <w:b/>
        <w:bCs/>
        <w:sz w:val="21"/>
        <w:szCs w:val="21"/>
      </w:rPr>
      <w:t xml:space="preserve"> XXXX</w:t>
    </w:r>
    <w:r>
      <w:rPr>
        <w:rFonts w:hint="eastAsia" w:ascii="黑体" w:eastAsia="黑体" w:cs="黑体"/>
        <w:b/>
        <w:bCs/>
        <w:sz w:val="21"/>
        <w:szCs w:val="21"/>
      </w:rPr>
      <w:t>-</w:t>
    </w:r>
    <w:r>
      <w:rPr>
        <w:rFonts w:ascii="黑体" w:eastAsia="黑体" w:cs="黑体"/>
        <w:b/>
        <w:bCs/>
        <w:sz w:val="21"/>
        <w:szCs w:val="21"/>
      </w:rPr>
      <w:t>XXXX</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default" w:ascii="Times New Roman" w:hAnsi="Times New Roman"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79"/>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00097"/>
    <w:rsid w:val="00000244"/>
    <w:rsid w:val="000002DD"/>
    <w:rsid w:val="0000185F"/>
    <w:rsid w:val="00004368"/>
    <w:rsid w:val="0000586F"/>
    <w:rsid w:val="00005D79"/>
    <w:rsid w:val="00007340"/>
    <w:rsid w:val="0000777B"/>
    <w:rsid w:val="0001140E"/>
    <w:rsid w:val="00012E74"/>
    <w:rsid w:val="00013D86"/>
    <w:rsid w:val="00013E02"/>
    <w:rsid w:val="00016D4E"/>
    <w:rsid w:val="00017E7B"/>
    <w:rsid w:val="00020414"/>
    <w:rsid w:val="0002143C"/>
    <w:rsid w:val="00021EAC"/>
    <w:rsid w:val="00022016"/>
    <w:rsid w:val="000238EC"/>
    <w:rsid w:val="00025A65"/>
    <w:rsid w:val="000267B2"/>
    <w:rsid w:val="00026B62"/>
    <w:rsid w:val="00026C31"/>
    <w:rsid w:val="00027280"/>
    <w:rsid w:val="000306E3"/>
    <w:rsid w:val="000320A7"/>
    <w:rsid w:val="00035925"/>
    <w:rsid w:val="000366F4"/>
    <w:rsid w:val="00037DAC"/>
    <w:rsid w:val="00041127"/>
    <w:rsid w:val="00045C9B"/>
    <w:rsid w:val="000466F7"/>
    <w:rsid w:val="000467B3"/>
    <w:rsid w:val="000521F9"/>
    <w:rsid w:val="00055BAB"/>
    <w:rsid w:val="00061A0B"/>
    <w:rsid w:val="000639E9"/>
    <w:rsid w:val="00063E76"/>
    <w:rsid w:val="00067CDF"/>
    <w:rsid w:val="0007075F"/>
    <w:rsid w:val="00072C3E"/>
    <w:rsid w:val="00073209"/>
    <w:rsid w:val="00074FBE"/>
    <w:rsid w:val="000767AF"/>
    <w:rsid w:val="000772BB"/>
    <w:rsid w:val="00077E45"/>
    <w:rsid w:val="00080500"/>
    <w:rsid w:val="000818DD"/>
    <w:rsid w:val="00083A09"/>
    <w:rsid w:val="00085331"/>
    <w:rsid w:val="000858B3"/>
    <w:rsid w:val="000868E3"/>
    <w:rsid w:val="0009005E"/>
    <w:rsid w:val="000900F8"/>
    <w:rsid w:val="00090E08"/>
    <w:rsid w:val="00092857"/>
    <w:rsid w:val="00094BD2"/>
    <w:rsid w:val="00097C30"/>
    <w:rsid w:val="000A20A9"/>
    <w:rsid w:val="000A3AE3"/>
    <w:rsid w:val="000A48B1"/>
    <w:rsid w:val="000A5495"/>
    <w:rsid w:val="000A7100"/>
    <w:rsid w:val="000B3143"/>
    <w:rsid w:val="000C14ED"/>
    <w:rsid w:val="000C30C7"/>
    <w:rsid w:val="000C498B"/>
    <w:rsid w:val="000C6B05"/>
    <w:rsid w:val="000C6DD6"/>
    <w:rsid w:val="000C73D4"/>
    <w:rsid w:val="000D03F1"/>
    <w:rsid w:val="000D114F"/>
    <w:rsid w:val="000D12AE"/>
    <w:rsid w:val="000D3D4C"/>
    <w:rsid w:val="000D4406"/>
    <w:rsid w:val="000D44D7"/>
    <w:rsid w:val="000D4505"/>
    <w:rsid w:val="000D4F51"/>
    <w:rsid w:val="000D718B"/>
    <w:rsid w:val="000E0C46"/>
    <w:rsid w:val="000E0CDB"/>
    <w:rsid w:val="000E3EC7"/>
    <w:rsid w:val="000E3F8A"/>
    <w:rsid w:val="000F030C"/>
    <w:rsid w:val="000F04B4"/>
    <w:rsid w:val="000F129C"/>
    <w:rsid w:val="000F1C07"/>
    <w:rsid w:val="000F2971"/>
    <w:rsid w:val="001008BA"/>
    <w:rsid w:val="001056DE"/>
    <w:rsid w:val="0010658E"/>
    <w:rsid w:val="00111863"/>
    <w:rsid w:val="001124C0"/>
    <w:rsid w:val="00114230"/>
    <w:rsid w:val="0011711C"/>
    <w:rsid w:val="00121229"/>
    <w:rsid w:val="001249CF"/>
    <w:rsid w:val="00125108"/>
    <w:rsid w:val="00125D28"/>
    <w:rsid w:val="001278EF"/>
    <w:rsid w:val="0013175F"/>
    <w:rsid w:val="00134999"/>
    <w:rsid w:val="00140D6D"/>
    <w:rsid w:val="00143F81"/>
    <w:rsid w:val="001508E8"/>
    <w:rsid w:val="00150CB8"/>
    <w:rsid w:val="001512B4"/>
    <w:rsid w:val="00151F6D"/>
    <w:rsid w:val="00152179"/>
    <w:rsid w:val="00154746"/>
    <w:rsid w:val="00154A8E"/>
    <w:rsid w:val="00156D41"/>
    <w:rsid w:val="00160652"/>
    <w:rsid w:val="00161317"/>
    <w:rsid w:val="001620A5"/>
    <w:rsid w:val="00164E53"/>
    <w:rsid w:val="0016699D"/>
    <w:rsid w:val="001701E9"/>
    <w:rsid w:val="0017259F"/>
    <w:rsid w:val="00172A27"/>
    <w:rsid w:val="00174918"/>
    <w:rsid w:val="00174DFC"/>
    <w:rsid w:val="00175159"/>
    <w:rsid w:val="00176208"/>
    <w:rsid w:val="00176D95"/>
    <w:rsid w:val="0017711B"/>
    <w:rsid w:val="0018211B"/>
    <w:rsid w:val="00183176"/>
    <w:rsid w:val="001840D3"/>
    <w:rsid w:val="00187A9A"/>
    <w:rsid w:val="001900F8"/>
    <w:rsid w:val="0019112B"/>
    <w:rsid w:val="00191258"/>
    <w:rsid w:val="00192680"/>
    <w:rsid w:val="001926AA"/>
    <w:rsid w:val="00193037"/>
    <w:rsid w:val="00193A2C"/>
    <w:rsid w:val="00197D88"/>
    <w:rsid w:val="00197E8B"/>
    <w:rsid w:val="001A01D4"/>
    <w:rsid w:val="001A1214"/>
    <w:rsid w:val="001A288E"/>
    <w:rsid w:val="001A32EE"/>
    <w:rsid w:val="001A40EF"/>
    <w:rsid w:val="001A770A"/>
    <w:rsid w:val="001B5E5F"/>
    <w:rsid w:val="001B6DC2"/>
    <w:rsid w:val="001C149C"/>
    <w:rsid w:val="001C21AC"/>
    <w:rsid w:val="001C47BA"/>
    <w:rsid w:val="001C59EA"/>
    <w:rsid w:val="001D0924"/>
    <w:rsid w:val="001D2B11"/>
    <w:rsid w:val="001D406C"/>
    <w:rsid w:val="001D41EE"/>
    <w:rsid w:val="001D4EC2"/>
    <w:rsid w:val="001D7A94"/>
    <w:rsid w:val="001D7BBC"/>
    <w:rsid w:val="001E0380"/>
    <w:rsid w:val="001E13B1"/>
    <w:rsid w:val="001E3E63"/>
    <w:rsid w:val="001E55B7"/>
    <w:rsid w:val="001E69DB"/>
    <w:rsid w:val="001F0250"/>
    <w:rsid w:val="001F2835"/>
    <w:rsid w:val="001F3A19"/>
    <w:rsid w:val="001F70BE"/>
    <w:rsid w:val="002002E4"/>
    <w:rsid w:val="00204AFE"/>
    <w:rsid w:val="0020528D"/>
    <w:rsid w:val="00207941"/>
    <w:rsid w:val="002127FA"/>
    <w:rsid w:val="0022046A"/>
    <w:rsid w:val="0022089B"/>
    <w:rsid w:val="002242CD"/>
    <w:rsid w:val="002310C5"/>
    <w:rsid w:val="00231142"/>
    <w:rsid w:val="00231970"/>
    <w:rsid w:val="00234467"/>
    <w:rsid w:val="00237D8D"/>
    <w:rsid w:val="00240622"/>
    <w:rsid w:val="00240FE6"/>
    <w:rsid w:val="00241DA2"/>
    <w:rsid w:val="00245B95"/>
    <w:rsid w:val="00247FEE"/>
    <w:rsid w:val="00250E7D"/>
    <w:rsid w:val="00253310"/>
    <w:rsid w:val="00254299"/>
    <w:rsid w:val="002549B0"/>
    <w:rsid w:val="002565D5"/>
    <w:rsid w:val="00257415"/>
    <w:rsid w:val="00257686"/>
    <w:rsid w:val="00257C39"/>
    <w:rsid w:val="002622C0"/>
    <w:rsid w:val="00262D2E"/>
    <w:rsid w:val="00264A47"/>
    <w:rsid w:val="00264F9B"/>
    <w:rsid w:val="00265199"/>
    <w:rsid w:val="002670D5"/>
    <w:rsid w:val="002723AF"/>
    <w:rsid w:val="00272D7C"/>
    <w:rsid w:val="002741BC"/>
    <w:rsid w:val="002759BB"/>
    <w:rsid w:val="00276B08"/>
    <w:rsid w:val="002778AE"/>
    <w:rsid w:val="0028022A"/>
    <w:rsid w:val="00281919"/>
    <w:rsid w:val="002824CB"/>
    <w:rsid w:val="002825C4"/>
    <w:rsid w:val="0028269A"/>
    <w:rsid w:val="00283590"/>
    <w:rsid w:val="0028512A"/>
    <w:rsid w:val="00286973"/>
    <w:rsid w:val="00286D3B"/>
    <w:rsid w:val="00287405"/>
    <w:rsid w:val="0029024B"/>
    <w:rsid w:val="002904AF"/>
    <w:rsid w:val="00291AF2"/>
    <w:rsid w:val="00293935"/>
    <w:rsid w:val="00294E70"/>
    <w:rsid w:val="002952CE"/>
    <w:rsid w:val="00296FB8"/>
    <w:rsid w:val="002A06B3"/>
    <w:rsid w:val="002A0ABD"/>
    <w:rsid w:val="002A159E"/>
    <w:rsid w:val="002A1924"/>
    <w:rsid w:val="002A7420"/>
    <w:rsid w:val="002B0F12"/>
    <w:rsid w:val="002B1308"/>
    <w:rsid w:val="002B4449"/>
    <w:rsid w:val="002B4554"/>
    <w:rsid w:val="002B4FE3"/>
    <w:rsid w:val="002C0BA9"/>
    <w:rsid w:val="002C2696"/>
    <w:rsid w:val="002C72D8"/>
    <w:rsid w:val="002C7E63"/>
    <w:rsid w:val="002D11FA"/>
    <w:rsid w:val="002D2152"/>
    <w:rsid w:val="002D545A"/>
    <w:rsid w:val="002E0B45"/>
    <w:rsid w:val="002E0DDF"/>
    <w:rsid w:val="002E2906"/>
    <w:rsid w:val="002E5635"/>
    <w:rsid w:val="002E615A"/>
    <w:rsid w:val="002E64C3"/>
    <w:rsid w:val="002E6A2C"/>
    <w:rsid w:val="002E728C"/>
    <w:rsid w:val="002F1D8C"/>
    <w:rsid w:val="002F21DA"/>
    <w:rsid w:val="002F31F1"/>
    <w:rsid w:val="002F3F0D"/>
    <w:rsid w:val="002F42E2"/>
    <w:rsid w:val="002F4512"/>
    <w:rsid w:val="002F57F3"/>
    <w:rsid w:val="002F6BC3"/>
    <w:rsid w:val="00301F39"/>
    <w:rsid w:val="0030226F"/>
    <w:rsid w:val="00305812"/>
    <w:rsid w:val="003073E0"/>
    <w:rsid w:val="0031038A"/>
    <w:rsid w:val="00310478"/>
    <w:rsid w:val="00310E10"/>
    <w:rsid w:val="00317A37"/>
    <w:rsid w:val="0032071A"/>
    <w:rsid w:val="00325926"/>
    <w:rsid w:val="00327A8A"/>
    <w:rsid w:val="00336610"/>
    <w:rsid w:val="00343F73"/>
    <w:rsid w:val="00345060"/>
    <w:rsid w:val="00345433"/>
    <w:rsid w:val="00350BC9"/>
    <w:rsid w:val="00352375"/>
    <w:rsid w:val="00352D6D"/>
    <w:rsid w:val="0035323B"/>
    <w:rsid w:val="0035620D"/>
    <w:rsid w:val="00356876"/>
    <w:rsid w:val="003609D2"/>
    <w:rsid w:val="00360E16"/>
    <w:rsid w:val="00363F22"/>
    <w:rsid w:val="003650D5"/>
    <w:rsid w:val="003659A4"/>
    <w:rsid w:val="00366608"/>
    <w:rsid w:val="0036759A"/>
    <w:rsid w:val="0036763B"/>
    <w:rsid w:val="00371E7E"/>
    <w:rsid w:val="003732A9"/>
    <w:rsid w:val="0037473D"/>
    <w:rsid w:val="00375564"/>
    <w:rsid w:val="0037662F"/>
    <w:rsid w:val="003768C0"/>
    <w:rsid w:val="00382B24"/>
    <w:rsid w:val="00383191"/>
    <w:rsid w:val="003839CA"/>
    <w:rsid w:val="003852DB"/>
    <w:rsid w:val="00386DED"/>
    <w:rsid w:val="003912E7"/>
    <w:rsid w:val="0039140F"/>
    <w:rsid w:val="00393947"/>
    <w:rsid w:val="003A1F65"/>
    <w:rsid w:val="003A2275"/>
    <w:rsid w:val="003A3F2D"/>
    <w:rsid w:val="003A48CA"/>
    <w:rsid w:val="003A5141"/>
    <w:rsid w:val="003A6A4F"/>
    <w:rsid w:val="003A7088"/>
    <w:rsid w:val="003B00DF"/>
    <w:rsid w:val="003B1275"/>
    <w:rsid w:val="003B1778"/>
    <w:rsid w:val="003B1DA2"/>
    <w:rsid w:val="003B217D"/>
    <w:rsid w:val="003B7AC1"/>
    <w:rsid w:val="003C11CB"/>
    <w:rsid w:val="003C1707"/>
    <w:rsid w:val="003C5654"/>
    <w:rsid w:val="003C75F3"/>
    <w:rsid w:val="003C78A3"/>
    <w:rsid w:val="003D0023"/>
    <w:rsid w:val="003D0240"/>
    <w:rsid w:val="003D262A"/>
    <w:rsid w:val="003D52A2"/>
    <w:rsid w:val="003D721E"/>
    <w:rsid w:val="003E0318"/>
    <w:rsid w:val="003E0D6C"/>
    <w:rsid w:val="003E0DC1"/>
    <w:rsid w:val="003E180A"/>
    <w:rsid w:val="003E1867"/>
    <w:rsid w:val="003E5000"/>
    <w:rsid w:val="003E5729"/>
    <w:rsid w:val="003E5A57"/>
    <w:rsid w:val="003F4EE0"/>
    <w:rsid w:val="00400C28"/>
    <w:rsid w:val="00402153"/>
    <w:rsid w:val="00402FC1"/>
    <w:rsid w:val="00405236"/>
    <w:rsid w:val="004132A4"/>
    <w:rsid w:val="004134DD"/>
    <w:rsid w:val="004145B9"/>
    <w:rsid w:val="004166CD"/>
    <w:rsid w:val="0041793A"/>
    <w:rsid w:val="00423779"/>
    <w:rsid w:val="00423DBC"/>
    <w:rsid w:val="00425082"/>
    <w:rsid w:val="00430262"/>
    <w:rsid w:val="00431DEB"/>
    <w:rsid w:val="00433284"/>
    <w:rsid w:val="00435F53"/>
    <w:rsid w:val="00443F7B"/>
    <w:rsid w:val="00446B29"/>
    <w:rsid w:val="004509E6"/>
    <w:rsid w:val="00453015"/>
    <w:rsid w:val="00453F9A"/>
    <w:rsid w:val="00455F07"/>
    <w:rsid w:val="0045659F"/>
    <w:rsid w:val="00457C85"/>
    <w:rsid w:val="004636C5"/>
    <w:rsid w:val="00471E91"/>
    <w:rsid w:val="00472AF6"/>
    <w:rsid w:val="00472C6E"/>
    <w:rsid w:val="00474675"/>
    <w:rsid w:val="0047470C"/>
    <w:rsid w:val="0047745F"/>
    <w:rsid w:val="00482C8D"/>
    <w:rsid w:val="00485828"/>
    <w:rsid w:val="00490677"/>
    <w:rsid w:val="00490762"/>
    <w:rsid w:val="00490E6B"/>
    <w:rsid w:val="00492A67"/>
    <w:rsid w:val="00497A7C"/>
    <w:rsid w:val="004A029F"/>
    <w:rsid w:val="004A0900"/>
    <w:rsid w:val="004A0F5E"/>
    <w:rsid w:val="004A2EB0"/>
    <w:rsid w:val="004A35F9"/>
    <w:rsid w:val="004A6045"/>
    <w:rsid w:val="004B1107"/>
    <w:rsid w:val="004B1EA1"/>
    <w:rsid w:val="004B24C1"/>
    <w:rsid w:val="004B3527"/>
    <w:rsid w:val="004B4141"/>
    <w:rsid w:val="004B41A3"/>
    <w:rsid w:val="004B58CD"/>
    <w:rsid w:val="004B7A61"/>
    <w:rsid w:val="004B7C46"/>
    <w:rsid w:val="004C0DE4"/>
    <w:rsid w:val="004C15CE"/>
    <w:rsid w:val="004C292F"/>
    <w:rsid w:val="004C2E23"/>
    <w:rsid w:val="004C3DAE"/>
    <w:rsid w:val="004C41F9"/>
    <w:rsid w:val="004C52B4"/>
    <w:rsid w:val="004C6D21"/>
    <w:rsid w:val="004D07B7"/>
    <w:rsid w:val="004D197C"/>
    <w:rsid w:val="004D6168"/>
    <w:rsid w:val="004E0087"/>
    <w:rsid w:val="004E4034"/>
    <w:rsid w:val="004E504F"/>
    <w:rsid w:val="004E7695"/>
    <w:rsid w:val="004F10FB"/>
    <w:rsid w:val="004F11CA"/>
    <w:rsid w:val="005002CE"/>
    <w:rsid w:val="00500A34"/>
    <w:rsid w:val="00501D97"/>
    <w:rsid w:val="0050657D"/>
    <w:rsid w:val="00510280"/>
    <w:rsid w:val="005107C9"/>
    <w:rsid w:val="0051089F"/>
    <w:rsid w:val="005127F6"/>
    <w:rsid w:val="00513480"/>
    <w:rsid w:val="00513D73"/>
    <w:rsid w:val="00514A43"/>
    <w:rsid w:val="005174E5"/>
    <w:rsid w:val="00520AA4"/>
    <w:rsid w:val="00522393"/>
    <w:rsid w:val="00522620"/>
    <w:rsid w:val="00522F9A"/>
    <w:rsid w:val="005237FD"/>
    <w:rsid w:val="00525656"/>
    <w:rsid w:val="00534C02"/>
    <w:rsid w:val="00534D29"/>
    <w:rsid w:val="00534EC9"/>
    <w:rsid w:val="00535A30"/>
    <w:rsid w:val="005374CA"/>
    <w:rsid w:val="0054264B"/>
    <w:rsid w:val="00543786"/>
    <w:rsid w:val="00550AC2"/>
    <w:rsid w:val="005533D7"/>
    <w:rsid w:val="0055515E"/>
    <w:rsid w:val="00555D5A"/>
    <w:rsid w:val="00560E0C"/>
    <w:rsid w:val="005650DE"/>
    <w:rsid w:val="00565E4A"/>
    <w:rsid w:val="005703DE"/>
    <w:rsid w:val="0057237E"/>
    <w:rsid w:val="00575169"/>
    <w:rsid w:val="00580B6B"/>
    <w:rsid w:val="005828EB"/>
    <w:rsid w:val="00582AD4"/>
    <w:rsid w:val="0058464E"/>
    <w:rsid w:val="00586AF1"/>
    <w:rsid w:val="00586BE0"/>
    <w:rsid w:val="00587FD0"/>
    <w:rsid w:val="00592A03"/>
    <w:rsid w:val="00592C13"/>
    <w:rsid w:val="005A01CB"/>
    <w:rsid w:val="005A0F80"/>
    <w:rsid w:val="005A2C33"/>
    <w:rsid w:val="005A58FF"/>
    <w:rsid w:val="005A5BD3"/>
    <w:rsid w:val="005A5EAF"/>
    <w:rsid w:val="005A64C0"/>
    <w:rsid w:val="005A6808"/>
    <w:rsid w:val="005B1AD6"/>
    <w:rsid w:val="005B2219"/>
    <w:rsid w:val="005B3618"/>
    <w:rsid w:val="005B3747"/>
    <w:rsid w:val="005B3C11"/>
    <w:rsid w:val="005B3CB5"/>
    <w:rsid w:val="005B73B1"/>
    <w:rsid w:val="005C1190"/>
    <w:rsid w:val="005C1C28"/>
    <w:rsid w:val="005C26C4"/>
    <w:rsid w:val="005C3767"/>
    <w:rsid w:val="005C40BF"/>
    <w:rsid w:val="005C6DB5"/>
    <w:rsid w:val="005C7E1D"/>
    <w:rsid w:val="005D1283"/>
    <w:rsid w:val="005D347A"/>
    <w:rsid w:val="005D4E43"/>
    <w:rsid w:val="005E0135"/>
    <w:rsid w:val="005E19E7"/>
    <w:rsid w:val="005E219B"/>
    <w:rsid w:val="005E534D"/>
    <w:rsid w:val="005E6290"/>
    <w:rsid w:val="005E6661"/>
    <w:rsid w:val="005E71F4"/>
    <w:rsid w:val="005E7A66"/>
    <w:rsid w:val="005F0D0C"/>
    <w:rsid w:val="005F1913"/>
    <w:rsid w:val="005F2504"/>
    <w:rsid w:val="005F4DD2"/>
    <w:rsid w:val="005F7EFC"/>
    <w:rsid w:val="00603CAD"/>
    <w:rsid w:val="00605BC0"/>
    <w:rsid w:val="00606850"/>
    <w:rsid w:val="006123BE"/>
    <w:rsid w:val="006126AA"/>
    <w:rsid w:val="00614071"/>
    <w:rsid w:val="0061716C"/>
    <w:rsid w:val="006173E5"/>
    <w:rsid w:val="0062170B"/>
    <w:rsid w:val="006243A1"/>
    <w:rsid w:val="0062654B"/>
    <w:rsid w:val="006268F1"/>
    <w:rsid w:val="006274A6"/>
    <w:rsid w:val="00627580"/>
    <w:rsid w:val="0063111E"/>
    <w:rsid w:val="00632E56"/>
    <w:rsid w:val="00635CBA"/>
    <w:rsid w:val="00636B59"/>
    <w:rsid w:val="00637416"/>
    <w:rsid w:val="00640D79"/>
    <w:rsid w:val="00641C62"/>
    <w:rsid w:val="006423A6"/>
    <w:rsid w:val="0064338B"/>
    <w:rsid w:val="00646542"/>
    <w:rsid w:val="00646A44"/>
    <w:rsid w:val="00646A5E"/>
    <w:rsid w:val="00647889"/>
    <w:rsid w:val="006504F4"/>
    <w:rsid w:val="00651D37"/>
    <w:rsid w:val="00652A8E"/>
    <w:rsid w:val="00652A92"/>
    <w:rsid w:val="006537F3"/>
    <w:rsid w:val="00653CBB"/>
    <w:rsid w:val="00654BC9"/>
    <w:rsid w:val="006552FD"/>
    <w:rsid w:val="006554A5"/>
    <w:rsid w:val="00656ECA"/>
    <w:rsid w:val="00662954"/>
    <w:rsid w:val="00663AF3"/>
    <w:rsid w:val="00666B6C"/>
    <w:rsid w:val="00674BBD"/>
    <w:rsid w:val="00676A78"/>
    <w:rsid w:val="00676D9C"/>
    <w:rsid w:val="00677A1E"/>
    <w:rsid w:val="00677FAA"/>
    <w:rsid w:val="006804AF"/>
    <w:rsid w:val="0068066C"/>
    <w:rsid w:val="00682682"/>
    <w:rsid w:val="00682702"/>
    <w:rsid w:val="00682A25"/>
    <w:rsid w:val="00684350"/>
    <w:rsid w:val="006862EB"/>
    <w:rsid w:val="006915B7"/>
    <w:rsid w:val="006916B9"/>
    <w:rsid w:val="00692368"/>
    <w:rsid w:val="00692DB1"/>
    <w:rsid w:val="00692EAF"/>
    <w:rsid w:val="006A2EBC"/>
    <w:rsid w:val="006A5EA0"/>
    <w:rsid w:val="006A61D0"/>
    <w:rsid w:val="006A783B"/>
    <w:rsid w:val="006A7AEB"/>
    <w:rsid w:val="006A7B33"/>
    <w:rsid w:val="006B0009"/>
    <w:rsid w:val="006B216C"/>
    <w:rsid w:val="006B3B7D"/>
    <w:rsid w:val="006B47BB"/>
    <w:rsid w:val="006B4972"/>
    <w:rsid w:val="006B4E13"/>
    <w:rsid w:val="006B66AC"/>
    <w:rsid w:val="006B75DD"/>
    <w:rsid w:val="006C3EC4"/>
    <w:rsid w:val="006C5EC8"/>
    <w:rsid w:val="006C67E0"/>
    <w:rsid w:val="006C7ABA"/>
    <w:rsid w:val="006D0D60"/>
    <w:rsid w:val="006D1122"/>
    <w:rsid w:val="006D3C00"/>
    <w:rsid w:val="006D62A5"/>
    <w:rsid w:val="006D6AC7"/>
    <w:rsid w:val="006E170A"/>
    <w:rsid w:val="006E3675"/>
    <w:rsid w:val="006E4A7F"/>
    <w:rsid w:val="006E5E69"/>
    <w:rsid w:val="006E78FA"/>
    <w:rsid w:val="006F0EAA"/>
    <w:rsid w:val="006F131E"/>
    <w:rsid w:val="006F13E9"/>
    <w:rsid w:val="006F2AB3"/>
    <w:rsid w:val="006F3A10"/>
    <w:rsid w:val="006F72B1"/>
    <w:rsid w:val="00702335"/>
    <w:rsid w:val="00704DF6"/>
    <w:rsid w:val="0070651C"/>
    <w:rsid w:val="00707D93"/>
    <w:rsid w:val="007100A7"/>
    <w:rsid w:val="00710179"/>
    <w:rsid w:val="0071145F"/>
    <w:rsid w:val="00711B5A"/>
    <w:rsid w:val="007132A3"/>
    <w:rsid w:val="0071458B"/>
    <w:rsid w:val="007158F0"/>
    <w:rsid w:val="00716421"/>
    <w:rsid w:val="00717651"/>
    <w:rsid w:val="00717E79"/>
    <w:rsid w:val="007210A4"/>
    <w:rsid w:val="00722BA5"/>
    <w:rsid w:val="00722D17"/>
    <w:rsid w:val="00724EFB"/>
    <w:rsid w:val="00732949"/>
    <w:rsid w:val="00733E7A"/>
    <w:rsid w:val="00735509"/>
    <w:rsid w:val="007419C3"/>
    <w:rsid w:val="00743B4A"/>
    <w:rsid w:val="00744823"/>
    <w:rsid w:val="00745647"/>
    <w:rsid w:val="007467A7"/>
    <w:rsid w:val="007469DD"/>
    <w:rsid w:val="00747275"/>
    <w:rsid w:val="0074741B"/>
    <w:rsid w:val="0074759E"/>
    <w:rsid w:val="007478EA"/>
    <w:rsid w:val="007537AB"/>
    <w:rsid w:val="00753E0E"/>
    <w:rsid w:val="0075415C"/>
    <w:rsid w:val="00763424"/>
    <w:rsid w:val="00763502"/>
    <w:rsid w:val="00765463"/>
    <w:rsid w:val="00765465"/>
    <w:rsid w:val="00767D83"/>
    <w:rsid w:val="00771B48"/>
    <w:rsid w:val="00773117"/>
    <w:rsid w:val="00774634"/>
    <w:rsid w:val="00774E9B"/>
    <w:rsid w:val="007760D4"/>
    <w:rsid w:val="007848C5"/>
    <w:rsid w:val="00784DB9"/>
    <w:rsid w:val="00787045"/>
    <w:rsid w:val="007913AB"/>
    <w:rsid w:val="007914F7"/>
    <w:rsid w:val="0079218C"/>
    <w:rsid w:val="00797015"/>
    <w:rsid w:val="007A5293"/>
    <w:rsid w:val="007B0C68"/>
    <w:rsid w:val="007B1625"/>
    <w:rsid w:val="007B1EEF"/>
    <w:rsid w:val="007B2AA6"/>
    <w:rsid w:val="007B61B5"/>
    <w:rsid w:val="007B6756"/>
    <w:rsid w:val="007B706E"/>
    <w:rsid w:val="007B71EB"/>
    <w:rsid w:val="007B7F4D"/>
    <w:rsid w:val="007C0A15"/>
    <w:rsid w:val="007C2D77"/>
    <w:rsid w:val="007C31CC"/>
    <w:rsid w:val="007C3F70"/>
    <w:rsid w:val="007C44C3"/>
    <w:rsid w:val="007C487E"/>
    <w:rsid w:val="007C6205"/>
    <w:rsid w:val="007C686A"/>
    <w:rsid w:val="007C728E"/>
    <w:rsid w:val="007D12D6"/>
    <w:rsid w:val="007D2C53"/>
    <w:rsid w:val="007D3D60"/>
    <w:rsid w:val="007D44C7"/>
    <w:rsid w:val="007D58A1"/>
    <w:rsid w:val="007E1980"/>
    <w:rsid w:val="007E4B76"/>
    <w:rsid w:val="007E4C8A"/>
    <w:rsid w:val="007E5EA8"/>
    <w:rsid w:val="007E7282"/>
    <w:rsid w:val="007F0949"/>
    <w:rsid w:val="007F0CF1"/>
    <w:rsid w:val="007F12A5"/>
    <w:rsid w:val="007F2D6D"/>
    <w:rsid w:val="007F3B0B"/>
    <w:rsid w:val="007F4CF1"/>
    <w:rsid w:val="007F758D"/>
    <w:rsid w:val="007F7D52"/>
    <w:rsid w:val="00802398"/>
    <w:rsid w:val="0080353D"/>
    <w:rsid w:val="00804FF2"/>
    <w:rsid w:val="008058B7"/>
    <w:rsid w:val="0080654C"/>
    <w:rsid w:val="008071C6"/>
    <w:rsid w:val="008109D6"/>
    <w:rsid w:val="00811750"/>
    <w:rsid w:val="00815237"/>
    <w:rsid w:val="00817A00"/>
    <w:rsid w:val="00820D23"/>
    <w:rsid w:val="00821C5F"/>
    <w:rsid w:val="0083084A"/>
    <w:rsid w:val="00831E65"/>
    <w:rsid w:val="00832776"/>
    <w:rsid w:val="00834B6C"/>
    <w:rsid w:val="00835DB3"/>
    <w:rsid w:val="0083617B"/>
    <w:rsid w:val="008371BD"/>
    <w:rsid w:val="008419C1"/>
    <w:rsid w:val="00843AA8"/>
    <w:rsid w:val="008504A8"/>
    <w:rsid w:val="0085282E"/>
    <w:rsid w:val="008533B6"/>
    <w:rsid w:val="00854B5F"/>
    <w:rsid w:val="00857A3C"/>
    <w:rsid w:val="00862151"/>
    <w:rsid w:val="00862A27"/>
    <w:rsid w:val="00862AB9"/>
    <w:rsid w:val="00864FB4"/>
    <w:rsid w:val="00867B33"/>
    <w:rsid w:val="0087198C"/>
    <w:rsid w:val="00872896"/>
    <w:rsid w:val="00872C1F"/>
    <w:rsid w:val="00873B42"/>
    <w:rsid w:val="008743BC"/>
    <w:rsid w:val="00874A40"/>
    <w:rsid w:val="00874B96"/>
    <w:rsid w:val="0087620B"/>
    <w:rsid w:val="00876EF1"/>
    <w:rsid w:val="008770F5"/>
    <w:rsid w:val="00877177"/>
    <w:rsid w:val="0087773E"/>
    <w:rsid w:val="00877BAD"/>
    <w:rsid w:val="00877FC8"/>
    <w:rsid w:val="00880089"/>
    <w:rsid w:val="00880B73"/>
    <w:rsid w:val="0088194D"/>
    <w:rsid w:val="008821DC"/>
    <w:rsid w:val="00882D2B"/>
    <w:rsid w:val="00885289"/>
    <w:rsid w:val="008856D8"/>
    <w:rsid w:val="00891B4C"/>
    <w:rsid w:val="00892E82"/>
    <w:rsid w:val="00894FC6"/>
    <w:rsid w:val="008A2635"/>
    <w:rsid w:val="008B5277"/>
    <w:rsid w:val="008C0D91"/>
    <w:rsid w:val="008C1B58"/>
    <w:rsid w:val="008C38FE"/>
    <w:rsid w:val="008C39AE"/>
    <w:rsid w:val="008C590D"/>
    <w:rsid w:val="008C786F"/>
    <w:rsid w:val="008D009D"/>
    <w:rsid w:val="008D250B"/>
    <w:rsid w:val="008D4EA9"/>
    <w:rsid w:val="008E031B"/>
    <w:rsid w:val="008E1B2C"/>
    <w:rsid w:val="008E2388"/>
    <w:rsid w:val="008E23E7"/>
    <w:rsid w:val="008E4014"/>
    <w:rsid w:val="008E4A5E"/>
    <w:rsid w:val="008E60E2"/>
    <w:rsid w:val="008E7029"/>
    <w:rsid w:val="008E7EF6"/>
    <w:rsid w:val="008F1F1C"/>
    <w:rsid w:val="008F1F98"/>
    <w:rsid w:val="008F476A"/>
    <w:rsid w:val="008F4FBD"/>
    <w:rsid w:val="008F5765"/>
    <w:rsid w:val="008F6758"/>
    <w:rsid w:val="008F723C"/>
    <w:rsid w:val="00900900"/>
    <w:rsid w:val="00902A08"/>
    <w:rsid w:val="00902C74"/>
    <w:rsid w:val="0090326F"/>
    <w:rsid w:val="009040DD"/>
    <w:rsid w:val="00905B47"/>
    <w:rsid w:val="00906F0A"/>
    <w:rsid w:val="0090711E"/>
    <w:rsid w:val="0091331C"/>
    <w:rsid w:val="009140F4"/>
    <w:rsid w:val="0091457E"/>
    <w:rsid w:val="00916945"/>
    <w:rsid w:val="009236CF"/>
    <w:rsid w:val="009240E8"/>
    <w:rsid w:val="00924BA0"/>
    <w:rsid w:val="009279DE"/>
    <w:rsid w:val="00930116"/>
    <w:rsid w:val="00930E0B"/>
    <w:rsid w:val="009326EC"/>
    <w:rsid w:val="00933DC7"/>
    <w:rsid w:val="00933FBB"/>
    <w:rsid w:val="00935676"/>
    <w:rsid w:val="009363F2"/>
    <w:rsid w:val="0093742D"/>
    <w:rsid w:val="009375C7"/>
    <w:rsid w:val="00940320"/>
    <w:rsid w:val="009406D8"/>
    <w:rsid w:val="00940FAC"/>
    <w:rsid w:val="00941421"/>
    <w:rsid w:val="0094212C"/>
    <w:rsid w:val="009421BE"/>
    <w:rsid w:val="0094364C"/>
    <w:rsid w:val="00944733"/>
    <w:rsid w:val="00946042"/>
    <w:rsid w:val="009504BC"/>
    <w:rsid w:val="009507F6"/>
    <w:rsid w:val="00951D89"/>
    <w:rsid w:val="009520CA"/>
    <w:rsid w:val="00953278"/>
    <w:rsid w:val="009537C5"/>
    <w:rsid w:val="00954689"/>
    <w:rsid w:val="009556C8"/>
    <w:rsid w:val="009562D4"/>
    <w:rsid w:val="00956644"/>
    <w:rsid w:val="009602EB"/>
    <w:rsid w:val="009617C9"/>
    <w:rsid w:val="00961C93"/>
    <w:rsid w:val="0096245B"/>
    <w:rsid w:val="00963087"/>
    <w:rsid w:val="00963655"/>
    <w:rsid w:val="0096464F"/>
    <w:rsid w:val="00964793"/>
    <w:rsid w:val="00965324"/>
    <w:rsid w:val="0097091E"/>
    <w:rsid w:val="0097312C"/>
    <w:rsid w:val="00975596"/>
    <w:rsid w:val="009760D3"/>
    <w:rsid w:val="00977132"/>
    <w:rsid w:val="00980089"/>
    <w:rsid w:val="00981A4B"/>
    <w:rsid w:val="0098238C"/>
    <w:rsid w:val="00982501"/>
    <w:rsid w:val="00982A45"/>
    <w:rsid w:val="0098485C"/>
    <w:rsid w:val="00985D50"/>
    <w:rsid w:val="00987386"/>
    <w:rsid w:val="009877D3"/>
    <w:rsid w:val="00994AD9"/>
    <w:rsid w:val="00994E8F"/>
    <w:rsid w:val="009951DC"/>
    <w:rsid w:val="009959BB"/>
    <w:rsid w:val="00996669"/>
    <w:rsid w:val="00997158"/>
    <w:rsid w:val="009A01D6"/>
    <w:rsid w:val="009A3753"/>
    <w:rsid w:val="009A3A7C"/>
    <w:rsid w:val="009B1983"/>
    <w:rsid w:val="009B2ADB"/>
    <w:rsid w:val="009B2EE2"/>
    <w:rsid w:val="009B603A"/>
    <w:rsid w:val="009B656D"/>
    <w:rsid w:val="009B6E06"/>
    <w:rsid w:val="009C0F68"/>
    <w:rsid w:val="009C2D0E"/>
    <w:rsid w:val="009C3078"/>
    <w:rsid w:val="009C3DAC"/>
    <w:rsid w:val="009C42E0"/>
    <w:rsid w:val="009C4EEC"/>
    <w:rsid w:val="009C7DCB"/>
    <w:rsid w:val="009D0692"/>
    <w:rsid w:val="009D28B6"/>
    <w:rsid w:val="009D2B49"/>
    <w:rsid w:val="009D5362"/>
    <w:rsid w:val="009D7EF5"/>
    <w:rsid w:val="009E09B4"/>
    <w:rsid w:val="009E1415"/>
    <w:rsid w:val="009E3C8A"/>
    <w:rsid w:val="009E4174"/>
    <w:rsid w:val="009E4E89"/>
    <w:rsid w:val="009E4F0C"/>
    <w:rsid w:val="009E5238"/>
    <w:rsid w:val="009E53F2"/>
    <w:rsid w:val="009E5754"/>
    <w:rsid w:val="009E6116"/>
    <w:rsid w:val="009E6A1B"/>
    <w:rsid w:val="009F11B8"/>
    <w:rsid w:val="009F1B15"/>
    <w:rsid w:val="009F2170"/>
    <w:rsid w:val="009F4657"/>
    <w:rsid w:val="009F4C79"/>
    <w:rsid w:val="009F5087"/>
    <w:rsid w:val="009F51BD"/>
    <w:rsid w:val="009F6BD8"/>
    <w:rsid w:val="009F73D8"/>
    <w:rsid w:val="00A00B9D"/>
    <w:rsid w:val="00A0112A"/>
    <w:rsid w:val="00A02E43"/>
    <w:rsid w:val="00A065F9"/>
    <w:rsid w:val="00A07978"/>
    <w:rsid w:val="00A07A6F"/>
    <w:rsid w:val="00A07F34"/>
    <w:rsid w:val="00A142E2"/>
    <w:rsid w:val="00A15157"/>
    <w:rsid w:val="00A159CE"/>
    <w:rsid w:val="00A16C7F"/>
    <w:rsid w:val="00A22154"/>
    <w:rsid w:val="00A24393"/>
    <w:rsid w:val="00A25C38"/>
    <w:rsid w:val="00A26308"/>
    <w:rsid w:val="00A26A96"/>
    <w:rsid w:val="00A27B20"/>
    <w:rsid w:val="00A34775"/>
    <w:rsid w:val="00A34D69"/>
    <w:rsid w:val="00A368A7"/>
    <w:rsid w:val="00A36BBE"/>
    <w:rsid w:val="00A37B8D"/>
    <w:rsid w:val="00A41191"/>
    <w:rsid w:val="00A4307A"/>
    <w:rsid w:val="00A43097"/>
    <w:rsid w:val="00A43373"/>
    <w:rsid w:val="00A47CF8"/>
    <w:rsid w:val="00A47EBB"/>
    <w:rsid w:val="00A50675"/>
    <w:rsid w:val="00A51CDD"/>
    <w:rsid w:val="00A53523"/>
    <w:rsid w:val="00A577E8"/>
    <w:rsid w:val="00A57CC7"/>
    <w:rsid w:val="00A6107E"/>
    <w:rsid w:val="00A6394B"/>
    <w:rsid w:val="00A6730D"/>
    <w:rsid w:val="00A6746D"/>
    <w:rsid w:val="00A711A2"/>
    <w:rsid w:val="00A71625"/>
    <w:rsid w:val="00A71B9B"/>
    <w:rsid w:val="00A751C7"/>
    <w:rsid w:val="00A81005"/>
    <w:rsid w:val="00A828DE"/>
    <w:rsid w:val="00A828EA"/>
    <w:rsid w:val="00A87844"/>
    <w:rsid w:val="00A903C1"/>
    <w:rsid w:val="00A92ADF"/>
    <w:rsid w:val="00A948FE"/>
    <w:rsid w:val="00A94C41"/>
    <w:rsid w:val="00A9512D"/>
    <w:rsid w:val="00A971E6"/>
    <w:rsid w:val="00A97D1F"/>
    <w:rsid w:val="00AA038C"/>
    <w:rsid w:val="00AA1737"/>
    <w:rsid w:val="00AA7017"/>
    <w:rsid w:val="00AA7A09"/>
    <w:rsid w:val="00AA7AD2"/>
    <w:rsid w:val="00AB2D90"/>
    <w:rsid w:val="00AB3B50"/>
    <w:rsid w:val="00AB3C6A"/>
    <w:rsid w:val="00AB4DCE"/>
    <w:rsid w:val="00AC05B1"/>
    <w:rsid w:val="00AC6F5A"/>
    <w:rsid w:val="00AD2DFC"/>
    <w:rsid w:val="00AD356C"/>
    <w:rsid w:val="00AD3918"/>
    <w:rsid w:val="00AD6940"/>
    <w:rsid w:val="00AE2914"/>
    <w:rsid w:val="00AE42A9"/>
    <w:rsid w:val="00AE46ED"/>
    <w:rsid w:val="00AE6D15"/>
    <w:rsid w:val="00AE7BBA"/>
    <w:rsid w:val="00AF40A2"/>
    <w:rsid w:val="00AF4D12"/>
    <w:rsid w:val="00B013AA"/>
    <w:rsid w:val="00B01D5B"/>
    <w:rsid w:val="00B01FF6"/>
    <w:rsid w:val="00B033C3"/>
    <w:rsid w:val="00B0395F"/>
    <w:rsid w:val="00B04182"/>
    <w:rsid w:val="00B04856"/>
    <w:rsid w:val="00B0685E"/>
    <w:rsid w:val="00B07AE3"/>
    <w:rsid w:val="00B10F4F"/>
    <w:rsid w:val="00B11430"/>
    <w:rsid w:val="00B12D55"/>
    <w:rsid w:val="00B144AE"/>
    <w:rsid w:val="00B174A5"/>
    <w:rsid w:val="00B21C4D"/>
    <w:rsid w:val="00B2286E"/>
    <w:rsid w:val="00B25987"/>
    <w:rsid w:val="00B27575"/>
    <w:rsid w:val="00B31C7D"/>
    <w:rsid w:val="00B3352A"/>
    <w:rsid w:val="00B34238"/>
    <w:rsid w:val="00B34A96"/>
    <w:rsid w:val="00B353EB"/>
    <w:rsid w:val="00B41A1F"/>
    <w:rsid w:val="00B432A1"/>
    <w:rsid w:val="00B439C4"/>
    <w:rsid w:val="00B4535E"/>
    <w:rsid w:val="00B47449"/>
    <w:rsid w:val="00B50D6E"/>
    <w:rsid w:val="00B52A8C"/>
    <w:rsid w:val="00B53C7E"/>
    <w:rsid w:val="00B53E64"/>
    <w:rsid w:val="00B57C2D"/>
    <w:rsid w:val="00B60A4D"/>
    <w:rsid w:val="00B61939"/>
    <w:rsid w:val="00B6239F"/>
    <w:rsid w:val="00B636A8"/>
    <w:rsid w:val="00B65085"/>
    <w:rsid w:val="00B651BB"/>
    <w:rsid w:val="00B665C6"/>
    <w:rsid w:val="00B666F6"/>
    <w:rsid w:val="00B66FA5"/>
    <w:rsid w:val="00B679EE"/>
    <w:rsid w:val="00B74AFC"/>
    <w:rsid w:val="00B74EB5"/>
    <w:rsid w:val="00B75F6F"/>
    <w:rsid w:val="00B805AF"/>
    <w:rsid w:val="00B816F4"/>
    <w:rsid w:val="00B869EC"/>
    <w:rsid w:val="00B86D7D"/>
    <w:rsid w:val="00B9076F"/>
    <w:rsid w:val="00B9397A"/>
    <w:rsid w:val="00B942C0"/>
    <w:rsid w:val="00B95E90"/>
    <w:rsid w:val="00B9633D"/>
    <w:rsid w:val="00BA2046"/>
    <w:rsid w:val="00BA2EBE"/>
    <w:rsid w:val="00BA5F3B"/>
    <w:rsid w:val="00BA6E1A"/>
    <w:rsid w:val="00BA7456"/>
    <w:rsid w:val="00BA78BF"/>
    <w:rsid w:val="00BB0F28"/>
    <w:rsid w:val="00BB0F47"/>
    <w:rsid w:val="00BB1876"/>
    <w:rsid w:val="00BB41EA"/>
    <w:rsid w:val="00BB458A"/>
    <w:rsid w:val="00BB518B"/>
    <w:rsid w:val="00BB6812"/>
    <w:rsid w:val="00BB7407"/>
    <w:rsid w:val="00BC18E2"/>
    <w:rsid w:val="00BC5A69"/>
    <w:rsid w:val="00BD00D3"/>
    <w:rsid w:val="00BD1659"/>
    <w:rsid w:val="00BD2181"/>
    <w:rsid w:val="00BD23FC"/>
    <w:rsid w:val="00BD2DCA"/>
    <w:rsid w:val="00BD3AA9"/>
    <w:rsid w:val="00BD4A18"/>
    <w:rsid w:val="00BD631A"/>
    <w:rsid w:val="00BD6DB2"/>
    <w:rsid w:val="00BE042B"/>
    <w:rsid w:val="00BE11CF"/>
    <w:rsid w:val="00BE21AB"/>
    <w:rsid w:val="00BE2E40"/>
    <w:rsid w:val="00BE4E0E"/>
    <w:rsid w:val="00BE55CB"/>
    <w:rsid w:val="00BE6FD2"/>
    <w:rsid w:val="00BF356A"/>
    <w:rsid w:val="00BF471C"/>
    <w:rsid w:val="00BF5257"/>
    <w:rsid w:val="00BF617A"/>
    <w:rsid w:val="00BF7EE2"/>
    <w:rsid w:val="00C0216D"/>
    <w:rsid w:val="00C0379D"/>
    <w:rsid w:val="00C03931"/>
    <w:rsid w:val="00C04AA4"/>
    <w:rsid w:val="00C05FE3"/>
    <w:rsid w:val="00C11232"/>
    <w:rsid w:val="00C12E98"/>
    <w:rsid w:val="00C13D45"/>
    <w:rsid w:val="00C14080"/>
    <w:rsid w:val="00C14A56"/>
    <w:rsid w:val="00C174F4"/>
    <w:rsid w:val="00C2136D"/>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4095D"/>
    <w:rsid w:val="00C429FE"/>
    <w:rsid w:val="00C458E9"/>
    <w:rsid w:val="00C4778C"/>
    <w:rsid w:val="00C543C0"/>
    <w:rsid w:val="00C54EA9"/>
    <w:rsid w:val="00C55F2B"/>
    <w:rsid w:val="00C5655B"/>
    <w:rsid w:val="00C56DF0"/>
    <w:rsid w:val="00C601D2"/>
    <w:rsid w:val="00C60D4C"/>
    <w:rsid w:val="00C613DE"/>
    <w:rsid w:val="00C61CA0"/>
    <w:rsid w:val="00C61E58"/>
    <w:rsid w:val="00C636F9"/>
    <w:rsid w:val="00C64E94"/>
    <w:rsid w:val="00C657AB"/>
    <w:rsid w:val="00C65BCC"/>
    <w:rsid w:val="00C66970"/>
    <w:rsid w:val="00C70598"/>
    <w:rsid w:val="00C7173E"/>
    <w:rsid w:val="00C73BC7"/>
    <w:rsid w:val="00C74BF3"/>
    <w:rsid w:val="00C778A9"/>
    <w:rsid w:val="00C77B57"/>
    <w:rsid w:val="00C77E82"/>
    <w:rsid w:val="00C77F9C"/>
    <w:rsid w:val="00C83834"/>
    <w:rsid w:val="00C84637"/>
    <w:rsid w:val="00C8585D"/>
    <w:rsid w:val="00C8691C"/>
    <w:rsid w:val="00C86A9E"/>
    <w:rsid w:val="00C905CD"/>
    <w:rsid w:val="00C90606"/>
    <w:rsid w:val="00C9115B"/>
    <w:rsid w:val="00C95B40"/>
    <w:rsid w:val="00C966B8"/>
    <w:rsid w:val="00CA0E56"/>
    <w:rsid w:val="00CA168A"/>
    <w:rsid w:val="00CA357E"/>
    <w:rsid w:val="00CA42E7"/>
    <w:rsid w:val="00CA44F9"/>
    <w:rsid w:val="00CA4895"/>
    <w:rsid w:val="00CA4A69"/>
    <w:rsid w:val="00CA62DB"/>
    <w:rsid w:val="00CA6B0E"/>
    <w:rsid w:val="00CB27AC"/>
    <w:rsid w:val="00CB2D67"/>
    <w:rsid w:val="00CB40FD"/>
    <w:rsid w:val="00CC2F81"/>
    <w:rsid w:val="00CC3E0C"/>
    <w:rsid w:val="00CC58D3"/>
    <w:rsid w:val="00CC5FA6"/>
    <w:rsid w:val="00CC784D"/>
    <w:rsid w:val="00CD2F47"/>
    <w:rsid w:val="00CD3B5B"/>
    <w:rsid w:val="00CD7599"/>
    <w:rsid w:val="00CE10DF"/>
    <w:rsid w:val="00CE2006"/>
    <w:rsid w:val="00CE38F6"/>
    <w:rsid w:val="00CE51F7"/>
    <w:rsid w:val="00CE5DA6"/>
    <w:rsid w:val="00CF15CF"/>
    <w:rsid w:val="00CF5A5F"/>
    <w:rsid w:val="00D01FCC"/>
    <w:rsid w:val="00D0337B"/>
    <w:rsid w:val="00D04F64"/>
    <w:rsid w:val="00D05B87"/>
    <w:rsid w:val="00D079B2"/>
    <w:rsid w:val="00D114E9"/>
    <w:rsid w:val="00D11A67"/>
    <w:rsid w:val="00D11FDA"/>
    <w:rsid w:val="00D12894"/>
    <w:rsid w:val="00D13AEE"/>
    <w:rsid w:val="00D15A4A"/>
    <w:rsid w:val="00D176CE"/>
    <w:rsid w:val="00D17AB4"/>
    <w:rsid w:val="00D221F1"/>
    <w:rsid w:val="00D22635"/>
    <w:rsid w:val="00D2393C"/>
    <w:rsid w:val="00D242F8"/>
    <w:rsid w:val="00D25796"/>
    <w:rsid w:val="00D2764C"/>
    <w:rsid w:val="00D345E4"/>
    <w:rsid w:val="00D34E6B"/>
    <w:rsid w:val="00D35B2B"/>
    <w:rsid w:val="00D37A4C"/>
    <w:rsid w:val="00D414A3"/>
    <w:rsid w:val="00D41BB5"/>
    <w:rsid w:val="00D429C6"/>
    <w:rsid w:val="00D47748"/>
    <w:rsid w:val="00D50B10"/>
    <w:rsid w:val="00D54CC3"/>
    <w:rsid w:val="00D567B0"/>
    <w:rsid w:val="00D57A02"/>
    <w:rsid w:val="00D6041A"/>
    <w:rsid w:val="00D633EB"/>
    <w:rsid w:val="00D64E27"/>
    <w:rsid w:val="00D716A2"/>
    <w:rsid w:val="00D71C2B"/>
    <w:rsid w:val="00D72991"/>
    <w:rsid w:val="00D72B18"/>
    <w:rsid w:val="00D742DE"/>
    <w:rsid w:val="00D76DDA"/>
    <w:rsid w:val="00D77237"/>
    <w:rsid w:val="00D803DC"/>
    <w:rsid w:val="00D80659"/>
    <w:rsid w:val="00D82FF7"/>
    <w:rsid w:val="00D83842"/>
    <w:rsid w:val="00D842DC"/>
    <w:rsid w:val="00D847FE"/>
    <w:rsid w:val="00D85F8E"/>
    <w:rsid w:val="00D86EC2"/>
    <w:rsid w:val="00D9561C"/>
    <w:rsid w:val="00D964EA"/>
    <w:rsid w:val="00D966D0"/>
    <w:rsid w:val="00D97DB6"/>
    <w:rsid w:val="00DA0764"/>
    <w:rsid w:val="00DA0C59"/>
    <w:rsid w:val="00DA26E8"/>
    <w:rsid w:val="00DA3991"/>
    <w:rsid w:val="00DA43C3"/>
    <w:rsid w:val="00DB12DE"/>
    <w:rsid w:val="00DB47ED"/>
    <w:rsid w:val="00DB5F1D"/>
    <w:rsid w:val="00DB7566"/>
    <w:rsid w:val="00DB7E6C"/>
    <w:rsid w:val="00DC0BA0"/>
    <w:rsid w:val="00DC1267"/>
    <w:rsid w:val="00DC302E"/>
    <w:rsid w:val="00DC3B61"/>
    <w:rsid w:val="00DC57D0"/>
    <w:rsid w:val="00DC5AC3"/>
    <w:rsid w:val="00DC6D7E"/>
    <w:rsid w:val="00DD09D2"/>
    <w:rsid w:val="00DD2594"/>
    <w:rsid w:val="00DD3BF9"/>
    <w:rsid w:val="00DD5A29"/>
    <w:rsid w:val="00DD5D9D"/>
    <w:rsid w:val="00DE1E8C"/>
    <w:rsid w:val="00DE35CB"/>
    <w:rsid w:val="00DE53F8"/>
    <w:rsid w:val="00DE54C0"/>
    <w:rsid w:val="00DE7730"/>
    <w:rsid w:val="00DF21E9"/>
    <w:rsid w:val="00DF2B09"/>
    <w:rsid w:val="00DF3746"/>
    <w:rsid w:val="00DF3835"/>
    <w:rsid w:val="00DF45C6"/>
    <w:rsid w:val="00DF4689"/>
    <w:rsid w:val="00DF5466"/>
    <w:rsid w:val="00E00F14"/>
    <w:rsid w:val="00E014DB"/>
    <w:rsid w:val="00E01E2C"/>
    <w:rsid w:val="00E06386"/>
    <w:rsid w:val="00E06724"/>
    <w:rsid w:val="00E06A22"/>
    <w:rsid w:val="00E1006D"/>
    <w:rsid w:val="00E160D6"/>
    <w:rsid w:val="00E24EB4"/>
    <w:rsid w:val="00E31F03"/>
    <w:rsid w:val="00E320ED"/>
    <w:rsid w:val="00E32DF6"/>
    <w:rsid w:val="00E33AFB"/>
    <w:rsid w:val="00E34218"/>
    <w:rsid w:val="00E36B6A"/>
    <w:rsid w:val="00E427A5"/>
    <w:rsid w:val="00E42989"/>
    <w:rsid w:val="00E4556E"/>
    <w:rsid w:val="00E46282"/>
    <w:rsid w:val="00E47E10"/>
    <w:rsid w:val="00E50CAA"/>
    <w:rsid w:val="00E51468"/>
    <w:rsid w:val="00E5216E"/>
    <w:rsid w:val="00E53FAE"/>
    <w:rsid w:val="00E55461"/>
    <w:rsid w:val="00E57BBB"/>
    <w:rsid w:val="00E608D9"/>
    <w:rsid w:val="00E60B84"/>
    <w:rsid w:val="00E70631"/>
    <w:rsid w:val="00E72A9E"/>
    <w:rsid w:val="00E73226"/>
    <w:rsid w:val="00E74BE1"/>
    <w:rsid w:val="00E755AD"/>
    <w:rsid w:val="00E76C52"/>
    <w:rsid w:val="00E82344"/>
    <w:rsid w:val="00E8235E"/>
    <w:rsid w:val="00E84C82"/>
    <w:rsid w:val="00E84D64"/>
    <w:rsid w:val="00E85209"/>
    <w:rsid w:val="00E86AF7"/>
    <w:rsid w:val="00E87408"/>
    <w:rsid w:val="00E914C4"/>
    <w:rsid w:val="00E92EFF"/>
    <w:rsid w:val="00E934F5"/>
    <w:rsid w:val="00E96961"/>
    <w:rsid w:val="00EA0A5B"/>
    <w:rsid w:val="00EA0AAF"/>
    <w:rsid w:val="00EA0AF9"/>
    <w:rsid w:val="00EA27FE"/>
    <w:rsid w:val="00EA72EC"/>
    <w:rsid w:val="00EB04E1"/>
    <w:rsid w:val="00EB11CB"/>
    <w:rsid w:val="00EB275A"/>
    <w:rsid w:val="00EB3E99"/>
    <w:rsid w:val="00EB786A"/>
    <w:rsid w:val="00EC127B"/>
    <w:rsid w:val="00EC1578"/>
    <w:rsid w:val="00EC1C72"/>
    <w:rsid w:val="00EC2065"/>
    <w:rsid w:val="00EC2171"/>
    <w:rsid w:val="00EC2945"/>
    <w:rsid w:val="00EC3CC9"/>
    <w:rsid w:val="00EC4B64"/>
    <w:rsid w:val="00EC680A"/>
    <w:rsid w:val="00ED0130"/>
    <w:rsid w:val="00ED1196"/>
    <w:rsid w:val="00ED49EF"/>
    <w:rsid w:val="00ED7873"/>
    <w:rsid w:val="00ED7AEE"/>
    <w:rsid w:val="00EE1BF1"/>
    <w:rsid w:val="00EE205B"/>
    <w:rsid w:val="00EE2BED"/>
    <w:rsid w:val="00EE3414"/>
    <w:rsid w:val="00EE374B"/>
    <w:rsid w:val="00EE4805"/>
    <w:rsid w:val="00EE4C91"/>
    <w:rsid w:val="00EE59FB"/>
    <w:rsid w:val="00EF10F8"/>
    <w:rsid w:val="00EF58BA"/>
    <w:rsid w:val="00EF7629"/>
    <w:rsid w:val="00F00544"/>
    <w:rsid w:val="00F01332"/>
    <w:rsid w:val="00F11BB5"/>
    <w:rsid w:val="00F1253D"/>
    <w:rsid w:val="00F12B27"/>
    <w:rsid w:val="00F1417B"/>
    <w:rsid w:val="00F159B5"/>
    <w:rsid w:val="00F1787C"/>
    <w:rsid w:val="00F210B2"/>
    <w:rsid w:val="00F233DC"/>
    <w:rsid w:val="00F26F10"/>
    <w:rsid w:val="00F3115B"/>
    <w:rsid w:val="00F3182B"/>
    <w:rsid w:val="00F32231"/>
    <w:rsid w:val="00F3390A"/>
    <w:rsid w:val="00F34B99"/>
    <w:rsid w:val="00F36B22"/>
    <w:rsid w:val="00F37A7F"/>
    <w:rsid w:val="00F420F2"/>
    <w:rsid w:val="00F44F85"/>
    <w:rsid w:val="00F510E6"/>
    <w:rsid w:val="00F52DAB"/>
    <w:rsid w:val="00F53443"/>
    <w:rsid w:val="00F54196"/>
    <w:rsid w:val="00F543F0"/>
    <w:rsid w:val="00F55827"/>
    <w:rsid w:val="00F5746C"/>
    <w:rsid w:val="00F575F3"/>
    <w:rsid w:val="00F61BC1"/>
    <w:rsid w:val="00F6373D"/>
    <w:rsid w:val="00F7074B"/>
    <w:rsid w:val="00F72314"/>
    <w:rsid w:val="00F7344C"/>
    <w:rsid w:val="00F737AD"/>
    <w:rsid w:val="00F75807"/>
    <w:rsid w:val="00F81158"/>
    <w:rsid w:val="00F81D29"/>
    <w:rsid w:val="00F81D61"/>
    <w:rsid w:val="00F81DC8"/>
    <w:rsid w:val="00F84C62"/>
    <w:rsid w:val="00F90061"/>
    <w:rsid w:val="00F91C4D"/>
    <w:rsid w:val="00F92E07"/>
    <w:rsid w:val="00F92FD9"/>
    <w:rsid w:val="00F96BC5"/>
    <w:rsid w:val="00F976AD"/>
    <w:rsid w:val="00FA1947"/>
    <w:rsid w:val="00FA1E3C"/>
    <w:rsid w:val="00FA2541"/>
    <w:rsid w:val="00FA3852"/>
    <w:rsid w:val="00FA42EF"/>
    <w:rsid w:val="00FA6470"/>
    <w:rsid w:val="00FA6684"/>
    <w:rsid w:val="00FA6B20"/>
    <w:rsid w:val="00FA705E"/>
    <w:rsid w:val="00FA731E"/>
    <w:rsid w:val="00FB0B66"/>
    <w:rsid w:val="00FB1366"/>
    <w:rsid w:val="00FB2B38"/>
    <w:rsid w:val="00FB3791"/>
    <w:rsid w:val="00FB3B07"/>
    <w:rsid w:val="00FB653E"/>
    <w:rsid w:val="00FC1ACF"/>
    <w:rsid w:val="00FC6358"/>
    <w:rsid w:val="00FC6C90"/>
    <w:rsid w:val="00FD04BB"/>
    <w:rsid w:val="00FD066A"/>
    <w:rsid w:val="00FD320D"/>
    <w:rsid w:val="00FD570D"/>
    <w:rsid w:val="00FD5FEE"/>
    <w:rsid w:val="00FE05C6"/>
    <w:rsid w:val="00FE1498"/>
    <w:rsid w:val="00FE23DE"/>
    <w:rsid w:val="00FE3369"/>
    <w:rsid w:val="00FE35E0"/>
    <w:rsid w:val="00FF7A29"/>
    <w:rsid w:val="01885B83"/>
    <w:rsid w:val="01F810B3"/>
    <w:rsid w:val="02202F02"/>
    <w:rsid w:val="02CD7E75"/>
    <w:rsid w:val="03337C91"/>
    <w:rsid w:val="04067026"/>
    <w:rsid w:val="04F12380"/>
    <w:rsid w:val="04F23185"/>
    <w:rsid w:val="0527467A"/>
    <w:rsid w:val="05A05E76"/>
    <w:rsid w:val="05F82B34"/>
    <w:rsid w:val="0676632A"/>
    <w:rsid w:val="06AF04B5"/>
    <w:rsid w:val="070878A9"/>
    <w:rsid w:val="078B6C35"/>
    <w:rsid w:val="07FA2DC9"/>
    <w:rsid w:val="08E039B6"/>
    <w:rsid w:val="09476A6F"/>
    <w:rsid w:val="097000D7"/>
    <w:rsid w:val="0A217E00"/>
    <w:rsid w:val="0A370A47"/>
    <w:rsid w:val="0A842761"/>
    <w:rsid w:val="0A894774"/>
    <w:rsid w:val="0B40003D"/>
    <w:rsid w:val="0C1576EA"/>
    <w:rsid w:val="0C68411F"/>
    <w:rsid w:val="0D175C72"/>
    <w:rsid w:val="0DD7773F"/>
    <w:rsid w:val="0E6F0323"/>
    <w:rsid w:val="0E8D76BF"/>
    <w:rsid w:val="0E8E09A6"/>
    <w:rsid w:val="0EB175A7"/>
    <w:rsid w:val="0F480A0A"/>
    <w:rsid w:val="104B7331"/>
    <w:rsid w:val="10B25ED0"/>
    <w:rsid w:val="112A0F34"/>
    <w:rsid w:val="11E51E7F"/>
    <w:rsid w:val="11F61E8D"/>
    <w:rsid w:val="122172CE"/>
    <w:rsid w:val="128A1009"/>
    <w:rsid w:val="12EA3F01"/>
    <w:rsid w:val="153737B3"/>
    <w:rsid w:val="178B7B4F"/>
    <w:rsid w:val="186073E1"/>
    <w:rsid w:val="18DA1A29"/>
    <w:rsid w:val="1A433DD1"/>
    <w:rsid w:val="1A893699"/>
    <w:rsid w:val="1B6B71CC"/>
    <w:rsid w:val="1C0C01B8"/>
    <w:rsid w:val="1DAB73BA"/>
    <w:rsid w:val="1DDC3D58"/>
    <w:rsid w:val="1EB0038D"/>
    <w:rsid w:val="1EC53FDA"/>
    <w:rsid w:val="1F3E57F5"/>
    <w:rsid w:val="1F9F6471"/>
    <w:rsid w:val="202E6C6C"/>
    <w:rsid w:val="207B0E35"/>
    <w:rsid w:val="20924098"/>
    <w:rsid w:val="20F876E4"/>
    <w:rsid w:val="215C14F1"/>
    <w:rsid w:val="22766EDE"/>
    <w:rsid w:val="23424486"/>
    <w:rsid w:val="23D83C7F"/>
    <w:rsid w:val="24642242"/>
    <w:rsid w:val="2483647C"/>
    <w:rsid w:val="25BD6F76"/>
    <w:rsid w:val="262C7A43"/>
    <w:rsid w:val="26450B69"/>
    <w:rsid w:val="26C02058"/>
    <w:rsid w:val="27524813"/>
    <w:rsid w:val="28B801DF"/>
    <w:rsid w:val="28C055AB"/>
    <w:rsid w:val="290E021F"/>
    <w:rsid w:val="2A047E20"/>
    <w:rsid w:val="2C3A6BBF"/>
    <w:rsid w:val="2D6A42B0"/>
    <w:rsid w:val="2D755714"/>
    <w:rsid w:val="2E1C1A4E"/>
    <w:rsid w:val="2E8452CD"/>
    <w:rsid w:val="32CA1313"/>
    <w:rsid w:val="334E1E91"/>
    <w:rsid w:val="34135C2A"/>
    <w:rsid w:val="34C6162E"/>
    <w:rsid w:val="35B54F2D"/>
    <w:rsid w:val="3789793F"/>
    <w:rsid w:val="381E00CC"/>
    <w:rsid w:val="383936EB"/>
    <w:rsid w:val="38433162"/>
    <w:rsid w:val="38774730"/>
    <w:rsid w:val="38F803FF"/>
    <w:rsid w:val="3901514F"/>
    <w:rsid w:val="3A934FCC"/>
    <w:rsid w:val="3AC74E7C"/>
    <w:rsid w:val="3B7D3888"/>
    <w:rsid w:val="3BFA0FF0"/>
    <w:rsid w:val="3C9413B6"/>
    <w:rsid w:val="3C9C73FE"/>
    <w:rsid w:val="3D18697D"/>
    <w:rsid w:val="3FEF37EC"/>
    <w:rsid w:val="401D15BF"/>
    <w:rsid w:val="40674EB6"/>
    <w:rsid w:val="40677AAE"/>
    <w:rsid w:val="40E55D45"/>
    <w:rsid w:val="41434398"/>
    <w:rsid w:val="418C2A9A"/>
    <w:rsid w:val="422C268D"/>
    <w:rsid w:val="42384FDA"/>
    <w:rsid w:val="427E6DEF"/>
    <w:rsid w:val="42BB5F0F"/>
    <w:rsid w:val="441370F2"/>
    <w:rsid w:val="45726B7D"/>
    <w:rsid w:val="45CE1953"/>
    <w:rsid w:val="45E939F6"/>
    <w:rsid w:val="46205A1C"/>
    <w:rsid w:val="46477637"/>
    <w:rsid w:val="47ED031D"/>
    <w:rsid w:val="49575173"/>
    <w:rsid w:val="49C23F29"/>
    <w:rsid w:val="4A7459B6"/>
    <w:rsid w:val="4AB05852"/>
    <w:rsid w:val="4AF10356"/>
    <w:rsid w:val="4B693B72"/>
    <w:rsid w:val="4B704F1E"/>
    <w:rsid w:val="4CAE30F8"/>
    <w:rsid w:val="4D06079B"/>
    <w:rsid w:val="4D6E0D26"/>
    <w:rsid w:val="4D8F27A1"/>
    <w:rsid w:val="4DC024C2"/>
    <w:rsid w:val="4F190BD2"/>
    <w:rsid w:val="4F1E452A"/>
    <w:rsid w:val="506F533B"/>
    <w:rsid w:val="50784012"/>
    <w:rsid w:val="50AF25D1"/>
    <w:rsid w:val="513B53FC"/>
    <w:rsid w:val="51A17DF3"/>
    <w:rsid w:val="51C508AC"/>
    <w:rsid w:val="544C01DA"/>
    <w:rsid w:val="54902AAE"/>
    <w:rsid w:val="54915CC7"/>
    <w:rsid w:val="54E02A85"/>
    <w:rsid w:val="55255F0F"/>
    <w:rsid w:val="55416698"/>
    <w:rsid w:val="55466557"/>
    <w:rsid w:val="568D1A0E"/>
    <w:rsid w:val="574F640A"/>
    <w:rsid w:val="57964BE8"/>
    <w:rsid w:val="57F5382C"/>
    <w:rsid w:val="58133F4A"/>
    <w:rsid w:val="58664EDB"/>
    <w:rsid w:val="58EB7B73"/>
    <w:rsid w:val="59CC013B"/>
    <w:rsid w:val="59CE3178"/>
    <w:rsid w:val="5A600B5E"/>
    <w:rsid w:val="5AE12A2F"/>
    <w:rsid w:val="5BE414B9"/>
    <w:rsid w:val="5C1B2E32"/>
    <w:rsid w:val="5C1F0D95"/>
    <w:rsid w:val="5C9B41FC"/>
    <w:rsid w:val="5CB9775A"/>
    <w:rsid w:val="5D040534"/>
    <w:rsid w:val="5E4210B5"/>
    <w:rsid w:val="5EEB599F"/>
    <w:rsid w:val="5EFD2810"/>
    <w:rsid w:val="5F2E1C72"/>
    <w:rsid w:val="5F7B5377"/>
    <w:rsid w:val="5F827F8C"/>
    <w:rsid w:val="5FA34F2C"/>
    <w:rsid w:val="60681499"/>
    <w:rsid w:val="61E601FA"/>
    <w:rsid w:val="626F338E"/>
    <w:rsid w:val="62923037"/>
    <w:rsid w:val="639D5433"/>
    <w:rsid w:val="63CD14E9"/>
    <w:rsid w:val="641207F6"/>
    <w:rsid w:val="645B4DF8"/>
    <w:rsid w:val="655578CE"/>
    <w:rsid w:val="6568477B"/>
    <w:rsid w:val="66B92F62"/>
    <w:rsid w:val="674B0307"/>
    <w:rsid w:val="677E597F"/>
    <w:rsid w:val="679A1E67"/>
    <w:rsid w:val="68D52A0C"/>
    <w:rsid w:val="68D80C3E"/>
    <w:rsid w:val="6B0575B8"/>
    <w:rsid w:val="6B1C30F9"/>
    <w:rsid w:val="6B6C5A46"/>
    <w:rsid w:val="6B7A7E34"/>
    <w:rsid w:val="6BA9694D"/>
    <w:rsid w:val="6BAC5115"/>
    <w:rsid w:val="6DC06850"/>
    <w:rsid w:val="6DCC526C"/>
    <w:rsid w:val="6E231DB6"/>
    <w:rsid w:val="6E8F7604"/>
    <w:rsid w:val="6E906FA7"/>
    <w:rsid w:val="6F9D1332"/>
    <w:rsid w:val="70432186"/>
    <w:rsid w:val="709E075C"/>
    <w:rsid w:val="70D127A3"/>
    <w:rsid w:val="71721DBC"/>
    <w:rsid w:val="726254B8"/>
    <w:rsid w:val="73DC5218"/>
    <w:rsid w:val="749608BF"/>
    <w:rsid w:val="74B950A5"/>
    <w:rsid w:val="74D22473"/>
    <w:rsid w:val="7505124C"/>
    <w:rsid w:val="75351F96"/>
    <w:rsid w:val="75380BEE"/>
    <w:rsid w:val="759901A7"/>
    <w:rsid w:val="783C2CCF"/>
    <w:rsid w:val="799C7E72"/>
    <w:rsid w:val="79B03437"/>
    <w:rsid w:val="79F24B4B"/>
    <w:rsid w:val="79FD6F42"/>
    <w:rsid w:val="7AB0023F"/>
    <w:rsid w:val="7AF23C05"/>
    <w:rsid w:val="7B111E47"/>
    <w:rsid w:val="7B741218"/>
    <w:rsid w:val="7C1468B3"/>
    <w:rsid w:val="7C1B3D9E"/>
    <w:rsid w:val="7C9F3284"/>
    <w:rsid w:val="7CA04D81"/>
    <w:rsid w:val="7CA856D3"/>
    <w:rsid w:val="7DCC4769"/>
    <w:rsid w:val="7ED90700"/>
    <w:rsid w:val="7F122F5D"/>
    <w:rsid w:val="7F5C1E83"/>
    <w:rsid w:val="7FC22018"/>
    <w:rsid w:val="7FF5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8"/>
    <w:autoRedefine/>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Body Text"/>
    <w:basedOn w:val="1"/>
    <w:autoRedefine/>
    <w:semiHidden/>
    <w:qFormat/>
    <w:uiPriority w:val="0"/>
    <w:rPr>
      <w:rFonts w:ascii="宋体" w:hAnsi="宋体" w:eastAsia="宋体" w:cs="宋体"/>
      <w:sz w:val="32"/>
      <w:szCs w:val="32"/>
      <w:lang w:val="en-US" w:eastAsia="en-US" w:bidi="ar-SA"/>
    </w:rPr>
  </w:style>
  <w:style w:type="paragraph" w:styleId="10">
    <w:name w:val="index 4"/>
    <w:basedOn w:val="1"/>
    <w:next w:val="1"/>
    <w:autoRedefine/>
    <w:qFormat/>
    <w:uiPriority w:val="0"/>
    <w:pPr>
      <w:ind w:left="840" w:hanging="210"/>
      <w:jc w:val="left"/>
    </w:pPr>
    <w:rPr>
      <w:rFonts w:ascii="Calibri" w:hAnsi="Calibri"/>
      <w:sz w:val="20"/>
      <w:szCs w:val="20"/>
    </w:rPr>
  </w:style>
  <w:style w:type="paragraph" w:styleId="11">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4">
    <w:name w:val="index 3"/>
    <w:basedOn w:val="1"/>
    <w:next w:val="1"/>
    <w:autoRedefine/>
    <w:qFormat/>
    <w:uiPriority w:val="0"/>
    <w:pPr>
      <w:ind w:left="630" w:hanging="210"/>
      <w:jc w:val="left"/>
    </w:pPr>
    <w:rPr>
      <w:rFonts w:ascii="Calibri" w:hAnsi="Calibri"/>
      <w:sz w:val="20"/>
      <w:szCs w:val="20"/>
    </w:rPr>
  </w:style>
  <w:style w:type="paragraph" w:styleId="15">
    <w:name w:val="endnote text"/>
    <w:basedOn w:val="1"/>
    <w:autoRedefine/>
    <w:semiHidden/>
    <w:qFormat/>
    <w:uiPriority w:val="0"/>
    <w:pPr>
      <w:snapToGrid w:val="0"/>
      <w:jc w:val="left"/>
    </w:pPr>
  </w:style>
  <w:style w:type="paragraph" w:styleId="16">
    <w:name w:val="Balloon Text"/>
    <w:basedOn w:val="1"/>
    <w:link w:val="44"/>
    <w:autoRedefine/>
    <w:qFormat/>
    <w:uiPriority w:val="0"/>
    <w:rPr>
      <w:sz w:val="18"/>
      <w:szCs w:val="18"/>
    </w:rPr>
  </w:style>
  <w:style w:type="paragraph" w:styleId="17">
    <w:name w:val="footer"/>
    <w:basedOn w:val="1"/>
    <w:link w:val="55"/>
    <w:autoRedefine/>
    <w:qFormat/>
    <w:uiPriority w:val="99"/>
    <w:pPr>
      <w:snapToGrid w:val="0"/>
      <w:ind w:right="210" w:rightChars="100"/>
      <w:jc w:val="right"/>
    </w:pPr>
    <w:rPr>
      <w:sz w:val="18"/>
      <w:szCs w:val="18"/>
    </w:rPr>
  </w:style>
  <w:style w:type="paragraph" w:styleId="18">
    <w:name w:val="header"/>
    <w:basedOn w:val="1"/>
    <w:link w:val="43"/>
    <w:qFormat/>
    <w:uiPriority w:val="99"/>
    <w:pPr>
      <w:snapToGrid w:val="0"/>
      <w:jc w:val="left"/>
    </w:pPr>
    <w:rPr>
      <w:sz w:val="18"/>
      <w:szCs w:val="18"/>
    </w:rPr>
  </w:style>
  <w:style w:type="paragraph" w:styleId="19">
    <w:name w:val="toc 1"/>
    <w:basedOn w:val="1"/>
    <w:next w:val="1"/>
    <w:autoRedefine/>
    <w:qFormat/>
    <w:uiPriority w:val="39"/>
    <w:pPr>
      <w:tabs>
        <w:tab w:val="right" w:leader="dot" w:pos="9242"/>
      </w:tabs>
      <w:spacing w:beforeLines="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1"/>
    <w:autoRedefine/>
    <w:qFormat/>
    <w:uiPriority w:val="0"/>
    <w:pPr>
      <w:shd w:val="clear" w:color="auto" w:fill="FFFFFF" w:themeFill="background1"/>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autoRedefine/>
    <w:qFormat/>
    <w:uiPriority w:val="0"/>
    <w:pPr>
      <w:tabs>
        <w:tab w:val="left" w:pos="0"/>
      </w:tabs>
      <w:snapToGrid w:val="0"/>
      <w:ind w:left="720" w:hanging="357"/>
      <w:jc w:val="left"/>
    </w:pPr>
    <w:rPr>
      <w:rFonts w:ascii="宋体"/>
      <w:sz w:val="18"/>
      <w:szCs w:val="18"/>
    </w:rPr>
  </w:style>
  <w:style w:type="paragraph" w:styleId="2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qFormat/>
    <w:uiPriority w:val="39"/>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index 2"/>
    <w:basedOn w:val="1"/>
    <w:next w:val="1"/>
    <w:autoRedefine/>
    <w:qFormat/>
    <w:uiPriority w:val="0"/>
    <w:pPr>
      <w:ind w:left="420" w:hanging="210"/>
      <w:jc w:val="left"/>
    </w:pPr>
    <w:rPr>
      <w:rFonts w:ascii="Calibri" w:hAnsi="Calibri"/>
      <w:sz w:val="20"/>
      <w:szCs w:val="20"/>
    </w:rPr>
  </w:style>
  <w:style w:type="paragraph" w:styleId="31">
    <w:name w:val="annotation subject"/>
    <w:basedOn w:val="7"/>
    <w:next w:val="7"/>
    <w:link w:val="149"/>
    <w:autoRedefine/>
    <w:semiHidden/>
    <w:unhideWhenUsed/>
    <w:qFormat/>
    <w:uiPriority w:val="0"/>
    <w:rPr>
      <w:b/>
      <w:bCs/>
    </w:rPr>
  </w:style>
  <w:style w:type="table" w:styleId="33">
    <w:name w:val="Table Grid"/>
    <w:basedOn w:val="32"/>
    <w:autoRedefine/>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autoRedefine/>
    <w:semiHidden/>
    <w:qFormat/>
    <w:uiPriority w:val="0"/>
    <w:rPr>
      <w:vertAlign w:val="superscript"/>
    </w:rPr>
  </w:style>
  <w:style w:type="character" w:styleId="36">
    <w:name w:val="page number"/>
    <w:autoRedefine/>
    <w:qFormat/>
    <w:uiPriority w:val="0"/>
    <w:rPr>
      <w:rFonts w:ascii="Times New Roman" w:hAnsi="Times New Roman" w:eastAsia="宋体"/>
      <w:sz w:val="18"/>
    </w:rPr>
  </w:style>
  <w:style w:type="character" w:styleId="37">
    <w:name w:val="FollowedHyperlink"/>
    <w:basedOn w:val="34"/>
    <w:autoRedefine/>
    <w:semiHidden/>
    <w:unhideWhenUsed/>
    <w:qFormat/>
    <w:uiPriority w:val="0"/>
    <w:rPr>
      <w:color w:val="800080"/>
      <w:u w:val="none"/>
    </w:rPr>
  </w:style>
  <w:style w:type="character" w:styleId="38">
    <w:name w:val="Hyperlink"/>
    <w:autoRedefine/>
    <w:qFormat/>
    <w:uiPriority w:val="99"/>
    <w:rPr>
      <w:color w:val="0000FF"/>
      <w:spacing w:val="0"/>
      <w:w w:val="100"/>
      <w:szCs w:val="21"/>
      <w:u w:val="single"/>
      <w:lang w:val="en-US" w:eastAsia="zh-CN"/>
    </w:rPr>
  </w:style>
  <w:style w:type="character" w:styleId="39">
    <w:name w:val="annotation reference"/>
    <w:basedOn w:val="34"/>
    <w:autoRedefine/>
    <w:semiHidden/>
    <w:unhideWhenUsed/>
    <w:qFormat/>
    <w:uiPriority w:val="0"/>
    <w:rPr>
      <w:sz w:val="21"/>
      <w:szCs w:val="21"/>
    </w:rPr>
  </w:style>
  <w:style w:type="character" w:styleId="40">
    <w:name w:val="footnote reference"/>
    <w:autoRedefine/>
    <w:semiHidden/>
    <w:qFormat/>
    <w:uiPriority w:val="0"/>
    <w:rPr>
      <w:vertAlign w:val="superscript"/>
    </w:rPr>
  </w:style>
  <w:style w:type="character" w:customStyle="1" w:styleId="41">
    <w:name w:val="段 Char"/>
    <w:link w:val="23"/>
    <w:autoRedefine/>
    <w:qFormat/>
    <w:uiPriority w:val="0"/>
    <w:rPr>
      <w:rFonts w:ascii="宋体"/>
      <w:sz w:val="21"/>
      <w:shd w:val="clear" w:color="auto" w:fill="FFFFFF" w:themeFill="background1"/>
    </w:rPr>
  </w:style>
  <w:style w:type="character" w:customStyle="1" w:styleId="42">
    <w:name w:val="访问过的超链接1"/>
    <w:autoRedefine/>
    <w:qFormat/>
    <w:uiPriority w:val="0"/>
    <w:rPr>
      <w:color w:val="800080"/>
      <w:u w:val="single"/>
    </w:rPr>
  </w:style>
  <w:style w:type="character" w:customStyle="1" w:styleId="43">
    <w:name w:val="页眉 字符"/>
    <w:link w:val="18"/>
    <w:qFormat/>
    <w:locked/>
    <w:uiPriority w:val="99"/>
    <w:rPr>
      <w:kern w:val="2"/>
      <w:sz w:val="18"/>
      <w:szCs w:val="18"/>
    </w:rPr>
  </w:style>
  <w:style w:type="character" w:customStyle="1" w:styleId="44">
    <w:name w:val="批注框文本 字符"/>
    <w:link w:val="16"/>
    <w:autoRedefine/>
    <w:qFormat/>
    <w:uiPriority w:val="0"/>
    <w:rPr>
      <w:kern w:val="2"/>
      <w:sz w:val="18"/>
      <w:szCs w:val="18"/>
    </w:rPr>
  </w:style>
  <w:style w:type="character" w:customStyle="1" w:styleId="45">
    <w:name w:val="发布"/>
    <w:autoRedefine/>
    <w:qFormat/>
    <w:uiPriority w:val="0"/>
    <w:rPr>
      <w:rFonts w:ascii="黑体" w:eastAsia="黑体"/>
      <w:spacing w:val="85"/>
      <w:w w:val="100"/>
      <w:position w:val="3"/>
      <w:sz w:val="28"/>
      <w:szCs w:val="28"/>
    </w:rPr>
  </w:style>
  <w:style w:type="character" w:customStyle="1" w:styleId="46">
    <w:name w:val="章标题 Char"/>
    <w:link w:val="47"/>
    <w:autoRedefine/>
    <w:qFormat/>
    <w:locked/>
    <w:uiPriority w:val="0"/>
    <w:rPr>
      <w:rFonts w:ascii="黑体" w:eastAsia="黑体"/>
      <w:sz w:val="21"/>
      <w:shd w:val="clear" w:color="auto" w:fill="FFFFFF" w:themeFill="background1"/>
    </w:rPr>
  </w:style>
  <w:style w:type="paragraph" w:customStyle="1" w:styleId="47">
    <w:name w:val="章标题"/>
    <w:next w:val="23"/>
    <w:link w:val="46"/>
    <w:autoRedefine/>
    <w:qFormat/>
    <w:uiPriority w:val="0"/>
    <w:pPr>
      <w:numPr>
        <w:ilvl w:val="0"/>
        <w:numId w:val="2"/>
      </w:numPr>
      <w:shd w:val="clear" w:color="auto" w:fill="FFFFFF" w:themeFill="background1"/>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48">
    <w:name w:val="一级条标题 Char"/>
    <w:link w:val="49"/>
    <w:qFormat/>
    <w:locked/>
    <w:uiPriority w:val="99"/>
    <w:rPr>
      <w:rFonts w:ascii="黑体" w:eastAsia="黑体"/>
      <w:sz w:val="21"/>
      <w:szCs w:val="21"/>
    </w:rPr>
  </w:style>
  <w:style w:type="paragraph" w:customStyle="1" w:styleId="49">
    <w:name w:val="一级条标题"/>
    <w:basedOn w:val="47"/>
    <w:next w:val="23"/>
    <w:link w:val="48"/>
    <w:autoRedefine/>
    <w:qFormat/>
    <w:uiPriority w:val="0"/>
    <w:pPr>
      <w:numPr>
        <w:ilvl w:val="1"/>
      </w:numPr>
      <w:spacing w:beforeLines="50" w:afterLines="50"/>
      <w:outlineLvl w:val="2"/>
    </w:pPr>
    <w:rPr>
      <w:szCs w:val="21"/>
    </w:rPr>
  </w:style>
  <w:style w:type="character" w:customStyle="1" w:styleId="50">
    <w:name w:val="二级无 Char"/>
    <w:link w:val="51"/>
    <w:qFormat/>
    <w:locked/>
    <w:uiPriority w:val="0"/>
    <w:rPr>
      <w:rFonts w:ascii="宋体"/>
      <w:sz w:val="21"/>
      <w:szCs w:val="21"/>
    </w:rPr>
  </w:style>
  <w:style w:type="paragraph" w:customStyle="1" w:styleId="51">
    <w:name w:val="二级无"/>
    <w:basedOn w:val="52"/>
    <w:link w:val="50"/>
    <w:autoRedefine/>
    <w:qFormat/>
    <w:uiPriority w:val="0"/>
    <w:pPr>
      <w:spacing w:beforeLines="0" w:afterLines="0"/>
    </w:pPr>
    <w:rPr>
      <w:rFonts w:ascii="宋体" w:eastAsia="宋体"/>
    </w:rPr>
  </w:style>
  <w:style w:type="paragraph" w:customStyle="1" w:styleId="52">
    <w:name w:val="二级条标题"/>
    <w:basedOn w:val="49"/>
    <w:next w:val="23"/>
    <w:link w:val="147"/>
    <w:autoRedefine/>
    <w:qFormat/>
    <w:uiPriority w:val="0"/>
    <w:pPr>
      <w:numPr>
        <w:ilvl w:val="2"/>
      </w:numPr>
      <w:spacing w:before="156" w:after="156"/>
      <w:outlineLvl w:val="3"/>
      <w:pPrChange w:id="0" w:author="作者" w:date="2024-01-12T16:11:00Z">
        <w:pPr>
          <w:numPr>
            <w:ilvl w:val="2"/>
            <w:numId w:val="2"/>
          </w:numPr>
          <w:shd w:val="clear" w:color="auto" w:fill="FFFFFF" w:themeFill="background1"/>
          <w:spacing w:before="50" w:beforeLines="50" w:after="50" w:afterLines="50"/>
          <w:jc w:val="both"/>
          <w:outlineLvl w:val="3"/>
        </w:pPr>
      </w:pPrChange>
    </w:pPr>
    <w:rPr>
      <w:rPrChange w:id="1" w:author="作者" w:date="2024-01-12T16:11:00Z">
        <w:rPr>
          <w:rFonts w:ascii="黑体" w:eastAsia="黑体"/>
          <w:sz w:val="21"/>
          <w:szCs w:val="21"/>
          <w:lang w:val="en-US" w:eastAsia="zh-CN" w:bidi="ar-SA"/>
        </w:rPr>
      </w:rPrChange>
    </w:rPr>
  </w:style>
  <w:style w:type="character" w:customStyle="1" w:styleId="53">
    <w:name w:val="附录公式 Char"/>
    <w:basedOn w:val="41"/>
    <w:link w:val="54"/>
    <w:autoRedefine/>
    <w:qFormat/>
    <w:uiPriority w:val="0"/>
    <w:rPr>
      <w:rFonts w:ascii="宋体"/>
      <w:sz w:val="21"/>
      <w:shd w:val="clear" w:color="auto" w:fill="FFFFFF" w:themeFill="background1"/>
      <w:lang w:val="en-US" w:eastAsia="zh-CN" w:bidi="ar-SA"/>
    </w:rPr>
  </w:style>
  <w:style w:type="paragraph" w:customStyle="1" w:styleId="54">
    <w:name w:val="附录公式"/>
    <w:basedOn w:val="23"/>
    <w:next w:val="23"/>
    <w:link w:val="53"/>
    <w:qFormat/>
    <w:uiPriority w:val="0"/>
  </w:style>
  <w:style w:type="character" w:customStyle="1" w:styleId="55">
    <w:name w:val="页脚 字符"/>
    <w:link w:val="17"/>
    <w:qFormat/>
    <w:locked/>
    <w:uiPriority w:val="99"/>
    <w:rPr>
      <w:kern w:val="2"/>
      <w:sz w:val="18"/>
      <w:szCs w:val="18"/>
    </w:rPr>
  </w:style>
  <w:style w:type="character" w:customStyle="1" w:styleId="56">
    <w:name w:val="首示例 Char"/>
    <w:link w:val="57"/>
    <w:autoRedefine/>
    <w:qFormat/>
    <w:uiPriority w:val="0"/>
    <w:rPr>
      <w:rFonts w:ascii="宋体" w:hAnsi="宋体"/>
      <w:kern w:val="2"/>
      <w:sz w:val="18"/>
      <w:szCs w:val="18"/>
    </w:rPr>
  </w:style>
  <w:style w:type="paragraph" w:customStyle="1" w:styleId="57">
    <w:name w:val="首示例"/>
    <w:next w:val="23"/>
    <w:link w:val="56"/>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8">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9">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0">
    <w:name w:val="目次、标准名称标题"/>
    <w:basedOn w:val="1"/>
    <w:next w:val="23"/>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正文图标题"/>
    <w:next w:val="23"/>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2">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3">
    <w:name w:val="示例后文字"/>
    <w:basedOn w:val="23"/>
    <w:next w:val="23"/>
    <w:autoRedefine/>
    <w:qFormat/>
    <w:uiPriority w:val="0"/>
    <w:pPr>
      <w:ind w:firstLine="360"/>
    </w:pPr>
    <w:rPr>
      <w:sz w:val="18"/>
    </w:rPr>
  </w:style>
  <w:style w:type="paragraph" w:customStyle="1" w:styleId="6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5">
    <w:name w:val="标准书眉一"/>
    <w:autoRedefine/>
    <w:qFormat/>
    <w:uiPriority w:val="0"/>
    <w:pPr>
      <w:jc w:val="both"/>
    </w:pPr>
    <w:rPr>
      <w:rFonts w:ascii="Times New Roman" w:hAnsi="Times New Roman" w:eastAsia="宋体" w:cs="Times New Roman"/>
      <w:lang w:val="en-US" w:eastAsia="zh-CN" w:bidi="ar-SA"/>
    </w:rPr>
  </w:style>
  <w:style w:type="paragraph" w:customStyle="1" w:styleId="66">
    <w:name w:val="附录表标号"/>
    <w:basedOn w:val="1"/>
    <w:next w:val="23"/>
    <w:qFormat/>
    <w:uiPriority w:val="0"/>
    <w:pPr>
      <w:spacing w:line="14" w:lineRule="exact"/>
      <w:ind w:left="811" w:hanging="448"/>
      <w:jc w:val="center"/>
      <w:outlineLvl w:val="0"/>
    </w:pPr>
    <w:rPr>
      <w:color w:val="FFFFFF"/>
    </w:rPr>
  </w:style>
  <w:style w:type="paragraph" w:customStyle="1" w:styleId="67">
    <w:name w:val="附录二级条标题"/>
    <w:basedOn w:val="1"/>
    <w:next w:val="2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封面一致性程度标识"/>
    <w:basedOn w:val="69"/>
    <w:autoRedefine/>
    <w:qFormat/>
    <w:uiPriority w:val="99"/>
    <w:pPr>
      <w:framePr w:wrap="around"/>
      <w:spacing w:before="440"/>
    </w:pPr>
    <w:rPr>
      <w:rFonts w:ascii="宋体" w:eastAsia="宋体"/>
    </w:rPr>
  </w:style>
  <w:style w:type="paragraph" w:customStyle="1" w:styleId="69">
    <w:name w:val="封面标准英文名称"/>
    <w:basedOn w:val="70"/>
    <w:autoRedefine/>
    <w:qFormat/>
    <w:uiPriority w:val="0"/>
    <w:pPr>
      <w:framePr w:wrap="around"/>
      <w:spacing w:before="370" w:line="400" w:lineRule="exact"/>
    </w:pPr>
    <w:rPr>
      <w:rFonts w:ascii="Times New Roman"/>
      <w:sz w:val="28"/>
      <w:szCs w:val="28"/>
    </w:rPr>
  </w:style>
  <w:style w:type="paragraph" w:customStyle="1" w:styleId="7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附录二级无"/>
    <w:basedOn w:val="67"/>
    <w:autoRedefine/>
    <w:qFormat/>
    <w:uiPriority w:val="0"/>
    <w:pPr>
      <w:tabs>
        <w:tab w:val="clear" w:pos="360"/>
      </w:tabs>
      <w:spacing w:beforeLines="0" w:afterLines="0"/>
    </w:pPr>
    <w:rPr>
      <w:rFonts w:ascii="宋体" w:eastAsia="宋体"/>
      <w:szCs w:val="21"/>
    </w:rPr>
  </w:style>
  <w:style w:type="paragraph" w:customStyle="1" w:styleId="72">
    <w:name w:val="一级无"/>
    <w:basedOn w:val="49"/>
    <w:qFormat/>
    <w:uiPriority w:val="0"/>
    <w:pPr>
      <w:spacing w:beforeLines="0" w:afterLines="0"/>
    </w:pPr>
    <w:rPr>
      <w:rFonts w:ascii="宋体" w:eastAsia="宋体"/>
    </w:rPr>
  </w:style>
  <w:style w:type="paragraph" w:customStyle="1" w:styleId="73">
    <w:name w:val="实施日期"/>
    <w:basedOn w:val="59"/>
    <w:qFormat/>
    <w:uiPriority w:val="0"/>
    <w:pPr>
      <w:framePr w:wrap="around" w:vAnchor="page" w:hAnchor="text"/>
      <w:jc w:val="right"/>
    </w:pPr>
  </w:style>
  <w:style w:type="paragraph" w:customStyle="1" w:styleId="74">
    <w:name w:val="四级无"/>
    <w:basedOn w:val="75"/>
    <w:qFormat/>
    <w:uiPriority w:val="0"/>
    <w:pPr>
      <w:spacing w:beforeLines="0" w:afterLines="0"/>
    </w:pPr>
    <w:rPr>
      <w:rFonts w:ascii="宋体" w:eastAsia="宋体"/>
    </w:rPr>
  </w:style>
  <w:style w:type="paragraph" w:customStyle="1" w:styleId="75">
    <w:name w:val="四级条标题"/>
    <w:basedOn w:val="76"/>
    <w:next w:val="23"/>
    <w:qFormat/>
    <w:uiPriority w:val="0"/>
    <w:pPr>
      <w:outlineLvl w:val="5"/>
    </w:pPr>
  </w:style>
  <w:style w:type="paragraph" w:customStyle="1" w:styleId="76">
    <w:name w:val="三级条标题"/>
    <w:basedOn w:val="52"/>
    <w:next w:val="23"/>
    <w:qFormat/>
    <w:uiPriority w:val="99"/>
    <w:pPr>
      <w:numPr>
        <w:ilvl w:val="0"/>
        <w:numId w:val="0"/>
      </w:numPr>
      <w:outlineLvl w:val="4"/>
    </w:pPr>
  </w:style>
  <w:style w:type="paragraph" w:customStyle="1" w:styleId="7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8">
    <w:name w:val="列项——（一级）"/>
    <w:autoRedefine/>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9">
    <w:name w:val="正文表标题"/>
    <w:next w:val="23"/>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0">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1">
    <w:name w:val="图标脚注说明"/>
    <w:basedOn w:val="23"/>
    <w:autoRedefine/>
    <w:qFormat/>
    <w:uiPriority w:val="0"/>
    <w:pPr>
      <w:ind w:left="840" w:hanging="420" w:firstLineChars="0"/>
    </w:pPr>
    <w:rPr>
      <w:sz w:val="18"/>
      <w:szCs w:val="18"/>
    </w:rPr>
  </w:style>
  <w:style w:type="paragraph" w:customStyle="1" w:styleId="82">
    <w:name w:val="列项◆（三级）"/>
    <w:basedOn w:val="1"/>
    <w:autoRedefine/>
    <w:qFormat/>
    <w:uiPriority w:val="0"/>
    <w:pPr>
      <w:tabs>
        <w:tab w:val="left" w:pos="1678"/>
      </w:tabs>
      <w:ind w:left="1678" w:hanging="414"/>
    </w:pPr>
    <w:rPr>
      <w:rFonts w:ascii="宋体"/>
      <w:szCs w:val="21"/>
    </w:rPr>
  </w:style>
  <w:style w:type="paragraph" w:customStyle="1" w:styleId="83">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附录三级条标题"/>
    <w:basedOn w:val="67"/>
    <w:next w:val="23"/>
    <w:autoRedefine/>
    <w:qFormat/>
    <w:uiPriority w:val="0"/>
    <w:pPr>
      <w:outlineLvl w:val="4"/>
    </w:pPr>
  </w:style>
  <w:style w:type="paragraph" w:customStyle="1" w:styleId="8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6">
    <w:name w:val="附录五级无"/>
    <w:basedOn w:val="87"/>
    <w:autoRedefine/>
    <w:qFormat/>
    <w:uiPriority w:val="0"/>
    <w:pPr>
      <w:tabs>
        <w:tab w:val="left" w:pos="360"/>
      </w:tabs>
      <w:spacing w:beforeLines="0" w:afterLines="0"/>
    </w:pPr>
    <w:rPr>
      <w:rFonts w:ascii="宋体" w:eastAsia="宋体"/>
      <w:szCs w:val="21"/>
    </w:rPr>
  </w:style>
  <w:style w:type="paragraph" w:customStyle="1" w:styleId="87">
    <w:name w:val="附录五级条标题"/>
    <w:basedOn w:val="88"/>
    <w:next w:val="23"/>
    <w:autoRedefine/>
    <w:qFormat/>
    <w:uiPriority w:val="0"/>
    <w:pPr>
      <w:tabs>
        <w:tab w:val="left" w:pos="360"/>
      </w:tabs>
      <w:outlineLvl w:val="6"/>
    </w:pPr>
  </w:style>
  <w:style w:type="paragraph" w:customStyle="1" w:styleId="88">
    <w:name w:val="附录四级条标题"/>
    <w:basedOn w:val="84"/>
    <w:next w:val="23"/>
    <w:qFormat/>
    <w:uiPriority w:val="0"/>
    <w:pPr>
      <w:outlineLvl w:val="5"/>
    </w:pPr>
  </w:style>
  <w:style w:type="paragraph" w:customStyle="1" w:styleId="89">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90">
    <w:name w:val="附录一级无"/>
    <w:basedOn w:val="91"/>
    <w:autoRedefine/>
    <w:qFormat/>
    <w:uiPriority w:val="0"/>
    <w:pPr>
      <w:tabs>
        <w:tab w:val="left" w:pos="360"/>
      </w:tabs>
      <w:spacing w:beforeLines="0" w:afterLines="0"/>
    </w:pPr>
    <w:rPr>
      <w:rFonts w:ascii="宋体" w:eastAsia="宋体"/>
      <w:szCs w:val="21"/>
    </w:rPr>
  </w:style>
  <w:style w:type="paragraph" w:customStyle="1" w:styleId="91">
    <w:name w:val="附录一级条标题"/>
    <w:basedOn w:val="92"/>
    <w:next w:val="23"/>
    <w:autoRedefine/>
    <w:qFormat/>
    <w:uiPriority w:val="0"/>
    <w:pPr>
      <w:tabs>
        <w:tab w:val="left" w:pos="360"/>
      </w:tabs>
      <w:autoSpaceDN w:val="0"/>
      <w:spacing w:beforeLines="50" w:afterLines="50"/>
      <w:outlineLvl w:val="2"/>
    </w:pPr>
  </w:style>
  <w:style w:type="paragraph" w:customStyle="1" w:styleId="92">
    <w:name w:val="附录章标题"/>
    <w:next w:val="23"/>
    <w:autoRedefine/>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5">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图标题"/>
    <w:basedOn w:val="1"/>
    <w:next w:val="23"/>
    <w:autoRedefine/>
    <w:qFormat/>
    <w:uiPriority w:val="0"/>
    <w:pPr>
      <w:tabs>
        <w:tab w:val="left" w:pos="363"/>
      </w:tabs>
      <w:spacing w:beforeLines="50" w:afterLines="50"/>
      <w:jc w:val="center"/>
    </w:pPr>
    <w:rPr>
      <w:rFonts w:ascii="黑体" w:eastAsia="黑体"/>
      <w:szCs w:val="21"/>
    </w:rPr>
  </w:style>
  <w:style w:type="paragraph" w:customStyle="1" w:styleId="97">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8">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2">
    <w:name w:val="条文脚注"/>
    <w:basedOn w:val="24"/>
    <w:autoRedefine/>
    <w:qFormat/>
    <w:uiPriority w:val="0"/>
    <w:pPr>
      <w:ind w:left="0" w:firstLine="0"/>
      <w:jc w:val="both"/>
    </w:pPr>
  </w:style>
  <w:style w:type="paragraph" w:customStyle="1" w:styleId="10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4">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5">
    <w:name w:val="示例"/>
    <w:next w:val="10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6">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7">
    <w:name w:val="附录图标号"/>
    <w:basedOn w:val="1"/>
    <w:autoRedefine/>
    <w:qFormat/>
    <w:uiPriority w:val="0"/>
    <w:pPr>
      <w:keepNext/>
      <w:pageBreakBefore/>
      <w:widowControl/>
      <w:spacing w:line="14" w:lineRule="exact"/>
      <w:ind w:firstLine="363"/>
      <w:jc w:val="center"/>
      <w:outlineLvl w:val="0"/>
    </w:pPr>
    <w:rPr>
      <w:color w:val="FFFFFF"/>
    </w:rPr>
  </w:style>
  <w:style w:type="paragraph" w:customStyle="1" w:styleId="108">
    <w:name w:val="封面一致性程度标识2"/>
    <w:basedOn w:val="68"/>
    <w:autoRedefine/>
    <w:qFormat/>
    <w:uiPriority w:val="0"/>
    <w:pPr>
      <w:framePr w:wrap="around" w:y="4469"/>
    </w:pPr>
  </w:style>
  <w:style w:type="paragraph" w:customStyle="1" w:styleId="109">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10">
    <w:name w:val="附录三级无"/>
    <w:basedOn w:val="84"/>
    <w:autoRedefine/>
    <w:qFormat/>
    <w:uiPriority w:val="0"/>
    <w:pPr>
      <w:tabs>
        <w:tab w:val="clear" w:pos="360"/>
      </w:tabs>
      <w:spacing w:beforeLines="0" w:afterLines="0"/>
    </w:pPr>
    <w:rPr>
      <w:rFonts w:ascii="宋体" w:eastAsia="宋体"/>
      <w:szCs w:val="21"/>
    </w:rPr>
  </w:style>
  <w:style w:type="paragraph" w:customStyle="1" w:styleId="111">
    <w:name w:val="其他发布日期"/>
    <w:basedOn w:val="59"/>
    <w:autoRedefine/>
    <w:qFormat/>
    <w:uiPriority w:val="99"/>
    <w:pPr>
      <w:framePr w:wrap="around" w:vAnchor="page" w:hAnchor="text" w:x="1419"/>
    </w:pPr>
  </w:style>
  <w:style w:type="paragraph" w:customStyle="1" w:styleId="112">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3">
    <w:name w:val="其他标准标志"/>
    <w:basedOn w:val="103"/>
    <w:qFormat/>
    <w:uiPriority w:val="0"/>
    <w:pPr>
      <w:framePr w:w="6101" w:wrap="around" w:vAnchor="page" w:hAnchor="page" w:x="4673" w:y="942"/>
    </w:pPr>
    <w:rPr>
      <w:w w:val="130"/>
    </w:rPr>
  </w:style>
  <w:style w:type="paragraph" w:customStyle="1" w:styleId="114">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图表脚注说明"/>
    <w:basedOn w:val="1"/>
    <w:autoRedefine/>
    <w:qFormat/>
    <w:uiPriority w:val="0"/>
    <w:pPr>
      <w:ind w:left="544" w:hanging="181"/>
    </w:pPr>
    <w:rPr>
      <w:rFonts w:ascii="宋体"/>
      <w:sz w:val="18"/>
      <w:szCs w:val="18"/>
    </w:rPr>
  </w:style>
  <w:style w:type="paragraph" w:customStyle="1" w:styleId="116">
    <w:name w:val="五级条标题"/>
    <w:basedOn w:val="75"/>
    <w:next w:val="23"/>
    <w:autoRedefine/>
    <w:qFormat/>
    <w:uiPriority w:val="0"/>
    <w:pPr>
      <w:numPr>
        <w:ilvl w:val="5"/>
      </w:numPr>
      <w:outlineLvl w:val="6"/>
    </w:pPr>
  </w:style>
  <w:style w:type="paragraph" w:customStyle="1" w:styleId="117">
    <w:name w:val="封面标准文稿类别"/>
    <w:basedOn w:val="68"/>
    <w:autoRedefine/>
    <w:qFormat/>
    <w:uiPriority w:val="0"/>
    <w:pPr>
      <w:framePr w:wrap="around"/>
      <w:spacing w:after="160" w:line="240" w:lineRule="auto"/>
    </w:pPr>
    <w:rPr>
      <w:sz w:val="24"/>
    </w:rPr>
  </w:style>
  <w:style w:type="paragraph" w:customStyle="1" w:styleId="11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示例×："/>
    <w:basedOn w:val="47"/>
    <w:autoRedefine/>
    <w:qFormat/>
    <w:uiPriority w:val="0"/>
    <w:pPr>
      <w:spacing w:beforeLines="0" w:afterLines="0"/>
      <w:ind w:firstLine="363"/>
      <w:outlineLvl w:val="9"/>
    </w:pPr>
    <w:rPr>
      <w:rFonts w:ascii="宋体" w:eastAsia="宋体"/>
      <w:sz w:val="18"/>
      <w:szCs w:val="18"/>
    </w:rPr>
  </w:style>
  <w:style w:type="paragraph" w:customStyle="1" w:styleId="12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2">
    <w:name w:val="附录标识"/>
    <w:basedOn w:val="1"/>
    <w:next w:val="23"/>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标准书眉_偶数页"/>
    <w:basedOn w:val="85"/>
    <w:next w:val="1"/>
    <w:qFormat/>
    <w:uiPriority w:val="0"/>
    <w:pPr>
      <w:jc w:val="left"/>
    </w:pPr>
  </w:style>
  <w:style w:type="paragraph" w:customStyle="1" w:styleId="124">
    <w:name w:val="封面标准文稿编辑信息"/>
    <w:basedOn w:val="117"/>
    <w:autoRedefine/>
    <w:qFormat/>
    <w:uiPriority w:val="0"/>
    <w:pPr>
      <w:framePr w:wrap="around"/>
      <w:spacing w:before="180" w:line="180" w:lineRule="exact"/>
    </w:pPr>
    <w:rPr>
      <w:sz w:val="21"/>
    </w:rPr>
  </w:style>
  <w:style w:type="paragraph" w:customStyle="1" w:styleId="125">
    <w:name w:val="附录表标题"/>
    <w:basedOn w:val="1"/>
    <w:next w:val="23"/>
    <w:autoRedefine/>
    <w:qFormat/>
    <w:uiPriority w:val="0"/>
    <w:pPr>
      <w:tabs>
        <w:tab w:val="left" w:pos="180"/>
      </w:tabs>
      <w:spacing w:beforeLines="50" w:afterLines="50"/>
      <w:jc w:val="center"/>
    </w:pPr>
    <w:rPr>
      <w:rFonts w:ascii="黑体" w:eastAsia="黑体"/>
      <w:szCs w:val="21"/>
    </w:rPr>
  </w:style>
  <w:style w:type="paragraph" w:customStyle="1" w:styleId="126">
    <w:name w:val="注："/>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7">
    <w:name w:val="注：（正文）"/>
    <w:basedOn w:val="126"/>
    <w:next w:val="23"/>
    <w:autoRedefine/>
    <w:qFormat/>
    <w:uiPriority w:val="0"/>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3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1">
    <w:name w:val="附录标题"/>
    <w:basedOn w:val="23"/>
    <w:next w:val="23"/>
    <w:autoRedefine/>
    <w:qFormat/>
    <w:uiPriority w:val="0"/>
    <w:pPr>
      <w:ind w:firstLine="0" w:firstLineChars="0"/>
      <w:jc w:val="center"/>
    </w:pPr>
    <w:rPr>
      <w:rFonts w:ascii="黑体" w:eastAsia="黑体"/>
    </w:rPr>
  </w:style>
  <w:style w:type="paragraph" w:customStyle="1" w:styleId="132">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3">
    <w:name w:val="封面标准名称2"/>
    <w:basedOn w:val="70"/>
    <w:autoRedefine/>
    <w:qFormat/>
    <w:uiPriority w:val="0"/>
    <w:pPr>
      <w:framePr w:wrap="around" w:y="4469"/>
      <w:spacing w:beforeLines="630"/>
    </w:pPr>
  </w:style>
  <w:style w:type="paragraph" w:customStyle="1" w:styleId="134">
    <w:name w:val="发布部门"/>
    <w:next w:val="23"/>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5">
    <w:name w:val="封面标准文稿编辑信息2"/>
    <w:basedOn w:val="124"/>
    <w:autoRedefine/>
    <w:qFormat/>
    <w:uiPriority w:val="0"/>
    <w:pPr>
      <w:framePr w:wrap="around" w:y="4469"/>
    </w:pPr>
  </w:style>
  <w:style w:type="paragraph" w:customStyle="1" w:styleId="136">
    <w:name w:val="其他发布部门"/>
    <w:basedOn w:val="134"/>
    <w:autoRedefine/>
    <w:qFormat/>
    <w:uiPriority w:val="0"/>
    <w:pPr>
      <w:framePr w:wrap="around" w:y="15310"/>
      <w:spacing w:line="0" w:lineRule="atLeast"/>
    </w:pPr>
    <w:rPr>
      <w:rFonts w:ascii="黑体" w:eastAsia="黑体"/>
      <w:b w:val="0"/>
    </w:rPr>
  </w:style>
  <w:style w:type="paragraph" w:customStyle="1" w:styleId="137">
    <w:name w:val="附录四级无"/>
    <w:basedOn w:val="88"/>
    <w:qFormat/>
    <w:uiPriority w:val="0"/>
    <w:pPr>
      <w:tabs>
        <w:tab w:val="clear" w:pos="360"/>
      </w:tabs>
      <w:spacing w:beforeLines="0" w:afterLines="0"/>
    </w:pPr>
    <w:rPr>
      <w:rFonts w:ascii="宋体" w:eastAsia="宋体"/>
      <w:szCs w:val="21"/>
    </w:rPr>
  </w:style>
  <w:style w:type="paragraph" w:customStyle="1" w:styleId="138">
    <w:name w:val="三级无"/>
    <w:basedOn w:val="76"/>
    <w:autoRedefine/>
    <w:qFormat/>
    <w:uiPriority w:val="0"/>
    <w:pPr>
      <w:spacing w:beforeLines="0" w:afterLines="0"/>
    </w:pPr>
    <w:rPr>
      <w:rFonts w:ascii="宋体" w:eastAsia="宋体"/>
    </w:rPr>
  </w:style>
  <w:style w:type="paragraph" w:customStyle="1" w:styleId="139">
    <w:name w:val="五级无"/>
    <w:basedOn w:val="116"/>
    <w:qFormat/>
    <w:uiPriority w:val="0"/>
    <w:pPr>
      <w:spacing w:beforeLines="0" w:afterLines="0"/>
    </w:pPr>
    <w:rPr>
      <w:rFonts w:ascii="宋体" w:eastAsia="宋体"/>
    </w:rPr>
  </w:style>
  <w:style w:type="paragraph" w:customStyle="1" w:styleId="140">
    <w:name w:val="正文公式编号制表符"/>
    <w:basedOn w:val="23"/>
    <w:next w:val="23"/>
    <w:qFormat/>
    <w:uiPriority w:val="0"/>
    <w:pPr>
      <w:ind w:firstLine="0" w:firstLineChars="0"/>
    </w:pPr>
  </w:style>
  <w:style w:type="paragraph" w:customStyle="1" w:styleId="141">
    <w:name w:val="终结线"/>
    <w:basedOn w:val="1"/>
    <w:qFormat/>
    <w:uiPriority w:val="0"/>
    <w:pPr>
      <w:framePr w:hSpace="181" w:vSpace="181" w:wrap="around" w:vAnchor="text" w:hAnchor="margin" w:xAlign="center" w:y="285"/>
    </w:pPr>
  </w:style>
  <w:style w:type="paragraph" w:customStyle="1" w:styleId="142">
    <w:name w:val="其他实施日期"/>
    <w:basedOn w:val="73"/>
    <w:qFormat/>
    <w:uiPriority w:val="99"/>
    <w:pPr>
      <w:framePr w:wrap="around"/>
    </w:pPr>
  </w:style>
  <w:style w:type="paragraph" w:customStyle="1" w:styleId="143">
    <w:name w:val="封面标准英文名称2"/>
    <w:basedOn w:val="69"/>
    <w:qFormat/>
    <w:uiPriority w:val="0"/>
    <w:pPr>
      <w:framePr w:wrap="around" w:y="4469"/>
    </w:pPr>
  </w:style>
  <w:style w:type="paragraph" w:customStyle="1" w:styleId="144">
    <w:name w:val="封面标准文稿类别2"/>
    <w:basedOn w:val="117"/>
    <w:qFormat/>
    <w:uiPriority w:val="0"/>
    <w:pPr>
      <w:framePr w:wrap="around" w:y="4469"/>
    </w:pPr>
  </w:style>
  <w:style w:type="paragraph" w:styleId="145">
    <w:name w:val="List Paragraph"/>
    <w:basedOn w:val="1"/>
    <w:autoRedefine/>
    <w:qFormat/>
    <w:uiPriority w:val="34"/>
    <w:pPr>
      <w:ind w:firstLine="420" w:firstLineChars="200"/>
    </w:pPr>
    <w:rPr>
      <w:rFonts w:ascii="Calibri" w:hAnsi="Calibri"/>
      <w:szCs w:val="22"/>
    </w:rPr>
  </w:style>
  <w:style w:type="paragraph" w:customStyle="1" w:styleId="146">
    <w:name w:val="Char Char Char Char"/>
    <w:basedOn w:val="1"/>
    <w:qFormat/>
    <w:uiPriority w:val="0"/>
    <w:pPr>
      <w:adjustRightInd w:val="0"/>
      <w:spacing w:line="360" w:lineRule="auto"/>
    </w:pPr>
    <w:rPr>
      <w:kern w:val="0"/>
      <w:sz w:val="24"/>
      <w:szCs w:val="20"/>
    </w:rPr>
  </w:style>
  <w:style w:type="character" w:customStyle="1" w:styleId="147">
    <w:name w:val="二级条标题 Char"/>
    <w:link w:val="52"/>
    <w:qFormat/>
    <w:locked/>
    <w:uiPriority w:val="0"/>
    <w:rPr>
      <w:rFonts w:ascii="黑体" w:eastAsia="黑体"/>
      <w:sz w:val="21"/>
      <w:szCs w:val="21"/>
      <w:shd w:val="clear" w:color="auto" w:fill="FFFFFF" w:themeFill="background1"/>
    </w:rPr>
  </w:style>
  <w:style w:type="character" w:customStyle="1" w:styleId="148">
    <w:name w:val="批注文字 字符"/>
    <w:basedOn w:val="34"/>
    <w:link w:val="7"/>
    <w:qFormat/>
    <w:uiPriority w:val="0"/>
    <w:rPr>
      <w:kern w:val="2"/>
      <w:sz w:val="21"/>
      <w:szCs w:val="24"/>
    </w:rPr>
  </w:style>
  <w:style w:type="character" w:customStyle="1" w:styleId="149">
    <w:name w:val="批注主题 字符"/>
    <w:basedOn w:val="148"/>
    <w:link w:val="31"/>
    <w:semiHidden/>
    <w:qFormat/>
    <w:uiPriority w:val="0"/>
    <w:rPr>
      <w:b/>
      <w:bCs/>
      <w:kern w:val="2"/>
      <w:sz w:val="21"/>
      <w:szCs w:val="24"/>
    </w:rPr>
  </w:style>
  <w:style w:type="table" w:customStyle="1" w:styleId="150">
    <w:name w:val="网格型1"/>
    <w:basedOn w:val="3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
    <w:name w:val="网格型2"/>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3">
    <w:name w:val="Other|1"/>
    <w:basedOn w:val="1"/>
    <w:qFormat/>
    <w:uiPriority w:val="0"/>
    <w:pPr>
      <w:spacing w:after="80" w:line="336" w:lineRule="auto"/>
    </w:pPr>
    <w:rPr>
      <w:rFonts w:ascii="宋体" w:hAnsi="宋体" w:cs="宋体"/>
      <w:sz w:val="19"/>
      <w:szCs w:val="19"/>
    </w:rPr>
  </w:style>
  <w:style w:type="paragraph" w:customStyle="1" w:styleId="15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Table Text"/>
    <w:basedOn w:val="1"/>
    <w:semiHidden/>
    <w:qFormat/>
    <w:uiPriority w:val="0"/>
    <w:rPr>
      <w:rFonts w:ascii="宋体" w:hAnsi="宋体" w:eastAsia="宋体" w:cs="宋体"/>
      <w:sz w:val="16"/>
      <w:szCs w:val="16"/>
      <w:lang w:val="en-US" w:eastAsia="en-US" w:bidi="ar-SA"/>
    </w:rPr>
  </w:style>
  <w:style w:type="table" w:customStyle="1" w:styleId="156">
    <w:name w:val="Table Normal"/>
    <w:semiHidden/>
    <w:unhideWhenUsed/>
    <w:qFormat/>
    <w:uiPriority w:val="0"/>
    <w:tblPr>
      <w:tblCellMar>
        <w:top w:w="0" w:type="dxa"/>
        <w:left w:w="0" w:type="dxa"/>
        <w:bottom w:w="0" w:type="dxa"/>
        <w:right w:w="0" w:type="dxa"/>
      </w:tblCellMar>
    </w:tblPr>
  </w:style>
  <w:style w:type="character" w:customStyle="1" w:styleId="157">
    <w:name w:val="first-child"/>
    <w:basedOn w:val="34"/>
    <w:uiPriority w:val="0"/>
  </w:style>
  <w:style w:type="character" w:customStyle="1" w:styleId="158">
    <w:name w:val="layui-layer-tabnow"/>
    <w:basedOn w:val="34"/>
    <w:uiPriority w:val="0"/>
    <w:rPr>
      <w:bdr w:val="single" w:color="CCCCCC" w:sz="6" w:space="0"/>
      <w:shd w:val="clear" w:fill="FFFFFF"/>
    </w:rPr>
  </w:style>
  <w:style w:type="character" w:customStyle="1" w:styleId="159">
    <w:name w:val="data"/>
    <w:basedOn w:val="34"/>
    <w:autoRedefine/>
    <w:uiPriority w:val="0"/>
    <w:rPr>
      <w:b/>
      <w:bCs/>
      <w:color w:val="FFFFFF"/>
      <w:shd w:val="clear" w:fill="58ABDD"/>
    </w:rPr>
  </w:style>
  <w:style w:type="character" w:customStyle="1" w:styleId="160">
    <w:name w:val="data1"/>
    <w:basedOn w:val="34"/>
    <w:uiPriority w:val="0"/>
    <w:rPr>
      <w:color w:val="52525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D3DCF-1616-4E54-ABEA-8AC5707E0552}">
  <ds:schemaRefs/>
</ds:datastoreItem>
</file>

<file path=docProps/app.xml><?xml version="1.0" encoding="utf-8"?>
<Properties xmlns="http://schemas.openxmlformats.org/officeDocument/2006/extended-properties" xmlns:vt="http://schemas.openxmlformats.org/officeDocument/2006/docPropsVTypes">
  <Template>Normal</Template>
  <Pages>10</Pages>
  <Words>958</Words>
  <Characters>5462</Characters>
  <Lines>45</Lines>
  <Paragraphs>12</Paragraphs>
  <TotalTime>0</TotalTime>
  <ScaleCrop>false</ScaleCrop>
  <LinksUpToDate>false</LinksUpToDate>
  <CharactersWithSpaces>6408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2022-06-17T05:51:00Z</dcterms:created>
  <dcterms:modified xsi:type="dcterms:W3CDTF">2024-04-28T07:32:51Z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05B8FE0D3AA1483A887BC87A215AB2DE</vt:lpwstr>
  </property>
</Properties>
</file>