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6412D529"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3D43ED">
        <w:rPr>
          <w:rFonts w:ascii="Times New Roman" w:eastAsia="黑体" w:hAnsi="Times New Roman" w:cs="Times New Roman"/>
          <w:b/>
          <w:bCs/>
          <w:sz w:val="36"/>
          <w:szCs w:val="32"/>
        </w:rPr>
        <w:t>高电阻电热合金盘条</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6A4FB237"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3D43ED">
        <w:rPr>
          <w:rFonts w:ascii="Times New Roman" w:eastAsia="仿宋_GB2312" w:hAnsi="Times New Roman" w:cs="Times New Roman" w:hint="eastAsia"/>
          <w:sz w:val="28"/>
          <w:szCs w:val="28"/>
        </w:rPr>
        <w:t>高电阻电热合金盘条</w:t>
      </w:r>
      <w:r w:rsidRPr="00773776">
        <w:rPr>
          <w:rFonts w:ascii="Times New Roman" w:eastAsia="仿宋_GB2312" w:hAnsi="Times New Roman" w:cs="Times New Roman" w:hint="eastAsia"/>
          <w:sz w:val="28"/>
          <w:szCs w:val="28"/>
        </w:rPr>
        <w:t>产品标准的实际需求，提出《</w:t>
      </w:r>
      <w:r w:rsidR="003D43ED">
        <w:rPr>
          <w:rFonts w:ascii="Times New Roman" w:eastAsia="仿宋_GB2312" w:hAnsi="Times New Roman" w:cs="Times New Roman" w:hint="eastAsia"/>
          <w:sz w:val="28"/>
          <w:szCs w:val="28"/>
        </w:rPr>
        <w:t>高电阻电热合金盘条</w:t>
      </w:r>
      <w:r w:rsidRPr="00773776">
        <w:rPr>
          <w:rFonts w:ascii="Times New Roman" w:eastAsia="仿宋_GB2312" w:hAnsi="Times New Roman" w:cs="Times New Roman" w:hint="eastAsia"/>
          <w:sz w:val="28"/>
          <w:szCs w:val="28"/>
        </w:rPr>
        <w:t>》团体标准制定项目。</w:t>
      </w:r>
    </w:p>
    <w:p w14:paraId="7CAE31A3" w14:textId="30C65DA7"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w:t>
      </w:r>
      <w:r w:rsidR="003D43ED">
        <w:rPr>
          <w:rFonts w:ascii="Times New Roman" w:eastAsia="仿宋_GB2312" w:hAnsi="Times New Roman" w:cs="Times New Roman" w:hint="eastAsia"/>
          <w:sz w:val="28"/>
          <w:szCs w:val="28"/>
        </w:rPr>
        <w:t>江苏明璐不锈钢有限公司</w:t>
      </w:r>
      <w:r w:rsidRPr="00773776">
        <w:rPr>
          <w:rFonts w:ascii="Times New Roman" w:eastAsia="仿宋_GB2312" w:hAnsi="Times New Roman" w:cs="Times New Roman" w:hint="eastAsia"/>
          <w:sz w:val="28"/>
          <w:szCs w:val="28"/>
        </w:rPr>
        <w:t>、冶金工业规划研究院等起草，并共同参与前期研究、调研和标准的编制、修改、技术数据验证以及标准推广等工作。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631E14C8" w14:textId="77777777" w:rsidR="003D43ED" w:rsidRPr="003D43ED" w:rsidRDefault="003D43ED" w:rsidP="003D43ED">
      <w:pPr>
        <w:spacing w:line="360" w:lineRule="auto"/>
        <w:ind w:firstLineChars="200" w:firstLine="560"/>
        <w:rPr>
          <w:rFonts w:ascii="Times New Roman" w:eastAsia="仿宋_GB2312" w:hAnsi="Times New Roman" w:cs="Times New Roman"/>
          <w:sz w:val="28"/>
          <w:szCs w:val="28"/>
        </w:rPr>
      </w:pPr>
      <w:r w:rsidRPr="003D43ED">
        <w:rPr>
          <w:rFonts w:ascii="Times New Roman" w:eastAsia="仿宋_GB2312" w:hAnsi="Times New Roman" w:cs="Times New Roman" w:hint="eastAsia"/>
          <w:sz w:val="28"/>
          <w:szCs w:val="28"/>
        </w:rPr>
        <w:t>电热合金是指利用金属的电阻特性制作发热体的电阻合金，主要利用电流通过电阻时产生的焦耳热，将电能转换为热能。电热合金应用十分广泛，包括各种工业电炉、实验室电炉和家用电器的电加热元件。电热合金主要包括</w:t>
      </w:r>
      <w:r w:rsidRPr="003D43ED">
        <w:rPr>
          <w:rFonts w:ascii="Times New Roman" w:eastAsia="仿宋_GB2312" w:hAnsi="Times New Roman" w:cs="Times New Roman" w:hint="eastAsia"/>
          <w:sz w:val="28"/>
          <w:szCs w:val="28"/>
        </w:rPr>
        <w:t>Ni-Cr</w:t>
      </w:r>
      <w:r w:rsidRPr="003D43ED">
        <w:rPr>
          <w:rFonts w:ascii="Times New Roman" w:eastAsia="仿宋_GB2312" w:hAnsi="Times New Roman" w:cs="Times New Roman" w:hint="eastAsia"/>
          <w:sz w:val="28"/>
          <w:szCs w:val="28"/>
        </w:rPr>
        <w:t>系和</w:t>
      </w:r>
      <w:r w:rsidRPr="003D43ED">
        <w:rPr>
          <w:rFonts w:ascii="Times New Roman" w:eastAsia="仿宋_GB2312" w:hAnsi="Times New Roman" w:cs="Times New Roman" w:hint="eastAsia"/>
          <w:sz w:val="28"/>
          <w:szCs w:val="28"/>
        </w:rPr>
        <w:t>Fe-Cr-Al</w:t>
      </w:r>
      <w:r w:rsidRPr="003D43ED">
        <w:rPr>
          <w:rFonts w:ascii="Times New Roman" w:eastAsia="仿宋_GB2312" w:hAnsi="Times New Roman" w:cs="Times New Roman" w:hint="eastAsia"/>
          <w:sz w:val="28"/>
          <w:szCs w:val="28"/>
        </w:rPr>
        <w:t>系两类，一般具有较高的电阻率和稳定而较小的电阻温度系数，通过电流能产生较高的热量和稳定的功率，抗高温氧化性强，耐腐蚀性好，有足够的高温强度，在不同工作情况下，有足够的使用寿命，有良好的加工性能，以满足不同类型结构成型的需要。</w:t>
      </w:r>
    </w:p>
    <w:p w14:paraId="14101E24" w14:textId="77777777" w:rsidR="003D43ED" w:rsidRPr="003D43ED" w:rsidRDefault="003D43ED" w:rsidP="003D43ED">
      <w:pPr>
        <w:spacing w:line="360" w:lineRule="auto"/>
        <w:ind w:firstLineChars="200" w:firstLine="560"/>
        <w:rPr>
          <w:rFonts w:ascii="Times New Roman" w:eastAsia="仿宋_GB2312" w:hAnsi="Times New Roman" w:cs="Times New Roman"/>
          <w:sz w:val="28"/>
          <w:szCs w:val="28"/>
        </w:rPr>
      </w:pPr>
      <w:r w:rsidRPr="003D43ED">
        <w:rPr>
          <w:rFonts w:ascii="Times New Roman" w:eastAsia="仿宋_GB2312" w:hAnsi="Times New Roman" w:cs="Times New Roman" w:hint="eastAsia"/>
          <w:sz w:val="28"/>
          <w:szCs w:val="28"/>
        </w:rPr>
        <w:t>目前高电阻电热合金有国家标准</w:t>
      </w:r>
      <w:r w:rsidRPr="003D43ED">
        <w:rPr>
          <w:rFonts w:ascii="Times New Roman" w:eastAsia="仿宋_GB2312" w:hAnsi="Times New Roman" w:cs="Times New Roman" w:hint="eastAsia"/>
          <w:sz w:val="28"/>
          <w:szCs w:val="28"/>
        </w:rPr>
        <w:t>GB/T 1234-2012</w:t>
      </w:r>
      <w:r w:rsidRPr="003D43ED">
        <w:rPr>
          <w:rFonts w:ascii="Times New Roman" w:eastAsia="仿宋_GB2312" w:hAnsi="Times New Roman" w:cs="Times New Roman" w:hint="eastAsia"/>
          <w:sz w:val="28"/>
          <w:szCs w:val="28"/>
        </w:rPr>
        <w:t>《高电阻电热合</w:t>
      </w:r>
      <w:r w:rsidRPr="003D43ED">
        <w:rPr>
          <w:rFonts w:ascii="Times New Roman" w:eastAsia="仿宋_GB2312" w:hAnsi="Times New Roman" w:cs="Times New Roman" w:hint="eastAsia"/>
          <w:sz w:val="28"/>
          <w:szCs w:val="28"/>
        </w:rPr>
        <w:lastRenderedPageBreak/>
        <w:t>金》，该适用于制造各种电加热元件和一般电阻元件用拉拔、轧制和锻造的镍铬、镍铬铁和铁铬铝高电阻电热合金丝材、板带材、棒材和盘条，规定了高电阻电热合金的牌号、订货内容、尺寸、外形、重量、技术要求、试验方法、检验规则、包装、标志和质量证明书。但是国家标准作为基础通用标准，适用范围较广，对于高电阻电热合金盘条产品的专用性、适用性不足，同时该国家标准发布实施时间超过</w:t>
      </w:r>
      <w:r w:rsidRPr="003D43ED">
        <w:rPr>
          <w:rFonts w:ascii="Times New Roman" w:eastAsia="仿宋_GB2312" w:hAnsi="Times New Roman" w:cs="Times New Roman" w:hint="eastAsia"/>
          <w:sz w:val="28"/>
          <w:szCs w:val="28"/>
        </w:rPr>
        <w:t>10</w:t>
      </w:r>
      <w:r w:rsidRPr="003D43ED">
        <w:rPr>
          <w:rFonts w:ascii="Times New Roman" w:eastAsia="仿宋_GB2312" w:hAnsi="Times New Roman" w:cs="Times New Roman" w:hint="eastAsia"/>
          <w:sz w:val="28"/>
          <w:szCs w:val="28"/>
        </w:rPr>
        <w:t>年，相关技术指标较为陈旧，无法体现当前高电阻电热合金产品的生产应用水平，不满足市场对标准的实际需要。</w:t>
      </w:r>
    </w:p>
    <w:p w14:paraId="25489B2C" w14:textId="49610A9E" w:rsidR="008646BE" w:rsidRPr="00F013CC" w:rsidRDefault="003D43ED" w:rsidP="003D43ED">
      <w:pPr>
        <w:spacing w:line="360" w:lineRule="auto"/>
        <w:ind w:firstLineChars="200" w:firstLine="560"/>
        <w:rPr>
          <w:rFonts w:ascii="Times New Roman" w:eastAsia="仿宋_GB2312" w:hAnsi="Times New Roman" w:cs="Times New Roman"/>
          <w:sz w:val="28"/>
          <w:szCs w:val="28"/>
        </w:rPr>
      </w:pPr>
      <w:r w:rsidRPr="003D43ED">
        <w:rPr>
          <w:rFonts w:ascii="Times New Roman" w:eastAsia="仿宋_GB2312" w:hAnsi="Times New Roman" w:cs="Times New Roman" w:hint="eastAsia"/>
          <w:sz w:val="28"/>
          <w:szCs w:val="28"/>
        </w:rPr>
        <w:t>本标准以高电阻电热合金盘条专用产品的标准化需求为导向，满足细分领域专用标准的需要，结合生产和下游用户应用的实际情况，制定适用性更强、技术指标更高的产品标准，突出标准的先进性，规范和引领高电阻电热合金盘条的高质量发展。</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2F8E817D" w:rsidR="005A6F0A" w:rsidRPr="00F013CC" w:rsidRDefault="003D43ED"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江苏明璐不锈钢有限公司</w:t>
      </w:r>
      <w:r w:rsidR="00D4135B" w:rsidRPr="00F013CC">
        <w:rPr>
          <w:rFonts w:ascii="Times New Roman" w:eastAsia="仿宋_GB2312" w:hAnsi="Times New Roman" w:cs="Times New Roman"/>
          <w:sz w:val="28"/>
          <w:szCs w:val="28"/>
        </w:rPr>
        <w:t>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00D4135B" w:rsidRPr="00F013CC">
        <w:rPr>
          <w:rFonts w:ascii="Times New Roman" w:eastAsia="仿宋_GB2312" w:hAnsi="Times New Roman" w:cs="Times New Roman"/>
          <w:sz w:val="28"/>
          <w:szCs w:val="28"/>
        </w:rPr>
        <w:t>《</w:t>
      </w:r>
      <w:r>
        <w:rPr>
          <w:rFonts w:ascii="Times New Roman" w:eastAsia="仿宋_GB2312" w:hAnsi="Times New Roman" w:cs="Times New Roman"/>
          <w:sz w:val="28"/>
          <w:szCs w:val="28"/>
        </w:rPr>
        <w:t>高电阻电热合金盘条</w:t>
      </w:r>
      <w:r w:rsidR="00D4135B"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Pr>
          <w:rFonts w:ascii="Times New Roman" w:eastAsia="仿宋_GB2312" w:hAnsi="Times New Roman" w:cs="Times New Roman"/>
          <w:sz w:val="28"/>
          <w:szCs w:val="28"/>
        </w:rPr>
        <w:t>高电阻电热合金盘条</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r w:rsidR="004A2E49" w:rsidRPr="00F013CC">
        <w:rPr>
          <w:rFonts w:ascii="Times New Roman" w:eastAsia="仿宋_GB2312" w:hAnsi="Times New Roman" w:cs="Times New Roman"/>
          <w:sz w:val="28"/>
          <w:szCs w:val="28"/>
        </w:rPr>
        <w:t xml:space="preserve"> </w:t>
      </w:r>
    </w:p>
    <w:p w14:paraId="57954999" w14:textId="21EBFA68"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w:t>
      </w:r>
      <w:r w:rsidR="003D43ED">
        <w:rPr>
          <w:rFonts w:ascii="Times New Roman" w:eastAsia="仿宋_GB2312" w:hAnsi="Times New Roman" w:cs="Times New Roman" w:hint="eastAsia"/>
          <w:sz w:val="28"/>
          <w:szCs w:val="28"/>
        </w:rPr>
        <w:t>2</w:t>
      </w:r>
      <w:r w:rsidRPr="00F013CC">
        <w:rPr>
          <w:rFonts w:ascii="Times New Roman" w:eastAsia="仿宋_GB2312" w:hAnsi="Times New Roman" w:cs="Times New Roman"/>
          <w:sz w:val="28"/>
          <w:szCs w:val="28"/>
        </w:rPr>
        <w:t>年</w:t>
      </w:r>
      <w:r w:rsidR="003D43ED">
        <w:rPr>
          <w:rFonts w:ascii="Times New Roman" w:eastAsia="仿宋_GB2312" w:hAnsi="Times New Roman" w:cs="Times New Roman" w:hint="eastAsia"/>
          <w:sz w:val="28"/>
          <w:szCs w:val="28"/>
        </w:rPr>
        <w:t>10</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w:t>
      </w:r>
      <w:r w:rsidRPr="00F013CC">
        <w:rPr>
          <w:rFonts w:ascii="Times New Roman" w:eastAsia="仿宋_GB2312" w:hAnsi="Times New Roman" w:cs="Times New Roman"/>
          <w:sz w:val="28"/>
          <w:szCs w:val="28"/>
        </w:rPr>
        <w:lastRenderedPageBreak/>
        <w:t>审截止日期，没有委员提出不同意见</w:t>
      </w:r>
      <w:r w:rsidR="009B3F24" w:rsidRPr="00F013CC">
        <w:rPr>
          <w:rFonts w:ascii="Times New Roman" w:eastAsia="仿宋_GB2312" w:hAnsi="Times New Roman" w:cs="Times New Roman"/>
          <w:sz w:val="28"/>
          <w:szCs w:val="28"/>
        </w:rPr>
        <w:t>；</w:t>
      </w:r>
    </w:p>
    <w:p w14:paraId="1535660D" w14:textId="64ACFE6F"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w:t>
      </w:r>
      <w:r w:rsidR="003D43ED">
        <w:rPr>
          <w:rFonts w:ascii="Times New Roman" w:eastAsia="仿宋_GB2312" w:hAnsi="Times New Roman" w:cs="Times New Roman" w:hint="eastAsia"/>
          <w:sz w:val="28"/>
          <w:szCs w:val="28"/>
        </w:rPr>
        <w:t>2</w:t>
      </w:r>
      <w:r w:rsidRPr="00F013CC">
        <w:rPr>
          <w:rFonts w:ascii="Times New Roman" w:eastAsia="仿宋_GB2312" w:hAnsi="Times New Roman" w:cs="Times New Roman"/>
          <w:sz w:val="28"/>
          <w:szCs w:val="28"/>
        </w:rPr>
        <w:t>年</w:t>
      </w:r>
      <w:r w:rsidR="003D43ED">
        <w:rPr>
          <w:rFonts w:ascii="Times New Roman" w:eastAsia="仿宋_GB2312" w:hAnsi="Times New Roman" w:cs="Times New Roman" w:hint="eastAsia"/>
          <w:sz w:val="28"/>
          <w:szCs w:val="28"/>
        </w:rPr>
        <w:t>11</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3D43ED">
        <w:rPr>
          <w:rFonts w:ascii="Times New Roman" w:eastAsia="仿宋_GB2312" w:hAnsi="Times New Roman" w:cs="Times New Roman"/>
          <w:sz w:val="28"/>
          <w:szCs w:val="28"/>
        </w:rPr>
        <w:t>高电阻电热合金盘条</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555FB9">
        <w:rPr>
          <w:rFonts w:ascii="Times New Roman" w:eastAsia="仿宋_GB2312" w:hAnsi="Times New Roman" w:cs="Times New Roman" w:hint="eastAsia"/>
          <w:sz w:val="28"/>
          <w:szCs w:val="28"/>
        </w:rPr>
        <w:t>（</w:t>
      </w:r>
      <w:r w:rsidR="00555FB9">
        <w:rPr>
          <w:rFonts w:ascii="Times New Roman" w:eastAsia="仿宋_GB2312" w:hAnsi="Times New Roman" w:cs="Times New Roman" w:hint="eastAsia"/>
          <w:sz w:val="28"/>
          <w:szCs w:val="28"/>
        </w:rPr>
        <w:t>202</w:t>
      </w:r>
      <w:r w:rsidR="003D43ED">
        <w:rPr>
          <w:rFonts w:ascii="Times New Roman" w:eastAsia="仿宋_GB2312" w:hAnsi="Times New Roman" w:cs="Times New Roman" w:hint="eastAsia"/>
          <w:sz w:val="28"/>
          <w:szCs w:val="28"/>
        </w:rPr>
        <w:t>2</w:t>
      </w:r>
      <w:r w:rsidR="00555FB9">
        <w:rPr>
          <w:rFonts w:ascii="Times New Roman" w:eastAsia="仿宋_GB2312" w:hAnsi="Times New Roman" w:cs="Times New Roman" w:hint="eastAsia"/>
          <w:sz w:val="28"/>
          <w:szCs w:val="28"/>
        </w:rPr>
        <w:t>年</w:t>
      </w:r>
      <w:r w:rsidR="00555FB9">
        <w:rPr>
          <w:rFonts w:ascii="Times New Roman" w:eastAsia="仿宋_GB2312" w:hAnsi="Times New Roman" w:cs="Times New Roman"/>
          <w:sz w:val="28"/>
          <w:szCs w:val="28"/>
        </w:rPr>
        <w:t>第</w:t>
      </w:r>
      <w:r w:rsidR="003D43ED">
        <w:rPr>
          <w:rFonts w:ascii="Times New Roman" w:eastAsia="仿宋_GB2312" w:hAnsi="Times New Roman" w:cs="Times New Roman" w:hint="eastAsia"/>
          <w:sz w:val="28"/>
          <w:szCs w:val="28"/>
        </w:rPr>
        <w:t>六</w:t>
      </w:r>
      <w:r w:rsidR="00555FB9">
        <w:rPr>
          <w:rFonts w:ascii="Times New Roman" w:eastAsia="仿宋_GB2312" w:hAnsi="Times New Roman" w:cs="Times New Roman"/>
          <w:sz w:val="28"/>
          <w:szCs w:val="28"/>
        </w:rPr>
        <w:t>批</w:t>
      </w:r>
      <w:r w:rsidR="00555FB9">
        <w:rPr>
          <w:rFonts w:ascii="Times New Roman" w:eastAsia="仿宋_GB2312" w:hAnsi="Times New Roman" w:cs="Times New Roman" w:hint="eastAsia"/>
          <w:sz w:val="28"/>
          <w:szCs w:val="28"/>
        </w:rPr>
        <w:t>）</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3D43ED">
        <w:rPr>
          <w:rFonts w:ascii="Times New Roman" w:eastAsia="仿宋_GB2312" w:hAnsi="Times New Roman" w:cs="Times New Roman"/>
          <w:sz w:val="28"/>
          <w:szCs w:val="28"/>
        </w:rPr>
        <w:t>江苏明璐不锈钢有限公司</w:t>
      </w:r>
      <w:r w:rsidRPr="00F013CC">
        <w:rPr>
          <w:rFonts w:ascii="Times New Roman" w:eastAsia="仿宋"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9B3F24" w:rsidRPr="00F013CC">
        <w:rPr>
          <w:rFonts w:ascii="Times New Roman" w:eastAsia="仿宋_GB2312" w:hAnsi="Times New Roman" w:cs="Times New Roman"/>
          <w:sz w:val="28"/>
          <w:szCs w:val="28"/>
        </w:rPr>
        <w:t>；</w:t>
      </w:r>
    </w:p>
    <w:p w14:paraId="3C98B0AD" w14:textId="3C460540"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w:t>
      </w:r>
      <w:r w:rsidR="003D43ED">
        <w:rPr>
          <w:rFonts w:ascii="Times New Roman" w:eastAsia="仿宋_GB2312" w:hAnsi="Times New Roman" w:cs="Times New Roman" w:hint="eastAsia"/>
          <w:sz w:val="28"/>
          <w:szCs w:val="28"/>
        </w:rPr>
        <w:t>2</w:t>
      </w:r>
      <w:r w:rsidRPr="00F013CC">
        <w:rPr>
          <w:rFonts w:ascii="Times New Roman" w:eastAsia="仿宋_GB2312" w:hAnsi="Times New Roman" w:cs="Times New Roman"/>
          <w:sz w:val="28"/>
          <w:szCs w:val="28"/>
        </w:rPr>
        <w:t>年</w:t>
      </w:r>
      <w:r w:rsidR="003D43ED">
        <w:rPr>
          <w:rFonts w:ascii="Times New Roman" w:eastAsia="仿宋_GB2312" w:hAnsi="Times New Roman" w:cs="Times New Roman" w:hint="eastAsia"/>
          <w:sz w:val="28"/>
          <w:szCs w:val="28"/>
        </w:rPr>
        <w:t>12</w:t>
      </w:r>
      <w:r w:rsidRPr="00F013CC">
        <w:rPr>
          <w:rFonts w:ascii="Times New Roman" w:eastAsia="仿宋_GB2312" w:hAnsi="Times New Roman" w:cs="Times New Roman"/>
          <w:sz w:val="28"/>
          <w:szCs w:val="28"/>
        </w:rPr>
        <w:t>月</w:t>
      </w:r>
      <w:r w:rsidR="00D80936">
        <w:rPr>
          <w:rFonts w:ascii="Times New Roman" w:eastAsia="仿宋_GB2312" w:hAnsi="Times New Roman" w:cs="Times New Roman" w:hint="eastAsia"/>
          <w:sz w:val="28"/>
          <w:szCs w:val="28"/>
        </w:rPr>
        <w:t>-202</w:t>
      </w:r>
      <w:r w:rsidR="003B5801">
        <w:rPr>
          <w:rFonts w:ascii="Times New Roman" w:eastAsia="仿宋_GB2312" w:hAnsi="Times New Roman" w:cs="Times New Roman"/>
          <w:sz w:val="28"/>
          <w:szCs w:val="28"/>
        </w:rPr>
        <w:t>4</w:t>
      </w:r>
      <w:r w:rsidR="00D80936">
        <w:rPr>
          <w:rFonts w:ascii="Times New Roman" w:eastAsia="仿宋_GB2312" w:hAnsi="Times New Roman" w:cs="Times New Roman" w:hint="eastAsia"/>
          <w:sz w:val="28"/>
          <w:szCs w:val="28"/>
        </w:rPr>
        <w:t>年</w:t>
      </w:r>
      <w:r w:rsidR="003D43ED">
        <w:rPr>
          <w:rFonts w:ascii="Times New Roman" w:eastAsia="仿宋_GB2312" w:hAnsi="Times New Roman" w:cs="Times New Roman" w:hint="eastAsia"/>
          <w:sz w:val="28"/>
          <w:szCs w:val="28"/>
        </w:rPr>
        <w:t>3</w:t>
      </w:r>
      <w:r w:rsidR="00D80936">
        <w:rPr>
          <w:rFonts w:ascii="Times New Roman" w:eastAsia="仿宋_GB2312" w:hAnsi="Times New Roman" w:cs="Times New Roman" w:hint="eastAsia"/>
          <w:sz w:val="28"/>
          <w:szCs w:val="28"/>
        </w:rPr>
        <w:t>月</w:t>
      </w:r>
      <w:r w:rsidRPr="00F013CC">
        <w:rPr>
          <w:rFonts w:ascii="Times New Roman" w:eastAsia="仿宋_GB2312" w:hAnsi="Times New Roman" w:cs="Times New Roman"/>
          <w:sz w:val="28"/>
          <w:szCs w:val="28"/>
        </w:rPr>
        <w:t>：进行了起草标准的调研、问题分析和相关资料收集等准备工作，完成了标准制定提纲、标准草案</w:t>
      </w:r>
      <w:r w:rsidR="009B3F24" w:rsidRPr="00F013CC">
        <w:rPr>
          <w:rFonts w:ascii="Times New Roman" w:eastAsia="仿宋_GB2312" w:hAnsi="Times New Roman" w:cs="Times New Roman"/>
          <w:sz w:val="28"/>
          <w:szCs w:val="28"/>
        </w:rPr>
        <w:t>；</w:t>
      </w:r>
    </w:p>
    <w:p w14:paraId="405A1278" w14:textId="120E1A72" w:rsidR="00B532B9" w:rsidRDefault="0091577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872067">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月：召开</w:t>
      </w:r>
      <w:r w:rsidR="00EF5AC2" w:rsidRPr="005B1BC1">
        <w:rPr>
          <w:rFonts w:ascii="Times New Roman" w:eastAsia="仿宋_GB2312" w:hAnsi="Times New Roman" w:cs="Times New Roman"/>
          <w:sz w:val="28"/>
          <w:szCs w:val="28"/>
        </w:rPr>
        <w:t>标准</w:t>
      </w:r>
      <w:r w:rsidR="004C0884" w:rsidRPr="005B1BC1">
        <w:rPr>
          <w:rFonts w:ascii="Times New Roman" w:eastAsia="仿宋_GB2312" w:hAnsi="Times New Roman" w:cs="Times New Roman"/>
          <w:sz w:val="28"/>
          <w:szCs w:val="28"/>
        </w:rPr>
        <w:t>启动会，围绕标准草案进行讨论，并按照与会意见和建议作进一步修改</w:t>
      </w:r>
    </w:p>
    <w:p w14:paraId="58E33F0E" w14:textId="5E92FBE0" w:rsidR="00EF5AC2" w:rsidRPr="005B1BC1" w:rsidRDefault="00B532B9" w:rsidP="005B1BC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w:t>
      </w:r>
      <w:r w:rsidR="00872067">
        <w:rPr>
          <w:rFonts w:ascii="Times New Roman" w:eastAsia="仿宋_GB2312" w:hAnsi="Times New Roman" w:cs="Times New Roman"/>
          <w:sz w:val="28"/>
          <w:szCs w:val="28"/>
        </w:rPr>
        <w:t>5</w:t>
      </w:r>
      <w:bookmarkStart w:id="1" w:name="_GoBack"/>
      <w:bookmarkEnd w:id="1"/>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4C0884" w:rsidRPr="005B1BC1">
        <w:rPr>
          <w:rFonts w:ascii="Times New Roman" w:eastAsia="仿宋_GB2312" w:hAnsi="Times New Roman" w:cs="Times New Roman"/>
          <w:sz w:val="28"/>
          <w:szCs w:val="28"/>
        </w:rPr>
        <w:t>形成</w:t>
      </w:r>
      <w:r w:rsidR="00EF5AC2" w:rsidRPr="005B1BC1">
        <w:rPr>
          <w:rFonts w:ascii="Times New Roman" w:eastAsia="仿宋_GB2312" w:hAnsi="Times New Roman" w:cs="Times New Roman"/>
          <w:sz w:val="28"/>
          <w:szCs w:val="28"/>
        </w:rPr>
        <w:t>征求意见稿</w:t>
      </w:r>
      <w:r w:rsidR="004C0884" w:rsidRPr="005B1BC1">
        <w:rPr>
          <w:rFonts w:ascii="Times New Roman" w:eastAsia="仿宋_GB2312" w:hAnsi="Times New Roman" w:cs="Times New Roman"/>
          <w:sz w:val="28"/>
          <w:szCs w:val="28"/>
        </w:rPr>
        <w:t>，</w:t>
      </w:r>
      <w:r w:rsidR="00EF5AC2" w:rsidRPr="005B1BC1">
        <w:rPr>
          <w:rFonts w:ascii="Times New Roman" w:eastAsia="仿宋_GB2312" w:hAnsi="Times New Roman" w:cs="Times New Roman"/>
          <w:sz w:val="28"/>
          <w:szCs w:val="28"/>
        </w:rPr>
        <w:t>发出征求意见</w:t>
      </w:r>
      <w:r w:rsidR="009B3F24" w:rsidRPr="005B1BC1">
        <w:rPr>
          <w:rFonts w:ascii="Times New Roman" w:eastAsia="仿宋_GB2312" w:hAnsi="Times New Roman" w:cs="Times New Roman"/>
          <w:sz w:val="28"/>
          <w:szCs w:val="28"/>
        </w:rPr>
        <w:t>；</w:t>
      </w:r>
    </w:p>
    <w:p w14:paraId="20F6DF12" w14:textId="070EDB3B"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完成征求意见处理、形成标准送审稿；</w:t>
      </w:r>
    </w:p>
    <w:p w14:paraId="39D866FE" w14:textId="71866AF9"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完成该标准审定会和标准报批稿，上报中国特钢企业协会审批；</w:t>
      </w:r>
    </w:p>
    <w:p w14:paraId="3DF3F39E" w14:textId="6ED5B730"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68A26F08"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F013CC">
        <w:rPr>
          <w:rFonts w:ascii="Times New Roman" w:eastAsia="仿宋_GB2312" w:hAnsi="Times New Roman" w:cs="Times New Roman"/>
          <w:sz w:val="28"/>
          <w:szCs w:val="28"/>
        </w:rPr>
        <w:t>二是充分考虑</w:t>
      </w:r>
      <w:r w:rsidR="003D43ED">
        <w:rPr>
          <w:rFonts w:ascii="Times New Roman" w:eastAsia="仿宋_GB2312" w:hAnsi="Times New Roman" w:cs="Times New Roman"/>
          <w:sz w:val="28"/>
          <w:szCs w:val="28"/>
        </w:rPr>
        <w:t>高电阻电热合金盘条</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lastRenderedPageBreak/>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720BADA7" w:rsidR="005A6F0A" w:rsidRPr="00F013CC" w:rsidRDefault="003B5801" w:rsidP="005A6F0A">
      <w:pPr>
        <w:spacing w:line="360" w:lineRule="auto"/>
        <w:ind w:firstLineChars="200" w:firstLine="560"/>
        <w:rPr>
          <w:rFonts w:ascii="Times New Roman" w:eastAsia="仿宋_GB2312" w:hAnsi="Times New Roman" w:cs="Times New Roman"/>
          <w:sz w:val="28"/>
          <w:szCs w:val="28"/>
        </w:rPr>
      </w:pPr>
      <w:r w:rsidRPr="003B5801">
        <w:rPr>
          <w:rFonts w:ascii="Times New Roman" w:eastAsia="仿宋_GB2312" w:hAnsi="Times New Roman" w:cs="Times New Roman" w:hint="eastAsia"/>
          <w:sz w:val="28"/>
          <w:szCs w:val="28"/>
        </w:rPr>
        <w:t>本文件规定了</w:t>
      </w:r>
      <w:r w:rsidR="003D43ED">
        <w:rPr>
          <w:rFonts w:ascii="Times New Roman" w:eastAsia="仿宋_GB2312" w:hAnsi="Times New Roman" w:cs="Times New Roman" w:hint="eastAsia"/>
          <w:sz w:val="28"/>
          <w:szCs w:val="28"/>
        </w:rPr>
        <w:t>高电阻电热合金盘条</w:t>
      </w:r>
      <w:r w:rsidRPr="003B5801">
        <w:rPr>
          <w:rFonts w:ascii="Times New Roman" w:eastAsia="仿宋_GB2312" w:hAnsi="Times New Roman" w:cs="Times New Roman" w:hint="eastAsia"/>
          <w:sz w:val="28"/>
          <w:szCs w:val="28"/>
        </w:rPr>
        <w:t>的</w:t>
      </w:r>
      <w:r w:rsidR="001F048F" w:rsidRPr="001F048F">
        <w:rPr>
          <w:rFonts w:ascii="Times New Roman" w:eastAsia="仿宋_GB2312" w:hAnsi="Times New Roman" w:cs="Times New Roman" w:hint="eastAsia"/>
          <w:sz w:val="28"/>
          <w:szCs w:val="28"/>
        </w:rPr>
        <w:t>订货内容、尺寸、外形、重量、技术要求、试验方法、检验规则、包装、标志和质量证明书</w:t>
      </w:r>
      <w:r w:rsidRPr="003B5801">
        <w:rPr>
          <w:rFonts w:ascii="Times New Roman" w:eastAsia="仿宋_GB2312" w:hAnsi="Times New Roman" w:cs="Times New Roman" w:hint="eastAsia"/>
          <w:sz w:val="28"/>
          <w:szCs w:val="28"/>
        </w:rPr>
        <w:t>。</w:t>
      </w:r>
    </w:p>
    <w:p w14:paraId="5457F379" w14:textId="2C52A2A9"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（二）适用范围</w:t>
      </w:r>
    </w:p>
    <w:p w14:paraId="4D244AAA" w14:textId="204F5285" w:rsidR="009B638E" w:rsidRDefault="001F048F" w:rsidP="005A6F0A">
      <w:pPr>
        <w:spacing w:line="360" w:lineRule="auto"/>
        <w:ind w:firstLineChars="200" w:firstLine="560"/>
        <w:rPr>
          <w:rFonts w:ascii="Times New Roman" w:eastAsia="仿宋_GB2312" w:hAnsi="Times New Roman" w:cs="Times New Roman"/>
          <w:sz w:val="28"/>
          <w:szCs w:val="28"/>
        </w:rPr>
      </w:pPr>
      <w:r w:rsidRPr="001F048F">
        <w:rPr>
          <w:rFonts w:ascii="Times New Roman" w:eastAsia="仿宋_GB2312" w:hAnsi="Times New Roman" w:cs="Times New Roman" w:hint="eastAsia"/>
          <w:sz w:val="28"/>
          <w:szCs w:val="28"/>
        </w:rPr>
        <w:t>本文件适用于制造各种电加热元件和一般电阻元件用，公称直径</w:t>
      </w:r>
      <w:r w:rsidRPr="001F048F">
        <w:rPr>
          <w:rFonts w:ascii="Times New Roman" w:eastAsia="仿宋_GB2312" w:hAnsi="Times New Roman" w:cs="Times New Roman" w:hint="eastAsia"/>
          <w:sz w:val="28"/>
          <w:szCs w:val="28"/>
        </w:rPr>
        <w:t>5.5mm~12.0mm</w:t>
      </w:r>
      <w:r w:rsidRPr="001F048F">
        <w:rPr>
          <w:rFonts w:ascii="Times New Roman" w:eastAsia="仿宋_GB2312" w:hAnsi="Times New Roman" w:cs="Times New Roman" w:hint="eastAsia"/>
          <w:sz w:val="28"/>
          <w:szCs w:val="28"/>
        </w:rPr>
        <w:t>的镍铬、镍铬铁和铁铬铝高电阻电热合金盘条（以下简称盘条）</w:t>
      </w:r>
      <w:r w:rsidR="00D9534D" w:rsidRPr="00D9534D">
        <w:rPr>
          <w:rFonts w:ascii="Times New Roman" w:eastAsia="仿宋_GB2312" w:hAnsi="Times New Roman" w:cs="Times New Roman" w:hint="eastAsia"/>
          <w:sz w:val="28"/>
          <w:szCs w:val="28"/>
        </w:rPr>
        <w:t>。</w:t>
      </w:r>
    </w:p>
    <w:p w14:paraId="289AC810" w14:textId="6762B65C" w:rsidR="008A40DB" w:rsidRDefault="005A6F0A" w:rsidP="007546B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（三）</w:t>
      </w:r>
      <w:r w:rsidR="008A40DB">
        <w:rPr>
          <w:rFonts w:ascii="Times New Roman" w:eastAsia="仿宋_GB2312" w:hAnsi="Times New Roman" w:cs="Times New Roman"/>
          <w:sz w:val="28"/>
          <w:szCs w:val="28"/>
        </w:rPr>
        <w:t>订货内容</w:t>
      </w:r>
    </w:p>
    <w:p w14:paraId="58D01D02" w14:textId="5A67CBCD" w:rsidR="0069262A" w:rsidRDefault="00BD082B" w:rsidP="001F048F">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003A1B45" w:rsidRPr="003A1B45">
        <w:rPr>
          <w:rFonts w:ascii="Times New Roman" w:eastAsia="仿宋_GB2312" w:hAnsi="Times New Roman" w:cs="Times New Roman" w:hint="eastAsia"/>
          <w:sz w:val="28"/>
          <w:szCs w:val="28"/>
        </w:rPr>
        <w:t>产品名称</w:t>
      </w:r>
      <w:r w:rsidR="003A1B45">
        <w:rPr>
          <w:rFonts w:ascii="Times New Roman" w:eastAsia="仿宋_GB2312" w:hAnsi="Times New Roman" w:cs="Times New Roman" w:hint="eastAsia"/>
          <w:sz w:val="28"/>
          <w:szCs w:val="28"/>
        </w:rPr>
        <w:t>、</w:t>
      </w:r>
      <w:r w:rsidR="003A1B45" w:rsidRPr="003A1B45">
        <w:rPr>
          <w:rFonts w:ascii="Times New Roman" w:eastAsia="仿宋_GB2312" w:hAnsi="Times New Roman" w:cs="Times New Roman" w:hint="eastAsia"/>
          <w:sz w:val="28"/>
          <w:szCs w:val="28"/>
        </w:rPr>
        <w:t>本文件编号</w:t>
      </w:r>
      <w:r w:rsidR="003A1B45">
        <w:rPr>
          <w:rFonts w:ascii="Times New Roman" w:eastAsia="仿宋_GB2312" w:hAnsi="Times New Roman" w:cs="Times New Roman" w:hint="eastAsia"/>
          <w:sz w:val="28"/>
          <w:szCs w:val="28"/>
        </w:rPr>
        <w:t>、</w:t>
      </w:r>
      <w:r w:rsidR="003A1B45" w:rsidRPr="003A1B45">
        <w:rPr>
          <w:rFonts w:ascii="Times New Roman" w:eastAsia="仿宋_GB2312" w:hAnsi="Times New Roman" w:cs="Times New Roman" w:hint="eastAsia"/>
          <w:sz w:val="28"/>
          <w:szCs w:val="28"/>
        </w:rPr>
        <w:t>牌号</w:t>
      </w:r>
      <w:r w:rsidR="00530E30">
        <w:rPr>
          <w:rFonts w:ascii="Times New Roman" w:eastAsia="仿宋_GB2312" w:hAnsi="Times New Roman" w:cs="Times New Roman" w:hint="eastAsia"/>
          <w:sz w:val="28"/>
          <w:szCs w:val="28"/>
        </w:rPr>
        <w:t>、</w:t>
      </w:r>
      <w:r w:rsidR="001F048F" w:rsidRPr="001F048F">
        <w:rPr>
          <w:rFonts w:ascii="Times New Roman" w:eastAsia="仿宋_GB2312" w:hAnsi="Times New Roman" w:cs="Times New Roman" w:hint="eastAsia"/>
          <w:sz w:val="28"/>
          <w:szCs w:val="28"/>
        </w:rPr>
        <w:t>尺寸及精度</w:t>
      </w:r>
      <w:r w:rsidR="001F048F">
        <w:rPr>
          <w:rFonts w:ascii="Times New Roman" w:eastAsia="仿宋_GB2312" w:hAnsi="Times New Roman" w:cs="Times New Roman" w:hint="eastAsia"/>
          <w:sz w:val="28"/>
          <w:szCs w:val="28"/>
        </w:rPr>
        <w:t>、</w:t>
      </w:r>
      <w:r w:rsidR="001F048F" w:rsidRPr="001F048F">
        <w:rPr>
          <w:rFonts w:ascii="Times New Roman" w:eastAsia="仿宋_GB2312" w:hAnsi="Times New Roman" w:cs="Times New Roman" w:hint="eastAsia"/>
          <w:sz w:val="28"/>
          <w:szCs w:val="28"/>
        </w:rPr>
        <w:t>重量</w:t>
      </w:r>
      <w:r w:rsidR="001F048F">
        <w:rPr>
          <w:rFonts w:ascii="Times New Roman" w:eastAsia="仿宋_GB2312" w:hAnsi="Times New Roman" w:cs="Times New Roman" w:hint="eastAsia"/>
          <w:sz w:val="28"/>
          <w:szCs w:val="28"/>
        </w:rPr>
        <w:t>、</w:t>
      </w:r>
      <w:r w:rsidR="001F048F" w:rsidRPr="001F048F">
        <w:rPr>
          <w:rFonts w:ascii="Times New Roman" w:eastAsia="仿宋_GB2312" w:hAnsi="Times New Roman" w:cs="Times New Roman" w:hint="eastAsia"/>
          <w:sz w:val="28"/>
          <w:szCs w:val="28"/>
        </w:rPr>
        <w:t>交货状态</w:t>
      </w:r>
      <w:r w:rsidR="001F048F">
        <w:rPr>
          <w:rFonts w:ascii="Times New Roman" w:eastAsia="仿宋_GB2312" w:hAnsi="Times New Roman" w:cs="Times New Roman" w:hint="eastAsia"/>
          <w:sz w:val="28"/>
          <w:szCs w:val="28"/>
        </w:rPr>
        <w:t>、</w:t>
      </w:r>
      <w:r w:rsidR="001F048F" w:rsidRPr="001F048F">
        <w:rPr>
          <w:rFonts w:ascii="Times New Roman" w:eastAsia="仿宋_GB2312" w:hAnsi="Times New Roman" w:cs="Times New Roman" w:hint="eastAsia"/>
          <w:sz w:val="28"/>
          <w:szCs w:val="28"/>
        </w:rPr>
        <w:t>特殊要求。</w:t>
      </w:r>
    </w:p>
    <w:p w14:paraId="7966F033" w14:textId="4B74E183"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477322">
        <w:rPr>
          <w:rFonts w:ascii="Times New Roman" w:eastAsia="仿宋_GB2312" w:hAnsi="Times New Roman" w:cs="Times New Roman" w:hint="eastAsia"/>
          <w:sz w:val="28"/>
          <w:szCs w:val="28"/>
        </w:rPr>
        <w:t>四</w:t>
      </w:r>
      <w:r w:rsidRPr="00F013CC">
        <w:rPr>
          <w:rFonts w:ascii="Times New Roman" w:eastAsia="仿宋_GB2312" w:hAnsi="Times New Roman" w:cs="Times New Roman"/>
          <w:sz w:val="28"/>
          <w:szCs w:val="28"/>
        </w:rPr>
        <w:t>）</w:t>
      </w:r>
      <w:r w:rsidR="00940E50" w:rsidRPr="00F013CC">
        <w:rPr>
          <w:rFonts w:ascii="Times New Roman" w:eastAsia="仿宋_GB2312" w:hAnsi="Times New Roman" w:cs="Times New Roman"/>
          <w:sz w:val="28"/>
          <w:szCs w:val="28"/>
        </w:rPr>
        <w:t>尺寸、外形、重量</w:t>
      </w:r>
    </w:p>
    <w:p w14:paraId="4868B49B" w14:textId="6C83E585" w:rsidR="00530E30" w:rsidRDefault="00530E30" w:rsidP="003A1B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 </w:t>
      </w:r>
      <w:r w:rsidR="00F31359">
        <w:rPr>
          <w:rFonts w:ascii="Times New Roman" w:eastAsia="仿宋_GB2312" w:hAnsi="Times New Roman" w:cs="Times New Roman" w:hint="eastAsia"/>
          <w:sz w:val="28"/>
          <w:szCs w:val="28"/>
        </w:rPr>
        <w:t>尺寸</w:t>
      </w:r>
    </w:p>
    <w:p w14:paraId="3AC7831A" w14:textId="77777777" w:rsidR="00997722" w:rsidRDefault="00997722" w:rsidP="003A1B45">
      <w:pPr>
        <w:spacing w:line="360" w:lineRule="auto"/>
        <w:ind w:firstLineChars="200" w:firstLine="560"/>
        <w:rPr>
          <w:rFonts w:ascii="Times New Roman" w:eastAsia="仿宋_GB2312" w:hAnsi="Times New Roman" w:cs="Times New Roman"/>
          <w:sz w:val="28"/>
          <w:szCs w:val="28"/>
        </w:rPr>
      </w:pPr>
      <w:r w:rsidRPr="00997722">
        <w:rPr>
          <w:rFonts w:ascii="Times New Roman" w:eastAsia="仿宋_GB2312" w:hAnsi="Times New Roman" w:cs="Times New Roman" w:hint="eastAsia"/>
          <w:sz w:val="28"/>
          <w:szCs w:val="28"/>
        </w:rPr>
        <w:t>盘条的直径允许偏差为±</w:t>
      </w:r>
      <w:r w:rsidRPr="00997722">
        <w:rPr>
          <w:rFonts w:ascii="Times New Roman" w:eastAsia="仿宋_GB2312" w:hAnsi="Times New Roman" w:cs="Times New Roman" w:hint="eastAsia"/>
          <w:sz w:val="28"/>
          <w:szCs w:val="28"/>
        </w:rPr>
        <w:t>0.40mm</w:t>
      </w:r>
      <w:r w:rsidRPr="00997722">
        <w:rPr>
          <w:rFonts w:ascii="Times New Roman" w:eastAsia="仿宋_GB2312" w:hAnsi="Times New Roman" w:cs="Times New Roman" w:hint="eastAsia"/>
          <w:sz w:val="28"/>
          <w:szCs w:val="28"/>
        </w:rPr>
        <w:t>。经供需双方协商，并在合同中注明，也可提供其他尺寸允许偏差的盘条。</w:t>
      </w:r>
    </w:p>
    <w:p w14:paraId="1CA77766" w14:textId="22AB8AFC" w:rsidR="00997722" w:rsidRDefault="00997722" w:rsidP="003A1B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hint="eastAsia"/>
          <w:sz w:val="28"/>
          <w:szCs w:val="28"/>
        </w:rPr>
        <w:t>GB/T 1234-2012</w:t>
      </w:r>
      <w:r>
        <w:rPr>
          <w:rFonts w:ascii="Times New Roman" w:eastAsia="仿宋_GB2312" w:hAnsi="Times New Roman" w:cs="Times New Roman" w:hint="eastAsia"/>
          <w:sz w:val="28"/>
          <w:szCs w:val="28"/>
        </w:rPr>
        <w:t>保持一致。</w:t>
      </w:r>
    </w:p>
    <w:p w14:paraId="525B5646" w14:textId="54035214" w:rsidR="00997722" w:rsidRDefault="00997722" w:rsidP="003A1B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不圆度</w:t>
      </w:r>
    </w:p>
    <w:p w14:paraId="60F7A272" w14:textId="09CF103E" w:rsidR="00997722" w:rsidRDefault="00997722" w:rsidP="003A1B45">
      <w:pPr>
        <w:spacing w:line="360" w:lineRule="auto"/>
        <w:ind w:firstLineChars="200" w:firstLine="560"/>
        <w:rPr>
          <w:rFonts w:ascii="Times New Roman" w:eastAsia="仿宋_GB2312" w:hAnsi="Times New Roman" w:cs="Times New Roman"/>
          <w:sz w:val="28"/>
          <w:szCs w:val="28"/>
        </w:rPr>
      </w:pPr>
      <w:r w:rsidRPr="00997722">
        <w:rPr>
          <w:rFonts w:ascii="Times New Roman" w:eastAsia="仿宋_GB2312" w:hAnsi="Times New Roman" w:cs="Times New Roman" w:hint="eastAsia"/>
          <w:sz w:val="28"/>
          <w:szCs w:val="28"/>
        </w:rPr>
        <w:t>盘条的不圆度应不超过直径公差的</w:t>
      </w:r>
      <w:r w:rsidRPr="00997722">
        <w:rPr>
          <w:rFonts w:ascii="Times New Roman" w:eastAsia="仿宋_GB2312" w:hAnsi="Times New Roman" w:cs="Times New Roman" w:hint="eastAsia"/>
          <w:sz w:val="28"/>
          <w:szCs w:val="28"/>
        </w:rPr>
        <w:t>80%</w:t>
      </w:r>
      <w:r w:rsidRPr="00997722">
        <w:rPr>
          <w:rFonts w:ascii="Times New Roman" w:eastAsia="仿宋_GB2312" w:hAnsi="Times New Roman" w:cs="Times New Roman" w:hint="eastAsia"/>
          <w:sz w:val="28"/>
          <w:szCs w:val="28"/>
        </w:rPr>
        <w:t>。</w:t>
      </w:r>
    </w:p>
    <w:p w14:paraId="385B2516" w14:textId="5BD3ADE4" w:rsidR="00997722" w:rsidRDefault="00997722" w:rsidP="003A1B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不圆度为本标准比国标新增的技术指标。</w:t>
      </w:r>
    </w:p>
    <w:p w14:paraId="668801ED" w14:textId="77777777" w:rsidR="00925291" w:rsidRDefault="00925291" w:rsidP="003A1B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3. </w:t>
      </w:r>
      <w:r>
        <w:rPr>
          <w:rFonts w:ascii="Times New Roman" w:eastAsia="仿宋_GB2312" w:hAnsi="Times New Roman" w:cs="Times New Roman" w:hint="eastAsia"/>
          <w:sz w:val="28"/>
          <w:szCs w:val="28"/>
        </w:rPr>
        <w:t>重量</w:t>
      </w:r>
    </w:p>
    <w:p w14:paraId="0AF940D1" w14:textId="454AED8D" w:rsidR="00997722" w:rsidRDefault="00925291" w:rsidP="003A1B45">
      <w:pPr>
        <w:spacing w:line="360" w:lineRule="auto"/>
        <w:ind w:firstLineChars="200" w:firstLine="560"/>
        <w:rPr>
          <w:rFonts w:ascii="Times New Roman" w:eastAsia="仿宋_GB2312" w:hAnsi="Times New Roman" w:cs="Times New Roman"/>
          <w:sz w:val="28"/>
          <w:szCs w:val="28"/>
        </w:rPr>
      </w:pPr>
      <w:r w:rsidRPr="00925291">
        <w:rPr>
          <w:rFonts w:ascii="Times New Roman" w:eastAsia="仿宋_GB2312" w:hAnsi="Times New Roman" w:cs="Times New Roman" w:hint="eastAsia"/>
          <w:sz w:val="28"/>
          <w:szCs w:val="28"/>
        </w:rPr>
        <w:lastRenderedPageBreak/>
        <w:t>盘条</w:t>
      </w:r>
      <w:r w:rsidRPr="00925291">
        <w:rPr>
          <w:rFonts w:ascii="Times New Roman" w:eastAsia="仿宋_GB2312" w:hAnsi="Times New Roman" w:cs="Times New Roman"/>
          <w:sz w:val="28"/>
          <w:szCs w:val="28"/>
        </w:rPr>
        <w:t>按</w:t>
      </w:r>
      <w:r w:rsidRPr="00925291">
        <w:rPr>
          <w:rFonts w:ascii="Times New Roman" w:eastAsia="仿宋_GB2312" w:hAnsi="Times New Roman" w:cs="Times New Roman" w:hint="eastAsia"/>
          <w:sz w:val="28"/>
          <w:szCs w:val="28"/>
        </w:rPr>
        <w:t>实际重量</w:t>
      </w:r>
      <w:r w:rsidRPr="00925291">
        <w:rPr>
          <w:rFonts w:ascii="Times New Roman" w:eastAsia="仿宋_GB2312" w:hAnsi="Times New Roman" w:cs="Times New Roman"/>
          <w:sz w:val="28"/>
          <w:szCs w:val="28"/>
        </w:rPr>
        <w:t>交货。</w:t>
      </w:r>
      <w:r w:rsidRPr="00925291">
        <w:rPr>
          <w:rFonts w:ascii="Times New Roman" w:eastAsia="仿宋_GB2312" w:hAnsi="Times New Roman" w:cs="Times New Roman" w:hint="eastAsia"/>
          <w:sz w:val="28"/>
          <w:szCs w:val="28"/>
        </w:rPr>
        <w:t>每卷盘条</w:t>
      </w:r>
      <w:r w:rsidRPr="00925291">
        <w:rPr>
          <w:rFonts w:ascii="Times New Roman" w:eastAsia="仿宋_GB2312" w:hAnsi="Times New Roman" w:cs="Times New Roman"/>
          <w:sz w:val="28"/>
          <w:szCs w:val="28"/>
        </w:rPr>
        <w:t>由一根组成，盘条重量应不</w:t>
      </w:r>
      <w:r w:rsidRPr="00925291">
        <w:rPr>
          <w:rFonts w:ascii="Times New Roman" w:eastAsia="仿宋_GB2312" w:hAnsi="Times New Roman" w:cs="Times New Roman" w:hint="eastAsia"/>
          <w:sz w:val="28"/>
          <w:szCs w:val="28"/>
        </w:rPr>
        <w:t>小于</w:t>
      </w:r>
      <w:r w:rsidRPr="00925291">
        <w:rPr>
          <w:rFonts w:ascii="Times New Roman" w:eastAsia="仿宋_GB2312" w:hAnsi="Times New Roman" w:cs="Times New Roman"/>
          <w:sz w:val="28"/>
          <w:szCs w:val="28"/>
        </w:rPr>
        <w:t>30kg</w:t>
      </w:r>
      <w:r w:rsidRPr="00925291">
        <w:rPr>
          <w:rFonts w:ascii="Times New Roman" w:eastAsia="仿宋_GB2312" w:hAnsi="Times New Roman" w:cs="Times New Roman" w:hint="eastAsia"/>
          <w:sz w:val="28"/>
          <w:szCs w:val="28"/>
        </w:rPr>
        <w:t>。</w:t>
      </w:r>
    </w:p>
    <w:p w14:paraId="633C5918" w14:textId="56DC03E5"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925291">
        <w:rPr>
          <w:rFonts w:ascii="Times New Roman" w:eastAsia="仿宋_GB2312" w:hAnsi="Times New Roman" w:cs="Times New Roman" w:hint="eastAsia"/>
          <w:sz w:val="28"/>
          <w:szCs w:val="28"/>
        </w:rPr>
        <w:t>五</w:t>
      </w:r>
      <w:r w:rsidRPr="00F013CC">
        <w:rPr>
          <w:rFonts w:ascii="Times New Roman" w:eastAsia="仿宋_GB2312" w:hAnsi="Times New Roman" w:cs="Times New Roman"/>
          <w:sz w:val="28"/>
          <w:szCs w:val="28"/>
        </w:rPr>
        <w:t>）</w:t>
      </w:r>
      <w:r w:rsidR="00D8029F" w:rsidRPr="00F013CC">
        <w:rPr>
          <w:rFonts w:ascii="Times New Roman" w:eastAsia="仿宋_GB2312" w:hAnsi="Times New Roman" w:cs="Times New Roman"/>
          <w:sz w:val="28"/>
          <w:szCs w:val="28"/>
        </w:rPr>
        <w:t>技术要求</w:t>
      </w:r>
    </w:p>
    <w:p w14:paraId="56B22527" w14:textId="76F9ADF0" w:rsidR="00BD082B" w:rsidRDefault="00C529A9"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30F6A">
        <w:rPr>
          <w:rFonts w:ascii="Times New Roman" w:eastAsia="仿宋_GB2312" w:hAnsi="Times New Roman" w:cs="Times New Roman"/>
          <w:sz w:val="28"/>
          <w:szCs w:val="28"/>
        </w:rPr>
        <w:t xml:space="preserve"> </w:t>
      </w:r>
      <w:r w:rsidR="00BD082B">
        <w:rPr>
          <w:rFonts w:ascii="Times New Roman" w:eastAsia="仿宋_GB2312" w:hAnsi="Times New Roman" w:cs="Times New Roman" w:hint="eastAsia"/>
          <w:sz w:val="28"/>
          <w:szCs w:val="28"/>
        </w:rPr>
        <w:t>牌号</w:t>
      </w:r>
      <w:r w:rsidR="00BD082B">
        <w:rPr>
          <w:rFonts w:ascii="Times New Roman" w:eastAsia="仿宋_GB2312" w:hAnsi="Times New Roman" w:cs="Times New Roman"/>
          <w:sz w:val="28"/>
          <w:szCs w:val="28"/>
        </w:rPr>
        <w:t>和化学成分</w:t>
      </w:r>
    </w:p>
    <w:p w14:paraId="40410912" w14:textId="47382B1F" w:rsidR="00307891" w:rsidRDefault="00925291" w:rsidP="00925291">
      <w:pPr>
        <w:spacing w:line="360" w:lineRule="auto"/>
        <w:ind w:firstLineChars="200" w:firstLine="560"/>
        <w:rPr>
          <w:rFonts w:ascii="Times New Roman" w:eastAsia="仿宋_GB2312" w:hAnsi="Times New Roman" w:cs="Times New Roman"/>
          <w:sz w:val="28"/>
          <w:szCs w:val="28"/>
        </w:rPr>
      </w:pPr>
      <w:r w:rsidRPr="00925291">
        <w:rPr>
          <w:rFonts w:ascii="Times New Roman" w:eastAsia="仿宋_GB2312" w:hAnsi="Times New Roman" w:cs="Times New Roman" w:hint="eastAsia"/>
          <w:sz w:val="28"/>
          <w:szCs w:val="28"/>
        </w:rPr>
        <w:t>盘条的牌号和化学成分应符合表</w:t>
      </w:r>
      <w:r w:rsidRPr="00925291">
        <w:rPr>
          <w:rFonts w:ascii="Times New Roman" w:eastAsia="仿宋_GB2312" w:hAnsi="Times New Roman" w:cs="Times New Roman" w:hint="eastAsia"/>
          <w:sz w:val="28"/>
          <w:szCs w:val="28"/>
        </w:rPr>
        <w:t>1</w:t>
      </w:r>
      <w:r w:rsidRPr="00925291">
        <w:rPr>
          <w:rFonts w:ascii="Times New Roman" w:eastAsia="仿宋_GB2312" w:hAnsi="Times New Roman" w:cs="Times New Roman" w:hint="eastAsia"/>
          <w:sz w:val="28"/>
          <w:szCs w:val="28"/>
        </w:rPr>
        <w:t>的规定。在保证合金性能符合本文件要求的条件下，可以对合金成分范围进行适当调整。为了改善合金性能，允许在合金中添加适量稀土元素及其他元素。经供需双方协商，并在合同中注明，可供应其他牌号和化学成分的盘条。</w:t>
      </w:r>
    </w:p>
    <w:p w14:paraId="003007DB" w14:textId="5FAB522B" w:rsidR="00925291" w:rsidRDefault="00925291" w:rsidP="0092529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sidRPr="00925291">
        <w:rPr>
          <w:rFonts w:ascii="Times New Roman" w:eastAsia="仿宋_GB2312" w:hAnsi="Times New Roman" w:cs="Times New Roman"/>
          <w:sz w:val="28"/>
          <w:szCs w:val="28"/>
        </w:rPr>
        <w:t>GB/T 1234-2012</w:t>
      </w:r>
      <w:r>
        <w:rPr>
          <w:rFonts w:ascii="Times New Roman" w:eastAsia="仿宋_GB2312" w:hAnsi="Times New Roman" w:cs="Times New Roman" w:hint="eastAsia"/>
          <w:sz w:val="28"/>
          <w:szCs w:val="28"/>
        </w:rPr>
        <w:t>相比，团标牌号与国标相同，同牌号的化学成分</w:t>
      </w:r>
      <w:r>
        <w:rPr>
          <w:rFonts w:ascii="Times New Roman" w:eastAsia="仿宋_GB2312" w:hAnsi="Times New Roman" w:cs="Times New Roman" w:hint="eastAsia"/>
          <w:sz w:val="28"/>
          <w:szCs w:val="28"/>
        </w:rPr>
        <w:t>C</w:t>
      </w:r>
      <w:r>
        <w:rPr>
          <w:rFonts w:ascii="Times New Roman" w:eastAsia="仿宋_GB2312" w:hAnsi="Times New Roman" w:cs="Times New Roman" w:hint="eastAsia"/>
          <w:sz w:val="28"/>
          <w:szCs w:val="28"/>
        </w:rPr>
        <w:t>含量控制适当加严，加严了</w:t>
      </w:r>
      <w:r>
        <w:rPr>
          <w:rFonts w:ascii="Times New Roman" w:eastAsia="仿宋_GB2312" w:hAnsi="Times New Roman" w:cs="Times New Roman" w:hint="eastAsia"/>
          <w:sz w:val="28"/>
          <w:szCs w:val="28"/>
        </w:rPr>
        <w:t>P</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S</w:t>
      </w:r>
      <w:r>
        <w:rPr>
          <w:rFonts w:ascii="Times New Roman" w:eastAsia="仿宋_GB2312" w:hAnsi="Times New Roman" w:cs="Times New Roman" w:hint="eastAsia"/>
          <w:sz w:val="28"/>
          <w:szCs w:val="28"/>
        </w:rPr>
        <w:t>残余元素要求，其他化学成分要求与国标保持一致。</w:t>
      </w:r>
    </w:p>
    <w:p w14:paraId="1A844A35" w14:textId="6B6403FB" w:rsidR="00C529A9" w:rsidRDefault="00C529A9"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630F6A">
        <w:rPr>
          <w:rFonts w:ascii="Times New Roman" w:eastAsia="仿宋_GB2312" w:hAnsi="Times New Roman" w:cs="Times New Roman"/>
          <w:sz w:val="28"/>
          <w:szCs w:val="28"/>
        </w:rPr>
        <w:t xml:space="preserve"> </w:t>
      </w:r>
      <w:r w:rsidR="007B377E" w:rsidRPr="00F013CC">
        <w:rPr>
          <w:rFonts w:ascii="Times New Roman" w:eastAsia="仿宋_GB2312" w:hAnsi="Times New Roman" w:cs="Times New Roman"/>
          <w:sz w:val="28"/>
          <w:szCs w:val="28"/>
        </w:rPr>
        <w:t>冶炼方法</w:t>
      </w:r>
    </w:p>
    <w:p w14:paraId="1B92B5C2" w14:textId="3081AABD" w:rsidR="007B377E" w:rsidRPr="00F013CC" w:rsidRDefault="00F72017" w:rsidP="00770A8C">
      <w:pPr>
        <w:spacing w:line="360" w:lineRule="auto"/>
        <w:ind w:firstLineChars="200" w:firstLine="560"/>
        <w:rPr>
          <w:rFonts w:ascii="Times New Roman" w:eastAsia="仿宋_GB2312" w:hAnsi="Times New Roman" w:cs="Times New Roman"/>
          <w:sz w:val="28"/>
          <w:szCs w:val="28"/>
        </w:rPr>
      </w:pPr>
      <w:r w:rsidRPr="00F72017">
        <w:rPr>
          <w:rFonts w:ascii="Times New Roman" w:eastAsia="仿宋_GB2312" w:hAnsi="Times New Roman" w:cs="Times New Roman" w:hint="eastAsia"/>
          <w:sz w:val="28"/>
          <w:szCs w:val="28"/>
        </w:rPr>
        <w:t>除非需方有特殊要求，冶炼方法由供方选择</w:t>
      </w:r>
      <w:r w:rsidR="008B4C59" w:rsidRPr="008B4C59">
        <w:rPr>
          <w:rFonts w:ascii="Times New Roman" w:eastAsia="仿宋_GB2312" w:hAnsi="Times New Roman" w:cs="Times New Roman" w:hint="eastAsia"/>
          <w:sz w:val="28"/>
          <w:szCs w:val="28"/>
        </w:rPr>
        <w:t>。</w:t>
      </w:r>
    </w:p>
    <w:p w14:paraId="041B7F47" w14:textId="5516EBE1" w:rsidR="00C529A9" w:rsidRDefault="00C529A9"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630F6A">
        <w:rPr>
          <w:rFonts w:ascii="Times New Roman" w:eastAsia="仿宋_GB2312" w:hAnsi="Times New Roman" w:cs="Times New Roman"/>
          <w:sz w:val="28"/>
          <w:szCs w:val="28"/>
        </w:rPr>
        <w:t xml:space="preserve"> </w:t>
      </w:r>
      <w:r w:rsidR="00BC665E" w:rsidRPr="00F013CC">
        <w:rPr>
          <w:rFonts w:ascii="Times New Roman" w:eastAsia="仿宋_GB2312" w:hAnsi="Times New Roman" w:cs="Times New Roman"/>
          <w:sz w:val="28"/>
          <w:szCs w:val="28"/>
        </w:rPr>
        <w:t>交货</w:t>
      </w:r>
      <w:r>
        <w:rPr>
          <w:rFonts w:ascii="Times New Roman" w:eastAsia="仿宋_GB2312" w:hAnsi="Times New Roman" w:cs="Times New Roman" w:hint="eastAsia"/>
          <w:sz w:val="28"/>
          <w:szCs w:val="28"/>
        </w:rPr>
        <w:t>状态</w:t>
      </w:r>
    </w:p>
    <w:p w14:paraId="331EB21D" w14:textId="19888BCD" w:rsidR="00C529A9" w:rsidRDefault="00F72017" w:rsidP="005A6F0A">
      <w:pPr>
        <w:spacing w:line="360" w:lineRule="auto"/>
        <w:ind w:firstLineChars="200" w:firstLine="560"/>
        <w:rPr>
          <w:rFonts w:ascii="Times New Roman" w:eastAsia="仿宋_GB2312" w:hAnsi="Times New Roman" w:cs="Times New Roman"/>
          <w:sz w:val="28"/>
          <w:szCs w:val="28"/>
        </w:rPr>
      </w:pPr>
      <w:r w:rsidRPr="00F72017">
        <w:rPr>
          <w:rFonts w:ascii="Times New Roman" w:eastAsia="仿宋_GB2312" w:hAnsi="Times New Roman" w:cs="Times New Roman" w:hint="eastAsia"/>
          <w:sz w:val="28"/>
          <w:szCs w:val="28"/>
        </w:rPr>
        <w:t>盘条以退火、退火加酸洗、退火加磨光或车削、光亮退火、固溶热处理状态交货</w:t>
      </w:r>
      <w:r w:rsidR="00432E80" w:rsidRPr="00432E80">
        <w:rPr>
          <w:rFonts w:ascii="Times New Roman" w:eastAsia="仿宋_GB2312" w:hAnsi="Times New Roman" w:cs="Times New Roman" w:hint="eastAsia"/>
          <w:sz w:val="28"/>
          <w:szCs w:val="28"/>
        </w:rPr>
        <w:t>。</w:t>
      </w:r>
    </w:p>
    <w:p w14:paraId="6668345B" w14:textId="50D5CE53" w:rsidR="00C529A9" w:rsidRDefault="00031DBD" w:rsidP="00973B9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4.</w:t>
      </w:r>
      <w:r w:rsidR="00630F6A">
        <w:rPr>
          <w:rFonts w:ascii="Times New Roman" w:eastAsia="仿宋_GB2312" w:hAnsi="Times New Roman" w:cs="Times New Roman"/>
          <w:sz w:val="28"/>
          <w:szCs w:val="28"/>
        </w:rPr>
        <w:t xml:space="preserve"> </w:t>
      </w:r>
      <w:r w:rsidR="00DA6B56">
        <w:rPr>
          <w:rFonts w:ascii="Times New Roman" w:eastAsia="仿宋_GB2312" w:hAnsi="Times New Roman" w:cs="Times New Roman" w:hint="eastAsia"/>
          <w:sz w:val="28"/>
          <w:szCs w:val="28"/>
        </w:rPr>
        <w:t>物理性能</w:t>
      </w:r>
    </w:p>
    <w:p w14:paraId="2CC4F90F" w14:textId="49FC89A2" w:rsidR="00E1556F" w:rsidRDefault="00C578B5" w:rsidP="00973B9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本文件规定了盘条的电阻率、每米电阻值及其允许偏差、电阻均匀性，与</w:t>
      </w:r>
      <w:r>
        <w:rPr>
          <w:rFonts w:ascii="Times New Roman" w:eastAsia="仿宋_GB2312" w:hAnsi="Times New Roman" w:cs="Times New Roman" w:hint="eastAsia"/>
          <w:sz w:val="28"/>
          <w:szCs w:val="28"/>
        </w:rPr>
        <w:t>GB/T 1234-2012</w:t>
      </w:r>
      <w:r>
        <w:rPr>
          <w:rFonts w:ascii="Times New Roman" w:eastAsia="仿宋_GB2312" w:hAnsi="Times New Roman" w:cs="Times New Roman" w:hint="eastAsia"/>
          <w:sz w:val="28"/>
          <w:szCs w:val="28"/>
        </w:rPr>
        <w:t>保持一致。</w:t>
      </w:r>
    </w:p>
    <w:p w14:paraId="274316D8" w14:textId="7F61C558" w:rsidR="00C35154" w:rsidRDefault="00C35154" w:rsidP="00973B9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 </w:t>
      </w:r>
      <w:r w:rsidR="003B628A">
        <w:rPr>
          <w:rFonts w:ascii="Times New Roman" w:eastAsia="仿宋_GB2312" w:hAnsi="Times New Roman" w:cs="Times New Roman" w:hint="eastAsia"/>
          <w:sz w:val="28"/>
          <w:szCs w:val="28"/>
        </w:rPr>
        <w:t>快速寿命</w:t>
      </w:r>
    </w:p>
    <w:p w14:paraId="7AB87D2B" w14:textId="3A4C9D79" w:rsidR="00C35154" w:rsidRPr="00C35154" w:rsidRDefault="003B628A" w:rsidP="00973B9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本文件快速寿命指标要求与</w:t>
      </w:r>
      <w:r>
        <w:rPr>
          <w:rFonts w:ascii="Times New Roman" w:eastAsia="仿宋_GB2312" w:hAnsi="Times New Roman" w:cs="Times New Roman" w:hint="eastAsia"/>
          <w:sz w:val="28"/>
          <w:szCs w:val="28"/>
        </w:rPr>
        <w:t>GB/T 1234-2012</w:t>
      </w:r>
      <w:r>
        <w:rPr>
          <w:rFonts w:ascii="Times New Roman" w:eastAsia="仿宋_GB2312" w:hAnsi="Times New Roman" w:cs="Times New Roman" w:hint="eastAsia"/>
          <w:sz w:val="28"/>
          <w:szCs w:val="28"/>
        </w:rPr>
        <w:t>保持一致</w:t>
      </w:r>
      <w:r w:rsidR="00C35154">
        <w:rPr>
          <w:rFonts w:ascii="Times New Roman" w:eastAsia="仿宋_GB2312" w:hAnsi="Times New Roman" w:cs="Times New Roman" w:hint="eastAsia"/>
          <w:sz w:val="28"/>
          <w:szCs w:val="28"/>
        </w:rPr>
        <w:t>。</w:t>
      </w:r>
    </w:p>
    <w:p w14:paraId="5713EB6A" w14:textId="07997977" w:rsidR="008B3D11" w:rsidRDefault="009421BC"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sidR="00CF32A2">
        <w:rPr>
          <w:rFonts w:ascii="Times New Roman" w:eastAsia="仿宋_GB2312" w:hAnsi="Times New Roman" w:cs="Times New Roman" w:hint="eastAsia"/>
          <w:sz w:val="28"/>
          <w:szCs w:val="28"/>
        </w:rPr>
        <w:t xml:space="preserve">. </w:t>
      </w:r>
      <w:r w:rsidR="003B628A">
        <w:rPr>
          <w:rFonts w:ascii="Times New Roman" w:eastAsia="仿宋_GB2312" w:hAnsi="Times New Roman" w:cs="Times New Roman" w:hint="eastAsia"/>
          <w:sz w:val="28"/>
          <w:szCs w:val="28"/>
        </w:rPr>
        <w:t>力学性能</w:t>
      </w:r>
    </w:p>
    <w:p w14:paraId="0C7AA0F4" w14:textId="2A9632BF" w:rsidR="003B628A" w:rsidRDefault="00A30EFB" w:rsidP="00392F32">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lastRenderedPageBreak/>
        <w:t>盘条按推荐制度进行热处理后的力学性能应符合表</w:t>
      </w:r>
      <w:r w:rsidRPr="00A30EFB">
        <w:rPr>
          <w:rFonts w:ascii="Times New Roman" w:eastAsia="仿宋_GB2312" w:hAnsi="Times New Roman" w:cs="Times New Roman" w:hint="eastAsia"/>
          <w:sz w:val="28"/>
          <w:szCs w:val="28"/>
        </w:rPr>
        <w:t>5</w:t>
      </w:r>
      <w:r w:rsidRPr="00A30EFB">
        <w:rPr>
          <w:rFonts w:ascii="Times New Roman" w:eastAsia="仿宋_GB2312" w:hAnsi="Times New Roman" w:cs="Times New Roman" w:hint="eastAsia"/>
          <w:sz w:val="28"/>
          <w:szCs w:val="28"/>
        </w:rPr>
        <w:t>的规定。</w:t>
      </w:r>
    </w:p>
    <w:p w14:paraId="2F89B971" w14:textId="3E0C5FC6" w:rsidR="00A30EFB" w:rsidRDefault="00A30EFB" w:rsidP="00A30EF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hint="eastAsia"/>
          <w:sz w:val="28"/>
          <w:szCs w:val="28"/>
        </w:rPr>
        <w:t>GB/T 1234-2012</w:t>
      </w:r>
      <w:r>
        <w:rPr>
          <w:rFonts w:ascii="Times New Roman" w:eastAsia="仿宋_GB2312" w:hAnsi="Times New Roman" w:cs="Times New Roman" w:hint="eastAsia"/>
          <w:sz w:val="28"/>
          <w:szCs w:val="28"/>
        </w:rPr>
        <w:t>相比，本文件各牌号抗拉强度指标提升</w:t>
      </w:r>
      <w:r>
        <w:rPr>
          <w:rFonts w:ascii="Times New Roman" w:eastAsia="仿宋_GB2312" w:hAnsi="Times New Roman" w:cs="Times New Roman" w:hint="eastAsia"/>
          <w:sz w:val="28"/>
          <w:szCs w:val="28"/>
        </w:rPr>
        <w:t>5MPa</w:t>
      </w:r>
      <w:r>
        <w:rPr>
          <w:rFonts w:ascii="Times New Roman" w:eastAsia="仿宋_GB2312" w:hAnsi="Times New Roman" w:cs="Times New Roman" w:hint="eastAsia"/>
          <w:sz w:val="28"/>
          <w:szCs w:val="28"/>
        </w:rPr>
        <w:t>，断后伸长率不同牌号分别提升了</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个百分点。</w:t>
      </w:r>
    </w:p>
    <w:p w14:paraId="41790953" w14:textId="4FE983A2" w:rsidR="009421BC" w:rsidRDefault="003D07DE"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7. </w:t>
      </w:r>
      <w:r w:rsidR="00A30EFB">
        <w:rPr>
          <w:rFonts w:ascii="Times New Roman" w:eastAsia="仿宋_GB2312" w:hAnsi="Times New Roman" w:cs="Times New Roman" w:hint="eastAsia"/>
          <w:sz w:val="28"/>
          <w:szCs w:val="28"/>
        </w:rPr>
        <w:t>表面质量</w:t>
      </w:r>
    </w:p>
    <w:p w14:paraId="68058BB4" w14:textId="28D4C602" w:rsidR="003D07DE" w:rsidRDefault="00A30EFB" w:rsidP="00A30EFB">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t>盘条表面不应有折叠、裂纹、重皮、凹陷、耳子、夹杂、鳞屑及其他影响使用的缺陷存在。上述缺陷允许清理，清理深度应不超过直径公差的一半。盘条表面允许有氧化膜存在。</w:t>
      </w:r>
    </w:p>
    <w:p w14:paraId="601DA75A" w14:textId="77777777" w:rsidR="00A30EFB" w:rsidRPr="00C35154" w:rsidRDefault="00A30EFB" w:rsidP="00A30EF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hint="eastAsia"/>
          <w:sz w:val="28"/>
          <w:szCs w:val="28"/>
        </w:rPr>
        <w:t>GB/T 1234-2012</w:t>
      </w:r>
      <w:r>
        <w:rPr>
          <w:rFonts w:ascii="Times New Roman" w:eastAsia="仿宋_GB2312" w:hAnsi="Times New Roman" w:cs="Times New Roman" w:hint="eastAsia"/>
          <w:sz w:val="28"/>
          <w:szCs w:val="28"/>
        </w:rPr>
        <w:t>保持一致。</w:t>
      </w:r>
    </w:p>
    <w:p w14:paraId="705A5336" w14:textId="5AF7D376" w:rsidR="00CF32A2" w:rsidRDefault="00A30EFB"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sidR="00AF27A5">
        <w:rPr>
          <w:rFonts w:ascii="Times New Roman" w:eastAsia="仿宋_GB2312" w:hAnsi="Times New Roman" w:cs="Times New Roman"/>
          <w:sz w:val="28"/>
          <w:szCs w:val="28"/>
        </w:rPr>
        <w:t>.</w:t>
      </w:r>
      <w:r w:rsidR="00201A8E">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特殊要求</w:t>
      </w:r>
    </w:p>
    <w:p w14:paraId="342E85A1" w14:textId="1331CD07" w:rsidR="00BD581D" w:rsidRDefault="00A30EFB" w:rsidP="009651C0">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t>根据需方要求，经供需双方协商，可对盘条提出其他特殊要求</w:t>
      </w:r>
      <w:r w:rsidR="009651C0" w:rsidRPr="009651C0">
        <w:rPr>
          <w:rFonts w:ascii="Times New Roman" w:eastAsia="仿宋_GB2312" w:hAnsi="Times New Roman" w:cs="Times New Roman" w:hint="eastAsia"/>
          <w:sz w:val="28"/>
          <w:szCs w:val="28"/>
        </w:rPr>
        <w:t>。</w:t>
      </w:r>
    </w:p>
    <w:p w14:paraId="40B00791" w14:textId="4D7D67EB"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A30EFB">
        <w:rPr>
          <w:rFonts w:ascii="Times New Roman" w:eastAsia="仿宋_GB2312" w:hAnsi="Times New Roman" w:cs="Times New Roman" w:hint="eastAsia"/>
          <w:sz w:val="28"/>
          <w:szCs w:val="28"/>
        </w:rPr>
        <w:t>六</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4E019BF1" w14:textId="06F46662" w:rsidR="00C65E59" w:rsidRDefault="00A30EFB" w:rsidP="00A30EFB">
      <w:pPr>
        <w:spacing w:line="360" w:lineRule="auto"/>
        <w:ind w:firstLineChars="200" w:firstLine="560"/>
        <w:rPr>
          <w:rFonts w:ascii="Times New Roman" w:eastAsia="仿宋_GB2312" w:hAnsi="Times New Roman" w:cs="Times New Roman"/>
          <w:sz w:val="28"/>
          <w:szCs w:val="28"/>
        </w:rPr>
      </w:pPr>
      <w:bookmarkStart w:id="2" w:name="_Hlk163784750"/>
      <w:r w:rsidRPr="00A30EFB">
        <w:rPr>
          <w:rFonts w:ascii="Times New Roman" w:eastAsia="仿宋_GB2312" w:hAnsi="Times New Roman" w:cs="Times New Roman" w:hint="eastAsia"/>
          <w:sz w:val="28"/>
          <w:szCs w:val="28"/>
        </w:rPr>
        <w:t>盘条的化学成分分析方法按</w:t>
      </w:r>
      <w:r w:rsidRPr="00A30EFB">
        <w:rPr>
          <w:rFonts w:ascii="Times New Roman" w:eastAsia="仿宋_GB2312" w:hAnsi="Times New Roman" w:cs="Times New Roman" w:hint="eastAsia"/>
          <w:sz w:val="28"/>
          <w:szCs w:val="28"/>
        </w:rPr>
        <w:t>GB/T 11170</w:t>
      </w:r>
      <w:r w:rsidRPr="00A30EFB">
        <w:rPr>
          <w:rFonts w:ascii="Times New Roman" w:eastAsia="仿宋_GB2312" w:hAnsi="Times New Roman" w:cs="Times New Roman" w:hint="eastAsia"/>
          <w:sz w:val="28"/>
          <w:szCs w:val="28"/>
        </w:rPr>
        <w:t>或通用方法的规定进行，但仲裁时应按</w:t>
      </w:r>
      <w:r w:rsidRPr="00A30EFB">
        <w:rPr>
          <w:rFonts w:ascii="Times New Roman" w:eastAsia="仿宋_GB2312" w:hAnsi="Times New Roman" w:cs="Times New Roman" w:hint="eastAsia"/>
          <w:sz w:val="28"/>
          <w:szCs w:val="28"/>
        </w:rPr>
        <w:t>GB/T 223.5</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223.12</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223.19</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223.23</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223.31</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223.37</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223.50</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223.62</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223.63</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223.69</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223.72</w:t>
      </w:r>
      <w:r w:rsidRPr="00A30EFB">
        <w:rPr>
          <w:rFonts w:ascii="Times New Roman" w:eastAsia="仿宋_GB2312" w:hAnsi="Times New Roman" w:cs="Times New Roman" w:hint="eastAsia"/>
          <w:sz w:val="28"/>
          <w:szCs w:val="28"/>
        </w:rPr>
        <w:t>、</w:t>
      </w:r>
      <w:r w:rsidRPr="00A30EFB">
        <w:rPr>
          <w:rFonts w:ascii="Times New Roman" w:eastAsia="仿宋_GB2312" w:hAnsi="Times New Roman" w:cs="Times New Roman" w:hint="eastAsia"/>
          <w:sz w:val="28"/>
          <w:szCs w:val="28"/>
        </w:rPr>
        <w:t>GB/T 223.81</w:t>
      </w:r>
      <w:r w:rsidRPr="00A30EFB">
        <w:rPr>
          <w:rFonts w:ascii="Times New Roman" w:eastAsia="仿宋_GB2312" w:hAnsi="Times New Roman" w:cs="Times New Roman" w:hint="eastAsia"/>
          <w:sz w:val="28"/>
          <w:szCs w:val="28"/>
        </w:rPr>
        <w:t>的规定进行。盘条的检验项目、取样方法和试验方法应符合表</w:t>
      </w:r>
      <w:r w:rsidRPr="00A30EFB">
        <w:rPr>
          <w:rFonts w:ascii="Times New Roman" w:eastAsia="仿宋_GB2312" w:hAnsi="Times New Roman" w:cs="Times New Roman" w:hint="eastAsia"/>
          <w:sz w:val="28"/>
          <w:szCs w:val="28"/>
        </w:rPr>
        <w:t>6</w:t>
      </w:r>
      <w:r w:rsidRPr="00A30EFB">
        <w:rPr>
          <w:rFonts w:ascii="Times New Roman" w:eastAsia="仿宋_GB2312" w:hAnsi="Times New Roman" w:cs="Times New Roman" w:hint="eastAsia"/>
          <w:sz w:val="28"/>
          <w:szCs w:val="28"/>
        </w:rPr>
        <w:t>的规定。</w:t>
      </w:r>
      <w:r w:rsidR="00C65E59" w:rsidRPr="00C65E59">
        <w:rPr>
          <w:rFonts w:ascii="Times New Roman" w:eastAsia="仿宋_GB2312" w:hAnsi="Times New Roman" w:cs="Times New Roman"/>
          <w:sz w:val="28"/>
          <w:szCs w:val="28"/>
        </w:rPr>
        <w:t>。</w:t>
      </w:r>
      <w:bookmarkEnd w:id="2"/>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3"/>
        <w:gridCol w:w="1784"/>
        <w:gridCol w:w="1909"/>
        <w:gridCol w:w="2553"/>
        <w:gridCol w:w="2371"/>
      </w:tblGrid>
      <w:tr w:rsidR="00A30EFB" w14:paraId="19BDC714" w14:textId="77777777" w:rsidTr="00A30EFB">
        <w:trPr>
          <w:trHeight w:val="258"/>
          <w:jc w:val="center"/>
        </w:trPr>
        <w:tc>
          <w:tcPr>
            <w:tcW w:w="663" w:type="dxa"/>
            <w:tcBorders>
              <w:top w:val="single" w:sz="8" w:space="0" w:color="auto"/>
              <w:bottom w:val="single" w:sz="8" w:space="0" w:color="auto"/>
            </w:tcBorders>
            <w:vAlign w:val="center"/>
          </w:tcPr>
          <w:p w14:paraId="3FA5E029" w14:textId="77777777" w:rsidR="00A30EFB" w:rsidRDefault="00A30EFB" w:rsidP="005274C9">
            <w:pPr>
              <w:jc w:val="center"/>
              <w:rPr>
                <w:sz w:val="18"/>
                <w:szCs w:val="18"/>
              </w:rPr>
            </w:pPr>
            <w:r>
              <w:rPr>
                <w:sz w:val="18"/>
                <w:szCs w:val="18"/>
              </w:rPr>
              <w:t>序号</w:t>
            </w:r>
          </w:p>
        </w:tc>
        <w:tc>
          <w:tcPr>
            <w:tcW w:w="1784" w:type="dxa"/>
            <w:tcBorders>
              <w:top w:val="single" w:sz="8" w:space="0" w:color="auto"/>
              <w:bottom w:val="single" w:sz="8" w:space="0" w:color="auto"/>
            </w:tcBorders>
            <w:vAlign w:val="center"/>
          </w:tcPr>
          <w:p w14:paraId="59954A34" w14:textId="77777777" w:rsidR="00A30EFB" w:rsidRDefault="00A30EFB" w:rsidP="005274C9">
            <w:pPr>
              <w:jc w:val="center"/>
              <w:rPr>
                <w:sz w:val="18"/>
                <w:szCs w:val="18"/>
              </w:rPr>
            </w:pPr>
            <w:r>
              <w:rPr>
                <w:sz w:val="18"/>
                <w:szCs w:val="18"/>
              </w:rPr>
              <w:t>检验项目</w:t>
            </w:r>
          </w:p>
        </w:tc>
        <w:tc>
          <w:tcPr>
            <w:tcW w:w="1909" w:type="dxa"/>
            <w:tcBorders>
              <w:top w:val="single" w:sz="8" w:space="0" w:color="auto"/>
              <w:bottom w:val="single" w:sz="8" w:space="0" w:color="auto"/>
            </w:tcBorders>
            <w:vAlign w:val="center"/>
          </w:tcPr>
          <w:p w14:paraId="4F4C8767" w14:textId="77777777" w:rsidR="00A30EFB" w:rsidRDefault="00A30EFB" w:rsidP="005274C9">
            <w:pPr>
              <w:jc w:val="center"/>
              <w:rPr>
                <w:sz w:val="18"/>
                <w:szCs w:val="18"/>
              </w:rPr>
            </w:pPr>
            <w:r>
              <w:rPr>
                <w:sz w:val="18"/>
                <w:szCs w:val="18"/>
              </w:rPr>
              <w:t>取样数量</w:t>
            </w:r>
          </w:p>
        </w:tc>
        <w:tc>
          <w:tcPr>
            <w:tcW w:w="2553" w:type="dxa"/>
            <w:tcBorders>
              <w:top w:val="single" w:sz="8" w:space="0" w:color="auto"/>
              <w:bottom w:val="single" w:sz="8" w:space="0" w:color="auto"/>
            </w:tcBorders>
            <w:vAlign w:val="center"/>
          </w:tcPr>
          <w:p w14:paraId="45F36471" w14:textId="77777777" w:rsidR="00A30EFB" w:rsidRDefault="00A30EFB" w:rsidP="005274C9">
            <w:pPr>
              <w:jc w:val="center"/>
              <w:rPr>
                <w:sz w:val="18"/>
                <w:szCs w:val="18"/>
              </w:rPr>
            </w:pPr>
            <w:r>
              <w:rPr>
                <w:sz w:val="18"/>
                <w:szCs w:val="18"/>
              </w:rPr>
              <w:t>取样方法</w:t>
            </w:r>
          </w:p>
        </w:tc>
        <w:tc>
          <w:tcPr>
            <w:tcW w:w="2371" w:type="dxa"/>
            <w:tcBorders>
              <w:top w:val="single" w:sz="8" w:space="0" w:color="auto"/>
              <w:bottom w:val="single" w:sz="8" w:space="0" w:color="auto"/>
            </w:tcBorders>
            <w:vAlign w:val="center"/>
          </w:tcPr>
          <w:p w14:paraId="25611DB7" w14:textId="77777777" w:rsidR="00A30EFB" w:rsidRDefault="00A30EFB" w:rsidP="005274C9">
            <w:pPr>
              <w:jc w:val="center"/>
              <w:rPr>
                <w:sz w:val="18"/>
                <w:szCs w:val="18"/>
              </w:rPr>
            </w:pPr>
            <w:r>
              <w:rPr>
                <w:sz w:val="18"/>
                <w:szCs w:val="18"/>
              </w:rPr>
              <w:t>试验方法</w:t>
            </w:r>
          </w:p>
        </w:tc>
      </w:tr>
      <w:tr w:rsidR="00A30EFB" w14:paraId="12813636" w14:textId="77777777" w:rsidTr="00A30EFB">
        <w:trPr>
          <w:trHeight w:val="258"/>
          <w:jc w:val="center"/>
        </w:trPr>
        <w:tc>
          <w:tcPr>
            <w:tcW w:w="663" w:type="dxa"/>
            <w:tcBorders>
              <w:top w:val="single" w:sz="8" w:space="0" w:color="auto"/>
            </w:tcBorders>
            <w:vAlign w:val="center"/>
          </w:tcPr>
          <w:p w14:paraId="208B1CB0" w14:textId="77777777" w:rsidR="00A30EFB" w:rsidRDefault="00A30EFB" w:rsidP="005274C9">
            <w:pPr>
              <w:jc w:val="center"/>
              <w:rPr>
                <w:sz w:val="18"/>
                <w:szCs w:val="18"/>
              </w:rPr>
            </w:pPr>
            <w:r>
              <w:rPr>
                <w:sz w:val="18"/>
                <w:szCs w:val="18"/>
              </w:rPr>
              <w:t>1</w:t>
            </w:r>
          </w:p>
        </w:tc>
        <w:tc>
          <w:tcPr>
            <w:tcW w:w="1784" w:type="dxa"/>
            <w:tcBorders>
              <w:top w:val="single" w:sz="8" w:space="0" w:color="auto"/>
            </w:tcBorders>
            <w:vAlign w:val="center"/>
          </w:tcPr>
          <w:p w14:paraId="13D85E49" w14:textId="77777777" w:rsidR="00A30EFB" w:rsidRDefault="00A30EFB" w:rsidP="005274C9">
            <w:pPr>
              <w:jc w:val="center"/>
              <w:rPr>
                <w:sz w:val="18"/>
                <w:szCs w:val="18"/>
              </w:rPr>
            </w:pPr>
            <w:r>
              <w:rPr>
                <w:sz w:val="18"/>
                <w:szCs w:val="18"/>
              </w:rPr>
              <w:t>化学成分</w:t>
            </w:r>
          </w:p>
        </w:tc>
        <w:tc>
          <w:tcPr>
            <w:tcW w:w="1909" w:type="dxa"/>
            <w:tcBorders>
              <w:top w:val="single" w:sz="8" w:space="0" w:color="auto"/>
            </w:tcBorders>
            <w:vAlign w:val="center"/>
          </w:tcPr>
          <w:p w14:paraId="6EA5E1E5" w14:textId="77777777" w:rsidR="00A30EFB" w:rsidRDefault="00A30EFB" w:rsidP="005274C9">
            <w:pPr>
              <w:jc w:val="center"/>
              <w:rPr>
                <w:sz w:val="18"/>
                <w:szCs w:val="18"/>
              </w:rPr>
            </w:pPr>
            <w:r>
              <w:rPr>
                <w:sz w:val="18"/>
                <w:szCs w:val="18"/>
              </w:rPr>
              <w:t>1</w:t>
            </w:r>
            <w:r>
              <w:rPr>
                <w:color w:val="000000"/>
                <w:sz w:val="18"/>
                <w:szCs w:val="18"/>
              </w:rPr>
              <w:t>个</w:t>
            </w:r>
            <w:r>
              <w:rPr>
                <w:sz w:val="18"/>
                <w:szCs w:val="18"/>
              </w:rPr>
              <w:t>/</w:t>
            </w:r>
            <w:r>
              <w:rPr>
                <w:sz w:val="18"/>
                <w:szCs w:val="18"/>
              </w:rPr>
              <w:t>炉</w:t>
            </w:r>
          </w:p>
        </w:tc>
        <w:tc>
          <w:tcPr>
            <w:tcW w:w="2553" w:type="dxa"/>
            <w:tcBorders>
              <w:top w:val="single" w:sz="8" w:space="0" w:color="auto"/>
            </w:tcBorders>
            <w:vAlign w:val="center"/>
          </w:tcPr>
          <w:p w14:paraId="6CD8040D" w14:textId="77777777" w:rsidR="00A30EFB" w:rsidRDefault="00A30EFB" w:rsidP="005274C9">
            <w:pPr>
              <w:jc w:val="center"/>
              <w:rPr>
                <w:sz w:val="18"/>
                <w:szCs w:val="18"/>
              </w:rPr>
            </w:pPr>
            <w:r>
              <w:rPr>
                <w:sz w:val="18"/>
                <w:szCs w:val="18"/>
              </w:rPr>
              <w:t>GB/T 20066</w:t>
            </w:r>
          </w:p>
        </w:tc>
        <w:tc>
          <w:tcPr>
            <w:tcW w:w="2371" w:type="dxa"/>
            <w:tcBorders>
              <w:top w:val="single" w:sz="8" w:space="0" w:color="auto"/>
            </w:tcBorders>
            <w:vAlign w:val="center"/>
          </w:tcPr>
          <w:p w14:paraId="36205C49" w14:textId="77777777" w:rsidR="00A30EFB" w:rsidRDefault="00A30EFB" w:rsidP="005274C9">
            <w:pPr>
              <w:jc w:val="center"/>
              <w:rPr>
                <w:sz w:val="18"/>
                <w:szCs w:val="18"/>
              </w:rPr>
            </w:pPr>
            <w:r>
              <w:rPr>
                <w:rFonts w:hint="eastAsia"/>
                <w:sz w:val="18"/>
                <w:szCs w:val="18"/>
              </w:rPr>
              <w:t>见</w:t>
            </w:r>
            <w:r>
              <w:rPr>
                <w:rFonts w:hint="eastAsia"/>
                <w:sz w:val="18"/>
                <w:szCs w:val="18"/>
              </w:rPr>
              <w:t>7.1</w:t>
            </w:r>
          </w:p>
        </w:tc>
      </w:tr>
      <w:tr w:rsidR="00A30EFB" w14:paraId="4CAF935B" w14:textId="77777777" w:rsidTr="00A30EFB">
        <w:trPr>
          <w:trHeight w:val="258"/>
          <w:jc w:val="center"/>
        </w:trPr>
        <w:tc>
          <w:tcPr>
            <w:tcW w:w="663" w:type="dxa"/>
            <w:tcBorders>
              <w:top w:val="single" w:sz="8" w:space="0" w:color="auto"/>
            </w:tcBorders>
            <w:vAlign w:val="center"/>
          </w:tcPr>
          <w:p w14:paraId="0209795B" w14:textId="77777777" w:rsidR="00A30EFB" w:rsidRDefault="00A30EFB" w:rsidP="005274C9">
            <w:pPr>
              <w:jc w:val="center"/>
              <w:rPr>
                <w:sz w:val="18"/>
                <w:szCs w:val="18"/>
              </w:rPr>
            </w:pPr>
            <w:r>
              <w:rPr>
                <w:sz w:val="18"/>
                <w:szCs w:val="18"/>
              </w:rPr>
              <w:t>2</w:t>
            </w:r>
          </w:p>
        </w:tc>
        <w:tc>
          <w:tcPr>
            <w:tcW w:w="1784" w:type="dxa"/>
            <w:tcBorders>
              <w:top w:val="single" w:sz="8" w:space="0" w:color="auto"/>
            </w:tcBorders>
            <w:vAlign w:val="center"/>
          </w:tcPr>
          <w:p w14:paraId="40815354" w14:textId="77777777" w:rsidR="00A30EFB" w:rsidRDefault="00A30EFB" w:rsidP="005274C9">
            <w:pPr>
              <w:jc w:val="center"/>
              <w:rPr>
                <w:sz w:val="18"/>
                <w:szCs w:val="18"/>
              </w:rPr>
            </w:pPr>
            <w:r>
              <w:rPr>
                <w:sz w:val="18"/>
                <w:szCs w:val="18"/>
              </w:rPr>
              <w:t>拉伸试验</w:t>
            </w:r>
          </w:p>
        </w:tc>
        <w:tc>
          <w:tcPr>
            <w:tcW w:w="1909" w:type="dxa"/>
            <w:tcBorders>
              <w:top w:val="single" w:sz="8" w:space="0" w:color="auto"/>
            </w:tcBorders>
            <w:vAlign w:val="center"/>
          </w:tcPr>
          <w:p w14:paraId="3C668AFF" w14:textId="77777777" w:rsidR="00A30EFB" w:rsidRDefault="00A30EFB" w:rsidP="005274C9">
            <w:pPr>
              <w:jc w:val="center"/>
              <w:rPr>
                <w:sz w:val="18"/>
                <w:szCs w:val="18"/>
              </w:rPr>
            </w:pPr>
            <w:r>
              <w:rPr>
                <w:sz w:val="18"/>
                <w:szCs w:val="18"/>
              </w:rPr>
              <w:t>2</w:t>
            </w:r>
            <w:r>
              <w:rPr>
                <w:color w:val="000000"/>
                <w:sz w:val="18"/>
                <w:szCs w:val="18"/>
              </w:rPr>
              <w:t>个</w:t>
            </w:r>
            <w:r>
              <w:rPr>
                <w:sz w:val="18"/>
                <w:szCs w:val="18"/>
              </w:rPr>
              <w:t>/</w:t>
            </w:r>
            <w:r>
              <w:rPr>
                <w:sz w:val="18"/>
                <w:szCs w:val="18"/>
              </w:rPr>
              <w:t>批</w:t>
            </w:r>
          </w:p>
        </w:tc>
        <w:tc>
          <w:tcPr>
            <w:tcW w:w="2553" w:type="dxa"/>
            <w:tcBorders>
              <w:top w:val="single" w:sz="8" w:space="0" w:color="auto"/>
            </w:tcBorders>
            <w:vAlign w:val="center"/>
          </w:tcPr>
          <w:p w14:paraId="44EF1C12" w14:textId="77777777" w:rsidR="00A30EFB" w:rsidRDefault="00A30EFB" w:rsidP="005274C9">
            <w:pPr>
              <w:jc w:val="center"/>
              <w:rPr>
                <w:sz w:val="18"/>
                <w:szCs w:val="18"/>
              </w:rPr>
            </w:pPr>
            <w:r>
              <w:rPr>
                <w:sz w:val="18"/>
                <w:szCs w:val="18"/>
              </w:rPr>
              <w:t>GB/T 2975</w:t>
            </w:r>
            <w:r>
              <w:rPr>
                <w:sz w:val="18"/>
                <w:szCs w:val="18"/>
              </w:rPr>
              <w:t>，不同根盘条</w:t>
            </w:r>
          </w:p>
        </w:tc>
        <w:tc>
          <w:tcPr>
            <w:tcW w:w="2371" w:type="dxa"/>
            <w:tcBorders>
              <w:top w:val="single" w:sz="8" w:space="0" w:color="auto"/>
            </w:tcBorders>
            <w:vAlign w:val="center"/>
          </w:tcPr>
          <w:p w14:paraId="2414CAAA" w14:textId="77777777" w:rsidR="00A30EFB" w:rsidRDefault="00A30EFB" w:rsidP="005274C9">
            <w:pPr>
              <w:jc w:val="center"/>
              <w:rPr>
                <w:sz w:val="18"/>
                <w:szCs w:val="18"/>
              </w:rPr>
            </w:pPr>
            <w:r>
              <w:rPr>
                <w:sz w:val="18"/>
                <w:szCs w:val="18"/>
              </w:rPr>
              <w:t>GB/T 228.1</w:t>
            </w:r>
          </w:p>
        </w:tc>
      </w:tr>
      <w:tr w:rsidR="00A30EFB" w14:paraId="78FA0DAC" w14:textId="77777777" w:rsidTr="00A30EFB">
        <w:trPr>
          <w:trHeight w:val="258"/>
          <w:jc w:val="center"/>
        </w:trPr>
        <w:tc>
          <w:tcPr>
            <w:tcW w:w="663" w:type="dxa"/>
            <w:vAlign w:val="center"/>
          </w:tcPr>
          <w:p w14:paraId="06B4DB5C" w14:textId="77777777" w:rsidR="00A30EFB" w:rsidRDefault="00A30EFB" w:rsidP="005274C9">
            <w:pPr>
              <w:jc w:val="center"/>
              <w:rPr>
                <w:sz w:val="18"/>
                <w:szCs w:val="18"/>
              </w:rPr>
            </w:pPr>
            <w:r>
              <w:rPr>
                <w:sz w:val="18"/>
                <w:szCs w:val="18"/>
              </w:rPr>
              <w:t>3</w:t>
            </w:r>
          </w:p>
        </w:tc>
        <w:tc>
          <w:tcPr>
            <w:tcW w:w="1784" w:type="dxa"/>
            <w:vAlign w:val="center"/>
          </w:tcPr>
          <w:p w14:paraId="63500EF8" w14:textId="77777777" w:rsidR="00A30EFB" w:rsidRDefault="00A30EFB" w:rsidP="005274C9">
            <w:pPr>
              <w:jc w:val="center"/>
              <w:rPr>
                <w:color w:val="000000"/>
                <w:sz w:val="18"/>
                <w:szCs w:val="18"/>
              </w:rPr>
            </w:pPr>
            <w:r>
              <w:rPr>
                <w:color w:val="000000"/>
                <w:spacing w:val="-2"/>
                <w:sz w:val="18"/>
                <w:szCs w:val="18"/>
              </w:rPr>
              <w:t>尺寸、外形</w:t>
            </w:r>
          </w:p>
        </w:tc>
        <w:tc>
          <w:tcPr>
            <w:tcW w:w="1909" w:type="dxa"/>
            <w:vAlign w:val="center"/>
          </w:tcPr>
          <w:p w14:paraId="115B22ED" w14:textId="77777777" w:rsidR="00A30EFB" w:rsidRDefault="00A30EFB" w:rsidP="005274C9">
            <w:pPr>
              <w:jc w:val="center"/>
              <w:rPr>
                <w:color w:val="000000"/>
                <w:sz w:val="18"/>
                <w:szCs w:val="18"/>
              </w:rPr>
            </w:pPr>
            <w:r>
              <w:rPr>
                <w:color w:val="000000"/>
                <w:spacing w:val="-2"/>
                <w:sz w:val="18"/>
                <w:szCs w:val="18"/>
              </w:rPr>
              <w:t>逐盘</w:t>
            </w:r>
          </w:p>
        </w:tc>
        <w:tc>
          <w:tcPr>
            <w:tcW w:w="2553" w:type="dxa"/>
            <w:vAlign w:val="center"/>
          </w:tcPr>
          <w:p w14:paraId="7057A7F9" w14:textId="77777777" w:rsidR="00A30EFB" w:rsidRDefault="00A30EFB" w:rsidP="005274C9">
            <w:pPr>
              <w:jc w:val="center"/>
              <w:rPr>
                <w:color w:val="000000"/>
                <w:sz w:val="18"/>
                <w:szCs w:val="18"/>
              </w:rPr>
            </w:pPr>
            <w:r>
              <w:rPr>
                <w:color w:val="000000"/>
                <w:sz w:val="18"/>
                <w:szCs w:val="18"/>
              </w:rPr>
              <w:t>—</w:t>
            </w:r>
          </w:p>
        </w:tc>
        <w:tc>
          <w:tcPr>
            <w:tcW w:w="2371" w:type="dxa"/>
            <w:vAlign w:val="center"/>
          </w:tcPr>
          <w:p w14:paraId="6DD3FF67" w14:textId="77777777" w:rsidR="00A30EFB" w:rsidRDefault="00A30EFB" w:rsidP="005274C9">
            <w:pPr>
              <w:jc w:val="center"/>
              <w:rPr>
                <w:sz w:val="18"/>
                <w:szCs w:val="18"/>
              </w:rPr>
            </w:pPr>
            <w:r>
              <w:rPr>
                <w:sz w:val="18"/>
                <w:szCs w:val="18"/>
              </w:rPr>
              <w:t>合适的量具</w:t>
            </w:r>
          </w:p>
        </w:tc>
      </w:tr>
      <w:tr w:rsidR="00A30EFB" w14:paraId="1FAB79BA" w14:textId="77777777" w:rsidTr="00A30EFB">
        <w:trPr>
          <w:trHeight w:val="258"/>
          <w:jc w:val="center"/>
        </w:trPr>
        <w:tc>
          <w:tcPr>
            <w:tcW w:w="663" w:type="dxa"/>
            <w:vAlign w:val="center"/>
          </w:tcPr>
          <w:p w14:paraId="2BEB780C" w14:textId="77777777" w:rsidR="00A30EFB" w:rsidRDefault="00A30EFB" w:rsidP="005274C9">
            <w:pPr>
              <w:jc w:val="center"/>
              <w:rPr>
                <w:sz w:val="18"/>
                <w:szCs w:val="18"/>
              </w:rPr>
            </w:pPr>
            <w:r>
              <w:rPr>
                <w:sz w:val="18"/>
                <w:szCs w:val="18"/>
              </w:rPr>
              <w:t>4</w:t>
            </w:r>
          </w:p>
        </w:tc>
        <w:tc>
          <w:tcPr>
            <w:tcW w:w="1784" w:type="dxa"/>
            <w:vAlign w:val="center"/>
          </w:tcPr>
          <w:p w14:paraId="036921E1" w14:textId="77777777" w:rsidR="00A30EFB" w:rsidRDefault="00A30EFB" w:rsidP="005274C9">
            <w:pPr>
              <w:jc w:val="center"/>
              <w:rPr>
                <w:color w:val="000000"/>
                <w:sz w:val="18"/>
                <w:szCs w:val="18"/>
              </w:rPr>
            </w:pPr>
            <w:r>
              <w:rPr>
                <w:color w:val="000000"/>
                <w:spacing w:val="-2"/>
                <w:sz w:val="18"/>
                <w:szCs w:val="18"/>
              </w:rPr>
              <w:t>表面质量</w:t>
            </w:r>
          </w:p>
        </w:tc>
        <w:tc>
          <w:tcPr>
            <w:tcW w:w="1909" w:type="dxa"/>
            <w:vAlign w:val="center"/>
          </w:tcPr>
          <w:p w14:paraId="73456D15" w14:textId="77777777" w:rsidR="00A30EFB" w:rsidRDefault="00A30EFB" w:rsidP="005274C9">
            <w:pPr>
              <w:jc w:val="center"/>
              <w:rPr>
                <w:color w:val="000000"/>
                <w:sz w:val="18"/>
                <w:szCs w:val="18"/>
              </w:rPr>
            </w:pPr>
            <w:r>
              <w:rPr>
                <w:color w:val="000000"/>
                <w:spacing w:val="-2"/>
                <w:sz w:val="18"/>
                <w:szCs w:val="18"/>
              </w:rPr>
              <w:t>逐盘</w:t>
            </w:r>
          </w:p>
        </w:tc>
        <w:tc>
          <w:tcPr>
            <w:tcW w:w="2553" w:type="dxa"/>
            <w:vAlign w:val="center"/>
          </w:tcPr>
          <w:p w14:paraId="4976AF3F" w14:textId="77777777" w:rsidR="00A30EFB" w:rsidRDefault="00A30EFB" w:rsidP="005274C9">
            <w:pPr>
              <w:jc w:val="center"/>
              <w:rPr>
                <w:color w:val="000000"/>
                <w:sz w:val="18"/>
                <w:szCs w:val="18"/>
              </w:rPr>
            </w:pPr>
            <w:r>
              <w:rPr>
                <w:color w:val="000000"/>
                <w:sz w:val="18"/>
                <w:szCs w:val="18"/>
              </w:rPr>
              <w:t>—</w:t>
            </w:r>
          </w:p>
        </w:tc>
        <w:tc>
          <w:tcPr>
            <w:tcW w:w="2371" w:type="dxa"/>
            <w:vAlign w:val="center"/>
          </w:tcPr>
          <w:p w14:paraId="692DDE06" w14:textId="77777777" w:rsidR="00A30EFB" w:rsidRDefault="00A30EFB" w:rsidP="005274C9">
            <w:pPr>
              <w:jc w:val="center"/>
              <w:rPr>
                <w:sz w:val="18"/>
                <w:szCs w:val="18"/>
              </w:rPr>
            </w:pPr>
            <w:r>
              <w:rPr>
                <w:sz w:val="18"/>
                <w:szCs w:val="18"/>
              </w:rPr>
              <w:t>目视</w:t>
            </w:r>
          </w:p>
        </w:tc>
      </w:tr>
      <w:tr w:rsidR="00A30EFB" w14:paraId="755E776E" w14:textId="77777777" w:rsidTr="00A30EFB">
        <w:trPr>
          <w:trHeight w:val="258"/>
          <w:jc w:val="center"/>
        </w:trPr>
        <w:tc>
          <w:tcPr>
            <w:tcW w:w="663" w:type="dxa"/>
            <w:vAlign w:val="center"/>
          </w:tcPr>
          <w:p w14:paraId="10699D7B" w14:textId="77777777" w:rsidR="00A30EFB" w:rsidRDefault="00A30EFB" w:rsidP="005274C9">
            <w:pPr>
              <w:jc w:val="center"/>
              <w:rPr>
                <w:sz w:val="18"/>
                <w:szCs w:val="18"/>
              </w:rPr>
            </w:pPr>
            <w:r>
              <w:rPr>
                <w:rFonts w:hint="eastAsia"/>
                <w:sz w:val="18"/>
                <w:szCs w:val="18"/>
              </w:rPr>
              <w:t>5</w:t>
            </w:r>
          </w:p>
        </w:tc>
        <w:tc>
          <w:tcPr>
            <w:tcW w:w="1784" w:type="dxa"/>
            <w:vAlign w:val="center"/>
          </w:tcPr>
          <w:p w14:paraId="3ECB210B" w14:textId="77777777" w:rsidR="00A30EFB" w:rsidRDefault="00A30EFB" w:rsidP="005274C9">
            <w:pPr>
              <w:jc w:val="center"/>
              <w:rPr>
                <w:color w:val="FF0000"/>
                <w:spacing w:val="-2"/>
                <w:sz w:val="18"/>
                <w:szCs w:val="18"/>
              </w:rPr>
            </w:pPr>
            <w:r>
              <w:rPr>
                <w:rFonts w:hint="eastAsia"/>
                <w:sz w:val="18"/>
                <w:szCs w:val="18"/>
              </w:rPr>
              <w:t>电阻率</w:t>
            </w:r>
          </w:p>
        </w:tc>
        <w:tc>
          <w:tcPr>
            <w:tcW w:w="1909" w:type="dxa"/>
            <w:vAlign w:val="center"/>
          </w:tcPr>
          <w:p w14:paraId="11BF8707" w14:textId="77777777" w:rsidR="00A30EFB" w:rsidRDefault="00A30EFB" w:rsidP="005274C9">
            <w:pPr>
              <w:jc w:val="center"/>
              <w:rPr>
                <w:color w:val="000000"/>
                <w:spacing w:val="-2"/>
                <w:sz w:val="18"/>
                <w:szCs w:val="18"/>
              </w:rPr>
            </w:pPr>
            <w:r>
              <w:rPr>
                <w:rFonts w:hint="eastAsia"/>
                <w:color w:val="000000"/>
                <w:spacing w:val="-2"/>
                <w:sz w:val="18"/>
                <w:szCs w:val="18"/>
              </w:rPr>
              <w:t>3%</w:t>
            </w:r>
            <w:r>
              <w:rPr>
                <w:rFonts w:hint="eastAsia"/>
                <w:color w:val="000000"/>
                <w:spacing w:val="-2"/>
                <w:sz w:val="18"/>
                <w:szCs w:val="18"/>
              </w:rPr>
              <w:t>但不少于</w:t>
            </w:r>
            <w:r>
              <w:rPr>
                <w:rFonts w:hint="eastAsia"/>
                <w:color w:val="000000"/>
                <w:spacing w:val="-2"/>
                <w:sz w:val="18"/>
                <w:szCs w:val="18"/>
              </w:rPr>
              <w:t>2</w:t>
            </w:r>
            <w:r>
              <w:rPr>
                <w:rFonts w:hint="eastAsia"/>
                <w:color w:val="000000"/>
                <w:spacing w:val="-2"/>
                <w:sz w:val="18"/>
                <w:szCs w:val="18"/>
              </w:rPr>
              <w:t>个</w:t>
            </w:r>
          </w:p>
        </w:tc>
        <w:tc>
          <w:tcPr>
            <w:tcW w:w="2553" w:type="dxa"/>
            <w:vAlign w:val="center"/>
          </w:tcPr>
          <w:p w14:paraId="7BABDDD3" w14:textId="77777777" w:rsidR="00A30EFB" w:rsidRDefault="00A30EFB" w:rsidP="005274C9">
            <w:pPr>
              <w:jc w:val="center"/>
              <w:rPr>
                <w:color w:val="000000"/>
                <w:sz w:val="18"/>
                <w:szCs w:val="18"/>
              </w:rPr>
            </w:pPr>
            <w:r>
              <w:rPr>
                <w:rFonts w:hint="eastAsia"/>
                <w:color w:val="000000"/>
                <w:sz w:val="18"/>
                <w:szCs w:val="18"/>
              </w:rPr>
              <w:t>不同盘的合金材料上</w:t>
            </w:r>
          </w:p>
        </w:tc>
        <w:tc>
          <w:tcPr>
            <w:tcW w:w="2371" w:type="dxa"/>
            <w:vAlign w:val="center"/>
          </w:tcPr>
          <w:p w14:paraId="0B69D008" w14:textId="77777777" w:rsidR="00A30EFB" w:rsidRDefault="00A30EFB" w:rsidP="005274C9">
            <w:pPr>
              <w:jc w:val="center"/>
              <w:rPr>
                <w:sz w:val="18"/>
                <w:szCs w:val="18"/>
              </w:rPr>
            </w:pPr>
            <w:r>
              <w:rPr>
                <w:rFonts w:hint="eastAsia"/>
                <w:sz w:val="18"/>
                <w:szCs w:val="18"/>
              </w:rPr>
              <w:t>GB/T 1234-2012</w:t>
            </w:r>
          </w:p>
        </w:tc>
      </w:tr>
      <w:tr w:rsidR="00A30EFB" w14:paraId="12D58DEA" w14:textId="77777777" w:rsidTr="00A30EFB">
        <w:trPr>
          <w:trHeight w:val="258"/>
          <w:jc w:val="center"/>
        </w:trPr>
        <w:tc>
          <w:tcPr>
            <w:tcW w:w="663" w:type="dxa"/>
            <w:vAlign w:val="center"/>
          </w:tcPr>
          <w:p w14:paraId="44189D77" w14:textId="77777777" w:rsidR="00A30EFB" w:rsidRDefault="00A30EFB" w:rsidP="005274C9">
            <w:pPr>
              <w:jc w:val="center"/>
              <w:rPr>
                <w:sz w:val="18"/>
                <w:szCs w:val="18"/>
              </w:rPr>
            </w:pPr>
            <w:r>
              <w:rPr>
                <w:rFonts w:hint="eastAsia"/>
                <w:sz w:val="18"/>
                <w:szCs w:val="18"/>
              </w:rPr>
              <w:t>6</w:t>
            </w:r>
          </w:p>
        </w:tc>
        <w:tc>
          <w:tcPr>
            <w:tcW w:w="1784" w:type="dxa"/>
            <w:vAlign w:val="center"/>
          </w:tcPr>
          <w:p w14:paraId="7F5DA449" w14:textId="77777777" w:rsidR="00A30EFB" w:rsidRDefault="00A30EFB" w:rsidP="005274C9">
            <w:pPr>
              <w:jc w:val="center"/>
              <w:rPr>
                <w:color w:val="000000"/>
                <w:spacing w:val="-2"/>
                <w:sz w:val="18"/>
                <w:szCs w:val="18"/>
              </w:rPr>
            </w:pPr>
            <w:r>
              <w:rPr>
                <w:rFonts w:hint="eastAsia"/>
                <w:color w:val="000000"/>
                <w:spacing w:val="-2"/>
                <w:sz w:val="18"/>
                <w:szCs w:val="18"/>
              </w:rPr>
              <w:t>每米电阻</w:t>
            </w:r>
          </w:p>
        </w:tc>
        <w:tc>
          <w:tcPr>
            <w:tcW w:w="1909" w:type="dxa"/>
            <w:vAlign w:val="center"/>
          </w:tcPr>
          <w:p w14:paraId="46747E5A" w14:textId="77777777" w:rsidR="00A30EFB" w:rsidRDefault="00A30EFB" w:rsidP="005274C9">
            <w:pPr>
              <w:jc w:val="center"/>
              <w:rPr>
                <w:color w:val="000000"/>
                <w:spacing w:val="-2"/>
                <w:sz w:val="18"/>
                <w:szCs w:val="18"/>
              </w:rPr>
            </w:pPr>
            <w:r>
              <w:rPr>
                <w:rFonts w:hint="eastAsia"/>
                <w:color w:val="000000"/>
                <w:spacing w:val="-2"/>
                <w:sz w:val="18"/>
                <w:szCs w:val="18"/>
              </w:rPr>
              <w:t>1</w:t>
            </w:r>
            <w:r>
              <w:rPr>
                <w:rFonts w:hint="eastAsia"/>
                <w:color w:val="000000"/>
                <w:spacing w:val="-2"/>
                <w:sz w:val="18"/>
                <w:szCs w:val="18"/>
              </w:rPr>
              <w:t>个</w:t>
            </w:r>
          </w:p>
        </w:tc>
        <w:tc>
          <w:tcPr>
            <w:tcW w:w="2553" w:type="dxa"/>
            <w:vAlign w:val="center"/>
          </w:tcPr>
          <w:p w14:paraId="7E202A05" w14:textId="77777777" w:rsidR="00A30EFB" w:rsidRDefault="00A30EFB" w:rsidP="005274C9">
            <w:pPr>
              <w:jc w:val="center"/>
              <w:rPr>
                <w:color w:val="000000"/>
                <w:sz w:val="18"/>
                <w:szCs w:val="18"/>
              </w:rPr>
            </w:pPr>
            <w:r>
              <w:rPr>
                <w:rFonts w:hint="eastAsia"/>
                <w:color w:val="000000"/>
                <w:sz w:val="18"/>
                <w:szCs w:val="18"/>
              </w:rPr>
              <w:t>每盘合金材料上</w:t>
            </w:r>
          </w:p>
        </w:tc>
        <w:tc>
          <w:tcPr>
            <w:tcW w:w="2371" w:type="dxa"/>
            <w:vAlign w:val="center"/>
          </w:tcPr>
          <w:p w14:paraId="32F8EE2A" w14:textId="77777777" w:rsidR="00A30EFB" w:rsidRDefault="00A30EFB" w:rsidP="005274C9">
            <w:pPr>
              <w:jc w:val="center"/>
              <w:rPr>
                <w:sz w:val="18"/>
                <w:szCs w:val="18"/>
              </w:rPr>
            </w:pPr>
            <w:r>
              <w:rPr>
                <w:rFonts w:hint="eastAsia"/>
                <w:sz w:val="18"/>
                <w:szCs w:val="18"/>
              </w:rPr>
              <w:t>GB/T 6146</w:t>
            </w:r>
          </w:p>
        </w:tc>
      </w:tr>
      <w:tr w:rsidR="00A30EFB" w14:paraId="726C6280" w14:textId="77777777" w:rsidTr="00A30EFB">
        <w:trPr>
          <w:trHeight w:val="258"/>
          <w:jc w:val="center"/>
        </w:trPr>
        <w:tc>
          <w:tcPr>
            <w:tcW w:w="663" w:type="dxa"/>
            <w:vAlign w:val="center"/>
          </w:tcPr>
          <w:p w14:paraId="25B1F684" w14:textId="77777777" w:rsidR="00A30EFB" w:rsidRDefault="00A30EFB" w:rsidP="005274C9">
            <w:pPr>
              <w:jc w:val="center"/>
              <w:rPr>
                <w:sz w:val="18"/>
                <w:szCs w:val="18"/>
              </w:rPr>
            </w:pPr>
            <w:r>
              <w:rPr>
                <w:rFonts w:hint="eastAsia"/>
                <w:sz w:val="18"/>
                <w:szCs w:val="18"/>
              </w:rPr>
              <w:t>7</w:t>
            </w:r>
          </w:p>
        </w:tc>
        <w:tc>
          <w:tcPr>
            <w:tcW w:w="1784" w:type="dxa"/>
            <w:vAlign w:val="center"/>
          </w:tcPr>
          <w:p w14:paraId="374AFBBF" w14:textId="77777777" w:rsidR="00A30EFB" w:rsidRDefault="00A30EFB" w:rsidP="005274C9">
            <w:pPr>
              <w:jc w:val="center"/>
              <w:rPr>
                <w:color w:val="000000"/>
                <w:spacing w:val="-2"/>
                <w:sz w:val="18"/>
                <w:szCs w:val="18"/>
              </w:rPr>
            </w:pPr>
            <w:r>
              <w:rPr>
                <w:rFonts w:hint="eastAsia"/>
                <w:color w:val="000000"/>
                <w:spacing w:val="-2"/>
                <w:sz w:val="18"/>
                <w:szCs w:val="18"/>
              </w:rPr>
              <w:t>快速寿命</w:t>
            </w:r>
          </w:p>
        </w:tc>
        <w:tc>
          <w:tcPr>
            <w:tcW w:w="1909" w:type="dxa"/>
            <w:vAlign w:val="center"/>
          </w:tcPr>
          <w:p w14:paraId="52A8A767" w14:textId="77777777" w:rsidR="00A30EFB" w:rsidRDefault="00A30EFB" w:rsidP="005274C9">
            <w:pPr>
              <w:jc w:val="center"/>
              <w:rPr>
                <w:color w:val="000000"/>
                <w:spacing w:val="-2"/>
                <w:sz w:val="18"/>
                <w:szCs w:val="18"/>
              </w:rPr>
            </w:pPr>
            <w:r>
              <w:rPr>
                <w:rFonts w:hint="eastAsia"/>
                <w:color w:val="000000"/>
                <w:spacing w:val="-2"/>
                <w:sz w:val="18"/>
                <w:szCs w:val="18"/>
              </w:rPr>
              <w:t>3</w:t>
            </w:r>
            <w:r>
              <w:rPr>
                <w:rFonts w:hint="eastAsia"/>
                <w:color w:val="000000"/>
                <w:spacing w:val="-2"/>
                <w:sz w:val="18"/>
                <w:szCs w:val="18"/>
              </w:rPr>
              <w:t>个组</w:t>
            </w:r>
          </w:p>
        </w:tc>
        <w:tc>
          <w:tcPr>
            <w:tcW w:w="2553" w:type="dxa"/>
            <w:vAlign w:val="center"/>
          </w:tcPr>
          <w:p w14:paraId="2B2AEC2B" w14:textId="77777777" w:rsidR="00A30EFB" w:rsidRDefault="00A30EFB" w:rsidP="005274C9">
            <w:pPr>
              <w:jc w:val="center"/>
              <w:rPr>
                <w:color w:val="000000"/>
                <w:sz w:val="18"/>
                <w:szCs w:val="18"/>
              </w:rPr>
            </w:pPr>
            <w:r>
              <w:rPr>
                <w:rFonts w:hint="eastAsia"/>
                <w:color w:val="000000"/>
                <w:sz w:val="18"/>
                <w:szCs w:val="18"/>
              </w:rPr>
              <w:t>同一盘合金材料上</w:t>
            </w:r>
          </w:p>
        </w:tc>
        <w:tc>
          <w:tcPr>
            <w:tcW w:w="2371" w:type="dxa"/>
            <w:vAlign w:val="center"/>
          </w:tcPr>
          <w:p w14:paraId="28B2E79E" w14:textId="77777777" w:rsidR="00A30EFB" w:rsidRDefault="00A30EFB" w:rsidP="005274C9">
            <w:pPr>
              <w:jc w:val="center"/>
              <w:rPr>
                <w:sz w:val="18"/>
                <w:szCs w:val="18"/>
              </w:rPr>
            </w:pPr>
            <w:r>
              <w:rPr>
                <w:rFonts w:hint="eastAsia"/>
                <w:sz w:val="18"/>
                <w:szCs w:val="18"/>
              </w:rPr>
              <w:t>GB/T 13300</w:t>
            </w:r>
          </w:p>
        </w:tc>
      </w:tr>
      <w:tr w:rsidR="00A30EFB" w14:paraId="73E71FC4" w14:textId="77777777" w:rsidTr="00A30EFB">
        <w:trPr>
          <w:trHeight w:val="258"/>
          <w:jc w:val="center"/>
        </w:trPr>
        <w:tc>
          <w:tcPr>
            <w:tcW w:w="663" w:type="dxa"/>
            <w:vAlign w:val="center"/>
          </w:tcPr>
          <w:p w14:paraId="430BBAFE" w14:textId="77777777" w:rsidR="00A30EFB" w:rsidRDefault="00A30EFB" w:rsidP="005274C9">
            <w:pPr>
              <w:jc w:val="center"/>
              <w:rPr>
                <w:sz w:val="18"/>
                <w:szCs w:val="18"/>
              </w:rPr>
            </w:pPr>
            <w:r>
              <w:rPr>
                <w:rFonts w:hint="eastAsia"/>
                <w:sz w:val="18"/>
                <w:szCs w:val="18"/>
              </w:rPr>
              <w:t>8</w:t>
            </w:r>
          </w:p>
        </w:tc>
        <w:tc>
          <w:tcPr>
            <w:tcW w:w="1784" w:type="dxa"/>
            <w:vAlign w:val="center"/>
          </w:tcPr>
          <w:p w14:paraId="34116ABB" w14:textId="77777777" w:rsidR="00A30EFB" w:rsidRDefault="00A30EFB" w:rsidP="005274C9">
            <w:pPr>
              <w:jc w:val="center"/>
              <w:rPr>
                <w:color w:val="000000"/>
                <w:spacing w:val="-2"/>
                <w:sz w:val="18"/>
                <w:szCs w:val="18"/>
              </w:rPr>
            </w:pPr>
            <w:r>
              <w:rPr>
                <w:rFonts w:hint="eastAsia"/>
                <w:color w:val="000000"/>
                <w:spacing w:val="-2"/>
                <w:sz w:val="18"/>
                <w:szCs w:val="18"/>
              </w:rPr>
              <w:t>电阻均匀性</w:t>
            </w:r>
          </w:p>
        </w:tc>
        <w:tc>
          <w:tcPr>
            <w:tcW w:w="1909" w:type="dxa"/>
            <w:vAlign w:val="center"/>
          </w:tcPr>
          <w:p w14:paraId="1B385437" w14:textId="77777777" w:rsidR="00A30EFB" w:rsidRDefault="00A30EFB" w:rsidP="005274C9">
            <w:pPr>
              <w:jc w:val="center"/>
              <w:rPr>
                <w:color w:val="000000"/>
                <w:spacing w:val="-2"/>
                <w:sz w:val="18"/>
                <w:szCs w:val="18"/>
              </w:rPr>
            </w:pPr>
            <w:r>
              <w:rPr>
                <w:rFonts w:hint="eastAsia"/>
                <w:color w:val="000000"/>
                <w:spacing w:val="-2"/>
                <w:sz w:val="18"/>
                <w:szCs w:val="18"/>
              </w:rPr>
              <w:t>2</w:t>
            </w:r>
            <w:r>
              <w:rPr>
                <w:rFonts w:hint="eastAsia"/>
                <w:color w:val="000000"/>
                <w:spacing w:val="-2"/>
                <w:sz w:val="18"/>
                <w:szCs w:val="18"/>
              </w:rPr>
              <w:t>个</w:t>
            </w:r>
          </w:p>
        </w:tc>
        <w:tc>
          <w:tcPr>
            <w:tcW w:w="2553" w:type="dxa"/>
            <w:vAlign w:val="center"/>
          </w:tcPr>
          <w:p w14:paraId="5B037202" w14:textId="77777777" w:rsidR="00A30EFB" w:rsidRDefault="00A30EFB" w:rsidP="005274C9">
            <w:pPr>
              <w:jc w:val="center"/>
              <w:rPr>
                <w:color w:val="000000"/>
                <w:sz w:val="18"/>
                <w:szCs w:val="18"/>
              </w:rPr>
            </w:pPr>
            <w:r>
              <w:rPr>
                <w:rFonts w:hint="eastAsia"/>
                <w:color w:val="000000"/>
                <w:sz w:val="18"/>
                <w:szCs w:val="18"/>
              </w:rPr>
              <w:t>每盘合金材料的头、尾</w:t>
            </w:r>
          </w:p>
        </w:tc>
        <w:tc>
          <w:tcPr>
            <w:tcW w:w="2371" w:type="dxa"/>
            <w:vAlign w:val="center"/>
          </w:tcPr>
          <w:p w14:paraId="2E39A120" w14:textId="77777777" w:rsidR="00A30EFB" w:rsidRDefault="00A30EFB" w:rsidP="005274C9">
            <w:pPr>
              <w:jc w:val="center"/>
              <w:rPr>
                <w:sz w:val="18"/>
                <w:szCs w:val="18"/>
              </w:rPr>
            </w:pPr>
            <w:r>
              <w:rPr>
                <w:rFonts w:hint="eastAsia"/>
                <w:sz w:val="18"/>
                <w:szCs w:val="18"/>
              </w:rPr>
              <w:t>GB/T 1234-2012</w:t>
            </w:r>
          </w:p>
        </w:tc>
      </w:tr>
    </w:tbl>
    <w:p w14:paraId="7F1EAC1F" w14:textId="62F0FC88"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A30EFB">
        <w:rPr>
          <w:rFonts w:ascii="Times New Roman" w:eastAsia="仿宋_GB2312" w:hAnsi="Times New Roman" w:cs="Times New Roman" w:hint="eastAsia"/>
          <w:sz w:val="28"/>
          <w:szCs w:val="28"/>
        </w:rPr>
        <w:t>七</w:t>
      </w:r>
      <w:r w:rsidRPr="00F013CC">
        <w:rPr>
          <w:rFonts w:ascii="Times New Roman" w:eastAsia="仿宋_GB2312" w:hAnsi="Times New Roman" w:cs="Times New Roman"/>
          <w:sz w:val="28"/>
          <w:szCs w:val="28"/>
        </w:rPr>
        <w:t>）检验规则</w:t>
      </w:r>
    </w:p>
    <w:p w14:paraId="5376EA53"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 xml:space="preserve">1. </w:t>
      </w:r>
      <w:r w:rsidR="0072201A" w:rsidRPr="00F013CC">
        <w:rPr>
          <w:rFonts w:ascii="Times New Roman" w:eastAsia="仿宋_GB2312" w:hAnsi="Times New Roman" w:cs="Times New Roman"/>
          <w:sz w:val="28"/>
          <w:szCs w:val="28"/>
        </w:rPr>
        <w:t>检查和验收</w:t>
      </w:r>
    </w:p>
    <w:p w14:paraId="56BE2D27" w14:textId="5FD259CA" w:rsidR="001D18A9" w:rsidRPr="00F013CC" w:rsidRDefault="00A30EFB" w:rsidP="005A6F0A">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t>盘条的检查应由供方质量检验部门进行</w:t>
      </w:r>
      <w:r w:rsidR="00C65E59" w:rsidRPr="00C65E59">
        <w:rPr>
          <w:rFonts w:ascii="Times New Roman" w:eastAsia="仿宋_GB2312" w:hAnsi="Times New Roman" w:cs="Times New Roman" w:hint="eastAsia"/>
          <w:sz w:val="28"/>
          <w:szCs w:val="28"/>
        </w:rPr>
        <w:t>。</w:t>
      </w:r>
    </w:p>
    <w:p w14:paraId="0E2AE56C"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2. </w:t>
      </w:r>
      <w:r w:rsidR="0072201A" w:rsidRPr="00F013CC">
        <w:rPr>
          <w:rFonts w:ascii="Times New Roman" w:eastAsia="仿宋_GB2312" w:hAnsi="Times New Roman" w:cs="Times New Roman"/>
          <w:sz w:val="28"/>
          <w:szCs w:val="28"/>
        </w:rPr>
        <w:t>组批规则</w:t>
      </w:r>
    </w:p>
    <w:p w14:paraId="58D70FCD" w14:textId="51E43EB5" w:rsidR="001D18A9" w:rsidRPr="00F013CC" w:rsidRDefault="00A30EFB" w:rsidP="005A6F0A">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t>盘条应按批检查和验收，每批由同一牌号、同一熔炼炉号、同一规格、同一加工方法、同一热处理制度（或炉批）的盘条组成。采用电渣重熔冶炼的合金，在工艺稳定、且能保证本文件各项技术要求的条件下，允许以自耗电极的熔炼母炉号组批交货，并在质量证明书中注明。</w:t>
      </w:r>
    </w:p>
    <w:p w14:paraId="03E5365A" w14:textId="4DFEA5F3"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3. </w:t>
      </w:r>
      <w:r w:rsidR="008D3BC6">
        <w:rPr>
          <w:rFonts w:ascii="Times New Roman" w:eastAsia="仿宋_GB2312" w:hAnsi="Times New Roman" w:cs="Times New Roman" w:hint="eastAsia"/>
          <w:sz w:val="28"/>
          <w:szCs w:val="28"/>
        </w:rPr>
        <w:t>取样数量</w:t>
      </w:r>
    </w:p>
    <w:p w14:paraId="67AC09BE" w14:textId="51779A6A" w:rsidR="008D3BC6" w:rsidRDefault="00A30EFB" w:rsidP="005A6F0A">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t>每批盘条的取样数量见表</w:t>
      </w:r>
      <w:r w:rsidRPr="00A30EFB">
        <w:rPr>
          <w:rFonts w:ascii="Times New Roman" w:eastAsia="仿宋_GB2312" w:hAnsi="Times New Roman" w:cs="Times New Roman" w:hint="eastAsia"/>
          <w:sz w:val="28"/>
          <w:szCs w:val="28"/>
        </w:rPr>
        <w:t>6</w:t>
      </w:r>
      <w:r w:rsidR="008D3BC6" w:rsidRPr="008D3BC6">
        <w:rPr>
          <w:rFonts w:ascii="Times New Roman" w:eastAsia="仿宋_GB2312" w:hAnsi="Times New Roman" w:cs="Times New Roman" w:hint="eastAsia"/>
          <w:sz w:val="28"/>
          <w:szCs w:val="28"/>
        </w:rPr>
        <w:t>。</w:t>
      </w:r>
    </w:p>
    <w:p w14:paraId="3D5732C1" w14:textId="458ECE1D"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sidR="0072201A" w:rsidRPr="00F013CC">
        <w:rPr>
          <w:rFonts w:ascii="Times New Roman" w:eastAsia="仿宋_GB2312" w:hAnsi="Times New Roman" w:cs="Times New Roman"/>
          <w:sz w:val="28"/>
          <w:szCs w:val="28"/>
        </w:rPr>
        <w:t>复验和判定</w:t>
      </w:r>
    </w:p>
    <w:p w14:paraId="4D86151F" w14:textId="7E41899E" w:rsidR="0072201A" w:rsidRPr="00F013CC" w:rsidRDefault="00A30EFB" w:rsidP="005A6F0A">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t>盘条的检验结果若有一项不合格时，则该盘为不合格。允许从未检验的盘中取双倍试样对不合格项目进行复验。如果复验结果仍不合格时，则该批判为不合格。但可逐盘进行检验，合格者交货。供方可以将不合格的盘条重新加工，重新组批提交验收</w:t>
      </w:r>
    </w:p>
    <w:p w14:paraId="730F0533" w14:textId="0E701B60"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D18A9" w:rsidRPr="00F013CC">
        <w:rPr>
          <w:rFonts w:ascii="Times New Roman" w:eastAsia="仿宋_GB2312" w:hAnsi="Times New Roman" w:cs="Times New Roman"/>
          <w:sz w:val="28"/>
          <w:szCs w:val="28"/>
        </w:rPr>
        <w:t xml:space="preserve">. </w:t>
      </w:r>
      <w:r w:rsidR="0072201A" w:rsidRPr="00F013CC">
        <w:rPr>
          <w:rFonts w:ascii="Times New Roman" w:eastAsia="仿宋_GB2312" w:hAnsi="Times New Roman" w:cs="Times New Roman"/>
          <w:sz w:val="28"/>
          <w:szCs w:val="28"/>
        </w:rPr>
        <w:t>数值修约</w:t>
      </w:r>
    </w:p>
    <w:p w14:paraId="7BB7206A" w14:textId="60AD158C" w:rsidR="008D3BC6" w:rsidRDefault="00C65E59" w:rsidP="005A6F0A">
      <w:pPr>
        <w:spacing w:line="360" w:lineRule="auto"/>
        <w:ind w:firstLineChars="200" w:firstLine="560"/>
        <w:rPr>
          <w:rFonts w:ascii="Times New Roman" w:eastAsia="仿宋_GB2312" w:hAnsi="Times New Roman" w:cs="Times New Roman"/>
          <w:sz w:val="28"/>
          <w:szCs w:val="28"/>
        </w:rPr>
      </w:pPr>
      <w:r w:rsidRPr="00C65E59">
        <w:rPr>
          <w:rFonts w:ascii="Times New Roman" w:eastAsia="仿宋_GB2312" w:hAnsi="Times New Roman" w:cs="Times New Roman" w:hint="eastAsia"/>
          <w:sz w:val="28"/>
          <w:szCs w:val="28"/>
        </w:rPr>
        <w:t>数值判定采用修约值比较法进行修约，修约规则应符合</w:t>
      </w:r>
      <w:r w:rsidRPr="00C65E59">
        <w:rPr>
          <w:rFonts w:ascii="Times New Roman" w:eastAsia="仿宋_GB2312" w:hAnsi="Times New Roman" w:cs="Times New Roman" w:hint="eastAsia"/>
          <w:sz w:val="28"/>
          <w:szCs w:val="28"/>
        </w:rPr>
        <w:t>GB/T 8170</w:t>
      </w:r>
      <w:r w:rsidRPr="00C65E59">
        <w:rPr>
          <w:rFonts w:ascii="Times New Roman" w:eastAsia="仿宋_GB2312" w:hAnsi="Times New Roman" w:cs="Times New Roman" w:hint="eastAsia"/>
          <w:sz w:val="28"/>
          <w:szCs w:val="28"/>
        </w:rPr>
        <w:t>的规定</w:t>
      </w:r>
      <w:r w:rsidR="008D3BC6">
        <w:rPr>
          <w:rFonts w:ascii="Times New Roman" w:eastAsia="仿宋_GB2312" w:hAnsi="Times New Roman" w:cs="Times New Roman" w:hint="eastAsia"/>
          <w:sz w:val="28"/>
          <w:szCs w:val="28"/>
        </w:rPr>
        <w:t>。</w:t>
      </w:r>
    </w:p>
    <w:p w14:paraId="10B40F9F" w14:textId="02324D4E" w:rsidR="001351BC" w:rsidRPr="00F013CC" w:rsidRDefault="001351BC"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A30EFB">
        <w:rPr>
          <w:rFonts w:ascii="Times New Roman" w:eastAsia="仿宋_GB2312" w:hAnsi="Times New Roman" w:cs="Times New Roman" w:hint="eastAsia"/>
          <w:sz w:val="28"/>
          <w:szCs w:val="28"/>
        </w:rPr>
        <w:t>八</w:t>
      </w:r>
      <w:r w:rsidRPr="00F013CC">
        <w:rPr>
          <w:rFonts w:ascii="Times New Roman" w:eastAsia="仿宋_GB2312" w:hAnsi="Times New Roman" w:cs="Times New Roman"/>
          <w:sz w:val="28"/>
          <w:szCs w:val="28"/>
        </w:rPr>
        <w:t>）包装、标志和质量证明书</w:t>
      </w:r>
    </w:p>
    <w:p w14:paraId="66C7F0F2" w14:textId="0434EFBF" w:rsidR="004B605A" w:rsidRPr="00F013CC" w:rsidRDefault="00A30EFB" w:rsidP="00A30EFB">
      <w:pPr>
        <w:spacing w:line="360" w:lineRule="auto"/>
        <w:ind w:firstLineChars="200" w:firstLine="560"/>
        <w:rPr>
          <w:rFonts w:ascii="Times New Roman" w:eastAsia="仿宋_GB2312" w:hAnsi="Times New Roman" w:cs="Times New Roman"/>
          <w:sz w:val="28"/>
          <w:szCs w:val="28"/>
        </w:rPr>
      </w:pPr>
      <w:r w:rsidRPr="00A30EFB">
        <w:rPr>
          <w:rFonts w:ascii="Times New Roman" w:eastAsia="仿宋_GB2312" w:hAnsi="Times New Roman" w:cs="Times New Roman" w:hint="eastAsia"/>
          <w:sz w:val="28"/>
          <w:szCs w:val="28"/>
        </w:rPr>
        <w:t>盘条的包装、标志和质量证明书应符合</w:t>
      </w:r>
      <w:r w:rsidRPr="00A30EFB">
        <w:rPr>
          <w:rFonts w:ascii="Times New Roman" w:eastAsia="仿宋_GB2312" w:hAnsi="Times New Roman" w:cs="Times New Roman" w:hint="eastAsia"/>
          <w:sz w:val="28"/>
          <w:szCs w:val="28"/>
        </w:rPr>
        <w:t>YB/T 5242</w:t>
      </w:r>
      <w:r w:rsidRPr="00A30EFB">
        <w:rPr>
          <w:rFonts w:ascii="Times New Roman" w:eastAsia="仿宋_GB2312" w:hAnsi="Times New Roman" w:cs="Times New Roman" w:hint="eastAsia"/>
          <w:sz w:val="28"/>
          <w:szCs w:val="28"/>
        </w:rPr>
        <w:t>的规定。经供需双方协商，并在合同中注明，供方可用能保证在运输和贮存中保持盘条表面质量和性能不受影响的其他材料进行包装</w:t>
      </w:r>
      <w:r w:rsidR="004B605A" w:rsidRPr="00F013CC">
        <w:rPr>
          <w:rFonts w:ascii="Times New Roman" w:eastAsia="仿宋_GB2312" w:hAnsi="Times New Roman" w:cs="Times New Roman"/>
          <w:sz w:val="28"/>
          <w:szCs w:val="28"/>
        </w:rPr>
        <w:t>。</w:t>
      </w:r>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lastRenderedPageBreak/>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0F7B689A"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八、标准水平及预期效果</w:t>
      </w:r>
    </w:p>
    <w:p w14:paraId="62284DDB" w14:textId="6AD2AA4B"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3D43ED">
        <w:rPr>
          <w:rFonts w:ascii="Times New Roman" w:eastAsia="仿宋_GB2312" w:hAnsi="Times New Roman" w:cs="Times New Roman" w:hint="eastAsia"/>
          <w:sz w:val="28"/>
          <w:szCs w:val="28"/>
        </w:rPr>
        <w:t>高电阻电热合金盘条</w:t>
      </w:r>
      <w:r w:rsidRPr="00F013CC">
        <w:rPr>
          <w:rFonts w:ascii="Times New Roman" w:eastAsia="仿宋_GB2312" w:hAnsi="Times New Roman" w:cs="Times New Roman"/>
          <w:sz w:val="28"/>
          <w:szCs w:val="28"/>
        </w:rPr>
        <w:t>的生产、销售和使用，对</w:t>
      </w:r>
      <w:r w:rsidR="00BE57D4">
        <w:rPr>
          <w:rFonts w:ascii="Times New Roman" w:eastAsia="仿宋_GB2312" w:hAnsi="Times New Roman" w:cs="Times New Roman" w:hint="eastAsia"/>
          <w:sz w:val="28"/>
          <w:szCs w:val="28"/>
        </w:rPr>
        <w:t>该产品的</w:t>
      </w:r>
      <w:r w:rsidRPr="00F013CC">
        <w:rPr>
          <w:rFonts w:ascii="Times New Roman" w:eastAsia="仿宋_GB2312" w:hAnsi="Times New Roman" w:cs="Times New Roman"/>
          <w:sz w:val="28"/>
          <w:szCs w:val="28"/>
        </w:rPr>
        <w:t>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0C688828"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九、贯彻要求及建议</w:t>
      </w:r>
    </w:p>
    <w:p w14:paraId="0989B819" w14:textId="455FF914"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3D43ED">
        <w:rPr>
          <w:rFonts w:ascii="Times New Roman" w:eastAsia="仿宋_GB2312" w:hAnsi="Times New Roman" w:cs="Times New Roman" w:hint="eastAsia"/>
          <w:sz w:val="28"/>
          <w:szCs w:val="28"/>
        </w:rPr>
        <w:t>高电阻电热合金盘条</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生产、贸易和使用等相关单位进行宣贯执行。</w:t>
      </w:r>
    </w:p>
    <w:sectPr w:rsidR="005A6F0A" w:rsidRPr="00F013CC" w:rsidSect="0069154B">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3E8F3" w14:textId="77777777" w:rsidR="00452C45" w:rsidRDefault="00452C45" w:rsidP="005A6F0A">
      <w:r>
        <w:separator/>
      </w:r>
    </w:p>
  </w:endnote>
  <w:endnote w:type="continuationSeparator" w:id="0">
    <w:p w14:paraId="238BFF20" w14:textId="77777777" w:rsidR="00452C45" w:rsidRDefault="00452C45"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855296"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855296" w:rsidRDefault="008552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855296" w:rsidRDefault="0083049F" w:rsidP="0031479A">
    <w:pPr>
      <w:pStyle w:val="a5"/>
      <w:jc w:val="center"/>
    </w:pPr>
    <w:r>
      <w:fldChar w:fldCharType="begin"/>
    </w:r>
    <w:r w:rsidR="007E35B3">
      <w:instrText>PAGE   \* MERGEFORMAT</w:instrText>
    </w:r>
    <w:r>
      <w:fldChar w:fldCharType="separate"/>
    </w:r>
    <w:r w:rsidR="00872067" w:rsidRPr="00872067">
      <w:rPr>
        <w:noProof/>
        <w:lang w:val="zh-CN"/>
      </w:rPr>
      <w:t>8</w:t>
    </w:r>
    <w:r>
      <w:fldChar w:fldCharType="end"/>
    </w:r>
  </w:p>
  <w:p w14:paraId="0FF6134B" w14:textId="77777777" w:rsidR="00855296" w:rsidRDefault="00855296"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55296" w:rsidRDefault="008552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AC0E8" w14:textId="77777777" w:rsidR="00452C45" w:rsidRDefault="00452C45" w:rsidP="005A6F0A">
      <w:r>
        <w:separator/>
      </w:r>
    </w:p>
  </w:footnote>
  <w:footnote w:type="continuationSeparator" w:id="0">
    <w:p w14:paraId="348B3225" w14:textId="77777777" w:rsidR="00452C45" w:rsidRDefault="00452C45"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51EF"/>
    <w:rsid w:val="00027A9C"/>
    <w:rsid w:val="00031DBD"/>
    <w:rsid w:val="00032FE7"/>
    <w:rsid w:val="00033909"/>
    <w:rsid w:val="000355B2"/>
    <w:rsid w:val="00037363"/>
    <w:rsid w:val="00037D2E"/>
    <w:rsid w:val="000401F0"/>
    <w:rsid w:val="000415CF"/>
    <w:rsid w:val="000442B8"/>
    <w:rsid w:val="000454C2"/>
    <w:rsid w:val="00047514"/>
    <w:rsid w:val="00050447"/>
    <w:rsid w:val="000541E0"/>
    <w:rsid w:val="00054F7B"/>
    <w:rsid w:val="00056414"/>
    <w:rsid w:val="00080305"/>
    <w:rsid w:val="00080DFB"/>
    <w:rsid w:val="00081755"/>
    <w:rsid w:val="00084CA1"/>
    <w:rsid w:val="00086FC6"/>
    <w:rsid w:val="000878B0"/>
    <w:rsid w:val="000878C0"/>
    <w:rsid w:val="00093B3E"/>
    <w:rsid w:val="00094009"/>
    <w:rsid w:val="0009487D"/>
    <w:rsid w:val="00094A1B"/>
    <w:rsid w:val="000A239E"/>
    <w:rsid w:val="000A29C0"/>
    <w:rsid w:val="000A4F69"/>
    <w:rsid w:val="000A5354"/>
    <w:rsid w:val="000A563E"/>
    <w:rsid w:val="000A7F28"/>
    <w:rsid w:val="000B2457"/>
    <w:rsid w:val="000B376B"/>
    <w:rsid w:val="000C22FB"/>
    <w:rsid w:val="000C38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97BD8"/>
    <w:rsid w:val="001A1B43"/>
    <w:rsid w:val="001A2A80"/>
    <w:rsid w:val="001A3676"/>
    <w:rsid w:val="001A4246"/>
    <w:rsid w:val="001A7DA7"/>
    <w:rsid w:val="001B2747"/>
    <w:rsid w:val="001B3F15"/>
    <w:rsid w:val="001B5AF3"/>
    <w:rsid w:val="001B6B26"/>
    <w:rsid w:val="001C04A2"/>
    <w:rsid w:val="001C1975"/>
    <w:rsid w:val="001C3C21"/>
    <w:rsid w:val="001D02F9"/>
    <w:rsid w:val="001D1047"/>
    <w:rsid w:val="001D18A9"/>
    <w:rsid w:val="001D1C23"/>
    <w:rsid w:val="001E4FEA"/>
    <w:rsid w:val="001E74CC"/>
    <w:rsid w:val="001F048F"/>
    <w:rsid w:val="001F235E"/>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57DD0"/>
    <w:rsid w:val="0026278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F32"/>
    <w:rsid w:val="00395193"/>
    <w:rsid w:val="003951A1"/>
    <w:rsid w:val="003A1B45"/>
    <w:rsid w:val="003A1D33"/>
    <w:rsid w:val="003A389A"/>
    <w:rsid w:val="003B0CEF"/>
    <w:rsid w:val="003B352D"/>
    <w:rsid w:val="003B5801"/>
    <w:rsid w:val="003B628A"/>
    <w:rsid w:val="003B6B80"/>
    <w:rsid w:val="003C2393"/>
    <w:rsid w:val="003C7E56"/>
    <w:rsid w:val="003D047A"/>
    <w:rsid w:val="003D07DE"/>
    <w:rsid w:val="003D43ED"/>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CE9"/>
    <w:rsid w:val="004529F8"/>
    <w:rsid w:val="00452C45"/>
    <w:rsid w:val="0046074A"/>
    <w:rsid w:val="00463F66"/>
    <w:rsid w:val="00465C28"/>
    <w:rsid w:val="0046652A"/>
    <w:rsid w:val="00477322"/>
    <w:rsid w:val="004820CA"/>
    <w:rsid w:val="00482943"/>
    <w:rsid w:val="0048347D"/>
    <w:rsid w:val="0048425A"/>
    <w:rsid w:val="0048740B"/>
    <w:rsid w:val="0049303E"/>
    <w:rsid w:val="00493F1E"/>
    <w:rsid w:val="0049759C"/>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0E30"/>
    <w:rsid w:val="0053262C"/>
    <w:rsid w:val="0053605D"/>
    <w:rsid w:val="00536EBC"/>
    <w:rsid w:val="00547C3F"/>
    <w:rsid w:val="0055323C"/>
    <w:rsid w:val="0055530C"/>
    <w:rsid w:val="00555EEF"/>
    <w:rsid w:val="00555FB9"/>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10ED"/>
    <w:rsid w:val="00601C34"/>
    <w:rsid w:val="00601EB8"/>
    <w:rsid w:val="0060210E"/>
    <w:rsid w:val="006031B1"/>
    <w:rsid w:val="00606094"/>
    <w:rsid w:val="00606212"/>
    <w:rsid w:val="00610406"/>
    <w:rsid w:val="00615DEF"/>
    <w:rsid w:val="00617908"/>
    <w:rsid w:val="0062057F"/>
    <w:rsid w:val="00624FCE"/>
    <w:rsid w:val="00625FD6"/>
    <w:rsid w:val="00630914"/>
    <w:rsid w:val="00630F6A"/>
    <w:rsid w:val="0063233B"/>
    <w:rsid w:val="00634F35"/>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154B"/>
    <w:rsid w:val="0069262A"/>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1C7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B3"/>
    <w:rsid w:val="007F4889"/>
    <w:rsid w:val="007F7083"/>
    <w:rsid w:val="007F7ADD"/>
    <w:rsid w:val="00802637"/>
    <w:rsid w:val="00806C82"/>
    <w:rsid w:val="00807DEB"/>
    <w:rsid w:val="00810015"/>
    <w:rsid w:val="00810CC8"/>
    <w:rsid w:val="00815195"/>
    <w:rsid w:val="00821B34"/>
    <w:rsid w:val="00826789"/>
    <w:rsid w:val="008270FE"/>
    <w:rsid w:val="0083049F"/>
    <w:rsid w:val="008309FE"/>
    <w:rsid w:val="008312A7"/>
    <w:rsid w:val="00834CBE"/>
    <w:rsid w:val="00840DDC"/>
    <w:rsid w:val="008446C6"/>
    <w:rsid w:val="00844B23"/>
    <w:rsid w:val="00844BCB"/>
    <w:rsid w:val="00850135"/>
    <w:rsid w:val="00850561"/>
    <w:rsid w:val="00855296"/>
    <w:rsid w:val="008563E4"/>
    <w:rsid w:val="00863427"/>
    <w:rsid w:val="008646BE"/>
    <w:rsid w:val="00866C26"/>
    <w:rsid w:val="00867432"/>
    <w:rsid w:val="00872067"/>
    <w:rsid w:val="0087707D"/>
    <w:rsid w:val="00882594"/>
    <w:rsid w:val="008846D4"/>
    <w:rsid w:val="00884CD1"/>
    <w:rsid w:val="0089189F"/>
    <w:rsid w:val="00891B9A"/>
    <w:rsid w:val="00892D4F"/>
    <w:rsid w:val="00894699"/>
    <w:rsid w:val="00896774"/>
    <w:rsid w:val="00896863"/>
    <w:rsid w:val="008A40DB"/>
    <w:rsid w:val="008A4713"/>
    <w:rsid w:val="008A666E"/>
    <w:rsid w:val="008B3D11"/>
    <w:rsid w:val="008B4C59"/>
    <w:rsid w:val="008B5D9D"/>
    <w:rsid w:val="008C3087"/>
    <w:rsid w:val="008C382C"/>
    <w:rsid w:val="008C6D72"/>
    <w:rsid w:val="008D1BA4"/>
    <w:rsid w:val="008D3BC6"/>
    <w:rsid w:val="008D4037"/>
    <w:rsid w:val="008D4D73"/>
    <w:rsid w:val="008E266F"/>
    <w:rsid w:val="008E2C48"/>
    <w:rsid w:val="008E6036"/>
    <w:rsid w:val="00901CAE"/>
    <w:rsid w:val="00902A23"/>
    <w:rsid w:val="0090713F"/>
    <w:rsid w:val="00913B4A"/>
    <w:rsid w:val="0091577C"/>
    <w:rsid w:val="0091769D"/>
    <w:rsid w:val="00925291"/>
    <w:rsid w:val="00925468"/>
    <w:rsid w:val="00925F1E"/>
    <w:rsid w:val="00926006"/>
    <w:rsid w:val="00926E29"/>
    <w:rsid w:val="00933A3E"/>
    <w:rsid w:val="00935980"/>
    <w:rsid w:val="00936525"/>
    <w:rsid w:val="009406AC"/>
    <w:rsid w:val="00940942"/>
    <w:rsid w:val="00940E50"/>
    <w:rsid w:val="00941710"/>
    <w:rsid w:val="009421BC"/>
    <w:rsid w:val="009453A1"/>
    <w:rsid w:val="0094698D"/>
    <w:rsid w:val="00950B9C"/>
    <w:rsid w:val="009651C0"/>
    <w:rsid w:val="0096623F"/>
    <w:rsid w:val="00971F21"/>
    <w:rsid w:val="00971FA2"/>
    <w:rsid w:val="00973B9A"/>
    <w:rsid w:val="00981ACE"/>
    <w:rsid w:val="00985452"/>
    <w:rsid w:val="009912DE"/>
    <w:rsid w:val="00991D36"/>
    <w:rsid w:val="0099334E"/>
    <w:rsid w:val="00997722"/>
    <w:rsid w:val="009A0C6A"/>
    <w:rsid w:val="009A349F"/>
    <w:rsid w:val="009B27EA"/>
    <w:rsid w:val="009B2872"/>
    <w:rsid w:val="009B3F24"/>
    <w:rsid w:val="009B3F93"/>
    <w:rsid w:val="009B5038"/>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0EFB"/>
    <w:rsid w:val="00A339E3"/>
    <w:rsid w:val="00A4214F"/>
    <w:rsid w:val="00A43BCA"/>
    <w:rsid w:val="00A45465"/>
    <w:rsid w:val="00A50871"/>
    <w:rsid w:val="00A5277E"/>
    <w:rsid w:val="00A52CB0"/>
    <w:rsid w:val="00A531FF"/>
    <w:rsid w:val="00A53640"/>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1A09"/>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32B9"/>
    <w:rsid w:val="00B55E6F"/>
    <w:rsid w:val="00B612C7"/>
    <w:rsid w:val="00B648BB"/>
    <w:rsid w:val="00B648BC"/>
    <w:rsid w:val="00B70E46"/>
    <w:rsid w:val="00B72DAF"/>
    <w:rsid w:val="00B8721C"/>
    <w:rsid w:val="00B9123D"/>
    <w:rsid w:val="00B9762F"/>
    <w:rsid w:val="00B97659"/>
    <w:rsid w:val="00BA2093"/>
    <w:rsid w:val="00BA2944"/>
    <w:rsid w:val="00BA3F69"/>
    <w:rsid w:val="00BA59EF"/>
    <w:rsid w:val="00BA6495"/>
    <w:rsid w:val="00BC5152"/>
    <w:rsid w:val="00BC665E"/>
    <w:rsid w:val="00BC7B6F"/>
    <w:rsid w:val="00BC7C74"/>
    <w:rsid w:val="00BD082B"/>
    <w:rsid w:val="00BD2B9D"/>
    <w:rsid w:val="00BD3F6E"/>
    <w:rsid w:val="00BD581D"/>
    <w:rsid w:val="00BE188E"/>
    <w:rsid w:val="00BE57D4"/>
    <w:rsid w:val="00BE6E5D"/>
    <w:rsid w:val="00BE77D5"/>
    <w:rsid w:val="00BF1CA7"/>
    <w:rsid w:val="00BF5377"/>
    <w:rsid w:val="00BF5CC6"/>
    <w:rsid w:val="00C01449"/>
    <w:rsid w:val="00C0437A"/>
    <w:rsid w:val="00C17196"/>
    <w:rsid w:val="00C20241"/>
    <w:rsid w:val="00C23A0D"/>
    <w:rsid w:val="00C242FF"/>
    <w:rsid w:val="00C274EF"/>
    <w:rsid w:val="00C3294F"/>
    <w:rsid w:val="00C35154"/>
    <w:rsid w:val="00C35F59"/>
    <w:rsid w:val="00C44E57"/>
    <w:rsid w:val="00C46384"/>
    <w:rsid w:val="00C47C33"/>
    <w:rsid w:val="00C50154"/>
    <w:rsid w:val="00C529A9"/>
    <w:rsid w:val="00C578B5"/>
    <w:rsid w:val="00C62787"/>
    <w:rsid w:val="00C63BD2"/>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2F1F"/>
    <w:rsid w:val="00CB5552"/>
    <w:rsid w:val="00CB5719"/>
    <w:rsid w:val="00CC4484"/>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3E9E"/>
    <w:rsid w:val="00D677F6"/>
    <w:rsid w:val="00D71C8C"/>
    <w:rsid w:val="00D75BED"/>
    <w:rsid w:val="00D77D71"/>
    <w:rsid w:val="00D8029F"/>
    <w:rsid w:val="00D80936"/>
    <w:rsid w:val="00D81A36"/>
    <w:rsid w:val="00D82B31"/>
    <w:rsid w:val="00D83446"/>
    <w:rsid w:val="00D8355E"/>
    <w:rsid w:val="00D877C7"/>
    <w:rsid w:val="00D912FA"/>
    <w:rsid w:val="00D9534D"/>
    <w:rsid w:val="00D972C4"/>
    <w:rsid w:val="00DA13AB"/>
    <w:rsid w:val="00DA6B56"/>
    <w:rsid w:val="00DB0518"/>
    <w:rsid w:val="00DB10F3"/>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556F"/>
    <w:rsid w:val="00E170B6"/>
    <w:rsid w:val="00E20273"/>
    <w:rsid w:val="00E202AF"/>
    <w:rsid w:val="00E215F6"/>
    <w:rsid w:val="00E25130"/>
    <w:rsid w:val="00E26251"/>
    <w:rsid w:val="00E31A78"/>
    <w:rsid w:val="00E3679F"/>
    <w:rsid w:val="00E42E99"/>
    <w:rsid w:val="00E509C7"/>
    <w:rsid w:val="00E560E4"/>
    <w:rsid w:val="00E6357A"/>
    <w:rsid w:val="00E71BC2"/>
    <w:rsid w:val="00E728F8"/>
    <w:rsid w:val="00E76388"/>
    <w:rsid w:val="00E76749"/>
    <w:rsid w:val="00E806AC"/>
    <w:rsid w:val="00E82A08"/>
    <w:rsid w:val="00E83F23"/>
    <w:rsid w:val="00E9207B"/>
    <w:rsid w:val="00E92829"/>
    <w:rsid w:val="00E929FC"/>
    <w:rsid w:val="00E94923"/>
    <w:rsid w:val="00E95DB5"/>
    <w:rsid w:val="00E9778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12418"/>
    <w:rsid w:val="00F125E6"/>
    <w:rsid w:val="00F12E41"/>
    <w:rsid w:val="00F214E1"/>
    <w:rsid w:val="00F21BEE"/>
    <w:rsid w:val="00F22789"/>
    <w:rsid w:val="00F2592B"/>
    <w:rsid w:val="00F31359"/>
    <w:rsid w:val="00F41E6A"/>
    <w:rsid w:val="00F53748"/>
    <w:rsid w:val="00F57193"/>
    <w:rsid w:val="00F62025"/>
    <w:rsid w:val="00F629D2"/>
    <w:rsid w:val="00F64A58"/>
    <w:rsid w:val="00F71DF4"/>
    <w:rsid w:val="00F72017"/>
    <w:rsid w:val="00F74027"/>
    <w:rsid w:val="00F74E93"/>
    <w:rsid w:val="00F76FF8"/>
    <w:rsid w:val="00F77F7D"/>
    <w:rsid w:val="00F8207F"/>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027A"/>
    <w:rsid w:val="00FE103F"/>
    <w:rsid w:val="00FE1547"/>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7">
    <w:name w:val="toc 7"/>
    <w:basedOn w:val="a0"/>
    <w:next w:val="a0"/>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rsid w:val="00C65E59"/>
    <w:pPr>
      <w:numPr>
        <w:ilvl w:val="2"/>
        <w:numId w:val="3"/>
      </w:numPr>
      <w:ind w:left="1680" w:hanging="210"/>
      <w:jc w:val="left"/>
    </w:pPr>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8</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115</cp:revision>
  <dcterms:created xsi:type="dcterms:W3CDTF">2021-04-25T02:15:00Z</dcterms:created>
  <dcterms:modified xsi:type="dcterms:W3CDTF">2024-04-25T07:42:00Z</dcterms:modified>
</cp:coreProperties>
</file>