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Theme="minorEastAsia" w:hAnsiTheme="minorEastAsia" w:eastAsiaTheme="minorEastAsia" w:cstheme="minorEastAsia"/>
          <w:b/>
          <w:bCs/>
          <w:color w:val="auto"/>
          <w:kern w:val="2"/>
          <w:sz w:val="44"/>
          <w:szCs w:val="44"/>
          <w:lang w:val="en-US" w:eastAsia="zh-CN" w:bidi="ar-SA"/>
        </w:rPr>
      </w:pPr>
      <w:r>
        <w:rPr>
          <w:rFonts w:hint="eastAsia" w:asciiTheme="minorEastAsia" w:hAnsiTheme="minorEastAsia" w:eastAsiaTheme="minorEastAsia" w:cstheme="minorEastAsia"/>
          <w:b/>
          <w:bCs/>
          <w:color w:val="auto"/>
          <w:kern w:val="2"/>
          <w:sz w:val="44"/>
          <w:szCs w:val="44"/>
          <w:lang w:val="en-US" w:eastAsia="zh-CN" w:bidi="ar-SA"/>
        </w:rPr>
        <w:t>广西农业农村产业振兴促进会团体标准《</w:t>
      </w:r>
      <w:r>
        <w:rPr>
          <w:rFonts w:hint="eastAsia" w:asciiTheme="minorEastAsia" w:hAnsiTheme="minorEastAsia" w:eastAsiaTheme="minorEastAsia" w:cstheme="minorEastAsia"/>
          <w:b/>
          <w:bCs/>
          <w:sz w:val="44"/>
          <w:szCs w:val="44"/>
        </w:rPr>
        <w:t>六堡茶鲜叶中噻虫嗪、啶虫脒、吡虫啉、呋虫胺、水胺硫磷</w:t>
      </w:r>
      <w:r>
        <w:rPr>
          <w:rFonts w:hint="eastAsia" w:asciiTheme="minorEastAsia" w:hAnsiTheme="minorEastAsia" w:eastAsiaTheme="minorEastAsia" w:cstheme="minorEastAsia"/>
          <w:b/>
          <w:bCs/>
          <w:sz w:val="44"/>
          <w:szCs w:val="44"/>
          <w:lang w:val="en-US" w:eastAsia="zh-CN"/>
        </w:rPr>
        <w:t>5</w:t>
      </w:r>
      <w:r>
        <w:rPr>
          <w:rFonts w:hint="eastAsia" w:asciiTheme="minorEastAsia" w:hAnsiTheme="minorEastAsia" w:eastAsiaTheme="minorEastAsia" w:cstheme="minorEastAsia"/>
          <w:b/>
          <w:bCs/>
          <w:sz w:val="44"/>
          <w:szCs w:val="44"/>
        </w:rPr>
        <w:t>种农药残留检测 胶体金免疫层析法</w:t>
      </w:r>
      <w:r>
        <w:rPr>
          <w:rFonts w:hint="eastAsia" w:asciiTheme="minorEastAsia" w:hAnsiTheme="minorEastAsia" w:eastAsiaTheme="minorEastAsia" w:cstheme="minorEastAsia"/>
          <w:b/>
          <w:bCs/>
          <w:color w:val="auto"/>
          <w:kern w:val="2"/>
          <w:sz w:val="44"/>
          <w:szCs w:val="44"/>
          <w:lang w:val="en-US" w:eastAsia="zh-CN" w:bidi="ar-SA"/>
        </w:rPr>
        <w:t>》编制说明（征求意见稿）</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Theme="minorEastAsia" w:hAnsiTheme="minorEastAsia" w:eastAsiaTheme="minorEastAsia" w:cstheme="minorEastAsia"/>
          <w:b/>
          <w:bCs/>
          <w:color w:val="auto"/>
          <w:kern w:val="2"/>
          <w:sz w:val="44"/>
          <w:szCs w:val="44"/>
          <w:lang w:val="en-US" w:eastAsia="zh-CN" w:bidi="ar-SA"/>
        </w:rPr>
      </w:pPr>
    </w:p>
    <w:p>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一、项目来源</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根</w:t>
      </w:r>
      <w:r>
        <w:rPr>
          <w:rFonts w:hint="eastAsia" w:ascii="仿宋" w:hAnsi="仿宋" w:eastAsia="仿宋" w:cs="仿宋"/>
          <w:color w:val="auto"/>
          <w:sz w:val="24"/>
          <w:szCs w:val="24"/>
          <w:highlight w:val="none"/>
          <w:lang w:val="en-US" w:eastAsia="zh-CN"/>
        </w:rPr>
        <w:t>据《广西农业农村产业振兴促进会关于&lt;六堡茶鲜叶中噻虫嗪、啶虫脒、吡虫啉、呋虫胺、水胺硫磷5种农药残留检测 胶体金免疫层析法&gt;团体标准立项的通知》要求，</w:t>
      </w:r>
      <w:r>
        <w:rPr>
          <w:rFonts w:hint="eastAsia" w:ascii="仿宋" w:hAnsi="仿宋" w:eastAsia="仿宋" w:cs="仿宋"/>
          <w:color w:val="auto"/>
          <w:sz w:val="24"/>
          <w:szCs w:val="24"/>
          <w:lang w:val="en-US" w:eastAsia="zh-CN"/>
        </w:rPr>
        <w:t>本标准由梧州市农产品质量安全综合检测中心提出，梧州市农产品质量安全综合检测中心、山东美正生物科技有限公司、广西益谱检测技术公司、广西-东盟食品检验检测中心、苍梧县农产品质量安全检测中心、苍梧县六堡镇农业服务中心、藤县漾江镇农业农村中心、苍梧县六堡茶产业发展有限公司、苍梧县六堡镇官营坪六堡茶专业合作社、苍梧县不倚恭州茶业有限公司、苍梧县心怡六堡茶业有限公司负责起草。</w:t>
      </w:r>
    </w:p>
    <w:p>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default" w:ascii="Times New Roman" w:hAnsi="Times New Roman" w:eastAsia="黑体" w:cs="Times New Roman"/>
          <w:color w:val="auto"/>
          <w:sz w:val="28"/>
          <w:szCs w:val="28"/>
          <w:lang w:val="en-US" w:eastAsia="zh-CN"/>
        </w:rPr>
      </w:pPr>
      <w:r>
        <w:rPr>
          <w:rFonts w:hint="default" w:ascii="Times New Roman" w:hAnsi="Times New Roman" w:eastAsia="黑体" w:cs="Times New Roman"/>
          <w:color w:val="auto"/>
          <w:sz w:val="28"/>
          <w:szCs w:val="28"/>
        </w:rPr>
        <w:t>二、项目目的意义</w:t>
      </w:r>
      <w:r>
        <w:rPr>
          <w:rFonts w:hint="eastAsia" w:ascii="Times New Roman" w:hAnsi="Times New Roman" w:eastAsia="黑体" w:cs="Times New Roman"/>
          <w:color w:val="auto"/>
          <w:sz w:val="28"/>
          <w:szCs w:val="28"/>
          <w:lang w:val="en-US" w:eastAsia="zh-CN"/>
        </w:rPr>
        <w:t>及必要性</w:t>
      </w:r>
    </w:p>
    <w:p>
      <w:pPr>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（一）目的意义 </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本标准主要针对当前六堡茶原料鲜叶农残现场快检利用酶抑制法准确性较低、而实验室色谱法定量检测则存在投入成本高、检测时间较长等问题，结合广西六堡茶产业高质量发展的现实需要，通过应用免疫学快速检测方法（胶体金免疫层析技术），充分利用抗原抗体的高特异性亲和作用机制，建立高灵敏度、高特异性、高通量、低成本，适合于茶园基地源头农残监测的技术方法，实现广西六堡茶园基地现场农残快速准确检测，确保政府、茶企对生产源头的茶叶原料进行准确、有效监控和安全风险评估，切实保障六堡茶产品安全优质，为广西六堡茶产业的高质量发展保驾护航，因此具有重要的现实意义。</w:t>
      </w:r>
    </w:p>
    <w:p>
      <w:pPr>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（二）必要性</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茶叶质量卫生安全是影响六堡茶产业高质量发展的关键因素，广西六堡茶产业要做大做强，品质提升和生态可持续的高质量发展，这一切的基础和关键就是首先要确保茶叶原料的质量安全。影响茶叶原料质量卫生安全风险的重点为农药残留等污染物，目前六堡茶茶叶中农药残留检测的常用的检测方法为酶抑制法快检及色谱定量检测方法，但酶抑制法等快检方法存在准确性较低、检测范围小，而色谱法虽准确性高，可以精确测量样品中农药残留量，但存在检测相对费时、费力、费用较为昂贵，需要在大型分析设备实验室进行，而且需要进行多个环节、大量的样品前处理工作，不适合现场检测等这些局限性。由于受上述大型仪器检测的存在的缺点及限制，导致在茶厂（企业）中对于茶叶鲜叶原料农药残留风险的把关就较为困难，到了成品茶阶段检测存在残留超标问题时则就造成较大损失。因此，建立适合广西六堡茶鲜叶高特异性、高通量、低成本的免疫学快速检测方法为农残类污染物的检测提供了新的途径。该方法操作简单、检测速度快、灵敏度和特异性高，同时检测费用低廉、易携带到现场检测，对于广西六堡茶产业整体质量卫生安全的管控与提升十分必要。</w:t>
      </w:r>
    </w:p>
    <w:p>
      <w:pPr>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（三）紧迫性 </w:t>
      </w:r>
    </w:p>
    <w:p>
      <w:pPr>
        <w:spacing w:line="360" w:lineRule="auto"/>
        <w:ind w:firstLine="480" w:firstLineChars="20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六堡茶是国家地理标志农产品，作为中国历史名茶和广西特色优势产业，2022年全区适制六堡茶种植面积已达61.2万亩，综合产值达到252.9亿元。2019年以来，自治区政府、自治区农业农村厅、梧州市分别出台《关于促进广西茶业产业高质量发展的若干意见》（桂政办发〔2019〕117号）、《加快推进广西六堡茶及特色优势茶产业高质量发展实施方案》（桂农厅发〔2022〕13号）、《梧州六堡茶产业高质量发展三年提升行动方案(2019-2021年)》（梧发〔2021〕20号）等文件，大力推动六堡茶产业高质量发展，努力把广西打造成全国最重要的六堡茶产区，实现到2025年，适制六堡茶茶园面积140万亩，综合产值达到550亿元目标。为确保产业安全，制订《六堡茶鲜叶中噻虫嗪、啶虫脒、吡虫啉、呋虫胺、水胺硫磷5种农药残留检测 胶体金免疫层析法》团体标准，可实现六堡茶原料茶叶农残含量现场快速准确检测，确保能对生产源头的茶叶原料进行有效监控和安全评估，避免和减少因产品质量安全问题而造成的损失，保障产品质量安全水平，提升产品市场竞争力，拓宽产品国内外市场销售，有力地促进茶农茶企增效增收致富，推动广西六堡茶产业的生态绿色和高质量发展。</w:t>
      </w:r>
    </w:p>
    <w:p>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黑体" w:cs="Times New Roman"/>
          <w:color w:val="auto"/>
          <w:sz w:val="28"/>
          <w:szCs w:val="28"/>
          <w:lang w:val="en-US" w:eastAsia="zh-CN"/>
        </w:rPr>
      </w:pPr>
      <w:r>
        <w:rPr>
          <w:rFonts w:hint="eastAsia" w:ascii="Times New Roman" w:hAnsi="Times New Roman" w:eastAsia="黑体" w:cs="Times New Roman"/>
          <w:color w:val="auto"/>
          <w:sz w:val="28"/>
          <w:szCs w:val="28"/>
          <w:lang w:val="en-US" w:eastAsia="zh-CN"/>
        </w:rPr>
        <w:t>三、项目编制过程</w:t>
      </w:r>
    </w:p>
    <w:p>
      <w:pPr>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（一）成立标准编制工作组</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团体标准《六堡茶鲜叶中噻虫嗪、啶虫脒、吡虫啉、呋虫胺、水胺硫磷5种农药残留检测 胶体金免疫层析法》项目任务下达后，桂林市农业科学研究中心成立了标准编制工作组，制定了起草编写方案与进度安排，明确任务职责，确定工作技术路线，开展标准研制工作。</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编制工作组下设三个组，分别是资料收集组、草案编写组、标准实施组。</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资料收集组负责国内外与六堡茶农药残留 胶体金免疫层析法技术有关的文献资料的查询、收集和整理工作，对六堡茶农药残留 胶体金免疫层析法技术研究成果进行系统总结，查阅目前科学界对</w:t>
      </w:r>
      <w:r>
        <w:rPr>
          <w:rFonts w:hint="eastAsia" w:ascii="Times New Roman" w:hAnsi="Times New Roman" w:eastAsia="仿宋"/>
          <w:sz w:val="24"/>
          <w:szCs w:val="24"/>
          <w:lang w:val="en-US" w:eastAsia="zh-CN"/>
        </w:rPr>
        <w:t xml:space="preserve">六堡茶农药残留 </w:t>
      </w:r>
      <w:r>
        <w:rPr>
          <w:rFonts w:hint="eastAsia" w:ascii="Times New Roman" w:hAnsi="Times New Roman" w:eastAsia="仿宋" w:cs="Times New Roman"/>
          <w:sz w:val="24"/>
          <w:szCs w:val="24"/>
        </w:rPr>
        <w:t>胶体金免疫层析法</w:t>
      </w:r>
      <w:r>
        <w:rPr>
          <w:rFonts w:hint="eastAsia" w:ascii="Times New Roman" w:hAnsi="Times New Roman" w:eastAsia="仿宋" w:cs="Times New Roman"/>
          <w:sz w:val="24"/>
          <w:szCs w:val="24"/>
          <w:lang w:val="en-US" w:eastAsia="zh-CN"/>
        </w:rPr>
        <w:t>技术</w:t>
      </w:r>
      <w:r>
        <w:rPr>
          <w:rFonts w:hint="eastAsia" w:ascii="仿宋" w:hAnsi="仿宋" w:eastAsia="仿宋" w:cs="仿宋"/>
          <w:color w:val="auto"/>
          <w:sz w:val="24"/>
          <w:szCs w:val="24"/>
          <w:lang w:val="en-US" w:eastAsia="zh-CN"/>
        </w:rPr>
        <w:t>的研究进展。</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草案编写组负责起草标准草案、征求意见稿、送审稿及编制说明的编写工作，包括后期召开征求意见会、网上征求意见、定向征求意见等，以及标准的不断修改和完善。</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标准实施组负责团体标准《六堡茶鲜叶中噻虫嗪、啶虫脒、吡虫啉、呋虫胺、水胺硫磷5种农药残留检测 胶体金免疫层析法》发布后，组织相关单位、企业和农民开展标准宣贯培训会，对标准进行详细解读，让相关的工作人员了解标准，并根据标准《六堡茶鲜叶中噻虫嗪、啶虫脒、吡虫啉、呋虫胺、水胺硫磷5种农药残留检测 胶体金免疫层析法》进行操作，保证六堡茶的产量和质量，并对标准实施情况进行总结分析，不断对该团体标准提出修正意见。</w:t>
      </w:r>
    </w:p>
    <w:p>
      <w:pPr>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（二）收集整理文献资料</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标准编制工作组查询收集国内与“六堡茶鲜茶”、“农药残留”和“胶体金免疫层析法”相关的标准及文献。分别如下：</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GB/T 28974—2012《马铃薯A病毒检疫鉴定方法 纳米颗粒增敏胶体金免疫层析法》</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GB/T 28975—2012《莴苣花叶病毒检疫鉴定方法  纳米颗粒增敏胶体金免疫层析法》</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GB/T 28973—2012《番茄环斑病毒检疫鉴定方法 纳米颗粒增敏胶体金免疫层析法》</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GB/T 18990—2008《促黄体生成素检测试纸（胶体金免疫层析法）》</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YY/T 1713—2020《胶体金免疫层析法检测试剂盒》</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GA/T 1668—2019《法庭科学  可卡因尿液检测试剂盒(胶体金免疫层析法)通用技术要求》</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SN/T 5122—2019《进出口食用动物、饲料喹诺酮类筛选检测  胶体金免疫层析法》</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SB/T 10778—2012《动物饲料中莱克多巴胺的快速筛查 胶体金免疫层析法》</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SB/T 10777—2012《动物尿液中莱克多巴胺的快速筛查  胶体金免疫层析法》</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SB/T 10779—2012《动物肌肉中盐酸克伦特罗的快速筛查  胶体金免疫层析法》</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DB45/T 2438—2022《六堡茶鲜叶采摘技术规程》</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DB34/T 3891—2021《蔬菜中腐霉利快速检测  胶体金免疫层析法》</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DB34/T 818—2020《饲料中盐酸克伦特罗的测定  胶体金免疫层析法》</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DB45/T 752—2011《尿液中盐酸克仑特罗、莱克多巴胺、沙丁胺醇的测定  胶体金免疫层析法》</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DB34/T 824—2020《动物组织中盐酸克伦特罗的残留测定  胶体金免疫层析法》。</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Times New Roman" w:hAnsi="Times New Roman" w:eastAsia="仿宋"/>
          <w:sz w:val="24"/>
          <w:szCs w:val="24"/>
          <w:lang w:val="en-US" w:eastAsia="zh-CN"/>
        </w:rPr>
        <w:t xml:space="preserve">目前未发布有六堡茶农药残留 </w:t>
      </w:r>
      <w:r>
        <w:rPr>
          <w:rFonts w:hint="eastAsia" w:ascii="Times New Roman" w:hAnsi="Times New Roman" w:eastAsia="仿宋" w:cs="Times New Roman"/>
          <w:sz w:val="24"/>
          <w:szCs w:val="24"/>
        </w:rPr>
        <w:t>胶体金免疫层析法</w:t>
      </w:r>
      <w:r>
        <w:rPr>
          <w:rFonts w:hint="eastAsia" w:ascii="Times New Roman" w:hAnsi="Times New Roman" w:eastAsia="仿宋"/>
          <w:sz w:val="24"/>
          <w:szCs w:val="24"/>
          <w:lang w:val="en-US" w:eastAsia="zh-CN"/>
        </w:rPr>
        <w:t>相关的标准</w:t>
      </w:r>
      <w:r>
        <w:rPr>
          <w:rFonts w:hint="eastAsia" w:ascii="仿宋" w:hAnsi="仿宋" w:eastAsia="仿宋" w:cs="仿宋"/>
          <w:color w:val="auto"/>
          <w:sz w:val="24"/>
          <w:szCs w:val="24"/>
          <w:lang w:val="en-US" w:eastAsia="zh-CN"/>
        </w:rPr>
        <w:t>。因此，制定团体标准《六堡茶鲜叶中噻虫嗪、啶虫脒、吡虫啉、呋虫胺、水胺硫磷5种农药残留检测 胶体金免疫层析法》具备一定程度的实用性和可操作性。</w:t>
      </w:r>
    </w:p>
    <w:p>
      <w:pPr>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（三）研讨确定标准主体内容</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标准编制工作组在对收集的资料进行整理研究之后，标准编制工作组召开了标准编制会议，对标准的整体框架结构进行了研究，并对标准的关键性内容进行了初步探讨。经过研究，标准的主体内容确定为术语和定义、原理、试剂耗材、仪器和设备、试验方法、测定、结果分析和性能指标。</w:t>
      </w:r>
    </w:p>
    <w:p>
      <w:pPr>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（四）调研、形成征求意见稿</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2024年2月-2024年3月，标准起草工作小组进行了广泛实地调研工作，查阅大量国内外文献资料，对</w:t>
      </w:r>
      <w:r>
        <w:rPr>
          <w:rFonts w:hint="eastAsia" w:ascii="Times New Roman" w:hAnsi="Times New Roman" w:eastAsia="仿宋"/>
          <w:sz w:val="24"/>
          <w:szCs w:val="24"/>
          <w:lang w:val="en-US" w:eastAsia="zh-CN"/>
        </w:rPr>
        <w:t xml:space="preserve">六堡茶农药残留 </w:t>
      </w:r>
      <w:r>
        <w:rPr>
          <w:rFonts w:hint="eastAsia" w:ascii="Times New Roman" w:hAnsi="Times New Roman" w:eastAsia="仿宋" w:cs="Times New Roman"/>
          <w:sz w:val="24"/>
          <w:szCs w:val="24"/>
        </w:rPr>
        <w:t>胶体金免疫层析法</w:t>
      </w:r>
      <w:r>
        <w:rPr>
          <w:rFonts w:hint="eastAsia" w:ascii="仿宋" w:hAnsi="仿宋" w:eastAsia="仿宋" w:cs="仿宋"/>
          <w:color w:val="auto"/>
          <w:sz w:val="24"/>
          <w:szCs w:val="24"/>
          <w:lang w:val="en-US" w:eastAsia="zh-CN"/>
        </w:rPr>
        <w:t>技术的研究成果进行系统总结。形成了标准的基本构架，对主要内容进行了讨论并对项目的工作进行了部署和安排。并在前期工作的基础之上，通过理清逻辑脉络，整合已有的参考资料中有关</w:t>
      </w:r>
      <w:r>
        <w:rPr>
          <w:rFonts w:hint="eastAsia" w:ascii="Times New Roman" w:hAnsi="Times New Roman" w:eastAsia="仿宋"/>
          <w:sz w:val="24"/>
          <w:szCs w:val="24"/>
          <w:lang w:val="en-US" w:eastAsia="zh-CN"/>
        </w:rPr>
        <w:t xml:space="preserve">六堡茶农药残留 </w:t>
      </w:r>
      <w:r>
        <w:rPr>
          <w:rFonts w:hint="eastAsia" w:ascii="Times New Roman" w:hAnsi="Times New Roman" w:eastAsia="仿宋" w:cs="Times New Roman"/>
          <w:sz w:val="24"/>
          <w:szCs w:val="24"/>
        </w:rPr>
        <w:t>胶体金免疫层析法</w:t>
      </w:r>
      <w:r>
        <w:rPr>
          <w:rFonts w:hint="eastAsia" w:ascii="仿宋" w:hAnsi="仿宋" w:eastAsia="仿宋" w:cs="仿宋"/>
          <w:color w:val="auto"/>
          <w:sz w:val="24"/>
          <w:szCs w:val="24"/>
          <w:lang w:val="en-US" w:eastAsia="zh-CN"/>
        </w:rPr>
        <w:t>技术的要点，并结合当前实际应用的需要，按照简化、统一等原则编制完成团体标准《六堡茶鲜叶中噻虫嗪、啶虫脒、吡虫啉、呋虫胺、水胺硫磷5种农药残留检测 胶体金免疫层析法》（草案）。</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2024年4月，向涉及相关领域的部门及专家征求团体标准《六堡茶鲜叶中噻虫嗪、啶虫脒、吡虫啉、呋虫胺、水胺硫磷5种农药残留检测 胶体金免疫层析法》（草案）意见。根据标准要点框架技术内容，再次修改标准草案，形成团体标准《六堡茶鲜叶中噻虫嗪、啶虫脒、吡虫啉、呋虫胺、水胺硫磷5种农药残留检测 胶体金免疫层析法》（征求意见稿）及编制说明（征求意见稿）。</w:t>
      </w:r>
    </w:p>
    <w:p>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黑体" w:cs="Times New Roman"/>
          <w:color w:val="auto"/>
          <w:sz w:val="28"/>
          <w:szCs w:val="28"/>
          <w:lang w:val="en-US" w:eastAsia="zh-CN"/>
        </w:rPr>
      </w:pPr>
      <w:r>
        <w:rPr>
          <w:rFonts w:hint="eastAsia" w:ascii="Times New Roman" w:hAnsi="Times New Roman" w:eastAsia="黑体" w:cs="Times New Roman"/>
          <w:color w:val="auto"/>
          <w:sz w:val="28"/>
          <w:szCs w:val="28"/>
          <w:lang w:val="en-US" w:eastAsia="zh-CN"/>
        </w:rPr>
        <w:t>四、标准制定原则</w:t>
      </w:r>
    </w:p>
    <w:p>
      <w:pPr>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（一）实用性原则</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本文件是在充分收集相关资料和文献，调研分析六堡茶鲜茶叶农药残留 胶体金免疫层析法技术现状，在现有国家、行业和地方标准相关技术要求的基础上，结合梧州市农产品质量安全综合检测中心等单位多年的实验研究数据和推广应用经验而总结起草的。符合当前六堡茶产业的发展需求，有利于产业的高质量可持续长远发展，具有较强的实用性和可操作性。</w:t>
      </w:r>
    </w:p>
    <w:p>
      <w:pPr>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（二）协调性原则</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本文件编写过程中注意了与六堡茶鲜茶叶农药残留 胶体金免疫层析法技术相关的法律法规的协调问题，在内容上与现行法律法规、标准协调一致。</w:t>
      </w:r>
    </w:p>
    <w:p>
      <w:pPr>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（三）规范性原则</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本文件严格按照GB/T 1.1—2020《标准化工作导则  第1部分：标准化文件的结构和起草规则》的要求和规定编写本标准的内容，保证标准的编写质量。</w:t>
      </w:r>
    </w:p>
    <w:p>
      <w:pPr>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（四）前瞻性原则</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本文件在兼顾当前六堡茶鲜茶叶农药残留 胶体金免疫层析法的现实情况，并考虑农业快速发展的趋势和需要，在标准中体现了个别特色性、前瞻性和先进性条款，作为对六堡茶产业高质量发展的指导。</w:t>
      </w:r>
    </w:p>
    <w:p>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hint="eastAsia" w:ascii="Times New Roman" w:hAnsi="Times New Roman" w:eastAsia="黑体" w:cs="Times New Roman"/>
          <w:color w:val="auto"/>
          <w:sz w:val="28"/>
          <w:szCs w:val="28"/>
          <w:lang w:val="en-US" w:eastAsia="zh-CN"/>
        </w:rPr>
      </w:pPr>
      <w:r>
        <w:rPr>
          <w:rFonts w:hint="eastAsia" w:ascii="Times New Roman" w:hAnsi="Times New Roman" w:eastAsia="黑体" w:cs="Times New Roman"/>
          <w:color w:val="auto"/>
          <w:sz w:val="28"/>
          <w:szCs w:val="28"/>
          <w:lang w:val="en-US" w:eastAsia="zh-CN"/>
        </w:rPr>
        <w:t>五、标准主要内容及依据来源</w:t>
      </w:r>
    </w:p>
    <w:p>
      <w:pPr>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（一）主要内容</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本文件界定了六堡茶鲜叶中噻虫嗪、啶虫脒、吡虫啉、呋虫胺、水胺硫磷5种农药残留检测 胶体金免疫层析法的术语和定义，规定了原理、试剂耗材、仪器和设备、试验方法、测定、结果分析和性能指标的技术内容。</w:t>
      </w:r>
    </w:p>
    <w:p>
      <w:pPr>
        <w:numPr>
          <w:ilvl w:val="0"/>
          <w:numId w:val="1"/>
        </w:numPr>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关键指标依据来源</w:t>
      </w:r>
    </w:p>
    <w:p>
      <w:pPr>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1、胶体金技术原理</w:t>
      </w:r>
    </w:p>
    <w:p>
      <w:pPr>
        <w:pStyle w:val="5"/>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left="0" w:right="0" w:firstLine="480" w:firstLineChars="200"/>
        <w:jc w:val="both"/>
        <w:textAlignment w:val="auto"/>
        <w:rPr>
          <w:rFonts w:hint="default" w:ascii="仿宋" w:hAnsi="仿宋" w:eastAsia="仿宋" w:cs="仿宋"/>
          <w:color w:val="auto"/>
          <w:kern w:val="2"/>
          <w:sz w:val="24"/>
          <w:szCs w:val="24"/>
          <w:u w:val="none"/>
          <w:shd w:val="clear"/>
          <w:lang w:val="en-US" w:eastAsia="zh-CN" w:bidi="ar-SA"/>
        </w:rPr>
      </w:pPr>
      <w:r>
        <w:rPr>
          <w:rFonts w:hint="default" w:ascii="仿宋" w:hAnsi="仿宋" w:eastAsia="仿宋" w:cs="仿宋"/>
          <w:color w:val="auto"/>
          <w:kern w:val="2"/>
          <w:sz w:val="24"/>
          <w:szCs w:val="24"/>
          <w:u w:val="none"/>
          <w:shd w:val="clear"/>
          <w:lang w:val="en-US" w:eastAsia="zh-CN" w:bidi="ar-SA"/>
        </w:rPr>
        <w:t>胶体金免疫层析技术是基于免疫金标记技术和抗原抗体反应相结合的一种实验技术。待测液在吸水材料和</w:t>
      </w:r>
      <w:r>
        <w:rPr>
          <w:rFonts w:hint="default" w:ascii="仿宋" w:hAnsi="仿宋" w:eastAsia="仿宋" w:cs="仿宋"/>
          <w:color w:val="auto"/>
          <w:kern w:val="2"/>
          <w:sz w:val="24"/>
          <w:szCs w:val="24"/>
          <w:u w:val="none"/>
          <w:shd w:val="clear"/>
          <w:lang w:val="en-US" w:eastAsia="en-US" w:bidi="ar-SA"/>
        </w:rPr>
        <w:t>NC</w:t>
      </w:r>
      <w:r>
        <w:rPr>
          <w:rFonts w:hint="default" w:ascii="仿宋" w:hAnsi="仿宋" w:eastAsia="仿宋" w:cs="仿宋"/>
          <w:color w:val="auto"/>
          <w:kern w:val="2"/>
          <w:sz w:val="24"/>
          <w:szCs w:val="24"/>
          <w:u w:val="none"/>
          <w:shd w:val="clear"/>
          <w:lang w:val="en-US" w:eastAsia="zh-CN" w:bidi="ar-SA"/>
        </w:rPr>
        <w:t>膜的微孔作用下进行层析，待测试液中的待检药物与</w:t>
      </w:r>
      <w:r>
        <w:rPr>
          <w:rFonts w:hint="default" w:ascii="仿宋" w:hAnsi="仿宋" w:eastAsia="仿宋" w:cs="仿宋"/>
          <w:color w:val="auto"/>
          <w:kern w:val="2"/>
          <w:sz w:val="24"/>
          <w:szCs w:val="24"/>
          <w:u w:val="none"/>
          <w:shd w:val="clear"/>
          <w:lang w:val="en-US" w:eastAsia="en-US" w:bidi="ar-SA"/>
        </w:rPr>
        <w:t>NC</w:t>
      </w:r>
      <w:r>
        <w:rPr>
          <w:rFonts w:hint="default" w:ascii="仿宋" w:hAnsi="仿宋" w:eastAsia="仿宋" w:cs="仿宋"/>
          <w:color w:val="auto"/>
          <w:kern w:val="2"/>
          <w:sz w:val="24"/>
          <w:szCs w:val="24"/>
          <w:u w:val="none"/>
          <w:shd w:val="clear"/>
          <w:lang w:val="en-US" w:eastAsia="zh-CN" w:bidi="ar-SA"/>
        </w:rPr>
        <w:t>膜上的测试线</w:t>
      </w:r>
      <w:r>
        <w:rPr>
          <w:rFonts w:hint="default" w:ascii="仿宋" w:hAnsi="仿宋" w:eastAsia="仿宋" w:cs="仿宋"/>
          <w:color w:val="auto"/>
          <w:kern w:val="2"/>
          <w:sz w:val="24"/>
          <w:szCs w:val="24"/>
          <w:u w:val="none"/>
          <w:shd w:val="clear"/>
          <w:lang w:val="en-US" w:eastAsia="en-US" w:bidi="ar-SA"/>
        </w:rPr>
        <w:t>（T</w:t>
      </w:r>
      <w:r>
        <w:rPr>
          <w:rFonts w:hint="default" w:ascii="仿宋" w:hAnsi="仿宋" w:eastAsia="仿宋" w:cs="仿宋"/>
          <w:color w:val="auto"/>
          <w:kern w:val="2"/>
          <w:sz w:val="24"/>
          <w:szCs w:val="24"/>
          <w:u w:val="none"/>
          <w:shd w:val="clear"/>
          <w:lang w:val="en-US" w:eastAsia="zh-CN" w:bidi="ar-SA"/>
        </w:rPr>
        <w:t>线）竞争结合金标抗体，最终通过测试线</w:t>
      </w:r>
      <w:r>
        <w:rPr>
          <w:rFonts w:hint="default" w:ascii="仿宋" w:hAnsi="仿宋" w:eastAsia="仿宋" w:cs="仿宋"/>
          <w:color w:val="auto"/>
          <w:kern w:val="2"/>
          <w:sz w:val="24"/>
          <w:szCs w:val="24"/>
          <w:u w:val="none"/>
          <w:shd w:val="clear"/>
          <w:lang w:val="en-US" w:eastAsia="en-US" w:bidi="ar-SA"/>
        </w:rPr>
        <w:t>（T</w:t>
      </w:r>
      <w:r>
        <w:rPr>
          <w:rFonts w:hint="default" w:ascii="仿宋" w:hAnsi="仿宋" w:eastAsia="仿宋" w:cs="仿宋"/>
          <w:color w:val="auto"/>
          <w:kern w:val="2"/>
          <w:sz w:val="24"/>
          <w:szCs w:val="24"/>
          <w:u w:val="none"/>
          <w:shd w:val="clear"/>
          <w:lang w:val="en-US" w:eastAsia="zh-CN" w:bidi="ar-SA"/>
        </w:rPr>
        <w:t>线）颜色的深浅进行待测样本中药物含量的定性判断。</w:t>
      </w:r>
    </w:p>
    <w:p>
      <w:pPr>
        <w:widowControl w:val="0"/>
        <w:numPr>
          <w:ilvl w:val="0"/>
          <w:numId w:val="0"/>
        </w:numPr>
        <w:spacing w:line="360" w:lineRule="auto"/>
        <w:jc w:val="both"/>
        <w:rPr>
          <w:rFonts w:hint="default" w:ascii="Times New Roman" w:hAnsi="Times New Roman" w:cs="Times New Roman"/>
          <w:b/>
          <w:bCs/>
          <w:color w:val="000000"/>
          <w:spacing w:val="0"/>
          <w:w w:val="100"/>
          <w:position w:val="0"/>
          <w:sz w:val="44"/>
          <w:szCs w:val="44"/>
          <w:lang w:val="en-US" w:eastAsia="zh-CN"/>
        </w:rPr>
      </w:pPr>
      <w:r>
        <w:rPr>
          <w:rFonts w:hint="eastAsia" w:eastAsia="宋体"/>
          <w:lang w:eastAsia="zh-CN"/>
        </w:rPr>
        <w:drawing>
          <wp:inline distT="0" distB="0" distL="114300" distR="114300">
            <wp:extent cx="5548630" cy="2310130"/>
            <wp:effectExtent l="0" t="0" r="13970" b="6350"/>
            <wp:docPr id="9" name="图片 9" descr="1652233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52233467(1)"/>
                    <pic:cNvPicPr>
                      <a:picLocks noChangeAspect="1"/>
                    </pic:cNvPicPr>
                  </pic:nvPicPr>
                  <pic:blipFill>
                    <a:blip r:embed="rId4"/>
                    <a:srcRect l="4781" t="11873" r="5377" b="6004"/>
                    <a:stretch>
                      <a:fillRect/>
                    </a:stretch>
                  </pic:blipFill>
                  <pic:spPr>
                    <a:xfrm>
                      <a:off x="0" y="0"/>
                      <a:ext cx="5548630" cy="2310130"/>
                    </a:xfrm>
                    <a:prstGeom prst="rect">
                      <a:avLst/>
                    </a:prstGeom>
                    <a:noFill/>
                    <a:ln>
                      <a:noFill/>
                    </a:ln>
                  </pic:spPr>
                </pic:pic>
              </a:graphicData>
            </a:graphic>
          </wp:inline>
        </w:drawing>
      </w:r>
    </w:p>
    <w:p>
      <w:pPr>
        <w:spacing w:line="360" w:lineRule="auto"/>
        <w:ind w:firstLine="482" w:firstLineChars="200"/>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2、</w:t>
      </w:r>
    </w:p>
    <w:p>
      <w:pPr>
        <w:widowControl w:val="0"/>
        <w:numPr>
          <w:ilvl w:val="0"/>
          <w:numId w:val="0"/>
        </w:numPr>
        <w:spacing w:line="360" w:lineRule="auto"/>
        <w:jc w:val="both"/>
        <w:rPr>
          <w:rFonts w:hint="default" w:ascii="Times New Roman" w:hAnsi="Times New Roman" w:cs="Times New Roman"/>
          <w:b/>
          <w:bCs/>
          <w:color w:val="000000"/>
          <w:spacing w:val="0"/>
          <w:w w:val="100"/>
          <w:position w:val="0"/>
          <w:sz w:val="44"/>
          <w:szCs w:val="44"/>
          <w:lang w:val="en-US" w:eastAsia="zh-CN"/>
        </w:rPr>
      </w:pPr>
      <w:r>
        <w:rPr>
          <w:rFonts w:hint="default" w:ascii="Times New Roman" w:hAnsi="Times New Roman" w:cs="Times New Roman"/>
          <w:b/>
          <w:bCs/>
          <w:color w:val="000000"/>
          <w:spacing w:val="0"/>
          <w:w w:val="100"/>
          <w:position w:val="0"/>
          <w:sz w:val="44"/>
          <w:szCs w:val="44"/>
          <w:lang w:val="en-US" w:eastAsia="zh-CN"/>
        </w:rPr>
        <w:drawing>
          <wp:inline distT="0" distB="0" distL="114300" distR="114300">
            <wp:extent cx="2687955" cy="2016125"/>
            <wp:effectExtent l="0" t="0" r="9525" b="10795"/>
            <wp:docPr id="10" name="图片 10" descr="胶体金检测相关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胶体金检测相关图片4"/>
                    <pic:cNvPicPr>
                      <a:picLocks noChangeAspect="1"/>
                    </pic:cNvPicPr>
                  </pic:nvPicPr>
                  <pic:blipFill>
                    <a:blip r:embed="rId5"/>
                    <a:stretch>
                      <a:fillRect/>
                    </a:stretch>
                  </pic:blipFill>
                  <pic:spPr>
                    <a:xfrm>
                      <a:off x="0" y="0"/>
                      <a:ext cx="2687955" cy="2016125"/>
                    </a:xfrm>
                    <a:prstGeom prst="rect">
                      <a:avLst/>
                    </a:prstGeom>
                  </pic:spPr>
                </pic:pic>
              </a:graphicData>
            </a:graphic>
          </wp:inline>
        </w:drawing>
      </w:r>
      <w:r>
        <w:rPr>
          <w:rFonts w:hint="eastAsia" w:ascii="Times New Roman" w:hAnsi="Times New Roman" w:cs="Times New Roman"/>
          <w:b/>
          <w:bCs/>
          <w:color w:val="000000"/>
          <w:spacing w:val="0"/>
          <w:w w:val="100"/>
          <w:position w:val="0"/>
          <w:sz w:val="44"/>
          <w:szCs w:val="44"/>
          <w:lang w:val="en-US" w:eastAsia="zh-CN"/>
        </w:rPr>
        <w:t xml:space="preserve">  </w:t>
      </w:r>
      <w:r>
        <w:rPr>
          <w:rFonts w:hint="default" w:ascii="Times New Roman" w:hAnsi="Times New Roman" w:cs="Times New Roman"/>
          <w:b/>
          <w:bCs/>
          <w:color w:val="000000"/>
          <w:spacing w:val="0"/>
          <w:w w:val="100"/>
          <w:position w:val="0"/>
          <w:sz w:val="44"/>
          <w:szCs w:val="44"/>
          <w:lang w:val="en-US" w:eastAsia="zh-CN"/>
        </w:rPr>
        <w:drawing>
          <wp:inline distT="0" distB="0" distL="114300" distR="114300">
            <wp:extent cx="2735580" cy="2051685"/>
            <wp:effectExtent l="0" t="0" r="7620" b="5715"/>
            <wp:docPr id="11" name="图片 11" descr="胶体金检测相关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胶体金检测相关图片2"/>
                    <pic:cNvPicPr>
                      <a:picLocks noChangeAspect="1"/>
                    </pic:cNvPicPr>
                  </pic:nvPicPr>
                  <pic:blipFill>
                    <a:blip r:embed="rId6"/>
                    <a:stretch>
                      <a:fillRect/>
                    </a:stretch>
                  </pic:blipFill>
                  <pic:spPr>
                    <a:xfrm>
                      <a:off x="0" y="0"/>
                      <a:ext cx="2735580" cy="2051685"/>
                    </a:xfrm>
                    <a:prstGeom prst="rect">
                      <a:avLst/>
                    </a:prstGeom>
                  </pic:spPr>
                </pic:pic>
              </a:graphicData>
            </a:graphic>
          </wp:inline>
        </w:drawing>
      </w:r>
    </w:p>
    <w:p>
      <w:pPr>
        <w:widowControl w:val="0"/>
        <w:numPr>
          <w:ilvl w:val="0"/>
          <w:numId w:val="0"/>
        </w:numPr>
        <w:spacing w:line="360" w:lineRule="auto"/>
        <w:jc w:val="both"/>
        <w:rPr>
          <w:rFonts w:hint="default" w:ascii="Times New Roman" w:hAnsi="Times New Roman" w:cs="Times New Roman"/>
          <w:b/>
          <w:bCs/>
          <w:color w:val="000000"/>
          <w:spacing w:val="0"/>
          <w:w w:val="100"/>
          <w:position w:val="0"/>
          <w:sz w:val="44"/>
          <w:szCs w:val="44"/>
          <w:lang w:val="en-US" w:eastAsia="zh-CN"/>
        </w:rPr>
      </w:pPr>
      <w:bookmarkStart w:id="0" w:name="_GoBack"/>
      <w:bookmarkEnd w:id="0"/>
    </w:p>
    <w:p>
      <w:pPr>
        <w:widowControl w:val="0"/>
        <w:numPr>
          <w:ilvl w:val="0"/>
          <w:numId w:val="0"/>
        </w:numPr>
        <w:spacing w:line="360" w:lineRule="auto"/>
        <w:jc w:val="both"/>
        <w:rPr>
          <w:rFonts w:hint="default" w:ascii="Times New Roman" w:hAnsi="Times New Roman" w:cs="Times New Roman"/>
          <w:b/>
          <w:bCs/>
          <w:color w:val="000000"/>
          <w:spacing w:val="0"/>
          <w:w w:val="100"/>
          <w:position w:val="0"/>
          <w:sz w:val="44"/>
          <w:szCs w:val="44"/>
          <w:lang w:val="en-US" w:eastAsia="zh-CN"/>
        </w:rPr>
      </w:pPr>
      <w:r>
        <w:rPr>
          <w:rFonts w:hint="default" w:ascii="Times New Roman" w:hAnsi="Times New Roman" w:cs="Times New Roman"/>
          <w:b/>
          <w:bCs/>
          <w:color w:val="000000"/>
          <w:spacing w:val="0"/>
          <w:w w:val="100"/>
          <w:position w:val="0"/>
          <w:sz w:val="44"/>
          <w:szCs w:val="44"/>
          <w:lang w:val="en-US" w:eastAsia="zh-CN"/>
        </w:rPr>
        <w:drawing>
          <wp:inline distT="0" distB="0" distL="114300" distR="114300">
            <wp:extent cx="2687955" cy="2016125"/>
            <wp:effectExtent l="0" t="0" r="9525" b="10795"/>
            <wp:docPr id="12" name="图片 12" descr="胶体金检测相关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胶体金检测相关图片1"/>
                    <pic:cNvPicPr>
                      <a:picLocks noChangeAspect="1"/>
                    </pic:cNvPicPr>
                  </pic:nvPicPr>
                  <pic:blipFill>
                    <a:blip r:embed="rId7"/>
                    <a:stretch>
                      <a:fillRect/>
                    </a:stretch>
                  </pic:blipFill>
                  <pic:spPr>
                    <a:xfrm>
                      <a:off x="0" y="0"/>
                      <a:ext cx="2687955" cy="2016125"/>
                    </a:xfrm>
                    <a:prstGeom prst="rect">
                      <a:avLst/>
                    </a:prstGeom>
                  </pic:spPr>
                </pic:pic>
              </a:graphicData>
            </a:graphic>
          </wp:inline>
        </w:drawing>
      </w:r>
      <w:r>
        <w:rPr>
          <w:rFonts w:hint="eastAsia" w:ascii="Times New Roman" w:hAnsi="Times New Roman" w:cs="Times New Roman"/>
          <w:b/>
          <w:bCs/>
          <w:color w:val="000000"/>
          <w:spacing w:val="0"/>
          <w:w w:val="100"/>
          <w:position w:val="0"/>
          <w:sz w:val="44"/>
          <w:szCs w:val="44"/>
          <w:lang w:val="en-US" w:eastAsia="zh-CN"/>
        </w:rPr>
        <w:t xml:space="preserve">  </w:t>
      </w:r>
      <w:r>
        <w:rPr>
          <w:rFonts w:hint="default" w:ascii="Times New Roman" w:hAnsi="Times New Roman" w:cs="Times New Roman"/>
          <w:b/>
          <w:bCs/>
          <w:color w:val="000000"/>
          <w:spacing w:val="0"/>
          <w:w w:val="100"/>
          <w:position w:val="0"/>
          <w:sz w:val="44"/>
          <w:szCs w:val="44"/>
          <w:lang w:val="en-US" w:eastAsia="zh-CN"/>
        </w:rPr>
        <w:drawing>
          <wp:inline distT="0" distB="0" distL="114300" distR="114300">
            <wp:extent cx="2735580" cy="2051685"/>
            <wp:effectExtent l="0" t="0" r="7620" b="5715"/>
            <wp:docPr id="13" name="图片 13" descr="胶体金检测相关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胶体金检测相关图片3"/>
                    <pic:cNvPicPr>
                      <a:picLocks noChangeAspect="1"/>
                    </pic:cNvPicPr>
                  </pic:nvPicPr>
                  <pic:blipFill>
                    <a:blip r:embed="rId8"/>
                    <a:stretch>
                      <a:fillRect/>
                    </a:stretch>
                  </pic:blipFill>
                  <pic:spPr>
                    <a:xfrm>
                      <a:off x="0" y="0"/>
                      <a:ext cx="2735580" cy="2051685"/>
                    </a:xfrm>
                    <a:prstGeom prst="rect">
                      <a:avLst/>
                    </a:prstGeom>
                  </pic:spPr>
                </pic:pic>
              </a:graphicData>
            </a:graphic>
          </wp:inline>
        </w:drawing>
      </w:r>
    </w:p>
    <w:p>
      <w:pPr>
        <w:widowControl w:val="0"/>
        <w:numPr>
          <w:ilvl w:val="0"/>
          <w:numId w:val="0"/>
        </w:numPr>
        <w:spacing w:line="360" w:lineRule="auto"/>
        <w:jc w:val="both"/>
        <w:rPr>
          <w:rFonts w:hint="default" w:ascii="Times New Roman" w:hAnsi="Times New Roman" w:cs="Times New Roman"/>
          <w:b/>
          <w:bCs/>
          <w:color w:val="000000"/>
          <w:spacing w:val="0"/>
          <w:w w:val="100"/>
          <w:position w:val="0"/>
          <w:sz w:val="44"/>
          <w:szCs w:val="44"/>
          <w:lang w:val="en-US" w:eastAsia="zh-CN"/>
        </w:rPr>
        <w:sectPr>
          <w:pgSz w:w="11906" w:h="16838"/>
          <w:pgMar w:top="1440" w:right="1134" w:bottom="1440" w:left="1417" w:header="851" w:footer="992" w:gutter="0"/>
          <w:cols w:space="425" w:num="1"/>
          <w:docGrid w:type="lines" w:linePitch="312" w:charSpace="0"/>
        </w:sectPr>
      </w:pPr>
    </w:p>
    <w:p>
      <w:pPr>
        <w:spacing w:line="360" w:lineRule="auto"/>
        <w:ind w:firstLine="482" w:firstLineChars="200"/>
        <w:jc w:val="center"/>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表1 六堡茶鲜叶简体金免疫层析法测试结果</w:t>
      </w:r>
    </w:p>
    <w:tbl>
      <w:tblPr>
        <w:tblStyle w:val="2"/>
        <w:tblW w:w="1578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7"/>
        <w:gridCol w:w="1298"/>
        <w:gridCol w:w="1124"/>
        <w:gridCol w:w="1101"/>
        <w:gridCol w:w="688"/>
        <w:gridCol w:w="1162"/>
        <w:gridCol w:w="976"/>
        <w:gridCol w:w="753"/>
        <w:gridCol w:w="817"/>
        <w:gridCol w:w="897"/>
        <w:gridCol w:w="4153"/>
        <w:gridCol w:w="1420"/>
        <w:gridCol w:w="7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序号</w:t>
            </w:r>
          </w:p>
        </w:tc>
        <w:tc>
          <w:tcPr>
            <w:tcW w:w="1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项目名称</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编码</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批号</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产品类型</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产品检测限</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需求检测限</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样品称样量(g）</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标品浓度(ppm）</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标品加入量（uL）</w:t>
            </w:r>
          </w:p>
        </w:tc>
        <w:tc>
          <w:tcPr>
            <w:tcW w:w="41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点条结果</w:t>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稀释倍数（混合液+样品稀释液）</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6"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1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水胺硫磷快速检测卡</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MK111A1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20220701</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二型</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0.05ppm</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0.05ppm</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2.5/5/7.5</w:t>
            </w:r>
          </w:p>
        </w:tc>
        <w:tc>
          <w:tcPr>
            <w:tcW w:w="41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885950" cy="904875"/>
                  <wp:effectExtent l="0" t="0" r="381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9"/>
                          <a:stretch>
                            <a:fillRect/>
                          </a:stretch>
                        </pic:blipFill>
                        <pic:spPr>
                          <a:xfrm>
                            <a:off x="0" y="0"/>
                            <a:ext cx="1885950" cy="904875"/>
                          </a:xfrm>
                          <a:prstGeom prst="rect">
                            <a:avLst/>
                          </a:prstGeom>
                          <a:noFill/>
                          <a:ln w="9525">
                            <a:noFill/>
                          </a:ln>
                        </pic:spPr>
                      </pic:pic>
                    </a:graphicData>
                  </a:graphic>
                </wp:inline>
              </w:drawing>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无</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满足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1"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1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吡虫啉快速检测卡</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MK185A1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20220705</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一型</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0.05-5ppm</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0.5ppm</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25/50</w:t>
            </w:r>
          </w:p>
        </w:tc>
        <w:tc>
          <w:tcPr>
            <w:tcW w:w="41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847850" cy="1047750"/>
                  <wp:effectExtent l="0" t="0" r="11430" b="381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10"/>
                          <a:stretch>
                            <a:fillRect/>
                          </a:stretch>
                        </pic:blipFill>
                        <pic:spPr>
                          <a:xfrm>
                            <a:off x="0" y="0"/>
                            <a:ext cx="1847850" cy="1047750"/>
                          </a:xfrm>
                          <a:prstGeom prst="rect">
                            <a:avLst/>
                          </a:prstGeom>
                          <a:noFill/>
                          <a:ln w="9525">
                            <a:noFill/>
                          </a:ln>
                        </pic:spPr>
                      </pic:pic>
                    </a:graphicData>
                  </a:graphic>
                </wp:inline>
              </w:drawing>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50uL+700uL</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满足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11"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1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克百威快速检测卡</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MK108A1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20220714</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一型</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0.02ppm</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0.02ppm</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10/20</w:t>
            </w:r>
          </w:p>
        </w:tc>
        <w:tc>
          <w:tcPr>
            <w:tcW w:w="41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1819275" cy="1104900"/>
                  <wp:effectExtent l="0" t="0" r="9525" b="762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11"/>
                          <a:stretch>
                            <a:fillRect/>
                          </a:stretch>
                        </pic:blipFill>
                        <pic:spPr>
                          <a:xfrm>
                            <a:off x="0" y="0"/>
                            <a:ext cx="1819275" cy="1104900"/>
                          </a:xfrm>
                          <a:prstGeom prst="rect">
                            <a:avLst/>
                          </a:prstGeom>
                          <a:noFill/>
                          <a:ln w="9525">
                            <a:noFill/>
                          </a:ln>
                        </pic:spPr>
                      </pic:pic>
                    </a:graphicData>
                  </a:graphic>
                </wp:inline>
              </w:drawing>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100uL+100uL</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满足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6"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1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毒死蜱快速检测卡</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MK112A1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20220717</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一型</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0.02-3ppm</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2ppm</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10/20</w:t>
            </w:r>
          </w:p>
        </w:tc>
        <w:tc>
          <w:tcPr>
            <w:tcW w:w="41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2295525" cy="1238250"/>
                  <wp:effectExtent l="0" t="0" r="5715" b="11430"/>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12"/>
                          <a:stretch>
                            <a:fillRect/>
                          </a:stretch>
                        </pic:blipFill>
                        <pic:spPr>
                          <a:xfrm>
                            <a:off x="0" y="0"/>
                            <a:ext cx="2295525" cy="1238250"/>
                          </a:xfrm>
                          <a:prstGeom prst="rect">
                            <a:avLst/>
                          </a:prstGeom>
                          <a:noFill/>
                          <a:ln w="9525">
                            <a:noFill/>
                          </a:ln>
                        </pic:spPr>
                      </pic:pic>
                    </a:graphicData>
                  </a:graphic>
                </wp:inline>
              </w:drawing>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10uL+650uL</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满足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6"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w:t>
            </w:r>
          </w:p>
        </w:tc>
        <w:tc>
          <w:tcPr>
            <w:tcW w:w="1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噻虫嗪快速检测卡</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MK197A1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20220715</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一型</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0.02-5ppm</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10ppm</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50/100</w:t>
            </w:r>
          </w:p>
        </w:tc>
        <w:tc>
          <w:tcPr>
            <w:tcW w:w="41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2124075" cy="1257300"/>
                  <wp:effectExtent l="0" t="0" r="9525" b="762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13"/>
                          <a:stretch>
                            <a:fillRect/>
                          </a:stretch>
                        </pic:blipFill>
                        <pic:spPr>
                          <a:xfrm>
                            <a:off x="0" y="0"/>
                            <a:ext cx="2124075" cy="1257300"/>
                          </a:xfrm>
                          <a:prstGeom prst="rect">
                            <a:avLst/>
                          </a:prstGeom>
                          <a:noFill/>
                          <a:ln w="9525">
                            <a:noFill/>
                          </a:ln>
                        </pic:spPr>
                      </pic:pic>
                    </a:graphicData>
                  </a:graphic>
                </wp:inline>
              </w:drawing>
            </w:r>
          </w:p>
        </w:tc>
        <w:tc>
          <w:tcPr>
            <w:tcW w:w="14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20uL+980uL混匀后即为中间液，再取10uL中间液+990uL样品稀释液混匀后即为待测液</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满足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6"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w:t>
            </w:r>
          </w:p>
        </w:tc>
        <w:tc>
          <w:tcPr>
            <w:tcW w:w="1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氟虫氰快速检测卡</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MK116A1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20220705</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一型</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0.02ppm</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2ppb禁用</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30/60</w:t>
            </w:r>
          </w:p>
        </w:tc>
        <w:tc>
          <w:tcPr>
            <w:tcW w:w="41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2457450" cy="1323975"/>
                  <wp:effectExtent l="0" t="0" r="11430" b="190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14"/>
                          <a:stretch>
                            <a:fillRect/>
                          </a:stretch>
                        </pic:blipFill>
                        <pic:spPr>
                          <a:xfrm>
                            <a:off x="0" y="0"/>
                            <a:ext cx="2457450" cy="1323975"/>
                          </a:xfrm>
                          <a:prstGeom prst="rect">
                            <a:avLst/>
                          </a:prstGeom>
                          <a:noFill/>
                          <a:ln w="9525">
                            <a:noFill/>
                          </a:ln>
                        </pic:spPr>
                      </pic:pic>
                    </a:graphicData>
                  </a:graphic>
                </wp:inline>
              </w:drawing>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无</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FF0000"/>
                <w:sz w:val="21"/>
                <w:szCs w:val="21"/>
                <w:u w:val="none"/>
              </w:rPr>
            </w:pPr>
            <w:r>
              <w:rPr>
                <w:rFonts w:hint="eastAsia" w:ascii="仿宋" w:hAnsi="仿宋" w:eastAsia="仿宋" w:cs="仿宋"/>
                <w:i w:val="0"/>
                <w:iCs w:val="0"/>
                <w:color w:val="auto"/>
                <w:kern w:val="0"/>
                <w:sz w:val="21"/>
                <w:szCs w:val="21"/>
                <w:u w:val="none"/>
                <w:lang w:val="en-US" w:eastAsia="zh-CN" w:bidi="ar"/>
              </w:rPr>
              <w:t>检测限20ppb，半倍检测限显色不佳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2"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w:t>
            </w:r>
          </w:p>
        </w:tc>
        <w:tc>
          <w:tcPr>
            <w:tcW w:w="1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啶虫脒快速检测卡</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MK114A1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20220722</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一型</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0.02-5ppm</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10ppm</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50/100</w:t>
            </w:r>
          </w:p>
        </w:tc>
        <w:tc>
          <w:tcPr>
            <w:tcW w:w="41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2616200" cy="1393825"/>
                  <wp:effectExtent l="0" t="0" r="5080" b="825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5"/>
                          <a:stretch>
                            <a:fillRect/>
                          </a:stretch>
                        </pic:blipFill>
                        <pic:spPr>
                          <a:xfrm>
                            <a:off x="0" y="0"/>
                            <a:ext cx="2616200" cy="1393825"/>
                          </a:xfrm>
                          <a:prstGeom prst="rect">
                            <a:avLst/>
                          </a:prstGeom>
                          <a:noFill/>
                          <a:ln w="9525">
                            <a:noFill/>
                          </a:ln>
                        </pic:spPr>
                      </pic:pic>
                    </a:graphicData>
                  </a:graphic>
                </wp:inline>
              </w:drawing>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5uL+3495uL</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满足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6" w:hRule="atLeast"/>
          <w:jc w:val="center"/>
        </w:trPr>
        <w:tc>
          <w:tcPr>
            <w:tcW w:w="6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w:t>
            </w:r>
          </w:p>
        </w:tc>
        <w:tc>
          <w:tcPr>
            <w:tcW w:w="12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甲氰菊酯快速检测卡</w:t>
            </w:r>
          </w:p>
        </w:tc>
        <w:tc>
          <w:tcPr>
            <w:tcW w:w="11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MK105A1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20220710</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二型</w:t>
            </w:r>
          </w:p>
        </w:tc>
        <w:tc>
          <w:tcPr>
            <w:tcW w:w="1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0.5-7ppm</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5ppm</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25/50/75</w:t>
            </w:r>
          </w:p>
        </w:tc>
        <w:tc>
          <w:tcPr>
            <w:tcW w:w="41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drawing>
                <wp:inline distT="0" distB="0" distL="114300" distR="114300">
                  <wp:extent cx="2572385" cy="1246505"/>
                  <wp:effectExtent l="0" t="0" r="3175" b="317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6"/>
                          <a:stretch>
                            <a:fillRect/>
                          </a:stretch>
                        </pic:blipFill>
                        <pic:spPr>
                          <a:xfrm>
                            <a:off x="0" y="0"/>
                            <a:ext cx="2572385" cy="1246505"/>
                          </a:xfrm>
                          <a:prstGeom prst="rect">
                            <a:avLst/>
                          </a:prstGeom>
                          <a:noFill/>
                          <a:ln w="9525">
                            <a:noFill/>
                          </a:ln>
                        </pic:spPr>
                      </pic:pic>
                    </a:graphicData>
                  </a:graphic>
                </wp:inline>
              </w:drawing>
            </w:r>
          </w:p>
        </w:tc>
        <w:tc>
          <w:tcPr>
            <w:tcW w:w="1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100uL+900uL</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满足</w:t>
            </w:r>
          </w:p>
        </w:tc>
      </w:tr>
    </w:tbl>
    <w:p>
      <w:pPr>
        <w:spacing w:line="360" w:lineRule="auto"/>
        <w:ind w:firstLine="482" w:firstLineChars="200"/>
        <w:rPr>
          <w:rFonts w:hint="eastAsia" w:ascii="仿宋" w:hAnsi="仿宋" w:eastAsia="仿宋" w:cs="仿宋"/>
          <w:b/>
          <w:bCs/>
          <w:color w:val="auto"/>
          <w:sz w:val="24"/>
          <w:szCs w:val="24"/>
          <w:lang w:val="en-US" w:eastAsia="zh-CN"/>
        </w:rPr>
      </w:pPr>
    </w:p>
    <w:p>
      <w:pPr>
        <w:spacing w:line="360" w:lineRule="auto"/>
        <w:ind w:firstLine="482" w:firstLineChars="200"/>
        <w:rPr>
          <w:rFonts w:hint="eastAsia" w:ascii="仿宋" w:hAnsi="仿宋" w:eastAsia="仿宋" w:cs="仿宋"/>
          <w:b/>
          <w:bCs/>
          <w:color w:val="auto"/>
          <w:sz w:val="24"/>
          <w:szCs w:val="24"/>
          <w:lang w:val="en-US" w:eastAsia="zh-CN"/>
        </w:rPr>
        <w:sectPr>
          <w:pgSz w:w="16838" w:h="11906" w:orient="landscape"/>
          <w:pgMar w:top="1800" w:right="1440" w:bottom="1800" w:left="1440" w:header="851" w:footer="992" w:gutter="0"/>
          <w:cols w:space="425" w:num="1"/>
          <w:docGrid w:type="lines" w:linePitch="312" w:charSpace="0"/>
        </w:sectPr>
      </w:pPr>
    </w:p>
    <w:p>
      <w:pPr>
        <w:numPr>
          <w:ilvl w:val="0"/>
          <w:numId w:val="0"/>
        </w:num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4、胶体金应用推广情况</w:t>
      </w:r>
    </w:p>
    <w:p>
      <w:pPr>
        <w:numPr>
          <w:ilvl w:val="0"/>
          <w:numId w:val="0"/>
        </w:num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（1）深入全市各六堡茶园基地开展茶叶农残胶体金检测服务</w:t>
      </w:r>
    </w:p>
    <w:p>
      <w:pPr>
        <w:rPr>
          <w:rFonts w:hint="eastAsia" w:eastAsiaTheme="minorEastAsia"/>
          <w:lang w:eastAsia="zh-CN"/>
        </w:rPr>
      </w:pPr>
      <w:r>
        <w:rPr>
          <w:rFonts w:hint="eastAsia" w:eastAsiaTheme="minorEastAsia"/>
          <w:lang w:eastAsia="zh-CN"/>
        </w:rPr>
        <w:drawing>
          <wp:inline distT="0" distB="0" distL="114300" distR="114300">
            <wp:extent cx="5478145" cy="3580765"/>
            <wp:effectExtent l="0" t="0" r="8255" b="635"/>
            <wp:docPr id="14" name="图片 14" descr="beaebc1e58738741451147657776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eaebc1e58738741451147657776aaa"/>
                    <pic:cNvPicPr>
                      <a:picLocks noChangeAspect="1"/>
                    </pic:cNvPicPr>
                  </pic:nvPicPr>
                  <pic:blipFill>
                    <a:blip r:embed="rId17"/>
                    <a:stretch>
                      <a:fillRect/>
                    </a:stretch>
                  </pic:blipFill>
                  <pic:spPr>
                    <a:xfrm>
                      <a:off x="0" y="0"/>
                      <a:ext cx="5478145" cy="3580765"/>
                    </a:xfrm>
                    <a:prstGeom prst="rect">
                      <a:avLst/>
                    </a:prstGeom>
                  </pic:spPr>
                </pic:pic>
              </a:graphicData>
            </a:graphic>
          </wp:inline>
        </w:drawing>
      </w:r>
    </w:p>
    <w:p>
      <w:pPr>
        <w:numPr>
          <w:ilvl w:val="0"/>
          <w:numId w:val="0"/>
        </w:numPr>
        <w:rPr>
          <w:rFonts w:hint="eastAsia"/>
          <w:sz w:val="32"/>
          <w:szCs w:val="32"/>
          <w:lang w:val="en-US" w:eastAsia="zh-CN"/>
        </w:rPr>
      </w:pPr>
      <w:r>
        <w:rPr>
          <w:rFonts w:hint="eastAsia"/>
          <w:sz w:val="32"/>
          <w:szCs w:val="32"/>
          <w:lang w:val="en-US" w:eastAsia="zh-CN"/>
        </w:rPr>
        <w:drawing>
          <wp:inline distT="0" distB="0" distL="114300" distR="114300">
            <wp:extent cx="5512435" cy="4273550"/>
            <wp:effectExtent l="0" t="0" r="4445" b="8890"/>
            <wp:docPr id="15" name="图片 15" descr="1eb0de3dd74414bdb017116ba3cc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eb0de3dd74414bdb017116ba3cc816"/>
                    <pic:cNvPicPr>
                      <a:picLocks noChangeAspect="1"/>
                    </pic:cNvPicPr>
                  </pic:nvPicPr>
                  <pic:blipFill>
                    <a:blip r:embed="rId18"/>
                    <a:stretch>
                      <a:fillRect/>
                    </a:stretch>
                  </pic:blipFill>
                  <pic:spPr>
                    <a:xfrm>
                      <a:off x="0" y="0"/>
                      <a:ext cx="5512435" cy="4273550"/>
                    </a:xfrm>
                    <a:prstGeom prst="rect">
                      <a:avLst/>
                    </a:prstGeom>
                  </pic:spPr>
                </pic:pic>
              </a:graphicData>
            </a:graphic>
          </wp:inline>
        </w:drawing>
      </w:r>
    </w:p>
    <w:p>
      <w:pPr>
        <w:numPr>
          <w:ilvl w:val="0"/>
          <w:numId w:val="0"/>
        </w:num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（2）深入全市各六堡茶园基地开展安全生产技术指导</w:t>
      </w:r>
    </w:p>
    <w:p>
      <w:pPr>
        <w:numPr>
          <w:ilvl w:val="0"/>
          <w:numId w:val="0"/>
        </w:numPr>
        <w:rPr>
          <w:rFonts w:hint="eastAsia"/>
          <w:sz w:val="32"/>
          <w:szCs w:val="32"/>
          <w:lang w:val="en-US" w:eastAsia="zh-CN"/>
        </w:rPr>
      </w:pPr>
      <w:r>
        <w:rPr>
          <w:rFonts w:hint="default"/>
          <w:sz w:val="32"/>
          <w:szCs w:val="32"/>
          <w:lang w:val="en-US" w:eastAsia="zh-CN"/>
        </w:rPr>
        <w:drawing>
          <wp:inline distT="0" distB="0" distL="114300" distR="114300">
            <wp:extent cx="5248275" cy="2950210"/>
            <wp:effectExtent l="0" t="0" r="9525" b="6350"/>
            <wp:docPr id="16" name="图片 16" descr="ef7059627363ea9c1004606a13fc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f7059627363ea9c1004606a13fc000"/>
                    <pic:cNvPicPr>
                      <a:picLocks noChangeAspect="1"/>
                    </pic:cNvPicPr>
                  </pic:nvPicPr>
                  <pic:blipFill>
                    <a:blip r:embed="rId19"/>
                    <a:stretch>
                      <a:fillRect/>
                    </a:stretch>
                  </pic:blipFill>
                  <pic:spPr>
                    <a:xfrm>
                      <a:off x="0" y="0"/>
                      <a:ext cx="5248275" cy="2950210"/>
                    </a:xfrm>
                    <a:prstGeom prst="rect">
                      <a:avLst/>
                    </a:prstGeom>
                  </pic:spPr>
                </pic:pic>
              </a:graphicData>
            </a:graphic>
          </wp:inline>
        </w:drawing>
      </w:r>
    </w:p>
    <w:p>
      <w:pPr>
        <w:numPr>
          <w:ilvl w:val="0"/>
          <w:numId w:val="0"/>
        </w:numPr>
        <w:rPr>
          <w:rFonts w:hint="default"/>
          <w:sz w:val="32"/>
          <w:szCs w:val="32"/>
          <w:lang w:val="en-US" w:eastAsia="zh-CN"/>
        </w:rPr>
      </w:pPr>
    </w:p>
    <w:p>
      <w:pPr>
        <w:numPr>
          <w:ilvl w:val="0"/>
          <w:numId w:val="0"/>
        </w:numPr>
        <w:rPr>
          <w:rFonts w:hint="default"/>
          <w:sz w:val="32"/>
          <w:szCs w:val="32"/>
          <w:lang w:val="en-US" w:eastAsia="zh-CN"/>
        </w:rPr>
      </w:pPr>
      <w:r>
        <w:rPr>
          <w:rFonts w:hint="default"/>
          <w:sz w:val="32"/>
          <w:szCs w:val="32"/>
          <w:lang w:val="en-US" w:eastAsia="zh-CN"/>
        </w:rPr>
        <w:drawing>
          <wp:inline distT="0" distB="0" distL="114300" distR="114300">
            <wp:extent cx="5266690" cy="3714750"/>
            <wp:effectExtent l="0" t="0" r="6350" b="3810"/>
            <wp:docPr id="17" name="图片 17" descr="050a734087d0e2d8e51086980e85b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50a734087d0e2d8e51086980e85b66"/>
                    <pic:cNvPicPr>
                      <a:picLocks noChangeAspect="1"/>
                    </pic:cNvPicPr>
                  </pic:nvPicPr>
                  <pic:blipFill>
                    <a:blip r:embed="rId20"/>
                    <a:stretch>
                      <a:fillRect/>
                    </a:stretch>
                  </pic:blipFill>
                  <pic:spPr>
                    <a:xfrm>
                      <a:off x="0" y="0"/>
                      <a:ext cx="5266690" cy="3714750"/>
                    </a:xfrm>
                    <a:prstGeom prst="rect">
                      <a:avLst/>
                    </a:prstGeom>
                  </pic:spPr>
                </pic:pic>
              </a:graphicData>
            </a:graphic>
          </wp:inline>
        </w:drawing>
      </w:r>
    </w:p>
    <w:p>
      <w:pPr>
        <w:numPr>
          <w:ilvl w:val="0"/>
          <w:numId w:val="0"/>
        </w:numPr>
        <w:spacing w:line="360" w:lineRule="auto"/>
        <w:rPr>
          <w:rFonts w:hint="eastAsia" w:ascii="仿宋" w:hAnsi="仿宋" w:eastAsia="仿宋" w:cs="仿宋"/>
          <w:sz w:val="24"/>
          <w:szCs w:val="24"/>
          <w:lang w:val="en-US" w:eastAsia="zh-CN"/>
        </w:rPr>
      </w:pPr>
    </w:p>
    <w:p>
      <w:pPr>
        <w:numPr>
          <w:ilvl w:val="0"/>
          <w:numId w:val="0"/>
        </w:numPr>
        <w:spacing w:line="360" w:lineRule="auto"/>
        <w:rPr>
          <w:rFonts w:hint="eastAsia" w:ascii="仿宋" w:hAnsi="仿宋" w:eastAsia="仿宋" w:cs="仿宋"/>
          <w:sz w:val="24"/>
          <w:szCs w:val="24"/>
          <w:lang w:val="en-US" w:eastAsia="zh-CN"/>
        </w:rPr>
      </w:pPr>
    </w:p>
    <w:p>
      <w:pPr>
        <w:numPr>
          <w:ilvl w:val="0"/>
          <w:numId w:val="0"/>
        </w:numPr>
        <w:spacing w:line="360" w:lineRule="auto"/>
        <w:rPr>
          <w:rFonts w:hint="eastAsia" w:ascii="仿宋" w:hAnsi="仿宋" w:eastAsia="仿宋" w:cs="仿宋"/>
          <w:sz w:val="24"/>
          <w:szCs w:val="24"/>
          <w:lang w:val="en-US" w:eastAsia="zh-CN"/>
        </w:rPr>
      </w:pPr>
    </w:p>
    <w:p>
      <w:pPr>
        <w:numPr>
          <w:ilvl w:val="0"/>
          <w:numId w:val="0"/>
        </w:numPr>
        <w:spacing w:line="360" w:lineRule="auto"/>
        <w:rPr>
          <w:rFonts w:hint="eastAsia" w:ascii="仿宋" w:hAnsi="仿宋" w:eastAsia="仿宋" w:cs="仿宋"/>
          <w:sz w:val="24"/>
          <w:szCs w:val="24"/>
          <w:lang w:val="en-US" w:eastAsia="zh-CN"/>
        </w:rPr>
      </w:pPr>
    </w:p>
    <w:p>
      <w:pPr>
        <w:numPr>
          <w:ilvl w:val="0"/>
          <w:numId w:val="0"/>
        </w:num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（3）开展六堡茶质量安全检测技术培训</w:t>
      </w:r>
    </w:p>
    <w:p>
      <w:pPr>
        <w:numPr>
          <w:ilvl w:val="0"/>
          <w:numId w:val="0"/>
        </w:numPr>
        <w:rPr>
          <w:rFonts w:hint="default"/>
          <w:sz w:val="32"/>
          <w:szCs w:val="32"/>
          <w:lang w:val="en-US" w:eastAsia="zh-CN"/>
        </w:rPr>
      </w:pPr>
      <w:r>
        <w:rPr>
          <w:rFonts w:hint="default"/>
          <w:sz w:val="32"/>
          <w:szCs w:val="32"/>
          <w:lang w:val="en-US" w:eastAsia="zh-CN"/>
        </w:rPr>
        <w:drawing>
          <wp:inline distT="0" distB="0" distL="114300" distR="114300">
            <wp:extent cx="5267960" cy="3172460"/>
            <wp:effectExtent l="0" t="0" r="5080" b="12700"/>
            <wp:docPr id="18" name="图片 18" descr="756dda242674ae919723ffa9f4b86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56dda242674ae919723ffa9f4b865b"/>
                    <pic:cNvPicPr>
                      <a:picLocks noChangeAspect="1"/>
                    </pic:cNvPicPr>
                  </pic:nvPicPr>
                  <pic:blipFill>
                    <a:blip r:embed="rId21"/>
                    <a:stretch>
                      <a:fillRect/>
                    </a:stretch>
                  </pic:blipFill>
                  <pic:spPr>
                    <a:xfrm>
                      <a:off x="0" y="0"/>
                      <a:ext cx="5267960" cy="3172460"/>
                    </a:xfrm>
                    <a:prstGeom prst="rect">
                      <a:avLst/>
                    </a:prstGeom>
                  </pic:spPr>
                </pic:pic>
              </a:graphicData>
            </a:graphic>
          </wp:inline>
        </w:drawing>
      </w:r>
    </w:p>
    <w:p>
      <w:pPr>
        <w:numPr>
          <w:ilvl w:val="0"/>
          <w:numId w:val="0"/>
        </w:numPr>
        <w:rPr>
          <w:rFonts w:hint="eastAsia"/>
          <w:lang w:val="en-US" w:eastAsia="zh-CN"/>
        </w:rPr>
      </w:pPr>
      <w:r>
        <w:rPr>
          <w:rFonts w:hint="eastAsia"/>
          <w:sz w:val="32"/>
          <w:szCs w:val="32"/>
          <w:lang w:val="en-US" w:eastAsia="zh-CN"/>
        </w:rPr>
        <w:t xml:space="preserve">                  </w:t>
      </w:r>
    </w:p>
    <w:p>
      <w:pPr>
        <w:numPr>
          <w:ilvl w:val="0"/>
          <w:numId w:val="0"/>
        </w:numPr>
        <w:rPr>
          <w:rFonts w:hint="default"/>
          <w:lang w:val="en-US" w:eastAsia="zh-CN"/>
        </w:rPr>
      </w:pPr>
      <w:r>
        <w:rPr>
          <w:rFonts w:hint="default"/>
          <w:lang w:val="en-US" w:eastAsia="zh-CN"/>
        </w:rPr>
        <w:drawing>
          <wp:inline distT="0" distB="0" distL="114300" distR="114300">
            <wp:extent cx="5267960" cy="3342005"/>
            <wp:effectExtent l="0" t="0" r="5080" b="10795"/>
            <wp:docPr id="19" name="图片 19" descr="4c2dc38f24be86a31eabb0bfbc9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c2dc38f24be86a31eabb0bfbc91190"/>
                    <pic:cNvPicPr>
                      <a:picLocks noChangeAspect="1"/>
                    </pic:cNvPicPr>
                  </pic:nvPicPr>
                  <pic:blipFill>
                    <a:blip r:embed="rId22"/>
                    <a:stretch>
                      <a:fillRect/>
                    </a:stretch>
                  </pic:blipFill>
                  <pic:spPr>
                    <a:xfrm>
                      <a:off x="0" y="0"/>
                      <a:ext cx="5267960" cy="3342005"/>
                    </a:xfrm>
                    <a:prstGeom prst="rect">
                      <a:avLst/>
                    </a:prstGeom>
                  </pic:spPr>
                </pic:pic>
              </a:graphicData>
            </a:graphic>
          </wp:inline>
        </w:drawing>
      </w:r>
    </w:p>
    <w:p>
      <w:pPr>
        <w:numPr>
          <w:ilvl w:val="0"/>
          <w:numId w:val="0"/>
        </w:numPr>
        <w:rPr>
          <w:rFonts w:hint="default"/>
          <w:lang w:val="en-US" w:eastAsia="zh-CN"/>
        </w:rPr>
      </w:pPr>
      <w:r>
        <w:rPr>
          <w:rFonts w:hint="default"/>
          <w:lang w:val="en-US" w:eastAsia="zh-CN"/>
        </w:rPr>
        <w:drawing>
          <wp:inline distT="0" distB="0" distL="114300" distR="114300">
            <wp:extent cx="5267960" cy="3533775"/>
            <wp:effectExtent l="0" t="0" r="5080" b="1905"/>
            <wp:docPr id="20" name="图片 20" descr="6bc815623d8b7b3f70bf6d349abd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bc815623d8b7b3f70bf6d349abd01c"/>
                    <pic:cNvPicPr>
                      <a:picLocks noChangeAspect="1"/>
                    </pic:cNvPicPr>
                  </pic:nvPicPr>
                  <pic:blipFill>
                    <a:blip r:embed="rId23"/>
                    <a:stretch>
                      <a:fillRect/>
                    </a:stretch>
                  </pic:blipFill>
                  <pic:spPr>
                    <a:xfrm>
                      <a:off x="0" y="0"/>
                      <a:ext cx="5267960" cy="3533775"/>
                    </a:xfrm>
                    <a:prstGeom prst="rect">
                      <a:avLst/>
                    </a:prstGeom>
                  </pic:spPr>
                </pic:pic>
              </a:graphicData>
            </a:graphic>
          </wp:inline>
        </w:drawing>
      </w:r>
    </w:p>
    <w:p>
      <w:pPr>
        <w:numPr>
          <w:ilvl w:val="0"/>
          <w:numId w:val="0"/>
        </w:numPr>
        <w:spacing w:line="360" w:lineRule="auto"/>
        <w:rPr>
          <w:rFonts w:hint="eastAsia" w:ascii="仿宋" w:hAnsi="仿宋" w:eastAsia="仿宋" w:cs="仿宋"/>
          <w:sz w:val="24"/>
          <w:szCs w:val="24"/>
          <w:lang w:val="en-US" w:eastAsia="zh-CN"/>
        </w:rPr>
      </w:pPr>
    </w:p>
    <w:p>
      <w:pPr>
        <w:numPr>
          <w:ilvl w:val="0"/>
          <w:numId w:val="0"/>
        </w:num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（4）深入六堡茶企业开展质量安全宣传活动</w:t>
      </w:r>
    </w:p>
    <w:p>
      <w:pPr>
        <w:numPr>
          <w:ilvl w:val="0"/>
          <w:numId w:val="0"/>
        </w:numPr>
        <w:rPr>
          <w:rFonts w:hint="default"/>
          <w:lang w:val="en-US" w:eastAsia="zh-CN"/>
        </w:rPr>
      </w:pPr>
      <w:r>
        <w:rPr>
          <w:rFonts w:hint="default"/>
          <w:lang w:val="en-US" w:eastAsia="zh-CN"/>
        </w:rPr>
        <w:drawing>
          <wp:inline distT="0" distB="0" distL="114300" distR="114300">
            <wp:extent cx="5410835" cy="3181985"/>
            <wp:effectExtent l="0" t="0" r="14605" b="3175"/>
            <wp:docPr id="21" name="图片 21" descr="66ca2a60c5bc70e1f02e53fbae3b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6ca2a60c5bc70e1f02e53fbae3bea0"/>
                    <pic:cNvPicPr>
                      <a:picLocks noChangeAspect="1"/>
                    </pic:cNvPicPr>
                  </pic:nvPicPr>
                  <pic:blipFill>
                    <a:blip r:embed="rId24"/>
                    <a:stretch>
                      <a:fillRect/>
                    </a:stretch>
                  </pic:blipFill>
                  <pic:spPr>
                    <a:xfrm>
                      <a:off x="0" y="0"/>
                      <a:ext cx="5410835" cy="3181985"/>
                    </a:xfrm>
                    <a:prstGeom prst="rect">
                      <a:avLst/>
                    </a:prstGeom>
                  </pic:spPr>
                </pic:pic>
              </a:graphicData>
            </a:graphic>
          </wp:inline>
        </w:drawing>
      </w:r>
    </w:p>
    <w:p>
      <w:pPr>
        <w:numPr>
          <w:ilvl w:val="0"/>
          <w:numId w:val="0"/>
        </w:numPr>
        <w:spacing w:line="360" w:lineRule="auto"/>
        <w:rPr>
          <w:rFonts w:hint="eastAsia" w:ascii="仿宋" w:hAnsi="仿宋" w:eastAsia="仿宋" w:cs="仿宋"/>
          <w:sz w:val="24"/>
          <w:szCs w:val="24"/>
          <w:lang w:val="en-US" w:eastAsia="zh-CN"/>
        </w:rPr>
      </w:pPr>
      <w:r>
        <w:rPr>
          <w:rFonts w:hint="default" w:ascii="仿宋" w:hAnsi="仿宋" w:eastAsia="仿宋" w:cs="仿宋"/>
          <w:sz w:val="24"/>
          <w:szCs w:val="24"/>
          <w:lang w:val="en-US" w:eastAsia="zh-CN"/>
        </w:rPr>
        <w:drawing>
          <wp:inline distT="0" distB="0" distL="114300" distR="114300">
            <wp:extent cx="5267960" cy="3706495"/>
            <wp:effectExtent l="0" t="0" r="5080" b="12065"/>
            <wp:docPr id="22" name="图片 22" descr="76e2b004b129f92740bd967aa2b22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6e2b004b129f92740bd967aa2b22ea"/>
                    <pic:cNvPicPr>
                      <a:picLocks noChangeAspect="1"/>
                    </pic:cNvPicPr>
                  </pic:nvPicPr>
                  <pic:blipFill>
                    <a:blip r:embed="rId25"/>
                    <a:stretch>
                      <a:fillRect/>
                    </a:stretch>
                  </pic:blipFill>
                  <pic:spPr>
                    <a:xfrm>
                      <a:off x="0" y="0"/>
                      <a:ext cx="5267960" cy="3706495"/>
                    </a:xfrm>
                    <a:prstGeom prst="rect">
                      <a:avLst/>
                    </a:prstGeom>
                  </pic:spPr>
                </pic:pic>
              </a:graphicData>
            </a:graphic>
          </wp:inline>
        </w:drawing>
      </w:r>
    </w:p>
    <w:p>
      <w:pPr>
        <w:numPr>
          <w:ilvl w:val="0"/>
          <w:numId w:val="0"/>
        </w:numPr>
        <w:spacing w:line="360" w:lineRule="auto"/>
        <w:rPr>
          <w:rFonts w:hint="eastAsia" w:ascii="仿宋" w:hAnsi="仿宋" w:eastAsia="仿宋" w:cs="仿宋"/>
          <w:sz w:val="24"/>
          <w:szCs w:val="24"/>
          <w:lang w:val="en-US" w:eastAsia="zh-CN"/>
        </w:rPr>
      </w:pPr>
    </w:p>
    <w:p>
      <w:pPr>
        <w:numPr>
          <w:ilvl w:val="0"/>
          <w:numId w:val="0"/>
        </w:numPr>
        <w:spacing w:line="360" w:lineRule="auto"/>
        <w:rPr>
          <w:rFonts w:hint="eastAsia" w:ascii="仿宋_GB2312" w:hAnsi="仿宋_GB2312" w:eastAsia="仿宋_GB2312" w:cs="仿宋_GB2312"/>
          <w:sz w:val="32"/>
          <w:szCs w:val="32"/>
          <w:lang w:val="en-US" w:eastAsia="zh-CN"/>
        </w:rPr>
      </w:pPr>
      <w:r>
        <w:rPr>
          <w:rFonts w:hint="eastAsia" w:ascii="仿宋" w:hAnsi="仿宋" w:eastAsia="仿宋" w:cs="仿宋"/>
          <w:sz w:val="24"/>
          <w:szCs w:val="24"/>
          <w:lang w:val="en-US" w:eastAsia="zh-CN"/>
        </w:rPr>
        <w:t>（5）深入六堡茶生产基地（茶园）抽样</w:t>
      </w:r>
      <w:r>
        <w:rPr>
          <w:rFonts w:hint="eastAsia" w:ascii="仿宋_GB2312" w:hAnsi="仿宋_GB2312" w:eastAsia="仿宋_GB2312" w:cs="仿宋_GB2312"/>
          <w:sz w:val="32"/>
          <w:szCs w:val="32"/>
          <w:lang w:val="en-US" w:eastAsia="zh-CN"/>
        </w:rPr>
        <w:t xml:space="preserve"> </w:t>
      </w:r>
    </w:p>
    <w:p>
      <w:pPr>
        <w:numPr>
          <w:ilvl w:val="0"/>
          <w:numId w:val="0"/>
        </w:numPr>
        <w:rPr>
          <w:rFonts w:hint="default"/>
          <w:lang w:val="en-US" w:eastAsia="zh-CN"/>
        </w:rPr>
      </w:pPr>
      <w:r>
        <w:rPr>
          <w:rFonts w:hint="default"/>
          <w:lang w:val="en-US" w:eastAsia="zh-CN"/>
        </w:rPr>
        <w:drawing>
          <wp:inline distT="0" distB="0" distL="114300" distR="114300">
            <wp:extent cx="5332730" cy="3276600"/>
            <wp:effectExtent l="0" t="0" r="1270" b="0"/>
            <wp:docPr id="23" name="图片 23" descr="95bf8e588de9b9ccda2a211a9e36a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5bf8e588de9b9ccda2a211a9e36ae6"/>
                    <pic:cNvPicPr>
                      <a:picLocks noChangeAspect="1"/>
                    </pic:cNvPicPr>
                  </pic:nvPicPr>
                  <pic:blipFill>
                    <a:blip r:embed="rId26"/>
                    <a:stretch>
                      <a:fillRect/>
                    </a:stretch>
                  </pic:blipFill>
                  <pic:spPr>
                    <a:xfrm>
                      <a:off x="0" y="0"/>
                      <a:ext cx="5332730" cy="3276600"/>
                    </a:xfrm>
                    <a:prstGeom prst="rect">
                      <a:avLst/>
                    </a:prstGeom>
                  </pic:spPr>
                </pic:pic>
              </a:graphicData>
            </a:graphic>
          </wp:inline>
        </w:drawing>
      </w:r>
    </w:p>
    <w:p>
      <w:pPr>
        <w:spacing w:line="360" w:lineRule="auto"/>
        <w:ind w:firstLine="420" w:firstLineChars="200"/>
        <w:rPr>
          <w:rFonts w:hint="default" w:ascii="仿宋" w:hAnsi="仿宋" w:eastAsia="仿宋" w:cs="仿宋"/>
          <w:b/>
          <w:bCs/>
          <w:color w:val="auto"/>
          <w:sz w:val="24"/>
          <w:szCs w:val="24"/>
          <w:lang w:val="en-US" w:eastAsia="zh-CN"/>
        </w:rPr>
      </w:pPr>
      <w:r>
        <w:rPr>
          <w:rFonts w:hint="eastAsia"/>
          <w:lang w:val="en-US" w:eastAsia="zh-CN"/>
        </w:rPr>
        <w:t xml:space="preserve"> </w:t>
      </w:r>
      <w:r>
        <w:rPr>
          <w:rFonts w:hint="default"/>
          <w:lang w:val="en-US" w:eastAsia="zh-CN"/>
        </w:rPr>
        <w:drawing>
          <wp:inline distT="0" distB="0" distL="114300" distR="114300">
            <wp:extent cx="5266690" cy="4258945"/>
            <wp:effectExtent l="0" t="0" r="6350" b="8255"/>
            <wp:docPr id="24" name="图片 24" descr="4266aeb36be32841ec2c09e715327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4266aeb36be32841ec2c09e7153270d"/>
                    <pic:cNvPicPr>
                      <a:picLocks noChangeAspect="1"/>
                    </pic:cNvPicPr>
                  </pic:nvPicPr>
                  <pic:blipFill>
                    <a:blip r:embed="rId27"/>
                    <a:stretch>
                      <a:fillRect/>
                    </a:stretch>
                  </pic:blipFill>
                  <pic:spPr>
                    <a:xfrm>
                      <a:off x="0" y="0"/>
                      <a:ext cx="5266690" cy="4258945"/>
                    </a:xfrm>
                    <a:prstGeom prst="rect">
                      <a:avLst/>
                    </a:prstGeom>
                  </pic:spPr>
                </pic:pic>
              </a:graphicData>
            </a:graphic>
          </wp:inline>
        </w:drawing>
      </w:r>
    </w:p>
    <w:p>
      <w:pPr>
        <w:spacing w:line="360" w:lineRule="auto"/>
        <w:ind w:firstLine="482" w:firstLineChars="200"/>
        <w:rPr>
          <w:rFonts w:hint="eastAsia" w:ascii="仿宋" w:hAnsi="仿宋" w:eastAsia="仿宋" w:cs="仿宋"/>
          <w:b/>
          <w:bCs/>
          <w:color w:val="auto"/>
          <w:sz w:val="24"/>
          <w:szCs w:val="24"/>
          <w:lang w:val="en-US" w:eastAsia="zh-CN"/>
        </w:rPr>
      </w:pP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color w:val="auto"/>
          <w:kern w:val="2"/>
          <w:sz w:val="24"/>
          <w:szCs w:val="24"/>
          <w:lang w:val="en-US" w:eastAsia="zh-CN" w:bidi="ar"/>
        </w:rPr>
      </w:pPr>
      <w:r>
        <w:rPr>
          <w:rFonts w:hint="default" w:ascii="Times New Roman" w:hAnsi="Times New Roman" w:eastAsia="黑体" w:cs="Times New Roman"/>
          <w:color w:val="auto"/>
          <w:sz w:val="32"/>
          <w:szCs w:val="32"/>
        </w:rPr>
        <w:t>六、国内外同类标准制修订情况及与法律法规、强制性标准关系</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本标准遵循《中华人民共和国标准化法》等国家相关的法规和强制性标准，与现行的法律、法规及强制性标准无冲突。本标准内容与各项指标不低于强制性国家标准、推荐性国家标准和行业标准。</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黑体" w:cs="Times New Roman"/>
          <w:color w:val="auto"/>
          <w:sz w:val="32"/>
          <w:szCs w:val="32"/>
        </w:rPr>
      </w:pPr>
      <w:r>
        <w:rPr>
          <w:rFonts w:hint="eastAsia" w:ascii="Times New Roman" w:hAnsi="Times New Roman" w:eastAsia="黑体" w:cs="Times New Roman"/>
          <w:color w:val="auto"/>
          <w:sz w:val="32"/>
          <w:szCs w:val="32"/>
          <w:lang w:val="en-US" w:eastAsia="zh-CN"/>
        </w:rPr>
        <w:t>七</w:t>
      </w:r>
      <w:r>
        <w:rPr>
          <w:rFonts w:hint="default" w:ascii="Times New Roman" w:hAnsi="Times New Roman" w:eastAsia="黑体" w:cs="Times New Roman"/>
          <w:color w:val="auto"/>
          <w:sz w:val="32"/>
          <w:szCs w:val="32"/>
        </w:rPr>
        <w:t>、自我承诺</w:t>
      </w:r>
    </w:p>
    <w:p>
      <w:pPr>
        <w:spacing w:line="360" w:lineRule="auto"/>
        <w:ind w:firstLine="480" w:firstLineChars="200"/>
        <w:rPr>
          <w:rFonts w:hint="default" w:ascii="仿宋_GB2312" w:hAnsi="宋体" w:eastAsia="仿宋_GB2312" w:cs="Calibri"/>
          <w:color w:val="auto"/>
          <w:sz w:val="28"/>
          <w:szCs w:val="28"/>
          <w:lang w:val="en-US" w:eastAsia="zh-CN"/>
        </w:rPr>
      </w:pPr>
      <w:r>
        <w:rPr>
          <w:rFonts w:hint="default" w:ascii="仿宋" w:hAnsi="仿宋" w:eastAsia="仿宋" w:cs="仿宋"/>
          <w:color w:val="auto"/>
          <w:sz w:val="24"/>
          <w:szCs w:val="24"/>
          <w:lang w:val="en-US" w:eastAsia="zh-CN"/>
        </w:rPr>
        <w:t>本标准内容与各项指标不低于强制性标准要求。</w:t>
      </w:r>
    </w:p>
    <w:p>
      <w:pPr>
        <w:pStyle w:val="4"/>
        <w:rPr>
          <w:rFonts w:hint="default"/>
          <w:color w:val="auto"/>
        </w:rPr>
      </w:pPr>
    </w:p>
    <w:p>
      <w:pPr>
        <w:spacing w:line="360" w:lineRule="auto"/>
        <w:ind w:firstLine="480" w:firstLineChars="200"/>
        <w:jc w:val="right"/>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六堡茶鲜叶中噻虫嗪、啶虫脒、吡虫啉、呋虫胺、水胺硫磷5种农药残留检测 胶体金免疫层析法</w:t>
      </w:r>
      <w:r>
        <w:rPr>
          <w:rFonts w:hint="eastAsia" w:ascii="仿宋" w:hAnsi="仿宋" w:eastAsia="仿宋" w:cs="仿宋"/>
          <w:color w:val="auto"/>
          <w:sz w:val="24"/>
          <w:szCs w:val="24"/>
        </w:rPr>
        <w:t>》标准编</w:t>
      </w:r>
      <w:r>
        <w:rPr>
          <w:rFonts w:hint="eastAsia" w:ascii="仿宋" w:hAnsi="仿宋" w:eastAsia="仿宋" w:cs="仿宋"/>
          <w:color w:val="auto"/>
          <w:sz w:val="24"/>
          <w:szCs w:val="24"/>
          <w:lang w:val="en-US" w:eastAsia="zh-CN"/>
        </w:rPr>
        <w:t>制</w:t>
      </w:r>
      <w:r>
        <w:rPr>
          <w:rFonts w:hint="eastAsia" w:ascii="仿宋" w:hAnsi="仿宋" w:eastAsia="仿宋" w:cs="仿宋"/>
          <w:color w:val="auto"/>
          <w:sz w:val="24"/>
          <w:szCs w:val="24"/>
        </w:rPr>
        <w:t>小组</w:t>
      </w:r>
    </w:p>
    <w:p>
      <w:pPr>
        <w:spacing w:line="360" w:lineRule="auto"/>
        <w:ind w:firstLine="480" w:firstLineChars="200"/>
        <w:rPr>
          <w:rFonts w:hint="default" w:ascii="仿宋_GB2312" w:hAnsi="宋体" w:eastAsia="仿宋_GB2312" w:cs="Calibri"/>
          <w:color w:val="auto"/>
          <w:sz w:val="28"/>
          <w:szCs w:val="28"/>
        </w:rPr>
      </w:pP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 xml:space="preserve"> 202</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年</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月</w:t>
      </w:r>
      <w:r>
        <w:rPr>
          <w:rFonts w:hint="eastAsia" w:ascii="仿宋" w:hAnsi="仿宋" w:eastAsia="仿宋" w:cs="仿宋"/>
          <w:color w:val="auto"/>
          <w:sz w:val="24"/>
          <w:szCs w:val="24"/>
          <w:lang w:val="en-US" w:eastAsia="zh-CN"/>
        </w:rPr>
        <w:t>10</w:t>
      </w:r>
      <w:r>
        <w:rPr>
          <w:rFonts w:hint="default" w:ascii="仿宋_GB2312" w:hAnsi="宋体" w:eastAsia="仿宋_GB2312" w:cs="Calibri"/>
          <w:color w:val="auto"/>
          <w:sz w:val="28"/>
          <w:szCs w:val="28"/>
        </w:rPr>
        <w:t>日</w:t>
      </w:r>
    </w:p>
    <w:p>
      <w:pPr>
        <w:spacing w:line="360" w:lineRule="auto"/>
        <w:ind w:firstLine="482" w:firstLineChars="200"/>
        <w:rPr>
          <w:rFonts w:hint="eastAsia" w:ascii="仿宋" w:hAnsi="仿宋" w:eastAsia="仿宋" w:cs="仿宋"/>
          <w:b/>
          <w:bCs/>
          <w:color w:val="auto"/>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5B9752"/>
    <w:multiLevelType w:val="singleLevel"/>
    <w:tmpl w:val="EC5B9752"/>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5ODM0YmMxOWJiYWQyNDU4MGIzYWRmYTA0ZmI5NDcifQ=="/>
  </w:docVars>
  <w:rsids>
    <w:rsidRoot w:val="2E6F11CC"/>
    <w:rsid w:val="015B7567"/>
    <w:rsid w:val="018465A4"/>
    <w:rsid w:val="01E01234"/>
    <w:rsid w:val="02B86D13"/>
    <w:rsid w:val="031D083E"/>
    <w:rsid w:val="0343736B"/>
    <w:rsid w:val="03586F0C"/>
    <w:rsid w:val="03BB7219"/>
    <w:rsid w:val="03CB3328"/>
    <w:rsid w:val="03CF46B9"/>
    <w:rsid w:val="042C6508"/>
    <w:rsid w:val="05F95D4D"/>
    <w:rsid w:val="06376297"/>
    <w:rsid w:val="068353B1"/>
    <w:rsid w:val="08014075"/>
    <w:rsid w:val="084F2EB1"/>
    <w:rsid w:val="08A637A5"/>
    <w:rsid w:val="094B61D4"/>
    <w:rsid w:val="095C1927"/>
    <w:rsid w:val="09A12226"/>
    <w:rsid w:val="0A5737EB"/>
    <w:rsid w:val="0A8E1169"/>
    <w:rsid w:val="0B937BB1"/>
    <w:rsid w:val="0C035750"/>
    <w:rsid w:val="0CFB1A14"/>
    <w:rsid w:val="0D16337A"/>
    <w:rsid w:val="0D685410"/>
    <w:rsid w:val="0DA73456"/>
    <w:rsid w:val="0DC73A56"/>
    <w:rsid w:val="0E662287"/>
    <w:rsid w:val="0EA45DD0"/>
    <w:rsid w:val="0F2840B3"/>
    <w:rsid w:val="0F407FD6"/>
    <w:rsid w:val="0F571B07"/>
    <w:rsid w:val="10DC1848"/>
    <w:rsid w:val="11232FB4"/>
    <w:rsid w:val="11BF73A4"/>
    <w:rsid w:val="11CA0097"/>
    <w:rsid w:val="11D75EA9"/>
    <w:rsid w:val="11F14A8A"/>
    <w:rsid w:val="121401CA"/>
    <w:rsid w:val="12EB5931"/>
    <w:rsid w:val="13916491"/>
    <w:rsid w:val="141B68FB"/>
    <w:rsid w:val="143048B6"/>
    <w:rsid w:val="14D94A9E"/>
    <w:rsid w:val="15416115"/>
    <w:rsid w:val="166A4AB0"/>
    <w:rsid w:val="17CD7CDB"/>
    <w:rsid w:val="184554CF"/>
    <w:rsid w:val="18A94C4B"/>
    <w:rsid w:val="18DA50A0"/>
    <w:rsid w:val="18F142CD"/>
    <w:rsid w:val="191A7D5C"/>
    <w:rsid w:val="19BF3FDF"/>
    <w:rsid w:val="1A0E1C8A"/>
    <w:rsid w:val="1A350750"/>
    <w:rsid w:val="1A632678"/>
    <w:rsid w:val="1A877DC1"/>
    <w:rsid w:val="1AC305EA"/>
    <w:rsid w:val="1B3767F8"/>
    <w:rsid w:val="1B615E08"/>
    <w:rsid w:val="1B7D53C9"/>
    <w:rsid w:val="1CEB64BD"/>
    <w:rsid w:val="1CEF118E"/>
    <w:rsid w:val="1CEF30DB"/>
    <w:rsid w:val="1E0F35B3"/>
    <w:rsid w:val="1E5123D1"/>
    <w:rsid w:val="1EA665CD"/>
    <w:rsid w:val="1EBF0616"/>
    <w:rsid w:val="1EC54B5D"/>
    <w:rsid w:val="1F347674"/>
    <w:rsid w:val="22071653"/>
    <w:rsid w:val="22125694"/>
    <w:rsid w:val="226D1F23"/>
    <w:rsid w:val="2328689A"/>
    <w:rsid w:val="2726108F"/>
    <w:rsid w:val="27622987"/>
    <w:rsid w:val="27874EB7"/>
    <w:rsid w:val="27B82EC2"/>
    <w:rsid w:val="29617809"/>
    <w:rsid w:val="296B0585"/>
    <w:rsid w:val="2A643D5E"/>
    <w:rsid w:val="2A7D75AA"/>
    <w:rsid w:val="2A962082"/>
    <w:rsid w:val="2B035DA8"/>
    <w:rsid w:val="2C267E6D"/>
    <w:rsid w:val="2DBB79FA"/>
    <w:rsid w:val="2DC00574"/>
    <w:rsid w:val="2E22216B"/>
    <w:rsid w:val="2E6F11CC"/>
    <w:rsid w:val="2ED26DCE"/>
    <w:rsid w:val="301842B9"/>
    <w:rsid w:val="30256304"/>
    <w:rsid w:val="30D37C97"/>
    <w:rsid w:val="30F46A63"/>
    <w:rsid w:val="32E13111"/>
    <w:rsid w:val="33737E02"/>
    <w:rsid w:val="33B41731"/>
    <w:rsid w:val="33DB3D2A"/>
    <w:rsid w:val="358D0DE7"/>
    <w:rsid w:val="35922724"/>
    <w:rsid w:val="35BE02EF"/>
    <w:rsid w:val="369520F8"/>
    <w:rsid w:val="36A6524D"/>
    <w:rsid w:val="36B03DB9"/>
    <w:rsid w:val="36FD7921"/>
    <w:rsid w:val="37751A55"/>
    <w:rsid w:val="37FA191C"/>
    <w:rsid w:val="389E4B9A"/>
    <w:rsid w:val="389E7C5A"/>
    <w:rsid w:val="3D0F2C47"/>
    <w:rsid w:val="3D72145E"/>
    <w:rsid w:val="3D845BCC"/>
    <w:rsid w:val="3DA768E2"/>
    <w:rsid w:val="3E050083"/>
    <w:rsid w:val="3E1E712F"/>
    <w:rsid w:val="3EB11AC9"/>
    <w:rsid w:val="3EDE20E3"/>
    <w:rsid w:val="3F49056F"/>
    <w:rsid w:val="3F4D7F0C"/>
    <w:rsid w:val="3FAA335F"/>
    <w:rsid w:val="3FD40938"/>
    <w:rsid w:val="401B02E3"/>
    <w:rsid w:val="404705A5"/>
    <w:rsid w:val="405D2C9D"/>
    <w:rsid w:val="40A55C57"/>
    <w:rsid w:val="40ED6357"/>
    <w:rsid w:val="416B2053"/>
    <w:rsid w:val="422B132D"/>
    <w:rsid w:val="424B3ECE"/>
    <w:rsid w:val="427C5E70"/>
    <w:rsid w:val="42CA135E"/>
    <w:rsid w:val="43433B1C"/>
    <w:rsid w:val="43954E5E"/>
    <w:rsid w:val="43F102FA"/>
    <w:rsid w:val="44F6612C"/>
    <w:rsid w:val="459508C8"/>
    <w:rsid w:val="45F119F2"/>
    <w:rsid w:val="46163C17"/>
    <w:rsid w:val="4631641A"/>
    <w:rsid w:val="46CE4058"/>
    <w:rsid w:val="473A0197"/>
    <w:rsid w:val="474622C4"/>
    <w:rsid w:val="476D5306"/>
    <w:rsid w:val="48D55E74"/>
    <w:rsid w:val="4A60758C"/>
    <w:rsid w:val="4AFE7A49"/>
    <w:rsid w:val="4B1E3F56"/>
    <w:rsid w:val="4B29655A"/>
    <w:rsid w:val="4B6248F9"/>
    <w:rsid w:val="4C816F75"/>
    <w:rsid w:val="4D25347A"/>
    <w:rsid w:val="4D374D06"/>
    <w:rsid w:val="4DC75BBF"/>
    <w:rsid w:val="4E592B5E"/>
    <w:rsid w:val="4F683FEB"/>
    <w:rsid w:val="4FB50468"/>
    <w:rsid w:val="50D518FC"/>
    <w:rsid w:val="51A6007B"/>
    <w:rsid w:val="51E74B5D"/>
    <w:rsid w:val="52045F0E"/>
    <w:rsid w:val="52052205"/>
    <w:rsid w:val="52356C4E"/>
    <w:rsid w:val="5320115C"/>
    <w:rsid w:val="534E5A0E"/>
    <w:rsid w:val="53BC5045"/>
    <w:rsid w:val="540C39EA"/>
    <w:rsid w:val="54EE4215"/>
    <w:rsid w:val="54F854FA"/>
    <w:rsid w:val="557762C7"/>
    <w:rsid w:val="559853DD"/>
    <w:rsid w:val="55FD73C5"/>
    <w:rsid w:val="5A246B97"/>
    <w:rsid w:val="5A2775AC"/>
    <w:rsid w:val="5A69600E"/>
    <w:rsid w:val="5A9B23E6"/>
    <w:rsid w:val="5AAF6415"/>
    <w:rsid w:val="5BF95A50"/>
    <w:rsid w:val="5D877470"/>
    <w:rsid w:val="5E395E63"/>
    <w:rsid w:val="5F4826A7"/>
    <w:rsid w:val="5F5A1CF0"/>
    <w:rsid w:val="5FAD7554"/>
    <w:rsid w:val="609A46E0"/>
    <w:rsid w:val="622D4F7A"/>
    <w:rsid w:val="62A225F6"/>
    <w:rsid w:val="62AD3441"/>
    <w:rsid w:val="62C46745"/>
    <w:rsid w:val="636947EE"/>
    <w:rsid w:val="63BF6353"/>
    <w:rsid w:val="644171F4"/>
    <w:rsid w:val="65171972"/>
    <w:rsid w:val="652C781A"/>
    <w:rsid w:val="66C474AD"/>
    <w:rsid w:val="6884013D"/>
    <w:rsid w:val="68C176CB"/>
    <w:rsid w:val="68D17A81"/>
    <w:rsid w:val="69933CC0"/>
    <w:rsid w:val="69A75B7B"/>
    <w:rsid w:val="6B3E26C0"/>
    <w:rsid w:val="6B4E09CE"/>
    <w:rsid w:val="6B6D4948"/>
    <w:rsid w:val="6B6D7AB4"/>
    <w:rsid w:val="6BCE637C"/>
    <w:rsid w:val="6BEA6BD4"/>
    <w:rsid w:val="6D305B30"/>
    <w:rsid w:val="6D5956BF"/>
    <w:rsid w:val="6E6D30A8"/>
    <w:rsid w:val="6F1B4B65"/>
    <w:rsid w:val="6F864000"/>
    <w:rsid w:val="6F9F5302"/>
    <w:rsid w:val="704F03AE"/>
    <w:rsid w:val="71612F6B"/>
    <w:rsid w:val="718F5D4E"/>
    <w:rsid w:val="71D54252"/>
    <w:rsid w:val="72465D55"/>
    <w:rsid w:val="72567B9C"/>
    <w:rsid w:val="72EF375E"/>
    <w:rsid w:val="72FD4A98"/>
    <w:rsid w:val="733F6808"/>
    <w:rsid w:val="734D7609"/>
    <w:rsid w:val="73731749"/>
    <w:rsid w:val="73D65327"/>
    <w:rsid w:val="74167751"/>
    <w:rsid w:val="74517701"/>
    <w:rsid w:val="745974B9"/>
    <w:rsid w:val="74D136FF"/>
    <w:rsid w:val="74D36CCD"/>
    <w:rsid w:val="74EC0EB5"/>
    <w:rsid w:val="74ED46E5"/>
    <w:rsid w:val="752641FC"/>
    <w:rsid w:val="75D710DD"/>
    <w:rsid w:val="764203D2"/>
    <w:rsid w:val="76F61DF0"/>
    <w:rsid w:val="776F4315"/>
    <w:rsid w:val="77AF3D60"/>
    <w:rsid w:val="77B5234E"/>
    <w:rsid w:val="78205575"/>
    <w:rsid w:val="791056C3"/>
    <w:rsid w:val="79183332"/>
    <w:rsid w:val="794146B4"/>
    <w:rsid w:val="795F667C"/>
    <w:rsid w:val="7A086AD6"/>
    <w:rsid w:val="7AF21551"/>
    <w:rsid w:val="7B0B3457"/>
    <w:rsid w:val="7B763119"/>
    <w:rsid w:val="7BF82EE4"/>
    <w:rsid w:val="7C197BC7"/>
    <w:rsid w:val="7CBF445B"/>
    <w:rsid w:val="7CF75532"/>
    <w:rsid w:val="7D4004E2"/>
    <w:rsid w:val="7D59367C"/>
    <w:rsid w:val="7DB85C3D"/>
    <w:rsid w:val="7E896633"/>
    <w:rsid w:val="7EB44029"/>
    <w:rsid w:val="7F011A1A"/>
    <w:rsid w:val="7F0444E7"/>
    <w:rsid w:val="7FF57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 w:type="paragraph" w:customStyle="1" w:styleId="4">
    <w:name w:val="BodyText2"/>
    <w:basedOn w:val="1"/>
    <w:autoRedefine/>
    <w:qFormat/>
    <w:uiPriority w:val="0"/>
    <w:pPr>
      <w:spacing w:after="120" w:line="480" w:lineRule="auto"/>
      <w:textAlignment w:val="baseline"/>
    </w:pPr>
    <w:rPr>
      <w:sz w:val="32"/>
      <w:szCs w:val="32"/>
    </w:rPr>
  </w:style>
  <w:style w:type="paragraph" w:customStyle="1" w:styleId="5">
    <w:name w:val="Body text|1"/>
    <w:basedOn w:val="1"/>
    <w:autoRedefine/>
    <w:qFormat/>
    <w:uiPriority w:val="0"/>
    <w:pPr>
      <w:widowControl w:val="0"/>
      <w:shd w:val="clear" w:color="auto" w:fill="auto"/>
      <w:spacing w:after="280" w:line="346" w:lineRule="auto"/>
      <w:ind w:firstLine="360"/>
    </w:pPr>
    <w:rPr>
      <w:rFonts w:ascii="宋体" w:hAnsi="宋体" w:eastAsia="宋体" w:cs="宋体"/>
      <w:sz w:val="17"/>
      <w:szCs w:val="17"/>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2024-04-10T02:39:00Z</dcterms:created>
  <dc:creator>寻</dc:creator>
  <cp:lastModifiedBy>寻</cp:lastModifiedBy>
  <dcterms:modified xsi:type="dcterms:W3CDTF">2024-04-15T03:06:47Z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37A49465049A40E7870217EEB27CEC94_11</vt:lpwstr>
  </property>
</Properties>
</file>