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auto"/>
          <w:kern w:val="2"/>
          <w:sz w:val="44"/>
          <w:szCs w:val="24"/>
          <w:lang w:val="en-US" w:eastAsia="zh-CN" w:bidi="ar-SA"/>
        </w:rPr>
      </w:pPr>
      <w:r>
        <w:rPr>
          <w:rFonts w:hint="eastAsia" w:ascii="Times New Roman" w:hAnsi="Times New Roman" w:eastAsia="方正小标宋简体" w:cs="Times New Roman"/>
          <w:color w:val="auto"/>
          <w:kern w:val="2"/>
          <w:sz w:val="44"/>
          <w:szCs w:val="24"/>
          <w:lang w:val="en-US" w:eastAsia="zh-CN" w:bidi="ar-SA"/>
        </w:rPr>
        <w:t>广西农业农村产业振兴促进会</w:t>
      </w:r>
      <w:r>
        <w:rPr>
          <w:rFonts w:hint="default" w:ascii="Times New Roman" w:hAnsi="Times New Roman" w:eastAsia="方正小标宋简体" w:cs="Times New Roman"/>
          <w:color w:val="auto"/>
          <w:kern w:val="2"/>
          <w:sz w:val="44"/>
          <w:szCs w:val="24"/>
          <w:lang w:val="en-US" w:eastAsia="zh-CN" w:bidi="ar-SA"/>
        </w:rPr>
        <w:t>团体标准《</w:t>
      </w:r>
      <w:r>
        <w:rPr>
          <w:rFonts w:hint="eastAsia" w:ascii="Times New Roman" w:hAnsi="Times New Roman" w:eastAsia="方正小标宋简体" w:cs="Times New Roman"/>
          <w:color w:val="auto"/>
          <w:kern w:val="2"/>
          <w:sz w:val="44"/>
          <w:szCs w:val="24"/>
          <w:lang w:val="en-US" w:eastAsia="zh-CN" w:bidi="ar-SA"/>
        </w:rPr>
        <w:t>沃柑溃疡病防控技术规程</w:t>
      </w:r>
      <w:r>
        <w:rPr>
          <w:rFonts w:hint="default" w:ascii="Times New Roman" w:hAnsi="Times New Roman" w:eastAsia="方正小标宋简体" w:cs="Times New Roman"/>
          <w:color w:val="auto"/>
          <w:kern w:val="2"/>
          <w:sz w:val="44"/>
          <w:szCs w:val="24"/>
          <w:lang w:val="en-US" w:eastAsia="zh-CN" w:bidi="ar-SA"/>
        </w:rPr>
        <w:t>》编制说明</w:t>
      </w:r>
      <w:r>
        <w:rPr>
          <w:rFonts w:hint="eastAsia" w:ascii="Times New Roman" w:hAnsi="Times New Roman" w:eastAsia="方正小标宋简体" w:cs="Times New Roman"/>
          <w:color w:val="auto"/>
          <w:kern w:val="2"/>
          <w:sz w:val="44"/>
          <w:szCs w:val="24"/>
          <w:lang w:val="en-US" w:eastAsia="zh-CN" w:bidi="ar-SA"/>
        </w:rPr>
        <w:t>（征求意见</w:t>
      </w:r>
      <w:r>
        <w:rPr>
          <w:rFonts w:hint="default" w:ascii="Times New Roman" w:hAnsi="Times New Roman" w:eastAsia="方正小标宋简体" w:cs="Times New Roman"/>
          <w:color w:val="auto"/>
          <w:kern w:val="2"/>
          <w:sz w:val="44"/>
          <w:szCs w:val="24"/>
          <w:lang w:val="en-US" w:eastAsia="zh-CN" w:bidi="ar-SA"/>
        </w:rPr>
        <w:t>稿）</w:t>
      </w:r>
    </w:p>
    <w:p>
      <w:pPr>
        <w:spacing w:line="500" w:lineRule="exact"/>
        <w:ind w:firstLine="880" w:firstLineChars="200"/>
        <w:jc w:val="center"/>
        <w:rPr>
          <w:rFonts w:hint="default" w:ascii="Times New Roman" w:hAnsi="Times New Roman" w:eastAsia="黑体" w:cs="Times New Roman"/>
          <w:bCs/>
          <w:color w:val="auto"/>
          <w:sz w:val="44"/>
          <w:szCs w:val="36"/>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一、项目来源</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根</w:t>
      </w:r>
      <w:r>
        <w:rPr>
          <w:rFonts w:hint="default" w:ascii="仿宋_GB2312" w:hAnsi="宋体" w:eastAsia="仿宋_GB2312" w:cs="Calibri"/>
          <w:color w:val="auto"/>
          <w:sz w:val="24"/>
          <w:szCs w:val="24"/>
          <w:highlight w:val="none"/>
          <w:lang w:val="en-US" w:eastAsia="zh-CN"/>
        </w:rPr>
        <w:t>据《</w:t>
      </w:r>
      <w:r>
        <w:rPr>
          <w:rFonts w:hint="eastAsia" w:ascii="仿宋_GB2312" w:hAnsi="宋体" w:eastAsia="仿宋_GB2312" w:cs="Calibri"/>
          <w:color w:val="auto"/>
          <w:sz w:val="24"/>
          <w:szCs w:val="24"/>
          <w:highlight w:val="none"/>
          <w:lang w:val="en-US" w:eastAsia="zh-CN"/>
        </w:rPr>
        <w:t>广西农业农村产业振兴促进会关于&lt;沃柑溃疡病防控技术规程&gt;团体标准立项的通知</w:t>
      </w:r>
      <w:r>
        <w:rPr>
          <w:rFonts w:hint="default" w:ascii="仿宋_GB2312" w:hAnsi="宋体" w:eastAsia="仿宋_GB2312" w:cs="Calibri"/>
          <w:color w:val="auto"/>
          <w:sz w:val="24"/>
          <w:szCs w:val="24"/>
          <w:highlight w:val="none"/>
          <w:lang w:val="en-US" w:eastAsia="zh-CN"/>
        </w:rPr>
        <w:t>》</w:t>
      </w:r>
      <w:r>
        <w:rPr>
          <w:rFonts w:hint="eastAsia" w:ascii="仿宋_GB2312" w:hAnsi="宋体" w:eastAsia="仿宋_GB2312" w:cs="Calibri"/>
          <w:color w:val="auto"/>
          <w:sz w:val="24"/>
          <w:szCs w:val="24"/>
          <w:highlight w:val="none"/>
          <w:lang w:val="en-US" w:eastAsia="zh-CN"/>
        </w:rPr>
        <w:t>要求，</w:t>
      </w:r>
      <w:r>
        <w:rPr>
          <w:rFonts w:hint="eastAsia" w:ascii="仿宋_GB2312" w:hAnsi="宋体" w:eastAsia="仿宋_GB2312" w:cs="Calibri"/>
          <w:color w:val="auto"/>
          <w:sz w:val="24"/>
          <w:szCs w:val="24"/>
          <w:lang w:val="en-US" w:eastAsia="zh-CN"/>
        </w:rPr>
        <w:t>本标准由桂林市农业科学研究中心提出，桂林市农业科学研究中心负责起草。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二、项目背景及目的意义</w:t>
      </w:r>
    </w:p>
    <w:p>
      <w:pPr>
        <w:spacing w:line="360" w:lineRule="auto"/>
        <w:ind w:firstLine="480" w:firstLineChars="200"/>
        <w:rPr>
          <w:rFonts w:hint="eastAsia"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沃柑是一种杂交柑橘品种，原产于以色列，由“坦普尔”橘橙与“丹西”红橘杂交而来具有树势强健、果实外观漂亮、品质优良、晚熟高糖、早结丰产等优点。沃柑属于晚熟型，通常在每年的1至2月份成熟，最晚可延续至5月份。沃柑的果实中等大小，扁圆形，外观呈橙色或橙红色，光滑细腻。沃柑的口感集橘子与橙子优点于一身，既有橘子的酸甜口感，又有橙子的香甜多汁。沃柑果肉饱满，质地嫩滑，含有丰富的维生素C、柠檬酸、胡萝卜素、膳食纤维等营养成分。维生素C是一种良好的抗氧化剂，有助于增强人体免疫力，而胡萝卜素有助于保护眼睛和皮肤健康。</w:t>
      </w:r>
    </w:p>
    <w:p>
      <w:pPr>
        <w:spacing w:line="360" w:lineRule="auto"/>
        <w:ind w:firstLine="480" w:firstLineChars="200"/>
        <w:rPr>
          <w:rFonts w:hint="eastAsia"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沃柑的产量高，挂果能力强，采收期长，因此市场供应充足，价格相对稳定。2012年引种到广西南宁种植，因其优异的表现，2014年后呈暴发式扩张，经过十多年快速发展，据行业统计，2022年全区沃柑种植面积185万亩，产量达470万吨，主要分布在南宁、桂林、来宾、柳州等市。沃柑是当前我国种植面积和影响力最大的晚熟柑橘品种，是广西继沙糖桔后最主要的柑橘品种。</w:t>
      </w:r>
    </w:p>
    <w:p>
      <w:pPr>
        <w:spacing w:line="360" w:lineRule="auto"/>
        <w:ind w:firstLine="480" w:firstLineChars="200"/>
        <w:rPr>
          <w:rFonts w:hint="eastAsia"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沃柑含有橙类基因，且生长速度快，叶片气孔大，胞间不紧密,是受溃疡病为害较为严重的柑橘类果树，其枝条、叶片、花蕾、果实均可受害。沃柑感染溃疡病后，树势衰退，枝条枯死，叶片黄化脱落，落蕾、落花、落果、烂果严重。由于广西地区春夏高温多雨的气候特点，同时部分果农不掌握防治技巧，导致植株周年有病，加剧了溃疡病的发生和传播。目前溃疡病已成为广西沃柑种植区最严重的病害，是制约广西沃柑产业进一步发展的重要因素。</w:t>
      </w:r>
    </w:p>
    <w:p>
      <w:pPr>
        <w:spacing w:line="360" w:lineRule="auto"/>
        <w:ind w:firstLine="480" w:firstLineChars="200"/>
        <w:rPr>
          <w:rFonts w:hint="eastAsia"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综上，制定团体标准《沃柑溃疡病防控技术规程》，并在生产中推广应用，可极大推动沃柑溃疡病防治向标准化方向发展，提高沃柑产业的竞争力，对沃柑产业进一步发展具有重要意义。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三、项目编制过程</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（一）成立标准编制工作组</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团体标准《</w:t>
      </w:r>
      <w:r>
        <w:rPr>
          <w:rFonts w:hint="eastAsia" w:ascii="仿宋_GB2312" w:hAnsi="宋体" w:eastAsia="仿宋_GB2312" w:cs="Calibri"/>
          <w:color w:val="auto"/>
          <w:sz w:val="24"/>
          <w:szCs w:val="24"/>
          <w:lang w:val="en-US" w:eastAsia="zh-CN"/>
        </w:rPr>
        <w:t>沃柑溃疡病防控技术规程</w:t>
      </w:r>
      <w:r>
        <w:rPr>
          <w:rFonts w:hint="default" w:ascii="仿宋_GB2312" w:hAnsi="宋体" w:eastAsia="仿宋_GB2312" w:cs="Calibri"/>
          <w:color w:val="auto"/>
          <w:sz w:val="24"/>
          <w:szCs w:val="24"/>
          <w:lang w:val="en-US" w:eastAsia="zh-CN"/>
        </w:rPr>
        <w:t>》项目任务下达后，</w:t>
      </w:r>
      <w:r>
        <w:rPr>
          <w:rFonts w:hint="eastAsia" w:ascii="仿宋_GB2312" w:hAnsi="宋体" w:eastAsia="仿宋_GB2312" w:cs="Calibri"/>
          <w:color w:val="auto"/>
          <w:sz w:val="24"/>
          <w:szCs w:val="24"/>
          <w:lang w:val="en-US" w:eastAsia="zh-CN"/>
        </w:rPr>
        <w:t>桂林市农业科学研究中心</w:t>
      </w:r>
      <w:r>
        <w:rPr>
          <w:rFonts w:hint="default" w:ascii="仿宋_GB2312" w:hAnsi="宋体" w:eastAsia="仿宋_GB2312" w:cs="Calibri"/>
          <w:color w:val="auto"/>
          <w:sz w:val="24"/>
          <w:szCs w:val="24"/>
          <w:lang w:val="en-US" w:eastAsia="zh-CN"/>
        </w:rPr>
        <w:t>成立了标准编制工作组，制定了起草编写方案与进度安排，明确任务职责，确定工作技术路线，开展标准研制工作。</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编制工作组下设三个组，分别是资料收集组、草案编写组、标准实施组。</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资料收集组负责国内外与</w:t>
      </w:r>
      <w:r>
        <w:rPr>
          <w:rFonts w:hint="eastAsia" w:ascii="仿宋_GB2312" w:hAnsi="宋体" w:eastAsia="仿宋_GB2312" w:cs="Calibri"/>
          <w:color w:val="auto"/>
          <w:sz w:val="24"/>
          <w:szCs w:val="24"/>
          <w:lang w:val="en-US" w:eastAsia="zh-CN"/>
        </w:rPr>
        <w:t>沃柑溃疡病防控技术</w:t>
      </w:r>
      <w:r>
        <w:rPr>
          <w:rFonts w:hint="default" w:ascii="仿宋_GB2312" w:hAnsi="宋体" w:eastAsia="仿宋_GB2312" w:cs="Calibri"/>
          <w:color w:val="auto"/>
          <w:sz w:val="24"/>
          <w:szCs w:val="24"/>
          <w:lang w:val="en-US" w:eastAsia="zh-CN"/>
        </w:rPr>
        <w:t>有关的文献资料的查询、收集和整理工作，对</w:t>
      </w:r>
      <w:r>
        <w:rPr>
          <w:rFonts w:hint="eastAsia" w:ascii="仿宋_GB2312" w:hAnsi="宋体" w:eastAsia="仿宋_GB2312" w:cs="Calibri"/>
          <w:color w:val="auto"/>
          <w:sz w:val="24"/>
          <w:szCs w:val="24"/>
          <w:lang w:val="en-US" w:eastAsia="zh-CN"/>
        </w:rPr>
        <w:t>沃柑溃疡病防控技术</w:t>
      </w:r>
      <w:r>
        <w:rPr>
          <w:rFonts w:hint="default" w:ascii="仿宋_GB2312" w:hAnsi="宋体" w:eastAsia="仿宋_GB2312" w:cs="Calibri"/>
          <w:color w:val="auto"/>
          <w:sz w:val="24"/>
          <w:szCs w:val="24"/>
          <w:lang w:val="en-US" w:eastAsia="zh-CN"/>
        </w:rPr>
        <w:t>的措施和技术研究成果进行系统总结，查阅目前科学界对</w:t>
      </w:r>
      <w:r>
        <w:rPr>
          <w:rFonts w:hint="eastAsia" w:ascii="仿宋_GB2312" w:hAnsi="宋体" w:eastAsia="仿宋_GB2312" w:cs="Calibri"/>
          <w:color w:val="auto"/>
          <w:sz w:val="24"/>
          <w:szCs w:val="24"/>
          <w:lang w:val="en-US" w:eastAsia="zh-CN"/>
        </w:rPr>
        <w:t>沃柑溃疡病防控技术</w:t>
      </w:r>
      <w:r>
        <w:rPr>
          <w:rFonts w:hint="default" w:ascii="仿宋_GB2312" w:hAnsi="宋体" w:eastAsia="仿宋_GB2312" w:cs="Calibri"/>
          <w:color w:val="auto"/>
          <w:sz w:val="24"/>
          <w:szCs w:val="24"/>
          <w:lang w:val="en-US" w:eastAsia="zh-CN"/>
        </w:rPr>
        <w:t>的研究进展。</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草案编写组负责起草标准草案、征求意见稿、送审稿及编制说明的编写工作，包括后期召开征求意见会、网上征求意见</w:t>
      </w:r>
      <w:r>
        <w:rPr>
          <w:rFonts w:hint="eastAsia" w:ascii="仿宋_GB2312" w:hAnsi="宋体" w:eastAsia="仿宋_GB2312" w:cs="Calibri"/>
          <w:color w:val="auto"/>
          <w:sz w:val="24"/>
          <w:szCs w:val="24"/>
          <w:lang w:val="en-US" w:eastAsia="zh-CN"/>
        </w:rPr>
        <w:t>、定向</w:t>
      </w:r>
      <w:r>
        <w:rPr>
          <w:rFonts w:hint="default" w:ascii="仿宋_GB2312" w:hAnsi="宋体" w:eastAsia="仿宋_GB2312" w:cs="Calibri"/>
          <w:color w:val="auto"/>
          <w:sz w:val="24"/>
          <w:szCs w:val="24"/>
          <w:lang w:val="en-US" w:eastAsia="zh-CN"/>
        </w:rPr>
        <w:t>征求意见</w:t>
      </w:r>
      <w:r>
        <w:rPr>
          <w:rFonts w:hint="eastAsia" w:ascii="仿宋_GB2312" w:hAnsi="宋体" w:eastAsia="仿宋_GB2312" w:cs="Calibri"/>
          <w:color w:val="auto"/>
          <w:sz w:val="24"/>
          <w:szCs w:val="24"/>
          <w:lang w:val="en-US" w:eastAsia="zh-CN"/>
        </w:rPr>
        <w:t>等</w:t>
      </w:r>
      <w:r>
        <w:rPr>
          <w:rFonts w:hint="default" w:ascii="仿宋_GB2312" w:hAnsi="宋体" w:eastAsia="仿宋_GB2312" w:cs="Calibri"/>
          <w:color w:val="auto"/>
          <w:sz w:val="24"/>
          <w:szCs w:val="24"/>
          <w:lang w:val="en-US" w:eastAsia="zh-CN"/>
        </w:rPr>
        <w:t>，以及标准的不断修改和完善。</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标准实施组负责团体标准《</w:t>
      </w:r>
      <w:r>
        <w:rPr>
          <w:rFonts w:hint="eastAsia" w:ascii="仿宋_GB2312" w:hAnsi="宋体" w:eastAsia="仿宋_GB2312" w:cs="Calibri"/>
          <w:color w:val="auto"/>
          <w:sz w:val="24"/>
          <w:szCs w:val="24"/>
          <w:lang w:val="en-US" w:eastAsia="zh-CN"/>
        </w:rPr>
        <w:t>沃柑溃疡病防控技术规程</w:t>
      </w:r>
      <w:r>
        <w:rPr>
          <w:rFonts w:hint="default" w:ascii="仿宋_GB2312" w:hAnsi="宋体" w:eastAsia="仿宋_GB2312" w:cs="Calibri"/>
          <w:color w:val="auto"/>
          <w:sz w:val="24"/>
          <w:szCs w:val="24"/>
          <w:lang w:val="en-US" w:eastAsia="zh-CN"/>
        </w:rPr>
        <w:t>》发布后，组织相关单位、企业和农民开展标准宣贯培训会，对标准进行详细解读，让相关的工作人员了解标准，并根据标准《</w:t>
      </w:r>
      <w:r>
        <w:rPr>
          <w:rFonts w:hint="eastAsia" w:ascii="仿宋_GB2312" w:hAnsi="宋体" w:eastAsia="仿宋_GB2312" w:cs="Calibri"/>
          <w:color w:val="auto"/>
          <w:sz w:val="24"/>
          <w:szCs w:val="24"/>
          <w:lang w:val="en-US" w:eastAsia="zh-CN"/>
        </w:rPr>
        <w:t>沃柑溃疡病防控技术规程</w:t>
      </w:r>
      <w:r>
        <w:rPr>
          <w:rFonts w:hint="default" w:ascii="仿宋_GB2312" w:hAnsi="宋体" w:eastAsia="仿宋_GB2312" w:cs="Calibri"/>
          <w:color w:val="auto"/>
          <w:sz w:val="24"/>
          <w:szCs w:val="24"/>
          <w:lang w:val="en-US" w:eastAsia="zh-CN"/>
        </w:rPr>
        <w:t>》进行操作，保证</w:t>
      </w:r>
      <w:r>
        <w:rPr>
          <w:rFonts w:hint="eastAsia" w:ascii="仿宋_GB2312" w:hAnsi="宋体" w:eastAsia="仿宋_GB2312" w:cs="Calibri"/>
          <w:color w:val="auto"/>
          <w:sz w:val="24"/>
          <w:szCs w:val="24"/>
          <w:lang w:val="en-US" w:eastAsia="zh-CN"/>
        </w:rPr>
        <w:t>沃柑</w:t>
      </w:r>
      <w:r>
        <w:rPr>
          <w:rFonts w:hint="default" w:ascii="仿宋_GB2312" w:hAnsi="宋体" w:eastAsia="仿宋_GB2312" w:cs="Calibri"/>
          <w:color w:val="auto"/>
          <w:sz w:val="24"/>
          <w:szCs w:val="24"/>
          <w:lang w:val="en-US" w:eastAsia="zh-CN"/>
        </w:rPr>
        <w:t>的产量和质量，并对标准实施情况进行总结分析，不断对该团体标准提出修正意见。</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（二）收集整理文献资料</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标准编制工作组查</w:t>
      </w:r>
      <w:r>
        <w:rPr>
          <w:rFonts w:hint="eastAsia" w:ascii="仿宋_GB2312" w:hAnsi="宋体" w:eastAsia="仿宋_GB2312" w:cs="Calibri"/>
          <w:color w:val="auto"/>
          <w:sz w:val="24"/>
          <w:szCs w:val="24"/>
          <w:lang w:val="en-US" w:eastAsia="zh-CN"/>
        </w:rPr>
        <w:t>询收集</w:t>
      </w:r>
      <w:r>
        <w:rPr>
          <w:rFonts w:hint="default" w:ascii="仿宋_GB2312" w:hAnsi="宋体" w:eastAsia="仿宋_GB2312" w:cs="Calibri"/>
          <w:color w:val="auto"/>
          <w:sz w:val="24"/>
          <w:szCs w:val="24"/>
          <w:lang w:val="en-US" w:eastAsia="zh-CN"/>
        </w:rPr>
        <w:t>国内与</w:t>
      </w:r>
      <w:r>
        <w:rPr>
          <w:rFonts w:hint="eastAsia" w:ascii="仿宋_GB2312" w:hAnsi="宋体" w:eastAsia="仿宋_GB2312" w:cs="Calibri"/>
          <w:color w:val="auto"/>
          <w:sz w:val="24"/>
          <w:szCs w:val="24"/>
          <w:lang w:val="en-US" w:eastAsia="zh-CN"/>
        </w:rPr>
        <w:t>“沃柑溃疡病”</w:t>
      </w:r>
      <w:r>
        <w:rPr>
          <w:rFonts w:hint="default" w:ascii="仿宋_GB2312" w:hAnsi="宋体" w:eastAsia="仿宋_GB2312" w:cs="Calibri"/>
          <w:color w:val="auto"/>
          <w:sz w:val="24"/>
          <w:szCs w:val="24"/>
          <w:lang w:val="en-US" w:eastAsia="zh-CN"/>
        </w:rPr>
        <w:t>相关的标准</w:t>
      </w:r>
      <w:r>
        <w:rPr>
          <w:rFonts w:hint="eastAsia" w:ascii="仿宋_GB2312" w:hAnsi="宋体" w:eastAsia="仿宋_GB2312" w:cs="Calibri"/>
          <w:color w:val="auto"/>
          <w:sz w:val="24"/>
          <w:szCs w:val="24"/>
          <w:lang w:val="en-US" w:eastAsia="zh-CN"/>
        </w:rPr>
        <w:t>及文献</w:t>
      </w:r>
      <w:r>
        <w:rPr>
          <w:rFonts w:hint="default" w:ascii="仿宋_GB2312" w:hAnsi="宋体" w:eastAsia="仿宋_GB2312" w:cs="Calibri"/>
          <w:color w:val="auto"/>
          <w:sz w:val="24"/>
          <w:szCs w:val="24"/>
          <w:lang w:val="en-US" w:eastAsia="zh-CN"/>
        </w:rPr>
        <w:t>。分别如下：</w:t>
      </w:r>
    </w:p>
    <w:p>
      <w:pPr>
        <w:spacing w:line="360" w:lineRule="auto"/>
        <w:ind w:firstLine="480" w:firstLineChars="200"/>
        <w:rPr>
          <w:rFonts w:hint="eastAsia"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目前，我国针对沃柑溃疡病防治的现行标准有：</w:t>
      </w:r>
    </w:p>
    <w:p>
      <w:pPr>
        <w:spacing w:line="360" w:lineRule="auto"/>
        <w:ind w:firstLine="480" w:firstLineChars="200"/>
        <w:rPr>
          <w:rFonts w:hint="eastAsia"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GB/T 17980.103—2004《农药 田间药效试验准则（二） 第103部分:杀菌剂防治柑橘溃疡病》</w:t>
      </w:r>
    </w:p>
    <w:p>
      <w:pPr>
        <w:spacing w:line="360" w:lineRule="auto"/>
        <w:ind w:firstLine="480" w:firstLineChars="200"/>
        <w:rPr>
          <w:rFonts w:hint="eastAsia"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GB/T 28068—2011《柑桔溃疡病菌实时荧光PCR检测方法》</w:t>
      </w:r>
    </w:p>
    <w:p>
      <w:pPr>
        <w:spacing w:line="360" w:lineRule="auto"/>
        <w:ind w:firstLine="480" w:firstLineChars="200"/>
        <w:rPr>
          <w:rFonts w:hint="eastAsia"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GB/T 29394—2012《柑桔溃疡病菌的检疫检测与鉴定》</w:t>
      </w:r>
    </w:p>
    <w:p>
      <w:pPr>
        <w:spacing w:line="360" w:lineRule="auto"/>
        <w:ind w:firstLine="480" w:firstLineChars="200"/>
        <w:rPr>
          <w:rFonts w:hint="eastAsia"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GB/T 35272—2017《柑橘溃疡病监测规范》</w:t>
      </w:r>
    </w:p>
    <w:p>
      <w:pPr>
        <w:spacing w:line="360" w:lineRule="auto"/>
        <w:ind w:firstLine="480" w:firstLineChars="200"/>
        <w:rPr>
          <w:rFonts w:hint="eastAsia"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NY/T 3268—2018《柑橘溃疡病防控技术规程》</w:t>
      </w:r>
    </w:p>
    <w:p>
      <w:pPr>
        <w:spacing w:line="360" w:lineRule="auto"/>
        <w:ind w:firstLine="480" w:firstLineChars="200"/>
        <w:rPr>
          <w:rFonts w:hint="eastAsia"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SN/T 2622—2019《柑桔溃疡病菌检疫鉴定方法》</w:t>
      </w:r>
    </w:p>
    <w:p>
      <w:pPr>
        <w:spacing w:line="360" w:lineRule="auto"/>
        <w:ind w:firstLine="480" w:firstLineChars="200"/>
        <w:rPr>
          <w:rFonts w:hint="eastAsia"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DB45/T 1402—2016《柑桔溃疡病防治技术规程》。</w:t>
      </w:r>
    </w:p>
    <w:p>
      <w:pPr>
        <w:spacing w:line="360" w:lineRule="auto"/>
        <w:ind w:firstLine="480" w:firstLineChars="200"/>
        <w:rPr>
          <w:rFonts w:hint="eastAsia"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其中GB/T 17980.103—2004、GB/T 28068—2011、GB/T 29394—2012、SN/T 2622—2019主要规范了柑橘溃疡病的检疫；GB/T 35272—2017主要规范了柑橘溃疡病的监测；NY/T 3268—2018、DB45/T 1402—2016规范了柑橘溃疡病的防治技术，但内容上主要是以整个柑橘、柑桔品种进行描述，较为宽泛，未能针对沃柑品种进行详细规范。因此，制定团体标准《沃柑溃疡病防控技术规程》具备一定程度的实用性和可操作性。</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（三）研讨确定标准主体内容</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标准编制工作组在对收集的资料进行整理研究之后，标准编制工作组召开了标准编制会议，对标准的整体框架结构进行了研究，并对标准的关键性内容进行了初步探讨。经过研究，标准的主体内容确定为基础防控措施、无病区防控措施、新病区防控措施、老病区防控措施</w:t>
      </w:r>
      <w:r>
        <w:rPr>
          <w:rFonts w:hint="eastAsia" w:ascii="仿宋_GB2312" w:hAnsi="宋体" w:eastAsia="仿宋_GB2312" w:cs="Calibri"/>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（四）调研、形成征求意见稿</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202</w:t>
      </w:r>
      <w:r>
        <w:rPr>
          <w:rFonts w:hint="eastAsia" w:ascii="仿宋_GB2312" w:hAnsi="宋体" w:eastAsia="仿宋_GB2312" w:cs="Calibri"/>
          <w:color w:val="auto"/>
          <w:sz w:val="24"/>
          <w:szCs w:val="24"/>
          <w:lang w:val="en-US" w:eastAsia="zh-CN"/>
        </w:rPr>
        <w:t>4</w:t>
      </w:r>
      <w:r>
        <w:rPr>
          <w:rFonts w:hint="default" w:ascii="仿宋_GB2312" w:hAnsi="宋体" w:eastAsia="仿宋_GB2312" w:cs="Calibri"/>
          <w:color w:val="auto"/>
          <w:sz w:val="24"/>
          <w:szCs w:val="24"/>
          <w:lang w:val="en-US" w:eastAsia="zh-CN"/>
        </w:rPr>
        <w:t>年</w:t>
      </w:r>
      <w:r>
        <w:rPr>
          <w:rFonts w:hint="eastAsia" w:ascii="仿宋_GB2312" w:hAnsi="宋体" w:eastAsia="仿宋_GB2312" w:cs="Calibri"/>
          <w:color w:val="auto"/>
          <w:sz w:val="24"/>
          <w:szCs w:val="24"/>
          <w:lang w:val="en-US" w:eastAsia="zh-CN"/>
        </w:rPr>
        <w:t>1</w:t>
      </w:r>
      <w:r>
        <w:rPr>
          <w:rFonts w:hint="default" w:ascii="仿宋_GB2312" w:hAnsi="宋体" w:eastAsia="仿宋_GB2312" w:cs="Calibri"/>
          <w:color w:val="auto"/>
          <w:sz w:val="24"/>
          <w:szCs w:val="24"/>
          <w:lang w:val="en-US" w:eastAsia="zh-CN"/>
        </w:rPr>
        <w:t>月-</w:t>
      </w:r>
      <w:r>
        <w:rPr>
          <w:rFonts w:hint="eastAsia" w:ascii="仿宋_GB2312" w:hAnsi="宋体" w:eastAsia="仿宋_GB2312" w:cs="Calibri"/>
          <w:color w:val="auto"/>
          <w:sz w:val="24"/>
          <w:szCs w:val="24"/>
          <w:lang w:val="en-US" w:eastAsia="zh-CN"/>
        </w:rPr>
        <w:t>2024年3</w:t>
      </w:r>
      <w:r>
        <w:rPr>
          <w:rFonts w:hint="default" w:ascii="仿宋_GB2312" w:hAnsi="宋体" w:eastAsia="仿宋_GB2312" w:cs="Calibri"/>
          <w:color w:val="auto"/>
          <w:sz w:val="24"/>
          <w:szCs w:val="24"/>
          <w:lang w:val="en-US" w:eastAsia="zh-CN"/>
        </w:rPr>
        <w:t>月，标准起草工作</w:t>
      </w:r>
      <w:r>
        <w:rPr>
          <w:rFonts w:hint="default" w:ascii="仿宋_GB2312" w:hAnsi="宋体" w:eastAsia="仿宋_GB2312" w:cs="Calibri"/>
          <w:color w:val="auto"/>
          <w:sz w:val="24"/>
          <w:szCs w:val="24"/>
          <w:lang w:val="zh-CN" w:eastAsia="zh-CN"/>
        </w:rPr>
        <w:t>小组</w:t>
      </w:r>
      <w:r>
        <w:rPr>
          <w:rFonts w:hint="default" w:ascii="仿宋_GB2312" w:hAnsi="宋体" w:eastAsia="仿宋_GB2312" w:cs="Calibri"/>
          <w:color w:val="auto"/>
          <w:sz w:val="24"/>
          <w:szCs w:val="24"/>
          <w:lang w:val="en-US" w:eastAsia="zh-CN"/>
        </w:rPr>
        <w:t>进行了广泛实地调研工作，查阅大量国内外文献资料，对</w:t>
      </w:r>
      <w:r>
        <w:rPr>
          <w:rFonts w:hint="eastAsia" w:ascii="仿宋_GB2312" w:hAnsi="宋体" w:eastAsia="仿宋_GB2312" w:cs="Calibri"/>
          <w:color w:val="auto"/>
          <w:sz w:val="24"/>
          <w:szCs w:val="24"/>
          <w:lang w:val="en-US" w:eastAsia="zh-CN"/>
        </w:rPr>
        <w:t>沃柑溃疡病防控技术</w:t>
      </w:r>
      <w:r>
        <w:rPr>
          <w:rFonts w:hint="default" w:ascii="仿宋_GB2312" w:hAnsi="宋体" w:eastAsia="仿宋_GB2312" w:cs="Calibri"/>
          <w:color w:val="auto"/>
          <w:sz w:val="24"/>
          <w:szCs w:val="24"/>
          <w:lang w:val="en-US" w:eastAsia="zh-CN"/>
        </w:rPr>
        <w:t>的研究成果进行系统总结。形成了标准的基本构架，对主要内容进行了讨论并对项目的工作进行了部署和安排。并在前期工作的基础之上，通过理清逻辑脉络，整合已有的参考资料中有关提</w:t>
      </w:r>
      <w:r>
        <w:rPr>
          <w:rFonts w:hint="eastAsia" w:ascii="仿宋_GB2312" w:hAnsi="宋体" w:eastAsia="仿宋_GB2312" w:cs="Calibri"/>
          <w:color w:val="auto"/>
          <w:sz w:val="24"/>
          <w:szCs w:val="24"/>
          <w:lang w:val="en-US" w:eastAsia="zh-CN"/>
        </w:rPr>
        <w:t>沃柑溃疡病防控技术的</w:t>
      </w:r>
      <w:r>
        <w:rPr>
          <w:rFonts w:hint="default" w:ascii="仿宋_GB2312" w:hAnsi="宋体" w:eastAsia="仿宋_GB2312" w:cs="Calibri"/>
          <w:color w:val="auto"/>
          <w:sz w:val="24"/>
          <w:szCs w:val="24"/>
          <w:lang w:val="en-US" w:eastAsia="zh-CN"/>
        </w:rPr>
        <w:t>要点，并结合当前</w:t>
      </w:r>
      <w:r>
        <w:rPr>
          <w:rFonts w:hint="eastAsia" w:ascii="仿宋_GB2312" w:hAnsi="宋体" w:eastAsia="仿宋_GB2312" w:cs="Calibri"/>
          <w:color w:val="auto"/>
          <w:sz w:val="24"/>
          <w:szCs w:val="24"/>
          <w:lang w:val="en-US" w:eastAsia="zh-CN"/>
        </w:rPr>
        <w:t>实际生产的</w:t>
      </w:r>
      <w:r>
        <w:rPr>
          <w:rFonts w:hint="default" w:ascii="仿宋_GB2312" w:hAnsi="宋体" w:eastAsia="仿宋_GB2312" w:cs="Calibri"/>
          <w:color w:val="auto"/>
          <w:sz w:val="24"/>
          <w:szCs w:val="24"/>
          <w:lang w:val="en-US" w:eastAsia="zh-CN"/>
        </w:rPr>
        <w:t>需要，按照简化、统一等原则编制完成团体标准</w:t>
      </w:r>
      <w:r>
        <w:rPr>
          <w:rFonts w:hint="default" w:ascii="仿宋_GB2312" w:hAnsi="宋体" w:eastAsia="仿宋_GB2312" w:cs="Calibri"/>
          <w:color w:val="auto"/>
          <w:sz w:val="24"/>
          <w:szCs w:val="24"/>
          <w:lang w:val="zh-CN" w:eastAsia="zh-CN"/>
        </w:rPr>
        <w:t>《</w:t>
      </w:r>
      <w:r>
        <w:rPr>
          <w:rFonts w:hint="eastAsia" w:ascii="仿宋_GB2312" w:hAnsi="宋体" w:eastAsia="仿宋_GB2312" w:cs="Calibri"/>
          <w:color w:val="auto"/>
          <w:sz w:val="24"/>
          <w:szCs w:val="24"/>
          <w:lang w:val="en-US" w:eastAsia="zh-CN"/>
        </w:rPr>
        <w:t>沃柑溃疡病防控技术规程</w:t>
      </w:r>
      <w:r>
        <w:rPr>
          <w:rFonts w:hint="default" w:ascii="仿宋_GB2312" w:hAnsi="宋体" w:eastAsia="仿宋_GB2312" w:cs="Calibri"/>
          <w:color w:val="auto"/>
          <w:sz w:val="24"/>
          <w:szCs w:val="24"/>
          <w:lang w:val="zh-CN" w:eastAsia="zh-CN"/>
        </w:rPr>
        <w:t>》</w:t>
      </w:r>
      <w:r>
        <w:rPr>
          <w:rFonts w:hint="default" w:ascii="仿宋_GB2312" w:hAnsi="宋体" w:eastAsia="仿宋_GB2312" w:cs="Calibri"/>
          <w:color w:val="auto"/>
          <w:sz w:val="24"/>
          <w:szCs w:val="24"/>
          <w:lang w:val="en-US" w:eastAsia="zh-CN"/>
        </w:rPr>
        <w:t>（草案）。</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202</w:t>
      </w:r>
      <w:r>
        <w:rPr>
          <w:rFonts w:hint="eastAsia" w:ascii="仿宋_GB2312" w:hAnsi="宋体" w:eastAsia="仿宋_GB2312" w:cs="Calibri"/>
          <w:color w:val="auto"/>
          <w:sz w:val="24"/>
          <w:szCs w:val="24"/>
          <w:lang w:val="en-US" w:eastAsia="zh-CN"/>
        </w:rPr>
        <w:t>4</w:t>
      </w:r>
      <w:r>
        <w:rPr>
          <w:rFonts w:hint="default" w:ascii="仿宋_GB2312" w:hAnsi="宋体" w:eastAsia="仿宋_GB2312" w:cs="Calibri"/>
          <w:color w:val="auto"/>
          <w:sz w:val="24"/>
          <w:szCs w:val="24"/>
          <w:lang w:val="en-US" w:eastAsia="zh-CN"/>
        </w:rPr>
        <w:t>年</w:t>
      </w:r>
      <w:r>
        <w:rPr>
          <w:rFonts w:hint="eastAsia" w:ascii="仿宋_GB2312" w:hAnsi="宋体" w:eastAsia="仿宋_GB2312" w:cs="Calibri"/>
          <w:color w:val="auto"/>
          <w:sz w:val="24"/>
          <w:szCs w:val="24"/>
          <w:lang w:val="en-US" w:eastAsia="zh-CN"/>
        </w:rPr>
        <w:t>4</w:t>
      </w:r>
      <w:r>
        <w:rPr>
          <w:rFonts w:hint="default" w:ascii="仿宋_GB2312" w:hAnsi="宋体" w:eastAsia="仿宋_GB2312" w:cs="Calibri"/>
          <w:color w:val="auto"/>
          <w:sz w:val="24"/>
          <w:szCs w:val="24"/>
          <w:lang w:val="en-US" w:eastAsia="zh-CN"/>
        </w:rPr>
        <w:t>月-</w:t>
      </w:r>
      <w:r>
        <w:rPr>
          <w:rFonts w:hint="eastAsia" w:ascii="仿宋_GB2312" w:hAnsi="宋体" w:eastAsia="仿宋_GB2312" w:cs="Calibri"/>
          <w:color w:val="auto"/>
          <w:sz w:val="24"/>
          <w:szCs w:val="24"/>
          <w:lang w:val="en-US" w:eastAsia="zh-CN"/>
        </w:rPr>
        <w:t>6</w:t>
      </w:r>
      <w:r>
        <w:rPr>
          <w:rFonts w:hint="default" w:ascii="仿宋_GB2312" w:hAnsi="宋体" w:eastAsia="仿宋_GB2312" w:cs="Calibri"/>
          <w:color w:val="auto"/>
          <w:sz w:val="24"/>
          <w:szCs w:val="24"/>
          <w:lang w:val="en-US" w:eastAsia="zh-CN"/>
        </w:rPr>
        <w:t>月，向涉及</w:t>
      </w:r>
      <w:r>
        <w:rPr>
          <w:rFonts w:hint="eastAsia" w:ascii="仿宋_GB2312" w:hAnsi="宋体" w:eastAsia="仿宋_GB2312" w:cs="Calibri"/>
          <w:color w:val="auto"/>
          <w:sz w:val="24"/>
          <w:szCs w:val="24"/>
          <w:lang w:val="en-US" w:eastAsia="zh-CN"/>
        </w:rPr>
        <w:t>相关</w:t>
      </w:r>
      <w:r>
        <w:rPr>
          <w:rFonts w:hint="default" w:ascii="仿宋_GB2312" w:hAnsi="宋体" w:eastAsia="仿宋_GB2312" w:cs="Calibri"/>
          <w:color w:val="auto"/>
          <w:sz w:val="24"/>
          <w:szCs w:val="24"/>
          <w:lang w:val="en-US" w:eastAsia="zh-CN"/>
        </w:rPr>
        <w:t>领域的部门及专家征求团体标准《</w:t>
      </w:r>
      <w:r>
        <w:rPr>
          <w:rFonts w:hint="eastAsia" w:ascii="仿宋_GB2312" w:hAnsi="宋体" w:eastAsia="仿宋_GB2312" w:cs="Calibri"/>
          <w:color w:val="auto"/>
          <w:sz w:val="24"/>
          <w:szCs w:val="24"/>
          <w:lang w:val="en-US" w:eastAsia="zh-CN"/>
        </w:rPr>
        <w:t>沃柑溃疡病防控技术规程</w:t>
      </w:r>
      <w:r>
        <w:rPr>
          <w:rFonts w:hint="default" w:ascii="仿宋_GB2312" w:hAnsi="宋体" w:eastAsia="仿宋_GB2312" w:cs="Calibri"/>
          <w:color w:val="auto"/>
          <w:sz w:val="24"/>
          <w:szCs w:val="24"/>
          <w:lang w:val="en-US" w:eastAsia="zh-CN"/>
        </w:rPr>
        <w:t>》（草案）意见。根据标准要点框架技术内容，再次修改标准草案，形成团体标准《</w:t>
      </w:r>
      <w:r>
        <w:rPr>
          <w:rFonts w:hint="eastAsia" w:ascii="仿宋_GB2312" w:hAnsi="宋体" w:eastAsia="仿宋_GB2312" w:cs="Calibri"/>
          <w:color w:val="auto"/>
          <w:sz w:val="24"/>
          <w:szCs w:val="24"/>
          <w:lang w:val="en-US" w:eastAsia="zh-CN"/>
        </w:rPr>
        <w:t>沃柑溃疡病防控技术规程</w:t>
      </w:r>
      <w:r>
        <w:rPr>
          <w:rFonts w:hint="default" w:ascii="仿宋_GB2312" w:hAnsi="宋体" w:eastAsia="仿宋_GB2312" w:cs="Calibri"/>
          <w:color w:val="auto"/>
          <w:sz w:val="24"/>
          <w:szCs w:val="24"/>
          <w:lang w:val="en-US" w:eastAsia="zh-CN"/>
        </w:rPr>
        <w:t>》（征求意见稿）及编制说明（征求意见稿）。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bookmarkStart w:id="0" w:name="_Toc526940083"/>
      <w:r>
        <w:rPr>
          <w:rFonts w:hint="default" w:ascii="Times New Roman" w:hAnsi="Times New Roman" w:eastAsia="黑体" w:cs="Times New Roman"/>
          <w:color w:val="auto"/>
          <w:sz w:val="32"/>
          <w:szCs w:val="32"/>
        </w:rPr>
        <w:t>四、标准制定原则</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（一）</w:t>
      </w:r>
      <w:r>
        <w:rPr>
          <w:rFonts w:hint="default" w:ascii="Times New Roman" w:hAnsi="Times New Roman" w:eastAsia="仿宋_GB2312" w:cs="Times New Roman"/>
          <w:b/>
          <w:bCs/>
          <w:color w:val="auto"/>
          <w:sz w:val="28"/>
          <w:szCs w:val="28"/>
          <w:lang w:val="en-US" w:eastAsia="zh-CN"/>
        </w:rPr>
        <w:t>实用</w:t>
      </w:r>
      <w:r>
        <w:rPr>
          <w:rFonts w:hint="default" w:ascii="Times New Roman" w:hAnsi="Times New Roman" w:eastAsia="仿宋_GB2312" w:cs="Times New Roman"/>
          <w:b/>
          <w:bCs/>
          <w:color w:val="auto"/>
          <w:sz w:val="28"/>
          <w:szCs w:val="28"/>
          <w:lang w:val="en-US" w:eastAsia="zh-CN"/>
        </w:rPr>
        <w:t>性原则</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本文件是在充分收集相关资料和文献，调研分析</w:t>
      </w:r>
      <w:r>
        <w:rPr>
          <w:rFonts w:hint="eastAsia" w:ascii="仿宋_GB2312" w:hAnsi="宋体" w:eastAsia="仿宋_GB2312" w:cs="Calibri"/>
          <w:color w:val="auto"/>
          <w:sz w:val="24"/>
          <w:szCs w:val="24"/>
          <w:lang w:val="en-US" w:eastAsia="zh-CN"/>
        </w:rPr>
        <w:t>沃柑溃疡病防控技术</w:t>
      </w:r>
      <w:r>
        <w:rPr>
          <w:rFonts w:hint="default" w:ascii="仿宋_GB2312" w:hAnsi="宋体" w:eastAsia="仿宋_GB2312" w:cs="Calibri"/>
          <w:color w:val="auto"/>
          <w:sz w:val="24"/>
          <w:szCs w:val="24"/>
          <w:lang w:val="en-US" w:eastAsia="zh-CN"/>
        </w:rPr>
        <w:t>现状，在现有国家、行业和地方标准相关技术要求的基础上，结合</w:t>
      </w:r>
      <w:r>
        <w:rPr>
          <w:rFonts w:hint="eastAsia" w:ascii="仿宋_GB2312" w:hAnsi="宋体" w:eastAsia="仿宋_GB2312" w:cs="Calibri"/>
          <w:color w:val="auto"/>
          <w:sz w:val="24"/>
          <w:szCs w:val="24"/>
          <w:lang w:val="en-US" w:eastAsia="zh-CN"/>
        </w:rPr>
        <w:t>桂林市农业科学研究中心等</w:t>
      </w:r>
      <w:r>
        <w:rPr>
          <w:rFonts w:hint="default" w:ascii="仿宋_GB2312" w:hAnsi="宋体" w:eastAsia="仿宋_GB2312" w:cs="Calibri"/>
          <w:color w:val="auto"/>
          <w:sz w:val="24"/>
          <w:szCs w:val="24"/>
          <w:lang w:val="en-US" w:eastAsia="zh-CN"/>
        </w:rPr>
        <w:t>单位多年的实验研究数据和示范应用经验而总结起草的。符合当前</w:t>
      </w:r>
      <w:r>
        <w:rPr>
          <w:rFonts w:hint="eastAsia" w:ascii="仿宋_GB2312" w:hAnsi="宋体" w:eastAsia="仿宋_GB2312" w:cs="Calibri"/>
          <w:color w:val="auto"/>
          <w:sz w:val="24"/>
          <w:szCs w:val="24"/>
          <w:lang w:val="en-US" w:eastAsia="zh-CN"/>
        </w:rPr>
        <w:t>沃柑产业的</w:t>
      </w:r>
      <w:r>
        <w:rPr>
          <w:rFonts w:hint="default" w:ascii="仿宋_GB2312" w:hAnsi="宋体" w:eastAsia="仿宋_GB2312" w:cs="Calibri"/>
          <w:color w:val="auto"/>
          <w:sz w:val="24"/>
          <w:szCs w:val="24"/>
          <w:lang w:val="en-US" w:eastAsia="zh-CN"/>
        </w:rPr>
        <w:t>发展需求，有利于</w:t>
      </w:r>
      <w:r>
        <w:rPr>
          <w:rFonts w:hint="eastAsia" w:ascii="仿宋_GB2312" w:hAnsi="宋体" w:eastAsia="仿宋_GB2312" w:cs="Calibri"/>
          <w:color w:val="auto"/>
          <w:sz w:val="24"/>
          <w:szCs w:val="24"/>
          <w:lang w:val="en-US" w:eastAsia="zh-CN"/>
        </w:rPr>
        <w:t>产业</w:t>
      </w:r>
      <w:r>
        <w:rPr>
          <w:rFonts w:hint="default" w:ascii="仿宋_GB2312" w:hAnsi="宋体" w:eastAsia="仿宋_GB2312" w:cs="Calibri"/>
          <w:color w:val="auto"/>
          <w:sz w:val="24"/>
          <w:szCs w:val="24"/>
          <w:lang w:val="en-US" w:eastAsia="zh-CN"/>
        </w:rPr>
        <w:t>的高质量可持续长远发展，具有较强的实用性和可操作性。</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（二）</w:t>
      </w:r>
      <w:r>
        <w:rPr>
          <w:rFonts w:hint="default" w:ascii="Times New Roman" w:hAnsi="Times New Roman" w:eastAsia="仿宋_GB2312" w:cs="Times New Roman"/>
          <w:b/>
          <w:bCs/>
          <w:color w:val="auto"/>
          <w:sz w:val="28"/>
          <w:szCs w:val="28"/>
          <w:lang w:val="en-US" w:eastAsia="zh-CN"/>
        </w:rPr>
        <w:t>协调性原则</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本文件编写过程中注意了与</w:t>
      </w:r>
      <w:r>
        <w:rPr>
          <w:rFonts w:hint="eastAsia" w:ascii="仿宋_GB2312" w:hAnsi="宋体" w:eastAsia="仿宋_GB2312" w:cs="Calibri"/>
          <w:color w:val="auto"/>
          <w:sz w:val="24"/>
          <w:szCs w:val="24"/>
          <w:lang w:val="en-US" w:eastAsia="zh-CN"/>
        </w:rPr>
        <w:t>沃柑溃疡病防控技术</w:t>
      </w:r>
      <w:r>
        <w:rPr>
          <w:rFonts w:hint="default" w:ascii="仿宋_GB2312" w:hAnsi="宋体" w:eastAsia="仿宋_GB2312" w:cs="Calibri"/>
          <w:color w:val="auto"/>
          <w:sz w:val="24"/>
          <w:szCs w:val="24"/>
          <w:lang w:val="en-US" w:eastAsia="zh-CN"/>
        </w:rPr>
        <w:t>相关的法律法规的协调问题，在内容上与现行法律法规、标准协调一致。</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（三）</w:t>
      </w:r>
      <w:r>
        <w:rPr>
          <w:rFonts w:hint="default" w:ascii="Times New Roman" w:hAnsi="Times New Roman" w:eastAsia="仿宋_GB2312" w:cs="Times New Roman"/>
          <w:b/>
          <w:bCs/>
          <w:color w:val="auto"/>
          <w:sz w:val="28"/>
          <w:szCs w:val="28"/>
          <w:lang w:val="en-US" w:eastAsia="zh-CN"/>
        </w:rPr>
        <w:t>规范性原则</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本文件严格按照GB/T 1.1—2020《标准化工作导则  第1部分：标准化文件的结构和起草规则》的要求和规定编写本标准的内容，保证标准的编写质量。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（四）</w:t>
      </w:r>
      <w:r>
        <w:rPr>
          <w:rFonts w:hint="default" w:ascii="Times New Roman" w:hAnsi="Times New Roman" w:eastAsia="仿宋_GB2312" w:cs="Times New Roman"/>
          <w:b/>
          <w:bCs/>
          <w:color w:val="auto"/>
          <w:sz w:val="28"/>
          <w:szCs w:val="28"/>
          <w:lang w:val="en-US" w:eastAsia="zh-CN"/>
        </w:rPr>
        <w:t>前瞻性原则</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本文件在兼顾当前</w:t>
      </w:r>
      <w:r>
        <w:rPr>
          <w:rFonts w:hint="eastAsia" w:ascii="仿宋_GB2312" w:hAnsi="宋体" w:eastAsia="仿宋_GB2312" w:cs="Calibri"/>
          <w:color w:val="auto"/>
          <w:sz w:val="24"/>
          <w:szCs w:val="24"/>
          <w:lang w:val="en-US" w:eastAsia="zh-CN"/>
        </w:rPr>
        <w:t>沃柑溃疡病防控的</w:t>
      </w:r>
      <w:r>
        <w:rPr>
          <w:rFonts w:hint="default" w:ascii="仿宋_GB2312" w:hAnsi="宋体" w:eastAsia="仿宋_GB2312" w:cs="Calibri"/>
          <w:color w:val="auto"/>
          <w:sz w:val="24"/>
          <w:szCs w:val="24"/>
          <w:lang w:val="en-US" w:eastAsia="zh-CN"/>
        </w:rPr>
        <w:t>现实情况，</w:t>
      </w:r>
      <w:r>
        <w:rPr>
          <w:rFonts w:hint="eastAsia" w:ascii="仿宋_GB2312" w:hAnsi="宋体" w:eastAsia="仿宋_GB2312" w:cs="Calibri"/>
          <w:color w:val="auto"/>
          <w:sz w:val="24"/>
          <w:szCs w:val="24"/>
          <w:lang w:val="en-US" w:eastAsia="zh-CN"/>
        </w:rPr>
        <w:t>并</w:t>
      </w:r>
      <w:r>
        <w:rPr>
          <w:rFonts w:hint="default" w:ascii="仿宋_GB2312" w:hAnsi="宋体" w:eastAsia="仿宋_GB2312" w:cs="Calibri"/>
          <w:color w:val="auto"/>
          <w:sz w:val="24"/>
          <w:szCs w:val="24"/>
          <w:lang w:val="en-US" w:eastAsia="zh-CN"/>
        </w:rPr>
        <w:t>考虑农业快速发展的趋势和需要，在标准中体现了个别特色性、前瞻性和先进性条款，作为对</w:t>
      </w:r>
      <w:r>
        <w:rPr>
          <w:rFonts w:hint="eastAsia" w:ascii="仿宋_GB2312" w:hAnsi="宋体" w:eastAsia="仿宋_GB2312" w:cs="Calibri"/>
          <w:color w:val="auto"/>
          <w:sz w:val="24"/>
          <w:szCs w:val="24"/>
          <w:lang w:val="en-US" w:eastAsia="zh-CN"/>
        </w:rPr>
        <w:t>沃柑</w:t>
      </w:r>
      <w:r>
        <w:rPr>
          <w:rFonts w:hint="default" w:ascii="仿宋_GB2312" w:hAnsi="宋体" w:eastAsia="仿宋_GB2312" w:cs="Calibri"/>
          <w:color w:val="auto"/>
          <w:sz w:val="24"/>
          <w:szCs w:val="24"/>
          <w:lang w:val="en-US" w:eastAsia="zh-CN"/>
        </w:rPr>
        <w:t>产业</w:t>
      </w:r>
      <w:r>
        <w:rPr>
          <w:rFonts w:hint="default" w:ascii="仿宋_GB2312" w:hAnsi="宋体" w:eastAsia="仿宋_GB2312" w:cs="Calibri"/>
          <w:color w:val="auto"/>
          <w:sz w:val="24"/>
          <w:szCs w:val="24"/>
          <w:lang w:val="zh-CN" w:eastAsia="zh-CN"/>
        </w:rPr>
        <w:t>高质量</w:t>
      </w:r>
      <w:r>
        <w:rPr>
          <w:rFonts w:hint="default" w:ascii="仿宋_GB2312" w:hAnsi="宋体" w:eastAsia="仿宋_GB2312" w:cs="Calibri"/>
          <w:color w:val="auto"/>
          <w:sz w:val="24"/>
          <w:szCs w:val="24"/>
          <w:lang w:val="en-US" w:eastAsia="zh-CN"/>
        </w:rPr>
        <w:t>发展的指导。</w:t>
      </w:r>
    </w:p>
    <w:bookmarkEnd w:id="0"/>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kern w:val="2"/>
          <w:sz w:val="32"/>
          <w:szCs w:val="32"/>
          <w:highlight w:val="none"/>
          <w:lang w:val="en-US" w:eastAsia="zh-CN" w:bidi="ar-SA"/>
        </w:rPr>
        <w:t>五、</w:t>
      </w:r>
      <w:r>
        <w:rPr>
          <w:rFonts w:hint="default" w:ascii="Times New Roman" w:hAnsi="Times New Roman" w:eastAsia="黑体" w:cs="Times New Roman"/>
          <w:color w:val="auto"/>
          <w:sz w:val="32"/>
          <w:szCs w:val="32"/>
          <w:highlight w:val="none"/>
        </w:rPr>
        <w:t>标准主要内容及依据来源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（一）</w:t>
      </w:r>
      <w:r>
        <w:rPr>
          <w:rFonts w:hint="default" w:ascii="Times New Roman" w:hAnsi="Times New Roman" w:eastAsia="仿宋_GB2312" w:cs="Times New Roman"/>
          <w:b/>
          <w:bCs/>
          <w:color w:val="auto"/>
          <w:sz w:val="28"/>
          <w:szCs w:val="28"/>
          <w:lang w:val="en-US" w:eastAsia="zh-CN"/>
        </w:rPr>
        <w:t>主要内容</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default" w:ascii="仿宋_GB2312" w:hAnsi="宋体" w:eastAsia="仿宋_GB2312" w:cs="Calibri"/>
          <w:color w:val="auto"/>
          <w:sz w:val="24"/>
          <w:szCs w:val="24"/>
          <w:lang w:val="en-US" w:eastAsia="zh-CN"/>
        </w:rPr>
        <w:t>本文件界定了沃柑溃疡病防控的术语和定义，规定了基础防控措施、无病区防控措施、新病区防控措施、老病区防控措施的技术要求。</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（二）关键指标依据来源</w:t>
      </w:r>
    </w:p>
    <w:p>
      <w:pPr>
        <w:spacing w:line="360" w:lineRule="auto"/>
        <w:ind w:firstLine="562" w:firstLineChars="200"/>
        <w:rPr>
          <w:rFonts w:hint="default" w:ascii="仿宋_GB2312" w:hAnsi="宋体" w:eastAsia="仿宋_GB2312" w:cs="Calibri"/>
          <w:b/>
          <w:bCs/>
          <w:color w:val="auto"/>
          <w:sz w:val="28"/>
          <w:szCs w:val="28"/>
          <w:lang w:val="en-US" w:eastAsia="zh-CN"/>
        </w:rPr>
      </w:pPr>
      <w:r>
        <w:rPr>
          <w:rFonts w:hint="eastAsia" w:ascii="仿宋_GB2312" w:hAnsi="宋体" w:eastAsia="仿宋_GB2312" w:cs="Calibri"/>
          <w:b/>
          <w:bCs/>
          <w:color w:val="auto"/>
          <w:sz w:val="28"/>
          <w:szCs w:val="28"/>
          <w:lang w:val="en-US" w:eastAsia="zh-CN"/>
        </w:rPr>
        <w:t>1 沃柑溃疡病发生规律调查</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沃柑溃疡病病源是细菌，柑橘枝、叶、果实等病组织中越冬的病原菌，随风雨等侵染柑橘春梢, 并成为夏、秋梢的病源。叶片、新梢及果实都能发病。溃疡病发生严重时引起落叶、落果，植株生长不良，甚至枯死，直接影响柑橘的产量和品质。</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（1）发病条件</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平均气温20℃以上、相对湿度70%以上，有利于溃疡病菌侵染。病菌落到寄主的幼嫩组织上，通过气孔、水孔、皮孔和伤口等侵入，潜育期3～10d。通常只侵入一定发育阶段的幼嫩组织，刚抽发的嫩梢和刚形成的幼果，其气孔还未形成，病菌一般不易入侵，而充分老熟的叶片、枝条以及进入转色期的果实也不会再发病。高温高湿多雨条件下易发病，尤其是大风大雨后，叶片、果实与茎刺摩擦产生机械损伤，常常爆发溃疡病。偏施氮肥、树势过旺、枝梢徒长的沃柑易发病。被柑橘潜叶蛾危害的叶片易感溃疡病，凤蝶幼虫、象鼻虫等食叶害虫造成的伤口也会诱发溃疡病。</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（2）沃柑溃疡病田间消长规律</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4～10月是溃疡病高发期。嫩叶在萌发后20～45天是发病高峰期。桂北地区田间春梢病害初见期在4月中下旬，5月初为发病高峰期,随新叶老化,病情稳定, 整个发生期20～30d。决定春梢溃疡病始发期和消长动态的主要因子是新梢期( 感病期)的气温。4月平均气温达20℃连续 5d以上, 田间开始发病，气温回升越早越高,始发期越早，当感病期气温高于25℃连续3d左右, 田间病情进入激增期。夏、秋梢溃疡病始发于展叶后5～8d,因发梢参差不齐,梢期长,因此发病期也拉得长。夏梢发病期一般为15～40d,秋梢为20～40d。影响夏、秋梢溃疡病消长的主要因子为感染期的降雨和湿度。相对湿度低于70%, 尤其干旱无露水, 不利于发病；连续长时间的大雨也不利于病菌的侵染；台风阵雨,湿度在80%以上, 则有利于溃疡病的流行。</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幼果在谢花后35～80天是发病高峰期，此期气孔形成较多，且多处于开放的状态，易于溃疡病的发生。桂北地区田间果实病害初见期在5月下旬至6月初，6～7月是发病高峰期，进入9月后病情逐渐稳定，10月后基本不再发病。</w:t>
      </w:r>
    </w:p>
    <w:p>
      <w:pPr>
        <w:spacing w:line="360" w:lineRule="auto"/>
        <w:ind w:firstLine="482" w:firstLineChars="200"/>
        <w:rPr>
          <w:rFonts w:hint="default" w:ascii="仿宋_GB2312" w:hAnsi="宋体" w:eastAsia="仿宋_GB2312" w:cs="Calibri"/>
          <w:b/>
          <w:bCs/>
          <w:color w:val="auto"/>
          <w:sz w:val="24"/>
          <w:szCs w:val="24"/>
          <w:lang w:val="en-US" w:eastAsia="zh-CN"/>
        </w:rPr>
      </w:pPr>
      <w:r>
        <w:rPr>
          <w:rFonts w:hint="eastAsia" w:ascii="仿宋_GB2312" w:hAnsi="宋体" w:eastAsia="仿宋_GB2312" w:cs="Calibri"/>
          <w:b/>
          <w:bCs/>
          <w:color w:val="auto"/>
          <w:sz w:val="24"/>
          <w:szCs w:val="24"/>
          <w:lang w:val="en-US" w:eastAsia="zh-CN"/>
        </w:rPr>
        <w:t>2 不同杀菌剂防控沃柑溃疡病试验</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2.1 材料与方法</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2.1.1 试验材料</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试验于2020年8～9月在桂林市农业科学研究中心渡头基地（位于桂林市临桂区两江镇）沃柑园进行，以秋梢为试验对象。试验园沃柑为4年生结果树，种植规格1.5m×2.5m，缓坡地，土质疏松，土壤肥力中等，栽培管理一致；当年夏梢发病严重，修剪放梢时将病枝全部剪除，抹芽2次后统一放秋梢。</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1.2  供试药剂、稀释浓度及试验设计</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试验共设9个处理，包括8种供试杀菌剂及清水对照，杀菌剂均为市售常用药剂，详见表1。</w:t>
      </w:r>
    </w:p>
    <w:p>
      <w:pPr>
        <w:autoSpaceDE w:val="0"/>
        <w:autoSpaceDN w:val="0"/>
        <w:adjustRightInd w:val="0"/>
        <w:jc w:val="center"/>
        <w:rPr>
          <w:rFonts w:hint="eastAsia" w:ascii="仿宋" w:hAnsi="仿宋" w:eastAsia="仿宋" w:cs="仿宋"/>
          <w:sz w:val="21"/>
          <w:szCs w:val="21"/>
        </w:rPr>
      </w:pPr>
      <w:r>
        <w:rPr>
          <w:rFonts w:hint="eastAsia" w:ascii="仿宋" w:hAnsi="仿宋" w:eastAsia="仿宋" w:cs="仿宋"/>
          <w:sz w:val="21"/>
          <w:szCs w:val="21"/>
        </w:rPr>
        <w:t>表1 供试药剂及稀释浓度</w:t>
      </w:r>
    </w:p>
    <w:tbl>
      <w:tblPr>
        <w:tblStyle w:val="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850"/>
        <w:gridCol w:w="1995"/>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40"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处理编号</w:t>
            </w:r>
          </w:p>
        </w:tc>
        <w:tc>
          <w:tcPr>
            <w:tcW w:w="2850" w:type="dxa"/>
            <w:noWrap/>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药剂名称（含量、剂型）</w:t>
            </w:r>
          </w:p>
        </w:tc>
        <w:tc>
          <w:tcPr>
            <w:tcW w:w="1995"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稀释倍数</w:t>
            </w:r>
          </w:p>
        </w:tc>
        <w:tc>
          <w:tcPr>
            <w:tcW w:w="2933" w:type="dxa"/>
            <w:noWrap/>
            <w:vAlign w:val="top"/>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40"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1</w:t>
            </w:r>
          </w:p>
        </w:tc>
        <w:tc>
          <w:tcPr>
            <w:tcW w:w="2850" w:type="dxa"/>
            <w:noWrap/>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57.6%氢氧化铜WG</w:t>
            </w:r>
          </w:p>
        </w:tc>
        <w:tc>
          <w:tcPr>
            <w:tcW w:w="1995"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1000倍液</w:t>
            </w:r>
          </w:p>
        </w:tc>
        <w:tc>
          <w:tcPr>
            <w:tcW w:w="2933" w:type="dxa"/>
            <w:noWrap/>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澳大利亚纽发姆有限公司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40"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2</w:t>
            </w:r>
          </w:p>
        </w:tc>
        <w:tc>
          <w:tcPr>
            <w:tcW w:w="2850" w:type="dxa"/>
            <w:noWrap/>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47%春雷·王铜WP</w:t>
            </w:r>
          </w:p>
        </w:tc>
        <w:tc>
          <w:tcPr>
            <w:tcW w:w="1995"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650倍液</w:t>
            </w:r>
          </w:p>
        </w:tc>
        <w:tc>
          <w:tcPr>
            <w:tcW w:w="2933" w:type="dxa"/>
            <w:noWrap/>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日本北兴化学工业株式会社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40"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3</w:t>
            </w:r>
          </w:p>
        </w:tc>
        <w:tc>
          <w:tcPr>
            <w:tcW w:w="2850" w:type="dxa"/>
            <w:noWrap/>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27.12%碱式硫酸铜SC</w:t>
            </w:r>
          </w:p>
        </w:tc>
        <w:tc>
          <w:tcPr>
            <w:tcW w:w="1995"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500倍液</w:t>
            </w:r>
          </w:p>
        </w:tc>
        <w:tc>
          <w:tcPr>
            <w:tcW w:w="2933" w:type="dxa"/>
            <w:noWrap/>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澳大利亚纽发姆有限公司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40"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4</w:t>
            </w:r>
          </w:p>
        </w:tc>
        <w:tc>
          <w:tcPr>
            <w:tcW w:w="2850" w:type="dxa"/>
            <w:noWrap/>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20%噻菌铜SC</w:t>
            </w:r>
          </w:p>
        </w:tc>
        <w:tc>
          <w:tcPr>
            <w:tcW w:w="1995"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500倍液</w:t>
            </w:r>
          </w:p>
        </w:tc>
        <w:tc>
          <w:tcPr>
            <w:tcW w:w="2933" w:type="dxa"/>
            <w:noWrap/>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浙江龙湾化工有限公司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40"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5</w:t>
            </w:r>
          </w:p>
        </w:tc>
        <w:tc>
          <w:tcPr>
            <w:tcW w:w="2850" w:type="dxa"/>
            <w:noWrap/>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20%噻森铜SC</w:t>
            </w:r>
          </w:p>
        </w:tc>
        <w:tc>
          <w:tcPr>
            <w:tcW w:w="1995"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500倍液</w:t>
            </w:r>
          </w:p>
        </w:tc>
        <w:tc>
          <w:tcPr>
            <w:tcW w:w="2933" w:type="dxa"/>
            <w:noWrap/>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浙江东风化工有限公司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40"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6</w:t>
            </w:r>
          </w:p>
        </w:tc>
        <w:tc>
          <w:tcPr>
            <w:tcW w:w="2850" w:type="dxa"/>
            <w:noWrap/>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33.5%喹啉铜SC</w:t>
            </w:r>
          </w:p>
        </w:tc>
        <w:tc>
          <w:tcPr>
            <w:tcW w:w="1995"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1000倍液</w:t>
            </w:r>
          </w:p>
        </w:tc>
        <w:tc>
          <w:tcPr>
            <w:tcW w:w="2933" w:type="dxa"/>
            <w:noWrap/>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台湾兴农股份有限公司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40"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7</w:t>
            </w:r>
          </w:p>
        </w:tc>
        <w:tc>
          <w:tcPr>
            <w:tcW w:w="2850" w:type="dxa"/>
            <w:noWrap/>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20%噻唑锌SC</w:t>
            </w:r>
          </w:p>
        </w:tc>
        <w:tc>
          <w:tcPr>
            <w:tcW w:w="1995"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500倍液</w:t>
            </w:r>
          </w:p>
        </w:tc>
        <w:tc>
          <w:tcPr>
            <w:tcW w:w="2933" w:type="dxa"/>
            <w:noWrap/>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浙江新农化工有限公司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40"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8</w:t>
            </w:r>
          </w:p>
        </w:tc>
        <w:tc>
          <w:tcPr>
            <w:tcW w:w="2850" w:type="dxa"/>
            <w:noWrap/>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1.8%辛菌胺醋酸盐AS</w:t>
            </w:r>
          </w:p>
        </w:tc>
        <w:tc>
          <w:tcPr>
            <w:tcW w:w="1995"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500倍液</w:t>
            </w:r>
          </w:p>
        </w:tc>
        <w:tc>
          <w:tcPr>
            <w:tcW w:w="2933" w:type="dxa"/>
            <w:noWrap/>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撒尔夫农化有限公司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40"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9</w:t>
            </w:r>
          </w:p>
        </w:tc>
        <w:tc>
          <w:tcPr>
            <w:tcW w:w="2850" w:type="dxa"/>
            <w:noWrap/>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CK</w:t>
            </w:r>
          </w:p>
        </w:tc>
        <w:tc>
          <w:tcPr>
            <w:tcW w:w="1995" w:type="dxa"/>
            <w:noWrap w:val="0"/>
            <w:vAlign w:val="top"/>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2933" w:type="dxa"/>
            <w:noWrap/>
            <w:vAlign w:val="top"/>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p>
        </w:tc>
      </w:tr>
    </w:tbl>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1.3 试验方法</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试验小区面积75m</w:t>
      </w:r>
      <w:r>
        <w:rPr>
          <w:rFonts w:hint="eastAsia" w:ascii="仿宋_GB2312" w:hAnsi="宋体" w:eastAsia="仿宋_GB2312" w:cs="Calibri"/>
          <w:color w:val="auto"/>
          <w:sz w:val="24"/>
          <w:szCs w:val="24"/>
          <w:vertAlign w:val="superscript"/>
          <w:lang w:val="en-US" w:eastAsia="zh-CN"/>
        </w:rPr>
        <w:t>2</w:t>
      </w:r>
      <w:r>
        <w:rPr>
          <w:rFonts w:hint="eastAsia" w:ascii="仿宋_GB2312" w:hAnsi="宋体" w:eastAsia="仿宋_GB2312" w:cs="Calibri"/>
          <w:color w:val="auto"/>
          <w:sz w:val="24"/>
          <w:szCs w:val="24"/>
          <w:lang w:val="en-US" w:eastAsia="zh-CN"/>
        </w:rPr>
        <w:t>（约20株树），不设重复，各小区随机排列，周围设保护行。试验共喷药2次，8月18日（大部分秋梢约3～5cm长）第一次喷药，10d后（8月28日）喷第二次。喷药采用背负式电动喷雾器，以新梢为重点，枝条及叶片正反两面均匀喷透。</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1.4 调查方法</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于第二次药后20d展开调查，每处理小区随机调查3株沃柑树，每株树按东、西、南、北、中5个方位，每个方位调查2条秋梢的全部叶片，记录各级病叶数，计算病情指数和防控效果。</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病叶分级标准：0级：无病斑；1级：每叶1～5个病斑；3级：每叶6～10个病斑；5级：每叶11～15个病斑；7级：每叶16～20个病斑；9级：每叶21个病斑以上。</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病情指数和防效计算方法：</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病情指数=[∑（各级病叶数×相对病级数）/调查总叶数×最高级数]×100</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防效（%）=[（对照病情指数-处理病情指数）/对照病情指数]×100</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2 结果与分析</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2.1 安全性评价</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在整个试验期间及后期观察中，各施药处理与对照区对比，沃柑叶片、果实均未出现异常，无明显药害症状，说明各药剂在试验剂量范围内对沃柑生产安全。</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2.2 防控效果</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8种供试药剂对沃柑溃疡病的防控效果见表2。秋梢期施药2次后20d调查，57.6%氢氧化铜WG 1000倍液、47%春雷·王铜WP 650倍液、27.12%碱式硫酸铜SC 500倍液、20%噻菌铜SC 500倍液、20%噻森铜SC 500倍液、33.5%喹啉铜SC 1000倍液、20%噻唑锌SC 500倍液、1.8%辛菌胺醋酸盐AS 500倍液、空白（清水）对照的病情指数分别为1.03、1.62、0.82、1.76、1.51、2.25、1.86、1.73、10.87，对应的防效分别为90.52%、85.10%、92.46%、83.81%、86.11%、79.30%、82.89%、84.08%。试验结果表明，27.12%碱式硫酸铜SC 500倍液和57.6%氢氧化铜WG 1000倍液防效最好，达到90%以上；其次为20%噻森铜SC 500倍液、47%春雷·王铜WP 650倍液、1.8%辛菌胺醋酸盐AS 500倍液、20%噻菌铜SC 500倍液、20%噻唑锌SC 500倍液，防效均在80%以上，效果较好；33.5%喹啉铜SC 1000倍液的效果稍差。分类来看，无机铜类杀菌剂中，27.12%碱式硫酸铜SC 500倍液防效较好；有机铜类杀菌剂中，20%噻森铜SC 500倍液防效较好；其它杀菌剂中，1.8%辛菌胺醋酸盐AS 500倍液防效较好。</w:t>
      </w:r>
    </w:p>
    <w:p>
      <w:pPr>
        <w:autoSpaceDE w:val="0"/>
        <w:autoSpaceDN w:val="0"/>
        <w:adjustRightInd w:val="0"/>
        <w:ind w:firstLine="525" w:firstLineChars="250"/>
        <w:jc w:val="center"/>
        <w:rPr>
          <w:rFonts w:hint="eastAsia" w:ascii="仿宋" w:hAnsi="仿宋" w:eastAsia="仿宋" w:cs="仿宋"/>
          <w:sz w:val="21"/>
          <w:szCs w:val="21"/>
        </w:rPr>
      </w:pPr>
      <w:r>
        <w:rPr>
          <w:rFonts w:hint="eastAsia" w:ascii="仿宋" w:hAnsi="仿宋" w:eastAsia="仿宋" w:cs="仿宋"/>
          <w:sz w:val="21"/>
          <w:szCs w:val="21"/>
        </w:rPr>
        <w:t>表2  8种杀菌剂对沃柑溃疡病的防控效果</w:t>
      </w:r>
    </w:p>
    <w:tbl>
      <w:tblPr>
        <w:tblStyle w:val="9"/>
        <w:tblW w:w="7952"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3"/>
        <w:gridCol w:w="2515"/>
        <w:gridCol w:w="1380"/>
        <w:gridCol w:w="1493"/>
        <w:gridCol w:w="146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103" w:type="dxa"/>
            <w:tcBorders>
              <w:top w:val="single" w:color="auto" w:sz="8" w:space="0"/>
              <w:bottom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处理编号</w:t>
            </w:r>
          </w:p>
        </w:tc>
        <w:tc>
          <w:tcPr>
            <w:tcW w:w="2515" w:type="dxa"/>
            <w:tcBorders>
              <w:top w:val="single" w:color="auto" w:sz="8" w:space="0"/>
              <w:bottom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945" w:firstLineChars="450"/>
              <w:rPr>
                <w:rFonts w:hint="eastAsia" w:ascii="仿宋" w:hAnsi="仿宋" w:eastAsia="仿宋" w:cs="仿宋"/>
                <w:sz w:val="21"/>
                <w:szCs w:val="21"/>
              </w:rPr>
            </w:pPr>
            <w:r>
              <w:rPr>
                <w:rFonts w:hint="eastAsia" w:ascii="仿宋" w:hAnsi="仿宋" w:eastAsia="仿宋" w:cs="仿宋"/>
                <w:sz w:val="21"/>
                <w:szCs w:val="21"/>
              </w:rPr>
              <w:t>药剂</w:t>
            </w:r>
          </w:p>
        </w:tc>
        <w:tc>
          <w:tcPr>
            <w:tcW w:w="1380" w:type="dxa"/>
            <w:tcBorders>
              <w:top w:val="single" w:color="auto" w:sz="8" w:space="0"/>
              <w:bottom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210" w:firstLineChars="100"/>
              <w:jc w:val="left"/>
              <w:rPr>
                <w:rFonts w:hint="eastAsia" w:ascii="仿宋" w:hAnsi="仿宋" w:eastAsia="仿宋" w:cs="仿宋"/>
                <w:sz w:val="21"/>
                <w:szCs w:val="21"/>
              </w:rPr>
            </w:pPr>
            <w:r>
              <w:rPr>
                <w:rFonts w:hint="eastAsia" w:ascii="仿宋" w:hAnsi="仿宋" w:eastAsia="仿宋" w:cs="仿宋"/>
                <w:sz w:val="21"/>
                <w:szCs w:val="21"/>
              </w:rPr>
              <w:t>稀释倍数</w:t>
            </w:r>
          </w:p>
        </w:tc>
        <w:tc>
          <w:tcPr>
            <w:tcW w:w="1493" w:type="dxa"/>
            <w:tcBorders>
              <w:top w:val="single" w:color="auto" w:sz="8" w:space="0"/>
              <w:bottom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315" w:firstLineChars="150"/>
              <w:jc w:val="left"/>
              <w:rPr>
                <w:rFonts w:hint="eastAsia" w:ascii="仿宋" w:hAnsi="仿宋" w:eastAsia="仿宋" w:cs="仿宋"/>
                <w:sz w:val="21"/>
                <w:szCs w:val="21"/>
              </w:rPr>
            </w:pPr>
            <w:r>
              <w:rPr>
                <w:rFonts w:hint="eastAsia" w:ascii="仿宋" w:hAnsi="仿宋" w:eastAsia="仿宋" w:cs="仿宋"/>
                <w:sz w:val="21"/>
                <w:szCs w:val="21"/>
              </w:rPr>
              <w:t>病情指数</w:t>
            </w:r>
          </w:p>
        </w:tc>
        <w:tc>
          <w:tcPr>
            <w:tcW w:w="1461" w:type="dxa"/>
            <w:tcBorders>
              <w:top w:val="single" w:color="auto" w:sz="8" w:space="0"/>
              <w:bottom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315" w:firstLineChars="150"/>
              <w:jc w:val="left"/>
              <w:rPr>
                <w:rFonts w:hint="eastAsia" w:ascii="仿宋" w:hAnsi="仿宋" w:eastAsia="仿宋" w:cs="仿宋"/>
                <w:sz w:val="21"/>
                <w:szCs w:val="21"/>
              </w:rPr>
            </w:pPr>
            <w:r>
              <w:rPr>
                <w:rFonts w:hint="eastAsia" w:ascii="仿宋" w:hAnsi="仿宋" w:eastAsia="仿宋" w:cs="仿宋"/>
                <w:sz w:val="21"/>
                <w:szCs w:val="21"/>
              </w:rPr>
              <w:t>防效（%）</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103" w:type="dxa"/>
            <w:tcBorders>
              <w:top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1</w:t>
            </w:r>
          </w:p>
        </w:tc>
        <w:tc>
          <w:tcPr>
            <w:tcW w:w="2515" w:type="dxa"/>
            <w:tcBorders>
              <w:top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57.6%氢氧化铜WG</w:t>
            </w:r>
          </w:p>
        </w:tc>
        <w:tc>
          <w:tcPr>
            <w:tcW w:w="1380" w:type="dxa"/>
            <w:tcBorders>
              <w:top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1000</w:t>
            </w:r>
          </w:p>
        </w:tc>
        <w:tc>
          <w:tcPr>
            <w:tcW w:w="1493" w:type="dxa"/>
            <w:tcBorders>
              <w:top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1.03</w:t>
            </w:r>
          </w:p>
        </w:tc>
        <w:tc>
          <w:tcPr>
            <w:tcW w:w="1461" w:type="dxa"/>
            <w:tcBorders>
              <w:top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90.52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11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2</w:t>
            </w:r>
          </w:p>
        </w:tc>
        <w:tc>
          <w:tcPr>
            <w:tcW w:w="2515" w:type="dxa"/>
            <w:noWrap/>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47%春雷·王铜WP</w:t>
            </w:r>
          </w:p>
        </w:tc>
        <w:tc>
          <w:tcPr>
            <w:tcW w:w="138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650</w:t>
            </w:r>
          </w:p>
        </w:tc>
        <w:tc>
          <w:tcPr>
            <w:tcW w:w="14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1.62</w:t>
            </w:r>
          </w:p>
        </w:tc>
        <w:tc>
          <w:tcPr>
            <w:tcW w:w="1461"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85.10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1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3</w:t>
            </w:r>
          </w:p>
        </w:tc>
        <w:tc>
          <w:tcPr>
            <w:tcW w:w="2515" w:type="dxa"/>
            <w:noWrap/>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27.12%碱式硫酸铜SC</w:t>
            </w:r>
          </w:p>
        </w:tc>
        <w:tc>
          <w:tcPr>
            <w:tcW w:w="138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500</w:t>
            </w:r>
          </w:p>
        </w:tc>
        <w:tc>
          <w:tcPr>
            <w:tcW w:w="14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0.82</w:t>
            </w:r>
          </w:p>
        </w:tc>
        <w:tc>
          <w:tcPr>
            <w:tcW w:w="1461"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92.46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11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4</w:t>
            </w:r>
          </w:p>
        </w:tc>
        <w:tc>
          <w:tcPr>
            <w:tcW w:w="2515"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20%噻菌铜SC</w:t>
            </w:r>
          </w:p>
        </w:tc>
        <w:tc>
          <w:tcPr>
            <w:tcW w:w="138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500196</w:t>
            </w:r>
          </w:p>
        </w:tc>
        <w:tc>
          <w:tcPr>
            <w:tcW w:w="14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1.76</w:t>
            </w:r>
          </w:p>
        </w:tc>
        <w:tc>
          <w:tcPr>
            <w:tcW w:w="1461"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83.81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11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5</w:t>
            </w:r>
          </w:p>
        </w:tc>
        <w:tc>
          <w:tcPr>
            <w:tcW w:w="2515"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20%噻森铜SC</w:t>
            </w:r>
          </w:p>
        </w:tc>
        <w:tc>
          <w:tcPr>
            <w:tcW w:w="138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500</w:t>
            </w:r>
          </w:p>
        </w:tc>
        <w:tc>
          <w:tcPr>
            <w:tcW w:w="14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1.51</w:t>
            </w:r>
          </w:p>
        </w:tc>
        <w:tc>
          <w:tcPr>
            <w:tcW w:w="1461"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86.11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11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6</w:t>
            </w:r>
          </w:p>
        </w:tc>
        <w:tc>
          <w:tcPr>
            <w:tcW w:w="2515"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33.5%喹啉铜SC</w:t>
            </w:r>
          </w:p>
        </w:tc>
        <w:tc>
          <w:tcPr>
            <w:tcW w:w="138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1000</w:t>
            </w:r>
          </w:p>
        </w:tc>
        <w:tc>
          <w:tcPr>
            <w:tcW w:w="14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2.25</w:t>
            </w:r>
          </w:p>
        </w:tc>
        <w:tc>
          <w:tcPr>
            <w:tcW w:w="1461"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79.30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1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7</w:t>
            </w:r>
          </w:p>
        </w:tc>
        <w:tc>
          <w:tcPr>
            <w:tcW w:w="2515"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20%噻唑锌SC</w:t>
            </w:r>
          </w:p>
        </w:tc>
        <w:tc>
          <w:tcPr>
            <w:tcW w:w="138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500</w:t>
            </w:r>
          </w:p>
        </w:tc>
        <w:tc>
          <w:tcPr>
            <w:tcW w:w="14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1.86</w:t>
            </w:r>
          </w:p>
        </w:tc>
        <w:tc>
          <w:tcPr>
            <w:tcW w:w="1461"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82.89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jc w:val="center"/>
        </w:trPr>
        <w:tc>
          <w:tcPr>
            <w:tcW w:w="11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8</w:t>
            </w:r>
          </w:p>
        </w:tc>
        <w:tc>
          <w:tcPr>
            <w:tcW w:w="2515" w:type="dxa"/>
            <w:noWrap/>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1.8%辛菌胺醋酸盐AS</w:t>
            </w:r>
          </w:p>
        </w:tc>
        <w:tc>
          <w:tcPr>
            <w:tcW w:w="138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500</w:t>
            </w:r>
          </w:p>
        </w:tc>
        <w:tc>
          <w:tcPr>
            <w:tcW w:w="14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1.73</w:t>
            </w:r>
          </w:p>
        </w:tc>
        <w:tc>
          <w:tcPr>
            <w:tcW w:w="1461"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84.08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 w:hRule="atLeast"/>
          <w:jc w:val="center"/>
        </w:trPr>
        <w:tc>
          <w:tcPr>
            <w:tcW w:w="11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9</w:t>
            </w:r>
          </w:p>
        </w:tc>
        <w:tc>
          <w:tcPr>
            <w:tcW w:w="2515"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center"/>
              <w:rPr>
                <w:rFonts w:hint="eastAsia" w:ascii="仿宋" w:hAnsi="仿宋" w:eastAsia="仿宋" w:cs="仿宋"/>
                <w:sz w:val="21"/>
                <w:szCs w:val="21"/>
              </w:rPr>
            </w:pPr>
            <w:r>
              <w:rPr>
                <w:rFonts w:hint="eastAsia" w:ascii="仿宋" w:hAnsi="仿宋" w:eastAsia="仿宋" w:cs="仿宋"/>
                <w:sz w:val="21"/>
                <w:szCs w:val="21"/>
              </w:rPr>
              <w:t>CK（清水）</w:t>
            </w:r>
          </w:p>
        </w:tc>
        <w:tc>
          <w:tcPr>
            <w:tcW w:w="138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4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10.87</w:t>
            </w:r>
          </w:p>
        </w:tc>
        <w:tc>
          <w:tcPr>
            <w:tcW w:w="1461"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r>
    </w:tbl>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2.3 结论与讨论</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试验选取了8种常用杀菌剂进行沃柑溃疡病田间防效试验，其中无机铜类3种、有机铜类3种、其它杀菌剂2种，在秋梢喷药2次后20 d进行调查，三类杀菌剂中防效较好的分别是27.12%碱式硫酸铜悬浮剂500倍液、20%噻森铜SC 500倍液、1.8%辛菌胺醋酸盐AS 500倍液，田间防效均达到84%以上，且对沃柑生产安全，可以轮换交替用于防控沃柑溃疡病。</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目前，铜制剂以杀菌效果显著成为溃疡病防控的首选药剂，但长期过度使用有产生重金属污染、诱发红蜘蛛等螨类的风险，还可能导致溃疡病菌产生抗性，增加防治难度。本试验结果表明，1.8%辛菌胺醋酸盐水剂500倍液和20%噻唑锌悬浮剂500倍液对沃柑溃疡病防效较好，可以视情况与铜制剂轮换使用。据报道，无机铜类杀菌剂效果较好，但安全性、复配性差，易产生药害，易诱发螨类暴发；有机铜类杀菌剂安全性、复配性好，部分有机铜还有内吸治疗作用，但杀菌能力一般不如无机铜类杀菌剂；其他杀菌剂或抗生素类安全性较高，但单独使用防效并不理想，且易产生抗药性。因此，建议在柑橘保花保果期间使用安全性更高的有机铜类杀菌剂，夏秋高温多雨季节使用防效更好的无机铜类杀菌剂，树体抗病力强、无病或发病较轻的果园尽量使用一般性杀菌剂或有机铜类杀菌剂，注意轮换用药，避免产生抗药性。</w:t>
      </w:r>
    </w:p>
    <w:p>
      <w:pPr>
        <w:spacing w:line="360" w:lineRule="auto"/>
        <w:ind w:firstLine="482" w:firstLineChars="200"/>
        <w:rPr>
          <w:rFonts w:hint="default" w:ascii="仿宋_GB2312" w:hAnsi="宋体" w:eastAsia="仿宋_GB2312" w:cs="Calibri"/>
          <w:b/>
          <w:bCs/>
          <w:color w:val="auto"/>
          <w:sz w:val="24"/>
          <w:szCs w:val="24"/>
          <w:lang w:val="en-US" w:eastAsia="zh-CN"/>
        </w:rPr>
      </w:pPr>
      <w:r>
        <w:rPr>
          <w:rFonts w:hint="eastAsia" w:ascii="仿宋_GB2312" w:hAnsi="宋体" w:eastAsia="仿宋_GB2312" w:cs="Calibri"/>
          <w:b/>
          <w:bCs/>
          <w:color w:val="auto"/>
          <w:sz w:val="24"/>
          <w:szCs w:val="24"/>
          <w:lang w:val="en-US" w:eastAsia="zh-CN"/>
        </w:rPr>
        <w:t>3、不同物候期不同喷药时间对沃柑溃疡病的防控效果试验</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1材料与方法</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1.1试验材料</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试验在桂林市农业科学研究中心雁山基地沃柑园进行，以春稍、果实、晚夏稍、秋稍为试验对象。试验园沃柑树龄5年生，株行距1.5m×2.7m,树势中庸。</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1.2试验设计</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试验园春梢（A组）、果实（B组）、晚夏梢（C组）、秋梢（D组）的溃疡病药物防治各设5个不同时间点进行喷药处理，每个处理5株为一小区，3次重复，随机排列，处理5为空白对照组，不进行溃疡病药物防控，其他病虫害防控与施肥同全园一致。各处理组喷药时间、方法及喷药次数详情参见表3，其中新梢第一次喷药与第二次喷药间隔10天，果实防控两次喷药时间间隔为15天。20%噻菌铜悬浮剂为浙江龙湾化工有限公司生产，33.5%喹啉铜悬浮剂为山东省联合农药工业有限生产。</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 xml:space="preserve">1.3 药效调查及统计方法 </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 xml:space="preserve">把每个调查点划分成5个面积相等的防治小区，每个小区随机选取5株树，每树按照东、南、西、北、中五点取样，每点随机调查2枝新梢的叶片数和整梢的果实数量，记载各级病叶、病果数。同时每个调查点预留5株与全园树势基本一致的果树作为空白对照组。空白对照组不进行溃疡病药物防控，其他病害防控与施肥同全园一致。在各级新梢完全老熟后和果实转色后进行统计调查。    </w:t>
      </w:r>
    </w:p>
    <w:p>
      <w:pPr>
        <w:spacing w:line="360" w:lineRule="auto"/>
        <w:ind w:firstLine="480" w:firstLineChars="200"/>
        <w:rPr>
          <w:rFonts w:hint="default" w:ascii="仿宋_GB2312" w:hAnsi="宋体" w:eastAsia="仿宋_GB2312" w:cs="Calibri"/>
          <w:color w:val="auto"/>
          <w:sz w:val="24"/>
          <w:szCs w:val="24"/>
          <w:lang w:val="en-US" w:eastAsia="zh-CN"/>
        </w:rPr>
      </w:pPr>
      <w:r>
        <w:rPr>
          <w:rFonts w:hint="eastAsia" w:ascii="仿宋_GB2312" w:hAnsi="宋体" w:eastAsia="仿宋_GB2312" w:cs="Calibri"/>
          <w:color w:val="auto"/>
          <w:sz w:val="24"/>
          <w:szCs w:val="24"/>
          <w:lang w:val="en-US" w:eastAsia="zh-CN"/>
        </w:rPr>
        <w:t>计算方法：病叶（果）分级标准：0级，无病斑；1级，每叶（果）1-5个病斑；3级，每叶（果）6-10个病斑；5级，每叶（果）11-15个病斑；7级，每叶（果）16-20个病斑；9级，每叶（果）21个病斑以上。病情指数＝[ ∑（各级病叶数×相对级数值）/（调查总叶数×9）]×100；防治效果（%）＝[(空白区对照病情指数－处理区病情指数)/空白区对照病情指数]×100。数据分析：通过Excel和SPSS19.0软件进行数据计算和差异显著性分析。</w:t>
      </w:r>
    </w:p>
    <w:p>
      <w:pPr>
        <w:autoSpaceDE w:val="0"/>
        <w:autoSpaceDN w:val="0"/>
        <w:adjustRightInd w:val="0"/>
        <w:ind w:firstLine="525" w:firstLineChars="250"/>
        <w:jc w:val="center"/>
        <w:rPr>
          <w:rFonts w:hint="eastAsia" w:ascii="仿宋" w:hAnsi="仿宋" w:eastAsia="仿宋" w:cs="仿宋"/>
          <w:sz w:val="21"/>
          <w:szCs w:val="21"/>
        </w:rPr>
      </w:pPr>
      <w:r>
        <w:rPr>
          <w:rFonts w:hint="eastAsia" w:ascii="仿宋" w:hAnsi="仿宋" w:eastAsia="仿宋" w:cs="仿宋"/>
          <w:sz w:val="21"/>
          <w:szCs w:val="21"/>
        </w:rPr>
        <w:t>表3  沃柑溃疡病防控试验方法</w:t>
      </w:r>
    </w:p>
    <w:tbl>
      <w:tblPr>
        <w:tblStyle w:val="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1"/>
        <w:gridCol w:w="1520"/>
        <w:gridCol w:w="1903"/>
        <w:gridCol w:w="1995"/>
        <w:gridCol w:w="144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tcBorders>
              <w:top w:val="single" w:color="auto" w:sz="12" w:space="0"/>
              <w:bottom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防治对象</w:t>
            </w:r>
          </w:p>
        </w:tc>
        <w:tc>
          <w:tcPr>
            <w:tcW w:w="1520" w:type="dxa"/>
            <w:tcBorders>
              <w:top w:val="single" w:color="auto" w:sz="12" w:space="0"/>
              <w:bottom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处理</w:t>
            </w:r>
          </w:p>
        </w:tc>
        <w:tc>
          <w:tcPr>
            <w:tcW w:w="1903" w:type="dxa"/>
            <w:tcBorders>
              <w:top w:val="single" w:color="auto" w:sz="12" w:space="0"/>
              <w:bottom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第一次喷药时间</w:t>
            </w:r>
          </w:p>
        </w:tc>
        <w:tc>
          <w:tcPr>
            <w:tcW w:w="1995" w:type="dxa"/>
            <w:tcBorders>
              <w:top w:val="single" w:color="auto" w:sz="12" w:space="0"/>
              <w:bottom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防治药剂</w:t>
            </w:r>
          </w:p>
        </w:tc>
        <w:tc>
          <w:tcPr>
            <w:tcW w:w="1443" w:type="dxa"/>
            <w:tcBorders>
              <w:top w:val="single" w:color="auto" w:sz="12" w:space="0"/>
              <w:bottom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喷药次数（次）</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vMerge w:val="restart"/>
            <w:tcBorders>
              <w:top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春梢</w:t>
            </w:r>
          </w:p>
        </w:tc>
        <w:tc>
          <w:tcPr>
            <w:tcW w:w="1520" w:type="dxa"/>
            <w:tcBorders>
              <w:top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A1</w:t>
            </w:r>
          </w:p>
        </w:tc>
        <w:tc>
          <w:tcPr>
            <w:tcW w:w="1903" w:type="dxa"/>
            <w:tcBorders>
              <w:top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4月10日</w:t>
            </w:r>
          </w:p>
        </w:tc>
        <w:tc>
          <w:tcPr>
            <w:tcW w:w="1995" w:type="dxa"/>
            <w:vMerge w:val="restart"/>
            <w:tcBorders>
              <w:top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20%噻菌铜悬浮剂500倍</w:t>
            </w:r>
          </w:p>
        </w:tc>
        <w:tc>
          <w:tcPr>
            <w:tcW w:w="1443" w:type="dxa"/>
            <w:tcBorders>
              <w:top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A2</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4月20日</w:t>
            </w:r>
          </w:p>
        </w:tc>
        <w:tc>
          <w:tcPr>
            <w:tcW w:w="1995"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A3</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4月30日</w:t>
            </w:r>
          </w:p>
        </w:tc>
        <w:tc>
          <w:tcPr>
            <w:tcW w:w="1995"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A4</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5月10日</w:t>
            </w:r>
          </w:p>
        </w:tc>
        <w:tc>
          <w:tcPr>
            <w:tcW w:w="1995"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对照A5</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w:t>
            </w:r>
          </w:p>
        </w:tc>
        <w:tc>
          <w:tcPr>
            <w:tcW w:w="1995"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w:t>
            </w: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vMerge w:val="restart"/>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果实</w:t>
            </w: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B1</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5月21日</w:t>
            </w:r>
          </w:p>
        </w:tc>
        <w:tc>
          <w:tcPr>
            <w:tcW w:w="1995" w:type="dxa"/>
            <w:vMerge w:val="restart"/>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33.5%喹啉铜悬浮剂1500倍</w:t>
            </w: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B2</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6月1日</w:t>
            </w:r>
          </w:p>
        </w:tc>
        <w:tc>
          <w:tcPr>
            <w:tcW w:w="1995"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B3</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6月10日</w:t>
            </w:r>
          </w:p>
        </w:tc>
        <w:tc>
          <w:tcPr>
            <w:tcW w:w="1995"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B4</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6月20日</w:t>
            </w:r>
          </w:p>
        </w:tc>
        <w:tc>
          <w:tcPr>
            <w:tcW w:w="1995"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对照B5</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w:t>
            </w:r>
          </w:p>
        </w:tc>
        <w:tc>
          <w:tcPr>
            <w:tcW w:w="1995"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w:t>
            </w: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1661" w:type="dxa"/>
            <w:vMerge w:val="restart"/>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晚夏梢</w:t>
            </w: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C1</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6月10日</w:t>
            </w:r>
          </w:p>
        </w:tc>
        <w:tc>
          <w:tcPr>
            <w:tcW w:w="1995" w:type="dxa"/>
            <w:vMerge w:val="restart"/>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20%噻菌铜悬浮剂500倍</w:t>
            </w: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C2</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6月20日</w:t>
            </w:r>
          </w:p>
        </w:tc>
        <w:tc>
          <w:tcPr>
            <w:tcW w:w="1995"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C3</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6月30日</w:t>
            </w:r>
          </w:p>
        </w:tc>
        <w:tc>
          <w:tcPr>
            <w:tcW w:w="1995"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C4</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7月10日</w:t>
            </w:r>
          </w:p>
        </w:tc>
        <w:tc>
          <w:tcPr>
            <w:tcW w:w="1995"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对照C5</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w:t>
            </w:r>
          </w:p>
        </w:tc>
        <w:tc>
          <w:tcPr>
            <w:tcW w:w="1995"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w:t>
            </w: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661" w:type="dxa"/>
            <w:vMerge w:val="restart"/>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秋梢</w:t>
            </w: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D1</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8月30日</w:t>
            </w:r>
          </w:p>
        </w:tc>
        <w:tc>
          <w:tcPr>
            <w:tcW w:w="1995" w:type="dxa"/>
            <w:vMerge w:val="restart"/>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33.5%喹啉铜悬浮剂1500倍</w:t>
            </w: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D2</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9月10日</w:t>
            </w:r>
          </w:p>
        </w:tc>
        <w:tc>
          <w:tcPr>
            <w:tcW w:w="1995"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D3</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9月20日</w:t>
            </w:r>
          </w:p>
        </w:tc>
        <w:tc>
          <w:tcPr>
            <w:tcW w:w="1995"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D4</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9月30日</w:t>
            </w:r>
          </w:p>
        </w:tc>
        <w:tc>
          <w:tcPr>
            <w:tcW w:w="1995"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661"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p>
        </w:tc>
        <w:tc>
          <w:tcPr>
            <w:tcW w:w="1520"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对照D5</w:t>
            </w:r>
          </w:p>
        </w:tc>
        <w:tc>
          <w:tcPr>
            <w:tcW w:w="190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w:t>
            </w:r>
          </w:p>
        </w:tc>
        <w:tc>
          <w:tcPr>
            <w:tcW w:w="1995"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w:t>
            </w:r>
          </w:p>
        </w:tc>
        <w:tc>
          <w:tcPr>
            <w:tcW w:w="144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eastAsia" w:ascii="仿宋" w:hAnsi="仿宋" w:eastAsia="仿宋" w:cs="仿宋"/>
                <w:sz w:val="21"/>
                <w:szCs w:val="21"/>
              </w:rPr>
            </w:pPr>
            <w:r>
              <w:rPr>
                <w:rFonts w:hint="eastAsia" w:ascii="仿宋" w:hAnsi="仿宋" w:eastAsia="仿宋" w:cs="仿宋"/>
                <w:sz w:val="21"/>
                <w:szCs w:val="21"/>
              </w:rPr>
              <w:t>/</w:t>
            </w:r>
          </w:p>
        </w:tc>
      </w:tr>
    </w:tbl>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2结果与分析</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 xml:space="preserve">2.1 药剂选择 </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通过表4发现，春梢、果实、晚夏梢和秋梢的空白对照组平均病情指数在17左右，而进行药物防控的处理组平均病情指数在3左右，各处理组与对照组病情指数达到显著或极显著水平，说明通过使用噻菌铜和喹啉铜两种铜制剂药物能起到较好的防治效果，建议生产上可以使用如噻菌铜、喹啉铜等铜制剂药物进行沃柑溃疡病的防控。</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 xml:space="preserve">2.2 喷药时间 </w:t>
      </w:r>
      <w:r>
        <w:rPr>
          <w:rFonts w:hint="eastAsia" w:ascii="仿宋_GB2312" w:hAnsi="宋体" w:eastAsia="仿宋_GB2312" w:cs="Calibri"/>
          <w:color w:val="auto"/>
          <w:sz w:val="28"/>
          <w:szCs w:val="28"/>
          <w:lang w:val="en-US" w:eastAsia="zh-CN"/>
        </w:rPr>
        <w:tab/>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由于溃疡病菌只侵染一定发育阶段的幼嫩组织，因此选择在合适的新梢、果实生长期进行喷药不仅能提高防控效果还能降低不必要的喷药次数，以达到省工节能的目的。通过表4试验结果显示，处理组A2即在4月20日进行第一次喷药，10天后再喷一次，此时也为春梢新梢叶片刚开始转绿老熟期，其防控效果最好，达到97.26%，其次为A1组在4月10日喷第一次药，10天后再喷一次，防控效果为89.26%，分析其防控效果低于A2组原因，可能与由于提早喷药在只喷2次药的情况下，后期枝梢还未完全老熟，溃疡病菌仍旧存在感染的可能。A2组与A3组4月30日（防效83.53%）和A4组5月10日（防效44.13%）防控效果达到显著或极显著水平差异，防控效果差。据近5年观察记录，在桂北地区，沃柑春梢萌动期在2月底3月初，因此，建议春梢第一次喷药时间选择在4月15日～25日较理想，时间过早会增加喷药次数和生产成本，时间过晚防控效果差。在晚夏梢和秋梢药物防控试验结果显示，晚夏梢C2处理组、秋梢D2处理组其喷药时间为新梢叶片刚转绿老熟期，其防效分别为92.91%和95.52%，取得较好防控效果，为最适防控时间点。</w:t>
      </w:r>
    </w:p>
    <w:p>
      <w:pPr>
        <w:autoSpaceDE w:val="0"/>
        <w:autoSpaceDN w:val="0"/>
        <w:adjustRightInd w:val="0"/>
        <w:ind w:firstLine="2625" w:firstLineChars="1250"/>
        <w:jc w:val="left"/>
        <w:rPr>
          <w:rFonts w:ascii="宋体" w:hAnsi="宋体"/>
          <w:szCs w:val="21"/>
        </w:rPr>
      </w:pPr>
      <w:r>
        <w:rPr>
          <w:rFonts w:hint="eastAsia" w:ascii="宋体" w:hAnsi="宋体"/>
          <w:szCs w:val="21"/>
        </w:rPr>
        <w:t>表4  沃柑溃疡病药物防控效果</w:t>
      </w:r>
    </w:p>
    <w:tbl>
      <w:tblPr>
        <w:tblStyle w:val="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2"/>
        <w:gridCol w:w="2393"/>
        <w:gridCol w:w="1947"/>
        <w:gridCol w:w="205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142" w:type="dxa"/>
            <w:tcBorders>
              <w:top w:val="single" w:color="auto" w:sz="12" w:space="0"/>
              <w:bottom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防治对象</w:t>
            </w:r>
          </w:p>
        </w:tc>
        <w:tc>
          <w:tcPr>
            <w:tcW w:w="2393" w:type="dxa"/>
            <w:tcBorders>
              <w:top w:val="single" w:color="auto" w:sz="12" w:space="0"/>
              <w:bottom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处理</w:t>
            </w:r>
          </w:p>
        </w:tc>
        <w:tc>
          <w:tcPr>
            <w:tcW w:w="1947" w:type="dxa"/>
            <w:tcBorders>
              <w:top w:val="single" w:color="auto" w:sz="12" w:space="0"/>
              <w:bottom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病情指数</w:t>
            </w:r>
          </w:p>
        </w:tc>
        <w:tc>
          <w:tcPr>
            <w:tcW w:w="2057" w:type="dxa"/>
            <w:tcBorders>
              <w:top w:val="single" w:color="auto" w:sz="12" w:space="0"/>
              <w:bottom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防治效果/%</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2142" w:type="dxa"/>
            <w:vMerge w:val="restart"/>
            <w:tcBorders>
              <w:top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春梢</w:t>
            </w:r>
          </w:p>
        </w:tc>
        <w:tc>
          <w:tcPr>
            <w:tcW w:w="2393" w:type="dxa"/>
            <w:tcBorders>
              <w:top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A1</w:t>
            </w:r>
          </w:p>
        </w:tc>
        <w:tc>
          <w:tcPr>
            <w:tcW w:w="1947" w:type="dxa"/>
            <w:tcBorders>
              <w:top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1.49cdC</w:t>
            </w:r>
          </w:p>
        </w:tc>
        <w:tc>
          <w:tcPr>
            <w:tcW w:w="2057" w:type="dxa"/>
            <w:tcBorders>
              <w:top w:val="single" w:color="auto" w:sz="8"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89.26%bAB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A2</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0.38dC</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97.26%aA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A3</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2.28cC</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83.53%bB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A4</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7.74bB</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44.13%cC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A5</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13.84aA</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restart"/>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果实</w:t>
            </w: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B1</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0.79dD</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95.89%aA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B2</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0.64dD</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96.66%aA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B3</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3.88cC</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80.34%bB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B4</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11.51bB</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40.26%cC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B5</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19.26aA</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restart"/>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晚夏梢</w:t>
            </w: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C1</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2.03cdC</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89.93%aAB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C2</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1.43dC</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92.91%aA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C3</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3.17cC</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84.28%bB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C4</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6.29bB</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68.80%cC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C5</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20.16aA</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restart"/>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秋梢</w:t>
            </w: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D1</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2.33cCD</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85.90%bAB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D2</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0.74dD</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95.52%aA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D3</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3.50Cc</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78.83%cB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142" w:type="dxa"/>
            <w:vMerge w:val="continue"/>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D4</w:t>
            </w:r>
          </w:p>
        </w:tc>
        <w:tc>
          <w:tcPr>
            <w:tcW w:w="194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5.93bB</w:t>
            </w:r>
          </w:p>
        </w:tc>
        <w:tc>
          <w:tcPr>
            <w:tcW w:w="2057" w:type="dxa"/>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64.13%dC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142" w:type="dxa"/>
            <w:vMerge w:val="continue"/>
            <w:tcBorders>
              <w:bottom w:val="single" w:color="auto" w:sz="12"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p>
        </w:tc>
        <w:tc>
          <w:tcPr>
            <w:tcW w:w="2393" w:type="dxa"/>
            <w:tcBorders>
              <w:bottom w:val="single" w:color="auto" w:sz="12"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D5</w:t>
            </w:r>
          </w:p>
        </w:tc>
        <w:tc>
          <w:tcPr>
            <w:tcW w:w="1947" w:type="dxa"/>
            <w:tcBorders>
              <w:bottom w:val="single" w:color="auto" w:sz="12"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16.53aA</w:t>
            </w:r>
          </w:p>
        </w:tc>
        <w:tc>
          <w:tcPr>
            <w:tcW w:w="2057" w:type="dxa"/>
            <w:tcBorders>
              <w:bottom w:val="single" w:color="auto" w:sz="12" w:space="0"/>
            </w:tcBorders>
            <w:noWrap/>
            <w:vAlign w:val="center"/>
          </w:tcPr>
          <w:p>
            <w:pPr>
              <w:keepNext w:val="0"/>
              <w:keepLines w:val="0"/>
              <w:suppressLineNumbers w:val="0"/>
              <w:autoSpaceDE w:val="0"/>
              <w:autoSpaceDN w:val="0"/>
              <w:adjustRightInd w:val="0"/>
              <w:spacing w:before="0" w:beforeAutospacing="0" w:after="0" w:afterAutospacing="0"/>
              <w:ind w:left="0" w:right="0" w:firstLine="525" w:firstLineChars="250"/>
              <w:jc w:val="left"/>
              <w:rPr>
                <w:rFonts w:hint="default" w:ascii="宋体" w:hAnsi="宋体"/>
                <w:szCs w:val="21"/>
              </w:rPr>
            </w:pPr>
            <w:r>
              <w:rPr>
                <w:rFonts w:hint="eastAsia" w:ascii="宋体" w:hAnsi="宋体"/>
                <w:szCs w:val="21"/>
              </w:rPr>
              <w:t>/</w:t>
            </w:r>
          </w:p>
        </w:tc>
      </w:tr>
    </w:tbl>
    <w:p>
      <w:pPr>
        <w:autoSpaceDE w:val="0"/>
        <w:autoSpaceDN w:val="0"/>
        <w:adjustRightInd w:val="0"/>
        <w:ind w:firstLine="525" w:firstLineChars="250"/>
        <w:jc w:val="left"/>
        <w:rPr>
          <w:rFonts w:ascii="宋体" w:hAnsi="宋体"/>
          <w:szCs w:val="21"/>
        </w:rPr>
      </w:pPr>
      <w:r>
        <w:rPr>
          <w:rFonts w:hint="eastAsia" w:ascii="宋体" w:hAnsi="宋体"/>
          <w:szCs w:val="21"/>
        </w:rPr>
        <w:t>注：同列不同小写字母间表示差异显著（p≤0.05），不同大写字母间表示差异极显著（p≤0.01）</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果实药物防控时间试验结果显示（表4），选择在5月21日和6月1日进行第一次喷药，之后每隔15天喷一次药，其果实防效分别为95.89%和96.66%，无显著差别，效果均较好。而在6月10日和6月20日进行第一喷药试验组，其果实防效为80.34%和40.26%，效果较差，为显著差异，说明果实溃疡病第一次喷药时间应选择在5月底6月初，即果实横径在0.9～1.5cm时进行效果较好，相比果实处理B1组，处理B2组能减少喷药次数，节省生产投入、更环保。</w:t>
      </w:r>
    </w:p>
    <w:p>
      <w:pPr>
        <w:spacing w:line="360" w:lineRule="auto"/>
        <w:ind w:firstLine="562" w:firstLineChars="200"/>
        <w:rPr>
          <w:rFonts w:hint="default" w:ascii="仿宋_GB2312" w:hAnsi="宋体" w:eastAsia="仿宋_GB2312" w:cs="Calibri"/>
          <w:b/>
          <w:bCs/>
          <w:color w:val="auto"/>
          <w:sz w:val="28"/>
          <w:szCs w:val="28"/>
          <w:lang w:val="en-US" w:eastAsia="zh-CN"/>
        </w:rPr>
      </w:pPr>
      <w:r>
        <w:rPr>
          <w:rFonts w:hint="eastAsia" w:ascii="仿宋_GB2312" w:hAnsi="宋体" w:eastAsia="仿宋_GB2312" w:cs="Calibri"/>
          <w:b/>
          <w:bCs/>
          <w:color w:val="auto"/>
          <w:sz w:val="28"/>
          <w:szCs w:val="28"/>
          <w:lang w:val="en-US" w:eastAsia="zh-CN"/>
        </w:rPr>
        <w:t>4、增施钾肥和有机肥对沃柑溃疡病的防控初探</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1 材料与方法</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1.1 试验地概况</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2019—2020年在桂林市雁山区大埠乡思上桥村沃柑园进行试验。试验地为水稻土，土壤肥力中等；栽培品种为枳砧沃柑，2016年春季定植，株行距2m×3m；幼树期偏施速效氮肥，未施过有机肥，树势较旺；历年溃疡病发生严重且分布均匀，病株率达到100%。</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1.2  供试肥料</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供试钾肥为硫酸钾（K</w:t>
      </w:r>
      <w:r>
        <w:rPr>
          <w:rFonts w:hint="eastAsia" w:ascii="仿宋_GB2312" w:hAnsi="宋体" w:eastAsia="仿宋_GB2312" w:cs="Calibri"/>
          <w:color w:val="auto"/>
          <w:sz w:val="28"/>
          <w:szCs w:val="28"/>
          <w:vertAlign w:val="subscript"/>
          <w:lang w:val="en-US" w:eastAsia="zh-CN"/>
        </w:rPr>
        <w:t>2</w:t>
      </w:r>
      <w:r>
        <w:rPr>
          <w:rFonts w:hint="eastAsia" w:ascii="仿宋_GB2312" w:hAnsi="宋体" w:eastAsia="仿宋_GB2312" w:cs="Calibri"/>
          <w:color w:val="auto"/>
          <w:sz w:val="28"/>
          <w:szCs w:val="28"/>
          <w:lang w:val="en-US" w:eastAsia="zh-CN"/>
        </w:rPr>
        <w:t>O≥52%，国投新疆罗布泊钾盐有限责任公司生产）和磷酸二氢钾（KH</w:t>
      </w:r>
      <w:r>
        <w:rPr>
          <w:rFonts w:hint="eastAsia" w:ascii="仿宋_GB2312" w:hAnsi="宋体" w:eastAsia="仿宋_GB2312" w:cs="Calibri"/>
          <w:color w:val="auto"/>
          <w:sz w:val="28"/>
          <w:szCs w:val="28"/>
          <w:vertAlign w:val="subscript"/>
          <w:lang w:val="en-US" w:eastAsia="zh-CN"/>
        </w:rPr>
        <w:t>2</w:t>
      </w:r>
      <w:r>
        <w:rPr>
          <w:rFonts w:hint="eastAsia" w:ascii="仿宋_GB2312" w:hAnsi="宋体" w:eastAsia="仿宋_GB2312" w:cs="Calibri"/>
          <w:color w:val="auto"/>
          <w:sz w:val="28"/>
          <w:szCs w:val="28"/>
          <w:lang w:val="en-US" w:eastAsia="zh-CN"/>
        </w:rPr>
        <w:t>PO</w:t>
      </w:r>
      <w:bookmarkStart w:id="1" w:name="_GoBack"/>
      <w:r>
        <w:rPr>
          <w:rFonts w:hint="eastAsia" w:ascii="仿宋_GB2312" w:hAnsi="宋体" w:eastAsia="仿宋_GB2312" w:cs="Calibri"/>
          <w:color w:val="auto"/>
          <w:sz w:val="28"/>
          <w:szCs w:val="28"/>
          <w:vertAlign w:val="subscript"/>
          <w:lang w:val="en-US" w:eastAsia="zh-CN"/>
        </w:rPr>
        <w:t>4</w:t>
      </w:r>
      <w:bookmarkEnd w:id="1"/>
      <w:r>
        <w:rPr>
          <w:rFonts w:hint="eastAsia" w:ascii="仿宋_GB2312" w:hAnsi="宋体" w:eastAsia="仿宋_GB2312" w:cs="Calibri"/>
          <w:color w:val="auto"/>
          <w:sz w:val="28"/>
          <w:szCs w:val="28"/>
          <w:lang w:val="en-US" w:eastAsia="zh-CN"/>
        </w:rPr>
        <w:t>≥99%，中农立华农用化学品有限公司生产），有机肥为腐熟鸡粪(含N1.88%，P2O53.36%，K2O1.82%，有机质32.10%)。</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1.3 试验设计</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试验设4个处理：处理1在新梢（包括春梢、夏梢和秋梢，下同）萌发后10d、25d左右各淋施硫酸钾100g，全年用硫酸钾600g/株；处理2在1月下旬开环状沟施腐熟鸡粪10kg/株；处理3在新梢萌发后10d、25d左右叶面喷施磷酸二氢钾300倍液（单株喷雾量约2kg，与喷布铜制剂时间错开2d以上）；处理4为空白对照；分别记作A1、A2、A3、CK处理，连续实施两年。选择树势、病情基本一致的沃柑树，2株为一小区，随机区组排列，每处理3次重复，各小区间设1株以上间隔树。试验期间各小区田间管理一致：参考当地施4肥习惯，年施45%硫酸钾型复合肥（15-15-15）1kg/株,按3：3：4的比例分别于春梢、夏梢、秋梢萌发前7-10d施入；病害防控统一采用当地常规方法，以喷布铜制剂为主；早夏梢全部抹除，6月下旬放晚夏梢，8月上中旬放秋梢。</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1.4 调查方法与数据分析</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在每年的春梢、夏梢和秋梢充分老熟、病情稳定后展开调查，共调查6次。每株按东、西、南、北、中5点取样，每点随机调查2条新梢的全部叶片，记录各级病叶数，计算病情指数和控制效果。试验数据采用Excel 2007进行统计和作图，采用SPSS 21.0进行差异显著性分析。</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病叶分级标准：0级：无病斑；1级：每叶1～5个病斑；3级：每叶6～10个病斑；5级：每叶11～15个病斑；7级：每叶16～20个病斑；9级：每叶21个病斑以上。病情指数和控制效果计算方法：病情指数=[∑（各级病叶数×相对病级数）/调查总叶数×最高级数]×100；控制效果（%）=[（对照病情指数-处理病情指数）/对照病情指数]×100；平均控制效果为统计期内各调查期控制效果的算术平均值。</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2 结果与分析</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2.1控制效果对比</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由表5可看出，与对照相比，3个施肥处理6个调查期的病情指数都有不同程度下降，差异均达到显著水平。各处理间控制效果存在差异，增施硫酸钾的A1处理控制效果最好，极小值37.87%，极大值84.12%，两年平均控制效果66.61%；增施有机肥的A2处理控制效果其次，极小值14.47%，极大值52.36%，两年平均控制效果33.47%；叶面喷施磷酸二氢钾的A3处理控制效果最差，极小值21.58%，极大值29.41%，两年平均控制效果25.45%。试验结果表明，3种施肥处理对沃柑溃疡病均有一定控制效果，平均控制效果由高到低依次为A1﹥A2﹥A3。</w:t>
      </w:r>
    </w:p>
    <w:p>
      <w:pPr>
        <w:jc w:val="center"/>
        <w:rPr>
          <w:rFonts w:ascii="宋体" w:hAnsi="宋体"/>
          <w:sz w:val="18"/>
          <w:szCs w:val="18"/>
        </w:rPr>
      </w:pPr>
      <w:r>
        <w:rPr>
          <w:rFonts w:hint="eastAsia" w:ascii="宋体" w:hAnsi="宋体"/>
          <w:sz w:val="18"/>
          <w:szCs w:val="18"/>
        </w:rPr>
        <w:t>表5  不同施肥处理对沃柑溃疡病的病情指数和控制效果</w:t>
      </w:r>
    </w:p>
    <w:tbl>
      <w:tblPr>
        <w:tblStyle w:val="9"/>
        <w:tblpPr w:leftFromText="180" w:rightFromText="180" w:vertAnchor="text" w:horzAnchor="page" w:tblpX="1691" w:tblpY="308"/>
        <w:tblOverlap w:val="never"/>
        <w:tblW w:w="9090" w:type="dxa"/>
        <w:tblInd w:w="0" w:type="dxa"/>
        <w:tblLayout w:type="fixed"/>
        <w:tblCellMar>
          <w:top w:w="0" w:type="dxa"/>
          <w:left w:w="108" w:type="dxa"/>
          <w:bottom w:w="0" w:type="dxa"/>
          <w:right w:w="108" w:type="dxa"/>
        </w:tblCellMar>
      </w:tblPr>
      <w:tblGrid>
        <w:gridCol w:w="687"/>
        <w:gridCol w:w="527"/>
        <w:gridCol w:w="1260"/>
        <w:gridCol w:w="1356"/>
        <w:gridCol w:w="240"/>
        <w:gridCol w:w="1150"/>
        <w:gridCol w:w="1170"/>
        <w:gridCol w:w="360"/>
        <w:gridCol w:w="1170"/>
        <w:gridCol w:w="1170"/>
      </w:tblGrid>
      <w:tr>
        <w:tblPrEx>
          <w:tblCellMar>
            <w:top w:w="0" w:type="dxa"/>
            <w:left w:w="108" w:type="dxa"/>
            <w:bottom w:w="0" w:type="dxa"/>
            <w:right w:w="108" w:type="dxa"/>
          </w:tblCellMar>
        </w:tblPrEx>
        <w:trPr>
          <w:trHeight w:val="282" w:hRule="atLeast"/>
        </w:trPr>
        <w:tc>
          <w:tcPr>
            <w:tcW w:w="687" w:type="dxa"/>
            <w:vMerge w:val="restart"/>
            <w:tcBorders>
              <w:top w:val="single" w:color="auto" w:sz="4" w:space="0"/>
              <w:left w:val="nil"/>
              <w:bottom w:val="single" w:color="000000"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年度</w:t>
            </w:r>
          </w:p>
        </w:tc>
        <w:tc>
          <w:tcPr>
            <w:tcW w:w="527" w:type="dxa"/>
            <w:vMerge w:val="restart"/>
            <w:tcBorders>
              <w:top w:val="single" w:color="auto" w:sz="4" w:space="0"/>
              <w:left w:val="nil"/>
              <w:bottom w:val="single" w:color="000000"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处理</w:t>
            </w:r>
          </w:p>
        </w:tc>
        <w:tc>
          <w:tcPr>
            <w:tcW w:w="2616" w:type="dxa"/>
            <w:gridSpan w:val="2"/>
            <w:tcBorders>
              <w:top w:val="single" w:color="auto" w:sz="4" w:space="0"/>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春梢</w:t>
            </w:r>
          </w:p>
        </w:tc>
        <w:tc>
          <w:tcPr>
            <w:tcW w:w="240" w:type="dxa"/>
            <w:tcBorders>
              <w:top w:val="single" w:color="auto" w:sz="4" w:space="0"/>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　</w:t>
            </w:r>
          </w:p>
        </w:tc>
        <w:tc>
          <w:tcPr>
            <w:tcW w:w="2320" w:type="dxa"/>
            <w:gridSpan w:val="2"/>
            <w:tcBorders>
              <w:top w:val="single" w:color="auto" w:sz="4" w:space="0"/>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夏梢</w:t>
            </w:r>
          </w:p>
        </w:tc>
        <w:tc>
          <w:tcPr>
            <w:tcW w:w="360" w:type="dxa"/>
            <w:tcBorders>
              <w:top w:val="single" w:color="auto" w:sz="4" w:space="0"/>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　</w:t>
            </w:r>
          </w:p>
        </w:tc>
        <w:tc>
          <w:tcPr>
            <w:tcW w:w="2340" w:type="dxa"/>
            <w:gridSpan w:val="2"/>
            <w:tcBorders>
              <w:top w:val="single" w:color="auto" w:sz="4" w:space="0"/>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秋梢</w:t>
            </w:r>
          </w:p>
        </w:tc>
      </w:tr>
      <w:tr>
        <w:tblPrEx>
          <w:tblCellMar>
            <w:top w:w="0" w:type="dxa"/>
            <w:left w:w="108" w:type="dxa"/>
            <w:bottom w:w="0" w:type="dxa"/>
            <w:right w:w="108" w:type="dxa"/>
          </w:tblCellMar>
        </w:tblPrEx>
        <w:trPr>
          <w:trHeight w:val="547" w:hRule="atLeast"/>
        </w:trPr>
        <w:tc>
          <w:tcPr>
            <w:tcW w:w="687" w:type="dxa"/>
            <w:vMerge w:val="continue"/>
            <w:tcBorders>
              <w:top w:val="single" w:color="auto" w:sz="4" w:space="0"/>
              <w:left w:val="nil"/>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rPr>
            </w:pPr>
          </w:p>
        </w:tc>
        <w:tc>
          <w:tcPr>
            <w:tcW w:w="527" w:type="dxa"/>
            <w:vMerge w:val="continue"/>
            <w:tcBorders>
              <w:top w:val="single" w:color="auto" w:sz="4" w:space="0"/>
              <w:left w:val="nil"/>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rPr>
            </w:pPr>
          </w:p>
        </w:tc>
        <w:tc>
          <w:tcPr>
            <w:tcW w:w="1260"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病情指数</w:t>
            </w:r>
          </w:p>
        </w:tc>
        <w:tc>
          <w:tcPr>
            <w:tcW w:w="1356"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18"/>
                <w:szCs w:val="18"/>
              </w:rPr>
            </w:pPr>
            <w:r>
              <w:rPr>
                <w:rFonts w:hint="eastAsia" w:ascii="宋体" w:hAnsi="宋体" w:cs="宋体"/>
                <w:color w:val="000000"/>
                <w:kern w:val="0"/>
                <w:sz w:val="18"/>
                <w:szCs w:val="18"/>
              </w:rPr>
              <w:t>控制效果（%）</w:t>
            </w:r>
          </w:p>
        </w:tc>
        <w:tc>
          <w:tcPr>
            <w:tcW w:w="24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　</w:t>
            </w:r>
          </w:p>
        </w:tc>
        <w:tc>
          <w:tcPr>
            <w:tcW w:w="1150"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病情指数</w:t>
            </w:r>
          </w:p>
        </w:tc>
        <w:tc>
          <w:tcPr>
            <w:tcW w:w="117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18"/>
                <w:szCs w:val="18"/>
              </w:rPr>
            </w:pPr>
            <w:r>
              <w:rPr>
                <w:rFonts w:hint="eastAsia" w:ascii="宋体" w:hAnsi="宋体" w:cs="宋体"/>
                <w:color w:val="000000"/>
                <w:kern w:val="0"/>
                <w:sz w:val="18"/>
                <w:szCs w:val="18"/>
              </w:rPr>
              <w:t>控制效果（%）</w:t>
            </w:r>
          </w:p>
        </w:tc>
        <w:tc>
          <w:tcPr>
            <w:tcW w:w="3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　</w:t>
            </w:r>
          </w:p>
        </w:tc>
        <w:tc>
          <w:tcPr>
            <w:tcW w:w="1170"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病情指数</w:t>
            </w:r>
          </w:p>
        </w:tc>
        <w:tc>
          <w:tcPr>
            <w:tcW w:w="117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18"/>
                <w:szCs w:val="18"/>
              </w:rPr>
            </w:pPr>
            <w:r>
              <w:rPr>
                <w:rFonts w:hint="eastAsia" w:ascii="宋体" w:hAnsi="宋体" w:cs="宋体"/>
                <w:color w:val="000000"/>
                <w:kern w:val="0"/>
                <w:sz w:val="18"/>
                <w:szCs w:val="18"/>
              </w:rPr>
              <w:t>控制效果（%）</w:t>
            </w:r>
          </w:p>
        </w:tc>
      </w:tr>
      <w:tr>
        <w:tblPrEx>
          <w:tblCellMar>
            <w:top w:w="0" w:type="dxa"/>
            <w:left w:w="108" w:type="dxa"/>
            <w:bottom w:w="0" w:type="dxa"/>
            <w:right w:w="108" w:type="dxa"/>
          </w:tblCellMar>
        </w:tblPrEx>
        <w:trPr>
          <w:trHeight w:val="273" w:hRule="atLeast"/>
        </w:trPr>
        <w:tc>
          <w:tcPr>
            <w:tcW w:w="687" w:type="dxa"/>
            <w:vMerge w:val="restart"/>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2019</w:t>
            </w:r>
          </w:p>
        </w:tc>
        <w:tc>
          <w:tcPr>
            <w:tcW w:w="52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A1</w:t>
            </w:r>
          </w:p>
        </w:tc>
        <w:tc>
          <w:tcPr>
            <w:tcW w:w="12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1.46±0.08c</w:t>
            </w:r>
          </w:p>
        </w:tc>
        <w:tc>
          <w:tcPr>
            <w:tcW w:w="1356"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37.87a</w:t>
            </w:r>
          </w:p>
        </w:tc>
        <w:tc>
          <w:tcPr>
            <w:tcW w:w="24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5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4.32±0.19c</w:t>
            </w: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56.63a</w:t>
            </w:r>
          </w:p>
        </w:tc>
        <w:tc>
          <w:tcPr>
            <w:tcW w:w="3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1.22±0.16c</w:t>
            </w: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67.20a</w:t>
            </w:r>
          </w:p>
        </w:tc>
      </w:tr>
      <w:tr>
        <w:tblPrEx>
          <w:tblCellMar>
            <w:top w:w="0" w:type="dxa"/>
            <w:left w:w="108" w:type="dxa"/>
            <w:bottom w:w="0" w:type="dxa"/>
            <w:right w:w="108" w:type="dxa"/>
          </w:tblCellMar>
        </w:tblPrEx>
        <w:trPr>
          <w:trHeight w:val="273" w:hRule="atLeast"/>
        </w:trPr>
        <w:tc>
          <w:tcPr>
            <w:tcW w:w="687" w:type="dxa"/>
            <w:vMerge w:val="continue"/>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rPr>
            </w:pPr>
          </w:p>
        </w:tc>
        <w:tc>
          <w:tcPr>
            <w:tcW w:w="52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A2</w:t>
            </w:r>
          </w:p>
        </w:tc>
        <w:tc>
          <w:tcPr>
            <w:tcW w:w="12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2.01±0.17b</w:t>
            </w:r>
          </w:p>
        </w:tc>
        <w:tc>
          <w:tcPr>
            <w:tcW w:w="1356"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14.47b</w:t>
            </w:r>
          </w:p>
        </w:tc>
        <w:tc>
          <w:tcPr>
            <w:tcW w:w="24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5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7.35±0.76b</w:t>
            </w: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26.20b</w:t>
            </w:r>
          </w:p>
        </w:tc>
        <w:tc>
          <w:tcPr>
            <w:tcW w:w="3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2.52±0.19b</w:t>
            </w: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32.26b</w:t>
            </w:r>
          </w:p>
        </w:tc>
      </w:tr>
      <w:tr>
        <w:tblPrEx>
          <w:tblCellMar>
            <w:top w:w="0" w:type="dxa"/>
            <w:left w:w="108" w:type="dxa"/>
            <w:bottom w:w="0" w:type="dxa"/>
            <w:right w:w="108" w:type="dxa"/>
          </w:tblCellMar>
        </w:tblPrEx>
        <w:trPr>
          <w:trHeight w:val="273" w:hRule="atLeast"/>
        </w:trPr>
        <w:tc>
          <w:tcPr>
            <w:tcW w:w="687" w:type="dxa"/>
            <w:vMerge w:val="continue"/>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rPr>
            </w:pPr>
          </w:p>
        </w:tc>
        <w:tc>
          <w:tcPr>
            <w:tcW w:w="52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A3</w:t>
            </w:r>
          </w:p>
        </w:tc>
        <w:tc>
          <w:tcPr>
            <w:tcW w:w="12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1.84±0.12b</w:t>
            </w:r>
          </w:p>
        </w:tc>
        <w:tc>
          <w:tcPr>
            <w:tcW w:w="1356"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21.70b</w:t>
            </w:r>
          </w:p>
        </w:tc>
        <w:tc>
          <w:tcPr>
            <w:tcW w:w="24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5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7.64±0.49b</w:t>
            </w: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23.29b</w:t>
            </w:r>
          </w:p>
        </w:tc>
        <w:tc>
          <w:tcPr>
            <w:tcW w:w="3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2.70±0.19b</w:t>
            </w: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27.42b</w:t>
            </w:r>
          </w:p>
        </w:tc>
      </w:tr>
      <w:tr>
        <w:tblPrEx>
          <w:tblCellMar>
            <w:top w:w="0" w:type="dxa"/>
            <w:left w:w="108" w:type="dxa"/>
            <w:bottom w:w="0" w:type="dxa"/>
            <w:right w:w="108" w:type="dxa"/>
          </w:tblCellMar>
        </w:tblPrEx>
        <w:trPr>
          <w:trHeight w:val="273" w:hRule="atLeast"/>
        </w:trPr>
        <w:tc>
          <w:tcPr>
            <w:tcW w:w="687" w:type="dxa"/>
            <w:vMerge w:val="continue"/>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rPr>
            </w:pPr>
          </w:p>
        </w:tc>
        <w:tc>
          <w:tcPr>
            <w:tcW w:w="52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CK</w:t>
            </w:r>
          </w:p>
        </w:tc>
        <w:tc>
          <w:tcPr>
            <w:tcW w:w="12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2.35±0.21a</w:t>
            </w:r>
          </w:p>
        </w:tc>
        <w:tc>
          <w:tcPr>
            <w:tcW w:w="1356"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w:t>
            </w:r>
          </w:p>
        </w:tc>
        <w:tc>
          <w:tcPr>
            <w:tcW w:w="24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5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9.96±1.22a</w:t>
            </w: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w:t>
            </w:r>
          </w:p>
        </w:tc>
        <w:tc>
          <w:tcPr>
            <w:tcW w:w="3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3.72±0.29a</w:t>
            </w: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73" w:hRule="atLeast"/>
        </w:trPr>
        <w:tc>
          <w:tcPr>
            <w:tcW w:w="68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52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2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356"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24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5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3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r>
      <w:tr>
        <w:tblPrEx>
          <w:tblCellMar>
            <w:top w:w="0" w:type="dxa"/>
            <w:left w:w="108" w:type="dxa"/>
            <w:bottom w:w="0" w:type="dxa"/>
            <w:right w:w="108" w:type="dxa"/>
          </w:tblCellMar>
        </w:tblPrEx>
        <w:trPr>
          <w:trHeight w:val="273" w:hRule="atLeast"/>
        </w:trPr>
        <w:tc>
          <w:tcPr>
            <w:tcW w:w="687" w:type="dxa"/>
            <w:vMerge w:val="restart"/>
            <w:tcBorders>
              <w:top w:val="nil"/>
              <w:left w:val="nil"/>
              <w:bottom w:val="single" w:color="000000"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2020</w:t>
            </w:r>
          </w:p>
        </w:tc>
        <w:tc>
          <w:tcPr>
            <w:tcW w:w="52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A1</w:t>
            </w:r>
          </w:p>
        </w:tc>
        <w:tc>
          <w:tcPr>
            <w:tcW w:w="12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0.96±0.09c</w:t>
            </w:r>
          </w:p>
        </w:tc>
        <w:tc>
          <w:tcPr>
            <w:tcW w:w="1356"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70.82a</w:t>
            </w:r>
          </w:p>
        </w:tc>
        <w:tc>
          <w:tcPr>
            <w:tcW w:w="24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5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1.33±0.11d</w:t>
            </w: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82.99a</w:t>
            </w:r>
          </w:p>
        </w:tc>
        <w:tc>
          <w:tcPr>
            <w:tcW w:w="3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0.64±0.04d</w:t>
            </w: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84.12a</w:t>
            </w:r>
          </w:p>
        </w:tc>
      </w:tr>
      <w:tr>
        <w:tblPrEx>
          <w:tblCellMar>
            <w:top w:w="0" w:type="dxa"/>
            <w:left w:w="108" w:type="dxa"/>
            <w:bottom w:w="0" w:type="dxa"/>
            <w:right w:w="108" w:type="dxa"/>
          </w:tblCellMar>
        </w:tblPrEx>
        <w:trPr>
          <w:trHeight w:val="273" w:hRule="atLeast"/>
        </w:trPr>
        <w:tc>
          <w:tcPr>
            <w:tcW w:w="687" w:type="dxa"/>
            <w:vMerge w:val="continue"/>
            <w:tcBorders>
              <w:top w:val="nil"/>
              <w:left w:val="nil"/>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rPr>
            </w:pPr>
          </w:p>
        </w:tc>
        <w:tc>
          <w:tcPr>
            <w:tcW w:w="52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A2</w:t>
            </w:r>
          </w:p>
        </w:tc>
        <w:tc>
          <w:tcPr>
            <w:tcW w:w="12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2.24±0.14b</w:t>
            </w:r>
          </w:p>
        </w:tc>
        <w:tc>
          <w:tcPr>
            <w:tcW w:w="1356"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31.91b</w:t>
            </w:r>
          </w:p>
        </w:tc>
        <w:tc>
          <w:tcPr>
            <w:tcW w:w="24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5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4.41±0.26c</w:t>
            </w: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43.61b</w:t>
            </w:r>
          </w:p>
        </w:tc>
        <w:tc>
          <w:tcPr>
            <w:tcW w:w="3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1.92±0.15c</w:t>
            </w: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52.36b</w:t>
            </w:r>
          </w:p>
        </w:tc>
      </w:tr>
      <w:tr>
        <w:tblPrEx>
          <w:tblCellMar>
            <w:top w:w="0" w:type="dxa"/>
            <w:left w:w="108" w:type="dxa"/>
            <w:bottom w:w="0" w:type="dxa"/>
            <w:right w:w="108" w:type="dxa"/>
          </w:tblCellMar>
        </w:tblPrEx>
        <w:trPr>
          <w:trHeight w:val="273" w:hRule="atLeast"/>
        </w:trPr>
        <w:tc>
          <w:tcPr>
            <w:tcW w:w="687" w:type="dxa"/>
            <w:vMerge w:val="continue"/>
            <w:tcBorders>
              <w:top w:val="nil"/>
              <w:left w:val="nil"/>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rPr>
            </w:pPr>
          </w:p>
        </w:tc>
        <w:tc>
          <w:tcPr>
            <w:tcW w:w="527"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A3</w:t>
            </w:r>
          </w:p>
        </w:tc>
        <w:tc>
          <w:tcPr>
            <w:tcW w:w="12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2.58±0.15b</w:t>
            </w:r>
          </w:p>
        </w:tc>
        <w:tc>
          <w:tcPr>
            <w:tcW w:w="1356"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21.58c</w:t>
            </w:r>
          </w:p>
        </w:tc>
        <w:tc>
          <w:tcPr>
            <w:tcW w:w="24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5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5.52±0.39b</w:t>
            </w: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29.41c</w:t>
            </w:r>
          </w:p>
        </w:tc>
        <w:tc>
          <w:tcPr>
            <w:tcW w:w="36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2.85±0.16b</w:t>
            </w:r>
          </w:p>
        </w:tc>
        <w:tc>
          <w:tcPr>
            <w:tcW w:w="1170" w:type="dxa"/>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29.28c</w:t>
            </w:r>
          </w:p>
        </w:tc>
      </w:tr>
      <w:tr>
        <w:tblPrEx>
          <w:tblCellMar>
            <w:top w:w="0" w:type="dxa"/>
            <w:left w:w="108" w:type="dxa"/>
            <w:bottom w:w="0" w:type="dxa"/>
            <w:right w:w="108" w:type="dxa"/>
          </w:tblCellMar>
        </w:tblPrEx>
        <w:trPr>
          <w:trHeight w:val="273" w:hRule="atLeast"/>
        </w:trPr>
        <w:tc>
          <w:tcPr>
            <w:tcW w:w="687" w:type="dxa"/>
            <w:vMerge w:val="continue"/>
            <w:tcBorders>
              <w:top w:val="nil"/>
              <w:left w:val="nil"/>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rPr>
            </w:pPr>
          </w:p>
        </w:tc>
        <w:tc>
          <w:tcPr>
            <w:tcW w:w="527"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CK</w:t>
            </w:r>
          </w:p>
        </w:tc>
        <w:tc>
          <w:tcPr>
            <w:tcW w:w="1260"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3.29±0.28a</w:t>
            </w:r>
          </w:p>
        </w:tc>
        <w:tc>
          <w:tcPr>
            <w:tcW w:w="1356"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　</w:t>
            </w:r>
          </w:p>
        </w:tc>
        <w:tc>
          <w:tcPr>
            <w:tcW w:w="240"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　</w:t>
            </w:r>
          </w:p>
        </w:tc>
        <w:tc>
          <w:tcPr>
            <w:tcW w:w="1150"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7.82±0.71a</w:t>
            </w:r>
          </w:p>
        </w:tc>
        <w:tc>
          <w:tcPr>
            <w:tcW w:w="1170"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　</w:t>
            </w:r>
          </w:p>
        </w:tc>
        <w:tc>
          <w:tcPr>
            <w:tcW w:w="360"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　</w:t>
            </w:r>
          </w:p>
        </w:tc>
        <w:tc>
          <w:tcPr>
            <w:tcW w:w="1170"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4.03±0.34a</w:t>
            </w:r>
          </w:p>
        </w:tc>
        <w:tc>
          <w:tcPr>
            <w:tcW w:w="1170"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　</w:t>
            </w:r>
          </w:p>
        </w:tc>
      </w:tr>
    </w:tbl>
    <w:p>
      <w:pPr>
        <w:rPr>
          <w:rFonts w:ascii="宋体" w:hAnsi="宋体"/>
          <w:sz w:val="18"/>
          <w:szCs w:val="18"/>
        </w:rPr>
      </w:pPr>
      <w:r>
        <w:rPr>
          <w:rFonts w:hint="eastAsia" w:ascii="宋体" w:hAnsi="宋体"/>
          <w:sz w:val="18"/>
          <w:szCs w:val="18"/>
        </w:rPr>
        <w:t>注：同列不同小写字母间表示差异显著（p≤0.05）。下同。</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2.2变化趋势分析</w:t>
      </w:r>
    </w:p>
    <w:p>
      <w:pPr>
        <w:spacing w:line="360" w:lineRule="auto"/>
        <w:ind w:firstLine="560" w:firstLineChars="200"/>
        <w:rPr>
          <w:rFonts w:ascii="宋体" w:hAnsi="宋体"/>
          <w:sz w:val="24"/>
        </w:rPr>
      </w:pPr>
      <w:r>
        <w:rPr>
          <w:rFonts w:hint="eastAsia" w:ascii="仿宋_GB2312" w:hAnsi="宋体" w:eastAsia="仿宋_GB2312" w:cs="Calibri"/>
          <w:color w:val="auto"/>
          <w:sz w:val="28"/>
          <w:szCs w:val="28"/>
          <w:lang w:val="en-US" w:eastAsia="zh-CN"/>
        </w:rPr>
        <w:t>从连续两年6个调查期的控制效果变化趋势来看（图1），A1、A2处理的控制效果虽有波动，但总体呈大幅上升趋势；A3处理的控制效果呈上下波动状，稳定在20%至30%之间，趋势不明显。再由图2可看出，A1和A2处理2020年的平均控制效果显著高于2019年，分别提高了25.41和18.32个百分点；A3处理2020年的平均控制效果比2019年提高了2.62个百分点，但两者无差异。表明，增施硫酸钾和有机肥处理的控制效果随时间推移和施肥量累加而显著上升，叶面喷施磷酸二氢钾处理的控制效果则比较稳定。</w:t>
      </w:r>
    </w:p>
    <w:p>
      <w:pPr>
        <w:jc w:val="center"/>
        <w:rPr>
          <w:rFonts w:ascii="宋体" w:hAnsi="宋体"/>
          <w:sz w:val="24"/>
        </w:rPr>
      </w:pPr>
    </w:p>
    <w:p>
      <w:pPr>
        <w:jc w:val="center"/>
        <w:rPr>
          <w:rFonts w:ascii="宋体" w:hAnsi="宋体"/>
          <w:sz w:val="24"/>
        </w:rPr>
      </w:pPr>
      <w:r>
        <w:rPr>
          <w:rFonts w:hint="eastAsia" w:ascii="宋体" w:hAnsi="宋体"/>
          <w:sz w:val="24"/>
        </w:rPr>
        <w:t>图1 连续施肥处理下溃疡病控制效果变化趋势</w:t>
      </w:r>
    </w:p>
    <w:p>
      <w:pPr>
        <w:ind w:firstLine="480"/>
        <w:rPr>
          <w:rFonts w:ascii="宋体" w:hAnsi="宋体"/>
          <w:sz w:val="24"/>
        </w:rPr>
      </w:pPr>
      <w:r>
        <w:rPr>
          <w:rFonts w:ascii="宋体" w:hAnsi="宋体"/>
          <w:sz w:val="24"/>
        </w:rPr>
        <w:drawing>
          <wp:inline distT="0" distB="0" distL="114300" distR="114300">
            <wp:extent cx="5200650" cy="2857500"/>
            <wp:effectExtent l="0" t="0" r="0" b="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3"/>
        <w:jc w:val="center"/>
        <w:rPr>
          <w:rFonts w:ascii="宋体" w:hAnsi="宋体" w:eastAsia="宋体"/>
          <w:sz w:val="24"/>
          <w:szCs w:val="24"/>
        </w:rPr>
      </w:pPr>
      <w:r>
        <w:rPr>
          <w:rFonts w:hint="eastAsia" w:ascii="宋体" w:hAnsi="宋体" w:eastAsia="宋体"/>
          <w:sz w:val="24"/>
          <w:szCs w:val="24"/>
        </w:rPr>
        <w:t>图2  2019年与2020年平均控制效果比较</w:t>
      </w:r>
    </w:p>
    <w:p>
      <w:pPr>
        <w:rPr>
          <w:rFonts w:ascii="宋体" w:hAnsi="宋体"/>
          <w:sz w:val="24"/>
        </w:rPr>
      </w:pPr>
    </w:p>
    <w:p>
      <w:pPr>
        <w:keepNext/>
        <w:ind w:firstLine="424" w:firstLineChars="202"/>
        <w:rPr>
          <w:rFonts w:ascii="宋体" w:hAnsi="宋体"/>
        </w:rPr>
      </w:pPr>
      <w:r>
        <w:rPr>
          <w:rFonts w:ascii="宋体" w:hAnsi="宋体"/>
        </w:rPr>
        <w:drawing>
          <wp:inline distT="0" distB="0" distL="114300" distR="114300">
            <wp:extent cx="5143500" cy="2495550"/>
            <wp:effectExtent l="0" t="0" r="0" b="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3 结论与讨论</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试验结果表明，对树势较旺的沃柑，增施钾肥和有机肥处理对溃疡病有显著的控制效果,两年平均控制效果由高到低依次为A1﹥A2﹥A3，且连续增施硫酸钾和有机肥可以逐步提高控制效果。综合来看，在本试验施肥水平下，新梢期淋施硫酸钾效果最好，控制效果明显、提升快；冬施有机肥前期效果较差，后期效果较好，总体效果较好；新梢期喷施磷酸二氢钾效果最差，但较稳定。三个施肥处理间存在显著差异，分析其原因，主要与不同肥料的特性和施用量有关，硫酸钾为单质钾肥，肥效快、用量大，可以迅速提高树体钾营养水平，不断增强树势，提高抗病力；有机肥养分均衡且用量大，但释放慢、肥效长，因而发挥作用较慢；磷酸二氢钾作叶面肥吸收快，但用量极低，可能主要对当期新梢产生作用，不足以改变树势。</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本试验发现，增施鸡粪对沃柑溃疡病有较显著的控制效果。幕康国等认为，保持作物的最佳营养平衡状态才能获得最大的抗病力，从这个角度来说，有机肥营养全面而均衡，不仅富含氮磷钾，还有大量有机质，以及植物生长所必需的各种中微量营养元素，其作用应是全方位多层次的，可以促进树体营养平衡，进而增强树势，提高抗病力。不过，不同种类、来源以及不同堆肥方式生产的有机肥，其养分含量差异较大，对抗病力的作用可能是有差异的。</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增强植物自身的抗病力是控制病害发生的重要措施之一，也是农药减量控害、产业提质增效的有效途径。沃柑溃疡病难防难治，反复发病，为害严重，除了品种本身易感病所致，很大一部分原因在于过分依赖化学防治手段，忽略了营养平衡、树体健康才是防病抗病的根本。生产上建议多施有机肥，合理增施钾肥，调优树势，提高抗病力，在此基础上逐步减少非必要的化学防治，将溃疡病的发生率控制在不影响树势和产量的合理范围内即可。本试验是对增施钾肥和有机肥控制沃柑溃疡病发生的效果的初步研究，得出了明确的结论，对生产有一定指导意义，但钾肥和有机肥的适宜施用量，以及结合沃柑需肥规律的科学施肥方案，还有待进一步研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kern w:val="2"/>
          <w:sz w:val="24"/>
          <w:szCs w:val="24"/>
          <w:lang w:val="en-US" w:eastAsia="zh-CN" w:bidi="ar"/>
        </w:rPr>
      </w:pPr>
      <w:r>
        <w:rPr>
          <w:rFonts w:hint="default" w:ascii="Times New Roman" w:hAnsi="Times New Roman" w:eastAsia="黑体" w:cs="Times New Roman"/>
          <w:color w:val="auto"/>
          <w:sz w:val="32"/>
          <w:szCs w:val="32"/>
        </w:rPr>
        <w:t>六、国内外同类标准制修订情况及与法律法规、强制性标准关系</w:t>
      </w:r>
    </w:p>
    <w:p>
      <w:pPr>
        <w:spacing w:line="360" w:lineRule="auto"/>
        <w:ind w:firstLine="560" w:firstLineChars="200"/>
        <w:rPr>
          <w:rFonts w:hint="eastAsia" w:ascii="仿宋_GB2312" w:hAnsi="宋体" w:eastAsia="仿宋_GB2312" w:cs="Calibri"/>
          <w:color w:val="auto"/>
          <w:sz w:val="28"/>
          <w:szCs w:val="28"/>
          <w:lang w:val="en-US" w:eastAsia="zh-CN"/>
        </w:rPr>
      </w:pPr>
      <w:r>
        <w:rPr>
          <w:rFonts w:hint="eastAsia" w:ascii="仿宋_GB2312" w:hAnsi="宋体" w:eastAsia="仿宋_GB2312" w:cs="Calibri"/>
          <w:color w:val="auto"/>
          <w:sz w:val="28"/>
          <w:szCs w:val="28"/>
          <w:lang w:val="en-US" w:eastAsia="zh-CN"/>
        </w:rPr>
        <w:t>本标准遵循《中华人民共和国标准化法》等国家相关的法规和强制性标准，与现行的法律、法规及强制性标准无冲突。本标准内容与各项指标不低于强制性国家标准、推荐性国家标准和行业标准。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、自我承诺</w:t>
      </w:r>
    </w:p>
    <w:p>
      <w:pPr>
        <w:spacing w:line="360" w:lineRule="auto"/>
        <w:ind w:firstLine="560" w:firstLineChars="200"/>
        <w:rPr>
          <w:rFonts w:hint="default" w:ascii="仿宋_GB2312" w:hAnsi="宋体" w:eastAsia="仿宋_GB2312" w:cs="Calibri"/>
          <w:color w:val="auto"/>
          <w:sz w:val="28"/>
          <w:szCs w:val="28"/>
          <w:lang w:val="en-US" w:eastAsia="zh-CN"/>
        </w:rPr>
      </w:pPr>
      <w:r>
        <w:rPr>
          <w:rFonts w:hint="default" w:ascii="仿宋_GB2312" w:hAnsi="宋体" w:eastAsia="仿宋_GB2312" w:cs="Calibri"/>
          <w:color w:val="auto"/>
          <w:sz w:val="28"/>
          <w:szCs w:val="28"/>
          <w:lang w:val="en-US" w:eastAsia="zh-CN"/>
        </w:rPr>
        <w:t>本标准内容与各项指标不低于强制性标准要求。</w:t>
      </w:r>
    </w:p>
    <w:p>
      <w:pPr>
        <w:pStyle w:val="12"/>
        <w:rPr>
          <w:rFonts w:hint="default"/>
          <w:color w:val="auto"/>
        </w:rPr>
      </w:pPr>
    </w:p>
    <w:p>
      <w:pPr>
        <w:spacing w:line="360" w:lineRule="auto"/>
        <w:ind w:firstLine="560" w:firstLineChars="200"/>
        <w:jc w:val="right"/>
        <w:rPr>
          <w:rFonts w:hint="default" w:ascii="仿宋_GB2312" w:hAnsi="宋体" w:eastAsia="仿宋_GB2312" w:cs="Calibri"/>
          <w:color w:val="auto"/>
          <w:sz w:val="28"/>
          <w:szCs w:val="28"/>
        </w:rPr>
      </w:pPr>
      <w:r>
        <w:rPr>
          <w:rFonts w:hint="default" w:ascii="仿宋_GB2312" w:hAnsi="宋体" w:eastAsia="仿宋_GB2312" w:cs="Calibri"/>
          <w:color w:val="auto"/>
          <w:sz w:val="28"/>
          <w:szCs w:val="28"/>
        </w:rPr>
        <w:t>《</w:t>
      </w:r>
      <w:r>
        <w:rPr>
          <w:rFonts w:hint="eastAsia" w:ascii="仿宋_GB2312" w:hAnsi="宋体" w:eastAsia="仿宋_GB2312" w:cs="Calibri"/>
          <w:color w:val="auto"/>
          <w:sz w:val="28"/>
          <w:szCs w:val="28"/>
          <w:lang w:val="en-US" w:eastAsia="zh-CN"/>
        </w:rPr>
        <w:t>沃柑溃疡病防控技术规程</w:t>
      </w:r>
      <w:r>
        <w:rPr>
          <w:rFonts w:hint="default" w:ascii="仿宋_GB2312" w:hAnsi="宋体" w:eastAsia="仿宋_GB2312" w:cs="Calibri"/>
          <w:color w:val="auto"/>
          <w:sz w:val="28"/>
          <w:szCs w:val="28"/>
        </w:rPr>
        <w:t>》</w:t>
      </w:r>
    </w:p>
    <w:p>
      <w:pPr>
        <w:spacing w:line="360" w:lineRule="auto"/>
        <w:ind w:firstLine="560" w:firstLineChars="200"/>
        <w:jc w:val="center"/>
        <w:rPr>
          <w:rFonts w:hint="default" w:ascii="仿宋_GB2312" w:hAnsi="宋体" w:eastAsia="仿宋_GB2312" w:cs="Calibri"/>
          <w:color w:val="auto"/>
          <w:sz w:val="28"/>
          <w:szCs w:val="28"/>
        </w:rPr>
      </w:pPr>
      <w:r>
        <w:rPr>
          <w:rFonts w:hint="eastAsia" w:ascii="仿宋_GB2312" w:hAnsi="宋体" w:eastAsia="仿宋_GB2312" w:cs="Calibri"/>
          <w:color w:val="auto"/>
          <w:sz w:val="28"/>
          <w:szCs w:val="28"/>
          <w:lang w:val="en-US" w:eastAsia="zh-CN"/>
        </w:rPr>
        <w:t xml:space="preserve">                                     </w:t>
      </w:r>
      <w:r>
        <w:rPr>
          <w:rFonts w:hint="default" w:ascii="仿宋_GB2312" w:hAnsi="宋体" w:eastAsia="仿宋_GB2312" w:cs="Calibri"/>
          <w:color w:val="auto"/>
          <w:sz w:val="28"/>
          <w:szCs w:val="28"/>
        </w:rPr>
        <w:t>标准编</w:t>
      </w:r>
      <w:r>
        <w:rPr>
          <w:rFonts w:hint="eastAsia" w:ascii="仿宋_GB2312" w:hAnsi="宋体" w:eastAsia="仿宋_GB2312" w:cs="Calibri"/>
          <w:color w:val="auto"/>
          <w:sz w:val="28"/>
          <w:szCs w:val="28"/>
          <w:lang w:val="en-US" w:eastAsia="zh-CN"/>
        </w:rPr>
        <w:t>制</w:t>
      </w:r>
      <w:r>
        <w:rPr>
          <w:rFonts w:hint="default" w:ascii="仿宋_GB2312" w:hAnsi="宋体" w:eastAsia="仿宋_GB2312" w:cs="Calibri"/>
          <w:color w:val="auto"/>
          <w:sz w:val="28"/>
          <w:szCs w:val="28"/>
        </w:rPr>
        <w:t>小组</w:t>
      </w:r>
    </w:p>
    <w:p>
      <w:pPr>
        <w:spacing w:line="360" w:lineRule="auto"/>
        <w:ind w:firstLine="560" w:firstLineChars="200"/>
        <w:rPr>
          <w:rFonts w:hint="default" w:ascii="仿宋_GB2312" w:hAnsi="宋体" w:eastAsia="仿宋_GB2312" w:cs="Calibri"/>
          <w:color w:val="auto"/>
          <w:sz w:val="28"/>
          <w:szCs w:val="28"/>
        </w:rPr>
      </w:pPr>
      <w:r>
        <w:rPr>
          <w:rFonts w:hint="default" w:ascii="仿宋_GB2312" w:hAnsi="宋体" w:eastAsia="仿宋_GB2312" w:cs="Calibri"/>
          <w:color w:val="auto"/>
          <w:sz w:val="28"/>
          <w:szCs w:val="28"/>
        </w:rPr>
        <w:t xml:space="preserve">                            </w:t>
      </w:r>
      <w:r>
        <w:rPr>
          <w:rFonts w:hint="default" w:ascii="仿宋_GB2312" w:hAnsi="宋体" w:eastAsia="仿宋_GB2312" w:cs="Calibri"/>
          <w:color w:val="auto"/>
          <w:sz w:val="28"/>
          <w:szCs w:val="28"/>
          <w:lang w:val="en-US" w:eastAsia="zh-CN"/>
        </w:rPr>
        <w:t xml:space="preserve">      </w:t>
      </w:r>
      <w:r>
        <w:rPr>
          <w:rFonts w:hint="eastAsia" w:ascii="仿宋_GB2312" w:hAnsi="宋体" w:eastAsia="仿宋_GB2312" w:cs="Calibri"/>
          <w:color w:val="auto"/>
          <w:sz w:val="28"/>
          <w:szCs w:val="28"/>
          <w:lang w:val="en-US" w:eastAsia="zh-CN"/>
        </w:rPr>
        <w:t xml:space="preserve"> </w:t>
      </w:r>
      <w:r>
        <w:rPr>
          <w:rFonts w:hint="default" w:ascii="仿宋_GB2312" w:hAnsi="宋体" w:eastAsia="仿宋_GB2312" w:cs="Calibri"/>
          <w:color w:val="auto"/>
          <w:sz w:val="28"/>
          <w:szCs w:val="28"/>
          <w:lang w:val="en-US" w:eastAsia="zh-CN"/>
        </w:rPr>
        <w:t xml:space="preserve"> </w:t>
      </w:r>
      <w:r>
        <w:rPr>
          <w:rFonts w:hint="eastAsia" w:ascii="仿宋_GB2312" w:hAnsi="宋体" w:eastAsia="仿宋_GB2312" w:cs="Calibri"/>
          <w:color w:val="auto"/>
          <w:sz w:val="28"/>
          <w:szCs w:val="28"/>
          <w:lang w:val="en-US" w:eastAsia="zh-CN"/>
        </w:rPr>
        <w:t xml:space="preserve">    </w:t>
      </w:r>
      <w:r>
        <w:rPr>
          <w:rFonts w:hint="default" w:ascii="仿宋_GB2312" w:hAnsi="宋体" w:eastAsia="仿宋_GB2312" w:cs="Calibri"/>
          <w:color w:val="auto"/>
          <w:sz w:val="28"/>
          <w:szCs w:val="28"/>
        </w:rPr>
        <w:t xml:space="preserve"> 202</w:t>
      </w:r>
      <w:r>
        <w:rPr>
          <w:rFonts w:hint="eastAsia" w:ascii="仿宋_GB2312" w:hAnsi="宋体" w:eastAsia="仿宋_GB2312" w:cs="Calibri"/>
          <w:color w:val="auto"/>
          <w:sz w:val="28"/>
          <w:szCs w:val="28"/>
          <w:lang w:val="en-US" w:eastAsia="zh-CN"/>
        </w:rPr>
        <w:t>4</w:t>
      </w:r>
      <w:r>
        <w:rPr>
          <w:rFonts w:hint="default" w:ascii="仿宋_GB2312" w:hAnsi="宋体" w:eastAsia="仿宋_GB2312" w:cs="Calibri"/>
          <w:color w:val="auto"/>
          <w:sz w:val="28"/>
          <w:szCs w:val="28"/>
        </w:rPr>
        <w:t>年</w:t>
      </w:r>
      <w:r>
        <w:rPr>
          <w:rFonts w:hint="eastAsia" w:ascii="仿宋_GB2312" w:hAnsi="宋体" w:eastAsia="仿宋_GB2312" w:cs="Calibri"/>
          <w:color w:val="auto"/>
          <w:sz w:val="28"/>
          <w:szCs w:val="28"/>
          <w:lang w:val="en-US" w:eastAsia="zh-CN"/>
        </w:rPr>
        <w:t>3</w:t>
      </w:r>
      <w:r>
        <w:rPr>
          <w:rFonts w:hint="default" w:ascii="仿宋_GB2312" w:hAnsi="宋体" w:eastAsia="仿宋_GB2312" w:cs="Calibri"/>
          <w:color w:val="auto"/>
          <w:sz w:val="28"/>
          <w:szCs w:val="28"/>
        </w:rPr>
        <w:t>月</w:t>
      </w:r>
      <w:r>
        <w:rPr>
          <w:rFonts w:hint="eastAsia" w:ascii="仿宋_GB2312" w:hAnsi="宋体" w:eastAsia="仿宋_GB2312" w:cs="Calibri"/>
          <w:color w:val="auto"/>
          <w:sz w:val="28"/>
          <w:szCs w:val="28"/>
          <w:lang w:val="en-US" w:eastAsia="zh-CN"/>
        </w:rPr>
        <w:t>15</w:t>
      </w:r>
      <w:r>
        <w:rPr>
          <w:rFonts w:hint="default" w:ascii="仿宋_GB2312" w:hAnsi="宋体" w:eastAsia="仿宋_GB2312" w:cs="Calibri"/>
          <w:color w:val="auto"/>
          <w:sz w:val="28"/>
          <w:szCs w:val="28"/>
        </w:rPr>
        <w:t>日</w:t>
      </w:r>
    </w:p>
    <w:p>
      <w:pPr>
        <w:spacing w:line="360" w:lineRule="auto"/>
        <w:ind w:firstLine="560" w:firstLineChars="200"/>
        <w:rPr>
          <w:rFonts w:hint="default" w:ascii="仿宋_GB2312" w:hAnsi="宋体" w:eastAsia="仿宋_GB2312" w:cs="Calibri"/>
          <w:color w:val="auto"/>
          <w:sz w:val="28"/>
          <w:szCs w:val="28"/>
        </w:rPr>
      </w:pPr>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中黑简">
    <w:panose1 w:val="02010600000101010101"/>
    <w:charset w:val="86"/>
    <w:family w:val="auto"/>
    <w:pitch w:val="default"/>
    <w:sig w:usb0="00000001" w:usb1="080E0800" w:usb2="00000002"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7</w:t>
                          </w:r>
                          <w:r>
                            <w:rPr>
                              <w:rFonts w:hint="eastAsia"/>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7</w:t>
                    </w:r>
                    <w:r>
                      <w:rPr>
                        <w:rFonts w:hint="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72A27"/>
    <w:rsid w:val="004E0C0C"/>
    <w:rsid w:val="00AB26EF"/>
    <w:rsid w:val="012B4701"/>
    <w:rsid w:val="013D1CD1"/>
    <w:rsid w:val="014D4677"/>
    <w:rsid w:val="01AC5F2D"/>
    <w:rsid w:val="01C40DDD"/>
    <w:rsid w:val="0227136C"/>
    <w:rsid w:val="02A855DF"/>
    <w:rsid w:val="0396373B"/>
    <w:rsid w:val="044C50BA"/>
    <w:rsid w:val="04695C6C"/>
    <w:rsid w:val="046E6A4C"/>
    <w:rsid w:val="04826322"/>
    <w:rsid w:val="05C56ED2"/>
    <w:rsid w:val="05CF6D44"/>
    <w:rsid w:val="05D329E6"/>
    <w:rsid w:val="061C7D89"/>
    <w:rsid w:val="070F4FA8"/>
    <w:rsid w:val="073B5AD1"/>
    <w:rsid w:val="07885D40"/>
    <w:rsid w:val="07D81B06"/>
    <w:rsid w:val="08096ED2"/>
    <w:rsid w:val="080B1AF0"/>
    <w:rsid w:val="08F8136C"/>
    <w:rsid w:val="09031FB8"/>
    <w:rsid w:val="09360DB1"/>
    <w:rsid w:val="094B1ECA"/>
    <w:rsid w:val="09544E43"/>
    <w:rsid w:val="09613E28"/>
    <w:rsid w:val="09631DB4"/>
    <w:rsid w:val="0A58580E"/>
    <w:rsid w:val="0A6071C9"/>
    <w:rsid w:val="0A697D1D"/>
    <w:rsid w:val="0BAA1044"/>
    <w:rsid w:val="0C79296A"/>
    <w:rsid w:val="0C8563BA"/>
    <w:rsid w:val="0CAA4FB1"/>
    <w:rsid w:val="0CB14308"/>
    <w:rsid w:val="0CD64E40"/>
    <w:rsid w:val="0D843303"/>
    <w:rsid w:val="0D8C35F6"/>
    <w:rsid w:val="0EE95D7A"/>
    <w:rsid w:val="0F770C2C"/>
    <w:rsid w:val="0FA80B29"/>
    <w:rsid w:val="0FAA1A47"/>
    <w:rsid w:val="100B1A8D"/>
    <w:rsid w:val="107E652B"/>
    <w:rsid w:val="10C07AF0"/>
    <w:rsid w:val="10CD1418"/>
    <w:rsid w:val="11290F19"/>
    <w:rsid w:val="126E3A32"/>
    <w:rsid w:val="130E66DA"/>
    <w:rsid w:val="133C4D66"/>
    <w:rsid w:val="13ED1715"/>
    <w:rsid w:val="14423D13"/>
    <w:rsid w:val="14C90BE5"/>
    <w:rsid w:val="157B3BE3"/>
    <w:rsid w:val="15A22D8C"/>
    <w:rsid w:val="15E50948"/>
    <w:rsid w:val="16C440AB"/>
    <w:rsid w:val="17396FDB"/>
    <w:rsid w:val="178C2EE9"/>
    <w:rsid w:val="17A52E49"/>
    <w:rsid w:val="18F24372"/>
    <w:rsid w:val="1A18361C"/>
    <w:rsid w:val="1A7D3DD5"/>
    <w:rsid w:val="1AF015C5"/>
    <w:rsid w:val="1BDB3BA4"/>
    <w:rsid w:val="1D383A92"/>
    <w:rsid w:val="1D516E37"/>
    <w:rsid w:val="1D7014C5"/>
    <w:rsid w:val="1DB56CC9"/>
    <w:rsid w:val="1FE40083"/>
    <w:rsid w:val="1FE74BFA"/>
    <w:rsid w:val="20AD387E"/>
    <w:rsid w:val="211210FB"/>
    <w:rsid w:val="21FC7CDC"/>
    <w:rsid w:val="221B7B1F"/>
    <w:rsid w:val="22D14CB0"/>
    <w:rsid w:val="22DF6886"/>
    <w:rsid w:val="23250B58"/>
    <w:rsid w:val="23374820"/>
    <w:rsid w:val="236756DC"/>
    <w:rsid w:val="24743B45"/>
    <w:rsid w:val="250E4BA7"/>
    <w:rsid w:val="258B2A03"/>
    <w:rsid w:val="25925BB3"/>
    <w:rsid w:val="261A696E"/>
    <w:rsid w:val="265579A6"/>
    <w:rsid w:val="26882C12"/>
    <w:rsid w:val="26B76EA5"/>
    <w:rsid w:val="270368F6"/>
    <w:rsid w:val="27356AD4"/>
    <w:rsid w:val="28C1428B"/>
    <w:rsid w:val="291E6775"/>
    <w:rsid w:val="29416713"/>
    <w:rsid w:val="294F22D1"/>
    <w:rsid w:val="298A3247"/>
    <w:rsid w:val="2A4D31D6"/>
    <w:rsid w:val="2AB632BB"/>
    <w:rsid w:val="2B762B5B"/>
    <w:rsid w:val="2B7B1C5D"/>
    <w:rsid w:val="2BD57D58"/>
    <w:rsid w:val="2D6345F3"/>
    <w:rsid w:val="2D99461C"/>
    <w:rsid w:val="2DA13130"/>
    <w:rsid w:val="2E871D01"/>
    <w:rsid w:val="2EEB70FA"/>
    <w:rsid w:val="2F0F2DE8"/>
    <w:rsid w:val="2F1E4A83"/>
    <w:rsid w:val="30227E4E"/>
    <w:rsid w:val="30656A38"/>
    <w:rsid w:val="308C2233"/>
    <w:rsid w:val="30941300"/>
    <w:rsid w:val="30C57B47"/>
    <w:rsid w:val="30E91417"/>
    <w:rsid w:val="3135706B"/>
    <w:rsid w:val="31496052"/>
    <w:rsid w:val="33CC0423"/>
    <w:rsid w:val="33DE3B2F"/>
    <w:rsid w:val="348C32D1"/>
    <w:rsid w:val="34A23025"/>
    <w:rsid w:val="34CA77EA"/>
    <w:rsid w:val="34FC146F"/>
    <w:rsid w:val="35042CC3"/>
    <w:rsid w:val="35B7334F"/>
    <w:rsid w:val="35BB744C"/>
    <w:rsid w:val="35C90F8B"/>
    <w:rsid w:val="361A5A0E"/>
    <w:rsid w:val="36C3023A"/>
    <w:rsid w:val="37305FF2"/>
    <w:rsid w:val="37906A90"/>
    <w:rsid w:val="37CB0B6E"/>
    <w:rsid w:val="38417D8A"/>
    <w:rsid w:val="38BB0AA3"/>
    <w:rsid w:val="3A046030"/>
    <w:rsid w:val="3AA21F1A"/>
    <w:rsid w:val="3AD54849"/>
    <w:rsid w:val="3B5D719F"/>
    <w:rsid w:val="3C4B19ED"/>
    <w:rsid w:val="3C55643A"/>
    <w:rsid w:val="3C686F62"/>
    <w:rsid w:val="3C6E4D25"/>
    <w:rsid w:val="3CA955C9"/>
    <w:rsid w:val="3D316393"/>
    <w:rsid w:val="3D644D0C"/>
    <w:rsid w:val="3D7B40E5"/>
    <w:rsid w:val="3D9D44A5"/>
    <w:rsid w:val="3DB64D77"/>
    <w:rsid w:val="3DF22A3D"/>
    <w:rsid w:val="3DF75F67"/>
    <w:rsid w:val="3E5500EC"/>
    <w:rsid w:val="3EFE0783"/>
    <w:rsid w:val="3F4048B8"/>
    <w:rsid w:val="4031522B"/>
    <w:rsid w:val="403A7D73"/>
    <w:rsid w:val="40B2553A"/>
    <w:rsid w:val="40E3428E"/>
    <w:rsid w:val="42426BD9"/>
    <w:rsid w:val="426E68BC"/>
    <w:rsid w:val="42734B51"/>
    <w:rsid w:val="42BA4CD5"/>
    <w:rsid w:val="43507D0A"/>
    <w:rsid w:val="43875B4A"/>
    <w:rsid w:val="44DF4539"/>
    <w:rsid w:val="44E16B2B"/>
    <w:rsid w:val="44FA6A22"/>
    <w:rsid w:val="4590283F"/>
    <w:rsid w:val="46050F1E"/>
    <w:rsid w:val="46244F73"/>
    <w:rsid w:val="46340F2E"/>
    <w:rsid w:val="46717A8D"/>
    <w:rsid w:val="467D77EB"/>
    <w:rsid w:val="46B328FF"/>
    <w:rsid w:val="46FA6A1B"/>
    <w:rsid w:val="476F56B4"/>
    <w:rsid w:val="47C010FF"/>
    <w:rsid w:val="48AC74A2"/>
    <w:rsid w:val="491450D0"/>
    <w:rsid w:val="49156DF5"/>
    <w:rsid w:val="49567FEB"/>
    <w:rsid w:val="4A0547B3"/>
    <w:rsid w:val="4A2B536C"/>
    <w:rsid w:val="4B2A1374"/>
    <w:rsid w:val="4BB87F0C"/>
    <w:rsid w:val="4C7D5018"/>
    <w:rsid w:val="4CB65CCF"/>
    <w:rsid w:val="4D032087"/>
    <w:rsid w:val="4E0337FE"/>
    <w:rsid w:val="4E9977F3"/>
    <w:rsid w:val="4F04178B"/>
    <w:rsid w:val="4FB5681C"/>
    <w:rsid w:val="4FD45AA1"/>
    <w:rsid w:val="50140FB6"/>
    <w:rsid w:val="50661AEF"/>
    <w:rsid w:val="50746AF7"/>
    <w:rsid w:val="50B15359"/>
    <w:rsid w:val="50BD4DB5"/>
    <w:rsid w:val="50F36726"/>
    <w:rsid w:val="50FB3A77"/>
    <w:rsid w:val="521B381F"/>
    <w:rsid w:val="52482F10"/>
    <w:rsid w:val="52F65EE9"/>
    <w:rsid w:val="533C4F5A"/>
    <w:rsid w:val="534F670E"/>
    <w:rsid w:val="53714FC7"/>
    <w:rsid w:val="53726DDE"/>
    <w:rsid w:val="539A69B5"/>
    <w:rsid w:val="53C65DDF"/>
    <w:rsid w:val="541A317A"/>
    <w:rsid w:val="54981726"/>
    <w:rsid w:val="55B331F8"/>
    <w:rsid w:val="55BB2265"/>
    <w:rsid w:val="561E0DAB"/>
    <w:rsid w:val="56217017"/>
    <w:rsid w:val="56821842"/>
    <w:rsid w:val="56AD2D63"/>
    <w:rsid w:val="56B26E2B"/>
    <w:rsid w:val="58460797"/>
    <w:rsid w:val="585D4315"/>
    <w:rsid w:val="587E7C08"/>
    <w:rsid w:val="58D84F64"/>
    <w:rsid w:val="59036B47"/>
    <w:rsid w:val="59384604"/>
    <w:rsid w:val="59842217"/>
    <w:rsid w:val="59B05D3D"/>
    <w:rsid w:val="59D3018B"/>
    <w:rsid w:val="59E571EF"/>
    <w:rsid w:val="59F667CF"/>
    <w:rsid w:val="5A35680A"/>
    <w:rsid w:val="5A865DA5"/>
    <w:rsid w:val="5A9854FF"/>
    <w:rsid w:val="5BA0230A"/>
    <w:rsid w:val="5D97007A"/>
    <w:rsid w:val="5DB33E3C"/>
    <w:rsid w:val="5E5409C7"/>
    <w:rsid w:val="5F30318F"/>
    <w:rsid w:val="5FDC6A24"/>
    <w:rsid w:val="60487F1F"/>
    <w:rsid w:val="611E0143"/>
    <w:rsid w:val="61A15BCA"/>
    <w:rsid w:val="61EE237D"/>
    <w:rsid w:val="62053A53"/>
    <w:rsid w:val="62B351E0"/>
    <w:rsid w:val="62DB2704"/>
    <w:rsid w:val="63147CC6"/>
    <w:rsid w:val="631B0817"/>
    <w:rsid w:val="636C3589"/>
    <w:rsid w:val="637B4317"/>
    <w:rsid w:val="63936884"/>
    <w:rsid w:val="64476F4B"/>
    <w:rsid w:val="657015F8"/>
    <w:rsid w:val="65EB0824"/>
    <w:rsid w:val="65EB3E49"/>
    <w:rsid w:val="6605211B"/>
    <w:rsid w:val="663366B5"/>
    <w:rsid w:val="666A14D2"/>
    <w:rsid w:val="66B43C9A"/>
    <w:rsid w:val="677A5E12"/>
    <w:rsid w:val="683706DE"/>
    <w:rsid w:val="68F3334B"/>
    <w:rsid w:val="699F29DF"/>
    <w:rsid w:val="69C91E25"/>
    <w:rsid w:val="6A15771E"/>
    <w:rsid w:val="6A2C3B47"/>
    <w:rsid w:val="6A360376"/>
    <w:rsid w:val="6A6320A3"/>
    <w:rsid w:val="6A8D3897"/>
    <w:rsid w:val="6B0529CE"/>
    <w:rsid w:val="6B3D1F73"/>
    <w:rsid w:val="6BD750D5"/>
    <w:rsid w:val="6D1D2A87"/>
    <w:rsid w:val="6D6026E6"/>
    <w:rsid w:val="6D732652"/>
    <w:rsid w:val="6DA542F8"/>
    <w:rsid w:val="6DAE6F91"/>
    <w:rsid w:val="6DD72B83"/>
    <w:rsid w:val="6EC72090"/>
    <w:rsid w:val="6EFC7F8C"/>
    <w:rsid w:val="709E2AA7"/>
    <w:rsid w:val="70F55C8B"/>
    <w:rsid w:val="71551BD5"/>
    <w:rsid w:val="72176F23"/>
    <w:rsid w:val="72824C4C"/>
    <w:rsid w:val="72915016"/>
    <w:rsid w:val="72B56DCF"/>
    <w:rsid w:val="730B63CA"/>
    <w:rsid w:val="73683E42"/>
    <w:rsid w:val="7407365B"/>
    <w:rsid w:val="74A7099A"/>
    <w:rsid w:val="74E30571"/>
    <w:rsid w:val="75585A3D"/>
    <w:rsid w:val="76302578"/>
    <w:rsid w:val="763269A6"/>
    <w:rsid w:val="7777284F"/>
    <w:rsid w:val="77B76A4B"/>
    <w:rsid w:val="780B7492"/>
    <w:rsid w:val="78183696"/>
    <w:rsid w:val="784D2B8A"/>
    <w:rsid w:val="78F26A5F"/>
    <w:rsid w:val="79025FAF"/>
    <w:rsid w:val="791317F1"/>
    <w:rsid w:val="79667075"/>
    <w:rsid w:val="7AAF0F69"/>
    <w:rsid w:val="7AF64234"/>
    <w:rsid w:val="7B6411A6"/>
    <w:rsid w:val="7C8C0B9E"/>
    <w:rsid w:val="7D3401F8"/>
    <w:rsid w:val="7DAE0FEB"/>
    <w:rsid w:val="7DE94FEC"/>
    <w:rsid w:val="7E447259"/>
    <w:rsid w:val="7E7A711F"/>
    <w:rsid w:val="7EA17889"/>
    <w:rsid w:val="7EB937A4"/>
    <w:rsid w:val="7ED54355"/>
    <w:rsid w:val="7F127AA7"/>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autoRedefine/>
    <w:semiHidden/>
    <w:unhideWhenUsed/>
    <w:qFormat/>
    <w:uiPriority w:val="0"/>
    <w:rPr>
      <w:rFonts w:ascii="Arial" w:hAnsi="Arial" w:eastAsia="黑体"/>
      <w:sz w:val="20"/>
    </w:rPr>
  </w:style>
  <w:style w:type="paragraph" w:styleId="4">
    <w:name w:val="annotation text"/>
    <w:basedOn w:val="1"/>
    <w:autoRedefine/>
    <w:qFormat/>
    <w:uiPriority w:val="0"/>
    <w:pPr>
      <w:jc w:val="left"/>
    </w:pPr>
  </w:style>
  <w:style w:type="paragraph" w:styleId="5">
    <w:name w:val="Body Text"/>
    <w:basedOn w:val="1"/>
    <w:next w:val="6"/>
    <w:autoRedefine/>
    <w:qFormat/>
    <w:uiPriority w:val="0"/>
    <w:rPr>
      <w:sz w:val="28"/>
      <w:szCs w:val="20"/>
    </w:rPr>
  </w:style>
  <w:style w:type="paragraph" w:styleId="6">
    <w:name w:val="Body Text First Indent 2"/>
    <w:basedOn w:val="1"/>
    <w:autoRedefine/>
    <w:unhideWhenUsed/>
    <w:qFormat/>
    <w:uiPriority w:val="99"/>
    <w:pPr>
      <w:spacing w:after="120"/>
      <w:ind w:left="420" w:leftChars="200" w:firstLine="420"/>
    </w:pPr>
    <w:rPr>
      <w:rFonts w:ascii="Calibri" w:hAnsi="Calibri"/>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BodyText2"/>
    <w:basedOn w:val="1"/>
    <w:autoRedefine/>
    <w:qFormat/>
    <w:uiPriority w:val="0"/>
    <w:pPr>
      <w:spacing w:after="120" w:line="480" w:lineRule="auto"/>
      <w:textAlignment w:val="baseline"/>
    </w:pPr>
    <w:rPr>
      <w:sz w:val="32"/>
      <w:szCs w:val="32"/>
    </w:rPr>
  </w:style>
  <w:style w:type="paragraph" w:customStyle="1" w:styleId="13">
    <w:name w:val="章标题"/>
    <w:next w:val="14"/>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列出段落11"/>
    <w:basedOn w:val="1"/>
    <w:autoRedefine/>
    <w:unhideWhenUsed/>
    <w:qFormat/>
    <w:uiPriority w:val="99"/>
    <w:pPr>
      <w:ind w:firstLine="420"/>
    </w:pPr>
  </w:style>
  <w:style w:type="paragraph" w:customStyle="1" w:styleId="17">
    <w:name w:val="List Paragraph"/>
    <w:basedOn w:val="1"/>
    <w:autoRedefine/>
    <w:qFormat/>
    <w:uiPriority w:val="0"/>
    <w:pPr>
      <w:ind w:firstLine="420" w:firstLineChars="200"/>
    </w:pPr>
    <w:rPr>
      <w:rFonts w:ascii="Calibri" w:hAnsi="Calibri"/>
      <w:szCs w:val="22"/>
    </w:rPr>
  </w:style>
  <w:style w:type="paragraph" w:customStyle="1" w:styleId="1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font01"/>
    <w:autoRedefine/>
    <w:qFormat/>
    <w:uiPriority w:val="0"/>
    <w:rPr>
      <w:rFonts w:hint="eastAsia" w:ascii="宋体" w:hAnsi="宋体" w:eastAsia="宋体" w:cs="宋体"/>
      <w:color w:val="000000"/>
      <w:sz w:val="20"/>
      <w:szCs w:val="20"/>
      <w:u w:val="none"/>
    </w:rPr>
  </w:style>
  <w:style w:type="character" w:customStyle="1" w:styleId="20">
    <w:name w:val="font11"/>
    <w:autoRedefine/>
    <w:qFormat/>
    <w:uiPriority w:val="0"/>
    <w:rPr>
      <w:rFonts w:hint="default" w:ascii="Times New Roman" w:hAnsi="Times New Roman" w:cs="Times New Roman"/>
      <w:color w:val="000000"/>
      <w:sz w:val="20"/>
      <w:szCs w:val="20"/>
      <w:u w:val="none"/>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8291;&#30113;&#30149;&#25511;&#21046;&#25928;&#26524;&#21450;&#21464;&#21270;&#36235;&#21183;&#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8291;&#30113;&#30149;&#25511;&#21046;&#25928;&#26524;&#21450;&#21464;&#21270;&#36235;&#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图1!$C$2</c:f>
              <c:strCache>
                <c:ptCount val="1"/>
                <c:pt idx="0">
                  <c:v>A1</c:v>
                </c:pt>
              </c:strCache>
            </c:strRef>
          </c:tx>
          <c:spPr>
            <a:ln w="19050" cap="rnd" cmpd="sng" algn="ctr">
              <a:solidFill>
                <a:prstClr val="black"/>
              </a:solidFill>
              <a:prstDash val="solid"/>
              <a:round/>
            </a:ln>
          </c:spPr>
          <c:marker>
            <c:symbol val="circle"/>
            <c:size val="7"/>
            <c:spPr>
              <a:solidFill>
                <a:sysClr val="windowText" lastClr="000000"/>
              </a:solidFill>
              <a:ln w="6350" cap="flat" cmpd="sng" algn="ctr">
                <a:solidFill>
                  <a:prstClr val="black"/>
                </a:solidFill>
                <a:prstDash val="solid"/>
                <a:round/>
              </a:ln>
            </c:spPr>
          </c:marker>
          <c:dLbls>
            <c:delete val="1"/>
          </c:dLbls>
          <c:cat>
            <c:multiLvlStrRef>
              <c:f>图1!$A$3:$B$8</c:f>
              <c:multiLvlStrCache>
                <c:ptCount val="6"/>
                <c:lvl>
                  <c:pt idx="0">
                    <c:v>春梢</c:v>
                  </c:pt>
                  <c:pt idx="1">
                    <c:v>夏梢</c:v>
                  </c:pt>
                  <c:pt idx="2">
                    <c:v>秋梢</c:v>
                  </c:pt>
                  <c:pt idx="3">
                    <c:v>春梢</c:v>
                  </c:pt>
                  <c:pt idx="4">
                    <c:v>夏梢</c:v>
                  </c:pt>
                  <c:pt idx="5">
                    <c:v>秋梢</c:v>
                  </c:pt>
                </c:lvl>
                <c:lvl>
                  <c:pt idx="0">
                    <c:v>2019</c:v>
                  </c:pt>
                  <c:pt idx="3">
                    <c:v>2020</c:v>
                  </c:pt>
                </c:lvl>
              </c:multiLvlStrCache>
            </c:multiLvlStrRef>
          </c:cat>
          <c:val>
            <c:numRef>
              <c:f>图1!$C$3:$C$8</c:f>
              <c:numCache>
                <c:formatCode>0.00_ </c:formatCode>
                <c:ptCount val="6"/>
                <c:pt idx="0">
                  <c:v>37.87</c:v>
                </c:pt>
                <c:pt idx="1">
                  <c:v>56.63</c:v>
                </c:pt>
                <c:pt idx="2">
                  <c:v>67.2</c:v>
                </c:pt>
                <c:pt idx="3">
                  <c:v>70.82</c:v>
                </c:pt>
                <c:pt idx="4">
                  <c:v>82.99</c:v>
                </c:pt>
                <c:pt idx="5">
                  <c:v>84.12</c:v>
                </c:pt>
              </c:numCache>
            </c:numRef>
          </c:val>
          <c:smooth val="0"/>
        </c:ser>
        <c:ser>
          <c:idx val="1"/>
          <c:order val="1"/>
          <c:tx>
            <c:strRef>
              <c:f>图1!$D$2</c:f>
              <c:strCache>
                <c:ptCount val="1"/>
                <c:pt idx="0">
                  <c:v>A2</c:v>
                </c:pt>
              </c:strCache>
            </c:strRef>
          </c:tx>
          <c:spPr>
            <a:ln w="19050" cap="rnd" cmpd="sng" algn="ctr">
              <a:solidFill>
                <a:prstClr val="black"/>
              </a:solidFill>
              <a:prstDash val="solid"/>
              <a:round/>
            </a:ln>
          </c:spPr>
          <c:marker>
            <c:symbol val="square"/>
            <c:size val="7"/>
            <c:spPr>
              <a:solidFill>
                <a:sysClr val="windowText" lastClr="000000"/>
              </a:solidFill>
              <a:ln w="6350" cap="flat" cmpd="sng" algn="ctr">
                <a:solidFill>
                  <a:prstClr val="black"/>
                </a:solidFill>
                <a:prstDash val="solid"/>
                <a:round/>
              </a:ln>
            </c:spPr>
          </c:marker>
          <c:dLbls>
            <c:delete val="1"/>
          </c:dLbls>
          <c:cat>
            <c:multiLvlStrRef>
              <c:f>图1!$A$3:$B$8</c:f>
              <c:multiLvlStrCache>
                <c:ptCount val="6"/>
                <c:lvl>
                  <c:pt idx="0">
                    <c:v>春梢</c:v>
                  </c:pt>
                  <c:pt idx="1">
                    <c:v>夏梢</c:v>
                  </c:pt>
                  <c:pt idx="2">
                    <c:v>秋梢</c:v>
                  </c:pt>
                  <c:pt idx="3">
                    <c:v>春梢</c:v>
                  </c:pt>
                  <c:pt idx="4">
                    <c:v>夏梢</c:v>
                  </c:pt>
                  <c:pt idx="5">
                    <c:v>秋梢</c:v>
                  </c:pt>
                </c:lvl>
                <c:lvl>
                  <c:pt idx="0">
                    <c:v>2019</c:v>
                  </c:pt>
                  <c:pt idx="3">
                    <c:v>2020</c:v>
                  </c:pt>
                </c:lvl>
              </c:multiLvlStrCache>
            </c:multiLvlStrRef>
          </c:cat>
          <c:val>
            <c:numRef>
              <c:f>图1!$D$3:$D$8</c:f>
              <c:numCache>
                <c:formatCode>0.00_ </c:formatCode>
                <c:ptCount val="6"/>
                <c:pt idx="0">
                  <c:v>14.47</c:v>
                </c:pt>
                <c:pt idx="1">
                  <c:v>26.2</c:v>
                </c:pt>
                <c:pt idx="2">
                  <c:v>32.26</c:v>
                </c:pt>
                <c:pt idx="3">
                  <c:v>31.91</c:v>
                </c:pt>
                <c:pt idx="4">
                  <c:v>43.61</c:v>
                </c:pt>
                <c:pt idx="5">
                  <c:v>52.36</c:v>
                </c:pt>
              </c:numCache>
            </c:numRef>
          </c:val>
          <c:smooth val="0"/>
        </c:ser>
        <c:ser>
          <c:idx val="3"/>
          <c:order val="2"/>
          <c:tx>
            <c:strRef>
              <c:f>图1!$E$2</c:f>
              <c:strCache>
                <c:ptCount val="1"/>
                <c:pt idx="0">
                  <c:v>A3</c:v>
                </c:pt>
              </c:strCache>
            </c:strRef>
          </c:tx>
          <c:spPr>
            <a:ln w="19050" cap="rnd" cmpd="sng" algn="ctr">
              <a:solidFill>
                <a:srgbClr val="000000"/>
              </a:solidFill>
              <a:prstDash val="solid"/>
              <a:round/>
            </a:ln>
          </c:spPr>
          <c:marker>
            <c:symbol val="star"/>
            <c:size val="7"/>
            <c:spPr>
              <a:noFill/>
              <a:ln w="6350" cap="flat" cmpd="sng" algn="ctr">
                <a:solidFill>
                  <a:prstClr val="black"/>
                </a:solidFill>
                <a:prstDash val="solid"/>
                <a:round/>
              </a:ln>
            </c:spPr>
          </c:marker>
          <c:dLbls>
            <c:delete val="1"/>
          </c:dLbls>
          <c:cat>
            <c:multiLvlStrRef>
              <c:f>图1!$A$3:$B$8</c:f>
              <c:multiLvlStrCache>
                <c:ptCount val="6"/>
                <c:lvl>
                  <c:pt idx="0">
                    <c:v>春梢</c:v>
                  </c:pt>
                  <c:pt idx="1">
                    <c:v>夏梢</c:v>
                  </c:pt>
                  <c:pt idx="2">
                    <c:v>秋梢</c:v>
                  </c:pt>
                  <c:pt idx="3">
                    <c:v>春梢</c:v>
                  </c:pt>
                  <c:pt idx="4">
                    <c:v>夏梢</c:v>
                  </c:pt>
                  <c:pt idx="5">
                    <c:v>秋梢</c:v>
                  </c:pt>
                </c:lvl>
                <c:lvl>
                  <c:pt idx="0">
                    <c:v>2019</c:v>
                  </c:pt>
                  <c:pt idx="3">
                    <c:v>2020</c:v>
                  </c:pt>
                </c:lvl>
              </c:multiLvlStrCache>
            </c:multiLvlStrRef>
          </c:cat>
          <c:val>
            <c:numRef>
              <c:f>图1!$E$3:$E$8</c:f>
              <c:numCache>
                <c:formatCode>0.00_ </c:formatCode>
                <c:ptCount val="6"/>
                <c:pt idx="0">
                  <c:v>21.7</c:v>
                </c:pt>
                <c:pt idx="1">
                  <c:v>23.29</c:v>
                </c:pt>
                <c:pt idx="2">
                  <c:v>27.42</c:v>
                </c:pt>
                <c:pt idx="3">
                  <c:v>21.58</c:v>
                </c:pt>
                <c:pt idx="4">
                  <c:v>29.41</c:v>
                </c:pt>
                <c:pt idx="5">
                  <c:v>29.28</c:v>
                </c:pt>
              </c:numCache>
            </c:numRef>
          </c:val>
          <c:smooth val="0"/>
        </c:ser>
        <c:dLbls>
          <c:showLegendKey val="0"/>
          <c:showVal val="0"/>
          <c:showCatName val="0"/>
          <c:showSerName val="0"/>
          <c:showPercent val="0"/>
          <c:showBubbleSize val="0"/>
        </c:dLbls>
        <c:marker val="1"/>
        <c:smooth val="0"/>
        <c:axId val="540684288"/>
        <c:axId val="233558016"/>
      </c:lineChart>
      <c:catAx>
        <c:axId val="540684288"/>
        <c:scaling>
          <c:orientation val="minMax"/>
        </c:scaling>
        <c:delete val="0"/>
        <c:axPos val="b"/>
        <c:title>
          <c:tx>
            <c:rich>
              <a:bodyPr rot="0" spcFirstLastPara="0" vertOverflow="ellipsis" vert="horz" wrap="square" anchor="ctr" anchorCtr="1"/>
              <a:lstStyle/>
              <a:p>
                <a:pPr>
                  <a:defRPr lang="zh-CN" sz="1000" b="1" i="0" u="none" strike="noStrike" kern="1200" baseline="0">
                    <a:solidFill>
                      <a:srgbClr val="000000"/>
                    </a:solidFill>
                    <a:latin typeface="+mn-lt"/>
                    <a:ea typeface="+mn-ea"/>
                    <a:cs typeface="+mn-cs"/>
                  </a:defRPr>
                </a:pPr>
                <a:r>
                  <a:rPr lang="zh-CN" altLang="en-US"/>
                  <a:t>调查期</a:t>
                </a:r>
                <a:endParaRPr lang="zh-CN" altLang="en-US"/>
              </a:p>
            </c:rich>
          </c:tx>
          <c:layout/>
          <c:overlay val="0"/>
        </c:title>
        <c:majorTickMark val="in"/>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233558016"/>
        <c:crosses val="autoZero"/>
        <c:auto val="1"/>
        <c:lblAlgn val="ctr"/>
        <c:lblOffset val="100"/>
        <c:noMultiLvlLbl val="1"/>
      </c:catAx>
      <c:valAx>
        <c:axId val="233558016"/>
        <c:scaling>
          <c:orientation val="minMax"/>
        </c:scaling>
        <c:delete val="0"/>
        <c:axPos val="l"/>
        <c:title>
          <c:tx>
            <c:rich>
              <a:bodyPr rot="-54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r>
                  <a:rPr lang="zh-CN" altLang="en-US"/>
                  <a:t>控制效果（</a:t>
                </a:r>
                <a:r>
                  <a:rPr lang="en-US" altLang="zh-CN"/>
                  <a:t>%</a:t>
                </a:r>
                <a:r>
                  <a:rPr lang="zh-CN" altLang="en-US"/>
                  <a:t>）</a:t>
                </a:r>
                <a:endParaRPr lang="zh-CN" altLang="en-US"/>
              </a:p>
            </c:rich>
          </c:tx>
          <c:layout/>
          <c:overlay val="0"/>
        </c:title>
        <c:numFmt formatCode="0.00_ "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540684288"/>
        <c:crosses val="autoZero"/>
        <c:crossBetween val="between"/>
      </c:valAx>
    </c:plotArea>
    <c:legend>
      <c:legendPos val="r"/>
      <c:layout>
        <c:manualLayout>
          <c:xMode val="edge"/>
          <c:yMode val="edge"/>
          <c:x val="0.831588198367859"/>
          <c:y val="0.251637291468591"/>
          <c:w val="0.138279974890144"/>
          <c:h val="0.298582677165367"/>
        </c:manualLayout>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图2!$A$2</c:f>
              <c:strCache>
                <c:ptCount val="1"/>
                <c:pt idx="0">
                  <c:v>2019</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r>
                      <a:rPr lang="en-US" altLang="en-US"/>
                      <a:t>53.90b</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r>
                      <a:rPr lang="en-US" altLang="en-US"/>
                      <a:t>24.31b</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r>
                      <a:rPr lang="en-US" altLang="en-US"/>
                      <a:t>24.14a</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图2!$B$1:$D$1</c:f>
              <c:strCache>
                <c:ptCount val="3"/>
                <c:pt idx="0">
                  <c:v>A1</c:v>
                </c:pt>
                <c:pt idx="1">
                  <c:v>A2</c:v>
                </c:pt>
                <c:pt idx="2">
                  <c:v>A3</c:v>
                </c:pt>
              </c:strCache>
            </c:strRef>
          </c:cat>
          <c:val>
            <c:numRef>
              <c:f>图2!$B$2:$D$2</c:f>
              <c:numCache>
                <c:formatCode>General</c:formatCode>
                <c:ptCount val="3"/>
                <c:pt idx="0">
                  <c:v>53.9</c:v>
                </c:pt>
                <c:pt idx="1">
                  <c:v>24.31</c:v>
                </c:pt>
                <c:pt idx="2">
                  <c:v>24.14</c:v>
                </c:pt>
              </c:numCache>
            </c:numRef>
          </c:val>
        </c:ser>
        <c:ser>
          <c:idx val="1"/>
          <c:order val="1"/>
          <c:tx>
            <c:strRef>
              <c:f>图2!$A$3</c:f>
              <c:strCache>
                <c:ptCount val="1"/>
                <c:pt idx="0">
                  <c:v>2020</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r>
                      <a:rPr lang="en-US" altLang="en-US"/>
                      <a:t>79.31a</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r>
                      <a:rPr lang="en-US" altLang="en-US"/>
                      <a:t>42.63a</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r>
                      <a:rPr lang="en-US" altLang="en-US"/>
                      <a:t>26.76a</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图2!$B$1:$D$1</c:f>
              <c:strCache>
                <c:ptCount val="3"/>
                <c:pt idx="0">
                  <c:v>A1</c:v>
                </c:pt>
                <c:pt idx="1">
                  <c:v>A2</c:v>
                </c:pt>
                <c:pt idx="2">
                  <c:v>A3</c:v>
                </c:pt>
              </c:strCache>
            </c:strRef>
          </c:cat>
          <c:val>
            <c:numRef>
              <c:f>图2!$B$3:$D$3</c:f>
              <c:numCache>
                <c:formatCode>General</c:formatCode>
                <c:ptCount val="3"/>
                <c:pt idx="0">
                  <c:v>79.31</c:v>
                </c:pt>
                <c:pt idx="1">
                  <c:v>42.63</c:v>
                </c:pt>
                <c:pt idx="2">
                  <c:v>26.76</c:v>
                </c:pt>
              </c:numCache>
            </c:numRef>
          </c:val>
        </c:ser>
        <c:dLbls>
          <c:showLegendKey val="0"/>
          <c:showVal val="1"/>
          <c:showCatName val="0"/>
          <c:showSerName val="0"/>
          <c:showPercent val="0"/>
          <c:showBubbleSize val="0"/>
        </c:dLbls>
        <c:gapWidth val="300"/>
        <c:axId val="233895040"/>
        <c:axId val="233896576"/>
      </c:barChart>
      <c:catAx>
        <c:axId val="23389504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233896576"/>
        <c:crosses val="autoZero"/>
        <c:auto val="1"/>
        <c:lblAlgn val="ctr"/>
        <c:lblOffset val="100"/>
        <c:noMultiLvlLbl val="0"/>
      </c:catAx>
      <c:valAx>
        <c:axId val="233896576"/>
        <c:scaling>
          <c:orientation val="minMax"/>
        </c:scaling>
        <c:delete val="0"/>
        <c:axPos val="l"/>
        <c:title>
          <c:tx>
            <c:rich>
              <a:bodyPr rot="-54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r>
                  <a:rPr lang="zh-CN"/>
                  <a:t>控制效果</a:t>
                </a:r>
                <a:r>
                  <a:rPr lang="zh-CN" altLang="en-US"/>
                  <a:t>（</a:t>
                </a:r>
                <a:r>
                  <a:rPr lang="en-US" altLang="zh-CN"/>
                  <a:t>%</a:t>
                </a:r>
                <a:r>
                  <a:rPr lang="zh-CN" altLang="en-US"/>
                  <a:t>）</a:t>
                </a:r>
                <a:endParaRPr lang="zh-C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233895040"/>
        <c:crosses val="autoZero"/>
        <c:crossBetween val="between"/>
      </c:valAx>
    </c:plotArea>
    <c:legend>
      <c:legendPos val="r"/>
      <c:layout>
        <c:manualLayout>
          <c:xMode val="edge"/>
          <c:yMode val="edge"/>
          <c:x val="0.846609981044039"/>
          <c:y val="0.267540601793377"/>
          <c:w val="0.0862603893263342"/>
          <c:h val="0.164577141167937"/>
        </c:manualLayout>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11236</Words>
  <Characters>14876</Characters>
  <Lines>0</Lines>
  <Paragraphs>0</Paragraphs>
  <TotalTime>12</TotalTime>
  <ScaleCrop>false</ScaleCrop>
  <LinksUpToDate>false</LinksUpToDate>
  <CharactersWithSpaces>15125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2023-03-06T10:11:00Z</dcterms:created>
  <dc:creator>付传明</dc:creator>
  <cp:lastModifiedBy>寻</cp:lastModifiedBy>
  <dcterms:modified xsi:type="dcterms:W3CDTF">2024-04-10T02:52:55Z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DC648A515C5A46748E284BEA1FA29116</vt:lpwstr>
  </property>
</Properties>
</file>