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auto"/>
          <w:kern w:val="2"/>
          <w:sz w:val="44"/>
          <w:szCs w:val="24"/>
          <w:lang w:val="en-US" w:eastAsia="zh-CN" w:bidi="ar-SA"/>
        </w:rPr>
      </w:pPr>
      <w:r>
        <w:rPr>
          <w:rFonts w:hint="eastAsia" w:ascii="Times New Roman" w:hAnsi="Times New Roman" w:eastAsia="方正小标宋简体" w:cs="Times New Roman"/>
          <w:color w:val="auto"/>
          <w:kern w:val="2"/>
          <w:sz w:val="44"/>
          <w:szCs w:val="24"/>
          <w:lang w:val="en-US" w:eastAsia="zh-CN" w:bidi="ar-SA"/>
        </w:rPr>
        <w:t>广西农业农村产业振兴促进会</w:t>
      </w:r>
      <w:r>
        <w:rPr>
          <w:rFonts w:hint="default" w:ascii="Times New Roman" w:hAnsi="Times New Roman" w:eastAsia="方正小标宋简体" w:cs="Times New Roman"/>
          <w:color w:val="auto"/>
          <w:kern w:val="2"/>
          <w:sz w:val="44"/>
          <w:szCs w:val="24"/>
          <w:lang w:val="en-US" w:eastAsia="zh-CN" w:bidi="ar-SA"/>
        </w:rPr>
        <w:t>团体标准《</w:t>
      </w:r>
      <w:r>
        <w:rPr>
          <w:rFonts w:hint="eastAsia" w:ascii="Times New Roman" w:hAnsi="Times New Roman" w:eastAsia="方正小标宋简体" w:cs="Times New Roman"/>
          <w:color w:val="auto"/>
          <w:kern w:val="2"/>
          <w:sz w:val="44"/>
          <w:szCs w:val="24"/>
          <w:lang w:val="en-US" w:eastAsia="zh-CN" w:bidi="ar-SA"/>
        </w:rPr>
        <w:t>山茶油质量分级技术规程</w:t>
      </w:r>
      <w:r>
        <w:rPr>
          <w:rFonts w:hint="default" w:ascii="Times New Roman" w:hAnsi="Times New Roman" w:eastAsia="方正小标宋简体" w:cs="Times New Roman"/>
          <w:color w:val="auto"/>
          <w:kern w:val="2"/>
          <w:sz w:val="44"/>
          <w:szCs w:val="24"/>
          <w:lang w:val="en-US" w:eastAsia="zh-CN" w:bidi="ar-SA"/>
        </w:rPr>
        <w:t>》编制说明</w:t>
      </w:r>
      <w:r>
        <w:rPr>
          <w:rFonts w:hint="eastAsia" w:ascii="Times New Roman" w:hAnsi="Times New Roman" w:eastAsia="方正小标宋简体" w:cs="Times New Roman"/>
          <w:color w:val="auto"/>
          <w:kern w:val="2"/>
          <w:sz w:val="44"/>
          <w:szCs w:val="24"/>
          <w:lang w:val="en-US" w:eastAsia="zh-CN" w:bidi="ar-SA"/>
        </w:rPr>
        <w:t>（征求意见</w:t>
      </w:r>
      <w:r>
        <w:rPr>
          <w:rFonts w:hint="default" w:ascii="Times New Roman" w:hAnsi="Times New Roman" w:eastAsia="方正小标宋简体" w:cs="Times New Roman"/>
          <w:color w:val="auto"/>
          <w:kern w:val="2"/>
          <w:sz w:val="44"/>
          <w:szCs w:val="24"/>
          <w:lang w:val="en-US" w:eastAsia="zh-CN" w:bidi="ar-SA"/>
        </w:rPr>
        <w:t>稿）</w:t>
      </w:r>
    </w:p>
    <w:p>
      <w:pPr>
        <w:spacing w:line="500" w:lineRule="exact"/>
        <w:ind w:firstLine="880" w:firstLineChars="200"/>
        <w:jc w:val="center"/>
        <w:rPr>
          <w:rFonts w:hint="default" w:ascii="Times New Roman" w:hAnsi="Times New Roman" w:eastAsia="黑体" w:cs="Times New Roman"/>
          <w:bCs/>
          <w:color w:val="auto"/>
          <w:sz w:val="44"/>
          <w:szCs w:val="36"/>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一、项目来源</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根</w:t>
      </w:r>
      <w:r>
        <w:rPr>
          <w:rFonts w:hint="default" w:ascii="仿宋_GB2312" w:hAnsi="宋体" w:eastAsia="仿宋_GB2312" w:cs="Calibri"/>
          <w:color w:val="auto"/>
          <w:sz w:val="28"/>
          <w:szCs w:val="28"/>
          <w:highlight w:val="none"/>
          <w:lang w:val="en-US" w:eastAsia="zh-CN"/>
        </w:rPr>
        <w:t>据《</w:t>
      </w:r>
      <w:r>
        <w:rPr>
          <w:rFonts w:hint="eastAsia" w:ascii="仿宋_GB2312" w:hAnsi="宋体" w:eastAsia="仿宋_GB2312" w:cs="Calibri"/>
          <w:color w:val="auto"/>
          <w:sz w:val="28"/>
          <w:szCs w:val="28"/>
          <w:highlight w:val="none"/>
          <w:lang w:val="en-US" w:eastAsia="zh-CN"/>
        </w:rPr>
        <w:t>广西农业农村产业振兴促进会关于&lt;山茶油质量分级技术规程&gt;团体标准立项的通知</w:t>
      </w:r>
      <w:r>
        <w:rPr>
          <w:rFonts w:hint="default" w:ascii="仿宋_GB2312" w:hAnsi="宋体" w:eastAsia="仿宋_GB2312" w:cs="Calibri"/>
          <w:color w:val="auto"/>
          <w:sz w:val="28"/>
          <w:szCs w:val="28"/>
          <w:highlight w:val="none"/>
          <w:lang w:val="en-US" w:eastAsia="zh-CN"/>
        </w:rPr>
        <w:t>》</w:t>
      </w:r>
      <w:r>
        <w:rPr>
          <w:rFonts w:hint="eastAsia" w:ascii="仿宋_GB2312" w:hAnsi="宋体" w:eastAsia="仿宋_GB2312" w:cs="Calibri"/>
          <w:color w:val="auto"/>
          <w:sz w:val="28"/>
          <w:szCs w:val="28"/>
          <w:highlight w:val="none"/>
          <w:lang w:val="en-US" w:eastAsia="zh-CN"/>
        </w:rPr>
        <w:t>的通知文件，</w:t>
      </w:r>
      <w:r>
        <w:rPr>
          <w:rFonts w:hint="eastAsia" w:ascii="仿宋_GB2312" w:hAnsi="宋体" w:eastAsia="仿宋_GB2312" w:cs="Calibri"/>
          <w:color w:val="auto"/>
          <w:sz w:val="28"/>
          <w:szCs w:val="28"/>
          <w:lang w:val="en-US" w:eastAsia="zh-CN"/>
        </w:rPr>
        <w:t>本标准由</w:t>
      </w:r>
      <w:bookmarkStart w:id="1" w:name="_GoBack"/>
      <w:r>
        <w:rPr>
          <w:rFonts w:hint="eastAsia" w:ascii="仿宋_GB2312" w:hAnsi="宋体" w:eastAsia="仿宋_GB2312" w:cs="Calibri"/>
          <w:color w:val="auto"/>
          <w:sz w:val="28"/>
          <w:szCs w:val="28"/>
          <w:lang w:val="en-US" w:eastAsia="zh-CN"/>
        </w:rPr>
        <w:t>巴马瑶族自治县市场监督管理局</w:t>
      </w:r>
      <w:bookmarkEnd w:id="1"/>
      <w:r>
        <w:rPr>
          <w:rFonts w:hint="eastAsia" w:ascii="仿宋_GB2312" w:hAnsi="宋体" w:eastAsia="仿宋_GB2312" w:cs="Calibri"/>
          <w:color w:val="auto"/>
          <w:sz w:val="28"/>
          <w:szCs w:val="28"/>
          <w:lang w:val="en-US" w:eastAsia="zh-CN"/>
        </w:rPr>
        <w:t>提出，巴马瑶族自治县市场监督管理局负责起草。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二、项目背景及目的意义</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山茶油是我国特有的优质木本粮油，其不饱和脂肪酸质量分数高达80%</w:t>
      </w:r>
      <w:r>
        <w:rPr>
          <w:rFonts w:hint="eastAsia" w:ascii="仿宋_GB2312" w:hAnsi="宋体" w:eastAsia="仿宋_GB2312" w:cs="Calibri"/>
          <w:color w:val="auto"/>
          <w:sz w:val="28"/>
          <w:szCs w:val="28"/>
          <w:lang w:val="en-US" w:eastAsia="zh-CN"/>
        </w:rPr>
        <w:t>-</w:t>
      </w:r>
      <w:r>
        <w:rPr>
          <w:rFonts w:hint="default" w:ascii="仿宋_GB2312" w:hAnsi="宋体" w:eastAsia="仿宋_GB2312" w:cs="Calibri"/>
          <w:color w:val="auto"/>
          <w:sz w:val="28"/>
          <w:szCs w:val="28"/>
          <w:lang w:val="en-US" w:eastAsia="zh-CN"/>
        </w:rPr>
        <w:t>90%，且脂肪酸组成与橄榄油相似，被誉为“东方橄榄油”，长期食用有明显的降血脂、降血压、降低胆固醇等功效能有效预防动脉硬化和心脑血管疾病，具有预防肥胖及护肝的作用。山茶油中含有多种天然活性物质成分，具有抗病毒、抗氧化、抗肿瘤、提高机体免疫力的功能。山茶油中所含的活性物质是影响其品质的重要因素之一，其不仅与油茶籽的物种及产地有关，还受加工处理方式的影响。山茶油的提取方式包括压榨法、酶解法、浸提法等，其中压榨法是目前油茶产业规模化生产过程中较为常用的加工工艺，也是我国山茶油的传统制取方式。油茶籽压榨前一般会采用焙炒、烘烤湿蒸等方式进行热处理，破坏油茶籽内部的细胞组织结构，以提高山茶油的溶出。不同的预处理方式，会影响其中的微量活性成分的变化，从而影响到油脂的品质变化。</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巴马山茶油，从世界著名长寿之乡——广西巴马县山区野生油茶籽中榨取而来。独特的气候和土壤使这里的茶树果无化肥、农药污染，富含人体健康长寿的微量元素。油茶树花果同株，果实春、夏、秋、冬四季孕育，生长期长，品质高贵。目前，山茶油已经成为巴马群众经济收入的重要来源，是巴马支柱产业之一。全县10个乡镇有9个乡镇都种植有油茶苗，覆盖群众6万多农户，其中脱贫户1万多户，产业覆盖率76.9%，覆盖人口超20万人以上，油茶产业规模达39.4万亩，现有加工企业2家，小作坊16家，仅油茶产业一项可年实现人均增收1000元以上，为巴马社会经济发展、农民增收、乡村振兴注入活力。</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巴马山茶油由于独特的气候和土壤，品质较高。当前国家标准《GB/T 11765—2018  油茶籽油》中的要求对巴马山茶油的质量分级适用性不强，为更好地促进巴马山茶油的高质量发展，基于原有国标的基础上制定团体标准《山茶油质量分级技术规程》，规范巴马山茶油的质量分级，可以有效促进巴马山茶油的加工利用和品质提升，对巴马山茶油产业的高质量发展具有重要的促进意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三、项目编制过程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（一）成立标准编制工作组</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团体标准《</w:t>
      </w:r>
      <w:r>
        <w:rPr>
          <w:rFonts w:hint="eastAsia" w:ascii="仿宋_GB2312" w:hAnsi="宋体" w:eastAsia="仿宋_GB2312" w:cs="Calibri"/>
          <w:color w:val="auto"/>
          <w:sz w:val="28"/>
          <w:szCs w:val="28"/>
          <w:lang w:val="en-US" w:eastAsia="zh-CN"/>
        </w:rPr>
        <w:t>山茶油质量分级技术规程</w:t>
      </w:r>
      <w:r>
        <w:rPr>
          <w:rFonts w:hint="default" w:ascii="仿宋_GB2312" w:hAnsi="宋体" w:eastAsia="仿宋_GB2312" w:cs="Calibri"/>
          <w:color w:val="auto"/>
          <w:sz w:val="28"/>
          <w:szCs w:val="28"/>
          <w:lang w:val="en-US" w:eastAsia="zh-CN"/>
        </w:rPr>
        <w:t>》项目任务下达后，</w:t>
      </w:r>
      <w:r>
        <w:rPr>
          <w:rFonts w:hint="eastAsia" w:ascii="仿宋_GB2312" w:hAnsi="宋体" w:eastAsia="仿宋_GB2312" w:cs="Calibri"/>
          <w:color w:val="auto"/>
          <w:sz w:val="28"/>
          <w:szCs w:val="28"/>
          <w:lang w:val="en-US" w:eastAsia="zh-CN"/>
        </w:rPr>
        <w:t>巴马瑶族自治县市场监督管理局</w:t>
      </w:r>
      <w:r>
        <w:rPr>
          <w:rFonts w:hint="default" w:ascii="仿宋_GB2312" w:hAnsi="宋体" w:eastAsia="仿宋_GB2312" w:cs="Calibri"/>
          <w:color w:val="auto"/>
          <w:sz w:val="28"/>
          <w:szCs w:val="28"/>
          <w:lang w:val="en-US" w:eastAsia="zh-CN"/>
        </w:rPr>
        <w:t>成立了标准编制工作组，制定了起草编写方案与进度安排，明确任务职责，确定工作技术路线，开展标准研制工作。</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编制工作组下设三个组，分别是资料收集组、草案编写组、标准实施组。</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资料收集组负责国内外与</w:t>
      </w:r>
      <w:r>
        <w:rPr>
          <w:rFonts w:hint="eastAsia" w:ascii="仿宋_GB2312" w:hAnsi="宋体" w:eastAsia="仿宋_GB2312" w:cs="Calibri"/>
          <w:color w:val="auto"/>
          <w:sz w:val="28"/>
          <w:szCs w:val="28"/>
          <w:lang w:val="en-US" w:eastAsia="zh-CN"/>
        </w:rPr>
        <w:t>山茶油质量分级技术</w:t>
      </w:r>
      <w:r>
        <w:rPr>
          <w:rFonts w:hint="default" w:ascii="仿宋_GB2312" w:hAnsi="宋体" w:eastAsia="仿宋_GB2312" w:cs="Calibri"/>
          <w:color w:val="auto"/>
          <w:sz w:val="28"/>
          <w:szCs w:val="28"/>
          <w:lang w:val="en-US" w:eastAsia="zh-CN"/>
        </w:rPr>
        <w:t>有关的文献资料的查询、收集和整理工作，对</w:t>
      </w:r>
      <w:r>
        <w:rPr>
          <w:rFonts w:hint="eastAsia" w:ascii="仿宋_GB2312" w:hAnsi="宋体" w:eastAsia="仿宋_GB2312" w:cs="Calibri"/>
          <w:color w:val="auto"/>
          <w:sz w:val="28"/>
          <w:szCs w:val="28"/>
          <w:lang w:val="en-US" w:eastAsia="zh-CN"/>
        </w:rPr>
        <w:t>山茶油质量分级的</w:t>
      </w:r>
      <w:r>
        <w:rPr>
          <w:rFonts w:hint="default" w:ascii="仿宋_GB2312" w:hAnsi="宋体" w:eastAsia="仿宋_GB2312" w:cs="Calibri"/>
          <w:color w:val="auto"/>
          <w:sz w:val="28"/>
          <w:szCs w:val="28"/>
          <w:lang w:val="en-US" w:eastAsia="zh-CN"/>
        </w:rPr>
        <w:t>研究成果进行系统总结，查阅</w:t>
      </w:r>
      <w:r>
        <w:rPr>
          <w:rFonts w:hint="eastAsia" w:ascii="仿宋_GB2312" w:hAnsi="宋体" w:eastAsia="仿宋_GB2312" w:cs="Calibri"/>
          <w:color w:val="auto"/>
          <w:sz w:val="28"/>
          <w:szCs w:val="28"/>
          <w:lang w:val="en-US" w:eastAsia="zh-CN"/>
        </w:rPr>
        <w:t>行业内</w:t>
      </w:r>
      <w:r>
        <w:rPr>
          <w:rFonts w:hint="default" w:ascii="仿宋_GB2312" w:hAnsi="宋体" w:eastAsia="仿宋_GB2312" w:cs="Calibri"/>
          <w:color w:val="auto"/>
          <w:sz w:val="28"/>
          <w:szCs w:val="28"/>
          <w:lang w:val="en-US" w:eastAsia="zh-CN"/>
        </w:rPr>
        <w:t>对</w:t>
      </w:r>
      <w:r>
        <w:rPr>
          <w:rFonts w:hint="eastAsia" w:ascii="仿宋_GB2312" w:hAnsi="宋体" w:eastAsia="仿宋_GB2312" w:cs="Calibri"/>
          <w:color w:val="auto"/>
          <w:sz w:val="28"/>
          <w:szCs w:val="28"/>
          <w:lang w:val="en-US" w:eastAsia="zh-CN"/>
        </w:rPr>
        <w:t>山茶油质量分级技术</w:t>
      </w:r>
      <w:r>
        <w:rPr>
          <w:rFonts w:hint="default" w:ascii="仿宋_GB2312" w:hAnsi="宋体" w:eastAsia="仿宋_GB2312" w:cs="Calibri"/>
          <w:color w:val="auto"/>
          <w:sz w:val="28"/>
          <w:szCs w:val="28"/>
          <w:lang w:val="en-US" w:eastAsia="zh-CN"/>
        </w:rPr>
        <w:t>的研究进展。</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草案编写组负责起草标准草案、征求意见稿、送审稿及编制说明的编写工作，包括后期召开征求意见会、网上征求意见</w:t>
      </w:r>
      <w:r>
        <w:rPr>
          <w:rFonts w:hint="eastAsia" w:ascii="仿宋_GB2312" w:hAnsi="宋体" w:eastAsia="仿宋_GB2312" w:cs="Calibri"/>
          <w:color w:val="auto"/>
          <w:sz w:val="28"/>
          <w:szCs w:val="28"/>
          <w:lang w:val="en-US" w:eastAsia="zh-CN"/>
        </w:rPr>
        <w:t>、定向</w:t>
      </w:r>
      <w:r>
        <w:rPr>
          <w:rFonts w:hint="default" w:ascii="仿宋_GB2312" w:hAnsi="宋体" w:eastAsia="仿宋_GB2312" w:cs="Calibri"/>
          <w:color w:val="auto"/>
          <w:sz w:val="28"/>
          <w:szCs w:val="28"/>
          <w:lang w:val="en-US" w:eastAsia="zh-CN"/>
        </w:rPr>
        <w:t>征求意见</w:t>
      </w:r>
      <w:r>
        <w:rPr>
          <w:rFonts w:hint="eastAsia" w:ascii="仿宋_GB2312" w:hAnsi="宋体" w:eastAsia="仿宋_GB2312" w:cs="Calibri"/>
          <w:color w:val="auto"/>
          <w:sz w:val="28"/>
          <w:szCs w:val="28"/>
          <w:lang w:val="en-US" w:eastAsia="zh-CN"/>
        </w:rPr>
        <w:t>等</w:t>
      </w:r>
      <w:r>
        <w:rPr>
          <w:rFonts w:hint="default" w:ascii="仿宋_GB2312" w:hAnsi="宋体" w:eastAsia="仿宋_GB2312" w:cs="Calibri"/>
          <w:color w:val="auto"/>
          <w:sz w:val="28"/>
          <w:szCs w:val="28"/>
          <w:lang w:val="en-US" w:eastAsia="zh-CN"/>
        </w:rPr>
        <w:t>，以及标准的不断修改和完善。</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标准实施组负责团体标准《</w:t>
      </w:r>
      <w:r>
        <w:rPr>
          <w:rFonts w:hint="eastAsia" w:ascii="仿宋_GB2312" w:hAnsi="宋体" w:eastAsia="仿宋_GB2312" w:cs="Calibri"/>
          <w:color w:val="auto"/>
          <w:sz w:val="28"/>
          <w:szCs w:val="28"/>
          <w:lang w:val="en-US" w:eastAsia="zh-CN"/>
        </w:rPr>
        <w:t>山茶油质量分级技术规程</w:t>
      </w:r>
      <w:r>
        <w:rPr>
          <w:rFonts w:hint="default" w:ascii="仿宋_GB2312" w:hAnsi="宋体" w:eastAsia="仿宋_GB2312" w:cs="Calibri"/>
          <w:color w:val="auto"/>
          <w:sz w:val="28"/>
          <w:szCs w:val="28"/>
          <w:lang w:val="en-US" w:eastAsia="zh-CN"/>
        </w:rPr>
        <w:t>》发布后，组织相关单位、企业和农民开展标准宣贯培训会，对标准进行详细解读，让相关的工作人员了解标准，并根据标准《</w:t>
      </w:r>
      <w:r>
        <w:rPr>
          <w:rFonts w:hint="eastAsia" w:ascii="仿宋_GB2312" w:hAnsi="宋体" w:eastAsia="仿宋_GB2312" w:cs="Calibri"/>
          <w:color w:val="auto"/>
          <w:sz w:val="28"/>
          <w:szCs w:val="28"/>
          <w:lang w:val="en-US" w:eastAsia="zh-CN"/>
        </w:rPr>
        <w:t>山茶油质量分级技术规程</w:t>
      </w:r>
      <w:r>
        <w:rPr>
          <w:rFonts w:hint="default" w:ascii="仿宋_GB2312" w:hAnsi="宋体" w:eastAsia="仿宋_GB2312" w:cs="Calibri"/>
          <w:color w:val="auto"/>
          <w:sz w:val="28"/>
          <w:szCs w:val="28"/>
          <w:lang w:val="en-US" w:eastAsia="zh-CN"/>
        </w:rPr>
        <w:t>》进行操作，并对标准实施情况进行总结分析，不断对该团体标准提出修正意见。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（二）收集整理文献资料</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标准编制工作组查</w:t>
      </w:r>
      <w:r>
        <w:rPr>
          <w:rFonts w:hint="eastAsia" w:ascii="仿宋_GB2312" w:hAnsi="宋体" w:eastAsia="仿宋_GB2312" w:cs="Calibri"/>
          <w:color w:val="auto"/>
          <w:sz w:val="28"/>
          <w:szCs w:val="28"/>
          <w:lang w:val="en-US" w:eastAsia="zh-CN"/>
        </w:rPr>
        <w:t>询收集</w:t>
      </w:r>
      <w:r>
        <w:rPr>
          <w:rFonts w:hint="default" w:ascii="仿宋_GB2312" w:hAnsi="宋体" w:eastAsia="仿宋_GB2312" w:cs="Calibri"/>
          <w:color w:val="auto"/>
          <w:sz w:val="28"/>
          <w:szCs w:val="28"/>
          <w:lang w:val="en-US" w:eastAsia="zh-CN"/>
        </w:rPr>
        <w:t>国内与</w:t>
      </w:r>
      <w:r>
        <w:rPr>
          <w:rFonts w:hint="eastAsia" w:ascii="仿宋_GB2312" w:hAnsi="宋体" w:eastAsia="仿宋_GB2312" w:cs="Calibri"/>
          <w:color w:val="auto"/>
          <w:sz w:val="28"/>
          <w:szCs w:val="28"/>
          <w:lang w:val="en-US" w:eastAsia="zh-CN"/>
        </w:rPr>
        <w:t>“山茶油”、“油茶籽油”</w:t>
      </w:r>
      <w:r>
        <w:rPr>
          <w:rFonts w:hint="default" w:ascii="仿宋_GB2312" w:hAnsi="宋体" w:eastAsia="仿宋_GB2312" w:cs="Calibri"/>
          <w:color w:val="auto"/>
          <w:sz w:val="28"/>
          <w:szCs w:val="28"/>
          <w:lang w:val="en-US" w:eastAsia="zh-CN"/>
        </w:rPr>
        <w:t>相关的标准</w:t>
      </w:r>
      <w:r>
        <w:rPr>
          <w:rFonts w:hint="eastAsia" w:ascii="仿宋_GB2312" w:hAnsi="宋体" w:eastAsia="仿宋_GB2312" w:cs="Calibri"/>
          <w:color w:val="auto"/>
          <w:sz w:val="28"/>
          <w:szCs w:val="28"/>
          <w:lang w:val="en-US" w:eastAsia="zh-CN"/>
        </w:rPr>
        <w:t>及文献</w:t>
      </w:r>
      <w:r>
        <w:rPr>
          <w:rFonts w:hint="default" w:ascii="仿宋_GB2312" w:hAnsi="宋体" w:eastAsia="仿宋_GB2312" w:cs="Calibri"/>
          <w:color w:val="auto"/>
          <w:sz w:val="28"/>
          <w:szCs w:val="28"/>
          <w:lang w:val="en-US" w:eastAsia="zh-CN"/>
        </w:rPr>
        <w:t>。分别如下：</w:t>
      </w:r>
    </w:p>
    <w:p>
      <w:pPr>
        <w:spacing w:line="360" w:lineRule="auto"/>
        <w:ind w:firstLine="560" w:firstLineChars="200"/>
        <w:rPr>
          <w:rFonts w:hint="eastAsia"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目前，我国针对山茶油质量分级的现行标准有：</w:t>
      </w:r>
    </w:p>
    <w:p>
      <w:pPr>
        <w:spacing w:line="360" w:lineRule="auto"/>
        <w:ind w:firstLine="560" w:firstLineChars="200"/>
        <w:rPr>
          <w:rFonts w:hint="eastAsia"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GB/T 11765-2018  油茶籽油</w:t>
      </w:r>
    </w:p>
    <w:p>
      <w:pPr>
        <w:spacing w:line="360" w:lineRule="auto"/>
        <w:ind w:firstLine="560" w:firstLineChars="200"/>
        <w:rPr>
          <w:rFonts w:hint="eastAsia"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GB/T 24569-2009  地理标志产品 常山山茶油</w:t>
      </w:r>
    </w:p>
    <w:p>
      <w:pPr>
        <w:spacing w:line="360" w:lineRule="auto"/>
        <w:ind w:firstLine="560" w:firstLineChars="200"/>
        <w:rPr>
          <w:rFonts w:hint="eastAsia"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DB42/T 842-2012  地理标志产品 富川山茶油</w:t>
      </w:r>
    </w:p>
    <w:p>
      <w:pPr>
        <w:spacing w:line="360" w:lineRule="auto"/>
        <w:ind w:firstLine="560" w:firstLineChars="200"/>
        <w:rPr>
          <w:rFonts w:hint="eastAsia"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DB35/T 1547-2015  地理标志产品 永泰山茶油</w:t>
      </w:r>
    </w:p>
    <w:p>
      <w:pPr>
        <w:spacing w:line="360" w:lineRule="auto"/>
        <w:ind w:firstLine="560" w:firstLineChars="200"/>
        <w:rPr>
          <w:rFonts w:hint="eastAsia"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DB45/T 2050-2019  地理标志产品 百色山茶油</w:t>
      </w:r>
    </w:p>
    <w:p>
      <w:pPr>
        <w:spacing w:line="360" w:lineRule="auto"/>
        <w:ind w:firstLine="560" w:firstLineChars="200"/>
        <w:rPr>
          <w:rFonts w:hint="eastAsia"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DB4418/T 015-2020  地理标志产品 连南瑶山茶油</w:t>
      </w:r>
    </w:p>
    <w:p>
      <w:pPr>
        <w:spacing w:line="360" w:lineRule="auto"/>
        <w:ind w:firstLine="560" w:firstLineChars="200"/>
        <w:rPr>
          <w:rFonts w:hint="eastAsia"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DB3311/T 188─2021  油茶籽油加工技术规范</w:t>
      </w:r>
    </w:p>
    <w:p>
      <w:pPr>
        <w:spacing w:line="360" w:lineRule="auto"/>
        <w:ind w:firstLine="560" w:firstLineChars="200"/>
        <w:rPr>
          <w:rFonts w:hint="eastAsia"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DB43/T 2537-2022  特优油茶籽油加工技术规程</w:t>
      </w:r>
    </w:p>
    <w:p>
      <w:pPr>
        <w:spacing w:line="360" w:lineRule="auto"/>
        <w:ind w:firstLine="560" w:firstLineChars="200"/>
        <w:rPr>
          <w:rFonts w:hint="eastAsia"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DB5206/T 123-2020   物理压榨油茶籽油加工技术规程</w:t>
      </w:r>
    </w:p>
    <w:p>
      <w:pPr>
        <w:spacing w:line="360" w:lineRule="auto"/>
        <w:ind w:firstLine="560" w:firstLineChars="200"/>
        <w:rPr>
          <w:rFonts w:hint="eastAsia"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DB52/T 1026-2015  油茶籽油加工环境规范</w:t>
      </w:r>
    </w:p>
    <w:p>
      <w:pPr>
        <w:spacing w:line="360" w:lineRule="auto"/>
        <w:ind w:firstLine="560" w:firstLineChars="200"/>
        <w:rPr>
          <w:rFonts w:hint="eastAsia"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DB52/T 1017-2015  贵州油茶籽油加工技术规程</w:t>
      </w:r>
    </w:p>
    <w:p>
      <w:pPr>
        <w:spacing w:line="360" w:lineRule="auto"/>
        <w:ind w:firstLine="560" w:firstLineChars="200"/>
        <w:rPr>
          <w:rFonts w:hint="eastAsia"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DB44/T 1438-2014  油茶籽油生产技术规程</w:t>
      </w:r>
    </w:p>
    <w:p>
      <w:pPr>
        <w:spacing w:line="360" w:lineRule="auto"/>
        <w:ind w:firstLine="560" w:firstLineChars="200"/>
        <w:rPr>
          <w:rFonts w:hint="eastAsia"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通过查阅可知，其中GB/T 24569-2009、DB42/T 842-2012、DB35/T 1547-2015、DB45/T 2050-2019、DB4418/T 015-2020主要为其他产区的山茶油产品标准；DB3311/T 188─2021、DB43/T 2537-2022、DB5206/T 123-2020、DB52/T 1026-2015、DB52/T 1017-2015、DB44/T 1438-2014的主要涉及山茶油的生产技术，未涉及质量分级的内容；GB/T 11765-2018的内容涉及到不同生产工艺山茶油各等级的质量要求，但冷榨工艺中仅分成一级、二级的等级，未设有特级指标要求。通过检测，河池巴马县各大山茶油生产企业的山茶油产品均达到并超过国标中一级、二级指标的要求，由于未存在相关的等级指标，在销售市场中无法突显河池巴马县山茶油产品优于其他产区山茶油产品的质量优势。因此，制定团体标准《山茶油质量分级技术规程》具备一定程度的实用性和可操作性。</w:t>
      </w:r>
    </w:p>
    <w:p>
      <w:pPr>
        <w:spacing w:line="360" w:lineRule="auto"/>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（三）研讨确定标准主体内容</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标准编制工作组在对收集的资料进行整理研究之后，标准编制工作组召开了标准编制会议，对标准的整体框架结构进行了研究，并对标准的关</w:t>
      </w:r>
      <w:r>
        <w:rPr>
          <w:rFonts w:hint="default" w:ascii="仿宋_GB2312" w:hAnsi="宋体" w:eastAsia="仿宋_GB2312" w:cs="Calibri"/>
          <w:color w:val="auto"/>
          <w:sz w:val="28"/>
          <w:szCs w:val="28"/>
          <w:highlight w:val="none"/>
          <w:lang w:val="en-US" w:eastAsia="zh-CN"/>
        </w:rPr>
        <w:t>键性内容进行了初步探讨。经过研究，标准的主体内容确定为基基本要求、质量分级、检验方法、检验规则、等级判定的技术要求</w:t>
      </w:r>
      <w:r>
        <w:rPr>
          <w:rFonts w:hint="eastAsia" w:ascii="仿宋_GB2312" w:hAnsi="宋体" w:eastAsia="仿宋_GB2312" w:cs="Calibri"/>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（四）调研、形成征求意见稿</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202</w:t>
      </w:r>
      <w:r>
        <w:rPr>
          <w:rFonts w:hint="eastAsia" w:ascii="仿宋_GB2312" w:hAnsi="宋体" w:eastAsia="仿宋_GB2312" w:cs="Calibri"/>
          <w:color w:val="auto"/>
          <w:sz w:val="28"/>
          <w:szCs w:val="28"/>
          <w:lang w:val="en-US" w:eastAsia="zh-CN"/>
        </w:rPr>
        <w:t>4</w:t>
      </w:r>
      <w:r>
        <w:rPr>
          <w:rFonts w:hint="default" w:ascii="仿宋_GB2312" w:hAnsi="宋体" w:eastAsia="仿宋_GB2312" w:cs="Calibri"/>
          <w:color w:val="auto"/>
          <w:sz w:val="28"/>
          <w:szCs w:val="28"/>
          <w:lang w:val="en-US" w:eastAsia="zh-CN"/>
        </w:rPr>
        <w:t>年</w:t>
      </w:r>
      <w:r>
        <w:rPr>
          <w:rFonts w:hint="eastAsia" w:ascii="仿宋_GB2312" w:hAnsi="宋体" w:eastAsia="仿宋_GB2312" w:cs="Calibri"/>
          <w:color w:val="auto"/>
          <w:sz w:val="28"/>
          <w:szCs w:val="28"/>
          <w:lang w:val="en-US" w:eastAsia="zh-CN"/>
        </w:rPr>
        <w:t>1</w:t>
      </w:r>
      <w:r>
        <w:rPr>
          <w:rFonts w:hint="default" w:ascii="仿宋_GB2312" w:hAnsi="宋体" w:eastAsia="仿宋_GB2312" w:cs="Calibri"/>
          <w:color w:val="auto"/>
          <w:sz w:val="28"/>
          <w:szCs w:val="28"/>
          <w:lang w:val="en-US" w:eastAsia="zh-CN"/>
        </w:rPr>
        <w:t>月-</w:t>
      </w:r>
      <w:r>
        <w:rPr>
          <w:rFonts w:hint="eastAsia" w:ascii="仿宋_GB2312" w:hAnsi="宋体" w:eastAsia="仿宋_GB2312" w:cs="Calibri"/>
          <w:color w:val="auto"/>
          <w:sz w:val="28"/>
          <w:szCs w:val="28"/>
          <w:lang w:val="en-US" w:eastAsia="zh-CN"/>
        </w:rPr>
        <w:t>2024年3</w:t>
      </w:r>
      <w:r>
        <w:rPr>
          <w:rFonts w:hint="default" w:ascii="仿宋_GB2312" w:hAnsi="宋体" w:eastAsia="仿宋_GB2312" w:cs="Calibri"/>
          <w:color w:val="auto"/>
          <w:sz w:val="28"/>
          <w:szCs w:val="28"/>
          <w:lang w:val="en-US" w:eastAsia="zh-CN"/>
        </w:rPr>
        <w:t>月，标准起草工作</w:t>
      </w:r>
      <w:r>
        <w:rPr>
          <w:rFonts w:hint="default" w:ascii="仿宋_GB2312" w:hAnsi="宋体" w:eastAsia="仿宋_GB2312" w:cs="Calibri"/>
          <w:color w:val="auto"/>
          <w:sz w:val="28"/>
          <w:szCs w:val="28"/>
          <w:lang w:val="zh-CN" w:eastAsia="zh-CN"/>
        </w:rPr>
        <w:t>小组</w:t>
      </w:r>
      <w:r>
        <w:rPr>
          <w:rFonts w:hint="default" w:ascii="仿宋_GB2312" w:hAnsi="宋体" w:eastAsia="仿宋_GB2312" w:cs="Calibri"/>
          <w:color w:val="auto"/>
          <w:sz w:val="28"/>
          <w:szCs w:val="28"/>
          <w:lang w:val="en-US" w:eastAsia="zh-CN"/>
        </w:rPr>
        <w:t>进行了广泛实地调研工作，查阅大量国内外文献资料，对</w:t>
      </w:r>
      <w:r>
        <w:rPr>
          <w:rFonts w:hint="eastAsia" w:ascii="仿宋_GB2312" w:hAnsi="宋体" w:eastAsia="仿宋_GB2312" w:cs="Calibri"/>
          <w:color w:val="auto"/>
          <w:sz w:val="28"/>
          <w:szCs w:val="28"/>
          <w:lang w:val="en-US" w:eastAsia="zh-CN"/>
        </w:rPr>
        <w:t>山茶油质量分级</w:t>
      </w:r>
      <w:r>
        <w:rPr>
          <w:rFonts w:hint="default" w:ascii="仿宋_GB2312" w:hAnsi="宋体" w:eastAsia="仿宋_GB2312" w:cs="Calibri"/>
          <w:color w:val="auto"/>
          <w:sz w:val="28"/>
          <w:szCs w:val="28"/>
          <w:lang w:val="en-US" w:eastAsia="zh-CN"/>
        </w:rPr>
        <w:t>的研究成果进行系统总结。形成了标准的基本构架，对主要内容进行了讨论并对项目的工作进行了部署和安排。并在前期工作的基础之上，通过理清逻辑脉络，整合已有的参考资料中有关提</w:t>
      </w:r>
      <w:r>
        <w:rPr>
          <w:rFonts w:hint="eastAsia" w:ascii="仿宋_GB2312" w:hAnsi="宋体" w:eastAsia="仿宋_GB2312" w:cs="Calibri"/>
          <w:color w:val="auto"/>
          <w:sz w:val="28"/>
          <w:szCs w:val="28"/>
          <w:lang w:val="en-US" w:eastAsia="zh-CN"/>
        </w:rPr>
        <w:t>沃柑溃疡病防控技术的</w:t>
      </w:r>
      <w:r>
        <w:rPr>
          <w:rFonts w:hint="default" w:ascii="仿宋_GB2312" w:hAnsi="宋体" w:eastAsia="仿宋_GB2312" w:cs="Calibri"/>
          <w:color w:val="auto"/>
          <w:sz w:val="28"/>
          <w:szCs w:val="28"/>
          <w:lang w:val="en-US" w:eastAsia="zh-CN"/>
        </w:rPr>
        <w:t>要点，并结合当前</w:t>
      </w:r>
      <w:r>
        <w:rPr>
          <w:rFonts w:hint="eastAsia" w:ascii="仿宋_GB2312" w:hAnsi="宋体" w:eastAsia="仿宋_GB2312" w:cs="Calibri"/>
          <w:color w:val="auto"/>
          <w:sz w:val="28"/>
          <w:szCs w:val="28"/>
          <w:lang w:val="en-US" w:eastAsia="zh-CN"/>
        </w:rPr>
        <w:t>实际生产的</w:t>
      </w:r>
      <w:r>
        <w:rPr>
          <w:rFonts w:hint="default" w:ascii="仿宋_GB2312" w:hAnsi="宋体" w:eastAsia="仿宋_GB2312" w:cs="Calibri"/>
          <w:color w:val="auto"/>
          <w:sz w:val="28"/>
          <w:szCs w:val="28"/>
          <w:lang w:val="en-US" w:eastAsia="zh-CN"/>
        </w:rPr>
        <w:t>需要，按照简化、统一等原则编制完成团体标准</w:t>
      </w:r>
      <w:r>
        <w:rPr>
          <w:rFonts w:hint="default" w:ascii="仿宋_GB2312" w:hAnsi="宋体" w:eastAsia="仿宋_GB2312" w:cs="Calibri"/>
          <w:color w:val="auto"/>
          <w:sz w:val="28"/>
          <w:szCs w:val="28"/>
          <w:lang w:val="zh-CN" w:eastAsia="zh-CN"/>
        </w:rPr>
        <w:t>《</w:t>
      </w:r>
      <w:r>
        <w:rPr>
          <w:rFonts w:hint="eastAsia" w:ascii="仿宋_GB2312" w:hAnsi="宋体" w:eastAsia="仿宋_GB2312" w:cs="Calibri"/>
          <w:color w:val="auto"/>
          <w:sz w:val="28"/>
          <w:szCs w:val="28"/>
          <w:lang w:val="en-US" w:eastAsia="zh-CN"/>
        </w:rPr>
        <w:t>山茶油质量分级技术规程</w:t>
      </w:r>
      <w:r>
        <w:rPr>
          <w:rFonts w:hint="default" w:ascii="仿宋_GB2312" w:hAnsi="宋体" w:eastAsia="仿宋_GB2312" w:cs="Calibri"/>
          <w:color w:val="auto"/>
          <w:sz w:val="28"/>
          <w:szCs w:val="28"/>
          <w:lang w:val="zh-CN" w:eastAsia="zh-CN"/>
        </w:rPr>
        <w:t>》</w:t>
      </w:r>
      <w:r>
        <w:rPr>
          <w:rFonts w:hint="default" w:ascii="仿宋_GB2312" w:hAnsi="宋体" w:eastAsia="仿宋_GB2312" w:cs="Calibri"/>
          <w:color w:val="auto"/>
          <w:sz w:val="28"/>
          <w:szCs w:val="28"/>
          <w:lang w:val="en-US" w:eastAsia="zh-CN"/>
        </w:rPr>
        <w:t>（草案）。</w:t>
      </w:r>
    </w:p>
    <w:p>
      <w:pPr>
        <w:spacing w:line="360" w:lineRule="auto"/>
        <w:ind w:firstLine="560" w:firstLineChars="200"/>
        <w:rPr>
          <w:rFonts w:hint="default" w:ascii="Times New Roman" w:hAnsi="Times New Roman" w:eastAsia="仿宋_GB2312" w:cs="Times New Roman"/>
          <w:color w:val="auto"/>
          <w:kern w:val="2"/>
          <w:sz w:val="24"/>
          <w:szCs w:val="24"/>
          <w:lang w:val="en-US" w:eastAsia="zh-CN" w:bidi="ar"/>
        </w:rPr>
      </w:pPr>
      <w:r>
        <w:rPr>
          <w:rFonts w:hint="default" w:ascii="仿宋_GB2312" w:hAnsi="宋体" w:eastAsia="仿宋_GB2312" w:cs="Calibri"/>
          <w:color w:val="auto"/>
          <w:sz w:val="28"/>
          <w:szCs w:val="28"/>
          <w:lang w:val="en-US" w:eastAsia="zh-CN"/>
        </w:rPr>
        <w:t>202</w:t>
      </w:r>
      <w:r>
        <w:rPr>
          <w:rFonts w:hint="eastAsia" w:ascii="仿宋_GB2312" w:hAnsi="宋体" w:eastAsia="仿宋_GB2312" w:cs="Calibri"/>
          <w:color w:val="auto"/>
          <w:sz w:val="28"/>
          <w:szCs w:val="28"/>
          <w:lang w:val="en-US" w:eastAsia="zh-CN"/>
        </w:rPr>
        <w:t>4</w:t>
      </w:r>
      <w:r>
        <w:rPr>
          <w:rFonts w:hint="default" w:ascii="仿宋_GB2312" w:hAnsi="宋体" w:eastAsia="仿宋_GB2312" w:cs="Calibri"/>
          <w:color w:val="auto"/>
          <w:sz w:val="28"/>
          <w:szCs w:val="28"/>
          <w:lang w:val="en-US" w:eastAsia="zh-CN"/>
        </w:rPr>
        <w:t>年</w:t>
      </w:r>
      <w:r>
        <w:rPr>
          <w:rFonts w:hint="eastAsia" w:ascii="仿宋_GB2312" w:hAnsi="宋体" w:eastAsia="仿宋_GB2312" w:cs="Calibri"/>
          <w:color w:val="auto"/>
          <w:sz w:val="28"/>
          <w:szCs w:val="28"/>
          <w:lang w:val="en-US" w:eastAsia="zh-CN"/>
        </w:rPr>
        <w:t>4</w:t>
      </w:r>
      <w:r>
        <w:rPr>
          <w:rFonts w:hint="default" w:ascii="仿宋_GB2312" w:hAnsi="宋体" w:eastAsia="仿宋_GB2312" w:cs="Calibri"/>
          <w:color w:val="auto"/>
          <w:sz w:val="28"/>
          <w:szCs w:val="28"/>
          <w:lang w:val="en-US" w:eastAsia="zh-CN"/>
        </w:rPr>
        <w:t>月-</w:t>
      </w:r>
      <w:r>
        <w:rPr>
          <w:rFonts w:hint="eastAsia" w:ascii="仿宋_GB2312" w:hAnsi="宋体" w:eastAsia="仿宋_GB2312" w:cs="Calibri"/>
          <w:color w:val="auto"/>
          <w:sz w:val="28"/>
          <w:szCs w:val="28"/>
          <w:lang w:val="en-US" w:eastAsia="zh-CN"/>
        </w:rPr>
        <w:t>6</w:t>
      </w:r>
      <w:r>
        <w:rPr>
          <w:rFonts w:hint="default" w:ascii="仿宋_GB2312" w:hAnsi="宋体" w:eastAsia="仿宋_GB2312" w:cs="Calibri"/>
          <w:color w:val="auto"/>
          <w:sz w:val="28"/>
          <w:szCs w:val="28"/>
          <w:lang w:val="en-US" w:eastAsia="zh-CN"/>
        </w:rPr>
        <w:t>月，向涉及</w:t>
      </w:r>
      <w:r>
        <w:rPr>
          <w:rFonts w:hint="eastAsia" w:ascii="仿宋_GB2312" w:hAnsi="宋体" w:eastAsia="仿宋_GB2312" w:cs="Calibri"/>
          <w:color w:val="auto"/>
          <w:sz w:val="28"/>
          <w:szCs w:val="28"/>
          <w:lang w:val="en-US" w:eastAsia="zh-CN"/>
        </w:rPr>
        <w:t>相关</w:t>
      </w:r>
      <w:r>
        <w:rPr>
          <w:rFonts w:hint="default" w:ascii="仿宋_GB2312" w:hAnsi="宋体" w:eastAsia="仿宋_GB2312" w:cs="Calibri"/>
          <w:color w:val="auto"/>
          <w:sz w:val="28"/>
          <w:szCs w:val="28"/>
          <w:lang w:val="en-US" w:eastAsia="zh-CN"/>
        </w:rPr>
        <w:t>领域的部门及专家征求团体标准《</w:t>
      </w:r>
      <w:r>
        <w:rPr>
          <w:rFonts w:hint="eastAsia" w:ascii="仿宋_GB2312" w:hAnsi="宋体" w:eastAsia="仿宋_GB2312" w:cs="Calibri"/>
          <w:color w:val="auto"/>
          <w:sz w:val="28"/>
          <w:szCs w:val="28"/>
          <w:lang w:val="en-US" w:eastAsia="zh-CN"/>
        </w:rPr>
        <w:t>山茶油质量分级技术规程</w:t>
      </w:r>
      <w:r>
        <w:rPr>
          <w:rFonts w:hint="default" w:ascii="仿宋_GB2312" w:hAnsi="宋体" w:eastAsia="仿宋_GB2312" w:cs="Calibri"/>
          <w:color w:val="auto"/>
          <w:sz w:val="28"/>
          <w:szCs w:val="28"/>
          <w:lang w:val="en-US" w:eastAsia="zh-CN"/>
        </w:rPr>
        <w:t>》（草案）意见。根据标准要点框架技术内容，再次修改标准草案，形成团体标准《</w:t>
      </w:r>
      <w:r>
        <w:rPr>
          <w:rFonts w:hint="eastAsia" w:ascii="仿宋_GB2312" w:hAnsi="宋体" w:eastAsia="仿宋_GB2312" w:cs="Calibri"/>
          <w:color w:val="auto"/>
          <w:sz w:val="28"/>
          <w:szCs w:val="28"/>
          <w:lang w:val="en-US" w:eastAsia="zh-CN"/>
        </w:rPr>
        <w:t>山茶油质量分级技术规程</w:t>
      </w:r>
      <w:r>
        <w:rPr>
          <w:rFonts w:hint="default" w:ascii="仿宋_GB2312" w:hAnsi="宋体" w:eastAsia="仿宋_GB2312" w:cs="Calibri"/>
          <w:color w:val="auto"/>
          <w:sz w:val="28"/>
          <w:szCs w:val="28"/>
          <w:lang w:val="en-US" w:eastAsia="zh-CN"/>
        </w:rPr>
        <w:t>》（征求意见稿）及编制说明（征求意见稿）</w:t>
      </w:r>
      <w:r>
        <w:rPr>
          <w:rFonts w:hint="default" w:ascii="Times New Roman" w:hAnsi="Times New Roman" w:eastAsia="仿宋_GB2312" w:cs="Times New Roman"/>
          <w:color w:val="auto"/>
          <w:kern w:val="2"/>
          <w:sz w:val="24"/>
          <w:szCs w:val="24"/>
          <w:lang w:val="en-US" w:eastAsia="zh-CN" w:bidi="ar"/>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bookmarkStart w:id="0" w:name="_Toc526940083"/>
      <w:r>
        <w:rPr>
          <w:rFonts w:hint="default" w:ascii="Times New Roman" w:hAnsi="Times New Roman" w:eastAsia="黑体" w:cs="Times New Roman"/>
          <w:color w:val="auto"/>
          <w:sz w:val="32"/>
          <w:szCs w:val="32"/>
        </w:rPr>
        <w:t>四、标准制定原则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1、实用性原则</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本文件是在充分收集相关资料和文献，调研分析</w:t>
      </w:r>
      <w:r>
        <w:rPr>
          <w:rFonts w:hint="eastAsia" w:ascii="仿宋_GB2312" w:hAnsi="宋体" w:eastAsia="仿宋_GB2312" w:cs="Calibri"/>
          <w:color w:val="auto"/>
          <w:sz w:val="28"/>
          <w:szCs w:val="28"/>
          <w:lang w:val="en-US" w:eastAsia="zh-CN"/>
        </w:rPr>
        <w:t>山茶油质量分级</w:t>
      </w:r>
      <w:r>
        <w:rPr>
          <w:rFonts w:hint="default" w:ascii="仿宋_GB2312" w:hAnsi="宋体" w:eastAsia="仿宋_GB2312" w:cs="Calibri"/>
          <w:color w:val="auto"/>
          <w:sz w:val="28"/>
          <w:szCs w:val="28"/>
          <w:lang w:val="en-US" w:eastAsia="zh-CN"/>
        </w:rPr>
        <w:t>现状，在现有国家、行业和地方标准相关技术要求的基础上，结合</w:t>
      </w:r>
      <w:r>
        <w:rPr>
          <w:rFonts w:hint="eastAsia" w:ascii="仿宋_GB2312" w:hAnsi="宋体" w:eastAsia="仿宋_GB2312" w:cs="Calibri"/>
          <w:color w:val="auto"/>
          <w:sz w:val="28"/>
          <w:szCs w:val="28"/>
          <w:lang w:val="en-US" w:eastAsia="zh-CN"/>
        </w:rPr>
        <w:t>巴马瑶族自治县市场监督管理局等</w:t>
      </w:r>
      <w:r>
        <w:rPr>
          <w:rFonts w:hint="default" w:ascii="仿宋_GB2312" w:hAnsi="宋体" w:eastAsia="仿宋_GB2312" w:cs="Calibri"/>
          <w:color w:val="auto"/>
          <w:sz w:val="28"/>
          <w:szCs w:val="28"/>
          <w:lang w:val="en-US" w:eastAsia="zh-CN"/>
        </w:rPr>
        <w:t>单位多年的实验研究数据和示范应用经验而总结起草的。符合当前</w:t>
      </w:r>
      <w:r>
        <w:rPr>
          <w:rFonts w:hint="eastAsia" w:ascii="仿宋_GB2312" w:hAnsi="宋体" w:eastAsia="仿宋_GB2312" w:cs="Calibri"/>
          <w:color w:val="auto"/>
          <w:sz w:val="28"/>
          <w:szCs w:val="28"/>
          <w:lang w:val="en-US" w:eastAsia="zh-CN"/>
        </w:rPr>
        <w:t>山茶油产业的</w:t>
      </w:r>
      <w:r>
        <w:rPr>
          <w:rFonts w:hint="default" w:ascii="仿宋_GB2312" w:hAnsi="宋体" w:eastAsia="仿宋_GB2312" w:cs="Calibri"/>
          <w:color w:val="auto"/>
          <w:sz w:val="28"/>
          <w:szCs w:val="28"/>
          <w:lang w:val="en-US" w:eastAsia="zh-CN"/>
        </w:rPr>
        <w:t>发展需求，有利于</w:t>
      </w:r>
      <w:r>
        <w:rPr>
          <w:rFonts w:hint="eastAsia" w:ascii="仿宋_GB2312" w:hAnsi="宋体" w:eastAsia="仿宋_GB2312" w:cs="Calibri"/>
          <w:color w:val="auto"/>
          <w:sz w:val="28"/>
          <w:szCs w:val="28"/>
          <w:lang w:val="en-US" w:eastAsia="zh-CN"/>
        </w:rPr>
        <w:t>产业</w:t>
      </w:r>
      <w:r>
        <w:rPr>
          <w:rFonts w:hint="default" w:ascii="仿宋_GB2312" w:hAnsi="宋体" w:eastAsia="仿宋_GB2312" w:cs="Calibri"/>
          <w:color w:val="auto"/>
          <w:sz w:val="28"/>
          <w:szCs w:val="28"/>
          <w:lang w:val="en-US" w:eastAsia="zh-CN"/>
        </w:rPr>
        <w:t>的高质量可持续长远发展，具有较强的实用性和可操作性。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2、协调性原则</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本文件编写过程中注意了与</w:t>
      </w:r>
      <w:r>
        <w:rPr>
          <w:rFonts w:hint="eastAsia" w:ascii="仿宋_GB2312" w:hAnsi="宋体" w:eastAsia="仿宋_GB2312" w:cs="Calibri"/>
          <w:color w:val="auto"/>
          <w:sz w:val="28"/>
          <w:szCs w:val="28"/>
          <w:lang w:val="en-US" w:eastAsia="zh-CN"/>
        </w:rPr>
        <w:t>山茶油质量分级</w:t>
      </w:r>
      <w:r>
        <w:rPr>
          <w:rFonts w:hint="default" w:ascii="仿宋_GB2312" w:hAnsi="宋体" w:eastAsia="仿宋_GB2312" w:cs="Calibri"/>
          <w:color w:val="auto"/>
          <w:sz w:val="28"/>
          <w:szCs w:val="28"/>
          <w:lang w:val="en-US" w:eastAsia="zh-CN"/>
        </w:rPr>
        <w:t>相关的法律法规的协调问题，在内容上与现行法律法规、标准协调一致。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3、规范性原则</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本文件严格按照GB/T 1.1—2020《标准化工作导则  第1部分：标准化文件的结构和起草规则》的要求和规定编写本标准的内容，保证标准的编写质量。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4、前瞻性原则</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本文件在兼顾当前</w:t>
      </w:r>
      <w:r>
        <w:rPr>
          <w:rFonts w:hint="eastAsia" w:ascii="仿宋_GB2312" w:hAnsi="宋体" w:eastAsia="仿宋_GB2312" w:cs="Calibri"/>
          <w:color w:val="auto"/>
          <w:sz w:val="28"/>
          <w:szCs w:val="28"/>
          <w:lang w:val="en-US" w:eastAsia="zh-CN"/>
        </w:rPr>
        <w:t>山茶油质量分级的</w:t>
      </w:r>
      <w:r>
        <w:rPr>
          <w:rFonts w:hint="default" w:ascii="仿宋_GB2312" w:hAnsi="宋体" w:eastAsia="仿宋_GB2312" w:cs="Calibri"/>
          <w:color w:val="auto"/>
          <w:sz w:val="28"/>
          <w:szCs w:val="28"/>
          <w:lang w:val="en-US" w:eastAsia="zh-CN"/>
        </w:rPr>
        <w:t>现实情况，</w:t>
      </w:r>
      <w:r>
        <w:rPr>
          <w:rFonts w:hint="eastAsia" w:ascii="仿宋_GB2312" w:hAnsi="宋体" w:eastAsia="仿宋_GB2312" w:cs="Calibri"/>
          <w:color w:val="auto"/>
          <w:sz w:val="28"/>
          <w:szCs w:val="28"/>
          <w:lang w:val="en-US" w:eastAsia="zh-CN"/>
        </w:rPr>
        <w:t>并</w:t>
      </w:r>
      <w:r>
        <w:rPr>
          <w:rFonts w:hint="default" w:ascii="仿宋_GB2312" w:hAnsi="宋体" w:eastAsia="仿宋_GB2312" w:cs="Calibri"/>
          <w:color w:val="auto"/>
          <w:sz w:val="28"/>
          <w:szCs w:val="28"/>
          <w:lang w:val="en-US" w:eastAsia="zh-CN"/>
        </w:rPr>
        <w:t>考虑</w:t>
      </w:r>
      <w:r>
        <w:rPr>
          <w:rFonts w:hint="eastAsia" w:ascii="仿宋_GB2312" w:hAnsi="宋体" w:eastAsia="仿宋_GB2312" w:cs="Calibri"/>
          <w:color w:val="auto"/>
          <w:sz w:val="28"/>
          <w:szCs w:val="28"/>
          <w:lang w:val="en-US" w:eastAsia="zh-CN"/>
        </w:rPr>
        <w:t>产业</w:t>
      </w:r>
      <w:r>
        <w:rPr>
          <w:rFonts w:hint="default" w:ascii="仿宋_GB2312" w:hAnsi="宋体" w:eastAsia="仿宋_GB2312" w:cs="Calibri"/>
          <w:color w:val="auto"/>
          <w:sz w:val="28"/>
          <w:szCs w:val="28"/>
          <w:lang w:val="en-US" w:eastAsia="zh-CN"/>
        </w:rPr>
        <w:t>快速发展的趋势和需要，在标准中体现了个别特色性、前瞻性和先进性条款，作为对</w:t>
      </w:r>
      <w:r>
        <w:rPr>
          <w:rFonts w:hint="eastAsia" w:ascii="仿宋_GB2312" w:hAnsi="宋体" w:eastAsia="仿宋_GB2312" w:cs="Calibri"/>
          <w:color w:val="auto"/>
          <w:sz w:val="28"/>
          <w:szCs w:val="28"/>
          <w:lang w:val="en-US" w:eastAsia="zh-CN"/>
        </w:rPr>
        <w:t>山茶油</w:t>
      </w:r>
      <w:r>
        <w:rPr>
          <w:rFonts w:hint="default" w:ascii="仿宋_GB2312" w:hAnsi="宋体" w:eastAsia="仿宋_GB2312" w:cs="Calibri"/>
          <w:color w:val="auto"/>
          <w:sz w:val="28"/>
          <w:szCs w:val="28"/>
          <w:lang w:val="en-US" w:eastAsia="zh-CN"/>
        </w:rPr>
        <w:t>产业</w:t>
      </w:r>
      <w:r>
        <w:rPr>
          <w:rFonts w:hint="default" w:ascii="仿宋_GB2312" w:hAnsi="宋体" w:eastAsia="仿宋_GB2312" w:cs="Calibri"/>
          <w:color w:val="auto"/>
          <w:sz w:val="28"/>
          <w:szCs w:val="28"/>
          <w:lang w:val="zh-CN" w:eastAsia="zh-CN"/>
        </w:rPr>
        <w:t>高质量</w:t>
      </w:r>
      <w:r>
        <w:rPr>
          <w:rFonts w:hint="default" w:ascii="仿宋_GB2312" w:hAnsi="宋体" w:eastAsia="仿宋_GB2312" w:cs="Calibri"/>
          <w:color w:val="auto"/>
          <w:sz w:val="28"/>
          <w:szCs w:val="28"/>
          <w:lang w:val="en-US" w:eastAsia="zh-CN"/>
        </w:rPr>
        <w:t>发展的指导。</w:t>
      </w:r>
    </w:p>
    <w:bookmarkEnd w:id="0"/>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kern w:val="2"/>
          <w:sz w:val="32"/>
          <w:szCs w:val="32"/>
          <w:highlight w:val="none"/>
          <w:lang w:val="en-US" w:eastAsia="zh-CN" w:bidi="ar-SA"/>
        </w:rPr>
        <w:t>五、</w:t>
      </w:r>
      <w:r>
        <w:rPr>
          <w:rFonts w:hint="default" w:ascii="Times New Roman" w:hAnsi="Times New Roman" w:eastAsia="黑体" w:cs="Times New Roman"/>
          <w:color w:val="auto"/>
          <w:sz w:val="32"/>
          <w:szCs w:val="32"/>
          <w:highlight w:val="none"/>
        </w:rPr>
        <w:t>标准主要内容及依据来源</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（一）</w:t>
      </w:r>
      <w:r>
        <w:rPr>
          <w:rFonts w:hint="default" w:ascii="仿宋_GB2312" w:hAnsi="宋体" w:eastAsia="仿宋_GB2312" w:cs="Calibri"/>
          <w:color w:val="auto"/>
          <w:sz w:val="28"/>
          <w:szCs w:val="28"/>
          <w:lang w:val="en-US" w:eastAsia="zh-CN"/>
        </w:rPr>
        <w:t>主要内容</w:t>
      </w:r>
    </w:p>
    <w:p>
      <w:pPr>
        <w:spacing w:line="360" w:lineRule="auto"/>
        <w:ind w:firstLine="560" w:firstLineChars="200"/>
        <w:rPr>
          <w:rFonts w:hint="default" w:ascii="仿宋_GB2312" w:hAnsi="宋体" w:eastAsia="仿宋_GB2312" w:cs="Calibri"/>
          <w:color w:val="auto"/>
          <w:sz w:val="28"/>
          <w:szCs w:val="28"/>
          <w:highlight w:val="none"/>
          <w:lang w:val="en-US" w:eastAsia="zh-CN"/>
        </w:rPr>
      </w:pPr>
      <w:r>
        <w:rPr>
          <w:rFonts w:hint="default" w:ascii="仿宋_GB2312" w:hAnsi="宋体" w:eastAsia="仿宋_GB2312" w:cs="Calibri"/>
          <w:color w:val="auto"/>
          <w:sz w:val="28"/>
          <w:szCs w:val="28"/>
          <w:highlight w:val="none"/>
          <w:lang w:val="en-US" w:eastAsia="zh-CN"/>
        </w:rPr>
        <w:t>本文件界定了山茶油质量分级的相关术语和定义，确立了山茶油质量分级的程序，规定了基本要求、质量分级、检验方法、检验规则、等级判定的技术要求。</w:t>
      </w:r>
    </w:p>
    <w:p>
      <w:pPr>
        <w:spacing w:line="360" w:lineRule="auto"/>
        <w:ind w:firstLine="560" w:firstLineChars="200"/>
        <w:rPr>
          <w:rFonts w:hint="default" w:ascii="仿宋_GB2312" w:hAnsi="宋体" w:eastAsia="仿宋_GB2312" w:cs="Calibri"/>
          <w:color w:val="auto"/>
          <w:sz w:val="28"/>
          <w:szCs w:val="28"/>
          <w:highlight w:val="none"/>
          <w:lang w:val="en-US" w:eastAsia="zh-CN"/>
        </w:rPr>
      </w:pPr>
      <w:r>
        <w:rPr>
          <w:rFonts w:hint="default" w:ascii="仿宋_GB2312" w:hAnsi="宋体" w:eastAsia="仿宋_GB2312" w:cs="Calibri"/>
          <w:color w:val="auto"/>
          <w:sz w:val="28"/>
          <w:szCs w:val="28"/>
          <w:highlight w:val="none"/>
          <w:lang w:val="en-US" w:eastAsia="zh-CN"/>
        </w:rPr>
        <w:t>本文件适用于冷榨山茶油的质量分级。</w:t>
      </w:r>
    </w:p>
    <w:p>
      <w:pPr>
        <w:numPr>
          <w:ilvl w:val="0"/>
          <w:numId w:val="0"/>
        </w:numPr>
        <w:spacing w:line="360" w:lineRule="auto"/>
        <w:ind w:firstLine="560" w:firstLineChars="200"/>
        <w:rPr>
          <w:rFonts w:hint="eastAsia" w:ascii="仿宋_GB2312" w:hAnsi="宋体" w:eastAsia="仿宋_GB2312" w:cs="Calibri"/>
          <w:color w:val="auto"/>
          <w:sz w:val="28"/>
          <w:szCs w:val="28"/>
          <w:highlight w:val="none"/>
          <w:lang w:val="en-US" w:eastAsia="zh-CN"/>
        </w:rPr>
      </w:pPr>
      <w:r>
        <w:rPr>
          <w:rFonts w:hint="eastAsia" w:ascii="仿宋_GB2312" w:hAnsi="宋体" w:eastAsia="仿宋_GB2312" w:cs="Calibri"/>
          <w:color w:val="auto"/>
          <w:kern w:val="2"/>
          <w:sz w:val="28"/>
          <w:szCs w:val="28"/>
          <w:lang w:val="en-US" w:eastAsia="zh-CN" w:bidi="ar-SA"/>
        </w:rPr>
        <w:t>（二）</w:t>
      </w:r>
      <w:r>
        <w:rPr>
          <w:rFonts w:hint="eastAsia" w:ascii="仿宋_GB2312" w:hAnsi="宋体" w:eastAsia="仿宋_GB2312" w:cs="Calibri"/>
          <w:color w:val="auto"/>
          <w:sz w:val="28"/>
          <w:szCs w:val="28"/>
          <w:highlight w:val="none"/>
          <w:lang w:val="en-US" w:eastAsia="zh-CN"/>
        </w:rPr>
        <w:t>关键指标依据来源</w:t>
      </w:r>
    </w:p>
    <w:p>
      <w:pPr>
        <w:numPr>
          <w:ilvl w:val="0"/>
          <w:numId w:val="0"/>
        </w:numPr>
        <w:spacing w:line="360" w:lineRule="auto"/>
        <w:ind w:firstLine="560" w:firstLineChars="200"/>
        <w:rPr>
          <w:rFonts w:hint="eastAsia" w:ascii="仿宋_GB2312" w:hAnsi="宋体" w:eastAsia="仿宋_GB2312" w:cs="Calibri"/>
          <w:color w:val="auto"/>
          <w:sz w:val="28"/>
          <w:szCs w:val="28"/>
          <w:highlight w:val="none"/>
          <w:lang w:val="en-US" w:eastAsia="zh-CN"/>
        </w:rPr>
      </w:pPr>
      <w:r>
        <w:rPr>
          <w:rFonts w:hint="eastAsia" w:ascii="仿宋_GB2312" w:hAnsi="宋体" w:eastAsia="仿宋_GB2312" w:cs="Calibri"/>
          <w:color w:val="auto"/>
          <w:sz w:val="28"/>
          <w:szCs w:val="28"/>
          <w:highlight w:val="none"/>
          <w:lang w:val="en-US" w:eastAsia="zh-CN"/>
        </w:rPr>
        <w:t>1、感官指标</w:t>
      </w:r>
    </w:p>
    <w:p>
      <w:pPr>
        <w:pStyle w:val="3"/>
        <w:jc w:val="center"/>
        <w:rPr>
          <w:sz w:val="24"/>
          <w:szCs w:val="36"/>
        </w:rPr>
      </w:pPr>
      <w:r>
        <w:rPr>
          <w:sz w:val="24"/>
          <w:szCs w:val="36"/>
          <w:lang w:val="en-US" w:eastAsia="zh-CN"/>
        </w:rPr>
        <w:t>表1　</w:t>
      </w:r>
      <w:r>
        <w:rPr>
          <w:rFonts w:hint="eastAsia"/>
          <w:sz w:val="24"/>
          <w:szCs w:val="36"/>
        </w:rPr>
        <w:t>压榨山茶油感官指标</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038"/>
        <w:gridCol w:w="1933"/>
        <w:gridCol w:w="2066"/>
        <w:gridCol w:w="20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vMerge w:val="restart"/>
            <w:tcBorders>
              <w:top w:val="single" w:color="auto" w:sz="8"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项目</w:t>
            </w:r>
          </w:p>
        </w:tc>
        <w:tc>
          <w:tcPr>
            <w:tcW w:w="6224" w:type="dxa"/>
            <w:gridSpan w:val="3"/>
            <w:tcBorders>
              <w:top w:val="single" w:color="auto" w:sz="8" w:space="0"/>
              <w:bottom w:val="single" w:color="auto" w:sz="8"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25"/>
              <w:keepNext w:val="0"/>
              <w:keepLines w:val="0"/>
              <w:widowControl/>
              <w:suppressLineNumbers w:val="0"/>
              <w:spacing w:before="0" w:beforeAutospacing="0" w:after="0" w:afterAutospacing="0"/>
              <w:ind w:left="0" w:right="0"/>
              <w:rPr>
                <w:rFonts w:hint="eastAsia" w:ascii="仿宋" w:hAnsi="仿宋" w:eastAsia="仿宋" w:cs="仿宋"/>
                <w:sz w:val="21"/>
                <w:szCs w:val="21"/>
                <w:highlight w:val="none"/>
              </w:rPr>
            </w:pPr>
          </w:p>
        </w:tc>
        <w:tc>
          <w:tcPr>
            <w:tcW w:w="1983" w:type="dxa"/>
            <w:tcBorders>
              <w:top w:val="single" w:color="auto" w:sz="8"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特级</w:t>
            </w:r>
          </w:p>
        </w:tc>
        <w:tc>
          <w:tcPr>
            <w:tcW w:w="2127" w:type="dxa"/>
            <w:tcBorders>
              <w:top w:val="single" w:color="auto" w:sz="8"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一级</w:t>
            </w:r>
          </w:p>
        </w:tc>
        <w:tc>
          <w:tcPr>
            <w:tcW w:w="2114" w:type="dxa"/>
            <w:tcBorders>
              <w:top w:val="single" w:color="auto" w:sz="8"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二级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25"/>
              <w:keepNext w:val="0"/>
              <w:keepLines w:val="0"/>
              <w:widowControl/>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色泽</w:t>
            </w:r>
          </w:p>
        </w:tc>
        <w:tc>
          <w:tcPr>
            <w:tcW w:w="1983" w:type="dxa"/>
            <w:shd w:val="clear" w:color="auto" w:fill="auto"/>
            <w:vAlign w:val="center"/>
          </w:tcPr>
          <w:p>
            <w:pPr>
              <w:pStyle w:val="25"/>
              <w:keepNext w:val="0"/>
              <w:keepLines w:val="0"/>
              <w:widowControl/>
              <w:suppressLineNumbers w:val="0"/>
              <w:spacing w:before="0" w:beforeAutospacing="0" w:after="0" w:afterAutospacing="0"/>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浅黄色</w:t>
            </w:r>
            <w:r>
              <w:rPr>
                <w:rFonts w:hint="eastAsia" w:ascii="仿宋" w:hAnsi="仿宋" w:eastAsia="仿宋" w:cs="仿宋"/>
                <w:sz w:val="21"/>
                <w:szCs w:val="21"/>
                <w:highlight w:val="none"/>
                <w:lang w:val="en-US" w:eastAsia="zh-CN"/>
              </w:rPr>
              <w:t>至</w:t>
            </w:r>
            <w:r>
              <w:rPr>
                <w:rFonts w:hint="eastAsia" w:ascii="仿宋" w:hAnsi="仿宋" w:eastAsia="仿宋" w:cs="仿宋"/>
                <w:sz w:val="21"/>
                <w:szCs w:val="21"/>
                <w:highlight w:val="none"/>
              </w:rPr>
              <w:t>金黄色</w:t>
            </w:r>
          </w:p>
        </w:tc>
        <w:tc>
          <w:tcPr>
            <w:tcW w:w="2127" w:type="dxa"/>
            <w:shd w:val="clear" w:color="auto" w:fill="auto"/>
            <w:vAlign w:val="center"/>
          </w:tcPr>
          <w:p>
            <w:pPr>
              <w:pStyle w:val="25"/>
              <w:keepNext w:val="0"/>
              <w:keepLines w:val="0"/>
              <w:widowControl/>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淡黄色至橙黄色</w:t>
            </w:r>
          </w:p>
        </w:tc>
        <w:tc>
          <w:tcPr>
            <w:tcW w:w="2114" w:type="dxa"/>
            <w:shd w:val="clear" w:color="auto" w:fill="auto"/>
            <w:vAlign w:val="center"/>
          </w:tcPr>
          <w:p>
            <w:pPr>
              <w:pStyle w:val="25"/>
              <w:keepNext w:val="0"/>
              <w:keepLines w:val="0"/>
              <w:widowControl/>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淡黄色至棕黄色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25"/>
              <w:keepNext w:val="0"/>
              <w:keepLines w:val="0"/>
              <w:widowControl/>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透明度（20℃）</w:t>
            </w:r>
          </w:p>
        </w:tc>
        <w:tc>
          <w:tcPr>
            <w:tcW w:w="1983" w:type="dxa"/>
            <w:shd w:val="clear" w:color="auto" w:fill="auto"/>
            <w:vAlign w:val="center"/>
          </w:tcPr>
          <w:p>
            <w:pPr>
              <w:pStyle w:val="25"/>
              <w:keepNext w:val="0"/>
              <w:keepLines w:val="0"/>
              <w:widowControl/>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澄清</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透明</w:t>
            </w:r>
          </w:p>
        </w:tc>
        <w:tc>
          <w:tcPr>
            <w:tcW w:w="2127" w:type="dxa"/>
            <w:shd w:val="clear" w:color="auto" w:fill="auto"/>
            <w:vAlign w:val="center"/>
          </w:tcPr>
          <w:p>
            <w:pPr>
              <w:pStyle w:val="25"/>
              <w:keepNext w:val="0"/>
              <w:keepLines w:val="0"/>
              <w:widowControl/>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清澈</w:t>
            </w:r>
          </w:p>
        </w:tc>
        <w:tc>
          <w:tcPr>
            <w:tcW w:w="2114" w:type="dxa"/>
            <w:shd w:val="clear" w:color="auto" w:fill="auto"/>
            <w:vAlign w:val="center"/>
          </w:tcPr>
          <w:p>
            <w:pPr>
              <w:pStyle w:val="25"/>
              <w:keepNext w:val="0"/>
              <w:keepLines w:val="0"/>
              <w:widowControl/>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微浊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25"/>
              <w:keepNext w:val="0"/>
              <w:keepLines w:val="0"/>
              <w:widowControl/>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气味、滋味</w:t>
            </w:r>
          </w:p>
        </w:tc>
        <w:tc>
          <w:tcPr>
            <w:tcW w:w="6224" w:type="dxa"/>
            <w:gridSpan w:val="3"/>
            <w:shd w:val="clear" w:color="auto" w:fill="auto"/>
            <w:vAlign w:val="center"/>
          </w:tcPr>
          <w:p>
            <w:pPr>
              <w:pStyle w:val="25"/>
              <w:keepNext w:val="0"/>
              <w:keepLines w:val="0"/>
              <w:widowControl/>
              <w:suppressLineNumbers w:val="0"/>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具有山茶油固有的气味和滋味，无异味</w:t>
            </w:r>
          </w:p>
        </w:tc>
      </w:tr>
    </w:tbl>
    <w:p>
      <w:pPr>
        <w:numPr>
          <w:ilvl w:val="0"/>
          <w:numId w:val="0"/>
        </w:numPr>
        <w:spacing w:line="360" w:lineRule="auto"/>
        <w:ind w:firstLine="560" w:firstLineChars="200"/>
        <w:rPr>
          <w:rFonts w:hint="default" w:ascii="仿宋_GB2312" w:hAnsi="宋体" w:eastAsia="仿宋_GB2312" w:cs="Calibri"/>
          <w:color w:val="auto"/>
          <w:sz w:val="28"/>
          <w:szCs w:val="28"/>
          <w:highlight w:val="none"/>
          <w:lang w:val="en-US" w:eastAsia="zh-CN"/>
        </w:rPr>
      </w:pPr>
      <w:r>
        <w:rPr>
          <w:rFonts w:hint="eastAsia" w:ascii="仿宋_GB2312" w:hAnsi="宋体" w:eastAsia="仿宋_GB2312" w:cs="Calibri"/>
          <w:color w:val="auto"/>
          <w:sz w:val="28"/>
          <w:szCs w:val="28"/>
          <w:highlight w:val="none"/>
          <w:lang w:val="en-US" w:eastAsia="zh-CN"/>
        </w:rPr>
        <w:t>特级山茶油的“色泽”、“透明度”指标根据行业内特级产品的要求确定；特级山茶油“气味、滋味”指标和一级、二级山茶油的感官指标依据GB/T 11765—2018《油茶籽油》中的指标确定。</w:t>
      </w:r>
    </w:p>
    <w:p>
      <w:pPr>
        <w:numPr>
          <w:ilvl w:val="0"/>
          <w:numId w:val="0"/>
        </w:numPr>
        <w:spacing w:line="360" w:lineRule="auto"/>
        <w:ind w:firstLine="560" w:firstLineChars="200"/>
        <w:rPr>
          <w:rFonts w:hint="eastAsia" w:ascii="仿宋_GB2312" w:hAnsi="宋体" w:eastAsia="仿宋_GB2312" w:cs="Calibri"/>
          <w:color w:val="auto"/>
          <w:sz w:val="28"/>
          <w:szCs w:val="28"/>
          <w:highlight w:val="none"/>
          <w:lang w:val="en-US" w:eastAsia="zh-CN"/>
        </w:rPr>
      </w:pPr>
      <w:r>
        <w:rPr>
          <w:rFonts w:hint="eastAsia" w:ascii="仿宋_GB2312" w:hAnsi="宋体" w:eastAsia="仿宋_GB2312" w:cs="Calibri"/>
          <w:color w:val="auto"/>
          <w:sz w:val="28"/>
          <w:szCs w:val="28"/>
          <w:highlight w:val="none"/>
          <w:lang w:val="en-US" w:eastAsia="zh-CN"/>
        </w:rPr>
        <w:t>2、理化指标</w:t>
      </w:r>
    </w:p>
    <w:p>
      <w:pPr>
        <w:numPr>
          <w:ilvl w:val="0"/>
          <w:numId w:val="0"/>
        </w:numPr>
        <w:spacing w:line="360" w:lineRule="auto"/>
        <w:ind w:firstLine="560" w:firstLineChars="200"/>
        <w:rPr>
          <w:rFonts w:hint="eastAsia" w:ascii="仿宋_GB2312" w:hAnsi="宋体" w:eastAsia="仿宋_GB2312" w:cs="Calibri"/>
          <w:color w:val="auto"/>
          <w:sz w:val="28"/>
          <w:szCs w:val="28"/>
          <w:highlight w:val="none"/>
          <w:lang w:val="en-US" w:eastAsia="zh-CN"/>
        </w:rPr>
      </w:pPr>
      <w:r>
        <w:rPr>
          <w:rFonts w:hint="eastAsia" w:ascii="仿宋_GB2312" w:hAnsi="宋体" w:eastAsia="仿宋_GB2312" w:cs="Calibri"/>
          <w:color w:val="auto"/>
          <w:sz w:val="28"/>
          <w:szCs w:val="28"/>
          <w:highlight w:val="none"/>
          <w:lang w:val="en-US" w:eastAsia="zh-CN"/>
        </w:rPr>
        <w:t>酸价和过氧化值是其要控制的主要质量安全指标，也是评价油脂品质好坏的主要依据、国家食品卫生检验强制必检项目。</w:t>
      </w:r>
    </w:p>
    <w:p>
      <w:pPr>
        <w:numPr>
          <w:ilvl w:val="0"/>
          <w:numId w:val="0"/>
        </w:numPr>
        <w:spacing w:line="360" w:lineRule="auto"/>
        <w:ind w:firstLine="560" w:firstLineChars="200"/>
        <w:rPr>
          <w:rFonts w:hint="eastAsia" w:ascii="仿宋_GB2312" w:hAnsi="宋体" w:eastAsia="仿宋_GB2312" w:cs="Calibri"/>
          <w:color w:val="auto"/>
          <w:sz w:val="28"/>
          <w:szCs w:val="28"/>
          <w:highlight w:val="none"/>
          <w:lang w:val="en-US" w:eastAsia="zh-CN"/>
        </w:rPr>
      </w:pPr>
      <w:r>
        <w:rPr>
          <w:rFonts w:hint="eastAsia" w:ascii="仿宋_GB2312" w:hAnsi="宋体" w:eastAsia="仿宋_GB2312" w:cs="Calibri"/>
          <w:color w:val="auto"/>
          <w:sz w:val="28"/>
          <w:szCs w:val="28"/>
          <w:highlight w:val="none"/>
          <w:lang w:val="en-US" w:eastAsia="zh-CN"/>
        </w:rPr>
        <w:t>“酸价”是对化合物（例如脂肪酸）或混合物中游离羧酸基团数量的一个计量标准。酸价是脂肪中游离脂肪酸含量的标志，脂肪在长期保藏过程中，由于微生物、酶和热的作用发生缓慢水解，产生游离脂肪酸。而脂肪的质量与其中游离脂肪酸的含量有关。一般常用酸价作为衡量标准之一。在脂肪生产的条件下，酸价可作为水解程度的指标，在其保藏的条件下，则可作为酸败的指标。酸价越小，说明油脂质量越好，新鲜度和精炼程度越好。</w:t>
      </w:r>
    </w:p>
    <w:p>
      <w:pPr>
        <w:numPr>
          <w:ilvl w:val="0"/>
          <w:numId w:val="0"/>
        </w:numPr>
        <w:spacing w:line="360" w:lineRule="auto"/>
        <w:ind w:firstLine="560" w:firstLineChars="200"/>
        <w:rPr>
          <w:rFonts w:hint="default" w:ascii="仿宋_GB2312" w:hAnsi="宋体" w:eastAsia="仿宋_GB2312" w:cs="Calibri"/>
          <w:color w:val="auto"/>
          <w:sz w:val="28"/>
          <w:szCs w:val="28"/>
          <w:highlight w:val="none"/>
          <w:lang w:val="en-US" w:eastAsia="zh-CN"/>
        </w:rPr>
      </w:pPr>
      <w:r>
        <w:rPr>
          <w:rFonts w:hint="eastAsia" w:ascii="仿宋_GB2312" w:hAnsi="宋体" w:eastAsia="仿宋_GB2312" w:cs="Calibri"/>
          <w:color w:val="auto"/>
          <w:sz w:val="28"/>
          <w:szCs w:val="28"/>
          <w:highlight w:val="none"/>
          <w:lang w:val="en-US" w:eastAsia="zh-CN"/>
        </w:rPr>
        <w:t>“过氧化值”是衡量油脂氧化酸败程度的指标之一，一般来说过氧化值越高油脂变质越严重。油脂氧化后生成过氧化物、醛、酮等。这些小分子产物氧化能力较强，能将碘化钾氧化成游离碘，可用硫代硫酸钠来滴定，算出过氧化值。</w:t>
      </w:r>
    </w:p>
    <w:p>
      <w:pPr>
        <w:numPr>
          <w:ilvl w:val="0"/>
          <w:numId w:val="0"/>
        </w:numPr>
        <w:spacing w:line="360" w:lineRule="auto"/>
        <w:ind w:firstLine="560" w:firstLineChars="200"/>
        <w:rPr>
          <w:rFonts w:hint="eastAsia" w:ascii="仿宋_GB2312" w:hAnsi="宋体" w:eastAsia="仿宋_GB2312" w:cs="Calibri"/>
          <w:color w:val="auto"/>
          <w:sz w:val="28"/>
          <w:szCs w:val="28"/>
          <w:highlight w:val="none"/>
          <w:lang w:val="en-US" w:eastAsia="zh-CN"/>
        </w:rPr>
      </w:pPr>
      <w:r>
        <w:rPr>
          <w:rFonts w:hint="eastAsia" w:ascii="仿宋_GB2312" w:hAnsi="宋体" w:eastAsia="仿宋_GB2312" w:cs="Calibri"/>
          <w:color w:val="auto"/>
          <w:sz w:val="28"/>
          <w:szCs w:val="28"/>
          <w:highlight w:val="none"/>
          <w:lang w:val="en-US" w:eastAsia="zh-CN"/>
        </w:rPr>
        <w:t>因此，将“酸价”、“过氧化值”设定为山茶油质量分级的主要定等指标。根据产业需要，将山茶油分成特级、一级、二级共3个质量等级。按照传统分级方法分级后，将不同企业的特级山茶油安排送检，检测结果数据见表1。</w:t>
      </w:r>
    </w:p>
    <w:p>
      <w:pPr>
        <w:pStyle w:val="3"/>
        <w:jc w:val="center"/>
        <w:rPr>
          <w:rFonts w:hint="eastAsia" w:eastAsia="宋体"/>
          <w:sz w:val="24"/>
          <w:szCs w:val="36"/>
          <w:lang w:eastAsia="zh-CN"/>
        </w:rPr>
      </w:pPr>
      <w:r>
        <w:rPr>
          <w:sz w:val="24"/>
          <w:szCs w:val="36"/>
        </w:rPr>
        <w:t>表</w:t>
      </w:r>
      <w:r>
        <w:rPr>
          <w:rFonts w:hint="eastAsia"/>
          <w:sz w:val="24"/>
          <w:szCs w:val="36"/>
          <w:lang w:val="en-US" w:eastAsia="zh-CN"/>
        </w:rPr>
        <w:t>2</w:t>
      </w:r>
      <w:r>
        <w:rPr>
          <w:sz w:val="24"/>
          <w:szCs w:val="36"/>
          <w:lang w:val="en-US" w:eastAsia="zh-CN"/>
        </w:rPr>
        <w:t>　</w:t>
      </w:r>
      <w:r>
        <w:rPr>
          <w:rFonts w:hint="eastAsia"/>
          <w:sz w:val="24"/>
          <w:szCs w:val="36"/>
          <w:lang w:eastAsia="zh-CN"/>
        </w:rPr>
        <w:t>检验数据汇总表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0"/>
        <w:gridCol w:w="2584"/>
        <w:gridCol w:w="3347"/>
        <w:gridCol w:w="1453"/>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编号</w:t>
            </w: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检验编号</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生产单位</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酸价(KOH),mg/g</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过氧化值,meq/kg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DBJ23451200636630224ZX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巴马毛家油坊</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DBJ24451200636630001ZX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广西巴马半亩良田农业发展有限公司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0.11</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DBJ24451200636630002ZX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广西巴马半亩良田农业发展有限公司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0.11</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DBJ24451200636630032ZX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巴马小邓榨油坊</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DBJ24451200636630035ZX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巴马鑫浩种养专业合作社</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1.4</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DBJ24451200636630036ZX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巴马新林榨油坊</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0.88</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DBJ24451200636630037ZX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广西巴马磨师傅长寿食品综合厂</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0.07</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DBJ24451200636630038ZX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巴马万口福榨油小作坊</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0.51</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DBJ24451200636630039ZX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广西巴马帝瑶健康食品有限公司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0.18</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DBJ24451200636630041ZX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广西巴马常春藤生命科技发展有限公司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0.21</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DBJ24451200636630042ZX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巴马城北路阿贵榨油坊</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0.79</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DBJ24451200636630043ZX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广西巴马印象生活体验产业有限公司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0.15</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DBJ24451200636630044ZX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广西巴马寿之优品健康产业有限公司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0.15</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DBJ24451200636630045ZX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广西巴马正中长寿食品有限公司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0.18</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DBJ24451200636630046ZX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广西巴马瑶族自治县达成长寿食品综合厂</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0.17</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DBJ24451200636630047ZX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巴马十琅生态农业有限公司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0.21</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DBJ24451200636630048ZX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巴马十琅生态农业有限公司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0.19</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DBJ24451200636630049ZX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巴马福禄寿食品有限责任公司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0.20 </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DBJ24451200636630050ZX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广西巴马纳安生物科技发展有限公司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0.15</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GBJ23000000566230399ZX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巴马嘉晨副食品零售超市</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0.12</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GBJ23000000566230400ZX</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巴马嘉晨副食品零售超市</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0.13</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SBJ23451200634630254</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巴马十琅生态农业有限公司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0.16</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SBJ23451200634630256</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广西巴马百岁寿星健康长寿产业有限公司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SBJ23451200634630260</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广西巴马纳安生物科技发展有限公司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0.22</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SBJ23451200634630262</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广西巴马印象生活体验产业有限公司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SBJ23451200634630283</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广西巴马磨师傅长寿食品综合厂</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0.23</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SBJ23451200634630685</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广西巴马半亩良田农业发展有限公司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0.15</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SBJ23451200634630687</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巴马康寿养生食品厂</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0.21</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XBJ23451227634854811</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巴马福禄寿食品有限责任公司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0.13</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XBJ23451227634854822</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巴马福禄寿食品有限责任公司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0.08</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XBJ23451227634854822</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巴马福禄寿食品有限责任公司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0.08</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XC21451227637210001</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巴马新林榨油坊</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XC21451227637210002</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巴马毛家油坊</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XC22451227634851747</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广西巴马印象生活体验产业有限公司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0.19</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XC22451227634851748</w:t>
            </w:r>
          </w:p>
        </w:tc>
        <w:tc>
          <w:tcPr>
            <w:tcW w:w="1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广西巴马帝瑶健康食品有限公司</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0.17</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0.085</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Calibri"/>
          <w:color w:val="000000"/>
          <w:sz w:val="28"/>
          <w:szCs w:val="28"/>
          <w:lang w:val="en-US" w:eastAsia="zh-CN"/>
        </w:rPr>
      </w:pPr>
      <w:r>
        <w:rPr>
          <w:rFonts w:hint="eastAsia" w:ascii="仿宋_GB2312" w:hAnsi="宋体" w:eastAsia="仿宋_GB2312" w:cs="Calibri"/>
          <w:color w:val="000000"/>
          <w:sz w:val="28"/>
          <w:szCs w:val="28"/>
          <w:highlight w:val="none"/>
          <w:lang w:val="en-US" w:eastAsia="zh-CN"/>
        </w:rPr>
        <w:t>由表2可知，除</w:t>
      </w:r>
      <w:r>
        <w:rPr>
          <w:rFonts w:hint="eastAsia" w:ascii="仿宋_GB2312" w:hAnsi="宋体" w:eastAsia="仿宋_GB2312" w:cs="Calibri"/>
          <w:color w:val="000000"/>
          <w:sz w:val="28"/>
          <w:szCs w:val="28"/>
          <w:lang w:val="en-US" w:eastAsia="zh-CN"/>
        </w:rPr>
        <w:t>检测报告编号</w:t>
      </w:r>
      <w:r>
        <w:rPr>
          <w:rFonts w:hint="eastAsia" w:ascii="仿宋_GB2312" w:hAnsi="宋体" w:eastAsia="仿宋_GB2312" w:cs="Calibri"/>
          <w:color w:val="000000"/>
          <w:sz w:val="28"/>
          <w:szCs w:val="28"/>
          <w:highlight w:val="none"/>
          <w:lang w:val="en-US" w:eastAsia="zh-CN"/>
        </w:rPr>
        <w:t>28、33外，其余</w:t>
      </w:r>
      <w:r>
        <w:rPr>
          <w:rFonts w:hint="eastAsia" w:ascii="仿宋_GB2312" w:hAnsi="宋体" w:eastAsia="仿宋_GB2312" w:cs="Calibri"/>
          <w:color w:val="000000"/>
          <w:sz w:val="28"/>
          <w:szCs w:val="28"/>
          <w:lang w:val="en-US" w:eastAsia="zh-CN"/>
        </w:rPr>
        <w:t>检测报告</w:t>
      </w:r>
      <w:r>
        <w:rPr>
          <w:rFonts w:hint="eastAsia" w:ascii="仿宋_GB2312" w:hAnsi="宋体" w:eastAsia="仿宋_GB2312" w:cs="Calibri"/>
          <w:color w:val="000000"/>
          <w:sz w:val="28"/>
          <w:szCs w:val="28"/>
          <w:highlight w:val="none"/>
          <w:lang w:val="en-US" w:eastAsia="zh-CN"/>
        </w:rPr>
        <w:t>的“酸价”指标均符合</w:t>
      </w:r>
      <w:r>
        <w:rPr>
          <w:rFonts w:hint="eastAsia" w:ascii="仿宋_GB2312" w:hAnsi="宋体" w:eastAsia="仿宋_GB2312" w:cs="Calibri"/>
          <w:color w:val="000000"/>
          <w:sz w:val="28"/>
          <w:szCs w:val="28"/>
          <w:lang w:val="en-US" w:eastAsia="zh-CN"/>
        </w:rPr>
        <w:t>GB/T 11765—2018《油茶籽油》中对一级、二级山茶油的规定，其中检测报告编号2、3、6、7、8、9、10、11、12、13、14、15、16、17、18、19、20、21、22、23、24、25、26、27、28、29、30、31、34、35的“酸价”指标处在小于或等于1的范围内；检测报告编号1、4、5的“酸价”指标处在大于或等于1且小于或等于2的范围内；检测报告编号</w:t>
      </w:r>
      <w:r>
        <w:rPr>
          <w:rFonts w:hint="eastAsia" w:ascii="仿宋_GB2312" w:hAnsi="宋体" w:eastAsia="仿宋_GB2312" w:cs="Calibri"/>
          <w:color w:val="000000"/>
          <w:sz w:val="28"/>
          <w:szCs w:val="28"/>
          <w:highlight w:val="none"/>
          <w:lang w:val="en-US" w:eastAsia="zh-CN"/>
        </w:rPr>
        <w:t>28、33</w:t>
      </w:r>
      <w:r>
        <w:rPr>
          <w:rFonts w:hint="eastAsia" w:ascii="仿宋_GB2312" w:hAnsi="宋体" w:eastAsia="仿宋_GB2312" w:cs="Calibri"/>
          <w:color w:val="000000"/>
          <w:sz w:val="28"/>
          <w:szCs w:val="28"/>
          <w:lang w:val="en-US" w:eastAsia="zh-CN"/>
        </w:rPr>
        <w:t>的“酸价”指标处在大于2的范围内。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宋体" w:eastAsia="仿宋_GB2312" w:cs="Calibri"/>
          <w:color w:val="000000"/>
          <w:sz w:val="28"/>
          <w:szCs w:val="28"/>
          <w:highlight w:val="none"/>
          <w:lang w:val="en-US" w:eastAsia="zh-CN"/>
        </w:rPr>
      </w:pPr>
      <w:r>
        <w:rPr>
          <w:rFonts w:hint="eastAsia" w:ascii="仿宋_GB2312" w:hAnsi="宋体" w:eastAsia="仿宋_GB2312" w:cs="Calibri"/>
          <w:color w:val="000000"/>
          <w:sz w:val="28"/>
          <w:szCs w:val="28"/>
          <w:highlight w:val="none"/>
          <w:lang w:val="en-US" w:eastAsia="zh-CN"/>
        </w:rPr>
        <w:t>由表2可知，除</w:t>
      </w:r>
      <w:r>
        <w:rPr>
          <w:rFonts w:hint="eastAsia" w:ascii="仿宋_GB2312" w:hAnsi="宋体" w:eastAsia="仿宋_GB2312" w:cs="Calibri"/>
          <w:color w:val="000000"/>
          <w:sz w:val="28"/>
          <w:szCs w:val="28"/>
          <w:lang w:val="en-US" w:eastAsia="zh-CN"/>
        </w:rPr>
        <w:t>检测报告编号29外，</w:t>
      </w:r>
      <w:r>
        <w:rPr>
          <w:rFonts w:hint="eastAsia" w:ascii="仿宋_GB2312" w:hAnsi="宋体" w:eastAsia="仿宋_GB2312" w:cs="Calibri"/>
          <w:color w:val="000000"/>
          <w:sz w:val="28"/>
          <w:szCs w:val="28"/>
          <w:highlight w:val="none"/>
          <w:lang w:val="en-US" w:eastAsia="zh-CN"/>
        </w:rPr>
        <w:t>其余</w:t>
      </w:r>
      <w:r>
        <w:rPr>
          <w:rFonts w:hint="eastAsia" w:ascii="仿宋_GB2312" w:hAnsi="宋体" w:eastAsia="仿宋_GB2312" w:cs="Calibri"/>
          <w:color w:val="000000"/>
          <w:sz w:val="28"/>
          <w:szCs w:val="28"/>
          <w:lang w:val="en-US" w:eastAsia="zh-CN"/>
        </w:rPr>
        <w:t>检测报告</w:t>
      </w:r>
      <w:r>
        <w:rPr>
          <w:rFonts w:hint="eastAsia" w:ascii="仿宋_GB2312" w:hAnsi="宋体" w:eastAsia="仿宋_GB2312" w:cs="Calibri"/>
          <w:color w:val="000000"/>
          <w:sz w:val="28"/>
          <w:szCs w:val="28"/>
          <w:highlight w:val="none"/>
          <w:lang w:val="en-US" w:eastAsia="zh-CN"/>
        </w:rPr>
        <w:t>的“过氧化值”指标均符合</w:t>
      </w:r>
      <w:r>
        <w:rPr>
          <w:rFonts w:hint="eastAsia" w:ascii="仿宋_GB2312" w:hAnsi="宋体" w:eastAsia="仿宋_GB2312" w:cs="Calibri"/>
          <w:color w:val="000000"/>
          <w:sz w:val="28"/>
          <w:szCs w:val="28"/>
          <w:lang w:val="en-US" w:eastAsia="zh-CN"/>
        </w:rPr>
        <w:t>GB/T 11765—2018《油茶籽油》中对一级、二级山茶油的规定，其中除检测报告编号1、29外，</w:t>
      </w:r>
      <w:r>
        <w:rPr>
          <w:rFonts w:hint="eastAsia" w:ascii="仿宋_GB2312" w:hAnsi="宋体" w:eastAsia="仿宋_GB2312" w:cs="Calibri"/>
          <w:color w:val="000000"/>
          <w:sz w:val="28"/>
          <w:szCs w:val="28"/>
          <w:highlight w:val="none"/>
          <w:lang w:val="en-US" w:eastAsia="zh-CN"/>
        </w:rPr>
        <w:t>“过氧化值”指标均处在小于或等于0.20的范围；编号1“过氧化值”指标处在大于或等于2且小于或等于3的范围。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Calibri"/>
          <w:color w:val="000000"/>
          <w:sz w:val="28"/>
          <w:szCs w:val="28"/>
          <w:lang w:val="en-US" w:eastAsia="zh-CN"/>
        </w:rPr>
      </w:pPr>
      <w:r>
        <w:rPr>
          <w:rFonts w:hint="eastAsia" w:ascii="仿宋_GB2312" w:hAnsi="宋体" w:eastAsia="仿宋_GB2312" w:cs="Calibri"/>
          <w:color w:val="000000"/>
          <w:sz w:val="28"/>
          <w:szCs w:val="28"/>
          <w:lang w:val="en-US" w:eastAsia="zh-CN"/>
        </w:rPr>
        <w:t>综上，依据GB/T 11765—2018《油茶籽油》的基础，并结合可操作性的原则设定特级、一级、二级的指标。所设等级的具体指标见表3。</w:t>
      </w:r>
    </w:p>
    <w:p>
      <w:pPr>
        <w:pStyle w:val="3"/>
        <w:jc w:val="center"/>
        <w:rPr>
          <w:sz w:val="24"/>
          <w:szCs w:val="36"/>
        </w:rPr>
      </w:pPr>
      <w:r>
        <w:rPr>
          <w:sz w:val="24"/>
          <w:szCs w:val="36"/>
          <w:lang w:val="en-US" w:eastAsia="zh-CN"/>
        </w:rPr>
        <w:t>表</w:t>
      </w:r>
      <w:r>
        <w:rPr>
          <w:rFonts w:hint="eastAsia"/>
          <w:sz w:val="24"/>
          <w:szCs w:val="36"/>
          <w:lang w:val="en-US" w:eastAsia="zh-CN"/>
        </w:rPr>
        <w:t>3</w:t>
      </w:r>
      <w:r>
        <w:rPr>
          <w:sz w:val="24"/>
          <w:szCs w:val="36"/>
          <w:lang w:val="en-US" w:eastAsia="zh-CN"/>
        </w:rPr>
        <w:t>　</w:t>
      </w:r>
      <w:r>
        <w:rPr>
          <w:rFonts w:hint="eastAsia"/>
          <w:sz w:val="24"/>
          <w:szCs w:val="36"/>
        </w:rPr>
        <w:t>压榨山茶油理化指标</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037"/>
        <w:gridCol w:w="1929"/>
        <w:gridCol w:w="2106"/>
        <w:gridCol w:w="20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vMerge w:val="restart"/>
            <w:tcBorders>
              <w:top w:val="single" w:color="auto" w:sz="8"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zCs w:val="20"/>
              </w:rPr>
            </w:pPr>
            <w:r>
              <w:rPr>
                <w:rFonts w:hint="eastAsia"/>
                <w:szCs w:val="20"/>
              </w:rPr>
              <w:t>项目</w:t>
            </w:r>
          </w:p>
        </w:tc>
        <w:tc>
          <w:tcPr>
            <w:tcW w:w="6224" w:type="dxa"/>
            <w:gridSpan w:val="3"/>
            <w:tcBorders>
              <w:top w:val="single" w:color="auto" w:sz="8" w:space="0"/>
              <w:bottom w:val="single" w:color="auto" w:sz="8"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zCs w:val="20"/>
              </w:rPr>
            </w:pPr>
            <w:r>
              <w:rPr>
                <w:rFonts w:hint="eastAsia"/>
                <w:szCs w:val="20"/>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25"/>
              <w:keepNext w:val="0"/>
              <w:keepLines w:val="0"/>
              <w:widowControl/>
              <w:suppressLineNumbers w:val="0"/>
              <w:spacing w:before="0" w:beforeAutospacing="0" w:after="0" w:afterAutospacing="0"/>
              <w:ind w:left="0" w:right="0"/>
              <w:rPr>
                <w:rFonts w:hint="default"/>
                <w:szCs w:val="20"/>
              </w:rPr>
            </w:pPr>
          </w:p>
        </w:tc>
        <w:tc>
          <w:tcPr>
            <w:tcW w:w="1983" w:type="dxa"/>
            <w:tcBorders>
              <w:top w:val="single" w:color="auto" w:sz="8"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zCs w:val="20"/>
                <w:highlight w:val="none"/>
              </w:rPr>
            </w:pPr>
            <w:r>
              <w:rPr>
                <w:rFonts w:hint="eastAsia"/>
                <w:szCs w:val="20"/>
                <w:highlight w:val="none"/>
              </w:rPr>
              <w:t>特级</w:t>
            </w:r>
          </w:p>
        </w:tc>
        <w:tc>
          <w:tcPr>
            <w:tcW w:w="2166" w:type="dxa"/>
            <w:tcBorders>
              <w:top w:val="single" w:color="auto" w:sz="8"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zCs w:val="20"/>
              </w:rPr>
            </w:pPr>
            <w:r>
              <w:rPr>
                <w:rFonts w:hint="eastAsia"/>
                <w:szCs w:val="20"/>
              </w:rPr>
              <w:t>一级</w:t>
            </w:r>
          </w:p>
        </w:tc>
        <w:tc>
          <w:tcPr>
            <w:tcW w:w="2075" w:type="dxa"/>
            <w:tcBorders>
              <w:top w:val="single" w:color="auto" w:sz="8" w:space="0"/>
            </w:tcBorders>
            <w:shd w:val="clear" w:color="auto" w:fill="auto"/>
            <w:vAlign w:val="center"/>
          </w:tcPr>
          <w:p>
            <w:pPr>
              <w:pStyle w:val="25"/>
              <w:keepNext w:val="0"/>
              <w:keepLines w:val="0"/>
              <w:widowControl/>
              <w:suppressLineNumbers w:val="0"/>
              <w:spacing w:before="0" w:beforeAutospacing="0" w:after="0" w:afterAutospacing="0"/>
              <w:ind w:left="0" w:right="0"/>
              <w:rPr>
                <w:rFonts w:hint="default"/>
                <w:szCs w:val="20"/>
              </w:rPr>
            </w:pPr>
            <w:r>
              <w:rPr>
                <w:rFonts w:hint="eastAsia"/>
                <w:szCs w:val="20"/>
              </w:rPr>
              <w:t>二级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3110" w:type="dxa"/>
            <w:shd w:val="clear" w:color="auto" w:fill="auto"/>
            <w:vAlign w:val="center"/>
          </w:tcPr>
          <w:p>
            <w:pPr>
              <w:pStyle w:val="25"/>
              <w:keepNext w:val="0"/>
              <w:keepLines w:val="0"/>
              <w:widowControl/>
              <w:suppressLineNumbers w:val="0"/>
              <w:spacing w:before="0" w:beforeAutospacing="0" w:after="0" w:afterAutospacing="0"/>
              <w:ind w:left="0" w:right="0"/>
              <w:rPr>
                <w:rFonts w:hint="default"/>
                <w:szCs w:val="20"/>
                <w:highlight w:val="none"/>
              </w:rPr>
            </w:pPr>
            <w:r>
              <w:rPr>
                <w:rFonts w:hint="eastAsia"/>
                <w:szCs w:val="20"/>
                <w:highlight w:val="none"/>
              </w:rPr>
              <w:t>水分及挥发物含量/％</w:t>
            </w:r>
          </w:p>
        </w:tc>
        <w:tc>
          <w:tcPr>
            <w:tcW w:w="1983" w:type="dxa"/>
            <w:shd w:val="clear" w:color="auto" w:fill="auto"/>
            <w:vAlign w:val="center"/>
          </w:tcPr>
          <w:p>
            <w:pPr>
              <w:pStyle w:val="25"/>
              <w:keepNext w:val="0"/>
              <w:keepLines w:val="0"/>
              <w:widowControl/>
              <w:suppressLineNumbers w:val="0"/>
              <w:spacing w:before="0" w:beforeAutospacing="0" w:after="0" w:afterAutospacing="0"/>
              <w:ind w:left="0" w:right="0" w:firstLine="0" w:firstLineChars="0"/>
              <w:rPr>
                <w:rFonts w:hint="default"/>
                <w:szCs w:val="20"/>
                <w:highlight w:val="none"/>
              </w:rPr>
            </w:pPr>
            <w:r>
              <w:rPr>
                <w:rFonts w:hint="eastAsia"/>
                <w:szCs w:val="20"/>
                <w:highlight w:val="none"/>
              </w:rPr>
              <w:t>≤</w:t>
            </w:r>
            <w:r>
              <w:rPr>
                <w:rFonts w:hint="eastAsia"/>
                <w:szCs w:val="20"/>
                <w:highlight w:val="none"/>
                <w:lang w:val="en-US" w:eastAsia="zh-CN"/>
              </w:rPr>
              <w:t>0.05</w:t>
            </w:r>
          </w:p>
        </w:tc>
        <w:tc>
          <w:tcPr>
            <w:tcW w:w="2166" w:type="dxa"/>
            <w:shd w:val="clear" w:color="auto" w:fill="auto"/>
            <w:vAlign w:val="center"/>
          </w:tcPr>
          <w:p>
            <w:pPr>
              <w:pStyle w:val="25"/>
              <w:keepNext w:val="0"/>
              <w:keepLines w:val="0"/>
              <w:widowControl/>
              <w:suppressLineNumbers w:val="0"/>
              <w:spacing w:before="0" w:beforeAutospacing="0" w:after="0" w:afterAutospacing="0"/>
              <w:ind w:left="0" w:right="0" w:firstLine="0" w:firstLineChars="0"/>
              <w:rPr>
                <w:rFonts w:hint="default" w:eastAsia="宋体"/>
                <w:szCs w:val="20"/>
                <w:highlight w:val="none"/>
                <w:lang w:val="en-US" w:eastAsia="zh-CN"/>
              </w:rPr>
            </w:pPr>
            <w:r>
              <w:rPr>
                <w:rFonts w:hint="eastAsia" w:hAnsi="宋体"/>
                <w:szCs w:val="20"/>
                <w:highlight w:val="none"/>
              </w:rPr>
              <w:t>≤0</w:t>
            </w:r>
            <w:r>
              <w:rPr>
                <w:rFonts w:hint="default" w:hAnsi="宋体"/>
                <w:szCs w:val="20"/>
                <w:highlight w:val="none"/>
              </w:rPr>
              <w:t>.</w:t>
            </w:r>
            <w:r>
              <w:rPr>
                <w:rFonts w:hint="eastAsia" w:hAnsi="宋体"/>
                <w:szCs w:val="20"/>
                <w:highlight w:val="none"/>
                <w:lang w:val="en-US" w:eastAsia="zh-CN"/>
              </w:rPr>
              <w:t>10</w:t>
            </w:r>
          </w:p>
        </w:tc>
        <w:tc>
          <w:tcPr>
            <w:tcW w:w="2075" w:type="dxa"/>
            <w:shd w:val="clear" w:color="auto" w:fill="auto"/>
            <w:vAlign w:val="center"/>
          </w:tcPr>
          <w:p>
            <w:pPr>
              <w:pStyle w:val="25"/>
              <w:keepNext w:val="0"/>
              <w:keepLines w:val="0"/>
              <w:widowControl/>
              <w:suppressLineNumbers w:val="0"/>
              <w:spacing w:before="0" w:beforeAutospacing="0" w:after="0" w:afterAutospacing="0"/>
              <w:ind w:left="0" w:right="0" w:firstLine="0" w:firstLineChars="0"/>
              <w:rPr>
                <w:rFonts w:hint="default" w:eastAsia="宋体"/>
                <w:szCs w:val="20"/>
                <w:highlight w:val="none"/>
                <w:lang w:val="en-US" w:eastAsia="zh-CN"/>
              </w:rPr>
            </w:pPr>
            <w:r>
              <w:rPr>
                <w:rFonts w:hint="eastAsia"/>
                <w:szCs w:val="20"/>
                <w:highlight w:val="none"/>
              </w:rPr>
              <w:t>≤0</w:t>
            </w:r>
            <w:r>
              <w:rPr>
                <w:rFonts w:hint="default"/>
                <w:szCs w:val="20"/>
                <w:highlight w:val="none"/>
              </w:rPr>
              <w:t>.</w:t>
            </w:r>
            <w:r>
              <w:rPr>
                <w:rFonts w:hint="eastAsia"/>
                <w:szCs w:val="20"/>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3110" w:type="dxa"/>
            <w:shd w:val="clear" w:color="auto" w:fill="auto"/>
            <w:vAlign w:val="center"/>
          </w:tcPr>
          <w:p>
            <w:pPr>
              <w:pStyle w:val="25"/>
              <w:keepNext w:val="0"/>
              <w:keepLines w:val="0"/>
              <w:widowControl/>
              <w:suppressLineNumbers w:val="0"/>
              <w:spacing w:before="0" w:beforeAutospacing="0" w:after="0" w:afterAutospacing="0"/>
              <w:ind w:left="0" w:right="0"/>
              <w:rPr>
                <w:rFonts w:hint="default"/>
                <w:szCs w:val="20"/>
                <w:highlight w:val="none"/>
              </w:rPr>
            </w:pPr>
            <w:r>
              <w:rPr>
                <w:rFonts w:hint="eastAsia"/>
                <w:szCs w:val="20"/>
                <w:highlight w:val="none"/>
              </w:rPr>
              <w:t>不溶性杂质含量/％</w:t>
            </w:r>
          </w:p>
        </w:tc>
        <w:tc>
          <w:tcPr>
            <w:tcW w:w="1983" w:type="dxa"/>
            <w:shd w:val="clear" w:color="auto" w:fill="auto"/>
            <w:vAlign w:val="center"/>
          </w:tcPr>
          <w:p>
            <w:pPr>
              <w:pStyle w:val="25"/>
              <w:keepNext w:val="0"/>
              <w:keepLines w:val="0"/>
              <w:widowControl/>
              <w:suppressLineNumbers w:val="0"/>
              <w:spacing w:before="0" w:beforeAutospacing="0" w:after="0" w:afterAutospacing="0"/>
              <w:ind w:left="0" w:right="0" w:firstLine="0" w:firstLineChars="0"/>
              <w:rPr>
                <w:rFonts w:hint="default"/>
                <w:szCs w:val="20"/>
                <w:highlight w:val="none"/>
              </w:rPr>
            </w:pPr>
            <w:r>
              <w:rPr>
                <w:rFonts w:hint="eastAsia"/>
                <w:szCs w:val="20"/>
                <w:highlight w:val="none"/>
              </w:rPr>
              <w:t>≤</w:t>
            </w:r>
            <w:r>
              <w:rPr>
                <w:rFonts w:hint="eastAsia"/>
                <w:szCs w:val="20"/>
                <w:highlight w:val="none"/>
                <w:lang w:val="en-US" w:eastAsia="zh-CN"/>
              </w:rPr>
              <w:t>0.05</w:t>
            </w:r>
          </w:p>
        </w:tc>
        <w:tc>
          <w:tcPr>
            <w:tcW w:w="2166" w:type="dxa"/>
            <w:shd w:val="clear" w:color="auto" w:fill="auto"/>
            <w:vAlign w:val="center"/>
          </w:tcPr>
          <w:p>
            <w:pPr>
              <w:pStyle w:val="25"/>
              <w:keepNext w:val="0"/>
              <w:keepLines w:val="0"/>
              <w:widowControl/>
              <w:suppressLineNumbers w:val="0"/>
              <w:spacing w:before="0" w:beforeAutospacing="0" w:after="0" w:afterAutospacing="0"/>
              <w:ind w:left="0" w:right="0" w:firstLine="0" w:firstLineChars="0"/>
              <w:rPr>
                <w:rFonts w:hint="eastAsia" w:eastAsia="宋体"/>
                <w:szCs w:val="20"/>
                <w:highlight w:val="none"/>
                <w:lang w:eastAsia="zh-CN"/>
              </w:rPr>
            </w:pPr>
            <w:r>
              <w:rPr>
                <w:rFonts w:hint="eastAsia"/>
                <w:szCs w:val="20"/>
                <w:highlight w:val="none"/>
              </w:rPr>
              <w:t>≤0</w:t>
            </w:r>
            <w:r>
              <w:rPr>
                <w:rFonts w:hint="default"/>
                <w:szCs w:val="20"/>
                <w:highlight w:val="none"/>
              </w:rPr>
              <w:t>.0</w:t>
            </w:r>
            <w:r>
              <w:rPr>
                <w:rFonts w:hint="eastAsia"/>
                <w:szCs w:val="20"/>
                <w:highlight w:val="none"/>
                <w:lang w:val="en-US" w:eastAsia="zh-CN"/>
              </w:rPr>
              <w:t>5</w:t>
            </w:r>
          </w:p>
        </w:tc>
        <w:tc>
          <w:tcPr>
            <w:tcW w:w="2075" w:type="dxa"/>
            <w:shd w:val="clear" w:color="auto" w:fill="auto"/>
            <w:vAlign w:val="center"/>
          </w:tcPr>
          <w:p>
            <w:pPr>
              <w:pStyle w:val="25"/>
              <w:keepNext w:val="0"/>
              <w:keepLines w:val="0"/>
              <w:widowControl/>
              <w:suppressLineNumbers w:val="0"/>
              <w:spacing w:before="0" w:beforeAutospacing="0" w:after="0" w:afterAutospacing="0"/>
              <w:ind w:left="0" w:right="0" w:firstLine="0" w:firstLineChars="0"/>
              <w:rPr>
                <w:rFonts w:hint="eastAsia" w:eastAsia="宋体"/>
                <w:szCs w:val="20"/>
                <w:highlight w:val="none"/>
                <w:lang w:eastAsia="zh-CN"/>
              </w:rPr>
            </w:pPr>
            <w:r>
              <w:rPr>
                <w:rFonts w:hint="eastAsia"/>
                <w:szCs w:val="20"/>
                <w:highlight w:val="none"/>
              </w:rPr>
              <w:t>≤0</w:t>
            </w:r>
            <w:r>
              <w:rPr>
                <w:rFonts w:hint="default"/>
                <w:szCs w:val="20"/>
                <w:highlight w:val="none"/>
              </w:rPr>
              <w:t>.0</w:t>
            </w:r>
            <w:r>
              <w:rPr>
                <w:rFonts w:hint="eastAsia"/>
                <w:szCs w:val="20"/>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25"/>
              <w:keepNext w:val="0"/>
              <w:keepLines w:val="0"/>
              <w:widowControl/>
              <w:suppressLineNumbers w:val="0"/>
              <w:spacing w:before="0" w:beforeAutospacing="0" w:after="0" w:afterAutospacing="0"/>
              <w:ind w:left="0" w:right="0"/>
              <w:rPr>
                <w:rFonts w:hint="default"/>
                <w:szCs w:val="20"/>
                <w:highlight w:val="none"/>
              </w:rPr>
            </w:pPr>
            <w:r>
              <w:rPr>
                <w:rFonts w:hint="eastAsia"/>
                <w:szCs w:val="20"/>
                <w:highlight w:val="none"/>
              </w:rPr>
              <w:t>酸价（以K</w:t>
            </w:r>
            <w:r>
              <w:rPr>
                <w:rFonts w:hint="default"/>
                <w:szCs w:val="20"/>
                <w:highlight w:val="none"/>
              </w:rPr>
              <w:t>OH</w:t>
            </w:r>
            <w:r>
              <w:rPr>
                <w:rFonts w:hint="eastAsia"/>
                <w:szCs w:val="20"/>
                <w:highlight w:val="none"/>
              </w:rPr>
              <w:t>计）/（mg</w:t>
            </w:r>
            <w:r>
              <w:rPr>
                <w:rFonts w:hint="default"/>
                <w:szCs w:val="20"/>
                <w:highlight w:val="none"/>
              </w:rPr>
              <w:t>/</w:t>
            </w:r>
            <w:r>
              <w:rPr>
                <w:rFonts w:hint="eastAsia"/>
                <w:szCs w:val="20"/>
                <w:highlight w:val="none"/>
              </w:rPr>
              <w:t>g）</w:t>
            </w:r>
          </w:p>
        </w:tc>
        <w:tc>
          <w:tcPr>
            <w:tcW w:w="1983" w:type="dxa"/>
            <w:shd w:val="clear" w:color="auto" w:fill="auto"/>
            <w:vAlign w:val="center"/>
          </w:tcPr>
          <w:p>
            <w:pPr>
              <w:pStyle w:val="25"/>
              <w:keepNext w:val="0"/>
              <w:keepLines w:val="0"/>
              <w:widowControl/>
              <w:suppressLineNumbers w:val="0"/>
              <w:spacing w:before="0" w:beforeAutospacing="0" w:after="0" w:afterAutospacing="0"/>
              <w:ind w:left="0" w:right="0" w:firstLine="0" w:firstLineChars="0"/>
              <w:rPr>
                <w:rFonts w:hint="default"/>
                <w:szCs w:val="20"/>
                <w:highlight w:val="none"/>
              </w:rPr>
            </w:pPr>
            <w:r>
              <w:rPr>
                <w:rFonts w:hint="eastAsia"/>
                <w:szCs w:val="20"/>
                <w:highlight w:val="none"/>
              </w:rPr>
              <w:t>≤</w:t>
            </w:r>
            <w:r>
              <w:rPr>
                <w:rFonts w:hint="eastAsia"/>
                <w:szCs w:val="20"/>
                <w:highlight w:val="none"/>
                <w:lang w:val="en-US" w:eastAsia="zh-CN"/>
              </w:rPr>
              <w:t>1.50</w:t>
            </w:r>
          </w:p>
        </w:tc>
        <w:tc>
          <w:tcPr>
            <w:tcW w:w="2166" w:type="dxa"/>
            <w:shd w:val="clear" w:color="auto" w:fill="auto"/>
            <w:vAlign w:val="center"/>
          </w:tcPr>
          <w:p>
            <w:pPr>
              <w:pStyle w:val="25"/>
              <w:keepNext w:val="0"/>
              <w:keepLines w:val="0"/>
              <w:widowControl/>
              <w:suppressLineNumbers w:val="0"/>
              <w:spacing w:before="0" w:beforeAutospacing="0" w:after="0" w:afterAutospacing="0"/>
              <w:ind w:left="0" w:right="0" w:firstLine="0" w:firstLineChars="0"/>
              <w:rPr>
                <w:rFonts w:hint="default"/>
                <w:szCs w:val="20"/>
                <w:highlight w:val="none"/>
              </w:rPr>
            </w:pPr>
            <w:r>
              <w:rPr>
                <w:rFonts w:hint="eastAsia"/>
                <w:szCs w:val="20"/>
                <w:highlight w:val="none"/>
              </w:rPr>
              <w:t>≤2</w:t>
            </w:r>
            <w:r>
              <w:rPr>
                <w:rFonts w:hint="default"/>
                <w:szCs w:val="20"/>
                <w:highlight w:val="none"/>
              </w:rPr>
              <w:t>.00</w:t>
            </w:r>
          </w:p>
        </w:tc>
        <w:tc>
          <w:tcPr>
            <w:tcW w:w="2075" w:type="dxa"/>
            <w:shd w:val="clear" w:color="auto" w:fill="auto"/>
            <w:vAlign w:val="center"/>
          </w:tcPr>
          <w:p>
            <w:pPr>
              <w:pStyle w:val="25"/>
              <w:keepNext w:val="0"/>
              <w:keepLines w:val="0"/>
              <w:widowControl/>
              <w:suppressLineNumbers w:val="0"/>
              <w:spacing w:before="0" w:beforeAutospacing="0" w:after="0" w:afterAutospacing="0"/>
              <w:ind w:left="0" w:right="0" w:firstLine="0" w:firstLineChars="0"/>
              <w:rPr>
                <w:rFonts w:hint="default"/>
                <w:szCs w:val="20"/>
                <w:highlight w:val="none"/>
              </w:rPr>
            </w:pPr>
            <w:r>
              <w:rPr>
                <w:rFonts w:hint="eastAsia"/>
                <w:szCs w:val="20"/>
                <w:highlight w:val="none"/>
              </w:rPr>
              <w:t>≤3</w:t>
            </w:r>
            <w:r>
              <w:rPr>
                <w:rFonts w:hint="default"/>
                <w:szCs w:val="20"/>
                <w:highlight w:val="none"/>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25"/>
              <w:keepNext w:val="0"/>
              <w:keepLines w:val="0"/>
              <w:widowControl/>
              <w:suppressLineNumbers w:val="0"/>
              <w:spacing w:before="0" w:beforeAutospacing="0" w:after="0" w:afterAutospacing="0"/>
              <w:ind w:left="0" w:right="0"/>
              <w:rPr>
                <w:rFonts w:hint="default"/>
                <w:szCs w:val="20"/>
                <w:highlight w:val="none"/>
              </w:rPr>
            </w:pPr>
            <w:r>
              <w:rPr>
                <w:rFonts w:hint="eastAsia"/>
                <w:szCs w:val="20"/>
                <w:highlight w:val="none"/>
              </w:rPr>
              <w:t>过氧化值/（g</w:t>
            </w:r>
            <w:r>
              <w:rPr>
                <w:rFonts w:hint="default"/>
                <w:szCs w:val="20"/>
                <w:highlight w:val="none"/>
              </w:rPr>
              <w:t>/100</w:t>
            </w:r>
            <w:r>
              <w:rPr>
                <w:rFonts w:hint="eastAsia"/>
                <w:szCs w:val="20"/>
                <w:highlight w:val="none"/>
              </w:rPr>
              <w:t>g）</w:t>
            </w:r>
          </w:p>
        </w:tc>
        <w:tc>
          <w:tcPr>
            <w:tcW w:w="1983" w:type="dxa"/>
            <w:shd w:val="clear" w:color="auto" w:fill="auto"/>
            <w:vAlign w:val="center"/>
          </w:tcPr>
          <w:p>
            <w:pPr>
              <w:pStyle w:val="25"/>
              <w:keepNext w:val="0"/>
              <w:keepLines w:val="0"/>
              <w:widowControl/>
              <w:suppressLineNumbers w:val="0"/>
              <w:spacing w:before="0" w:beforeAutospacing="0" w:after="0" w:afterAutospacing="0"/>
              <w:ind w:left="0" w:right="0" w:firstLine="0" w:firstLineChars="0"/>
              <w:rPr>
                <w:rFonts w:hint="eastAsia"/>
                <w:szCs w:val="20"/>
                <w:highlight w:val="none"/>
              </w:rPr>
            </w:pPr>
            <w:r>
              <w:rPr>
                <w:rFonts w:hint="eastAsia"/>
                <w:szCs w:val="20"/>
                <w:highlight w:val="none"/>
              </w:rPr>
              <w:t>≤</w:t>
            </w:r>
            <w:r>
              <w:rPr>
                <w:rFonts w:hint="eastAsia"/>
                <w:szCs w:val="20"/>
                <w:highlight w:val="none"/>
                <w:lang w:val="en-US" w:eastAsia="zh-CN"/>
              </w:rPr>
              <w:t>0.20</w:t>
            </w:r>
          </w:p>
        </w:tc>
        <w:tc>
          <w:tcPr>
            <w:tcW w:w="4241" w:type="dxa"/>
            <w:gridSpan w:val="2"/>
            <w:shd w:val="clear" w:color="auto" w:fill="auto"/>
            <w:vAlign w:val="center"/>
          </w:tcPr>
          <w:p>
            <w:pPr>
              <w:pStyle w:val="25"/>
              <w:keepNext w:val="0"/>
              <w:keepLines w:val="0"/>
              <w:widowControl/>
              <w:suppressLineNumbers w:val="0"/>
              <w:spacing w:before="0" w:beforeAutospacing="0" w:after="0" w:afterAutospacing="0"/>
              <w:ind w:left="0" w:right="0" w:firstLine="0" w:firstLineChars="0"/>
              <w:rPr>
                <w:rFonts w:hint="eastAsia" w:eastAsia="宋体"/>
                <w:szCs w:val="20"/>
                <w:highlight w:val="none"/>
                <w:lang w:val="en-US" w:eastAsia="zh-CN"/>
              </w:rPr>
            </w:pPr>
            <w:r>
              <w:rPr>
                <w:rFonts w:hint="eastAsia"/>
                <w:szCs w:val="20"/>
                <w:highlight w:val="none"/>
              </w:rPr>
              <w:t>≤0.2</w:t>
            </w:r>
            <w:r>
              <w:rPr>
                <w:rFonts w:hint="eastAsia"/>
                <w:szCs w:val="20"/>
                <w:highlight w:val="none"/>
                <w:lang w:val="en-US" w:eastAsia="zh-CN"/>
              </w:rPr>
              <w:t>5</w:t>
            </w:r>
          </w:p>
        </w:tc>
      </w:tr>
    </w:tbl>
    <w:p>
      <w:pPr>
        <w:numPr>
          <w:ilvl w:val="0"/>
          <w:numId w:val="0"/>
        </w:numPr>
        <w:spacing w:line="360" w:lineRule="auto"/>
        <w:rPr>
          <w:rFonts w:hint="default" w:ascii="仿宋_GB2312" w:hAnsi="宋体" w:eastAsia="仿宋_GB2312" w:cs="Calibri"/>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kern w:val="2"/>
          <w:sz w:val="24"/>
          <w:szCs w:val="24"/>
          <w:lang w:val="en-US" w:eastAsia="zh-CN" w:bidi="ar"/>
        </w:rPr>
      </w:pPr>
      <w:r>
        <w:rPr>
          <w:rFonts w:hint="default" w:ascii="Times New Roman" w:hAnsi="Times New Roman" w:eastAsia="黑体" w:cs="Times New Roman"/>
          <w:color w:val="auto"/>
          <w:sz w:val="32"/>
          <w:szCs w:val="32"/>
        </w:rPr>
        <w:t>六、国内外同类标准制修订情况及与法律法规、强制性标准关系</w:t>
      </w:r>
    </w:p>
    <w:p>
      <w:pPr>
        <w:spacing w:line="360" w:lineRule="auto"/>
        <w:ind w:firstLine="560" w:firstLineChars="200"/>
        <w:rPr>
          <w:rFonts w:hint="eastAsia"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本标准遵循《中华人民共和国标准化法》等国家相关的法规和强制性标准，与现行的法律、法规及强制性标准无冲突。本标准内容与各项指标不低于强制性国家标准、推荐性国家标准和行业标准。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、自我承诺</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本标准内容与各项指标不低于强制性标准要求。</w:t>
      </w:r>
    </w:p>
    <w:p>
      <w:pPr>
        <w:pStyle w:val="13"/>
        <w:rPr>
          <w:rFonts w:hint="default"/>
          <w:color w:val="auto"/>
        </w:rPr>
      </w:pPr>
    </w:p>
    <w:p>
      <w:pPr>
        <w:spacing w:line="360" w:lineRule="auto"/>
        <w:ind w:firstLine="560" w:firstLineChars="200"/>
        <w:jc w:val="right"/>
        <w:rPr>
          <w:rFonts w:hint="default" w:ascii="仿宋_GB2312" w:hAnsi="宋体" w:eastAsia="仿宋_GB2312" w:cs="Calibri"/>
          <w:color w:val="auto"/>
          <w:sz w:val="28"/>
          <w:szCs w:val="28"/>
        </w:rPr>
      </w:pPr>
      <w:r>
        <w:rPr>
          <w:rFonts w:hint="default" w:ascii="仿宋_GB2312" w:hAnsi="宋体" w:eastAsia="仿宋_GB2312" w:cs="Calibri"/>
          <w:color w:val="auto"/>
          <w:sz w:val="28"/>
          <w:szCs w:val="28"/>
        </w:rPr>
        <w:t>《</w:t>
      </w:r>
      <w:r>
        <w:rPr>
          <w:rFonts w:hint="eastAsia" w:ascii="仿宋_GB2312" w:hAnsi="宋体" w:eastAsia="仿宋_GB2312" w:cs="Calibri"/>
          <w:color w:val="auto"/>
          <w:sz w:val="28"/>
          <w:szCs w:val="28"/>
          <w:lang w:val="en-US" w:eastAsia="zh-CN"/>
        </w:rPr>
        <w:t>山茶油质量分级技术规程</w:t>
      </w:r>
      <w:r>
        <w:rPr>
          <w:rFonts w:hint="default" w:ascii="仿宋_GB2312" w:hAnsi="宋体" w:eastAsia="仿宋_GB2312" w:cs="Calibri"/>
          <w:color w:val="auto"/>
          <w:sz w:val="28"/>
          <w:szCs w:val="28"/>
        </w:rPr>
        <w:t>》</w:t>
      </w:r>
    </w:p>
    <w:p>
      <w:pPr>
        <w:spacing w:line="360" w:lineRule="auto"/>
        <w:ind w:firstLine="560" w:firstLineChars="200"/>
        <w:jc w:val="center"/>
        <w:rPr>
          <w:rFonts w:hint="default" w:ascii="仿宋_GB2312" w:hAnsi="宋体" w:eastAsia="仿宋_GB2312" w:cs="Calibri"/>
          <w:color w:val="auto"/>
          <w:sz w:val="28"/>
          <w:szCs w:val="28"/>
        </w:rPr>
      </w:pPr>
      <w:r>
        <w:rPr>
          <w:rFonts w:hint="eastAsia" w:ascii="仿宋_GB2312" w:hAnsi="宋体" w:eastAsia="仿宋_GB2312" w:cs="Calibri"/>
          <w:color w:val="auto"/>
          <w:sz w:val="28"/>
          <w:szCs w:val="28"/>
          <w:lang w:val="en-US" w:eastAsia="zh-CN"/>
        </w:rPr>
        <w:t xml:space="preserve">                                     </w:t>
      </w:r>
      <w:r>
        <w:rPr>
          <w:rFonts w:hint="default" w:ascii="仿宋_GB2312" w:hAnsi="宋体" w:eastAsia="仿宋_GB2312" w:cs="Calibri"/>
          <w:color w:val="auto"/>
          <w:sz w:val="28"/>
          <w:szCs w:val="28"/>
        </w:rPr>
        <w:t>标准编</w:t>
      </w:r>
      <w:r>
        <w:rPr>
          <w:rFonts w:hint="eastAsia" w:ascii="仿宋_GB2312" w:hAnsi="宋体" w:eastAsia="仿宋_GB2312" w:cs="Calibri"/>
          <w:color w:val="auto"/>
          <w:sz w:val="28"/>
          <w:szCs w:val="28"/>
          <w:lang w:val="en-US" w:eastAsia="zh-CN"/>
        </w:rPr>
        <w:t>制</w:t>
      </w:r>
      <w:r>
        <w:rPr>
          <w:rFonts w:hint="default" w:ascii="仿宋_GB2312" w:hAnsi="宋体" w:eastAsia="仿宋_GB2312" w:cs="Calibri"/>
          <w:color w:val="auto"/>
          <w:sz w:val="28"/>
          <w:szCs w:val="28"/>
        </w:rPr>
        <w:t>小组</w:t>
      </w:r>
    </w:p>
    <w:p>
      <w:pPr>
        <w:spacing w:line="360" w:lineRule="auto"/>
        <w:ind w:firstLine="560" w:firstLineChars="200"/>
        <w:rPr>
          <w:rFonts w:hint="default" w:ascii="仿宋_GB2312" w:hAnsi="宋体" w:eastAsia="仿宋_GB2312" w:cs="Calibri"/>
          <w:color w:val="auto"/>
          <w:sz w:val="28"/>
          <w:szCs w:val="28"/>
        </w:rPr>
      </w:pPr>
      <w:r>
        <w:rPr>
          <w:rFonts w:hint="default" w:ascii="仿宋_GB2312" w:hAnsi="宋体" w:eastAsia="仿宋_GB2312" w:cs="Calibri"/>
          <w:color w:val="auto"/>
          <w:sz w:val="28"/>
          <w:szCs w:val="28"/>
        </w:rPr>
        <w:t xml:space="preserve">                            </w:t>
      </w:r>
      <w:r>
        <w:rPr>
          <w:rFonts w:hint="default" w:ascii="仿宋_GB2312" w:hAnsi="宋体" w:eastAsia="仿宋_GB2312" w:cs="Calibri"/>
          <w:color w:val="auto"/>
          <w:sz w:val="28"/>
          <w:szCs w:val="28"/>
          <w:lang w:val="en-US" w:eastAsia="zh-CN"/>
        </w:rPr>
        <w:t xml:space="preserve">      </w:t>
      </w:r>
      <w:r>
        <w:rPr>
          <w:rFonts w:hint="eastAsia" w:ascii="仿宋_GB2312" w:hAnsi="宋体" w:eastAsia="仿宋_GB2312" w:cs="Calibri"/>
          <w:color w:val="auto"/>
          <w:sz w:val="28"/>
          <w:szCs w:val="28"/>
          <w:lang w:val="en-US" w:eastAsia="zh-CN"/>
        </w:rPr>
        <w:t xml:space="preserve"> </w:t>
      </w:r>
      <w:r>
        <w:rPr>
          <w:rFonts w:hint="default" w:ascii="仿宋_GB2312" w:hAnsi="宋体" w:eastAsia="仿宋_GB2312" w:cs="Calibri"/>
          <w:color w:val="auto"/>
          <w:sz w:val="28"/>
          <w:szCs w:val="28"/>
          <w:lang w:val="en-US" w:eastAsia="zh-CN"/>
        </w:rPr>
        <w:t xml:space="preserve"> </w:t>
      </w:r>
      <w:r>
        <w:rPr>
          <w:rFonts w:hint="eastAsia" w:ascii="仿宋_GB2312" w:hAnsi="宋体" w:eastAsia="仿宋_GB2312" w:cs="Calibri"/>
          <w:color w:val="auto"/>
          <w:sz w:val="28"/>
          <w:szCs w:val="28"/>
          <w:lang w:val="en-US" w:eastAsia="zh-CN"/>
        </w:rPr>
        <w:t xml:space="preserve">    </w:t>
      </w:r>
      <w:r>
        <w:rPr>
          <w:rFonts w:hint="default" w:ascii="仿宋_GB2312" w:hAnsi="宋体" w:eastAsia="仿宋_GB2312" w:cs="Calibri"/>
          <w:color w:val="auto"/>
          <w:sz w:val="28"/>
          <w:szCs w:val="28"/>
        </w:rPr>
        <w:t xml:space="preserve"> 202</w:t>
      </w:r>
      <w:r>
        <w:rPr>
          <w:rFonts w:hint="eastAsia" w:ascii="仿宋_GB2312" w:hAnsi="宋体" w:eastAsia="仿宋_GB2312" w:cs="Calibri"/>
          <w:color w:val="auto"/>
          <w:sz w:val="28"/>
          <w:szCs w:val="28"/>
          <w:lang w:val="en-US" w:eastAsia="zh-CN"/>
        </w:rPr>
        <w:t>4</w:t>
      </w:r>
      <w:r>
        <w:rPr>
          <w:rFonts w:hint="default" w:ascii="仿宋_GB2312" w:hAnsi="宋体" w:eastAsia="仿宋_GB2312" w:cs="Calibri"/>
          <w:color w:val="auto"/>
          <w:sz w:val="28"/>
          <w:szCs w:val="28"/>
        </w:rPr>
        <w:t>年</w:t>
      </w:r>
      <w:r>
        <w:rPr>
          <w:rFonts w:hint="eastAsia" w:ascii="仿宋_GB2312" w:hAnsi="宋体" w:eastAsia="仿宋_GB2312" w:cs="Calibri"/>
          <w:color w:val="auto"/>
          <w:sz w:val="28"/>
          <w:szCs w:val="28"/>
          <w:lang w:val="en-US" w:eastAsia="zh-CN"/>
        </w:rPr>
        <w:t>3</w:t>
      </w:r>
      <w:r>
        <w:rPr>
          <w:rFonts w:hint="default" w:ascii="仿宋_GB2312" w:hAnsi="宋体" w:eastAsia="仿宋_GB2312" w:cs="Calibri"/>
          <w:color w:val="auto"/>
          <w:sz w:val="28"/>
          <w:szCs w:val="28"/>
        </w:rPr>
        <w:t>月</w:t>
      </w:r>
      <w:r>
        <w:rPr>
          <w:rFonts w:hint="eastAsia" w:ascii="仿宋_GB2312" w:hAnsi="宋体" w:eastAsia="仿宋_GB2312" w:cs="Calibri"/>
          <w:color w:val="auto"/>
          <w:sz w:val="28"/>
          <w:szCs w:val="28"/>
          <w:lang w:val="en-US" w:eastAsia="zh-CN"/>
        </w:rPr>
        <w:t>15</w:t>
      </w:r>
      <w:r>
        <w:rPr>
          <w:rFonts w:hint="default" w:ascii="仿宋_GB2312" w:hAnsi="宋体" w:eastAsia="仿宋_GB2312" w:cs="Calibri"/>
          <w:color w:val="auto"/>
          <w:sz w:val="28"/>
          <w:szCs w:val="28"/>
        </w:rPr>
        <w:t>日</w:t>
      </w:r>
    </w:p>
    <w:p>
      <w:pPr>
        <w:spacing w:line="360" w:lineRule="auto"/>
        <w:ind w:firstLine="560" w:firstLineChars="200"/>
        <w:rPr>
          <w:rFonts w:hint="default" w:ascii="仿宋_GB2312" w:hAnsi="宋体" w:eastAsia="仿宋_GB2312" w:cs="Calibri"/>
          <w:color w:val="auto"/>
          <w:sz w:val="28"/>
          <w:szCs w:val="28"/>
        </w:rPr>
      </w:pPr>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7</w:t>
                          </w:r>
                          <w:r>
                            <w:rPr>
                              <w:rFonts w:hint="eastAsia"/>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7</w:t>
                    </w:r>
                    <w:r>
                      <w:rPr>
                        <w:rFonts w:hint="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24"/>
      <w:suff w:val="nothing"/>
      <w:lvlText w:val="表%1　"/>
      <w:lvlJc w:val="left"/>
      <w:pPr>
        <w:ind w:left="4395"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7"/>
      <w:suff w:val="nothing"/>
      <w:lvlText w:val="%1%2　"/>
      <w:lvlJc w:val="left"/>
      <w:pPr>
        <w:ind w:left="0" w:firstLine="0"/>
      </w:pPr>
      <w:rPr>
        <w:rFonts w:hint="eastAsia" w:ascii="黑体" w:eastAsia="黑体"/>
        <w:b w:val="0"/>
        <w:i w:val="0"/>
        <w:sz w:val="21"/>
      </w:rPr>
    </w:lvl>
    <w:lvl w:ilvl="2" w:tentative="0">
      <w:start w:val="1"/>
      <w:numFmt w:val="decimal"/>
      <w:pStyle w:val="2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MjM2NTExODk1YmQ2YTljZTc2OTdhYTkyOWFiNTkifQ=="/>
  </w:docVars>
  <w:rsids>
    <w:rsidRoot w:val="00172A27"/>
    <w:rsid w:val="004E0C0C"/>
    <w:rsid w:val="00AB26EF"/>
    <w:rsid w:val="012B4701"/>
    <w:rsid w:val="013D1CD1"/>
    <w:rsid w:val="014D4677"/>
    <w:rsid w:val="01712609"/>
    <w:rsid w:val="01A52705"/>
    <w:rsid w:val="01AC5F2D"/>
    <w:rsid w:val="01C40DDD"/>
    <w:rsid w:val="0227136C"/>
    <w:rsid w:val="02A855DF"/>
    <w:rsid w:val="0396373B"/>
    <w:rsid w:val="044C50BA"/>
    <w:rsid w:val="04695C6C"/>
    <w:rsid w:val="046E6A4C"/>
    <w:rsid w:val="04826322"/>
    <w:rsid w:val="0573412F"/>
    <w:rsid w:val="05C56ED2"/>
    <w:rsid w:val="05D329E6"/>
    <w:rsid w:val="061C7D89"/>
    <w:rsid w:val="070F4FA8"/>
    <w:rsid w:val="073B5AD1"/>
    <w:rsid w:val="07885D40"/>
    <w:rsid w:val="07D81B06"/>
    <w:rsid w:val="08096ED2"/>
    <w:rsid w:val="080B1AF0"/>
    <w:rsid w:val="08F8136C"/>
    <w:rsid w:val="09031FB8"/>
    <w:rsid w:val="09360DB1"/>
    <w:rsid w:val="094B1ECA"/>
    <w:rsid w:val="09544E43"/>
    <w:rsid w:val="09631DB4"/>
    <w:rsid w:val="0A58580E"/>
    <w:rsid w:val="0A6071C9"/>
    <w:rsid w:val="0A697D1D"/>
    <w:rsid w:val="0AD97031"/>
    <w:rsid w:val="0B3B45B7"/>
    <w:rsid w:val="0B3D6541"/>
    <w:rsid w:val="0BAA1044"/>
    <w:rsid w:val="0C79296A"/>
    <w:rsid w:val="0C8563BA"/>
    <w:rsid w:val="0CAA4FB1"/>
    <w:rsid w:val="0CB14308"/>
    <w:rsid w:val="0CD64E40"/>
    <w:rsid w:val="0D843303"/>
    <w:rsid w:val="0D8C35F6"/>
    <w:rsid w:val="0EE95D7A"/>
    <w:rsid w:val="0F770C2C"/>
    <w:rsid w:val="0FA80B29"/>
    <w:rsid w:val="0FAA1A47"/>
    <w:rsid w:val="100B1A8D"/>
    <w:rsid w:val="102D191A"/>
    <w:rsid w:val="107E652B"/>
    <w:rsid w:val="10C07AF0"/>
    <w:rsid w:val="10CC380A"/>
    <w:rsid w:val="10CD1418"/>
    <w:rsid w:val="110A1F26"/>
    <w:rsid w:val="11290F19"/>
    <w:rsid w:val="126E3A32"/>
    <w:rsid w:val="130E66DA"/>
    <w:rsid w:val="133C4D66"/>
    <w:rsid w:val="13ED1715"/>
    <w:rsid w:val="14423D13"/>
    <w:rsid w:val="14700951"/>
    <w:rsid w:val="14C90BE5"/>
    <w:rsid w:val="15297550"/>
    <w:rsid w:val="157B3BE3"/>
    <w:rsid w:val="15A22D8C"/>
    <w:rsid w:val="15E50948"/>
    <w:rsid w:val="16C440AB"/>
    <w:rsid w:val="17396FDB"/>
    <w:rsid w:val="178C2EE9"/>
    <w:rsid w:val="17A52E49"/>
    <w:rsid w:val="182E3C10"/>
    <w:rsid w:val="186D647C"/>
    <w:rsid w:val="18F24372"/>
    <w:rsid w:val="1A18361C"/>
    <w:rsid w:val="1A7D3DD5"/>
    <w:rsid w:val="1AF015C5"/>
    <w:rsid w:val="1B0246B4"/>
    <w:rsid w:val="1BDB3BA4"/>
    <w:rsid w:val="1D383A92"/>
    <w:rsid w:val="1D516E37"/>
    <w:rsid w:val="1D7014C5"/>
    <w:rsid w:val="1DB56CC9"/>
    <w:rsid w:val="1E5A1EDC"/>
    <w:rsid w:val="1F574BE7"/>
    <w:rsid w:val="1FE40083"/>
    <w:rsid w:val="1FE74BFA"/>
    <w:rsid w:val="20AD387E"/>
    <w:rsid w:val="211210FB"/>
    <w:rsid w:val="21FC7CDC"/>
    <w:rsid w:val="221B7B1F"/>
    <w:rsid w:val="22D14CB0"/>
    <w:rsid w:val="22DF6886"/>
    <w:rsid w:val="23250B58"/>
    <w:rsid w:val="23374820"/>
    <w:rsid w:val="236756DC"/>
    <w:rsid w:val="24743B45"/>
    <w:rsid w:val="250E4BA7"/>
    <w:rsid w:val="258B2A03"/>
    <w:rsid w:val="25925BB3"/>
    <w:rsid w:val="261A696E"/>
    <w:rsid w:val="265579A6"/>
    <w:rsid w:val="26882C12"/>
    <w:rsid w:val="26B76EA5"/>
    <w:rsid w:val="26D20FF7"/>
    <w:rsid w:val="270368F6"/>
    <w:rsid w:val="27356AD4"/>
    <w:rsid w:val="28C1428B"/>
    <w:rsid w:val="291E6775"/>
    <w:rsid w:val="29416713"/>
    <w:rsid w:val="294F22D1"/>
    <w:rsid w:val="298A3247"/>
    <w:rsid w:val="2A4D31D6"/>
    <w:rsid w:val="2A700A3F"/>
    <w:rsid w:val="2AB632BB"/>
    <w:rsid w:val="2B762B5B"/>
    <w:rsid w:val="2B7B1C5D"/>
    <w:rsid w:val="2BD57D58"/>
    <w:rsid w:val="2D6345F3"/>
    <w:rsid w:val="2D99461C"/>
    <w:rsid w:val="2DA13130"/>
    <w:rsid w:val="2E871D01"/>
    <w:rsid w:val="2EB37960"/>
    <w:rsid w:val="2EEB70FA"/>
    <w:rsid w:val="2F0F2DE8"/>
    <w:rsid w:val="2F1E4A83"/>
    <w:rsid w:val="2F607B45"/>
    <w:rsid w:val="30227E4E"/>
    <w:rsid w:val="30656A38"/>
    <w:rsid w:val="308C2233"/>
    <w:rsid w:val="30941300"/>
    <w:rsid w:val="30C57B47"/>
    <w:rsid w:val="30E91417"/>
    <w:rsid w:val="3135706B"/>
    <w:rsid w:val="3213317E"/>
    <w:rsid w:val="33CC0423"/>
    <w:rsid w:val="33DE3B2F"/>
    <w:rsid w:val="348C32D1"/>
    <w:rsid w:val="34CA77EA"/>
    <w:rsid w:val="34FC146F"/>
    <w:rsid w:val="35042CC3"/>
    <w:rsid w:val="35B7334F"/>
    <w:rsid w:val="35BB744C"/>
    <w:rsid w:val="35C90F8B"/>
    <w:rsid w:val="361A5A0E"/>
    <w:rsid w:val="36C3023A"/>
    <w:rsid w:val="37305FF2"/>
    <w:rsid w:val="37906A90"/>
    <w:rsid w:val="37CB0B6E"/>
    <w:rsid w:val="38305977"/>
    <w:rsid w:val="38417D8A"/>
    <w:rsid w:val="38806B05"/>
    <w:rsid w:val="38BB0AA3"/>
    <w:rsid w:val="3A046030"/>
    <w:rsid w:val="3A1219DE"/>
    <w:rsid w:val="3AA21F1A"/>
    <w:rsid w:val="3AD54849"/>
    <w:rsid w:val="3B5D719F"/>
    <w:rsid w:val="3BE86703"/>
    <w:rsid w:val="3C4B19ED"/>
    <w:rsid w:val="3C55643A"/>
    <w:rsid w:val="3C686F62"/>
    <w:rsid w:val="3C6E4D25"/>
    <w:rsid w:val="3CA955C9"/>
    <w:rsid w:val="3CED05AA"/>
    <w:rsid w:val="3D316393"/>
    <w:rsid w:val="3D644D0C"/>
    <w:rsid w:val="3D7B40E5"/>
    <w:rsid w:val="3D9D44A5"/>
    <w:rsid w:val="3DB64D77"/>
    <w:rsid w:val="3DF22A3D"/>
    <w:rsid w:val="3DF75F67"/>
    <w:rsid w:val="3E5500EC"/>
    <w:rsid w:val="3EFE0783"/>
    <w:rsid w:val="3F4048B8"/>
    <w:rsid w:val="3FF9638C"/>
    <w:rsid w:val="4031522B"/>
    <w:rsid w:val="403A7D73"/>
    <w:rsid w:val="40B2553A"/>
    <w:rsid w:val="40E3428E"/>
    <w:rsid w:val="42426BD9"/>
    <w:rsid w:val="426E68BC"/>
    <w:rsid w:val="42734B51"/>
    <w:rsid w:val="42BA4CD5"/>
    <w:rsid w:val="43507D0A"/>
    <w:rsid w:val="43875B4A"/>
    <w:rsid w:val="44DF4539"/>
    <w:rsid w:val="44E16B2B"/>
    <w:rsid w:val="44FA6A22"/>
    <w:rsid w:val="4590283F"/>
    <w:rsid w:val="46050F1E"/>
    <w:rsid w:val="46072613"/>
    <w:rsid w:val="46244F73"/>
    <w:rsid w:val="46340F2E"/>
    <w:rsid w:val="46717A8D"/>
    <w:rsid w:val="467D77EB"/>
    <w:rsid w:val="46B328FF"/>
    <w:rsid w:val="46FA6A1B"/>
    <w:rsid w:val="476F56B4"/>
    <w:rsid w:val="47C010FF"/>
    <w:rsid w:val="47E87FEE"/>
    <w:rsid w:val="48AC74A2"/>
    <w:rsid w:val="48E541DA"/>
    <w:rsid w:val="491450D0"/>
    <w:rsid w:val="49156DF5"/>
    <w:rsid w:val="49567FEB"/>
    <w:rsid w:val="4A0547B3"/>
    <w:rsid w:val="4A2B536C"/>
    <w:rsid w:val="4B2A1374"/>
    <w:rsid w:val="4BB87F0C"/>
    <w:rsid w:val="4C7D5018"/>
    <w:rsid w:val="4CB65CCF"/>
    <w:rsid w:val="4D032087"/>
    <w:rsid w:val="4D540007"/>
    <w:rsid w:val="4E0337FE"/>
    <w:rsid w:val="4E9977F3"/>
    <w:rsid w:val="4F04178B"/>
    <w:rsid w:val="4FB5681C"/>
    <w:rsid w:val="4FD45AA1"/>
    <w:rsid w:val="50140FB6"/>
    <w:rsid w:val="50661AEF"/>
    <w:rsid w:val="50B15359"/>
    <w:rsid w:val="50BD4DB5"/>
    <w:rsid w:val="50F36726"/>
    <w:rsid w:val="50FB3A77"/>
    <w:rsid w:val="521B381F"/>
    <w:rsid w:val="52482F10"/>
    <w:rsid w:val="52F65EE9"/>
    <w:rsid w:val="533C4F5A"/>
    <w:rsid w:val="534F670E"/>
    <w:rsid w:val="53714FC7"/>
    <w:rsid w:val="53726DDE"/>
    <w:rsid w:val="539A69B5"/>
    <w:rsid w:val="53C65DDF"/>
    <w:rsid w:val="541A317A"/>
    <w:rsid w:val="54981726"/>
    <w:rsid w:val="55B331F8"/>
    <w:rsid w:val="55BB2265"/>
    <w:rsid w:val="561E0DAB"/>
    <w:rsid w:val="56217017"/>
    <w:rsid w:val="56821842"/>
    <w:rsid w:val="56AD2D63"/>
    <w:rsid w:val="56B26E2B"/>
    <w:rsid w:val="580C5867"/>
    <w:rsid w:val="58460797"/>
    <w:rsid w:val="585D4315"/>
    <w:rsid w:val="587E7C08"/>
    <w:rsid w:val="58871675"/>
    <w:rsid w:val="59036B47"/>
    <w:rsid w:val="59074EB2"/>
    <w:rsid w:val="59384604"/>
    <w:rsid w:val="59842217"/>
    <w:rsid w:val="59B05D3D"/>
    <w:rsid w:val="59D3018B"/>
    <w:rsid w:val="59E571EF"/>
    <w:rsid w:val="59F667CF"/>
    <w:rsid w:val="5A35680A"/>
    <w:rsid w:val="5A865DA5"/>
    <w:rsid w:val="5A9854FF"/>
    <w:rsid w:val="5B12188C"/>
    <w:rsid w:val="5B20299D"/>
    <w:rsid w:val="5BA0230A"/>
    <w:rsid w:val="5D97007A"/>
    <w:rsid w:val="5DB33E3C"/>
    <w:rsid w:val="5E5409C7"/>
    <w:rsid w:val="5FDC6A24"/>
    <w:rsid w:val="60487F1F"/>
    <w:rsid w:val="611E0143"/>
    <w:rsid w:val="61A15BCA"/>
    <w:rsid w:val="61B72CB2"/>
    <w:rsid w:val="61EE237D"/>
    <w:rsid w:val="62053A53"/>
    <w:rsid w:val="62B351E0"/>
    <w:rsid w:val="62DB2704"/>
    <w:rsid w:val="63147CC6"/>
    <w:rsid w:val="631B0817"/>
    <w:rsid w:val="636C3589"/>
    <w:rsid w:val="637B4317"/>
    <w:rsid w:val="63936884"/>
    <w:rsid w:val="64476F4B"/>
    <w:rsid w:val="657015F8"/>
    <w:rsid w:val="65EB0824"/>
    <w:rsid w:val="65EB3E49"/>
    <w:rsid w:val="6605211B"/>
    <w:rsid w:val="663366B5"/>
    <w:rsid w:val="666A14D2"/>
    <w:rsid w:val="66B43C9A"/>
    <w:rsid w:val="677A5E12"/>
    <w:rsid w:val="683706DE"/>
    <w:rsid w:val="68D76BFA"/>
    <w:rsid w:val="68F3334B"/>
    <w:rsid w:val="699F29DF"/>
    <w:rsid w:val="69C0474D"/>
    <w:rsid w:val="69C91E25"/>
    <w:rsid w:val="6A0375FA"/>
    <w:rsid w:val="6A15771E"/>
    <w:rsid w:val="6A2C3B47"/>
    <w:rsid w:val="6A360376"/>
    <w:rsid w:val="6A520EC7"/>
    <w:rsid w:val="6A6320A3"/>
    <w:rsid w:val="6A8D3897"/>
    <w:rsid w:val="6B0529CE"/>
    <w:rsid w:val="6B3D1F73"/>
    <w:rsid w:val="6BD750D5"/>
    <w:rsid w:val="6D1D2A87"/>
    <w:rsid w:val="6D6026E6"/>
    <w:rsid w:val="6D732652"/>
    <w:rsid w:val="6DAE6F91"/>
    <w:rsid w:val="6DD72B83"/>
    <w:rsid w:val="6EC72090"/>
    <w:rsid w:val="6EFC7F8C"/>
    <w:rsid w:val="6F912DCA"/>
    <w:rsid w:val="709E2AA7"/>
    <w:rsid w:val="70F55C8B"/>
    <w:rsid w:val="71551BD5"/>
    <w:rsid w:val="720F71D8"/>
    <w:rsid w:val="72176F23"/>
    <w:rsid w:val="72824C4C"/>
    <w:rsid w:val="72915016"/>
    <w:rsid w:val="72B56DCF"/>
    <w:rsid w:val="730B63CA"/>
    <w:rsid w:val="73683E42"/>
    <w:rsid w:val="7407365B"/>
    <w:rsid w:val="745D327B"/>
    <w:rsid w:val="74A7099A"/>
    <w:rsid w:val="74E30571"/>
    <w:rsid w:val="75585A3D"/>
    <w:rsid w:val="76302578"/>
    <w:rsid w:val="763269A6"/>
    <w:rsid w:val="7777284F"/>
    <w:rsid w:val="77B76A4B"/>
    <w:rsid w:val="780B7492"/>
    <w:rsid w:val="78183696"/>
    <w:rsid w:val="784D2B8A"/>
    <w:rsid w:val="78F26A5F"/>
    <w:rsid w:val="79025FAF"/>
    <w:rsid w:val="791317F1"/>
    <w:rsid w:val="79667075"/>
    <w:rsid w:val="7AAF0F69"/>
    <w:rsid w:val="7AF64234"/>
    <w:rsid w:val="7B6411A6"/>
    <w:rsid w:val="7C8C0B9E"/>
    <w:rsid w:val="7D3401F8"/>
    <w:rsid w:val="7DAE0FEB"/>
    <w:rsid w:val="7DE94FEC"/>
    <w:rsid w:val="7E447259"/>
    <w:rsid w:val="7E7A711F"/>
    <w:rsid w:val="7EA17889"/>
    <w:rsid w:val="7EB937A4"/>
    <w:rsid w:val="7ED54355"/>
    <w:rsid w:val="7F127AA7"/>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autoRedefine/>
    <w:semiHidden/>
    <w:unhideWhenUsed/>
    <w:qFormat/>
    <w:uiPriority w:val="0"/>
    <w:rPr>
      <w:rFonts w:ascii="Arial" w:hAnsi="Arial" w:eastAsia="黑体"/>
      <w:sz w:val="20"/>
    </w:rPr>
  </w:style>
  <w:style w:type="paragraph" w:styleId="4">
    <w:name w:val="annotation text"/>
    <w:basedOn w:val="1"/>
    <w:autoRedefine/>
    <w:qFormat/>
    <w:uiPriority w:val="0"/>
    <w:pPr>
      <w:jc w:val="left"/>
    </w:pPr>
  </w:style>
  <w:style w:type="paragraph" w:styleId="5">
    <w:name w:val="Body Text"/>
    <w:basedOn w:val="1"/>
    <w:next w:val="6"/>
    <w:autoRedefine/>
    <w:qFormat/>
    <w:uiPriority w:val="0"/>
    <w:rPr>
      <w:sz w:val="28"/>
      <w:szCs w:val="20"/>
    </w:rPr>
  </w:style>
  <w:style w:type="paragraph" w:styleId="6">
    <w:name w:val="Body Text First Indent 2"/>
    <w:basedOn w:val="1"/>
    <w:autoRedefine/>
    <w:unhideWhenUsed/>
    <w:qFormat/>
    <w:uiPriority w:val="99"/>
    <w:pPr>
      <w:spacing w:after="120"/>
      <w:ind w:left="420" w:leftChars="200" w:firstLine="420"/>
    </w:pPr>
    <w:rPr>
      <w:rFonts w:ascii="Calibri" w:hAnsi="Calibri"/>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iPriority w:val="0"/>
    <w:rPr>
      <w:color w:val="0000FF"/>
      <w:u w:val="single"/>
    </w:rPr>
  </w:style>
  <w:style w:type="paragraph" w:customStyle="1" w:styleId="13">
    <w:name w:val="BodyText2"/>
    <w:basedOn w:val="1"/>
    <w:autoRedefine/>
    <w:qFormat/>
    <w:uiPriority w:val="0"/>
    <w:pPr>
      <w:spacing w:after="120" w:line="480" w:lineRule="auto"/>
      <w:textAlignment w:val="baseline"/>
    </w:pPr>
    <w:rPr>
      <w:sz w:val="32"/>
      <w:szCs w:val="32"/>
    </w:rPr>
  </w:style>
  <w:style w:type="paragraph" w:customStyle="1" w:styleId="14">
    <w:name w:val="章标题"/>
    <w:next w:val="15"/>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5">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列出段落11"/>
    <w:basedOn w:val="1"/>
    <w:autoRedefine/>
    <w:unhideWhenUsed/>
    <w:qFormat/>
    <w:uiPriority w:val="99"/>
    <w:pPr>
      <w:ind w:firstLine="420"/>
    </w:pPr>
  </w:style>
  <w:style w:type="paragraph" w:customStyle="1" w:styleId="18">
    <w:name w:val="List Paragraph"/>
    <w:basedOn w:val="1"/>
    <w:autoRedefine/>
    <w:qFormat/>
    <w:uiPriority w:val="0"/>
    <w:pPr>
      <w:ind w:firstLine="420" w:firstLineChars="200"/>
    </w:pPr>
    <w:rPr>
      <w:rFonts w:ascii="Calibri" w:hAnsi="Calibri"/>
      <w:szCs w:val="22"/>
    </w:rPr>
  </w:style>
  <w:style w:type="paragraph" w:customStyle="1" w:styleId="1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
    <w:name w:val="font01"/>
    <w:autoRedefine/>
    <w:qFormat/>
    <w:uiPriority w:val="0"/>
    <w:rPr>
      <w:rFonts w:hint="eastAsia" w:ascii="宋体" w:hAnsi="宋体" w:eastAsia="宋体" w:cs="宋体"/>
      <w:color w:val="000000"/>
      <w:sz w:val="20"/>
      <w:szCs w:val="20"/>
      <w:u w:val="none"/>
    </w:rPr>
  </w:style>
  <w:style w:type="character" w:customStyle="1" w:styleId="21">
    <w:name w:val="font11"/>
    <w:autoRedefine/>
    <w:qFormat/>
    <w:uiPriority w:val="0"/>
    <w:rPr>
      <w:rFonts w:hint="default" w:ascii="Times New Roman" w:hAnsi="Times New Roman" w:cs="Times New Roman"/>
      <w:color w:val="000000"/>
      <w:sz w:val="20"/>
      <w:szCs w:val="20"/>
      <w:u w:val="none"/>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标准文件_段 Char"/>
    <w:basedOn w:val="11"/>
    <w:uiPriority w:val="0"/>
    <w:rPr>
      <w:rFonts w:hint="eastAsia" w:ascii="宋体" w:hAnsi="Times New Roman" w:eastAsia="宋体" w:cs="宋体"/>
      <w:sz w:val="21"/>
    </w:rPr>
  </w:style>
  <w:style w:type="paragraph" w:customStyle="1" w:styleId="24">
    <w:name w:val="标准文件_正文表标题"/>
    <w:next w:val="16"/>
    <w:autoRedefine/>
    <w:qFormat/>
    <w:uiPriority w:val="0"/>
    <w:pPr>
      <w:numPr>
        <w:ilvl w:val="0"/>
        <w:numId w:val="2"/>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25">
    <w:name w:val="标准文件_表格"/>
    <w:basedOn w:val="16"/>
    <w:qFormat/>
    <w:uiPriority w:val="0"/>
    <w:pPr>
      <w:ind w:firstLine="0" w:firstLineChars="0"/>
      <w:jc w:val="center"/>
    </w:pPr>
    <w:rPr>
      <w:sz w:val="18"/>
    </w:rPr>
  </w:style>
  <w:style w:type="paragraph" w:customStyle="1" w:styleId="26">
    <w:name w:val="标准文件_一级条标题"/>
    <w:basedOn w:val="27"/>
    <w:next w:val="16"/>
    <w:autoRedefine/>
    <w:qFormat/>
    <w:uiPriority w:val="0"/>
    <w:pPr>
      <w:numPr>
        <w:ilvl w:val="2"/>
      </w:numPr>
      <w:spacing w:before="50" w:beforeLines="50" w:after="50" w:afterLines="50"/>
      <w:outlineLvl w:val="1"/>
    </w:pPr>
  </w:style>
  <w:style w:type="paragraph" w:customStyle="1" w:styleId="27">
    <w:name w:val="标准文件_章标题"/>
    <w:next w:val="16"/>
    <w:autoRedefine/>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11236</Words>
  <Characters>14876</Characters>
  <Lines>0</Lines>
  <Paragraphs>0</Paragraphs>
  <TotalTime>3</TotalTime>
  <ScaleCrop>false</ScaleCrop>
  <LinksUpToDate>false</LinksUpToDate>
  <CharactersWithSpaces>15125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2023-03-06T10:11:00Z</dcterms:created>
  <dc:creator>付传明</dc:creator>
  <cp:lastModifiedBy>Faded</cp:lastModifiedBy>
  <dcterms:modified xsi:type="dcterms:W3CDTF">2024-04-10T09:06:25Z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DC648A515C5A46748E284BEA1FA29116</vt:lpwstr>
  </property>
</Properties>
</file>