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Extensions/webExtension1.xml" ContentType="application/vnd.wps-officedocument.webExtension+xml"/>
  <Override PartName="/word/webExtensions/webExtension2.xml" ContentType="application/vnd.wps-officedocument.webExtension+xml"/>
  <Override PartName="/word/webExtensions/webExtension3.xml" ContentType="application/vnd.wps-officedocument.webExtension+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2240" w:firstLineChars="400"/>
        <w:rPr>
          <w:rFonts w:ascii="黑体" w:hAnsi="黑体" w:eastAsia="黑体" w:cs="黑体"/>
          <w:b/>
          <w:sz w:val="30"/>
          <w:szCs w:val="30"/>
        </w:rPr>
      </w:pPr>
      <w:r>
        <w:rPr>
          <w:rFonts w:hint="eastAsia"/>
          <w:spacing w:val="20"/>
          <w:sz w:val="52"/>
          <w:szCs w:val="52"/>
        </w:rPr>
        <w:t>内蒙古标准化协会</w:t>
      </w:r>
    </w:p>
    <w:p>
      <w:pPr>
        <w:spacing w:line="360" w:lineRule="auto"/>
        <w:ind w:firstLine="602" w:firstLineChars="200"/>
        <w:jc w:val="center"/>
        <w:rPr>
          <w:rFonts w:ascii="黑体" w:hAnsi="黑体" w:eastAsia="黑体" w:cs="黑体"/>
          <w:b/>
          <w:sz w:val="30"/>
          <w:szCs w:val="30"/>
        </w:rPr>
      </w:pPr>
    </w:p>
    <w:p>
      <w:pPr>
        <w:spacing w:line="20" w:lineRule="exact"/>
        <w:jc w:val="center"/>
        <w:rPr>
          <w:rFonts w:ascii="Times New Roman" w:hAnsi="Times New Roman" w:eastAsia="黑体"/>
          <w:sz w:val="32"/>
          <w:szCs w:val="32"/>
        </w:rPr>
      </w:pPr>
    </w:p>
    <w:p>
      <w:pPr>
        <w:spacing w:line="20" w:lineRule="exact"/>
        <w:jc w:val="center"/>
        <w:rPr>
          <w:rFonts w:ascii="Times New Roman" w:hAnsi="Times New Roman" w:eastAsia="黑体"/>
          <w:sz w:val="32"/>
          <w:szCs w:val="32"/>
        </w:rPr>
      </w:pPr>
    </w:p>
    <w:p>
      <w:pPr>
        <w:spacing w:line="480" w:lineRule="auto"/>
        <w:jc w:val="center"/>
        <w:rPr>
          <w:rFonts w:ascii="Times New Roman" w:hAnsi="Times New Roman" w:eastAsia="宋体" w:cs="Times New Roman"/>
          <w:sz w:val="44"/>
          <w:szCs w:val="44"/>
        </w:rPr>
      </w:pPr>
      <w:sdt>
        <w:sdtPr>
          <w:rPr>
            <w:rFonts w:ascii="Times New Roman" w:hAnsi="Times New Roman"/>
          </w:rPr>
          <w:tag w:val="NEW_STAND_NAME"/>
          <w:id w:val="595910757"/>
          <w:lock w:val="sdtLocked"/>
          <w:placeholder>
            <w:docPart w:val="{085cd2fa-6484-4fd4-826c-4826f9e63237}"/>
          </w:placeholder>
        </w:sdtPr>
        <w:sdtEndPr>
          <w:rPr>
            <w:rFonts w:ascii="Times New Roman" w:hAnsi="Times New Roman" w:eastAsia="宋体" w:cs="Times New Roman"/>
            <w:sz w:val="44"/>
            <w:szCs w:val="44"/>
          </w:rPr>
        </w:sdtEndPr>
        <w:sdtContent>
          <w:r>
            <w:rPr>
              <w:rFonts w:hint="eastAsia" w:ascii="Times New Roman" w:hAnsi="Times New Roman" w:eastAsia="宋体" w:cs="Times New Roman"/>
              <w:sz w:val="44"/>
              <w:szCs w:val="44"/>
              <w:lang w:eastAsia="zh-CN"/>
            </w:rPr>
            <w:t>《</w:t>
          </w:r>
          <w:r>
            <w:rPr>
              <w:rFonts w:ascii="Times New Roman" w:hAnsi="Times New Roman" w:eastAsia="宋体" w:cs="Times New Roman"/>
              <w:sz w:val="44"/>
              <w:szCs w:val="44"/>
              <w:lang w:eastAsia="zh-Hans"/>
            </w:rPr>
            <w:t>托克托县辣椒地方品种提纯复壮技术规程</w:t>
          </w:r>
          <w:r>
            <w:rPr>
              <w:rFonts w:hint="eastAsia" w:ascii="Times New Roman" w:hAnsi="Times New Roman" w:eastAsia="宋体" w:cs="Times New Roman"/>
              <w:sz w:val="44"/>
              <w:szCs w:val="44"/>
              <w:lang w:eastAsia="zh-CN"/>
            </w:rPr>
            <w:t>》</w:t>
          </w:r>
        </w:sdtContent>
      </w:sdt>
    </w:p>
    <w:p>
      <w:pPr>
        <w:spacing w:line="480" w:lineRule="auto"/>
        <w:jc w:val="center"/>
        <w:outlineLvl w:val="0"/>
        <w:rPr>
          <w:rFonts w:ascii="Times New Roman" w:hAnsi="Times New Roman" w:eastAsia="宋体" w:cs="Times New Roman"/>
          <w:sz w:val="44"/>
          <w:szCs w:val="44"/>
        </w:rPr>
      </w:pPr>
      <w:bookmarkStart w:id="0" w:name="_GoBack"/>
      <w:bookmarkEnd w:id="0"/>
      <w:r>
        <w:rPr>
          <w:rFonts w:ascii="Times New Roman" w:hAnsi="Times New Roman" w:eastAsia="宋体" w:cs="Times New Roman"/>
          <w:sz w:val="44"/>
          <w:szCs w:val="44"/>
        </w:rPr>
        <w:t>编制说明</w:t>
      </w:r>
    </w:p>
    <w:p>
      <w:pPr>
        <w:spacing w:line="480" w:lineRule="auto"/>
        <w:jc w:val="center"/>
        <w:rPr>
          <w:rFonts w:ascii="Times New Roman" w:hAnsi="Times New Roman" w:eastAsia="宋体" w:cs="Times New Roman"/>
          <w:sz w:val="44"/>
          <w:szCs w:val="44"/>
        </w:rPr>
      </w:pPr>
      <w:r>
        <w:rPr>
          <w:rFonts w:hint="eastAsia" w:ascii="Times New Roman" w:hAnsi="Times New Roman" w:eastAsia="宋体" w:cs="Times New Roman"/>
          <w:sz w:val="44"/>
          <w:szCs w:val="44"/>
        </w:rPr>
        <w:t>（</w:t>
      </w:r>
      <w:r>
        <w:rPr>
          <w:rFonts w:hint="eastAsia" w:ascii="Times New Roman" w:hAnsi="Times New Roman" w:eastAsia="宋体" w:cs="Times New Roman"/>
          <w:sz w:val="44"/>
          <w:szCs w:val="44"/>
          <w:lang w:val="en-US" w:eastAsia="zh-CN"/>
        </w:rPr>
        <w:t>征求意见稿</w:t>
      </w:r>
      <w:r>
        <w:rPr>
          <w:rFonts w:hint="eastAsia" w:ascii="Times New Roman" w:hAnsi="Times New Roman" w:eastAsia="宋体" w:cs="Times New Roman"/>
          <w:sz w:val="44"/>
          <w:szCs w:val="44"/>
        </w:rPr>
        <w:t>）</w:t>
      </w: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jc w:val="center"/>
        <w:rPr>
          <w:rFonts w:ascii="黑体" w:hAnsi="黑体" w:eastAsia="黑体" w:cs="黑体"/>
          <w:b/>
          <w:sz w:val="30"/>
          <w:szCs w:val="30"/>
        </w:rPr>
      </w:pPr>
    </w:p>
    <w:p>
      <w:pPr>
        <w:spacing w:line="360" w:lineRule="auto"/>
        <w:ind w:firstLine="602" w:firstLineChars="200"/>
        <w:rPr>
          <w:rFonts w:ascii="黑体" w:hAnsi="黑体" w:eastAsia="黑体" w:cs="黑体"/>
          <w:b/>
          <w:sz w:val="30"/>
          <w:szCs w:val="30"/>
        </w:rPr>
      </w:pPr>
      <w:r>
        <w:rPr>
          <w:rFonts w:hint="eastAsia" w:ascii="黑体" w:hAnsi="黑体" w:eastAsia="黑体" w:cs="黑体"/>
          <w:b/>
          <w:sz w:val="30"/>
          <w:szCs w:val="30"/>
        </w:rPr>
        <w:t xml:space="preserve"> </w:t>
      </w:r>
      <w:r>
        <w:rPr>
          <w:rFonts w:ascii="黑体" w:hAnsi="黑体" w:eastAsia="黑体" w:cs="黑体"/>
          <w:b/>
          <w:sz w:val="30"/>
          <w:szCs w:val="30"/>
        </w:rPr>
        <w:t xml:space="preserve">                       </w:t>
      </w:r>
    </w:p>
    <w:p>
      <w:pPr>
        <w:jc w:val="center"/>
        <w:rPr>
          <w:rFonts w:asciiTheme="minorEastAsia" w:hAnsiTheme="minorEastAsia"/>
          <w:b/>
          <w:sz w:val="36"/>
          <w:szCs w:val="36"/>
        </w:rPr>
      </w:pPr>
    </w:p>
    <w:p>
      <w:pPr>
        <w:jc w:val="center"/>
        <w:rPr>
          <w:rFonts w:hint="eastAsia" w:asciiTheme="minorEastAsia" w:hAnsiTheme="minorEastAsia"/>
          <w:b/>
          <w:sz w:val="36"/>
          <w:szCs w:val="36"/>
        </w:rPr>
      </w:pPr>
    </w:p>
    <w:p>
      <w:pPr>
        <w:jc w:val="center"/>
        <w:rPr>
          <w:rFonts w:hint="eastAsia" w:asciiTheme="minorEastAsia" w:hAnsiTheme="minorEastAsia"/>
          <w:b/>
          <w:sz w:val="36"/>
          <w:szCs w:val="36"/>
        </w:rPr>
      </w:pPr>
    </w:p>
    <w:p>
      <w:pPr>
        <w:jc w:val="center"/>
        <w:rPr>
          <w:rFonts w:hint="eastAsia" w:ascii="黑体" w:hAnsi="黑体" w:eastAsia="黑体" w:cs="黑体"/>
          <w:bCs/>
          <w:sz w:val="32"/>
          <w:szCs w:val="32"/>
        </w:rPr>
      </w:pPr>
      <w:r>
        <w:rPr>
          <w:rFonts w:hint="eastAsia" w:ascii="黑体" w:hAnsi="黑体" w:eastAsia="黑体" w:cs="黑体"/>
          <w:bCs/>
          <w:sz w:val="32"/>
          <w:szCs w:val="32"/>
        </w:rPr>
        <w:t>《</w:t>
      </w:r>
      <w:r>
        <w:rPr>
          <w:rFonts w:hint="eastAsia" w:ascii="黑体" w:hAnsi="黑体" w:eastAsia="黑体" w:cs="黑体"/>
          <w:bCs/>
          <w:sz w:val="32"/>
          <w:szCs w:val="32"/>
          <w:lang w:eastAsia="zh-Hans"/>
        </w:rPr>
        <w:t>托克托县辣椒地方品种提纯复壮技术规程</w:t>
      </w:r>
      <w:r>
        <w:rPr>
          <w:rFonts w:hint="eastAsia" w:ascii="黑体" w:hAnsi="黑体" w:eastAsia="黑体" w:cs="黑体"/>
          <w:bCs/>
          <w:sz w:val="32"/>
          <w:szCs w:val="32"/>
        </w:rPr>
        <w:t>》</w:t>
      </w:r>
    </w:p>
    <w:p>
      <w:pPr>
        <w:jc w:val="center"/>
        <w:rPr>
          <w:rFonts w:hint="eastAsia" w:ascii="黑体" w:hAnsi="黑体" w:eastAsia="黑体" w:cs="黑体"/>
          <w:bCs/>
          <w:sz w:val="32"/>
          <w:szCs w:val="32"/>
        </w:rPr>
      </w:pPr>
      <w:r>
        <w:rPr>
          <w:rFonts w:hint="eastAsia" w:ascii="黑体" w:hAnsi="黑体" w:eastAsia="黑体" w:cs="黑体"/>
          <w:bCs/>
          <w:sz w:val="32"/>
          <w:szCs w:val="32"/>
        </w:rPr>
        <w:t>编制说明</w:t>
      </w:r>
    </w:p>
    <w:p>
      <w:pPr>
        <w:outlineLvl w:val="0"/>
        <w:rPr>
          <w:rFonts w:ascii="仿宋" w:hAnsi="仿宋" w:eastAsia="仿宋"/>
          <w:b/>
          <w:sz w:val="30"/>
          <w:szCs w:val="30"/>
        </w:rPr>
      </w:pPr>
      <w:r>
        <w:rPr>
          <w:rFonts w:hint="eastAsia" w:ascii="仿宋" w:hAnsi="仿宋" w:eastAsia="仿宋"/>
          <w:b/>
          <w:sz w:val="30"/>
          <w:szCs w:val="30"/>
        </w:rPr>
        <w:t>一、工作简况</w:t>
      </w:r>
    </w:p>
    <w:p>
      <w:pPr>
        <w:outlineLvl w:val="1"/>
        <w:rPr>
          <w:rFonts w:ascii="仿宋" w:hAnsi="仿宋" w:eastAsia="仿宋"/>
          <w:b/>
          <w:sz w:val="28"/>
          <w:szCs w:val="28"/>
        </w:rPr>
      </w:pPr>
      <w:r>
        <w:rPr>
          <w:rFonts w:hint="eastAsia" w:ascii="仿宋" w:hAnsi="仿宋" w:eastAsia="仿宋"/>
          <w:b/>
          <w:sz w:val="28"/>
          <w:szCs w:val="28"/>
        </w:rPr>
        <w:t>1、任务来源</w:t>
      </w:r>
    </w:p>
    <w:p>
      <w:pPr>
        <w:pStyle w:val="15"/>
        <w:keepNext w:val="0"/>
        <w:keepLines w:val="0"/>
        <w:pageBreakBefore w:val="0"/>
        <w:widowControl/>
        <w:kinsoku/>
        <w:wordWrap/>
        <w:overflowPunct/>
        <w:topLinePunct w:val="0"/>
        <w:autoSpaceDE w:val="0"/>
        <w:autoSpaceDN w:val="0"/>
        <w:bidi w:val="0"/>
        <w:adjustRightInd/>
        <w:snapToGrid/>
        <w:ind w:left="420" w:leftChars="200" w:firstLine="560" w:firstLineChars="200"/>
        <w:jc w:val="left"/>
        <w:textAlignment w:val="auto"/>
        <w:rPr>
          <w:rFonts w:hint="default" w:ascii="仿宋" w:hAnsi="仿宋" w:eastAsia="仿宋" w:cstheme="minorBidi"/>
          <w:kern w:val="2"/>
          <w:sz w:val="28"/>
          <w:szCs w:val="28"/>
          <w:highlight w:val="none"/>
          <w:lang w:val="en-US" w:eastAsia="zh-Hans" w:bidi="ar-SA"/>
        </w:rPr>
      </w:pPr>
      <w:r>
        <w:rPr>
          <w:rFonts w:hint="eastAsia" w:ascii="仿宋" w:hAnsi="仿宋" w:eastAsia="仿宋" w:cstheme="minorBidi"/>
          <w:kern w:val="2"/>
          <w:sz w:val="28"/>
          <w:szCs w:val="28"/>
          <w:highlight w:val="none"/>
          <w:lang w:val="en-US" w:eastAsia="zh-CN" w:bidi="ar-SA"/>
        </w:rPr>
        <w:t>根据《2022年内蒙古自治区农牧业种质资源保护利用工作实施方案》（内农牧种发【2022】588号）的需要开展《农作物种质资源收集鉴定入库项目》，起草组编制向内蒙古标准化协会申请关于托克托县辣椒的团体标准，协会对《托克托县辣椒地方品种提纯复壮技术规程》的团体标准进行了技术审查，后经协会研讨与组织立项评审，确定《托克托县辣椒地方品种提纯复壮技术规程》符合立项条件，于2023年7月17日，内蒙古标准化协会下达关于2023年第二批团体标准制修订项目的通知，批准立项。</w:t>
      </w:r>
    </w:p>
    <w:p>
      <w:pPr>
        <w:outlineLvl w:val="1"/>
        <w:rPr>
          <w:rFonts w:ascii="仿宋" w:hAnsi="仿宋" w:eastAsia="仿宋"/>
          <w:b/>
          <w:sz w:val="28"/>
          <w:szCs w:val="28"/>
        </w:rPr>
      </w:pPr>
      <w:r>
        <w:rPr>
          <w:rFonts w:hint="eastAsia" w:ascii="仿宋" w:hAnsi="仿宋" w:eastAsia="仿宋"/>
          <w:b/>
          <w:sz w:val="28"/>
          <w:szCs w:val="28"/>
        </w:rPr>
        <w:t>2、起草单位及协作单位</w:t>
      </w:r>
    </w:p>
    <w:p>
      <w:pPr>
        <w:pStyle w:val="15"/>
        <w:keepNext w:val="0"/>
        <w:keepLines w:val="0"/>
        <w:pageBreakBefore w:val="0"/>
        <w:widowControl/>
        <w:kinsoku/>
        <w:wordWrap/>
        <w:overflowPunct/>
        <w:topLinePunct w:val="0"/>
        <w:autoSpaceDE w:val="0"/>
        <w:autoSpaceDN w:val="0"/>
        <w:bidi w:val="0"/>
        <w:adjustRightInd/>
        <w:snapToGrid/>
        <w:jc w:val="left"/>
        <w:textAlignment w:val="auto"/>
        <w:rPr>
          <w:rFonts w:hint="eastAsia" w:ascii="仿宋" w:hAnsi="仿宋" w:eastAsia="仿宋" w:cstheme="minorBidi"/>
          <w:kern w:val="2"/>
          <w:sz w:val="28"/>
          <w:szCs w:val="28"/>
          <w:lang w:val="en-US" w:eastAsia="zh-CN" w:bidi="ar-SA"/>
        </w:rPr>
      </w:pPr>
      <w:r>
        <w:rPr>
          <w:rFonts w:hint="eastAsia" w:ascii="仿宋" w:hAnsi="仿宋" w:eastAsia="仿宋"/>
          <w:sz w:val="28"/>
          <w:szCs w:val="28"/>
        </w:rPr>
        <w:t>起草单位：</w:t>
      </w:r>
      <w:r>
        <w:rPr>
          <w:rFonts w:hint="eastAsia" w:ascii="仿宋" w:hAnsi="仿宋" w:eastAsia="仿宋" w:cstheme="minorBidi"/>
          <w:kern w:val="2"/>
          <w:sz w:val="28"/>
          <w:szCs w:val="28"/>
          <w:lang w:val="en-US" w:eastAsia="zh-Hans" w:bidi="ar-SA"/>
        </w:rPr>
        <w:t>蒙草生态环境（集团）股份有限公司</w:t>
      </w:r>
      <w:r>
        <w:rPr>
          <w:rFonts w:hint="eastAsia" w:ascii="仿宋" w:hAnsi="仿宋" w:eastAsia="仿宋" w:cstheme="minorBidi"/>
          <w:kern w:val="2"/>
          <w:sz w:val="28"/>
          <w:szCs w:val="28"/>
          <w:lang w:val="en-US" w:eastAsia="zh-CN" w:bidi="ar-SA"/>
        </w:rPr>
        <w:t>。</w:t>
      </w:r>
    </w:p>
    <w:p>
      <w:pPr>
        <w:spacing w:line="480" w:lineRule="exact"/>
        <w:ind w:firstLine="560" w:firstLineChars="200"/>
        <w:rPr>
          <w:rFonts w:hint="eastAsia" w:ascii="仿宋" w:hAnsi="仿宋" w:eastAsia="仿宋"/>
          <w:sz w:val="28"/>
          <w:szCs w:val="28"/>
          <w:lang w:val="en-US" w:eastAsia="zh-CN"/>
        </w:rPr>
      </w:pPr>
      <w:r>
        <w:rPr>
          <w:rFonts w:hint="eastAsia" w:ascii="仿宋" w:hAnsi="仿宋" w:eastAsia="仿宋"/>
          <w:sz w:val="28"/>
          <w:szCs w:val="28"/>
        </w:rPr>
        <w:t>协作单位：</w:t>
      </w:r>
      <w:r>
        <w:rPr>
          <w:rFonts w:hint="default" w:ascii="仿宋" w:hAnsi="仿宋" w:eastAsia="仿宋" w:cstheme="minorBidi"/>
          <w:kern w:val="2"/>
          <w:sz w:val="28"/>
          <w:szCs w:val="28"/>
          <w:lang w:val="en-US" w:eastAsia="zh-Hans" w:bidi="ar-SA"/>
        </w:rPr>
        <w:t>内蒙古天赋河套种质科技发展有限公司</w:t>
      </w:r>
      <w:r>
        <w:rPr>
          <w:rFonts w:hint="eastAsia" w:ascii="仿宋" w:hAnsi="仿宋" w:eastAsia="仿宋" w:cstheme="minorBidi"/>
          <w:kern w:val="2"/>
          <w:sz w:val="28"/>
          <w:szCs w:val="28"/>
          <w:lang w:val="en-US" w:eastAsia="zh-Hans" w:bidi="ar-SA"/>
        </w:rPr>
        <w:t>、内蒙古本木检测科技有限公司</w:t>
      </w:r>
      <w:r>
        <w:rPr>
          <w:rFonts w:hint="eastAsia" w:ascii="仿宋" w:hAnsi="仿宋" w:eastAsia="仿宋" w:cstheme="minorBidi"/>
          <w:kern w:val="2"/>
          <w:sz w:val="28"/>
          <w:szCs w:val="28"/>
          <w:lang w:val="en-US" w:eastAsia="zh-CN" w:bidi="ar-SA"/>
        </w:rPr>
        <w:t>。</w:t>
      </w:r>
    </w:p>
    <w:p>
      <w:pPr>
        <w:outlineLvl w:val="1"/>
        <w:rPr>
          <w:rFonts w:ascii="仿宋" w:hAnsi="仿宋" w:eastAsia="仿宋"/>
          <w:b/>
          <w:sz w:val="28"/>
          <w:szCs w:val="28"/>
        </w:rPr>
      </w:pPr>
      <w:r>
        <w:rPr>
          <w:rFonts w:hint="eastAsia" w:ascii="仿宋" w:hAnsi="仿宋" w:eastAsia="仿宋"/>
          <w:b/>
          <w:sz w:val="28"/>
          <w:szCs w:val="28"/>
        </w:rPr>
        <w:t>3、主要起草人</w:t>
      </w:r>
    </w:p>
    <w:p>
      <w:pPr>
        <w:ind w:firstLine="560" w:firstLineChars="200"/>
        <w:rPr>
          <w:rFonts w:hint="eastAsia" w:ascii="仿宋" w:hAnsi="仿宋" w:eastAsia="仿宋" w:cstheme="minorBidi"/>
          <w:kern w:val="2"/>
          <w:sz w:val="28"/>
          <w:szCs w:val="28"/>
          <w:lang w:val="en-US" w:eastAsia="zh-Hans" w:bidi="ar-SA"/>
        </w:rPr>
      </w:pPr>
      <w:r>
        <w:rPr>
          <w:rFonts w:hint="eastAsia" w:ascii="仿宋" w:hAnsi="仿宋" w:eastAsia="仿宋"/>
          <w:sz w:val="28"/>
          <w:szCs w:val="28"/>
        </w:rPr>
        <w:t>本标准主要起草人为：</w:t>
      </w:r>
      <w:r>
        <w:rPr>
          <w:rFonts w:hint="eastAsia" w:ascii="仿宋" w:hAnsi="仿宋" w:eastAsia="仿宋" w:cstheme="minorBidi"/>
          <w:kern w:val="2"/>
          <w:sz w:val="28"/>
          <w:szCs w:val="28"/>
          <w:lang w:val="en-US" w:eastAsia="zh-CN" w:bidi="ar-SA"/>
        </w:rPr>
        <w:t>王伟</w:t>
      </w:r>
      <w:r>
        <w:rPr>
          <w:rFonts w:hint="eastAsia" w:ascii="仿宋" w:hAnsi="仿宋" w:eastAsia="仿宋" w:cstheme="minorBidi"/>
          <w:kern w:val="2"/>
          <w:sz w:val="28"/>
          <w:szCs w:val="28"/>
          <w:lang w:val="en-US" w:eastAsia="zh-Hans" w:bidi="ar-SA"/>
        </w:rPr>
        <w:t>、</w:t>
      </w:r>
      <w:r>
        <w:rPr>
          <w:rFonts w:hint="eastAsia" w:ascii="仿宋" w:hAnsi="仿宋" w:eastAsia="仿宋" w:cstheme="minorBidi"/>
          <w:kern w:val="2"/>
          <w:sz w:val="28"/>
          <w:szCs w:val="28"/>
          <w:lang w:val="en-US" w:eastAsia="zh-CN" w:bidi="ar-SA"/>
        </w:rPr>
        <w:t>高雅倩</w:t>
      </w:r>
      <w:r>
        <w:rPr>
          <w:rFonts w:hint="eastAsia" w:ascii="仿宋" w:hAnsi="仿宋" w:eastAsia="仿宋" w:cstheme="minorBidi"/>
          <w:kern w:val="2"/>
          <w:sz w:val="28"/>
          <w:szCs w:val="28"/>
          <w:lang w:val="en-US" w:eastAsia="zh-Hans" w:bidi="ar-SA"/>
        </w:rPr>
        <w:t>、</w:t>
      </w:r>
      <w:r>
        <w:rPr>
          <w:rFonts w:hint="eastAsia" w:ascii="仿宋" w:hAnsi="仿宋" w:eastAsia="仿宋" w:cstheme="minorBidi"/>
          <w:kern w:val="2"/>
          <w:sz w:val="28"/>
          <w:szCs w:val="28"/>
          <w:lang w:val="en-US" w:eastAsia="zh-CN" w:bidi="ar-SA"/>
        </w:rPr>
        <w:t>郑丽娜</w:t>
      </w:r>
      <w:r>
        <w:rPr>
          <w:rFonts w:hint="eastAsia" w:ascii="仿宋" w:hAnsi="仿宋" w:eastAsia="仿宋" w:cstheme="minorBidi"/>
          <w:kern w:val="2"/>
          <w:sz w:val="28"/>
          <w:szCs w:val="28"/>
          <w:lang w:val="en-US" w:eastAsia="zh-Hans" w:bidi="ar-SA"/>
        </w:rPr>
        <w:t>、</w:t>
      </w:r>
      <w:r>
        <w:rPr>
          <w:rFonts w:hint="eastAsia" w:ascii="仿宋" w:hAnsi="仿宋" w:eastAsia="仿宋" w:cstheme="minorBidi"/>
          <w:kern w:val="2"/>
          <w:sz w:val="28"/>
          <w:szCs w:val="28"/>
          <w:lang w:val="en-US" w:eastAsia="zh-CN" w:bidi="ar-SA"/>
        </w:rPr>
        <w:t>孟德</w:t>
      </w:r>
      <w:r>
        <w:rPr>
          <w:rFonts w:hint="eastAsia" w:ascii="仿宋" w:hAnsi="仿宋" w:eastAsia="仿宋" w:cstheme="minorBidi"/>
          <w:kern w:val="2"/>
          <w:sz w:val="28"/>
          <w:szCs w:val="28"/>
          <w:lang w:val="en-US" w:eastAsia="zh-Hans" w:bidi="ar-SA"/>
        </w:rPr>
        <w:t>、张俊奎</w:t>
      </w:r>
    </w:p>
    <w:p>
      <w:pPr>
        <w:pStyle w:val="4"/>
        <w:ind w:firstLine="400" w:firstLineChars="200"/>
        <w:jc w:val="center"/>
        <w:rPr>
          <w:rFonts w:ascii="仿宋" w:hAnsi="仿宋" w:eastAsia="仿宋"/>
          <w:sz w:val="28"/>
          <w:szCs w:val="28"/>
        </w:rPr>
      </w:pPr>
      <w:r>
        <w:t xml:space="preserve">表 </w:t>
      </w:r>
      <w:r>
        <w:fldChar w:fldCharType="begin"/>
      </w:r>
      <w:r>
        <w:instrText xml:space="preserve"> SEQ 表 \* ARABIC </w:instrText>
      </w:r>
      <w:r>
        <w:fldChar w:fldCharType="separate"/>
      </w:r>
      <w:r>
        <w:t>1</w:t>
      </w:r>
      <w:r>
        <w:fldChar w:fldCharType="end"/>
      </w:r>
      <w:r>
        <w:rPr>
          <w:rFonts w:hint="eastAsia" w:ascii="仿宋" w:hAnsi="仿宋" w:eastAsia="仿宋"/>
          <w:sz w:val="28"/>
          <w:szCs w:val="28"/>
        </w:rPr>
        <w:t>标准参与编写人员及其所做的工作</w:t>
      </w:r>
    </w:p>
    <w:tbl>
      <w:tblPr>
        <w:tblStyle w:val="9"/>
        <w:tblW w:w="5000" w:type="pct"/>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333"/>
        <w:gridCol w:w="2182"/>
        <w:gridCol w:w="1226"/>
        <w:gridCol w:w="378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姓名</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工作单位</w:t>
            </w:r>
          </w:p>
        </w:tc>
        <w:tc>
          <w:tcPr>
            <w:tcW w:w="719"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职称</w:t>
            </w:r>
          </w:p>
        </w:tc>
        <w:tc>
          <w:tcPr>
            <w:tcW w:w="2218"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主要工作内容</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王伟</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lang w:val="en-US" w:eastAsia="zh-CN" w:bidi="ar-SA"/>
                <w14:textFill>
                  <w14:solidFill>
                    <w14:schemeClr w14:val="tx1"/>
                  </w14:solidFill>
                </w14:textFill>
              </w:rPr>
            </w:pPr>
            <w:r>
              <w:rPr>
                <w:rFonts w:hint="eastAsia" w:ascii="仿宋" w:hAnsi="仿宋" w:eastAsia="仿宋" w:cs="仿宋"/>
                <w:sz w:val="24"/>
                <w:szCs w:val="24"/>
                <w:lang w:val="en-US" w:eastAsia="zh-CN"/>
              </w:rPr>
              <w:t>蒙草生态环境（集团）股份有限公司</w:t>
            </w:r>
          </w:p>
        </w:tc>
        <w:tc>
          <w:tcPr>
            <w:tcW w:w="719"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中级农艺师</w:t>
            </w:r>
          </w:p>
        </w:tc>
        <w:tc>
          <w:tcPr>
            <w:tcW w:w="2218" w:type="pct"/>
            <w:vAlign w:val="center"/>
          </w:tcPr>
          <w:p>
            <w:pPr>
              <w:spacing w:after="0"/>
              <w:rPr>
                <w:rFonts w:hint="eastAsia" w:ascii="仿宋" w:hAnsi="仿宋" w:eastAsia="仿宋" w:cs="仿宋"/>
                <w:kern w:val="0"/>
                <w:sz w:val="24"/>
                <w:szCs w:val="24"/>
                <w:lang w:eastAsia="zh-CN"/>
              </w:rPr>
            </w:pPr>
            <w:r>
              <w:rPr>
                <w:rFonts w:hint="eastAsia" w:ascii="仿宋" w:hAnsi="仿宋" w:eastAsia="仿宋" w:cs="仿宋"/>
                <w:color w:val="000000" w:themeColor="text1"/>
                <w:kern w:val="0"/>
                <w:sz w:val="24"/>
                <w:szCs w:val="24"/>
                <w14:textFill>
                  <w14:solidFill>
                    <w14:schemeClr w14:val="tx1"/>
                  </w14:solidFill>
                </w14:textFill>
              </w:rPr>
              <w:t>主要参加人，负责标准编写、验证和修订</w:t>
            </w:r>
            <w:r>
              <w:rPr>
                <w:rFonts w:hint="eastAsia" w:ascii="仿宋" w:hAnsi="仿宋" w:eastAsia="仿宋" w:cs="仿宋"/>
                <w:color w:val="000000" w:themeColor="text1"/>
                <w:kern w:val="0"/>
                <w:sz w:val="24"/>
                <w:szCs w:val="24"/>
                <w:lang w:eastAsia="zh-CN"/>
                <w14:textFill>
                  <w14:solidFill>
                    <w14:schemeClr w14:val="tx1"/>
                  </w14:solidFill>
                </w14:textFill>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高雅倩</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lang w:val="en-US" w:eastAsia="zh-CN" w:bidi="ar-SA"/>
                <w14:textFill>
                  <w14:solidFill>
                    <w14:schemeClr w14:val="tx1"/>
                  </w14:solidFill>
                </w14:textFill>
              </w:rPr>
            </w:pPr>
            <w:r>
              <w:rPr>
                <w:rFonts w:hint="eastAsia" w:ascii="仿宋" w:hAnsi="仿宋" w:eastAsia="仿宋" w:cs="仿宋"/>
                <w:sz w:val="24"/>
                <w:szCs w:val="24"/>
                <w:lang w:val="en-US" w:eastAsia="zh-CN"/>
              </w:rPr>
              <w:t>蒙草生态环境（集团）股份有限公司</w:t>
            </w:r>
          </w:p>
        </w:tc>
        <w:tc>
          <w:tcPr>
            <w:tcW w:w="719" w:type="pct"/>
            <w:vAlign w:val="center"/>
          </w:tcPr>
          <w:p>
            <w:pPr>
              <w:spacing w:after="0"/>
              <w:jc w:val="center"/>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无</w:t>
            </w:r>
          </w:p>
        </w:tc>
        <w:tc>
          <w:tcPr>
            <w:tcW w:w="2218" w:type="pct"/>
            <w:vAlign w:val="center"/>
          </w:tcPr>
          <w:p>
            <w:pPr>
              <w:spacing w:after="0"/>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主要参加人，参与标准</w:t>
            </w:r>
            <w:r>
              <w:rPr>
                <w:rFonts w:hint="eastAsia" w:ascii="仿宋" w:hAnsi="仿宋" w:eastAsia="仿宋" w:cs="仿宋"/>
                <w:color w:val="000000" w:themeColor="text1"/>
                <w:kern w:val="0"/>
                <w:sz w:val="24"/>
                <w:szCs w:val="24"/>
                <w:lang w:val="en-US" w:eastAsia="zh-CN"/>
                <w14:textFill>
                  <w14:solidFill>
                    <w14:schemeClr w14:val="tx1"/>
                  </w14:solidFill>
                </w14:textFill>
              </w:rPr>
              <w:t>说明</w:t>
            </w:r>
            <w:r>
              <w:rPr>
                <w:rFonts w:hint="eastAsia" w:ascii="仿宋" w:hAnsi="仿宋" w:eastAsia="仿宋" w:cs="仿宋"/>
                <w:color w:val="000000" w:themeColor="text1"/>
                <w:kern w:val="0"/>
                <w:sz w:val="24"/>
                <w:szCs w:val="24"/>
                <w14:textFill>
                  <w14:solidFill>
                    <w14:schemeClr w14:val="tx1"/>
                  </w14:solidFill>
                </w14:textFill>
              </w:rPr>
              <w:t>的</w:t>
            </w:r>
            <w:r>
              <w:rPr>
                <w:rFonts w:hint="eastAsia" w:ascii="仿宋" w:hAnsi="仿宋" w:eastAsia="仿宋" w:cs="仿宋"/>
                <w:color w:val="000000" w:themeColor="text1"/>
                <w:kern w:val="0"/>
                <w:sz w:val="24"/>
                <w:szCs w:val="24"/>
                <w:lang w:val="en-US" w:eastAsia="zh-CN"/>
                <w14:textFill>
                  <w14:solidFill>
                    <w14:schemeClr w14:val="tx1"/>
                  </w14:solidFill>
                </w14:textFill>
              </w:rPr>
              <w:t>编写。</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4"/>
                <w:szCs w:val="24"/>
                <w:lang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郑丽娜</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sz w:val="24"/>
                <w:szCs w:val="24"/>
                <w:lang w:val="en-US" w:eastAsia="zh-CN"/>
              </w:rPr>
              <w:t>蒙草生态环境（集团）股份有限公司</w:t>
            </w:r>
          </w:p>
        </w:tc>
        <w:tc>
          <w:tcPr>
            <w:tcW w:w="719" w:type="pct"/>
            <w:vAlign w:val="center"/>
          </w:tcPr>
          <w:p>
            <w:pPr>
              <w:spacing w:after="80"/>
              <w:jc w:val="center"/>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高级工程师</w:t>
            </w:r>
          </w:p>
        </w:tc>
        <w:tc>
          <w:tcPr>
            <w:tcW w:w="2218" w:type="pct"/>
            <w:vAlign w:val="center"/>
          </w:tcPr>
          <w:p>
            <w:pPr>
              <w:spacing w:after="8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主要参加人</w:t>
            </w:r>
            <w:r>
              <w:rPr>
                <w:rFonts w:hint="eastAsia" w:ascii="仿宋" w:hAnsi="仿宋" w:eastAsia="仿宋" w:cs="仿宋"/>
                <w:color w:val="000000" w:themeColor="text1"/>
                <w:kern w:val="0"/>
                <w:sz w:val="24"/>
                <w:szCs w:val="24"/>
                <w:lang w:eastAsia="zh-CN"/>
                <w14:textFill>
                  <w14:solidFill>
                    <w14:schemeClr w14:val="tx1"/>
                  </w14:solidFill>
                </w14:textFill>
              </w:rPr>
              <w:t>，</w:t>
            </w:r>
            <w:r>
              <w:rPr>
                <w:rFonts w:hint="eastAsia" w:ascii="仿宋" w:hAnsi="仿宋" w:eastAsia="仿宋" w:cs="仿宋"/>
                <w:color w:val="000000" w:themeColor="text1"/>
                <w:kern w:val="0"/>
                <w:sz w:val="24"/>
                <w:szCs w:val="24"/>
                <w14:textFill>
                  <w14:solidFill>
                    <w14:schemeClr w14:val="tx1"/>
                  </w14:solidFill>
                </w14:textFill>
              </w:rPr>
              <w:t>负责方案设计</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孟德</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sz w:val="24"/>
                <w:szCs w:val="24"/>
                <w:lang w:val="en-US" w:eastAsia="zh-CN"/>
              </w:rPr>
              <w:t>蒙草生态环境（集团）股份有限公司</w:t>
            </w:r>
          </w:p>
        </w:tc>
        <w:tc>
          <w:tcPr>
            <w:tcW w:w="719" w:type="pct"/>
            <w:vAlign w:val="center"/>
          </w:tcPr>
          <w:p>
            <w:pPr>
              <w:spacing w:after="80"/>
              <w:jc w:val="center"/>
              <w:rPr>
                <w:rFonts w:hint="eastAsia" w:ascii="仿宋" w:hAnsi="仿宋" w:eastAsia="仿宋" w:cs="仿宋"/>
                <w:color w:val="000000" w:themeColor="text1"/>
                <w:kern w:val="0"/>
                <w:sz w:val="24"/>
                <w:szCs w:val="24"/>
                <w14:textFill>
                  <w14:solidFill>
                    <w14:schemeClr w14:val="tx1"/>
                  </w14:solidFill>
                </w14:textFill>
              </w:rPr>
            </w:pPr>
          </w:p>
        </w:tc>
        <w:tc>
          <w:tcPr>
            <w:tcW w:w="2218" w:type="pct"/>
            <w:vAlign w:val="center"/>
          </w:tcPr>
          <w:p>
            <w:pPr>
              <w:spacing w:after="80"/>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主要参加人</w:t>
            </w:r>
            <w:r>
              <w:rPr>
                <w:rFonts w:hint="eastAsia" w:ascii="仿宋" w:hAnsi="仿宋" w:eastAsia="仿宋" w:cs="仿宋"/>
                <w:color w:val="000000" w:themeColor="text1"/>
                <w:kern w:val="0"/>
                <w:sz w:val="24"/>
                <w:szCs w:val="24"/>
                <w:lang w:eastAsia="zh-CN"/>
                <w14:textFill>
                  <w14:solidFill>
                    <w14:schemeClr w14:val="tx1"/>
                  </w14:solidFill>
                </w14:textFill>
              </w:rPr>
              <w:t>，</w:t>
            </w:r>
            <w:r>
              <w:rPr>
                <w:rFonts w:hint="eastAsia" w:ascii="仿宋" w:hAnsi="仿宋" w:eastAsia="仿宋" w:cs="仿宋"/>
                <w:color w:val="000000" w:themeColor="text1"/>
                <w:kern w:val="0"/>
                <w:sz w:val="24"/>
                <w:szCs w:val="24"/>
                <w14:textFill>
                  <w14:solidFill>
                    <w14:schemeClr w14:val="tx1"/>
                  </w14:solidFill>
                </w14:textFill>
              </w:rPr>
              <w:t>负责方案设计</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108" w:type="dxa"/>
            <w:bottom w:w="0" w:type="dxa"/>
            <w:right w:w="108" w:type="dxa"/>
          </w:tblCellMar>
        </w:tblPrEx>
        <w:trPr>
          <w:trHeight w:val="680" w:hRule="exact"/>
        </w:trPr>
        <w:tc>
          <w:tcPr>
            <w:tcW w:w="782" w:type="pct"/>
            <w:vAlign w:val="center"/>
          </w:tcPr>
          <w:p>
            <w:pPr>
              <w:autoSpaceDE w:val="0"/>
              <w:autoSpaceDN w:val="0"/>
              <w:spacing w:after="80"/>
              <w:contextualSpacing/>
              <w:jc w:val="center"/>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张俊奎</w:t>
            </w:r>
          </w:p>
        </w:tc>
        <w:tc>
          <w:tcPr>
            <w:tcW w:w="1280" w:type="pct"/>
            <w:vAlign w:val="center"/>
          </w:tcPr>
          <w:p>
            <w:pPr>
              <w:autoSpaceDE w:val="0"/>
              <w:autoSpaceDN w:val="0"/>
              <w:spacing w:after="0"/>
              <w:contextualSpacing/>
              <w:jc w:val="center"/>
              <w:rPr>
                <w:rFonts w:hint="eastAsia" w:ascii="仿宋" w:hAnsi="仿宋" w:eastAsia="仿宋" w:cs="仿宋"/>
                <w:color w:val="000000" w:themeColor="text1"/>
                <w:kern w:val="0"/>
                <w:sz w:val="24"/>
                <w:szCs w:val="24"/>
                <w:lang w:val="en-US" w:eastAsia="zh-CN" w:bidi="ar-SA"/>
                <w14:textFill>
                  <w14:solidFill>
                    <w14:schemeClr w14:val="tx1"/>
                  </w14:solidFill>
                </w14:textFill>
              </w:rPr>
            </w:pPr>
            <w:r>
              <w:rPr>
                <w:rFonts w:hint="eastAsia" w:ascii="仿宋" w:hAnsi="仿宋" w:eastAsia="仿宋" w:cs="仿宋"/>
                <w:sz w:val="24"/>
                <w:szCs w:val="24"/>
                <w:lang w:val="en-US" w:eastAsia="zh-CN"/>
              </w:rPr>
              <w:t>蒙草生态环境（集团）股份有限公司</w:t>
            </w:r>
          </w:p>
        </w:tc>
        <w:tc>
          <w:tcPr>
            <w:tcW w:w="719" w:type="pct"/>
            <w:vAlign w:val="center"/>
          </w:tcPr>
          <w:p>
            <w:pPr>
              <w:spacing w:after="80"/>
              <w:jc w:val="center"/>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无</w:t>
            </w:r>
          </w:p>
        </w:tc>
        <w:tc>
          <w:tcPr>
            <w:tcW w:w="2218" w:type="pct"/>
            <w:vAlign w:val="center"/>
          </w:tcPr>
          <w:p>
            <w:pPr>
              <w:spacing w:after="80"/>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田间管理</w:t>
            </w:r>
          </w:p>
        </w:tc>
      </w:tr>
    </w:tbl>
    <w:p>
      <w:pPr>
        <w:rPr>
          <w:rFonts w:ascii="仿宋" w:hAnsi="仿宋" w:eastAsia="仿宋"/>
          <w:sz w:val="28"/>
          <w:szCs w:val="28"/>
        </w:rPr>
      </w:pPr>
    </w:p>
    <w:p>
      <w:pPr>
        <w:outlineLvl w:val="0"/>
        <w:rPr>
          <w:rFonts w:hint="eastAsia" w:ascii="仿宋" w:hAnsi="仿宋" w:eastAsia="仿宋"/>
          <w:b/>
          <w:sz w:val="30"/>
          <w:szCs w:val="30"/>
        </w:rPr>
      </w:pPr>
      <w:r>
        <w:rPr>
          <w:rFonts w:hint="eastAsia" w:ascii="仿宋" w:hAnsi="仿宋" w:eastAsia="仿宋"/>
          <w:b/>
          <w:sz w:val="30"/>
          <w:szCs w:val="30"/>
        </w:rPr>
        <w:t>二、制定标准的必要性和意义</w:t>
      </w:r>
    </w:p>
    <w:p>
      <w:pPr>
        <w:spacing w:line="480" w:lineRule="exact"/>
        <w:ind w:firstLine="560" w:firstLineChars="200"/>
        <w:rPr>
          <w:rFonts w:hint="default" w:ascii="仿宋" w:hAnsi="仿宋" w:eastAsia="仿宋"/>
          <w:sz w:val="28"/>
          <w:szCs w:val="28"/>
          <w:lang w:val="en-US" w:eastAsia="zh-CN"/>
        </w:rPr>
      </w:pPr>
      <w:r>
        <w:rPr>
          <w:rFonts w:hint="default" w:ascii="仿宋" w:hAnsi="仿宋" w:eastAsia="仿宋"/>
          <w:sz w:val="28"/>
          <w:szCs w:val="28"/>
          <w:lang w:val="en-US" w:eastAsia="zh-CN"/>
        </w:rPr>
        <w:t>我国辣椒品种资源丰富，有许多优良的的地方品种。许多优良的干辣椒品种如云南邱北辣椒、陕西秦椒、河南永城辣椒等，远销美国、加拿大、新西兰、日本等国，深受国际市场的欢迎。</w:t>
      </w:r>
    </w:p>
    <w:p>
      <w:pPr>
        <w:spacing w:line="480" w:lineRule="exact"/>
        <w:ind w:firstLine="560" w:firstLineChars="200"/>
        <w:rPr>
          <w:rFonts w:hint="default" w:ascii="仿宋" w:hAnsi="仿宋" w:eastAsia="仿宋"/>
          <w:sz w:val="28"/>
          <w:szCs w:val="28"/>
          <w:lang w:val="en-US" w:eastAsia="zh-CN"/>
        </w:rPr>
      </w:pPr>
      <w:r>
        <w:rPr>
          <w:rFonts w:hint="default" w:ascii="仿宋" w:hAnsi="仿宋" w:eastAsia="仿宋"/>
          <w:sz w:val="28"/>
          <w:szCs w:val="28"/>
          <w:lang w:val="en-US" w:eastAsia="zh-CN"/>
        </w:rPr>
        <w:t>辣椒属于雌雄同花、常异交作物，在自然条件下以自花授粉为主，但也常发生异花授粉，各品种无隔离时其自然异交率为16.5%左右。辣椒杂种优势非常明显，优良组合比传统主栽品种增产30%～40%，目前生产中应用的辣椒优良品种几乎都是杂种一代。辣椒杂种优势利用的关键是选配强优势的组合和生产高纯度的种子，所以配制杂种一代要求高纯度的亲本。辣椒在长期的栽培以及良种繁育的过程中，出于人为造成的机械混杂或天然杂交所引起的生物学混杂，导致许多良种退化劣变、种了质量降低、性状不整齐，丧失品种的典型性，使良种逐渐失去其优势，甚至濒临灭绝。为保持优良品种的纯度，提高其种性，防止品种混杂退化，更好地发挥杂种优势的作用，需要对品种进行提纯复壮。</w:t>
      </w:r>
    </w:p>
    <w:p>
      <w:pPr>
        <w:spacing w:line="48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lang w:val="en-US" w:eastAsia="zh-CN"/>
        </w:rPr>
        <w:t>托克托县辣椒产于托县黄河拐弯处的丘陵与平原交界地带的一溜湾，栽培历史悠久，最早可追溯到民国年间，其形状如灯笼，故得名“灯笼红”。托县辣椒2010年获批国家地理标志认证商标，具有香而不辣的特点，符合内蒙古自治区人食辣特点，同时果肉薄，易制作干椒，是托县炖鱼、托县炖豆腐、粉汤等地方特色食品的主要调料，深受内蒙古人民喜爱。但是托县辣椒地方品种产量有限，种植区域小，近年来托克托县种植引进品种多如北京红、天津红等品种，以及地方杂交品种托辣2号等，对其冲击较大，农区隔离条件差，导致辣椒混杂不纯，而且由于种植时间长，优良性状有所退化，针对以上问题提出对托县辣椒地方品种进行提纯复壮。</w:t>
      </w:r>
    </w:p>
    <w:p>
      <w:pPr>
        <w:spacing w:line="480" w:lineRule="exact"/>
        <w:ind w:firstLine="560" w:firstLineChars="200"/>
        <w:rPr>
          <w:rFonts w:hint="eastAsia" w:ascii="仿宋" w:hAnsi="仿宋" w:eastAsia="仿宋"/>
          <w:sz w:val="28"/>
          <w:szCs w:val="28"/>
          <w:lang w:val="en-US" w:eastAsia="zh-CN"/>
        </w:rPr>
      </w:pPr>
      <w:r>
        <w:rPr>
          <w:rFonts w:hint="default" w:ascii="仿宋" w:hAnsi="仿宋" w:eastAsia="仿宋"/>
          <w:sz w:val="28"/>
          <w:szCs w:val="28"/>
          <w:lang w:val="en-US" w:eastAsia="zh-CN"/>
        </w:rPr>
        <w:t>品种的提纯又称品种选纯，是指对已发生混杂的品种种子，采用适当的选择方法，以原有品种的典型性状为选择目的，在品种群体中进行选优去劣，从而提高品种的纯度。因此提纯的基本方法是选择，应根据造成混杂的原因、混杂的严重程度，选用适宜的选择方法进行品种选纯。品种复壮是在选纯的基础上，采用株间杂交等方式提高品种的种性。</w:t>
      </w:r>
    </w:p>
    <w:p>
      <w:pPr>
        <w:outlineLvl w:val="0"/>
        <w:rPr>
          <w:rFonts w:hint="eastAsia" w:ascii="仿宋" w:hAnsi="仿宋" w:eastAsia="仿宋"/>
          <w:b/>
          <w:sz w:val="30"/>
          <w:szCs w:val="30"/>
        </w:rPr>
      </w:pPr>
      <w:r>
        <w:rPr>
          <w:rFonts w:hint="eastAsia" w:ascii="仿宋" w:hAnsi="仿宋" w:eastAsia="仿宋"/>
          <w:b/>
          <w:sz w:val="30"/>
          <w:szCs w:val="30"/>
        </w:rPr>
        <w:t>三、主要起草过程</w:t>
      </w:r>
    </w:p>
    <w:p>
      <w:pPr>
        <w:jc w:val="left"/>
        <w:outlineLvl w:val="1"/>
        <w:rPr>
          <w:rFonts w:hint="eastAsia" w:ascii="仿宋" w:hAnsi="仿宋" w:eastAsia="仿宋"/>
          <w:b/>
          <w:sz w:val="28"/>
          <w:szCs w:val="28"/>
        </w:rPr>
      </w:pPr>
      <w:r>
        <w:rPr>
          <w:rFonts w:hint="eastAsia" w:ascii="仿宋" w:hAnsi="仿宋" w:eastAsia="仿宋"/>
          <w:b/>
          <w:sz w:val="28"/>
          <w:szCs w:val="28"/>
        </w:rPr>
        <w:t>1、前期准备</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从托克托县经过多年收集托县辣椒地方品种，经过浸种催芽等方式选取13份优异蒙乡托辣辣椒资源，通过各时期进行株型选择、熟性选择、果实选择、品质选择，选取出优良植株进行考种，之后进行二次选择来年种植。</w:t>
      </w:r>
    </w:p>
    <w:p>
      <w:pPr>
        <w:outlineLvl w:val="1"/>
        <w:rPr>
          <w:rFonts w:hint="eastAsia" w:ascii="仿宋" w:hAnsi="仿宋" w:eastAsia="仿宋"/>
          <w:b/>
          <w:sz w:val="28"/>
          <w:szCs w:val="28"/>
        </w:rPr>
      </w:pPr>
      <w:r>
        <w:rPr>
          <w:rFonts w:hint="eastAsia" w:ascii="仿宋" w:hAnsi="仿宋" w:eastAsia="仿宋"/>
          <w:b/>
          <w:sz w:val="28"/>
          <w:szCs w:val="28"/>
        </w:rPr>
        <w:t>2、组成标准起草组，制定工作方案</w:t>
      </w:r>
    </w:p>
    <w:p>
      <w:pPr>
        <w:ind w:firstLine="560" w:firstLineChars="200"/>
        <w:rPr>
          <w:rFonts w:hint="eastAsia" w:ascii="仿宋" w:hAnsi="仿宋" w:eastAsia="仿宋" w:cs="仿宋"/>
        </w:rPr>
      </w:pPr>
      <w:r>
        <w:rPr>
          <w:rFonts w:hint="eastAsia" w:ascii="仿宋" w:hAnsi="仿宋" w:eastAsia="仿宋" w:cs="仿宋"/>
          <w:sz w:val="28"/>
          <w:szCs w:val="28"/>
        </w:rPr>
        <w:t>在项目立项之后，202</w:t>
      </w:r>
      <w:r>
        <w:rPr>
          <w:rFonts w:hint="eastAsia" w:ascii="仿宋" w:hAnsi="仿宋" w:eastAsia="仿宋" w:cs="仿宋"/>
          <w:sz w:val="28"/>
          <w:szCs w:val="28"/>
          <w:lang w:val="en-US" w:eastAsia="zh-CN"/>
        </w:rPr>
        <w:t>0年</w:t>
      </w:r>
      <w:r>
        <w:rPr>
          <w:rFonts w:hint="eastAsia" w:ascii="仿宋" w:hAnsi="仿宋" w:eastAsia="仿宋" w:cs="仿宋"/>
          <w:sz w:val="28"/>
          <w:szCs w:val="28"/>
        </w:rPr>
        <w:t>成立了由</w:t>
      </w:r>
      <w:r>
        <w:rPr>
          <w:rFonts w:hint="eastAsia" w:ascii="仿宋" w:hAnsi="仿宋" w:eastAsia="仿宋" w:cs="仿宋"/>
          <w:kern w:val="2"/>
          <w:sz w:val="28"/>
          <w:szCs w:val="28"/>
          <w:lang w:val="en-US" w:eastAsia="zh-Hans" w:bidi="ar-SA"/>
        </w:rPr>
        <w:t>蒙草生态环境（</w:t>
      </w:r>
      <w:r>
        <w:rPr>
          <w:rFonts w:hint="eastAsia" w:ascii="仿宋" w:hAnsi="仿宋" w:eastAsia="仿宋" w:cs="仿宋"/>
          <w:kern w:val="2"/>
          <w:sz w:val="28"/>
          <w:szCs w:val="28"/>
          <w:lang w:val="en-US" w:eastAsia="zh-CN" w:bidi="ar-SA"/>
        </w:rPr>
        <w:t>集团）有限公司</w:t>
      </w:r>
      <w:r>
        <w:rPr>
          <w:rFonts w:hint="eastAsia" w:ascii="仿宋" w:hAnsi="仿宋" w:eastAsia="仿宋" w:cs="仿宋"/>
          <w:sz w:val="28"/>
          <w:szCs w:val="28"/>
        </w:rPr>
        <w:t>的专家及实践经验丰富的生产一线人员组成的标准起草小组。成员包括</w:t>
      </w:r>
      <w:r>
        <w:rPr>
          <w:rFonts w:hint="eastAsia" w:ascii="仿宋" w:hAnsi="仿宋" w:eastAsia="仿宋" w:cs="仿宋"/>
          <w:kern w:val="2"/>
          <w:sz w:val="28"/>
          <w:szCs w:val="28"/>
          <w:lang w:val="en-US" w:eastAsia="zh-CN" w:bidi="ar-SA"/>
        </w:rPr>
        <w:t>王伟</w:t>
      </w:r>
      <w:r>
        <w:rPr>
          <w:rFonts w:hint="eastAsia" w:ascii="仿宋" w:hAnsi="仿宋" w:eastAsia="仿宋" w:cs="仿宋"/>
          <w:kern w:val="2"/>
          <w:sz w:val="28"/>
          <w:szCs w:val="28"/>
          <w:lang w:val="en-US" w:eastAsia="zh-Hans" w:bidi="ar-SA"/>
        </w:rPr>
        <w:t>、</w:t>
      </w:r>
      <w:r>
        <w:rPr>
          <w:rFonts w:hint="eastAsia" w:ascii="仿宋" w:hAnsi="仿宋" w:eastAsia="仿宋" w:cs="仿宋"/>
          <w:kern w:val="2"/>
          <w:sz w:val="28"/>
          <w:szCs w:val="28"/>
          <w:lang w:val="en-US" w:eastAsia="zh-CN" w:bidi="ar-SA"/>
        </w:rPr>
        <w:t>高雅倩</w:t>
      </w:r>
      <w:r>
        <w:rPr>
          <w:rFonts w:hint="eastAsia" w:ascii="仿宋" w:hAnsi="仿宋" w:eastAsia="仿宋" w:cs="仿宋"/>
          <w:kern w:val="2"/>
          <w:sz w:val="28"/>
          <w:szCs w:val="28"/>
          <w:lang w:val="en-US" w:eastAsia="zh-Hans" w:bidi="ar-SA"/>
        </w:rPr>
        <w:t>、</w:t>
      </w:r>
      <w:r>
        <w:rPr>
          <w:rFonts w:hint="eastAsia" w:ascii="仿宋" w:hAnsi="仿宋" w:eastAsia="仿宋" w:cs="仿宋"/>
          <w:kern w:val="2"/>
          <w:sz w:val="28"/>
          <w:szCs w:val="28"/>
          <w:lang w:val="en-US" w:eastAsia="zh-CN" w:bidi="ar-SA"/>
        </w:rPr>
        <w:t>郑丽娜</w:t>
      </w:r>
      <w:r>
        <w:rPr>
          <w:rFonts w:hint="eastAsia" w:ascii="仿宋" w:hAnsi="仿宋" w:eastAsia="仿宋" w:cs="仿宋"/>
          <w:kern w:val="2"/>
          <w:sz w:val="28"/>
          <w:szCs w:val="28"/>
          <w:lang w:val="en-US" w:eastAsia="zh-Hans" w:bidi="ar-SA"/>
        </w:rPr>
        <w:t>、</w:t>
      </w:r>
      <w:r>
        <w:rPr>
          <w:rFonts w:hint="eastAsia" w:ascii="仿宋" w:hAnsi="仿宋" w:eastAsia="仿宋" w:cs="仿宋"/>
          <w:kern w:val="2"/>
          <w:sz w:val="28"/>
          <w:szCs w:val="28"/>
          <w:lang w:val="en-US" w:eastAsia="zh-CN" w:bidi="ar-SA"/>
        </w:rPr>
        <w:t>孟德</w:t>
      </w:r>
      <w:r>
        <w:rPr>
          <w:rFonts w:hint="eastAsia" w:ascii="仿宋" w:hAnsi="仿宋" w:eastAsia="仿宋" w:cs="仿宋"/>
          <w:kern w:val="2"/>
          <w:sz w:val="28"/>
          <w:szCs w:val="28"/>
          <w:lang w:val="en-US" w:eastAsia="zh-Hans" w:bidi="ar-SA"/>
        </w:rPr>
        <w:t>、张俊奎</w:t>
      </w:r>
      <w:r>
        <w:rPr>
          <w:rFonts w:hint="eastAsia" w:ascii="仿宋" w:hAnsi="仿宋" w:eastAsia="仿宋" w:cs="仿宋"/>
          <w:sz w:val="28"/>
          <w:szCs w:val="28"/>
        </w:rPr>
        <w:t>等</w:t>
      </w:r>
      <w:r>
        <w:rPr>
          <w:rFonts w:hint="eastAsia" w:ascii="仿宋" w:hAnsi="仿宋" w:eastAsia="仿宋" w:cs="仿宋"/>
          <w:sz w:val="28"/>
          <w:szCs w:val="28"/>
          <w:lang w:val="en-US" w:eastAsia="zh-CN"/>
        </w:rPr>
        <w:t>5</w:t>
      </w:r>
      <w:r>
        <w:rPr>
          <w:rFonts w:hint="eastAsia" w:ascii="仿宋" w:hAnsi="仿宋" w:eastAsia="仿宋" w:cs="仿宋"/>
          <w:sz w:val="28"/>
          <w:szCs w:val="28"/>
        </w:rPr>
        <w:t>人，见表1。标准起草组围绕该标准内容制定了详细的实施方案和技术路线。</w:t>
      </w:r>
      <w:r>
        <w:rPr>
          <w:rFonts w:hint="eastAsia" w:ascii="仿宋" w:hAnsi="仿宋" w:eastAsia="仿宋" w:cs="仿宋"/>
          <w:kern w:val="2"/>
          <w:sz w:val="28"/>
          <w:szCs w:val="28"/>
          <w:lang w:val="en-US" w:eastAsia="zh-Hans" w:bidi="ar-SA"/>
        </w:rPr>
        <w:t>蒙草生态环境（集团）股份有限公司</w:t>
      </w:r>
      <w:r>
        <w:rPr>
          <w:rFonts w:hint="eastAsia" w:ascii="仿宋" w:hAnsi="仿宋" w:eastAsia="仿宋" w:cs="仿宋"/>
          <w:sz w:val="28"/>
          <w:szCs w:val="28"/>
        </w:rPr>
        <w:t>负责标准撰写的组织、协调工作、并承担资料的收集、整理、起草和意见汇总。由</w:t>
      </w:r>
      <w:r>
        <w:rPr>
          <w:rFonts w:hint="eastAsia" w:ascii="仿宋" w:hAnsi="仿宋" w:eastAsia="仿宋" w:cs="仿宋"/>
          <w:kern w:val="2"/>
          <w:sz w:val="28"/>
          <w:szCs w:val="28"/>
          <w:lang w:val="en-US" w:eastAsia="zh-Hans" w:bidi="ar-SA"/>
        </w:rPr>
        <w:t>内蒙古本木检测科技有限公司</w:t>
      </w:r>
      <w:r>
        <w:rPr>
          <w:rFonts w:hint="eastAsia" w:ascii="仿宋" w:hAnsi="仿宋" w:eastAsia="仿宋" w:cs="仿宋"/>
          <w:sz w:val="28"/>
          <w:szCs w:val="28"/>
        </w:rPr>
        <w:t>完成相关实验研究，由</w:t>
      </w:r>
      <w:r>
        <w:rPr>
          <w:rFonts w:hint="eastAsia" w:ascii="仿宋" w:hAnsi="仿宋" w:eastAsia="仿宋" w:cs="仿宋"/>
          <w:kern w:val="2"/>
          <w:sz w:val="28"/>
          <w:szCs w:val="28"/>
          <w:lang w:val="en-US" w:eastAsia="zh-Hans" w:bidi="ar-SA"/>
        </w:rPr>
        <w:t>内蒙古天赋河套种质科技发展有限公司</w:t>
      </w:r>
      <w:r>
        <w:rPr>
          <w:rFonts w:hint="eastAsia" w:ascii="仿宋" w:hAnsi="仿宋" w:eastAsia="仿宋" w:cs="仿宋"/>
          <w:sz w:val="28"/>
          <w:szCs w:val="28"/>
        </w:rPr>
        <w:t>负责</w:t>
      </w:r>
      <w:r>
        <w:rPr>
          <w:rFonts w:hint="eastAsia" w:ascii="仿宋" w:hAnsi="仿宋" w:eastAsia="仿宋" w:cs="仿宋"/>
          <w:sz w:val="28"/>
          <w:szCs w:val="28"/>
          <w:lang w:val="en-US" w:eastAsia="zh-CN"/>
        </w:rPr>
        <w:t>提供相应实物</w:t>
      </w:r>
      <w:r>
        <w:rPr>
          <w:rFonts w:hint="eastAsia" w:ascii="仿宋" w:hAnsi="仿宋" w:eastAsia="仿宋" w:cs="仿宋"/>
          <w:sz w:val="28"/>
          <w:szCs w:val="28"/>
        </w:rPr>
        <w:t>，为各参数的确定提供数据支撑。</w:t>
      </w:r>
    </w:p>
    <w:p>
      <w:pPr>
        <w:outlineLvl w:val="1"/>
        <w:rPr>
          <w:rFonts w:ascii="仿宋" w:hAnsi="仿宋" w:eastAsia="仿宋"/>
          <w:b/>
          <w:sz w:val="28"/>
          <w:szCs w:val="28"/>
        </w:rPr>
      </w:pPr>
      <w:r>
        <w:rPr>
          <w:rFonts w:hint="eastAsia" w:ascii="仿宋" w:hAnsi="仿宋" w:eastAsia="仿宋"/>
          <w:b/>
          <w:sz w:val="28"/>
          <w:szCs w:val="28"/>
        </w:rPr>
        <w:t>3、完善标准内容，形成标准征求意见稿</w:t>
      </w:r>
    </w:p>
    <w:p>
      <w:pPr>
        <w:pStyle w:val="7"/>
        <w:widowControl/>
        <w:spacing w:before="0" w:beforeAutospacing="0" w:after="0" w:afterAutospacing="0" w:line="360" w:lineRule="auto"/>
        <w:ind w:firstLine="560" w:firstLineChars="200"/>
        <w:jc w:val="both"/>
        <w:rPr>
          <w:rFonts w:hint="eastAsia" w:ascii="仿宋" w:hAnsi="仿宋" w:eastAsia="仿宋"/>
          <w:b/>
          <w:sz w:val="28"/>
          <w:szCs w:val="28"/>
          <w:lang w:val="en-US" w:eastAsia="zh-CN"/>
        </w:rPr>
      </w:pPr>
      <w:r>
        <w:rPr>
          <w:rFonts w:hint="eastAsia" w:ascii="Times New Roman" w:hAnsi="Times New Roman" w:eastAsia="仿宋" w:cs="Times New Roman"/>
          <w:kern w:val="2"/>
          <w:sz w:val="28"/>
          <w:szCs w:val="28"/>
          <w:lang w:val="en-US" w:eastAsia="zh-CN" w:bidi="ar-SA"/>
        </w:rPr>
        <w:t>标准起草小组对标准草案进行讨论研究，组织有关专家，通过实地调研、科学试验验证后形成了标准征求意见稿。标准起草小组将标准文本及编制说明的征求意见稿向有关部门和专家采用会议形式广泛征求意见。意见征求后，标准起草小组对反馈的意见和建议进行研究和讨论，并及时对标准文本进行了修改和完善。</w:t>
      </w:r>
    </w:p>
    <w:p>
      <w:pPr>
        <w:outlineLvl w:val="0"/>
        <w:rPr>
          <w:rFonts w:hint="eastAsia" w:ascii="仿宋" w:hAnsi="仿宋" w:eastAsia="仿宋"/>
          <w:b/>
          <w:sz w:val="30"/>
          <w:szCs w:val="30"/>
        </w:rPr>
      </w:pPr>
      <w:r>
        <w:rPr>
          <w:rFonts w:hint="eastAsia" w:ascii="仿宋" w:hAnsi="仿宋" w:eastAsia="仿宋"/>
          <w:b/>
          <w:sz w:val="30"/>
          <w:szCs w:val="30"/>
        </w:rPr>
        <w:t>四、制定标准的原则和依据，与现行法律、法规、标准的关系</w:t>
      </w:r>
    </w:p>
    <w:p>
      <w:pPr>
        <w:outlineLvl w:val="1"/>
        <w:rPr>
          <w:rFonts w:hint="eastAsia" w:ascii="仿宋" w:hAnsi="仿宋" w:eastAsia="仿宋"/>
          <w:b/>
          <w:sz w:val="28"/>
          <w:szCs w:val="28"/>
        </w:rPr>
      </w:pPr>
      <w:r>
        <w:rPr>
          <w:rFonts w:hint="eastAsia" w:ascii="仿宋" w:hAnsi="仿宋" w:eastAsia="仿宋"/>
          <w:b/>
          <w:sz w:val="28"/>
          <w:szCs w:val="28"/>
        </w:rPr>
        <w:t>1、编制原则</w:t>
      </w:r>
    </w:p>
    <w:p>
      <w:pPr>
        <w:pStyle w:val="7"/>
        <w:widowControl/>
        <w:spacing w:before="0" w:beforeAutospacing="0" w:after="0" w:afterAutospacing="0"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首先保证托克托县辣椒资源地方品种的独特性，同时实现辣椒资源的产业最大化，研究托克托县辣椒地方品种提纯复壮技术，在制定本标准的过程中，课题编制遵循“科学、适度、可行”的原则，既考虑标准前瞻性又顾及种殖户生产实际。利用多份辣椒资源进行多次选择，以及测定理化指标的基础上，汲取同类标准先进生产技术及编制的先进经验与方法，使本标准具有较强的科学性、先进性、可靠性和可操作性。</w:t>
      </w:r>
    </w:p>
    <w:p>
      <w:pPr>
        <w:outlineLvl w:val="1"/>
        <w:rPr>
          <w:rFonts w:hint="eastAsia" w:ascii="仿宋" w:hAnsi="仿宋" w:eastAsia="仿宋"/>
          <w:b/>
          <w:sz w:val="28"/>
          <w:szCs w:val="28"/>
        </w:rPr>
      </w:pPr>
      <w:r>
        <w:rPr>
          <w:rFonts w:hint="eastAsia" w:ascii="仿宋" w:hAnsi="仿宋" w:eastAsia="仿宋"/>
          <w:b/>
          <w:sz w:val="28"/>
          <w:szCs w:val="28"/>
        </w:rPr>
        <w:t>2、编制依据</w:t>
      </w:r>
    </w:p>
    <w:p>
      <w:pPr>
        <w:pStyle w:val="7"/>
        <w:widowControl/>
        <w:spacing w:before="0" w:beforeAutospacing="0" w:after="0" w:afterAutospacing="0"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在前期进行的大量试验研究的基础上，依据国家、行业和地方标准及相关公告GB/Z 26583-2011《辣椒生产技术规范》、DB22/T 1597-2012《绿色食品 红辣椒生产技术规程》、DB52/T 950-2014《贵州辣椒地方品种提纯复壮技术规程》等相关标准进行编制和确定了标准的各项指标和要求。</w:t>
      </w:r>
    </w:p>
    <w:p>
      <w:pPr>
        <w:outlineLvl w:val="1"/>
        <w:rPr>
          <w:rFonts w:hint="eastAsia" w:ascii="仿宋" w:hAnsi="仿宋" w:eastAsia="仿宋"/>
          <w:b/>
          <w:sz w:val="28"/>
          <w:szCs w:val="28"/>
        </w:rPr>
      </w:pPr>
      <w:r>
        <w:rPr>
          <w:rFonts w:hint="eastAsia" w:ascii="仿宋" w:hAnsi="仿宋" w:eastAsia="仿宋"/>
          <w:b/>
          <w:sz w:val="28"/>
          <w:szCs w:val="28"/>
        </w:rPr>
        <w:t>3、与现行法律、法规、标准的关系</w:t>
      </w:r>
    </w:p>
    <w:p>
      <w:pPr>
        <w:pStyle w:val="7"/>
        <w:widowControl/>
        <w:spacing w:before="0" w:beforeAutospacing="0" w:after="0" w:afterAutospacing="0"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本标准完全符合现行法律法规和强制性标准，不存在任何与现行法律法规和强制性标准相违背之处。</w:t>
      </w:r>
    </w:p>
    <w:p>
      <w:pPr>
        <w:outlineLvl w:val="1"/>
        <w:rPr>
          <w:rFonts w:hint="eastAsia" w:ascii="仿宋" w:hAnsi="仿宋" w:eastAsia="仿宋"/>
          <w:b/>
          <w:sz w:val="28"/>
          <w:szCs w:val="28"/>
        </w:rPr>
      </w:pPr>
      <w:r>
        <w:rPr>
          <w:rFonts w:hint="eastAsia" w:ascii="仿宋" w:hAnsi="仿宋" w:eastAsia="仿宋"/>
          <w:b/>
          <w:sz w:val="28"/>
          <w:szCs w:val="28"/>
        </w:rPr>
        <w:t>4、与现行相关标准的联系</w:t>
      </w:r>
    </w:p>
    <w:p>
      <w:pPr>
        <w:pStyle w:val="7"/>
        <w:widowControl/>
        <w:spacing w:before="0" w:beforeAutospacing="0" w:after="0" w:afterAutospacing="0"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针对于具有鲜明地方特色的托县辣椒的相关标准还未出现。</w:t>
      </w:r>
    </w:p>
    <w:p>
      <w:pPr>
        <w:outlineLvl w:val="0"/>
        <w:rPr>
          <w:rFonts w:ascii="仿宋" w:hAnsi="仿宋" w:eastAsia="仿宋"/>
          <w:b/>
          <w:sz w:val="28"/>
          <w:szCs w:val="28"/>
        </w:rPr>
      </w:pPr>
      <w:r>
        <w:rPr>
          <w:rFonts w:hint="eastAsia" w:ascii="仿宋" w:hAnsi="仿宋" w:eastAsia="仿宋"/>
          <w:b/>
          <w:sz w:val="30"/>
          <w:szCs w:val="30"/>
        </w:rPr>
        <w:t>五、主要条款的说明，主要技术指标、参数、试验验证的论</w:t>
      </w:r>
      <w:r>
        <w:rPr>
          <w:rFonts w:hint="eastAsia" w:ascii="仿宋" w:hAnsi="仿宋" w:eastAsia="仿宋"/>
          <w:b/>
          <w:sz w:val="28"/>
          <w:szCs w:val="28"/>
        </w:rPr>
        <w:t>述</w:t>
      </w:r>
    </w:p>
    <w:p>
      <w:pPr>
        <w:outlineLvl w:val="1"/>
        <w:rPr>
          <w:rFonts w:hint="eastAsia" w:ascii="仿宋" w:hAnsi="仿宋" w:eastAsia="仿宋"/>
          <w:b/>
          <w:sz w:val="28"/>
          <w:szCs w:val="28"/>
        </w:rPr>
      </w:pPr>
      <w:r>
        <w:rPr>
          <w:rFonts w:hint="eastAsia" w:ascii="仿宋" w:hAnsi="仿宋" w:eastAsia="仿宋"/>
          <w:b/>
          <w:sz w:val="28"/>
          <w:szCs w:val="28"/>
        </w:rPr>
        <w:t>1、主要条款说明</w:t>
      </w:r>
    </w:p>
    <w:p>
      <w:pPr>
        <w:pStyle w:val="7"/>
        <w:widowControl/>
        <w:spacing w:before="0" w:beforeAutospacing="0" w:after="0" w:afterAutospacing="0" w:line="360" w:lineRule="auto"/>
        <w:ind w:firstLine="560" w:firstLineChars="200"/>
        <w:jc w:val="both"/>
        <w:rPr>
          <w:rFonts w:hint="eastAsia"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本标准的主要内容由范围、规范性引用文件、术语与定义、繁育技术、提纯复壮方法、采收、理化指标及检测方法、种子贮藏、生产废弃物的处理、档案管理。</w:t>
      </w:r>
    </w:p>
    <w:p>
      <w:pPr>
        <w:outlineLvl w:val="1"/>
        <w:rPr>
          <w:rFonts w:hint="eastAsia" w:ascii="仿宋" w:hAnsi="仿宋" w:eastAsia="仿宋"/>
          <w:b/>
          <w:sz w:val="28"/>
          <w:szCs w:val="28"/>
        </w:rPr>
      </w:pPr>
      <w:r>
        <w:rPr>
          <w:rFonts w:hint="eastAsia" w:ascii="仿宋" w:hAnsi="仿宋" w:eastAsia="仿宋"/>
          <w:b/>
          <w:sz w:val="28"/>
          <w:szCs w:val="28"/>
        </w:rPr>
        <w:t>2、主要技术指标、参数、试验论证的论述</w:t>
      </w:r>
    </w:p>
    <w:p>
      <w:pPr>
        <w:numPr>
          <w:ilvl w:val="0"/>
          <w:numId w:val="3"/>
        </w:numPr>
        <w:spacing w:line="360" w:lineRule="auto"/>
        <w:ind w:firstLine="482" w:firstLineChars="200"/>
        <w:outlineLvl w:val="2"/>
        <w:rPr>
          <w:rFonts w:hint="eastAsia" w:ascii="宋体" w:hAnsi="宋体"/>
          <w:b/>
          <w:bCs/>
          <w:sz w:val="24"/>
          <w:szCs w:val="22"/>
        </w:rPr>
      </w:pPr>
      <w:r>
        <w:rPr>
          <w:rFonts w:hint="eastAsia" w:ascii="宋体" w:hAnsi="宋体"/>
          <w:b/>
          <w:bCs/>
          <w:sz w:val="24"/>
          <w:szCs w:val="22"/>
          <w:lang w:val="en-US" w:eastAsia="zh-CN"/>
        </w:rPr>
        <w:t>托克托县辣椒的</w:t>
      </w:r>
      <w:r>
        <w:rPr>
          <w:rFonts w:hint="eastAsia" w:ascii="宋体" w:hAnsi="宋体"/>
          <w:b/>
          <w:bCs/>
          <w:sz w:val="24"/>
          <w:szCs w:val="22"/>
        </w:rPr>
        <w:t>分析结果</w:t>
      </w:r>
    </w:p>
    <w:p>
      <w:pPr>
        <w:pStyle w:val="7"/>
        <w:widowControl/>
        <w:spacing w:before="0" w:beforeAutospacing="0" w:after="0" w:afterAutospacing="0"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2022年共种植蒙乡托辣种质资源13份。其中蒙乡托辣1、2、9、12号未生长植株，从可正常生长的辣椒作物中，于植株座果盛期每份种质资源随机挑选5株测量株高、株展、茎粗，以算术平均值做测定结果。由表</w:t>
      </w:r>
      <w:r>
        <w:rPr>
          <w:rFonts w:hint="eastAsia" w:ascii="Times New Roman" w:hAnsi="Times New Roman" w:eastAsia="仿宋" w:cs="Times New Roman"/>
          <w:kern w:val="2"/>
          <w:sz w:val="28"/>
          <w:szCs w:val="28"/>
          <w:lang w:val="en-US" w:eastAsia="zh-CN" w:bidi="ar-SA"/>
        </w:rPr>
        <w:t>1</w:t>
      </w:r>
      <w:r>
        <w:rPr>
          <w:rFonts w:hint="default" w:ascii="Times New Roman" w:hAnsi="Times New Roman" w:eastAsia="仿宋" w:cs="Times New Roman"/>
          <w:kern w:val="2"/>
          <w:sz w:val="28"/>
          <w:szCs w:val="28"/>
          <w:lang w:val="en-US" w:eastAsia="zh-CN" w:bidi="ar-SA"/>
        </w:rPr>
        <w:t>可知，13份蒙乡托辣资源株高范围在38.3~66cm，均值为48.08cm，16号最高，14号与7号分别以56.3cm、56cm次之，8号最低。16份蒙乡托辣资源株展范围在51~92.7cm，均值为64.49cm，7号最高，14号与13号分别以91.7cm、67.3cm排其后，17号最低。16份蒙乡托辣资源茎粗范围在8.1~12.3cm，均值为9.49cm，7号最高，13号和8号分别以10.9cm、10.4cm次之，10号最低。</w:t>
      </w:r>
    </w:p>
    <w:p>
      <w:pPr>
        <w:spacing w:line="360" w:lineRule="auto"/>
        <w:ind w:firstLine="420" w:firstLineChars="200"/>
        <w:jc w:val="center"/>
        <w:rPr>
          <w:rFonts w:hint="eastAsia" w:ascii="黑体" w:hAnsi="黑体" w:eastAsia="黑体" w:cs="黑体"/>
          <w:sz w:val="21"/>
          <w:szCs w:val="21"/>
          <w:lang w:val="en-US" w:eastAsia="zh-CN"/>
        </w:rPr>
      </w:pPr>
    </w:p>
    <w:p>
      <w:pPr>
        <w:spacing w:line="360" w:lineRule="auto"/>
        <w:ind w:firstLine="420" w:firstLineChars="200"/>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w:t>
      </w:r>
    </w:p>
    <w:p>
      <w:pPr>
        <w:spacing w:line="360" w:lineRule="auto"/>
        <w:ind w:firstLine="420" w:firstLineChars="200"/>
        <w:jc w:val="center"/>
        <w:rPr>
          <w:rFonts w:hint="eastAsia" w:ascii="黑体" w:hAnsi="黑体" w:eastAsia="黑体" w:cs="黑体"/>
          <w:sz w:val="21"/>
          <w:szCs w:val="21"/>
          <w:lang w:val="en-US" w:eastAsia="zh-CN"/>
        </w:rPr>
      </w:pPr>
    </w:p>
    <w:p>
      <w:pPr>
        <w:pStyle w:val="4"/>
        <w:spacing w:line="360" w:lineRule="auto"/>
        <w:ind w:firstLine="400" w:firstLineChars="200"/>
        <w:jc w:val="center"/>
        <w:rPr>
          <w:rFonts w:hint="default" w:ascii="Times New Roman" w:hAnsi="Times New Roman" w:eastAsia="仿宋" w:cs="Times New Roman"/>
          <w:kern w:val="2"/>
          <w:sz w:val="28"/>
          <w:szCs w:val="28"/>
          <w:lang w:val="en-US" w:eastAsia="zh-CN" w:bidi="ar-SA"/>
        </w:rPr>
      </w:pPr>
      <w:r>
        <w:t xml:space="preserve">表 </w:t>
      </w:r>
      <w:r>
        <w:rPr>
          <w:rFonts w:hint="eastAsia"/>
          <w:lang w:val="en-US" w:eastAsia="zh-CN"/>
        </w:rPr>
        <w:t>1</w:t>
      </w:r>
      <w:r>
        <w:rPr>
          <w:rFonts w:hint="eastAsia" w:ascii="黑体" w:hAnsi="黑体" w:eastAsia="黑体" w:cs="黑体"/>
          <w:sz w:val="21"/>
          <w:szCs w:val="21"/>
          <w:lang w:val="en-US" w:eastAsia="zh-CN"/>
        </w:rPr>
        <w:t xml:space="preserve"> 蒙乡托辣座果期生态学性状数据</w:t>
      </w:r>
    </w:p>
    <w:tbl>
      <w:tblPr>
        <w:tblStyle w:val="8"/>
        <w:tblW w:w="72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69"/>
        <w:gridCol w:w="1490"/>
        <w:gridCol w:w="1558"/>
        <w:gridCol w:w="15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2669" w:type="dxa"/>
            <w:tcBorders>
              <w:top w:val="single" w:color="auto" w:sz="4" w:space="0"/>
              <w:left w:val="nil"/>
              <w:bottom w:val="single" w:color="auto" w:sz="4" w:space="0"/>
              <w:right w:val="nil"/>
              <w:tl2br w:val="single" w:color="auto" w:sz="4" w:space="0"/>
            </w:tcBorders>
            <w:shd w:val="clear" w:color="auto" w:fill="auto"/>
            <w:noWrap/>
            <w:vAlign w:val="center"/>
          </w:tcPr>
          <w:p>
            <w:pPr>
              <w:spacing w:line="360" w:lineRule="auto"/>
              <w:ind w:firstLine="960" w:firstLineChars="400"/>
              <w:rPr>
                <w:rFonts w:hint="default" w:ascii="宋体" w:hAnsi="宋体"/>
                <w:sz w:val="24"/>
                <w:szCs w:val="22"/>
                <w:lang w:val="en-US" w:eastAsia="zh-CN"/>
              </w:rPr>
            </w:pPr>
            <w:r>
              <w:rPr>
                <w:rFonts w:hint="default" w:ascii="宋体" w:hAnsi="宋体"/>
                <w:sz w:val="24"/>
                <w:szCs w:val="22"/>
                <w:lang w:val="en-US" w:eastAsia="zh-CN"/>
              </w:rPr>
              <w:t>作物名称     测量指标</w:t>
            </w:r>
          </w:p>
        </w:tc>
        <w:tc>
          <w:tcPr>
            <w:tcW w:w="1490" w:type="dxa"/>
            <w:tcBorders>
              <w:top w:val="single" w:color="auto" w:sz="4" w:space="0"/>
              <w:left w:val="nil"/>
              <w:bottom w:val="single" w:color="auto" w:sz="4" w:space="0"/>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株高均值cm</w:t>
            </w:r>
          </w:p>
        </w:tc>
        <w:tc>
          <w:tcPr>
            <w:tcW w:w="1558" w:type="dxa"/>
            <w:tcBorders>
              <w:top w:val="single" w:color="auto" w:sz="4" w:space="0"/>
              <w:left w:val="nil"/>
              <w:bottom w:val="single" w:color="auto" w:sz="4" w:space="0"/>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株展均值 cm</w:t>
            </w:r>
          </w:p>
        </w:tc>
        <w:tc>
          <w:tcPr>
            <w:tcW w:w="1569" w:type="dxa"/>
            <w:tcBorders>
              <w:top w:val="single" w:color="auto" w:sz="4" w:space="0"/>
              <w:left w:val="nil"/>
              <w:bottom w:val="single" w:color="auto" w:sz="4" w:space="0"/>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茎粗均值 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2669" w:type="dxa"/>
            <w:tcBorders>
              <w:top w:val="single" w:color="auto" w:sz="4" w:space="0"/>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蒙乡托辣3号</w:t>
            </w:r>
          </w:p>
        </w:tc>
        <w:tc>
          <w:tcPr>
            <w:tcW w:w="1490" w:type="dxa"/>
            <w:tcBorders>
              <w:top w:val="single" w:color="auto" w:sz="4" w:space="0"/>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47.0</w:t>
            </w:r>
          </w:p>
        </w:tc>
        <w:tc>
          <w:tcPr>
            <w:tcW w:w="1558" w:type="dxa"/>
            <w:tcBorders>
              <w:top w:val="single" w:color="auto" w:sz="4" w:space="0"/>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59.7</w:t>
            </w:r>
          </w:p>
        </w:tc>
        <w:tc>
          <w:tcPr>
            <w:tcW w:w="1569" w:type="dxa"/>
            <w:tcBorders>
              <w:top w:val="single" w:color="auto" w:sz="4" w:space="0"/>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蒙乡托辣4号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42.7</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54.7</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蒙乡托辣5号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52.0</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58.3</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蒙乡托辣6号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39.7</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51.3</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蒙乡托辣7号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56.0</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92.7</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蒙乡托辣8号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38.3</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58.0</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蒙乡托辣10号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47.3</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65.3</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蒙乡托辣11号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40.3</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62.0</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蒙乡托辣13号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49.3</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67.3</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蒙乡托辣14号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56.3</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91.7</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蒙乡托辣15号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45.3</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61.3</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jc w:val="center"/>
        </w:trPr>
        <w:tc>
          <w:tcPr>
            <w:tcW w:w="26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蒙乡托辣16号</w:t>
            </w:r>
          </w:p>
        </w:tc>
        <w:tc>
          <w:tcPr>
            <w:tcW w:w="1490"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66.0</w:t>
            </w:r>
          </w:p>
        </w:tc>
        <w:tc>
          <w:tcPr>
            <w:tcW w:w="1558"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65.0</w:t>
            </w:r>
          </w:p>
        </w:tc>
        <w:tc>
          <w:tcPr>
            <w:tcW w:w="1569" w:type="dxa"/>
            <w:tcBorders>
              <w:top w:val="nil"/>
              <w:left w:val="nil"/>
              <w:bottom w:val="nil"/>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jc w:val="center"/>
        </w:trPr>
        <w:tc>
          <w:tcPr>
            <w:tcW w:w="2669" w:type="dxa"/>
            <w:tcBorders>
              <w:top w:val="nil"/>
              <w:left w:val="nil"/>
              <w:bottom w:val="single" w:color="auto" w:sz="4" w:space="0"/>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蒙乡托辣17号</w:t>
            </w:r>
          </w:p>
        </w:tc>
        <w:tc>
          <w:tcPr>
            <w:tcW w:w="1490" w:type="dxa"/>
            <w:tcBorders>
              <w:top w:val="nil"/>
              <w:left w:val="nil"/>
              <w:bottom w:val="single" w:color="auto" w:sz="4" w:space="0"/>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44.7</w:t>
            </w:r>
          </w:p>
        </w:tc>
        <w:tc>
          <w:tcPr>
            <w:tcW w:w="1558" w:type="dxa"/>
            <w:tcBorders>
              <w:top w:val="nil"/>
              <w:left w:val="nil"/>
              <w:bottom w:val="single" w:color="auto" w:sz="4" w:space="0"/>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51.0</w:t>
            </w:r>
          </w:p>
        </w:tc>
        <w:tc>
          <w:tcPr>
            <w:tcW w:w="1569" w:type="dxa"/>
            <w:tcBorders>
              <w:top w:val="nil"/>
              <w:left w:val="nil"/>
              <w:bottom w:val="single" w:color="auto" w:sz="4" w:space="0"/>
              <w:right w:val="nil"/>
            </w:tcBorders>
            <w:shd w:val="clear" w:color="auto" w:fill="auto"/>
            <w:noWrap/>
            <w:vAlign w:val="center"/>
          </w:tcPr>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t>9.4</w:t>
            </w:r>
          </w:p>
        </w:tc>
      </w:tr>
    </w:tbl>
    <w:p>
      <w:pPr>
        <w:pStyle w:val="7"/>
        <w:widowControl/>
        <w:spacing w:before="0" w:beforeAutospacing="0" w:after="0" w:afterAutospacing="0" w:line="360" w:lineRule="auto"/>
        <w:ind w:firstLine="560" w:firstLineChars="200"/>
        <w:jc w:val="both"/>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由图</w:t>
      </w:r>
      <w:r>
        <w:rPr>
          <w:rFonts w:hint="eastAsia" w:ascii="Times New Roman" w:hAnsi="Times New Roman" w:eastAsia="仿宋" w:cs="Times New Roman"/>
          <w:kern w:val="2"/>
          <w:sz w:val="28"/>
          <w:szCs w:val="28"/>
          <w:lang w:val="en-US" w:eastAsia="zh-CN" w:bidi="ar-SA"/>
        </w:rPr>
        <w:t>1</w:t>
      </w:r>
      <w:r>
        <w:rPr>
          <w:rFonts w:hint="default" w:ascii="Times New Roman" w:hAnsi="Times New Roman" w:eastAsia="仿宋" w:cs="Times New Roman"/>
          <w:kern w:val="2"/>
          <w:sz w:val="28"/>
          <w:szCs w:val="28"/>
          <w:lang w:val="en-US" w:eastAsia="zh-CN" w:bidi="ar-SA"/>
        </w:rPr>
        <w:t>可知，综合株高、株展、茎粗3种生态学性状，蒙乡托辣7号、14号在座果盛期的长势要远优于其他资源，16号与13号长势良好，说明此4份种质资源其他种能较好的适应本地土壤与气候环境。</w:t>
      </w:r>
    </w:p>
    <w:p>
      <w:pPr>
        <w:spacing w:line="360" w:lineRule="auto"/>
        <w:ind w:firstLine="420" w:firstLineChars="200"/>
        <w:jc w:val="center"/>
        <w:rPr>
          <w:rFonts w:hint="default" w:ascii="黑体" w:hAnsi="黑体" w:eastAsia="黑体" w:cs="黑体"/>
          <w:sz w:val="21"/>
          <w:szCs w:val="21"/>
          <w:lang w:val="en-US" w:eastAsia="zh-CN"/>
        </w:rPr>
      </w:pPr>
      <w:r>
        <w:rPr>
          <w:rFonts w:hint="default" w:ascii="黑体" w:hAnsi="黑体" w:eastAsia="黑体" w:cs="黑体"/>
          <w:sz w:val="21"/>
          <w:szCs w:val="21"/>
          <w:lang w:val="en-US" w:eastAsia="zh-CN"/>
        </w:rPr>
        <w:drawing>
          <wp:inline distT="0" distB="0" distL="114300" distR="114300">
            <wp:extent cx="2702560" cy="2068830"/>
            <wp:effectExtent l="0" t="0" r="10160" b="3810"/>
            <wp:docPr id="20" name="图片 20" descr="蒙乡托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蒙乡托辣"/>
                    <pic:cNvPicPr>
                      <a:picLocks noChangeAspect="1"/>
                    </pic:cNvPicPr>
                  </pic:nvPicPr>
                  <pic:blipFill>
                    <a:blip r:embed="rId4"/>
                    <a:stretch>
                      <a:fillRect/>
                    </a:stretch>
                  </pic:blipFill>
                  <pic:spPr>
                    <a:xfrm>
                      <a:off x="0" y="0"/>
                      <a:ext cx="2702560" cy="2068830"/>
                    </a:xfrm>
                    <a:prstGeom prst="rect">
                      <a:avLst/>
                    </a:prstGeom>
                  </pic:spPr>
                </pic:pic>
              </a:graphicData>
            </a:graphic>
          </wp:inline>
        </w:drawing>
      </w:r>
    </w:p>
    <w:p>
      <w:pPr>
        <w:pStyle w:val="4"/>
        <w:spacing w:line="360" w:lineRule="auto"/>
        <w:ind w:firstLine="400" w:firstLineChars="200"/>
        <w:jc w:val="center"/>
        <w:rPr>
          <w:rFonts w:hint="default" w:ascii="Times New Roman" w:hAnsi="Times New Roman" w:eastAsia="仿宋" w:cs="Times New Roman"/>
          <w:kern w:val="2"/>
          <w:sz w:val="28"/>
          <w:szCs w:val="28"/>
          <w:lang w:val="en-US" w:eastAsia="zh-CN" w:bidi="ar-SA"/>
        </w:rPr>
      </w:pPr>
      <w:r>
        <w:t xml:space="preserve">图 </w:t>
      </w:r>
      <w:r>
        <w:fldChar w:fldCharType="begin"/>
      </w:r>
      <w:r>
        <w:instrText xml:space="preserve"> SEQ 图 \* ARABIC </w:instrText>
      </w:r>
      <w:r>
        <w:fldChar w:fldCharType="separate"/>
      </w:r>
      <w:r>
        <w:t>1</w:t>
      </w:r>
      <w:r>
        <w:fldChar w:fldCharType="end"/>
      </w:r>
      <w:r>
        <w:rPr>
          <w:rFonts w:hint="default" w:ascii="黑体" w:hAnsi="黑体" w:eastAsia="黑体" w:cs="黑体"/>
          <w:sz w:val="21"/>
          <w:szCs w:val="21"/>
          <w:lang w:val="en-US" w:eastAsia="zh-CN"/>
        </w:rPr>
        <w:t xml:space="preserve">  蒙乡托辣种质资源座果期生态学性状统计图</w:t>
      </w:r>
    </w:p>
    <w:p>
      <w:pPr>
        <w:spacing w:line="360" w:lineRule="exact"/>
        <w:ind w:firstLine="420" w:firstLineChars="200"/>
        <w:jc w:val="both"/>
        <w:rPr>
          <w:rFonts w:hint="eastAsia" w:ascii="Times New Roman Regular" w:hAnsi="Times New Roman Regular" w:cs="Times New Roman Regular"/>
          <w:color w:val="000000" w:themeColor="text1"/>
          <w:sz w:val="21"/>
          <w:szCs w:val="21"/>
          <w:lang w:val="en-US" w:eastAsia="zh-Hans"/>
          <w14:textFill>
            <w14:solidFill>
              <w14:schemeClr w14:val="tx1"/>
            </w14:solidFill>
          </w14:textFill>
        </w:rPr>
      </w:pPr>
    </w:p>
    <w:p>
      <w:pPr>
        <w:spacing w:line="360" w:lineRule="auto"/>
        <w:ind w:firstLine="560" w:firstLineChars="20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Hans" w:bidi="ar-SA"/>
        </w:rPr>
        <w:t>辣椒</w:t>
      </w:r>
      <w:r>
        <w:rPr>
          <w:rFonts w:hint="default" w:ascii="Times New Roman" w:hAnsi="Times New Roman" w:eastAsia="仿宋" w:cs="Times New Roman"/>
          <w:kern w:val="2"/>
          <w:sz w:val="28"/>
          <w:szCs w:val="28"/>
          <w:lang w:val="en-US" w:eastAsia="zh-Hans" w:bidi="ar-SA"/>
        </w:rPr>
        <w:t>作物</w:t>
      </w:r>
      <w:r>
        <w:rPr>
          <w:rFonts w:hint="default" w:ascii="Times New Roman" w:hAnsi="Times New Roman" w:eastAsia="仿宋" w:cs="Times New Roman"/>
          <w:kern w:val="2"/>
          <w:sz w:val="28"/>
          <w:szCs w:val="28"/>
          <w:lang w:val="en-US" w:eastAsia="zh-CN" w:bidi="ar-SA"/>
        </w:rPr>
        <w:t>各变量显著性与KMO检验结果如</w:t>
      </w:r>
      <w:r>
        <w:rPr>
          <w:rFonts w:hint="eastAsia" w:ascii="Times New Roman" w:hAnsi="Times New Roman" w:eastAsia="仿宋" w:cs="Times New Roman"/>
          <w:kern w:val="2"/>
          <w:sz w:val="28"/>
          <w:szCs w:val="28"/>
          <w:lang w:val="en-US" w:eastAsia="zh-CN" w:bidi="ar-SA"/>
        </w:rPr>
        <w:t>图2</w:t>
      </w:r>
      <w:r>
        <w:rPr>
          <w:rFonts w:hint="default" w:ascii="Times New Roman" w:hAnsi="Times New Roman" w:eastAsia="仿宋" w:cs="Times New Roman"/>
          <w:kern w:val="2"/>
          <w:sz w:val="28"/>
          <w:szCs w:val="28"/>
          <w:lang w:val="en-US" w:eastAsia="zh-CN" w:bidi="ar-SA"/>
        </w:rPr>
        <w:t>所示，</w:t>
      </w:r>
      <w:r>
        <w:rPr>
          <w:rFonts w:hint="default" w:ascii="Times New Roman" w:hAnsi="Times New Roman" w:eastAsia="仿宋" w:cs="Times New Roman"/>
          <w:kern w:val="2"/>
          <w:sz w:val="28"/>
          <w:szCs w:val="28"/>
          <w:lang w:val="en-US" w:eastAsia="zh-Hans" w:bidi="ar-SA"/>
        </w:rPr>
        <w:t>株高与株展显著相关，</w:t>
      </w:r>
      <w:r>
        <w:rPr>
          <w:rFonts w:hint="eastAsia" w:ascii="Times New Roman" w:hAnsi="Times New Roman" w:eastAsia="仿宋" w:cs="Times New Roman"/>
          <w:kern w:val="2"/>
          <w:sz w:val="28"/>
          <w:szCs w:val="28"/>
          <w:lang w:val="en-US" w:eastAsia="zh-Hans" w:bidi="ar-SA"/>
        </w:rPr>
        <w:t>种籽重量与果实重量显著相关，</w:t>
      </w:r>
      <w:r>
        <w:rPr>
          <w:rFonts w:hint="default" w:ascii="Times New Roman" w:hAnsi="Times New Roman" w:eastAsia="仿宋" w:cs="Times New Roman"/>
          <w:kern w:val="2"/>
          <w:sz w:val="28"/>
          <w:szCs w:val="28"/>
          <w:lang w:val="en-US" w:eastAsia="zh-CN" w:bidi="ar-SA"/>
        </w:rPr>
        <w:t>KMO取值</w:t>
      </w:r>
      <w:r>
        <w:rPr>
          <w:rFonts w:hint="eastAsia" w:ascii="Times New Roman" w:hAnsi="Times New Roman" w:eastAsia="仿宋" w:cs="Times New Roman"/>
          <w:kern w:val="2"/>
          <w:sz w:val="28"/>
          <w:szCs w:val="28"/>
          <w:lang w:val="en-US" w:eastAsia="zh-Hans" w:bidi="ar-SA"/>
        </w:rPr>
        <w:t>近似</w:t>
      </w:r>
      <w:r>
        <w:rPr>
          <w:rFonts w:hint="default" w:ascii="Times New Roman" w:hAnsi="Times New Roman" w:eastAsia="仿宋" w:cs="Times New Roman"/>
          <w:kern w:val="2"/>
          <w:sz w:val="28"/>
          <w:szCs w:val="28"/>
          <w:lang w:val="en-US" w:eastAsia="zh-Hans" w:bidi="ar-SA"/>
        </w:rPr>
        <w:t>0.5</w:t>
      </w:r>
      <w:r>
        <w:rPr>
          <w:rFonts w:hint="default" w:ascii="Times New Roman" w:hAnsi="Times New Roman" w:eastAsia="仿宋" w:cs="Times New Roman"/>
          <w:kern w:val="2"/>
          <w:sz w:val="28"/>
          <w:szCs w:val="28"/>
          <w:lang w:val="en-US" w:eastAsia="zh-CN" w:bidi="ar-SA"/>
        </w:rPr>
        <w:t>，Bartlett球形度检验Sig.</w:t>
      </w:r>
      <w:r>
        <w:rPr>
          <w:rFonts w:hint="eastAsia" w:ascii="Times New Roman" w:hAnsi="Times New Roman" w:eastAsia="仿宋" w:cs="Times New Roman"/>
          <w:kern w:val="2"/>
          <w:sz w:val="28"/>
          <w:szCs w:val="28"/>
          <w:lang w:val="en-US" w:eastAsia="zh-Hans" w:bidi="ar-SA"/>
        </w:rPr>
        <w:t>为</w:t>
      </w:r>
      <w:r>
        <w:rPr>
          <w:rFonts w:hint="default" w:ascii="Times New Roman" w:hAnsi="Times New Roman" w:eastAsia="仿宋" w:cs="Times New Roman"/>
          <w:kern w:val="2"/>
          <w:sz w:val="28"/>
          <w:szCs w:val="28"/>
          <w:lang w:val="en-US" w:eastAsia="zh-Hans" w:bidi="ar-SA"/>
        </w:rPr>
        <w:t>0.000</w:t>
      </w:r>
      <w:r>
        <w:rPr>
          <w:rFonts w:hint="default" w:ascii="Times New Roman" w:hAnsi="Times New Roman" w:eastAsia="仿宋" w:cs="Times New Roman"/>
          <w:kern w:val="2"/>
          <w:sz w:val="28"/>
          <w:szCs w:val="28"/>
          <w:lang w:val="en-US" w:eastAsia="zh-CN" w:bidi="ar-SA"/>
        </w:rPr>
        <w:t>，说明各变量具有较强相互关系且适用于因子分析。</w:t>
      </w:r>
    </w:p>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drawing>
          <wp:inline distT="0" distB="0" distL="114300" distR="114300">
            <wp:extent cx="2595245" cy="2044700"/>
            <wp:effectExtent l="0" t="0" r="10795" b="1270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5"/>
                    <a:stretch>
                      <a:fillRect/>
                    </a:stretch>
                  </pic:blipFill>
                  <pic:spPr>
                    <a:xfrm>
                      <a:off x="0" y="0"/>
                      <a:ext cx="2595245" cy="2044700"/>
                    </a:xfrm>
                    <a:prstGeom prst="rect">
                      <a:avLst/>
                    </a:prstGeom>
                    <a:noFill/>
                    <a:ln>
                      <a:noFill/>
                    </a:ln>
                  </pic:spPr>
                </pic:pic>
              </a:graphicData>
            </a:graphic>
          </wp:inline>
        </w:drawing>
      </w:r>
      <w:r>
        <w:rPr>
          <w:rFonts w:hint="default" w:ascii="宋体" w:hAnsi="宋体"/>
          <w:sz w:val="24"/>
          <w:szCs w:val="22"/>
          <w:lang w:val="en-US" w:eastAsia="zh-CN"/>
        </w:rPr>
        <w:drawing>
          <wp:inline distT="0" distB="0" distL="114300" distR="114300">
            <wp:extent cx="2142490" cy="2044700"/>
            <wp:effectExtent l="0" t="0" r="6350" b="12700"/>
            <wp:docPr id="51" name="图片 9"/>
            <wp:cNvGraphicFramePr/>
            <a:graphic xmlns:a="http://schemas.openxmlformats.org/drawingml/2006/main">
              <a:graphicData uri="http://schemas.openxmlformats.org/drawingml/2006/picture">
                <pic:pic xmlns:pic="http://schemas.openxmlformats.org/drawingml/2006/picture">
                  <pic:nvPicPr>
                    <pic:cNvPr id="51" name="图片 9"/>
                    <pic:cNvPicPr/>
                  </pic:nvPicPr>
                  <pic:blipFill>
                    <a:blip r:embed="rId6"/>
                    <a:stretch>
                      <a:fillRect/>
                    </a:stretch>
                  </pic:blipFill>
                  <pic:spPr>
                    <a:xfrm>
                      <a:off x="0" y="0"/>
                      <a:ext cx="2142490" cy="2044700"/>
                    </a:xfrm>
                    <a:prstGeom prst="rect">
                      <a:avLst/>
                    </a:prstGeom>
                    <a:noFill/>
                    <a:ln>
                      <a:noFill/>
                    </a:ln>
                  </pic:spPr>
                </pic:pic>
              </a:graphicData>
            </a:graphic>
          </wp:inline>
        </w:drawing>
      </w:r>
    </w:p>
    <w:p>
      <w:pPr>
        <w:spacing w:line="360" w:lineRule="auto"/>
        <w:ind w:firstLine="420" w:firstLineChars="200"/>
        <w:jc w:val="center"/>
        <w:rPr>
          <w:rFonts w:hint="default"/>
          <w:lang w:val="en-US" w:eastAsia="zh-Hans"/>
        </w:rPr>
      </w:pPr>
      <w:r>
        <w:rPr>
          <w:rFonts w:hint="eastAsia" w:ascii="黑体" w:hAnsi="黑体" w:eastAsia="黑体" w:cs="黑体"/>
          <w:sz w:val="21"/>
          <w:szCs w:val="21"/>
          <w:lang w:val="en-US" w:eastAsia="zh-CN"/>
        </w:rPr>
        <w:t xml:space="preserve">图2 </w:t>
      </w:r>
      <w:r>
        <w:rPr>
          <w:rFonts w:hint="eastAsia" w:ascii="黑体" w:hAnsi="黑体" w:eastAsia="黑体" w:cs="黑体"/>
          <w:sz w:val="21"/>
          <w:szCs w:val="21"/>
          <w:lang w:val="en-US" w:eastAsia="zh-Hans"/>
        </w:rPr>
        <w:t>辣椒</w:t>
      </w:r>
      <w:r>
        <w:rPr>
          <w:rFonts w:hint="default" w:ascii="黑体" w:hAnsi="黑体" w:eastAsia="黑体" w:cs="黑体"/>
          <w:sz w:val="21"/>
          <w:szCs w:val="21"/>
          <w:lang w:val="en-US" w:eastAsia="zh-Hans"/>
        </w:rPr>
        <w:t>资源变量的相关性检验</w:t>
      </w:r>
    </w:p>
    <w:p>
      <w:pPr>
        <w:spacing w:line="360" w:lineRule="auto"/>
        <w:ind w:firstLine="560" w:firstLineChars="200"/>
        <w:rPr>
          <w:rFonts w:hint="default" w:ascii="Times New Roman" w:hAnsi="Times New Roman" w:eastAsia="仿宋" w:cs="Times New Roman"/>
          <w:kern w:val="2"/>
          <w:sz w:val="28"/>
          <w:szCs w:val="28"/>
          <w:lang w:val="en-US" w:eastAsia="zh-Hans" w:bidi="ar-SA"/>
        </w:rPr>
      </w:pPr>
      <w:r>
        <w:rPr>
          <w:rFonts w:hint="default" w:ascii="Times New Roman" w:hAnsi="Times New Roman" w:eastAsia="仿宋" w:cs="Times New Roman"/>
          <w:kern w:val="2"/>
          <w:sz w:val="28"/>
          <w:szCs w:val="28"/>
          <w:lang w:val="en-US" w:eastAsia="zh-Hans" w:bidi="ar-SA"/>
        </w:rPr>
        <w:t>由</w:t>
      </w:r>
      <w:r>
        <w:rPr>
          <w:rFonts w:hint="eastAsia" w:ascii="Times New Roman" w:hAnsi="Times New Roman" w:eastAsia="仿宋" w:cs="Times New Roman"/>
          <w:kern w:val="2"/>
          <w:sz w:val="28"/>
          <w:szCs w:val="28"/>
          <w:lang w:val="en-US" w:eastAsia="zh-CN" w:bidi="ar-SA"/>
        </w:rPr>
        <w:t>图3</w:t>
      </w:r>
      <w:r>
        <w:rPr>
          <w:rFonts w:hint="default" w:ascii="Times New Roman" w:hAnsi="Times New Roman" w:eastAsia="仿宋" w:cs="Times New Roman"/>
          <w:kern w:val="2"/>
          <w:sz w:val="28"/>
          <w:szCs w:val="28"/>
          <w:lang w:val="en-US" w:eastAsia="zh-Hans" w:bidi="ar-SA"/>
        </w:rPr>
        <w:t>可知前3个公因子的累计贡献率达85.582%，足以解释5个变量中的绝大部分信息。</w:t>
      </w:r>
    </w:p>
    <w:p>
      <w:pPr>
        <w:spacing w:line="360" w:lineRule="auto"/>
        <w:ind w:firstLine="480" w:firstLineChars="200"/>
        <w:jc w:val="both"/>
        <w:rPr>
          <w:rFonts w:hint="default" w:ascii="宋体" w:hAnsi="宋体"/>
          <w:sz w:val="24"/>
          <w:szCs w:val="22"/>
          <w:lang w:val="en-US" w:eastAsia="zh-CN"/>
        </w:rPr>
      </w:pPr>
      <w:r>
        <w:rPr>
          <w:rFonts w:hint="default" w:ascii="宋体" w:hAnsi="宋体"/>
          <w:sz w:val="24"/>
          <w:szCs w:val="22"/>
          <w:lang w:val="en-US" w:eastAsia="zh-CN"/>
        </w:rPr>
        <w:drawing>
          <wp:inline distT="0" distB="0" distL="114300" distR="114300">
            <wp:extent cx="5457825" cy="1558925"/>
            <wp:effectExtent l="0" t="0" r="13335" b="10795"/>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7"/>
                    <a:stretch>
                      <a:fillRect/>
                    </a:stretch>
                  </pic:blipFill>
                  <pic:spPr>
                    <a:xfrm>
                      <a:off x="0" y="0"/>
                      <a:ext cx="5457825" cy="1558925"/>
                    </a:xfrm>
                    <a:prstGeom prst="rect">
                      <a:avLst/>
                    </a:prstGeom>
                    <a:noFill/>
                    <a:ln>
                      <a:noFill/>
                    </a:ln>
                  </pic:spPr>
                </pic:pic>
              </a:graphicData>
            </a:graphic>
          </wp:inline>
        </w:drawing>
      </w:r>
    </w:p>
    <w:p>
      <w:pPr>
        <w:spacing w:line="360" w:lineRule="auto"/>
        <w:ind w:firstLine="420" w:firstLineChars="200"/>
        <w:jc w:val="center"/>
        <w:rPr>
          <w:rFonts w:hint="default"/>
          <w:lang w:val="en-US" w:eastAsia="zh-CN"/>
        </w:rPr>
      </w:pPr>
      <w:r>
        <w:rPr>
          <w:rFonts w:hint="eastAsia" w:ascii="黑体" w:hAnsi="黑体" w:eastAsia="黑体" w:cs="黑体"/>
          <w:sz w:val="21"/>
          <w:szCs w:val="21"/>
          <w:lang w:val="en-US" w:eastAsia="zh-CN"/>
        </w:rPr>
        <w:t>图3</w:t>
      </w:r>
      <w:r>
        <w:rPr>
          <w:rFonts w:hint="default" w:ascii="黑体" w:hAnsi="黑体" w:eastAsia="黑体" w:cs="黑体"/>
          <w:sz w:val="21"/>
          <w:szCs w:val="21"/>
          <w:lang w:val="en-US" w:eastAsia="zh-CN"/>
        </w:rPr>
        <w:t xml:space="preserve">  </w:t>
      </w:r>
      <w:r>
        <w:rPr>
          <w:rFonts w:hint="eastAsia" w:ascii="黑体" w:hAnsi="黑体" w:eastAsia="黑体" w:cs="黑体"/>
          <w:sz w:val="21"/>
          <w:szCs w:val="21"/>
          <w:lang w:val="en-US" w:eastAsia="zh-Hans"/>
        </w:rPr>
        <w:t>辣椒</w:t>
      </w:r>
      <w:r>
        <w:rPr>
          <w:rFonts w:hint="default" w:ascii="黑体" w:hAnsi="黑体" w:eastAsia="黑体" w:cs="黑体"/>
          <w:sz w:val="21"/>
          <w:szCs w:val="21"/>
          <w:lang w:val="en-US" w:eastAsia="zh-Hans"/>
        </w:rPr>
        <w:t>资源变量的总方差解释</w:t>
      </w:r>
    </w:p>
    <w:p>
      <w:pPr>
        <w:spacing w:line="360" w:lineRule="auto"/>
        <w:ind w:firstLine="560" w:firstLineChars="200"/>
        <w:rPr>
          <w:rFonts w:hint="eastAsia" w:ascii="Times New Roman" w:hAnsi="Times New Roman" w:eastAsia="仿宋" w:cs="Times New Roman"/>
          <w:kern w:val="2"/>
          <w:sz w:val="28"/>
          <w:szCs w:val="28"/>
          <w:lang w:val="en-US" w:eastAsia="zh-Hans" w:bidi="ar-SA"/>
        </w:rPr>
      </w:pPr>
      <w:r>
        <w:rPr>
          <w:rFonts w:hint="eastAsia" w:ascii="Times New Roman" w:hAnsi="Times New Roman" w:eastAsia="仿宋" w:cs="Times New Roman"/>
          <w:kern w:val="2"/>
          <w:sz w:val="28"/>
          <w:szCs w:val="28"/>
          <w:lang w:val="en-US" w:eastAsia="zh-CN" w:bidi="ar-SA"/>
        </w:rPr>
        <w:t>图4</w:t>
      </w:r>
      <w:r>
        <w:rPr>
          <w:rFonts w:hint="default" w:ascii="Times New Roman" w:hAnsi="Times New Roman" w:eastAsia="仿宋" w:cs="Times New Roman"/>
          <w:kern w:val="2"/>
          <w:sz w:val="28"/>
          <w:szCs w:val="28"/>
          <w:lang w:val="en-US" w:eastAsia="zh-CN" w:bidi="ar-SA"/>
        </w:rPr>
        <w:t>为经旋转迭代4次后的公因子载荷阵与</w:t>
      </w:r>
      <w:r>
        <w:rPr>
          <w:rFonts w:hint="default" w:ascii="Times New Roman" w:hAnsi="Times New Roman" w:eastAsia="仿宋" w:cs="Times New Roman"/>
          <w:kern w:val="2"/>
          <w:sz w:val="28"/>
          <w:szCs w:val="28"/>
          <w:lang w:val="en-US" w:eastAsia="zh-Hans" w:bidi="ar-SA"/>
        </w:rPr>
        <w:t>公因子方差</w:t>
      </w:r>
      <w:r>
        <w:rPr>
          <w:rFonts w:hint="default" w:ascii="Times New Roman" w:hAnsi="Times New Roman" w:eastAsia="仿宋" w:cs="Times New Roman"/>
          <w:kern w:val="2"/>
          <w:sz w:val="28"/>
          <w:szCs w:val="28"/>
          <w:lang w:val="en-US" w:eastAsia="zh-CN" w:bidi="ar-SA"/>
        </w:rPr>
        <w:t>。</w:t>
      </w:r>
      <w:r>
        <w:rPr>
          <w:rFonts w:hint="eastAsia" w:ascii="Times New Roman" w:hAnsi="Times New Roman" w:eastAsia="仿宋" w:cs="Times New Roman"/>
          <w:kern w:val="2"/>
          <w:sz w:val="28"/>
          <w:szCs w:val="28"/>
          <w:lang w:val="en-US" w:eastAsia="zh-Hans" w:bidi="ar-SA"/>
        </w:rPr>
        <w:t>种籽重量</w:t>
      </w:r>
      <w:r>
        <w:rPr>
          <w:rFonts w:hint="default" w:ascii="Times New Roman" w:hAnsi="Times New Roman" w:eastAsia="仿宋" w:cs="Times New Roman"/>
          <w:kern w:val="2"/>
          <w:sz w:val="28"/>
          <w:szCs w:val="28"/>
          <w:lang w:val="en-US" w:eastAsia="zh-Hans" w:bidi="ar-SA"/>
        </w:rPr>
        <w:t>与</w:t>
      </w:r>
      <w:r>
        <w:rPr>
          <w:rFonts w:hint="eastAsia" w:ascii="Times New Roman" w:hAnsi="Times New Roman" w:eastAsia="仿宋" w:cs="Times New Roman"/>
          <w:kern w:val="2"/>
          <w:sz w:val="28"/>
          <w:szCs w:val="28"/>
          <w:lang w:val="en-US" w:eastAsia="zh-Hans" w:bidi="ar-SA"/>
        </w:rPr>
        <w:t>五株果实重量</w:t>
      </w:r>
      <w:r>
        <w:rPr>
          <w:rFonts w:hint="default" w:ascii="Times New Roman" w:hAnsi="Times New Roman" w:eastAsia="仿宋" w:cs="Times New Roman"/>
          <w:kern w:val="2"/>
          <w:sz w:val="28"/>
          <w:szCs w:val="28"/>
          <w:lang w:val="en-US" w:eastAsia="zh-CN" w:bidi="ar-SA"/>
        </w:rPr>
        <w:t>在公因子f1上有最大绝对值载荷</w:t>
      </w:r>
      <w:r>
        <w:rPr>
          <w:rFonts w:hint="default" w:ascii="Times New Roman" w:hAnsi="Times New Roman" w:eastAsia="仿宋" w:cs="Times New Roman"/>
          <w:kern w:val="2"/>
          <w:sz w:val="28"/>
          <w:szCs w:val="28"/>
          <w:lang w:val="en-US" w:eastAsia="zh-Hans" w:bidi="ar-SA"/>
        </w:rPr>
        <w:t>，</w:t>
      </w:r>
      <w:r>
        <w:rPr>
          <w:rFonts w:hint="eastAsia" w:ascii="Times New Roman" w:hAnsi="Times New Roman" w:eastAsia="仿宋" w:cs="Times New Roman"/>
          <w:kern w:val="2"/>
          <w:sz w:val="28"/>
          <w:szCs w:val="28"/>
          <w:lang w:val="en-US" w:eastAsia="zh-Hans" w:bidi="ar-SA"/>
        </w:rPr>
        <w:t>二者均为描述产量的因子，可命名为产量因子，株高与株展</w:t>
      </w:r>
      <w:r>
        <w:rPr>
          <w:rFonts w:hint="default" w:ascii="Times New Roman" w:hAnsi="Times New Roman" w:eastAsia="仿宋" w:cs="Times New Roman"/>
          <w:kern w:val="2"/>
          <w:sz w:val="28"/>
          <w:szCs w:val="28"/>
          <w:lang w:val="en-US" w:eastAsia="zh-Hans" w:bidi="ar-SA"/>
        </w:rPr>
        <w:t>在</w:t>
      </w:r>
      <w:r>
        <w:rPr>
          <w:rFonts w:hint="default" w:ascii="Times New Roman" w:hAnsi="Times New Roman" w:eastAsia="仿宋" w:cs="Times New Roman"/>
          <w:kern w:val="2"/>
          <w:sz w:val="28"/>
          <w:szCs w:val="28"/>
          <w:lang w:val="en-US" w:eastAsia="zh-CN" w:bidi="ar-SA"/>
        </w:rPr>
        <w:t>公因子f2上有最大绝对值载荷</w:t>
      </w:r>
      <w:r>
        <w:rPr>
          <w:rFonts w:hint="default" w:ascii="Times New Roman" w:hAnsi="Times New Roman" w:eastAsia="仿宋" w:cs="Times New Roman"/>
          <w:kern w:val="2"/>
          <w:sz w:val="28"/>
          <w:szCs w:val="28"/>
          <w:lang w:val="en-US" w:eastAsia="zh-Hans" w:bidi="ar-SA"/>
        </w:rPr>
        <w:t>，</w:t>
      </w:r>
      <w:r>
        <w:rPr>
          <w:rFonts w:hint="eastAsia" w:ascii="Times New Roman" w:hAnsi="Times New Roman" w:eastAsia="仿宋" w:cs="Times New Roman"/>
          <w:kern w:val="2"/>
          <w:sz w:val="28"/>
          <w:szCs w:val="28"/>
          <w:lang w:val="en-US" w:eastAsia="zh-Hans" w:bidi="ar-SA"/>
        </w:rPr>
        <w:t>茎粗</w:t>
      </w:r>
      <w:r>
        <w:rPr>
          <w:rFonts w:hint="default" w:ascii="Times New Roman" w:hAnsi="Times New Roman" w:eastAsia="仿宋" w:cs="Times New Roman"/>
          <w:kern w:val="2"/>
          <w:sz w:val="28"/>
          <w:szCs w:val="28"/>
          <w:lang w:val="en-US" w:eastAsia="zh-Hans" w:bidi="ar-SA"/>
        </w:rPr>
        <w:t>在</w:t>
      </w:r>
      <w:r>
        <w:rPr>
          <w:rFonts w:hint="default" w:ascii="Times New Roman" w:hAnsi="Times New Roman" w:eastAsia="仿宋" w:cs="Times New Roman"/>
          <w:kern w:val="2"/>
          <w:sz w:val="28"/>
          <w:szCs w:val="28"/>
          <w:lang w:val="en-US" w:eastAsia="zh-CN" w:bidi="ar-SA"/>
        </w:rPr>
        <w:t>公因子f3上有最大绝对值载荷</w:t>
      </w:r>
      <w:r>
        <w:rPr>
          <w:rFonts w:hint="default" w:ascii="Times New Roman" w:hAnsi="Times New Roman" w:eastAsia="仿宋" w:cs="Times New Roman"/>
          <w:kern w:val="2"/>
          <w:sz w:val="28"/>
          <w:szCs w:val="28"/>
          <w:lang w:val="en-US" w:eastAsia="zh-Hans" w:bidi="ar-SA"/>
        </w:rPr>
        <w:t>，</w:t>
      </w:r>
      <w:r>
        <w:rPr>
          <w:rFonts w:hint="default" w:ascii="Times New Roman" w:hAnsi="Times New Roman" w:eastAsia="仿宋" w:cs="Times New Roman"/>
          <w:kern w:val="2"/>
          <w:sz w:val="28"/>
          <w:szCs w:val="28"/>
          <w:lang w:val="en-US" w:eastAsia="zh-CN" w:bidi="ar-SA"/>
        </w:rPr>
        <w:t>f2</w:t>
      </w:r>
      <w:r>
        <w:rPr>
          <w:rFonts w:hint="eastAsia" w:ascii="Times New Roman" w:hAnsi="Times New Roman" w:eastAsia="仿宋" w:cs="Times New Roman"/>
          <w:kern w:val="2"/>
          <w:sz w:val="28"/>
          <w:szCs w:val="28"/>
          <w:lang w:val="en-US" w:eastAsia="zh-Hans" w:bidi="ar-SA"/>
        </w:rPr>
        <w:t>、</w:t>
      </w:r>
      <w:r>
        <w:rPr>
          <w:rFonts w:hint="default" w:ascii="Times New Roman" w:hAnsi="Times New Roman" w:eastAsia="仿宋" w:cs="Times New Roman"/>
          <w:kern w:val="2"/>
          <w:sz w:val="28"/>
          <w:szCs w:val="28"/>
          <w:lang w:val="en-US" w:eastAsia="zh-CN" w:bidi="ar-SA"/>
        </w:rPr>
        <w:t>f3</w:t>
      </w:r>
      <w:r>
        <w:rPr>
          <w:rFonts w:hint="eastAsia" w:ascii="Times New Roman" w:hAnsi="Times New Roman" w:eastAsia="仿宋" w:cs="Times New Roman"/>
          <w:kern w:val="2"/>
          <w:sz w:val="28"/>
          <w:szCs w:val="28"/>
          <w:lang w:val="en-US" w:eastAsia="zh-Hans" w:bidi="ar-SA"/>
        </w:rPr>
        <w:t>可共同命名为生长因子。</w:t>
      </w:r>
      <w:r>
        <w:rPr>
          <w:rFonts w:hint="default" w:ascii="Times New Roman" w:hAnsi="Times New Roman" w:eastAsia="仿宋" w:cs="Times New Roman"/>
          <w:kern w:val="2"/>
          <w:sz w:val="28"/>
          <w:szCs w:val="28"/>
          <w:lang w:val="en-US" w:eastAsia="zh-Hans" w:bidi="ar-SA"/>
        </w:rPr>
        <w:t>由表11可知，</w:t>
      </w:r>
      <w:r>
        <w:rPr>
          <w:rFonts w:hint="default" w:ascii="Times New Roman" w:hAnsi="Times New Roman" w:eastAsia="仿宋" w:cs="Times New Roman"/>
          <w:kern w:val="2"/>
          <w:sz w:val="28"/>
          <w:szCs w:val="28"/>
          <w:lang w:val="en-US" w:eastAsia="zh-CN" w:bidi="ar-SA"/>
        </w:rPr>
        <w:t>f1</w:t>
      </w:r>
      <w:r>
        <w:rPr>
          <w:rFonts w:hint="default" w:ascii="Times New Roman" w:hAnsi="Times New Roman" w:eastAsia="仿宋" w:cs="Times New Roman"/>
          <w:kern w:val="2"/>
          <w:sz w:val="28"/>
          <w:szCs w:val="28"/>
          <w:lang w:val="en-US" w:eastAsia="zh-Hans" w:bidi="ar-SA"/>
        </w:rPr>
        <w:t>的权重为34.321%，大于</w:t>
      </w:r>
      <w:r>
        <w:rPr>
          <w:rFonts w:hint="default" w:ascii="Times New Roman" w:hAnsi="Times New Roman" w:eastAsia="仿宋" w:cs="Times New Roman"/>
          <w:kern w:val="2"/>
          <w:sz w:val="28"/>
          <w:szCs w:val="28"/>
          <w:lang w:val="en-US" w:eastAsia="zh-CN" w:bidi="ar-SA"/>
        </w:rPr>
        <w:t>f2</w:t>
      </w:r>
      <w:r>
        <w:rPr>
          <w:rFonts w:hint="default" w:ascii="Times New Roman" w:hAnsi="Times New Roman" w:eastAsia="仿宋" w:cs="Times New Roman"/>
          <w:kern w:val="2"/>
          <w:sz w:val="28"/>
          <w:szCs w:val="28"/>
          <w:lang w:val="en-US" w:eastAsia="zh-Hans" w:bidi="ar-SA"/>
        </w:rPr>
        <w:t>的</w:t>
      </w:r>
      <w:r>
        <w:rPr>
          <w:rFonts w:hint="default" w:ascii="Times New Roman" w:hAnsi="Times New Roman" w:eastAsia="仿宋" w:cs="Times New Roman"/>
          <w:kern w:val="2"/>
          <w:sz w:val="28"/>
          <w:szCs w:val="28"/>
          <w:lang w:val="en-US" w:eastAsia="zh-CN" w:bidi="ar-SA"/>
        </w:rPr>
        <w:t>29.26%</w:t>
      </w:r>
      <w:r>
        <w:rPr>
          <w:rFonts w:hint="eastAsia" w:ascii="Times New Roman" w:hAnsi="Times New Roman" w:eastAsia="仿宋" w:cs="Times New Roman"/>
          <w:kern w:val="2"/>
          <w:sz w:val="28"/>
          <w:szCs w:val="28"/>
          <w:lang w:val="en-US" w:eastAsia="zh-Hans" w:bidi="ar-SA"/>
        </w:rPr>
        <w:t>与</w:t>
      </w:r>
      <w:r>
        <w:rPr>
          <w:rFonts w:hint="default" w:ascii="Times New Roman" w:hAnsi="Times New Roman" w:eastAsia="仿宋" w:cs="Times New Roman"/>
          <w:kern w:val="2"/>
          <w:sz w:val="28"/>
          <w:szCs w:val="28"/>
          <w:lang w:val="en-US" w:eastAsia="zh-CN" w:bidi="ar-SA"/>
        </w:rPr>
        <w:t>f3</w:t>
      </w:r>
      <w:r>
        <w:rPr>
          <w:rFonts w:hint="eastAsia" w:ascii="Times New Roman" w:hAnsi="Times New Roman" w:eastAsia="仿宋" w:cs="Times New Roman"/>
          <w:kern w:val="2"/>
          <w:sz w:val="28"/>
          <w:szCs w:val="28"/>
          <w:lang w:val="en-US" w:eastAsia="zh-Hans" w:bidi="ar-SA"/>
        </w:rPr>
        <w:t>的</w:t>
      </w:r>
      <w:r>
        <w:rPr>
          <w:rFonts w:hint="default" w:ascii="Times New Roman" w:hAnsi="Times New Roman" w:eastAsia="仿宋" w:cs="Times New Roman"/>
          <w:kern w:val="2"/>
          <w:sz w:val="28"/>
          <w:szCs w:val="28"/>
          <w:lang w:val="en-US" w:eastAsia="zh-Hans" w:bidi="ar-SA"/>
        </w:rPr>
        <w:t>22.001%，说明综合分析可知</w:t>
      </w:r>
      <w:r>
        <w:rPr>
          <w:rFonts w:hint="eastAsia" w:ascii="Times New Roman" w:hAnsi="Times New Roman" w:eastAsia="仿宋" w:cs="Times New Roman"/>
          <w:kern w:val="2"/>
          <w:sz w:val="28"/>
          <w:szCs w:val="28"/>
          <w:lang w:val="en-US" w:eastAsia="zh-Hans" w:bidi="ar-SA"/>
        </w:rPr>
        <w:t>，相对生长因子，产量因子</w:t>
      </w:r>
      <w:r>
        <w:rPr>
          <w:rFonts w:hint="default" w:ascii="Times New Roman" w:hAnsi="Times New Roman" w:eastAsia="仿宋" w:cs="Times New Roman"/>
          <w:kern w:val="2"/>
          <w:sz w:val="28"/>
          <w:szCs w:val="28"/>
          <w:lang w:val="en-US" w:eastAsia="zh-Hans" w:bidi="ar-SA"/>
        </w:rPr>
        <w:t>是影响</w:t>
      </w:r>
      <w:r>
        <w:rPr>
          <w:rFonts w:hint="eastAsia" w:ascii="Times New Roman" w:hAnsi="Times New Roman" w:eastAsia="仿宋" w:cs="Times New Roman"/>
          <w:kern w:val="2"/>
          <w:sz w:val="28"/>
          <w:szCs w:val="28"/>
          <w:lang w:val="en-US" w:eastAsia="zh-Hans" w:bidi="ar-SA"/>
        </w:rPr>
        <w:t>辣椒作物优选</w:t>
      </w:r>
      <w:r>
        <w:rPr>
          <w:rFonts w:hint="default" w:ascii="Times New Roman" w:hAnsi="Times New Roman" w:eastAsia="仿宋" w:cs="Times New Roman"/>
          <w:kern w:val="2"/>
          <w:sz w:val="28"/>
          <w:szCs w:val="28"/>
          <w:lang w:val="en-US" w:eastAsia="zh-Hans" w:bidi="ar-SA"/>
        </w:rPr>
        <w:t>的重要指标</w:t>
      </w:r>
      <w:r>
        <w:rPr>
          <w:rFonts w:hint="eastAsia" w:ascii="Times New Roman" w:hAnsi="Times New Roman" w:eastAsia="仿宋" w:cs="Times New Roman"/>
          <w:kern w:val="2"/>
          <w:sz w:val="28"/>
          <w:szCs w:val="28"/>
          <w:lang w:val="en-US" w:eastAsia="zh-Hans" w:bidi="ar-SA"/>
        </w:rPr>
        <w:t>。</w:t>
      </w:r>
    </w:p>
    <w:p>
      <w:pPr>
        <w:spacing w:line="360" w:lineRule="auto"/>
        <w:ind w:firstLine="480" w:firstLineChars="200"/>
        <w:rPr>
          <w:rFonts w:hint="default" w:ascii="宋体" w:hAnsi="宋体"/>
          <w:sz w:val="24"/>
          <w:szCs w:val="22"/>
          <w:lang w:val="en-US" w:eastAsia="zh-Hans"/>
        </w:rPr>
      </w:pPr>
    </w:p>
    <w:p>
      <w:pPr>
        <w:spacing w:line="360" w:lineRule="auto"/>
        <w:ind w:firstLine="480" w:firstLineChars="200"/>
        <w:rPr>
          <w:rFonts w:hint="default" w:ascii="宋体" w:hAnsi="宋体"/>
          <w:sz w:val="24"/>
          <w:szCs w:val="22"/>
          <w:lang w:val="en-US" w:eastAsia="zh-CN"/>
        </w:rPr>
      </w:pPr>
      <w:r>
        <w:rPr>
          <w:rFonts w:hint="default" w:ascii="宋体" w:hAnsi="宋体"/>
          <w:sz w:val="24"/>
          <w:szCs w:val="22"/>
          <w:lang w:val="en-US" w:eastAsia="zh-CN"/>
        </w:rPr>
        <w:drawing>
          <wp:inline distT="0" distB="0" distL="114300" distR="114300">
            <wp:extent cx="2365375" cy="1668145"/>
            <wp:effectExtent l="0" t="0" r="12065" b="8255"/>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8"/>
                    <a:stretch>
                      <a:fillRect/>
                    </a:stretch>
                  </pic:blipFill>
                  <pic:spPr>
                    <a:xfrm>
                      <a:off x="0" y="0"/>
                      <a:ext cx="2365375" cy="1668145"/>
                    </a:xfrm>
                    <a:prstGeom prst="rect">
                      <a:avLst/>
                    </a:prstGeom>
                    <a:noFill/>
                    <a:ln>
                      <a:noFill/>
                    </a:ln>
                  </pic:spPr>
                </pic:pic>
              </a:graphicData>
            </a:graphic>
          </wp:inline>
        </w:drawing>
      </w:r>
      <w:r>
        <w:rPr>
          <w:rFonts w:hint="default" w:ascii="宋体" w:hAnsi="宋体"/>
          <w:sz w:val="24"/>
          <w:szCs w:val="22"/>
          <w:lang w:val="en-US" w:eastAsia="zh-Hans"/>
        </w:rPr>
        <w:t xml:space="preserve">        </w:t>
      </w:r>
      <w:r>
        <w:rPr>
          <w:rFonts w:hint="default" w:ascii="宋体" w:hAnsi="宋体"/>
          <w:sz w:val="24"/>
          <w:szCs w:val="22"/>
          <w:lang w:val="en-US" w:eastAsia="zh-CN"/>
        </w:rPr>
        <w:drawing>
          <wp:inline distT="0" distB="0" distL="114300" distR="114300">
            <wp:extent cx="1830705" cy="1666875"/>
            <wp:effectExtent l="0" t="0" r="13335" b="9525"/>
            <wp:docPr id="54" name="图片 10"/>
            <wp:cNvGraphicFramePr/>
            <a:graphic xmlns:a="http://schemas.openxmlformats.org/drawingml/2006/main">
              <a:graphicData uri="http://schemas.openxmlformats.org/drawingml/2006/picture">
                <pic:pic xmlns:pic="http://schemas.openxmlformats.org/drawingml/2006/picture">
                  <pic:nvPicPr>
                    <pic:cNvPr id="54" name="图片 10"/>
                    <pic:cNvPicPr/>
                  </pic:nvPicPr>
                  <pic:blipFill>
                    <a:blip r:embed="rId9"/>
                    <a:stretch>
                      <a:fillRect/>
                    </a:stretch>
                  </pic:blipFill>
                  <pic:spPr>
                    <a:xfrm rot="10800000" flipH="1" flipV="1">
                      <a:off x="0" y="0"/>
                      <a:ext cx="1830705" cy="1666875"/>
                    </a:xfrm>
                    <a:prstGeom prst="rect">
                      <a:avLst/>
                    </a:prstGeom>
                    <a:noFill/>
                    <a:ln>
                      <a:noFill/>
                    </a:ln>
                  </pic:spPr>
                </pic:pic>
              </a:graphicData>
            </a:graphic>
          </wp:inline>
        </w:drawing>
      </w:r>
    </w:p>
    <w:p>
      <w:pPr>
        <w:spacing w:line="360" w:lineRule="auto"/>
        <w:ind w:firstLine="420" w:firstLineChars="200"/>
        <w:jc w:val="center"/>
        <w:rPr>
          <w:rFonts w:hint="default"/>
          <w:lang w:val="en-US" w:eastAsia="zh-Hans"/>
        </w:rPr>
      </w:pPr>
      <w:r>
        <w:rPr>
          <w:rFonts w:hint="eastAsia" w:ascii="黑体" w:hAnsi="黑体" w:eastAsia="黑体" w:cs="黑体"/>
          <w:sz w:val="21"/>
          <w:szCs w:val="21"/>
          <w:lang w:val="en-US" w:eastAsia="zh-CN"/>
        </w:rPr>
        <w:t>图4</w:t>
      </w:r>
      <w:r>
        <w:rPr>
          <w:rFonts w:hint="eastAsia" w:ascii="黑体" w:hAnsi="黑体" w:eastAsia="黑体" w:cs="黑体"/>
          <w:sz w:val="21"/>
          <w:szCs w:val="21"/>
          <w:lang w:val="en-US" w:eastAsia="zh-Hans"/>
        </w:rPr>
        <w:t>辣椒</w:t>
      </w:r>
      <w:r>
        <w:rPr>
          <w:rFonts w:hint="default" w:ascii="黑体" w:hAnsi="黑体" w:eastAsia="黑体" w:cs="黑体"/>
          <w:sz w:val="21"/>
          <w:szCs w:val="21"/>
          <w:lang w:val="en-US" w:eastAsia="zh-Hans"/>
        </w:rPr>
        <w:t>资源</w:t>
      </w:r>
      <w:r>
        <w:rPr>
          <w:rFonts w:hint="default" w:ascii="黑体" w:hAnsi="黑体" w:eastAsia="黑体" w:cs="黑体"/>
          <w:sz w:val="21"/>
          <w:szCs w:val="21"/>
          <w:lang w:val="en-US" w:eastAsia="zh-CN"/>
        </w:rPr>
        <w:t>因子载荷阵的正交旋转与变量共同度</w:t>
      </w:r>
    </w:p>
    <w:p>
      <w:pPr>
        <w:spacing w:line="360" w:lineRule="auto"/>
        <w:ind w:firstLine="480" w:firstLineChars="200"/>
        <w:rPr>
          <w:rFonts w:hint="default" w:ascii="宋体" w:hAnsi="宋体"/>
          <w:sz w:val="24"/>
          <w:szCs w:val="22"/>
          <w:lang w:val="en-US" w:eastAsia="zh-Hans"/>
        </w:rPr>
      </w:pPr>
    </w:p>
    <w:p>
      <w:pPr>
        <w:spacing w:line="360" w:lineRule="auto"/>
        <w:ind w:firstLine="560" w:firstLineChars="200"/>
        <w:rPr>
          <w:rFonts w:hint="default" w:ascii="Times New Roman" w:hAnsi="Times New Roman" w:eastAsia="仿宋" w:cs="Times New Roman"/>
          <w:kern w:val="2"/>
          <w:sz w:val="28"/>
          <w:szCs w:val="28"/>
          <w:lang w:val="en-US" w:eastAsia="zh-CN" w:bidi="ar-SA"/>
        </w:rPr>
      </w:pPr>
      <w:r>
        <w:rPr>
          <w:rFonts w:hint="eastAsia" w:ascii="Times New Roman" w:hAnsi="Times New Roman" w:eastAsia="仿宋" w:cs="Times New Roman"/>
          <w:kern w:val="2"/>
          <w:sz w:val="28"/>
          <w:szCs w:val="28"/>
          <w:lang w:val="en-US" w:eastAsia="zh-CN" w:bidi="ar-SA"/>
        </w:rPr>
        <w:t>图5</w:t>
      </w:r>
      <w:r>
        <w:rPr>
          <w:rFonts w:hint="default" w:ascii="Times New Roman" w:hAnsi="Times New Roman" w:eastAsia="仿宋" w:cs="Times New Roman"/>
          <w:kern w:val="2"/>
          <w:sz w:val="28"/>
          <w:szCs w:val="28"/>
          <w:lang w:val="en-US" w:eastAsia="zh-CN" w:bidi="ar-SA"/>
        </w:rPr>
        <w:t>为各变量在</w:t>
      </w:r>
      <w:r>
        <w:rPr>
          <w:rFonts w:hint="default" w:ascii="Times New Roman" w:hAnsi="Times New Roman" w:eastAsia="仿宋" w:cs="Times New Roman"/>
          <w:kern w:val="2"/>
          <w:sz w:val="28"/>
          <w:szCs w:val="28"/>
          <w:lang w:val="en-US" w:eastAsia="zh-Hans" w:bidi="ar-SA"/>
        </w:rPr>
        <w:t>三</w:t>
      </w:r>
      <w:r>
        <w:rPr>
          <w:rFonts w:hint="default" w:ascii="Times New Roman" w:hAnsi="Times New Roman" w:eastAsia="仿宋" w:cs="Times New Roman"/>
          <w:kern w:val="2"/>
          <w:sz w:val="28"/>
          <w:szCs w:val="28"/>
          <w:lang w:val="en-US" w:eastAsia="zh-CN" w:bidi="ar-SA"/>
        </w:rPr>
        <w:t>个公因子上的得分系数，结合各样本经标准化处理后的数据，代入式(1)可得各样本在</w:t>
      </w:r>
      <w:r>
        <w:rPr>
          <w:rFonts w:hint="default" w:ascii="Times New Roman" w:hAnsi="Times New Roman" w:eastAsia="仿宋" w:cs="Times New Roman"/>
          <w:kern w:val="2"/>
          <w:sz w:val="28"/>
          <w:szCs w:val="28"/>
          <w:lang w:val="en-US" w:eastAsia="zh-Hans" w:bidi="ar-SA"/>
        </w:rPr>
        <w:t>三</w:t>
      </w:r>
      <w:r>
        <w:rPr>
          <w:rFonts w:hint="default" w:ascii="Times New Roman" w:hAnsi="Times New Roman" w:eastAsia="仿宋" w:cs="Times New Roman"/>
          <w:kern w:val="2"/>
          <w:sz w:val="28"/>
          <w:szCs w:val="28"/>
          <w:lang w:val="en-US" w:eastAsia="zh-CN" w:bidi="ar-SA"/>
        </w:rPr>
        <w:t>个公因子上的得分，以每个公因子的方差贡献率作为该公因子权重进行加权汇总，可得燃烧性综合得分与排序，如式(3)。</w:t>
      </w:r>
    </w:p>
    <w:p>
      <w:pPr>
        <w:spacing w:line="360" w:lineRule="auto"/>
        <w:ind w:firstLine="560" w:firstLineChars="200"/>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 xml:space="preserve"> f1=0.035x1-0.085x2-0.134x3+0.596x4+0.503x5        </w:t>
      </w:r>
    </w:p>
    <w:p>
      <w:pPr>
        <w:spacing w:line="360" w:lineRule="auto"/>
        <w:ind w:firstLine="560" w:firstLineChars="200"/>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 xml:space="preserve"> f2=-0.521x1+0.648x2-0.047x3+0.04x4-0.104x5        </w:t>
      </w:r>
    </w:p>
    <w:p>
      <w:pPr>
        <w:spacing w:line="360" w:lineRule="auto"/>
        <w:ind w:firstLine="560" w:firstLineChars="200"/>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 xml:space="preserve"> f3=0.129x1-0.164x2+0.933x3-0.266x4+0.116x5         </w:t>
      </w:r>
      <w:r>
        <w:rPr>
          <w:rFonts w:hint="default" w:ascii="Times New Roman" w:hAnsi="Times New Roman" w:eastAsia="仿宋" w:cs="Times New Roman"/>
          <w:kern w:val="2"/>
          <w:sz w:val="28"/>
          <w:szCs w:val="28"/>
          <w:lang w:val="en-US" w:eastAsia="zh-Hans" w:bidi="ar-SA"/>
        </w:rPr>
        <mc:AlternateContent>
          <mc:Choice Requires="wps">
            <w:drawing>
              <wp:anchor distT="0" distB="0" distL="114300" distR="114300" simplePos="0" relativeHeight="251659264" behindDoc="0" locked="0" layoutInCell="1" allowOverlap="1">
                <wp:simplePos x="0" y="0"/>
                <wp:positionH relativeFrom="column">
                  <wp:posOffset>5290820</wp:posOffset>
                </wp:positionH>
                <wp:positionV relativeFrom="paragraph">
                  <wp:posOffset>230505</wp:posOffset>
                </wp:positionV>
                <wp:extent cx="377825" cy="255270"/>
                <wp:effectExtent l="0" t="0" r="3175" b="3810"/>
                <wp:wrapNone/>
                <wp:docPr id="38" name="文本框 38"/>
                <wp:cNvGraphicFramePr/>
                <a:graphic xmlns:a="http://schemas.openxmlformats.org/drawingml/2006/main">
                  <a:graphicData uri="http://schemas.microsoft.com/office/word/2010/wordprocessingShape">
                    <wps:wsp>
                      <wps:cNvSpPr txBox="1"/>
                      <wps:spPr>
                        <a:xfrm>
                          <a:off x="0" y="0"/>
                          <a:ext cx="377825" cy="255270"/>
                        </a:xfrm>
                        <a:prstGeom prst="rect">
                          <a:avLst/>
                        </a:prstGeom>
                        <a:solidFill>
                          <a:schemeClr val="lt1"/>
                        </a:solidFill>
                        <a:ln w="6350">
                          <a:noFill/>
                        </a:ln>
                      </wps:spPr>
                      <wps:txbx>
                        <w:txbxContent>
                          <w:p>
                            <w:pPr>
                              <w:rPr>
                                <w:rFonts w:ascii="Times New Roman" w:hAnsi="Times New Roman"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6pt;margin-top:18.15pt;height:20.1pt;width:29.75pt;z-index:251659264;mso-width-relative:page;mso-height-relative:page;" fillcolor="#FFFFFF [3201]" filled="t" stroked="f" coordsize="21600,21600" o:gfxdata="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01Kdh1gAAAAkBAAAP&#10;AAAAAAAAAAEAIAAAACIAAABkcnMvZG93bnJldi54bWxQSwECFAAUAAAACACHTuJAmoFwwFMCAACQ&#10;BAAADgAAAAAAAAABACAAAAAlAQAAZHJzL2Uyb0RvYy54bWxQSwUGAAAAAAYABgBZAQAA6gUAAAAA&#10;">
                <v:fill on="t" focussize="0,0"/>
                <v:stroke on="f" weight="0.5pt"/>
                <v:imagedata o:title=""/>
                <o:lock v:ext="edit" aspectratio="f"/>
                <v:textbox>
                  <w:txbxContent>
                    <w:p>
                      <w:pPr>
                        <w:rPr>
                          <w:rFonts w:ascii="Times New Roman" w:hAnsi="Times New Roman" w:cs="Times New Roman"/>
                          <w:sz w:val="21"/>
                          <w:szCs w:val="21"/>
                        </w:rPr>
                      </w:pPr>
                    </w:p>
                  </w:txbxContent>
                </v:textbox>
              </v:shape>
            </w:pict>
          </mc:Fallback>
        </mc:AlternateContent>
      </w:r>
      <w:r>
        <w:rPr>
          <w:rFonts w:hint="default" w:ascii="Times New Roman" w:hAnsi="Times New Roman" w:eastAsia="仿宋" w:cs="Times New Roman"/>
          <w:kern w:val="2"/>
          <w:sz w:val="28"/>
          <w:szCs w:val="28"/>
          <w:lang w:val="en-US" w:eastAsia="zh-CN" w:bidi="ar-SA"/>
        </w:rPr>
        <w:t xml:space="preserve"> </w:t>
      </w:r>
    </w:p>
    <w:p>
      <w:pPr>
        <w:spacing w:line="360" w:lineRule="auto"/>
        <w:ind w:firstLine="560" w:firstLineChars="200"/>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 xml:space="preserve"> f=(34.321f1+29.26f2+22.001f3)/</w:t>
      </w:r>
      <w:r>
        <w:rPr>
          <w:rFonts w:hint="default" w:ascii="Times New Roman" w:hAnsi="Times New Roman" w:eastAsia="仿宋" w:cs="Times New Roman"/>
          <w:kern w:val="2"/>
          <w:sz w:val="28"/>
          <w:szCs w:val="28"/>
          <w:lang w:val="en-US" w:eastAsia="zh-Hans" w:bidi="ar-SA"/>
        </w:rPr>
        <w:t>85.582</w:t>
      </w:r>
      <w:r>
        <w:rPr>
          <w:rFonts w:hint="default" w:ascii="Times New Roman" w:hAnsi="Times New Roman" w:eastAsia="仿宋" w:cs="Times New Roman"/>
          <w:kern w:val="2"/>
          <w:sz w:val="28"/>
          <w:szCs w:val="28"/>
          <w:lang w:val="en-US" w:eastAsia="zh-CN" w:bidi="ar-SA"/>
        </w:rPr>
        <w:t xml:space="preserve">   </w:t>
      </w:r>
    </w:p>
    <w:p>
      <w:pPr>
        <w:spacing w:line="360" w:lineRule="auto"/>
        <w:ind w:firstLine="480" w:firstLineChars="200"/>
        <w:jc w:val="center"/>
        <w:rPr>
          <w:rFonts w:hint="default" w:ascii="宋体" w:hAnsi="宋体"/>
          <w:sz w:val="24"/>
          <w:szCs w:val="22"/>
          <w:lang w:val="en-US" w:eastAsia="zh-CN"/>
        </w:rPr>
      </w:pPr>
      <w:r>
        <w:rPr>
          <w:rFonts w:hint="default" w:ascii="宋体" w:hAnsi="宋体"/>
          <w:sz w:val="24"/>
          <w:szCs w:val="22"/>
          <w:lang w:val="en-US" w:eastAsia="zh-CN"/>
        </w:rPr>
        <w:drawing>
          <wp:inline distT="0" distB="0" distL="114300" distR="114300">
            <wp:extent cx="2235835" cy="1457960"/>
            <wp:effectExtent l="0" t="0" r="4445" b="508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10"/>
                    <a:stretch>
                      <a:fillRect/>
                    </a:stretch>
                  </pic:blipFill>
                  <pic:spPr>
                    <a:xfrm>
                      <a:off x="0" y="0"/>
                      <a:ext cx="2235835" cy="1457960"/>
                    </a:xfrm>
                    <a:prstGeom prst="rect">
                      <a:avLst/>
                    </a:prstGeom>
                    <a:noFill/>
                    <a:ln>
                      <a:noFill/>
                    </a:ln>
                  </pic:spPr>
                </pic:pic>
              </a:graphicData>
            </a:graphic>
          </wp:inline>
        </w:drawing>
      </w:r>
    </w:p>
    <w:p>
      <w:pPr>
        <w:spacing w:line="360" w:lineRule="auto"/>
        <w:ind w:firstLine="420" w:firstLineChars="200"/>
        <w:jc w:val="center"/>
        <w:rPr>
          <w:rFonts w:hint="default"/>
          <w:lang w:val="en-US" w:eastAsia="zh-CN"/>
        </w:rPr>
      </w:pPr>
      <w:r>
        <w:rPr>
          <w:rFonts w:hint="eastAsia" w:ascii="黑体" w:hAnsi="黑体" w:eastAsia="黑体" w:cs="黑体"/>
          <w:sz w:val="21"/>
          <w:szCs w:val="21"/>
          <w:lang w:val="en-US" w:eastAsia="zh-CN"/>
        </w:rPr>
        <w:t>图5</w:t>
      </w:r>
      <w:r>
        <w:rPr>
          <w:rFonts w:hint="default" w:ascii="黑体" w:hAnsi="黑体" w:eastAsia="黑体" w:cs="黑体"/>
          <w:sz w:val="21"/>
          <w:szCs w:val="21"/>
          <w:lang w:val="en-US" w:eastAsia="zh-CN"/>
        </w:rPr>
        <w:t xml:space="preserve"> </w:t>
      </w:r>
      <w:r>
        <w:rPr>
          <w:rFonts w:hint="eastAsia" w:ascii="黑体" w:hAnsi="黑体" w:eastAsia="黑体" w:cs="黑体"/>
          <w:sz w:val="21"/>
          <w:szCs w:val="21"/>
          <w:lang w:val="en-US" w:eastAsia="zh-Hans"/>
        </w:rPr>
        <w:t>辣椒资源</w:t>
      </w:r>
      <w:r>
        <w:rPr>
          <w:rFonts w:hint="default" w:ascii="黑体" w:hAnsi="黑体" w:eastAsia="黑体" w:cs="黑体"/>
          <w:sz w:val="21"/>
          <w:szCs w:val="21"/>
          <w:lang w:val="en-US" w:eastAsia="zh-Hans"/>
        </w:rPr>
        <w:t>得分系数矩阵</w:t>
      </w:r>
    </w:p>
    <w:p>
      <w:pPr>
        <w:spacing w:line="360" w:lineRule="auto"/>
        <w:ind w:firstLine="560" w:firstLineChars="200"/>
        <w:rPr>
          <w:rFonts w:hint="eastAsia" w:ascii="Times New Roman" w:hAnsi="Times New Roman" w:eastAsia="仿宋" w:cs="Times New Roman"/>
          <w:kern w:val="2"/>
          <w:sz w:val="28"/>
          <w:szCs w:val="28"/>
          <w:lang w:val="en-US" w:eastAsia="zh-Hans" w:bidi="ar-SA"/>
        </w:rPr>
      </w:pPr>
      <w:r>
        <w:rPr>
          <w:rFonts w:hint="default" w:ascii="Times New Roman" w:hAnsi="Times New Roman" w:eastAsia="仿宋" w:cs="Times New Roman"/>
          <w:kern w:val="2"/>
          <w:sz w:val="28"/>
          <w:szCs w:val="28"/>
          <w:lang w:val="en-US" w:eastAsia="zh-CN" w:bidi="ar-SA"/>
        </w:rPr>
        <w:t>由表</w:t>
      </w:r>
      <w:r>
        <w:rPr>
          <w:rFonts w:hint="eastAsia" w:ascii="Times New Roman" w:hAnsi="Times New Roman" w:eastAsia="仿宋" w:cs="Times New Roman"/>
          <w:kern w:val="2"/>
          <w:sz w:val="28"/>
          <w:szCs w:val="28"/>
          <w:lang w:val="en-US" w:eastAsia="zh-CN" w:bidi="ar-SA"/>
        </w:rPr>
        <w:t>2</w:t>
      </w:r>
      <w:r>
        <w:rPr>
          <w:rFonts w:hint="default" w:ascii="Times New Roman" w:hAnsi="Times New Roman" w:eastAsia="仿宋" w:cs="Times New Roman"/>
          <w:kern w:val="2"/>
          <w:sz w:val="28"/>
          <w:szCs w:val="28"/>
          <w:lang w:val="en-US" w:eastAsia="zh-CN" w:bidi="ar-SA"/>
        </w:rPr>
        <w:t>可知</w:t>
      </w:r>
      <w:r>
        <w:rPr>
          <w:rFonts w:hint="eastAsia" w:ascii="Times New Roman" w:hAnsi="Times New Roman" w:eastAsia="仿宋" w:cs="Times New Roman"/>
          <w:kern w:val="2"/>
          <w:sz w:val="28"/>
          <w:szCs w:val="28"/>
          <w:lang w:val="en-US" w:eastAsia="zh-Hans" w:bidi="ar-SA"/>
        </w:rPr>
        <w:t>，在</w:t>
      </w:r>
      <w:r>
        <w:rPr>
          <w:rFonts w:hint="eastAsia" w:ascii="Times New Roman" w:hAnsi="Times New Roman" w:eastAsia="仿宋" w:cs="Times New Roman"/>
          <w:kern w:val="2"/>
          <w:sz w:val="28"/>
          <w:szCs w:val="28"/>
          <w:lang w:val="en-US" w:eastAsia="zh-CN" w:bidi="ar-SA"/>
        </w:rPr>
        <w:t>13</w:t>
      </w:r>
      <w:r>
        <w:rPr>
          <w:rFonts w:hint="eastAsia" w:ascii="Times New Roman" w:hAnsi="Times New Roman" w:eastAsia="仿宋" w:cs="Times New Roman"/>
          <w:kern w:val="2"/>
          <w:sz w:val="28"/>
          <w:szCs w:val="28"/>
          <w:lang w:val="en-US" w:eastAsia="zh-Hans" w:bidi="ar-SA"/>
        </w:rPr>
        <w:t>份蒙乡</w:t>
      </w:r>
      <w:r>
        <w:rPr>
          <w:rFonts w:hint="eastAsia" w:ascii="Times New Roman" w:hAnsi="Times New Roman" w:eastAsia="仿宋" w:cs="Times New Roman"/>
          <w:kern w:val="2"/>
          <w:sz w:val="28"/>
          <w:szCs w:val="28"/>
          <w:lang w:val="en-US" w:eastAsia="zh-CN" w:bidi="ar-SA"/>
        </w:rPr>
        <w:t>托辣</w:t>
      </w:r>
      <w:r>
        <w:rPr>
          <w:rFonts w:hint="eastAsia" w:ascii="Times New Roman" w:hAnsi="Times New Roman" w:eastAsia="仿宋" w:cs="Times New Roman"/>
          <w:kern w:val="2"/>
          <w:sz w:val="28"/>
          <w:szCs w:val="28"/>
          <w:lang w:val="en-US" w:eastAsia="zh-Hans" w:bidi="ar-SA"/>
        </w:rPr>
        <w:t>资源中，</w:t>
      </w:r>
      <w:r>
        <w:rPr>
          <w:rFonts w:hint="eastAsia" w:ascii="Times New Roman" w:hAnsi="Times New Roman" w:eastAsia="仿宋" w:cs="Times New Roman"/>
          <w:kern w:val="2"/>
          <w:sz w:val="28"/>
          <w:szCs w:val="28"/>
          <w:lang w:val="en-US" w:eastAsia="zh-CN" w:bidi="ar-SA"/>
        </w:rPr>
        <w:t>1</w:t>
      </w:r>
      <w:r>
        <w:rPr>
          <w:rFonts w:hint="default" w:ascii="Times New Roman" w:hAnsi="Times New Roman" w:eastAsia="仿宋" w:cs="Times New Roman"/>
          <w:kern w:val="2"/>
          <w:sz w:val="28"/>
          <w:szCs w:val="28"/>
          <w:lang w:val="en-US" w:eastAsia="zh-Hans" w:bidi="ar-SA"/>
        </w:rPr>
        <w:t>6</w:t>
      </w:r>
      <w:r>
        <w:rPr>
          <w:rFonts w:hint="eastAsia" w:ascii="Times New Roman" w:hAnsi="Times New Roman" w:eastAsia="仿宋" w:cs="Times New Roman"/>
          <w:kern w:val="2"/>
          <w:sz w:val="28"/>
          <w:szCs w:val="28"/>
          <w:lang w:val="en-US" w:eastAsia="zh-Hans" w:bidi="ar-SA"/>
        </w:rPr>
        <w:t>号的综合得分最高，综合座果期株高、株展、茎粗，秋收期种籽总产量，每小区</w:t>
      </w:r>
      <w:r>
        <w:rPr>
          <w:rFonts w:hint="default" w:ascii="Times New Roman" w:hAnsi="Times New Roman" w:eastAsia="仿宋" w:cs="Times New Roman"/>
          <w:kern w:val="2"/>
          <w:sz w:val="28"/>
          <w:szCs w:val="28"/>
          <w:lang w:val="en-US" w:eastAsia="zh-Hans" w:bidi="ar-SA"/>
        </w:rPr>
        <w:t>5</w:t>
      </w:r>
      <w:r>
        <w:rPr>
          <w:rFonts w:hint="eastAsia" w:ascii="Times New Roman" w:hAnsi="Times New Roman" w:eastAsia="仿宋" w:cs="Times New Roman"/>
          <w:kern w:val="2"/>
          <w:sz w:val="28"/>
          <w:szCs w:val="28"/>
          <w:lang w:val="en-US" w:eastAsia="zh-Hans" w:bidi="ar-SA"/>
        </w:rPr>
        <w:t>株资源均值可知，蒙乡托辣</w:t>
      </w:r>
      <w:r>
        <w:rPr>
          <w:rFonts w:hint="default" w:ascii="Times New Roman" w:hAnsi="Times New Roman" w:eastAsia="仿宋" w:cs="Times New Roman"/>
          <w:kern w:val="2"/>
          <w:sz w:val="28"/>
          <w:szCs w:val="28"/>
          <w:lang w:val="en-US" w:eastAsia="zh-Hans" w:bidi="ar-SA"/>
        </w:rPr>
        <w:t>16</w:t>
      </w:r>
      <w:r>
        <w:rPr>
          <w:rFonts w:hint="eastAsia" w:ascii="Times New Roman" w:hAnsi="Times New Roman" w:eastAsia="仿宋" w:cs="Times New Roman"/>
          <w:kern w:val="2"/>
          <w:sz w:val="28"/>
          <w:szCs w:val="28"/>
          <w:lang w:val="en-US" w:eastAsia="zh-Hans" w:bidi="ar-SA"/>
        </w:rPr>
        <w:t>号、</w:t>
      </w:r>
      <w:r>
        <w:rPr>
          <w:rFonts w:hint="default" w:ascii="Times New Roman" w:hAnsi="Times New Roman" w:eastAsia="仿宋" w:cs="Times New Roman"/>
          <w:kern w:val="2"/>
          <w:sz w:val="28"/>
          <w:szCs w:val="28"/>
          <w:lang w:val="en-US" w:eastAsia="zh-Hans" w:bidi="ar-SA"/>
        </w:rPr>
        <w:t>7</w:t>
      </w:r>
      <w:r>
        <w:rPr>
          <w:rFonts w:hint="eastAsia" w:ascii="Times New Roman" w:hAnsi="Times New Roman" w:eastAsia="仿宋" w:cs="Times New Roman"/>
          <w:kern w:val="2"/>
          <w:sz w:val="28"/>
          <w:szCs w:val="28"/>
          <w:lang w:val="en-US" w:eastAsia="zh-Hans" w:bidi="ar-SA"/>
        </w:rPr>
        <w:t>号、</w:t>
      </w:r>
      <w:r>
        <w:rPr>
          <w:rFonts w:hint="default" w:ascii="Times New Roman" w:hAnsi="Times New Roman" w:eastAsia="仿宋" w:cs="Times New Roman"/>
          <w:kern w:val="2"/>
          <w:sz w:val="28"/>
          <w:szCs w:val="28"/>
          <w:lang w:val="en-US" w:eastAsia="zh-Hans" w:bidi="ar-SA"/>
        </w:rPr>
        <w:t>14</w:t>
      </w:r>
      <w:r>
        <w:rPr>
          <w:rFonts w:hint="eastAsia" w:ascii="Times New Roman" w:hAnsi="Times New Roman" w:eastAsia="仿宋" w:cs="Times New Roman"/>
          <w:kern w:val="2"/>
          <w:sz w:val="28"/>
          <w:szCs w:val="28"/>
          <w:lang w:val="en-US" w:eastAsia="zh-Hans" w:bidi="ar-SA"/>
        </w:rPr>
        <w:t>号、</w:t>
      </w:r>
      <w:r>
        <w:rPr>
          <w:rFonts w:hint="default" w:ascii="Times New Roman" w:hAnsi="Times New Roman" w:eastAsia="仿宋" w:cs="Times New Roman"/>
          <w:kern w:val="2"/>
          <w:sz w:val="28"/>
          <w:szCs w:val="28"/>
          <w:lang w:val="en-US" w:eastAsia="zh-Hans" w:bidi="ar-SA"/>
        </w:rPr>
        <w:t>15</w:t>
      </w:r>
      <w:r>
        <w:rPr>
          <w:rFonts w:hint="eastAsia" w:ascii="Times New Roman" w:hAnsi="Times New Roman" w:eastAsia="仿宋" w:cs="Times New Roman"/>
          <w:kern w:val="2"/>
          <w:sz w:val="28"/>
          <w:szCs w:val="28"/>
          <w:lang w:val="en-US" w:eastAsia="zh-Hans" w:bidi="ar-SA"/>
        </w:rPr>
        <w:t>号为优选乡土品种。</w:t>
      </w:r>
    </w:p>
    <w:p>
      <w:pPr>
        <w:spacing w:line="360" w:lineRule="auto"/>
        <w:ind w:firstLine="420" w:firstLineChars="200"/>
        <w:jc w:val="center"/>
        <w:rPr>
          <w:rFonts w:hint="default"/>
          <w:lang w:val="en-US" w:eastAsia="zh-Hans"/>
        </w:rPr>
      </w:pPr>
      <w:r>
        <w:rPr>
          <w:rFonts w:hint="default" w:ascii="黑体" w:hAnsi="黑体" w:eastAsia="黑体" w:cs="黑体"/>
          <w:sz w:val="21"/>
          <w:szCs w:val="21"/>
          <w:lang w:val="en-US" w:eastAsia="zh-CN"/>
        </w:rPr>
        <w:t>表</w:t>
      </w:r>
      <w:r>
        <w:rPr>
          <w:rFonts w:hint="eastAsia" w:ascii="黑体" w:hAnsi="黑体" w:eastAsia="黑体" w:cs="黑体"/>
          <w:sz w:val="21"/>
          <w:szCs w:val="21"/>
          <w:lang w:val="en-US" w:eastAsia="zh-CN"/>
        </w:rPr>
        <w:t>2</w:t>
      </w:r>
      <w:r>
        <w:rPr>
          <w:rFonts w:hint="default" w:ascii="黑体" w:hAnsi="黑体" w:eastAsia="黑体" w:cs="黑体"/>
          <w:sz w:val="21"/>
          <w:szCs w:val="21"/>
          <w:lang w:val="en-US" w:eastAsia="zh-CN"/>
        </w:rPr>
        <w:t xml:space="preserve">  </w:t>
      </w:r>
      <w:r>
        <w:rPr>
          <w:rFonts w:hint="eastAsia" w:ascii="黑体" w:hAnsi="黑体" w:eastAsia="黑体" w:cs="黑体"/>
          <w:sz w:val="21"/>
          <w:szCs w:val="21"/>
          <w:lang w:val="en-US" w:eastAsia="zh-CN"/>
        </w:rPr>
        <w:t>13</w:t>
      </w:r>
      <w:r>
        <w:rPr>
          <w:rFonts w:hint="default" w:ascii="黑体" w:hAnsi="黑体" w:eastAsia="黑体" w:cs="黑体"/>
          <w:sz w:val="21"/>
          <w:szCs w:val="21"/>
          <w:lang w:val="en-US" w:eastAsia="zh-Hans"/>
        </w:rPr>
        <w:t>份</w:t>
      </w:r>
      <w:r>
        <w:rPr>
          <w:rFonts w:hint="eastAsia" w:ascii="黑体" w:hAnsi="黑体" w:eastAsia="黑体" w:cs="黑体"/>
          <w:sz w:val="21"/>
          <w:szCs w:val="21"/>
          <w:lang w:val="en-US" w:eastAsia="zh-Hans"/>
        </w:rPr>
        <w:t>辣椒</w:t>
      </w:r>
      <w:r>
        <w:rPr>
          <w:rFonts w:hint="default" w:ascii="黑体" w:hAnsi="黑体" w:eastAsia="黑体" w:cs="黑体"/>
          <w:sz w:val="21"/>
          <w:szCs w:val="21"/>
          <w:lang w:val="en-US" w:eastAsia="zh-Hans"/>
        </w:rPr>
        <w:t>种质资源优选排序</w:t>
      </w:r>
    </w:p>
    <w:tbl>
      <w:tblPr>
        <w:tblStyle w:val="9"/>
        <w:tblW w:w="85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26"/>
        <w:gridCol w:w="1248"/>
        <w:gridCol w:w="1248"/>
        <w:gridCol w:w="1356"/>
        <w:gridCol w:w="1697"/>
        <w:gridCol w:w="12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826" w:type="dxa"/>
            <w:vMerge w:val="restart"/>
            <w:tcBorders>
              <w:top w:val="single" w:color="auto" w:sz="4" w:space="0"/>
              <w:bottom w:val="single" w:color="auto" w:sz="4" w:space="0"/>
            </w:tcBorders>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Hans"/>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Hans"/>
                <w14:textFill>
                  <w14:solidFill>
                    <w14:schemeClr w14:val="tx1"/>
                  </w14:solidFill>
                </w14:textFill>
              </w:rPr>
              <w:t>编号</w:t>
            </w:r>
          </w:p>
        </w:tc>
        <w:tc>
          <w:tcPr>
            <w:tcW w:w="3852" w:type="dxa"/>
            <w:gridSpan w:val="3"/>
            <w:tcBorders>
              <w:top w:val="single" w:color="auto" w:sz="4" w:space="0"/>
              <w:bottom w:val="single" w:color="auto" w:sz="4" w:space="0"/>
            </w:tcBorders>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Hans"/>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Hans"/>
                <w14:textFill>
                  <w14:solidFill>
                    <w14:schemeClr w14:val="tx1"/>
                  </w14:solidFill>
                </w14:textFill>
              </w:rPr>
              <w:t>公因子</w:t>
            </w:r>
          </w:p>
        </w:tc>
        <w:tc>
          <w:tcPr>
            <w:tcW w:w="1697" w:type="dxa"/>
            <w:tcBorders>
              <w:top w:val="single" w:color="auto" w:sz="4" w:space="0"/>
              <w:bottom w:val="single" w:color="auto" w:sz="4" w:space="0"/>
            </w:tcBorders>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13</w:t>
            </w:r>
            <w:r>
              <w:rPr>
                <w:rFonts w:hint="default" w:ascii="Times New Roman Regular" w:hAnsi="Times New Roman Regular" w:cs="Times New Roman Regular" w:eastAsiaTheme="minorEastAsia"/>
                <w:color w:val="000000" w:themeColor="text1"/>
                <w:kern w:val="2"/>
                <w:sz w:val="18"/>
                <w:szCs w:val="18"/>
                <w:lang w:val="en-US" w:eastAsia="zh-Hans"/>
                <w14:textFill>
                  <w14:solidFill>
                    <w14:schemeClr w14:val="tx1"/>
                  </w14:solidFill>
                </w14:textFill>
              </w:rPr>
              <w:t>份</w:t>
            </w:r>
            <w:r>
              <w:rPr>
                <w:rFonts w:hint="eastAsia" w:ascii="Times New Roman Regular" w:hAnsi="Times New Roman Regular" w:cs="Times New Roman Regular" w:eastAsiaTheme="minorEastAsia"/>
                <w:color w:val="000000" w:themeColor="text1"/>
                <w:kern w:val="2"/>
                <w:sz w:val="18"/>
                <w:szCs w:val="18"/>
                <w:lang w:val="en-US" w:eastAsia="zh-Hans"/>
                <w14:textFill>
                  <w14:solidFill>
                    <w14:schemeClr w14:val="tx1"/>
                  </w14:solidFill>
                </w14:textFill>
              </w:rPr>
              <w:t>辣椒种质资源</w:t>
            </w: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综合得分</w:t>
            </w:r>
          </w:p>
        </w:tc>
        <w:tc>
          <w:tcPr>
            <w:tcW w:w="1215" w:type="dxa"/>
            <w:vMerge w:val="restart"/>
            <w:tcBorders>
              <w:top w:val="single" w:color="auto" w:sz="4" w:space="0"/>
              <w:bottom w:val="single" w:color="auto" w:sz="4" w:space="0"/>
            </w:tcBorders>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13</w:t>
            </w:r>
            <w:r>
              <w:rPr>
                <w:rFonts w:hint="default" w:ascii="Times New Roman Regular" w:hAnsi="Times New Roman Regular" w:cs="Times New Roman Regular" w:eastAsiaTheme="minorEastAsia"/>
                <w:color w:val="000000" w:themeColor="text1"/>
                <w:kern w:val="2"/>
                <w:sz w:val="18"/>
                <w:szCs w:val="18"/>
                <w:lang w:val="en-US" w:eastAsia="zh-Hans"/>
                <w14:textFill>
                  <w14:solidFill>
                    <w14:schemeClr w14:val="tx1"/>
                  </w14:solidFill>
                </w14:textFill>
              </w:rPr>
              <w:t>份</w:t>
            </w:r>
            <w:r>
              <w:rPr>
                <w:rFonts w:hint="eastAsia" w:ascii="Times New Roman Regular" w:hAnsi="Times New Roman Regular" w:cs="Times New Roman Regular" w:eastAsiaTheme="minorEastAsia"/>
                <w:color w:val="000000" w:themeColor="text1"/>
                <w:kern w:val="2"/>
                <w:sz w:val="18"/>
                <w:szCs w:val="18"/>
                <w:lang w:val="en-US" w:eastAsia="zh-Hans"/>
                <w14:textFill>
                  <w14:solidFill>
                    <w14:schemeClr w14:val="tx1"/>
                  </w14:solidFill>
                </w14:textFill>
              </w:rPr>
              <w:t>辣椒</w:t>
            </w:r>
            <w:r>
              <w:rPr>
                <w:rFonts w:hint="default" w:ascii="Times New Roman Regular" w:hAnsi="Times New Roman Regular" w:cs="Times New Roman Regular" w:eastAsiaTheme="minorEastAsia"/>
                <w:color w:val="000000" w:themeColor="text1"/>
                <w:kern w:val="2"/>
                <w:sz w:val="18"/>
                <w:szCs w:val="18"/>
                <w:lang w:val="en-US" w:eastAsia="zh-Hans"/>
                <w14:textFill>
                  <w14:solidFill>
                    <w14:schemeClr w14:val="tx1"/>
                  </w14:solidFill>
                </w14:textFill>
              </w:rPr>
              <w:t>种质资源优选排序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Merge w:val="continue"/>
            <w:tcBorders>
              <w:top w:val="single" w:color="auto" w:sz="4" w:space="0"/>
              <w:bottom w:val="single" w:color="auto" w:sz="4" w:space="0"/>
            </w:tcBorders>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p>
        </w:tc>
        <w:tc>
          <w:tcPr>
            <w:tcW w:w="1248" w:type="dxa"/>
            <w:tcBorders>
              <w:top w:val="single" w:color="auto" w:sz="4" w:space="0"/>
              <w:bottom w:val="single" w:color="auto" w:sz="4" w:space="0"/>
            </w:tcBorders>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f1</w:t>
            </w:r>
          </w:p>
        </w:tc>
        <w:tc>
          <w:tcPr>
            <w:tcW w:w="1248" w:type="dxa"/>
            <w:tcBorders>
              <w:top w:val="single" w:color="auto" w:sz="4" w:space="0"/>
              <w:bottom w:val="single" w:color="auto" w:sz="4" w:space="0"/>
            </w:tcBorders>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f2</w:t>
            </w:r>
          </w:p>
        </w:tc>
        <w:tc>
          <w:tcPr>
            <w:tcW w:w="1356" w:type="dxa"/>
            <w:tcBorders>
              <w:top w:val="single" w:color="auto" w:sz="4" w:space="0"/>
              <w:bottom w:val="single" w:color="auto" w:sz="4" w:space="0"/>
            </w:tcBorders>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f3</w:t>
            </w:r>
          </w:p>
        </w:tc>
        <w:tc>
          <w:tcPr>
            <w:tcW w:w="1697" w:type="dxa"/>
            <w:tcBorders>
              <w:top w:val="single" w:color="auto" w:sz="4" w:space="0"/>
              <w:bottom w:val="single" w:color="auto" w:sz="4" w:space="0"/>
            </w:tcBorders>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f</w:t>
            </w:r>
          </w:p>
        </w:tc>
        <w:tc>
          <w:tcPr>
            <w:tcW w:w="1215" w:type="dxa"/>
            <w:vMerge w:val="continue"/>
            <w:tcBorders>
              <w:top w:val="single" w:color="auto" w:sz="4" w:space="0"/>
              <w:bottom w:val="single" w:color="auto" w:sz="4" w:space="0"/>
            </w:tcBorders>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蒙乡托辣16号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1.79611787</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1.0087134</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-1.55941594</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0.664284609</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蒙乡托辣7号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-0.26458866</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2.06822968</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-0.37641878</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0.504239951</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蒙乡托辣14号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-1.71866728</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1.93954672</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-0.44614174</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-0.140810067</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蒙乡托辣10号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0.33677702</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-0.13951397</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-1.31468993</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-0.250615174</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蒙乡托辣15号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-0.10536429</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-0.51028263</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-0.50736167</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-0.347147083</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蒙乡托辣5号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-0.31600261</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-0.12434711</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-1.21073923</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-0.480491176</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蒙乡托辣3号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-0.2414568</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-0.34869237</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-1.13613461</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-0.508119408</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蒙乡托辣11号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-0.13982129</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-0.78647741</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-0.73780215</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-0.514635328</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蒙乡托辣13号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-1.40197151</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0.1567855</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-0.03056982</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-0.516488129</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蒙乡托辣4号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-0.3249672</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-0.86872263</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-1.06810009</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-0.701915046</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蒙乡托辣8号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-0.85702712</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-1.00378257</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-0.40409523</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-0.790764471</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蒙乡托辣17号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-0.78820993</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-1.01974897</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-0.56382641</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-0.809688401</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26" w:type="dxa"/>
            <w:vAlign w:val="bottom"/>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蒙乡托辣6号</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-1.14145278</w:t>
            </w:r>
          </w:p>
        </w:tc>
        <w:tc>
          <w:tcPr>
            <w:tcW w:w="1248"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-0.43796228</w:t>
            </w:r>
          </w:p>
        </w:tc>
        <w:tc>
          <w:tcPr>
            <w:tcW w:w="1356"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2.4952753</w:t>
            </w:r>
          </w:p>
        </w:tc>
        <w:tc>
          <w:tcPr>
            <w:tcW w:w="1697"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eastAsia"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-1.066531539</w:t>
            </w:r>
          </w:p>
        </w:tc>
        <w:tc>
          <w:tcPr>
            <w:tcW w:w="1215" w:type="dxa"/>
            <w:vAlign w:val="center"/>
          </w:tcPr>
          <w:p>
            <w:pPr>
              <w:widowControl/>
              <w:spacing w:after="80"/>
              <w:jc w:val="cente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pPr>
            <w:r>
              <w:rPr>
                <w:rFonts w:hint="default" w:ascii="Times New Roman Regular" w:hAnsi="Times New Roman Regular" w:cs="Times New Roman Regular" w:eastAsiaTheme="minorEastAsia"/>
                <w:color w:val="000000" w:themeColor="text1"/>
                <w:kern w:val="2"/>
                <w:sz w:val="18"/>
                <w:szCs w:val="18"/>
                <w:lang w:val="en-US" w:eastAsia="zh-CN"/>
                <w14:textFill>
                  <w14:solidFill>
                    <w14:schemeClr w14:val="tx1"/>
                  </w14:solidFill>
                </w14:textFill>
              </w:rPr>
              <w:t>13</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kern w:val="2"/>
          <w:sz w:val="28"/>
          <w:szCs w:val="28"/>
          <w:lang w:val="en-US" w:eastAsia="zh-CN" w:bidi="ar-SA"/>
        </w:rPr>
      </w:pPr>
      <w:r>
        <w:rPr>
          <w:rFonts w:hint="default" w:ascii="Times New Roman" w:hAnsi="Times New Roman" w:eastAsia="仿宋" w:cs="Times New Roman"/>
          <w:kern w:val="2"/>
          <w:sz w:val="28"/>
          <w:szCs w:val="28"/>
          <w:lang w:val="en-US" w:eastAsia="zh-CN" w:bidi="ar-SA"/>
        </w:rPr>
        <w:t>2023年成功种植蒙乡托辣种质资源8份。于植株座果盛期每份种质资源随机挑选3株测量株高、株展、茎粗，以算术平均值做测定结果。由表可知，8份蒙乡托辣资源株高范围在24.4~67.667cm，均值为40cm，蒙乡托辣16号最高达到67.667cm，在P＜0.05水平下显著性检验得出与托辣7号、11号、袁托有显著性差别，与其余编号辣椒有差异但不显著。8份蒙乡托辣资源茎粗4.86~16.299mm，托辣4号茎粗最粗，托辣16号仅排其后，在P＜0.05水平下显著性检验得出各辣椒资源无显著性差别。8份蒙乡托辣资源株展范围在21.033~67cm，均值为44.02cm，蒙乡托辣16号最长，托辣14号最短在P＜0.05水平下显著性检验得出各辣椒资源株展无显著性差别。</w:t>
      </w:r>
    </w:p>
    <w:p>
      <w:pPr>
        <w:spacing w:line="360" w:lineRule="auto"/>
        <w:ind w:firstLine="420" w:firstLineChars="200"/>
        <w:jc w:val="center"/>
        <w:rPr>
          <w:rFonts w:hint="eastAsia"/>
          <w:highlight w:val="none"/>
          <w:lang w:val="en-US" w:eastAsia="zh-CN"/>
        </w:rPr>
      </w:pPr>
      <w:r>
        <w:rPr>
          <w:rFonts w:hint="eastAsia" w:ascii="黑体" w:hAnsi="黑体" w:eastAsia="黑体" w:cs="黑体"/>
          <w:sz w:val="21"/>
          <w:szCs w:val="21"/>
          <w:highlight w:val="none"/>
          <w:lang w:val="en-US" w:eastAsia="zh-CN"/>
        </w:rPr>
        <w:t xml:space="preserve">表3 </w:t>
      </w:r>
      <w:r>
        <w:rPr>
          <w:rFonts w:hint="default" w:ascii="黑体" w:hAnsi="黑体" w:eastAsia="黑体" w:cs="黑体"/>
          <w:sz w:val="21"/>
          <w:szCs w:val="21"/>
          <w:highlight w:val="none"/>
          <w:lang w:val="en-US" w:eastAsia="zh-CN"/>
        </w:rPr>
        <w:t>蒙乡托辣</w:t>
      </w:r>
      <w:r>
        <w:rPr>
          <w:rFonts w:hint="eastAsia" w:ascii="黑体" w:hAnsi="黑体" w:eastAsia="黑体" w:cs="黑体"/>
          <w:sz w:val="21"/>
          <w:szCs w:val="21"/>
          <w:highlight w:val="none"/>
          <w:lang w:val="en-US" w:eastAsia="zh-CN"/>
        </w:rPr>
        <w:t>各时期株高</w:t>
      </w:r>
      <w:r>
        <w:rPr>
          <w:rFonts w:hint="default" w:ascii="黑体" w:hAnsi="黑体" w:eastAsia="黑体" w:cs="黑体"/>
          <w:sz w:val="21"/>
          <w:szCs w:val="21"/>
          <w:highlight w:val="none"/>
          <w:lang w:val="en-US" w:eastAsia="zh-CN"/>
        </w:rPr>
        <w:t>生态学性状数据</w:t>
      </w:r>
    </w:p>
    <w:tbl>
      <w:tblPr>
        <w:tblStyle w:val="8"/>
        <w:tblW w:w="866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2556"/>
        <w:gridCol w:w="1976"/>
        <w:gridCol w:w="2086"/>
        <w:gridCol w:w="21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编号</w:t>
            </w:r>
          </w:p>
        </w:tc>
        <w:tc>
          <w:tcPr>
            <w:tcW w:w="2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作物名称</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初花期株高cm</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座果期株高cm</w:t>
            </w:r>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秋收期株高cm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托辣16号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37.5</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±6.601b</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48.73±4.9166c</w:t>
            </w:r>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67.6</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±10.2632c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托辣7号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25.3</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±7.228a</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32.3±7.7544a</w:t>
            </w:r>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51.33±2.5166ab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托辣14号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28.5</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±3.5921a</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36.1±6.0324ab</w:t>
            </w:r>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59.33±15.308abc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托辣3号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27.6</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±4.6058a</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42.6±2bc</w:t>
            </w:r>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57.6</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±1.7388abc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托辣11号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28.13±1.4364a</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41.3</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±3.2146bc</w:t>
            </w:r>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50.23±4.792a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托辣13号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24.4±3.1575a</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43.6</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±4.0919bc</w:t>
            </w:r>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66.33±6.3501bc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托辣4号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31.1±3.4598ab</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44.73±2.1079bc</w:t>
            </w:r>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60.6</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±8.1132abc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袁托 </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30.33±3.6116ab</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39.83±3.9311abc</w:t>
            </w:r>
          </w:p>
        </w:tc>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51.67±6.4764ab</w:t>
            </w:r>
          </w:p>
        </w:tc>
      </w:tr>
    </w:tbl>
    <w:p>
      <w:pPr>
        <w:keepNext w:val="0"/>
        <w:keepLines w:val="0"/>
        <w:pageBreakBefore w:val="0"/>
        <w:kinsoku/>
        <w:wordWrap/>
        <w:overflowPunct/>
        <w:topLinePunct w:val="0"/>
        <w:autoSpaceDE/>
        <w:autoSpaceDN/>
        <w:bidi w:val="0"/>
        <w:spacing w:before="120" w:beforeLines="50" w:after="120" w:afterLines="50"/>
        <w:jc w:val="both"/>
        <w:rPr>
          <w:rFonts w:hint="default" w:ascii="Times New Roman" w:hAnsi="Times New Roman" w:eastAsia="宋体" w:cs="Times New Roman"/>
          <w:b/>
          <w:bCs/>
          <w:szCs w:val="21"/>
        </w:rPr>
      </w:pPr>
    </w:p>
    <w:p>
      <w:pPr>
        <w:numPr>
          <w:ilvl w:val="0"/>
          <w:numId w:val="0"/>
        </w:numPr>
        <w:jc w:val="center"/>
      </w:pPr>
      <w:r>
        <w:drawing>
          <wp:inline distT="0" distB="0" distL="114300" distR="114300">
            <wp:extent cx="4785360" cy="3206115"/>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2"/>
                    <a:stretch>
                      <a:fillRect/>
                    </a:stretch>
                  </pic:blipFill>
                  <pic:spPr>
                    <a:xfrm>
                      <a:off x="0" y="0"/>
                      <a:ext cx="4785360" cy="3206115"/>
                    </a:xfrm>
                    <a:prstGeom prst="rect">
                      <a:avLst/>
                    </a:prstGeom>
                    <a:extLst>
                      <wpswe:webExtensionRef xmlns:wpswe="http://www.wps.cn/officeDocument/2018/webExtension" r:id="rId11"/>
                    </a:extLst>
                  </pic:spPr>
                </pic:pic>
              </a:graphicData>
            </a:graphic>
          </wp:inline>
        </w:drawing>
      </w:r>
    </w:p>
    <w:p>
      <w:pPr>
        <w:spacing w:line="360" w:lineRule="auto"/>
        <w:ind w:firstLine="420" w:firstLineChars="200"/>
        <w:jc w:val="center"/>
        <w:rPr>
          <w:rFonts w:hint="default" w:ascii="黑体" w:hAnsi="黑体" w:eastAsia="黑体" w:cs="黑体"/>
          <w:sz w:val="21"/>
          <w:szCs w:val="21"/>
          <w:lang w:val="en-US" w:eastAsia="zh-CN"/>
        </w:rPr>
      </w:pPr>
      <w:r>
        <w:rPr>
          <w:rFonts w:hint="default" w:ascii="黑体" w:hAnsi="黑体" w:eastAsia="黑体" w:cs="黑体"/>
          <w:sz w:val="21"/>
          <w:szCs w:val="21"/>
          <w:lang w:val="en-US" w:eastAsia="zh-CN"/>
        </w:rPr>
        <w:t>图</w:t>
      </w:r>
      <w:r>
        <w:rPr>
          <w:rFonts w:hint="eastAsia" w:ascii="黑体" w:hAnsi="黑体" w:eastAsia="黑体" w:cs="黑体"/>
          <w:sz w:val="21"/>
          <w:szCs w:val="21"/>
          <w:lang w:val="en-US" w:eastAsia="zh-CN"/>
        </w:rPr>
        <w:t>6</w:t>
      </w:r>
      <w:r>
        <w:rPr>
          <w:rFonts w:hint="default" w:ascii="黑体" w:hAnsi="黑体" w:eastAsia="黑体" w:cs="黑体"/>
          <w:sz w:val="21"/>
          <w:szCs w:val="21"/>
          <w:lang w:val="en-US" w:eastAsia="zh-CN"/>
        </w:rPr>
        <w:t xml:space="preserve">  蒙乡托辣种质资源</w:t>
      </w:r>
      <w:r>
        <w:rPr>
          <w:rFonts w:hint="eastAsia" w:ascii="黑体" w:hAnsi="黑体" w:eastAsia="黑体" w:cs="黑体"/>
          <w:sz w:val="21"/>
          <w:szCs w:val="21"/>
          <w:lang w:val="en-US" w:eastAsia="zh-CN"/>
        </w:rPr>
        <w:t>各时期株高</w:t>
      </w:r>
      <w:r>
        <w:rPr>
          <w:rFonts w:hint="default" w:ascii="黑体" w:hAnsi="黑体" w:eastAsia="黑体" w:cs="黑体"/>
          <w:sz w:val="21"/>
          <w:szCs w:val="21"/>
          <w:lang w:val="en-US" w:eastAsia="zh-CN"/>
        </w:rPr>
        <w:t>生态学性状统计图</w:t>
      </w:r>
    </w:p>
    <w:p>
      <w:pPr>
        <w:spacing w:line="360" w:lineRule="auto"/>
        <w:ind w:firstLine="480" w:firstLineChars="200"/>
        <w:rPr>
          <w:rFonts w:hint="eastAsia"/>
          <w:lang w:val="en-US" w:eastAsia="zh-CN"/>
        </w:rPr>
      </w:pPr>
      <w:r>
        <w:rPr>
          <w:rFonts w:hint="default" w:ascii="宋体" w:hAnsi="宋体"/>
          <w:sz w:val="24"/>
          <w:szCs w:val="22"/>
          <w:lang w:val="en-US" w:eastAsia="zh-CN"/>
        </w:rPr>
        <w:t>综合株高生态学性状，由表</w:t>
      </w:r>
      <w:r>
        <w:rPr>
          <w:rFonts w:hint="eastAsia" w:ascii="宋体" w:hAnsi="宋体"/>
          <w:sz w:val="24"/>
          <w:szCs w:val="22"/>
          <w:lang w:val="en-US" w:eastAsia="zh-CN"/>
        </w:rPr>
        <w:t>3</w:t>
      </w:r>
      <w:r>
        <w:rPr>
          <w:rFonts w:hint="default" w:ascii="宋体" w:hAnsi="宋体"/>
          <w:sz w:val="24"/>
          <w:szCs w:val="22"/>
          <w:lang w:val="en-US" w:eastAsia="zh-CN"/>
        </w:rPr>
        <w:t>、图</w:t>
      </w:r>
      <w:r>
        <w:rPr>
          <w:rFonts w:hint="eastAsia" w:ascii="宋体" w:hAnsi="宋体"/>
          <w:sz w:val="24"/>
          <w:szCs w:val="22"/>
          <w:lang w:val="en-US" w:eastAsia="zh-CN"/>
        </w:rPr>
        <w:t>6</w:t>
      </w:r>
      <w:r>
        <w:rPr>
          <w:rFonts w:hint="default" w:ascii="宋体" w:hAnsi="宋体"/>
          <w:sz w:val="24"/>
          <w:szCs w:val="22"/>
          <w:lang w:val="en-US" w:eastAsia="zh-CN"/>
        </w:rPr>
        <w:t>可知，蒙乡托辣16号在各个时期的株高要远优于其他资源，托辣4号与托辣13号长势良好，说明此3份种质资源其他种能较好的适应本地土壤与气候环境。</w:t>
      </w:r>
    </w:p>
    <w:p>
      <w:pPr>
        <w:spacing w:line="360" w:lineRule="auto"/>
        <w:ind w:firstLine="420" w:firstLineChars="200"/>
        <w:jc w:val="center"/>
        <w:rPr>
          <w:rFonts w:hint="eastAsia" w:ascii="Times New Roman" w:hAnsi="Times New Roman" w:eastAsia="宋体" w:cs="Times New Roman"/>
          <w:b/>
          <w:bCs/>
          <w:sz w:val="24"/>
          <w:lang w:val="en-US" w:eastAsia="zh-CN"/>
        </w:rPr>
      </w:pPr>
      <w:r>
        <w:rPr>
          <w:rFonts w:hint="eastAsia" w:ascii="黑体" w:hAnsi="黑体" w:eastAsia="黑体" w:cs="黑体"/>
          <w:sz w:val="21"/>
          <w:szCs w:val="21"/>
          <w:lang w:val="en-US" w:eastAsia="zh-CN"/>
        </w:rPr>
        <w:t xml:space="preserve">表4 </w:t>
      </w:r>
      <w:r>
        <w:rPr>
          <w:rFonts w:hint="default" w:ascii="黑体" w:hAnsi="黑体" w:eastAsia="黑体" w:cs="黑体"/>
          <w:sz w:val="21"/>
          <w:szCs w:val="21"/>
          <w:lang w:val="en-US" w:eastAsia="zh-CN"/>
        </w:rPr>
        <w:t>蒙乡托辣</w:t>
      </w:r>
      <w:r>
        <w:rPr>
          <w:rFonts w:hint="eastAsia" w:ascii="黑体" w:hAnsi="黑体" w:eastAsia="黑体" w:cs="黑体"/>
          <w:sz w:val="21"/>
          <w:szCs w:val="21"/>
          <w:lang w:val="en-US" w:eastAsia="zh-CN"/>
        </w:rPr>
        <w:t>各时期茎粗</w:t>
      </w:r>
      <w:r>
        <w:rPr>
          <w:rFonts w:hint="default" w:ascii="黑体" w:hAnsi="黑体" w:eastAsia="黑体" w:cs="黑体"/>
          <w:sz w:val="21"/>
          <w:szCs w:val="21"/>
          <w:lang w:val="en-US" w:eastAsia="zh-CN"/>
        </w:rPr>
        <w:t>生态学性状数据</w:t>
      </w:r>
    </w:p>
    <w:tbl>
      <w:tblPr>
        <w:tblStyle w:val="8"/>
        <w:tblW w:w="97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2556"/>
        <w:gridCol w:w="2196"/>
        <w:gridCol w:w="2306"/>
        <w:gridCol w:w="2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编号</w:t>
            </w:r>
          </w:p>
        </w:tc>
        <w:tc>
          <w:tcPr>
            <w:tcW w:w="2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作物名称</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初花期茎粗mm</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座果期茎粗mm</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秋收期期茎粗mm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托辣16号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6.07±0.814607a</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9.41±0.840496ab</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13.84±4.029917a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托辣7号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±1.047882a</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r>
              <w:rPr>
                <w:rFonts w:hint="eastAsia" w:ascii="Times New Roman" w:hAnsi="Times New Roman" w:eastAsia="宋体" w:cs="Times New Roman"/>
                <w:i w:val="0"/>
                <w:iCs w:val="0"/>
                <w:color w:val="000000"/>
                <w:kern w:val="0"/>
                <w:sz w:val="24"/>
                <w:szCs w:val="24"/>
                <w:u w:val="none"/>
                <w:lang w:val="en-US" w:eastAsia="zh-CN" w:bidi="ar"/>
              </w:rPr>
              <w:t>8</w:t>
            </w:r>
            <w:r>
              <w:rPr>
                <w:rFonts w:hint="default" w:ascii="Times New Roman" w:hAnsi="Times New Roman" w:eastAsia="宋体" w:cs="Times New Roman"/>
                <w:i w:val="0"/>
                <w:iCs w:val="0"/>
                <w:color w:val="000000"/>
                <w:kern w:val="0"/>
                <w:sz w:val="24"/>
                <w:szCs w:val="24"/>
                <w:u w:val="none"/>
                <w:lang w:val="en-US" w:eastAsia="zh-CN" w:bidi="ar"/>
              </w:rPr>
              <w:t>±0.37072a</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14.7</w:t>
            </w:r>
            <w:r>
              <w:rPr>
                <w:rFonts w:hint="eastAsia"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lang w:val="en-US" w:eastAsia="zh-CN" w:bidi="ar"/>
              </w:rPr>
              <w:t>±0.751088a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托辣14号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4.86±0.853826a</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8.09±0.962497a</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12.76±3.743434a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托辣3号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5.56±0.165907a</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10.53±0.676167b</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14.5</w:t>
            </w:r>
            <w:r>
              <w:rPr>
                <w:rFonts w:hint="eastAsia" w:ascii="Times New Roman" w:hAnsi="Times New Roman" w:eastAsia="宋体" w:cs="Times New Roman"/>
                <w:i w:val="0"/>
                <w:iCs w:val="0"/>
                <w:color w:val="000000"/>
                <w:kern w:val="0"/>
                <w:sz w:val="24"/>
                <w:szCs w:val="24"/>
                <w:u w:val="none"/>
                <w:lang w:val="en-US" w:eastAsia="zh-CN" w:bidi="ar"/>
              </w:rPr>
              <w:t>5</w:t>
            </w:r>
            <w:r>
              <w:rPr>
                <w:rFonts w:hint="default" w:ascii="Times New Roman" w:hAnsi="Times New Roman" w:eastAsia="宋体" w:cs="Times New Roman"/>
                <w:i w:val="0"/>
                <w:iCs w:val="0"/>
                <w:color w:val="000000"/>
                <w:kern w:val="0"/>
                <w:sz w:val="24"/>
                <w:szCs w:val="24"/>
                <w:u w:val="none"/>
                <w:lang w:val="en-US" w:eastAsia="zh-CN" w:bidi="ar"/>
              </w:rPr>
              <w:t>±0.895464a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托辣11号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w:t>
            </w:r>
            <w:r>
              <w:rPr>
                <w:rFonts w:hint="eastAsia" w:ascii="Times New Roman" w:hAnsi="Times New Roman" w:eastAsia="宋体" w:cs="Times New Roman"/>
                <w:i w:val="0"/>
                <w:iCs w:val="0"/>
                <w:color w:val="000000"/>
                <w:kern w:val="0"/>
                <w:sz w:val="24"/>
                <w:szCs w:val="24"/>
                <w:u w:val="none"/>
                <w:lang w:val="en-US" w:eastAsia="zh-CN" w:bidi="ar"/>
              </w:rPr>
              <w:t>4</w:t>
            </w:r>
            <w:r>
              <w:rPr>
                <w:rFonts w:hint="default" w:ascii="Times New Roman" w:hAnsi="Times New Roman" w:eastAsia="宋体" w:cs="Times New Roman"/>
                <w:i w:val="0"/>
                <w:iCs w:val="0"/>
                <w:color w:val="000000"/>
                <w:kern w:val="0"/>
                <w:sz w:val="24"/>
                <w:szCs w:val="24"/>
                <w:u w:val="none"/>
                <w:lang w:val="en-US" w:eastAsia="zh-CN" w:bidi="ar"/>
              </w:rPr>
              <w:t>±0.722256a</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10.61±0.692184b</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15.26±2.425793a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托辣13号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r>
              <w:rPr>
                <w:rFonts w:hint="eastAsia" w:ascii="Times New Roman" w:hAnsi="Times New Roman" w:eastAsia="宋体" w:cs="Times New Roman"/>
                <w:i w:val="0"/>
                <w:iCs w:val="0"/>
                <w:color w:val="000000"/>
                <w:kern w:val="0"/>
                <w:sz w:val="24"/>
                <w:szCs w:val="24"/>
                <w:u w:val="none"/>
                <w:lang w:val="en-US" w:eastAsia="zh-CN" w:bidi="ar"/>
              </w:rPr>
              <w:t>9</w:t>
            </w:r>
            <w:r>
              <w:rPr>
                <w:rFonts w:hint="default" w:ascii="Times New Roman" w:hAnsi="Times New Roman" w:eastAsia="宋体" w:cs="Times New Roman"/>
                <w:i w:val="0"/>
                <w:iCs w:val="0"/>
                <w:color w:val="000000"/>
                <w:kern w:val="0"/>
                <w:sz w:val="24"/>
                <w:szCs w:val="24"/>
                <w:u w:val="none"/>
                <w:lang w:val="en-US" w:eastAsia="zh-CN" w:bidi="ar"/>
              </w:rPr>
              <w:t>±0.530744a</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10.3</w:t>
            </w:r>
            <w:r>
              <w:rPr>
                <w:rFonts w:hint="eastAsia" w:ascii="Times New Roman" w:hAnsi="Times New Roman" w:eastAsia="宋体" w:cs="Times New Roman"/>
                <w:i w:val="0"/>
                <w:iCs w:val="0"/>
                <w:color w:val="000000"/>
                <w:kern w:val="0"/>
                <w:sz w:val="24"/>
                <w:szCs w:val="24"/>
                <w:u w:val="none"/>
                <w:lang w:val="en-US" w:eastAsia="zh-CN" w:bidi="ar"/>
              </w:rPr>
              <w:t>5</w:t>
            </w:r>
            <w:r>
              <w:rPr>
                <w:rFonts w:hint="default" w:ascii="Times New Roman" w:hAnsi="Times New Roman" w:eastAsia="宋体" w:cs="Times New Roman"/>
                <w:i w:val="0"/>
                <w:iCs w:val="0"/>
                <w:color w:val="000000"/>
                <w:kern w:val="0"/>
                <w:sz w:val="24"/>
                <w:szCs w:val="24"/>
                <w:u w:val="none"/>
                <w:lang w:val="en-US" w:eastAsia="zh-CN" w:bidi="ar"/>
              </w:rPr>
              <w:t>±0.147453b</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13.65±0.70141a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托辣4号</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w:t>
            </w:r>
            <w:r>
              <w:rPr>
                <w:rFonts w:hint="eastAsia" w:ascii="Times New Roman" w:hAnsi="Times New Roman" w:eastAsia="宋体" w:cs="Times New Roman"/>
                <w:i w:val="0"/>
                <w:iCs w:val="0"/>
                <w:color w:val="000000"/>
                <w:kern w:val="0"/>
                <w:sz w:val="24"/>
                <w:szCs w:val="24"/>
                <w:u w:val="none"/>
                <w:lang w:val="en-US" w:eastAsia="zh-CN" w:bidi="ar"/>
              </w:rPr>
              <w:t>6</w:t>
            </w:r>
            <w:r>
              <w:rPr>
                <w:rFonts w:hint="default" w:ascii="Times New Roman" w:hAnsi="Times New Roman" w:eastAsia="宋体" w:cs="Times New Roman"/>
                <w:i w:val="0"/>
                <w:iCs w:val="0"/>
                <w:color w:val="000000"/>
                <w:kern w:val="0"/>
                <w:sz w:val="24"/>
                <w:szCs w:val="24"/>
                <w:u w:val="none"/>
                <w:lang w:val="en-US" w:eastAsia="zh-CN" w:bidi="ar"/>
              </w:rPr>
              <w:t>±1.112531a</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10.75±1.964311b</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w:t>
            </w:r>
            <w:r>
              <w:rPr>
                <w:rFonts w:hint="eastAsia" w:ascii="Times New Roman" w:hAnsi="Times New Roman" w:eastAsia="宋体" w:cs="Times New Roman"/>
                <w:i w:val="0"/>
                <w:iCs w:val="0"/>
                <w:color w:val="000000"/>
                <w:kern w:val="0"/>
                <w:sz w:val="24"/>
                <w:szCs w:val="24"/>
                <w:u w:val="none"/>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±1.059733a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袁托 </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6.1</w:t>
            </w:r>
            <w:r>
              <w:rPr>
                <w:rFonts w:hint="eastAsia" w:ascii="Times New Roman" w:hAnsi="Times New Roman" w:eastAsia="宋体" w:cs="Times New Roman"/>
                <w:i w:val="0"/>
                <w:iCs w:val="0"/>
                <w:color w:val="000000"/>
                <w:kern w:val="0"/>
                <w:sz w:val="24"/>
                <w:szCs w:val="24"/>
                <w:u w:val="none"/>
                <w:lang w:val="en-US" w:eastAsia="zh-CN" w:bidi="ar"/>
              </w:rPr>
              <w:t>8</w:t>
            </w:r>
            <w:r>
              <w:rPr>
                <w:rFonts w:hint="default" w:ascii="Times New Roman" w:hAnsi="Times New Roman" w:eastAsia="宋体" w:cs="Times New Roman"/>
                <w:i w:val="0"/>
                <w:iCs w:val="0"/>
                <w:color w:val="000000"/>
                <w:kern w:val="0"/>
                <w:sz w:val="24"/>
                <w:szCs w:val="24"/>
                <w:u w:val="none"/>
                <w:lang w:val="en-US" w:eastAsia="zh-CN" w:bidi="ar"/>
              </w:rPr>
              <w:t>±0.294461a</w:t>
            </w:r>
          </w:p>
        </w:tc>
        <w:tc>
          <w:tcPr>
            <w:tcW w:w="2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10.9</w:t>
            </w:r>
            <w:r>
              <w:rPr>
                <w:rFonts w:hint="eastAsia" w:ascii="Times New Roman" w:hAnsi="Times New Roman" w:eastAsia="宋体" w:cs="Times New Roman"/>
                <w:i w:val="0"/>
                <w:iCs w:val="0"/>
                <w:color w:val="000000"/>
                <w:kern w:val="0"/>
                <w:sz w:val="24"/>
                <w:szCs w:val="24"/>
                <w:u w:val="none"/>
                <w:lang w:val="en-US" w:eastAsia="zh-CN" w:bidi="ar"/>
              </w:rPr>
              <w:t>6</w:t>
            </w:r>
            <w:r>
              <w:rPr>
                <w:rFonts w:hint="default" w:ascii="Times New Roman" w:hAnsi="Times New Roman" w:eastAsia="宋体" w:cs="Times New Roman"/>
                <w:i w:val="0"/>
                <w:iCs w:val="0"/>
                <w:color w:val="000000"/>
                <w:kern w:val="0"/>
                <w:sz w:val="24"/>
                <w:szCs w:val="24"/>
                <w:u w:val="none"/>
                <w:lang w:val="en-US" w:eastAsia="zh-CN" w:bidi="ar"/>
              </w:rPr>
              <w:t>±1.155009b</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15.6</w:t>
            </w:r>
            <w:r>
              <w:rPr>
                <w:rFonts w:hint="eastAsia" w:ascii="Times New Roman" w:hAnsi="Times New Roman" w:eastAsia="宋体" w:cs="Times New Roman"/>
                <w:i w:val="0"/>
                <w:iCs w:val="0"/>
                <w:color w:val="000000"/>
                <w:kern w:val="0"/>
                <w:sz w:val="24"/>
                <w:szCs w:val="24"/>
                <w:u w:val="none"/>
                <w:lang w:val="en-US" w:eastAsia="zh-CN" w:bidi="ar"/>
              </w:rPr>
              <w:t>3</w:t>
            </w:r>
            <w:r>
              <w:rPr>
                <w:rFonts w:hint="default" w:ascii="Times New Roman" w:hAnsi="Times New Roman" w:eastAsia="宋体" w:cs="Times New Roman"/>
                <w:i w:val="0"/>
                <w:iCs w:val="0"/>
                <w:color w:val="000000"/>
                <w:kern w:val="0"/>
                <w:sz w:val="24"/>
                <w:szCs w:val="24"/>
                <w:u w:val="none"/>
                <w:lang w:val="en-US" w:eastAsia="zh-CN" w:bidi="ar"/>
              </w:rPr>
              <w:t>±2.238444a</w:t>
            </w:r>
          </w:p>
        </w:tc>
      </w:tr>
    </w:tbl>
    <w:p>
      <w:pPr>
        <w:numPr>
          <w:ilvl w:val="0"/>
          <w:numId w:val="0"/>
        </w:numPr>
        <w:jc w:val="left"/>
        <w:rPr>
          <w:rFonts w:hint="default"/>
          <w:lang w:val="en-US" w:eastAsia="zh-CN"/>
        </w:rPr>
      </w:pPr>
    </w:p>
    <w:p>
      <w:pPr>
        <w:numPr>
          <w:ilvl w:val="0"/>
          <w:numId w:val="0"/>
        </w:numPr>
        <w:jc w:val="center"/>
      </w:pPr>
      <w:r>
        <w:drawing>
          <wp:inline distT="0" distB="0" distL="114300" distR="114300">
            <wp:extent cx="4355465" cy="2954655"/>
            <wp:effectExtent l="0" t="0" r="0"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4"/>
                    <a:stretch>
                      <a:fillRect/>
                    </a:stretch>
                  </pic:blipFill>
                  <pic:spPr>
                    <a:xfrm>
                      <a:off x="0" y="0"/>
                      <a:ext cx="4355465" cy="2954655"/>
                    </a:xfrm>
                    <a:prstGeom prst="rect">
                      <a:avLst/>
                    </a:prstGeom>
                    <a:extLst>
                      <wpswe:webExtensionRef xmlns:wpswe="http://www.wps.cn/officeDocument/2018/webExtension" r:id="rId13"/>
                    </a:extLst>
                  </pic:spPr>
                </pic:pic>
              </a:graphicData>
            </a:graphic>
          </wp:inline>
        </w:drawing>
      </w:r>
    </w:p>
    <w:p>
      <w:pPr>
        <w:spacing w:line="360" w:lineRule="auto"/>
        <w:ind w:firstLine="420" w:firstLineChars="200"/>
        <w:jc w:val="center"/>
        <w:rPr>
          <w:rFonts w:hint="default" w:ascii="黑体" w:hAnsi="黑体" w:eastAsia="黑体" w:cs="黑体"/>
          <w:sz w:val="21"/>
          <w:szCs w:val="21"/>
          <w:lang w:val="en-US" w:eastAsia="zh-CN"/>
        </w:rPr>
      </w:pPr>
      <w:r>
        <w:rPr>
          <w:rFonts w:hint="default" w:ascii="黑体" w:hAnsi="黑体" w:eastAsia="黑体" w:cs="黑体"/>
          <w:sz w:val="21"/>
          <w:szCs w:val="21"/>
          <w:lang w:val="en-US" w:eastAsia="zh-CN"/>
        </w:rPr>
        <w:t>图</w:t>
      </w:r>
      <w:r>
        <w:rPr>
          <w:rFonts w:hint="eastAsia" w:ascii="黑体" w:hAnsi="黑体" w:eastAsia="黑体" w:cs="黑体"/>
          <w:sz w:val="21"/>
          <w:szCs w:val="21"/>
          <w:lang w:val="en-US" w:eastAsia="zh-CN"/>
        </w:rPr>
        <w:t>7</w:t>
      </w:r>
      <w:r>
        <w:rPr>
          <w:rFonts w:hint="default" w:ascii="黑体" w:hAnsi="黑体" w:eastAsia="黑体" w:cs="黑体"/>
          <w:sz w:val="21"/>
          <w:szCs w:val="21"/>
          <w:lang w:val="en-US" w:eastAsia="zh-CN"/>
        </w:rPr>
        <w:t xml:space="preserve">  蒙乡托辣种质资源</w:t>
      </w:r>
      <w:r>
        <w:rPr>
          <w:rFonts w:hint="eastAsia" w:ascii="黑体" w:hAnsi="黑体" w:eastAsia="黑体" w:cs="黑体"/>
          <w:sz w:val="21"/>
          <w:szCs w:val="21"/>
          <w:lang w:val="en-US" w:eastAsia="zh-CN"/>
        </w:rPr>
        <w:t>各时期茎粗</w:t>
      </w:r>
      <w:r>
        <w:rPr>
          <w:rFonts w:hint="default" w:ascii="黑体" w:hAnsi="黑体" w:eastAsia="黑体" w:cs="黑体"/>
          <w:sz w:val="21"/>
          <w:szCs w:val="21"/>
          <w:lang w:val="en-US" w:eastAsia="zh-CN"/>
        </w:rPr>
        <w:t>生态学性状统计图</w:t>
      </w:r>
    </w:p>
    <w:p>
      <w:pPr>
        <w:spacing w:line="360" w:lineRule="auto"/>
        <w:ind w:firstLine="480" w:firstLineChars="200"/>
        <w:rPr>
          <w:rFonts w:hint="eastAsia" w:ascii="宋体" w:hAnsi="宋体"/>
          <w:sz w:val="24"/>
          <w:szCs w:val="22"/>
          <w:lang w:val="en-US" w:eastAsia="zh-CN"/>
        </w:rPr>
      </w:pPr>
      <w:r>
        <w:rPr>
          <w:rFonts w:hint="default" w:ascii="宋体" w:hAnsi="宋体"/>
          <w:sz w:val="24"/>
          <w:szCs w:val="22"/>
          <w:lang w:val="en-US" w:eastAsia="zh-CN"/>
        </w:rPr>
        <w:t>综合</w:t>
      </w:r>
      <w:r>
        <w:rPr>
          <w:rFonts w:hint="eastAsia" w:ascii="宋体" w:hAnsi="宋体"/>
          <w:sz w:val="24"/>
          <w:szCs w:val="22"/>
          <w:lang w:val="en-US" w:eastAsia="zh-CN"/>
        </w:rPr>
        <w:t>茎粗</w:t>
      </w:r>
      <w:r>
        <w:rPr>
          <w:rFonts w:hint="default" w:ascii="宋体" w:hAnsi="宋体"/>
          <w:sz w:val="24"/>
          <w:szCs w:val="22"/>
          <w:lang w:val="en-US" w:eastAsia="zh-CN"/>
        </w:rPr>
        <w:t>生态学性状，由图</w:t>
      </w:r>
      <w:r>
        <w:rPr>
          <w:rFonts w:hint="eastAsia" w:ascii="宋体" w:hAnsi="宋体"/>
          <w:sz w:val="24"/>
          <w:szCs w:val="22"/>
          <w:lang w:val="en-US" w:eastAsia="zh-CN"/>
        </w:rPr>
        <w:t>7</w:t>
      </w:r>
      <w:r>
        <w:rPr>
          <w:rFonts w:hint="default" w:ascii="宋体" w:hAnsi="宋体"/>
          <w:sz w:val="24"/>
          <w:szCs w:val="22"/>
          <w:lang w:val="en-US" w:eastAsia="zh-CN"/>
        </w:rPr>
        <w:t>可知，蒙乡托辣</w:t>
      </w:r>
      <w:r>
        <w:rPr>
          <w:rFonts w:hint="eastAsia" w:ascii="宋体" w:hAnsi="宋体"/>
          <w:sz w:val="24"/>
          <w:szCs w:val="22"/>
          <w:lang w:val="en-US" w:eastAsia="zh-CN"/>
        </w:rPr>
        <w:t>4号</w:t>
      </w:r>
      <w:r>
        <w:rPr>
          <w:rFonts w:hint="default" w:ascii="宋体" w:hAnsi="宋体"/>
          <w:sz w:val="24"/>
          <w:szCs w:val="22"/>
          <w:lang w:val="en-US" w:eastAsia="zh-CN"/>
        </w:rPr>
        <w:t>在</w:t>
      </w:r>
      <w:r>
        <w:rPr>
          <w:rFonts w:hint="eastAsia" w:ascii="宋体" w:hAnsi="宋体"/>
          <w:sz w:val="24"/>
          <w:szCs w:val="22"/>
          <w:lang w:val="en-US" w:eastAsia="zh-CN"/>
        </w:rPr>
        <w:t>各个时期</w:t>
      </w:r>
      <w:r>
        <w:rPr>
          <w:rFonts w:hint="default" w:ascii="宋体" w:hAnsi="宋体"/>
          <w:sz w:val="24"/>
          <w:szCs w:val="22"/>
          <w:lang w:val="en-US" w:eastAsia="zh-CN"/>
        </w:rPr>
        <w:t>的</w:t>
      </w:r>
      <w:r>
        <w:rPr>
          <w:rFonts w:hint="eastAsia" w:ascii="宋体" w:hAnsi="宋体"/>
          <w:sz w:val="24"/>
          <w:szCs w:val="22"/>
          <w:lang w:val="en-US" w:eastAsia="zh-CN"/>
        </w:rPr>
        <w:t>茎粗</w:t>
      </w:r>
      <w:r>
        <w:rPr>
          <w:rFonts w:hint="default" w:ascii="宋体" w:hAnsi="宋体"/>
          <w:sz w:val="24"/>
          <w:szCs w:val="22"/>
          <w:lang w:val="en-US" w:eastAsia="zh-CN"/>
        </w:rPr>
        <w:t>要远优于其他资源，</w:t>
      </w:r>
      <w:r>
        <w:rPr>
          <w:rFonts w:hint="eastAsia" w:ascii="宋体" w:hAnsi="宋体"/>
          <w:sz w:val="24"/>
          <w:szCs w:val="22"/>
          <w:lang w:val="en-US" w:eastAsia="zh-CN"/>
        </w:rPr>
        <w:t>袁托和11号茎粗也比较良好</w:t>
      </w:r>
      <w:r>
        <w:rPr>
          <w:rFonts w:hint="default" w:ascii="宋体" w:hAnsi="宋体"/>
          <w:sz w:val="24"/>
          <w:szCs w:val="22"/>
          <w:lang w:val="en-US" w:eastAsia="zh-CN"/>
        </w:rPr>
        <w:t>，</w:t>
      </w:r>
      <w:r>
        <w:rPr>
          <w:rFonts w:hint="eastAsia" w:ascii="宋体" w:hAnsi="宋体"/>
          <w:sz w:val="24"/>
          <w:szCs w:val="22"/>
          <w:lang w:val="en-US" w:eastAsia="zh-CN"/>
        </w:rPr>
        <w:t>综合来看</w:t>
      </w:r>
      <w:r>
        <w:rPr>
          <w:rFonts w:hint="default" w:ascii="宋体" w:hAnsi="宋体"/>
          <w:sz w:val="24"/>
          <w:szCs w:val="22"/>
          <w:lang w:val="en-US" w:eastAsia="zh-CN"/>
        </w:rPr>
        <w:t>在P＜0.05水平下的组内显著性检验</w:t>
      </w:r>
      <w:r>
        <w:rPr>
          <w:rFonts w:hint="eastAsia" w:ascii="宋体" w:hAnsi="宋体"/>
          <w:sz w:val="24"/>
          <w:szCs w:val="22"/>
          <w:lang w:val="en-US" w:eastAsia="zh-CN"/>
        </w:rPr>
        <w:t>下发现托县辣椒资源的茎粗无显著差异。</w:t>
      </w:r>
    </w:p>
    <w:p>
      <w:pPr>
        <w:pStyle w:val="3"/>
        <w:rPr>
          <w:rFonts w:hint="eastAsia" w:ascii="宋体" w:hAnsi="宋体"/>
          <w:sz w:val="24"/>
          <w:szCs w:val="22"/>
          <w:lang w:val="en-US" w:eastAsia="zh-CN"/>
        </w:rPr>
      </w:pPr>
    </w:p>
    <w:p>
      <w:pPr>
        <w:spacing w:line="360" w:lineRule="auto"/>
        <w:ind w:firstLine="420" w:firstLineChars="200"/>
        <w:jc w:val="center"/>
        <w:rPr>
          <w:rFonts w:hint="eastAsia" w:ascii="宋体" w:hAnsi="宋体"/>
          <w:sz w:val="24"/>
          <w:szCs w:val="22"/>
          <w:lang w:val="en-US" w:eastAsia="zh-CN"/>
        </w:rPr>
      </w:pPr>
      <w:r>
        <w:rPr>
          <w:rFonts w:hint="eastAsia" w:ascii="黑体" w:hAnsi="黑体" w:eastAsia="黑体" w:cs="黑体"/>
          <w:sz w:val="21"/>
          <w:szCs w:val="21"/>
          <w:lang w:val="en-US" w:eastAsia="zh-CN"/>
        </w:rPr>
        <w:t xml:space="preserve">表5 </w:t>
      </w:r>
      <w:r>
        <w:rPr>
          <w:rFonts w:hint="default" w:ascii="黑体" w:hAnsi="黑体" w:eastAsia="黑体" w:cs="黑体"/>
          <w:sz w:val="21"/>
          <w:szCs w:val="21"/>
          <w:lang w:val="en-US" w:eastAsia="zh-CN"/>
        </w:rPr>
        <w:t>蒙乡托辣</w:t>
      </w:r>
      <w:r>
        <w:rPr>
          <w:rFonts w:hint="eastAsia" w:ascii="黑体" w:hAnsi="黑体" w:eastAsia="黑体" w:cs="黑体"/>
          <w:sz w:val="21"/>
          <w:szCs w:val="21"/>
          <w:lang w:val="en-US" w:eastAsia="zh-CN"/>
        </w:rPr>
        <w:t>各时期株展</w:t>
      </w:r>
      <w:r>
        <w:rPr>
          <w:rFonts w:hint="default" w:ascii="黑体" w:hAnsi="黑体" w:eastAsia="黑体" w:cs="黑体"/>
          <w:sz w:val="21"/>
          <w:szCs w:val="21"/>
          <w:lang w:val="en-US" w:eastAsia="zh-CN"/>
        </w:rPr>
        <w:t>生态学性状数据</w:t>
      </w:r>
    </w:p>
    <w:p>
      <w:pPr>
        <w:pStyle w:val="3"/>
        <w:rPr>
          <w:rFonts w:hint="default" w:ascii="宋体" w:hAnsi="宋体"/>
          <w:sz w:val="24"/>
          <w:szCs w:val="22"/>
          <w:lang w:val="en-US" w:eastAsia="zh-CN"/>
        </w:rPr>
      </w:pPr>
    </w:p>
    <w:tbl>
      <w:tblPr>
        <w:tblStyle w:val="8"/>
        <w:tblW w:w="86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2556"/>
        <w:gridCol w:w="1976"/>
        <w:gridCol w:w="2086"/>
        <w:gridCol w:w="2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编号</w:t>
            </w:r>
          </w:p>
        </w:tc>
        <w:tc>
          <w:tcPr>
            <w:tcW w:w="25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作物名称</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初花期株展cm</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座果期株展cm</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秋收期株展cm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托辣16号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28.7</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±5.6924ab</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44.1</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±4.3108bc</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63.8±11.06888a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托辣7号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24.7±6.2097a</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38.63±4.6188ab</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66±6.245a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托辣14号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21.03±4.8263a</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34.4</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±1.9009a</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51.6</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±11.54701a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托辣3号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27.53±0.8505ab</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46±4.4034bc</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60±3.31512a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托辣11号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29.3±2.8ab</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48.533±5.208c</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67.1</w:t>
            </w:r>
            <w:r>
              <w:rPr>
                <w:rFonts w:hint="eastAsia" w:ascii="Times New Roman" w:hAnsi="Times New Roman" w:eastAsia="宋体" w:cs="Times New Roman"/>
                <w:i w:val="0"/>
                <w:iCs w:val="0"/>
                <w:color w:val="000000"/>
                <w:kern w:val="0"/>
                <w:sz w:val="24"/>
                <w:szCs w:val="24"/>
                <w:u w:val="none"/>
                <w:lang w:val="en-US" w:eastAsia="zh-CN" w:bidi="ar"/>
              </w:rPr>
              <w:t>5</w:t>
            </w:r>
            <w:r>
              <w:rPr>
                <w:rFonts w:hint="default" w:ascii="Times New Roman" w:hAnsi="Times New Roman" w:eastAsia="宋体" w:cs="Times New Roman"/>
                <w:i w:val="0"/>
                <w:iCs w:val="0"/>
                <w:color w:val="000000"/>
                <w:kern w:val="0"/>
                <w:sz w:val="24"/>
                <w:szCs w:val="24"/>
                <w:u w:val="none"/>
                <w:lang w:val="en-US" w:eastAsia="zh-CN" w:bidi="ar"/>
              </w:rPr>
              <w:t>±10.60658a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托辣13号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24.5</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±5.3892a</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43.6±3.9661bc</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60.61±2.68991a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7</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托辣4号</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24.73±2.1548a</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47.63±4.885c</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58.43±5.51936a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w:t>
            </w:r>
          </w:p>
        </w:tc>
        <w:tc>
          <w:tcPr>
            <w:tcW w:w="255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袁托 </w:t>
            </w:r>
          </w:p>
        </w:tc>
        <w:tc>
          <w:tcPr>
            <w:tcW w:w="1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33.23±4.3004b</w:t>
            </w:r>
          </w:p>
        </w:tc>
        <w:tc>
          <w:tcPr>
            <w:tcW w:w="2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42.0</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±3.9716abc</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53.3</w:t>
            </w:r>
            <w:r>
              <w:rPr>
                <w:rFonts w:hint="eastAsia" w:ascii="Times New Roman" w:hAnsi="Times New Roman" w:eastAsia="宋体"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±7.19884a</w:t>
            </w:r>
          </w:p>
        </w:tc>
      </w:tr>
    </w:tbl>
    <w:p>
      <w:pPr>
        <w:keepNext w:val="0"/>
        <w:keepLines w:val="0"/>
        <w:pageBreakBefore w:val="0"/>
        <w:kinsoku/>
        <w:wordWrap/>
        <w:overflowPunct/>
        <w:topLinePunct w:val="0"/>
        <w:autoSpaceDE/>
        <w:autoSpaceDN/>
        <w:bidi w:val="0"/>
        <w:spacing w:before="120" w:beforeLines="50" w:after="120" w:afterLines="50"/>
        <w:jc w:val="both"/>
        <w:rPr>
          <w:rFonts w:hint="default" w:ascii="Times New Roman" w:hAnsi="Times New Roman" w:eastAsia="宋体" w:cs="Times New Roman"/>
          <w:b/>
          <w:bCs/>
          <w:szCs w:val="21"/>
        </w:rPr>
      </w:pPr>
    </w:p>
    <w:p>
      <w:pPr>
        <w:numPr>
          <w:ilvl w:val="0"/>
          <w:numId w:val="0"/>
        </w:numPr>
        <w:jc w:val="center"/>
      </w:pPr>
      <w:r>
        <w:drawing>
          <wp:inline distT="0" distB="0" distL="114300" distR="114300">
            <wp:extent cx="4287520" cy="2954655"/>
            <wp:effectExtent l="0" t="0" r="0" b="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6"/>
                    <a:stretch>
                      <a:fillRect/>
                    </a:stretch>
                  </pic:blipFill>
                  <pic:spPr>
                    <a:xfrm>
                      <a:off x="0" y="0"/>
                      <a:ext cx="4287520" cy="2954655"/>
                    </a:xfrm>
                    <a:prstGeom prst="rect">
                      <a:avLst/>
                    </a:prstGeom>
                    <a:extLst>
                      <wpswe:webExtensionRef xmlns:wpswe="http://www.wps.cn/officeDocument/2018/webExtension" r:id="rId15"/>
                    </a:extLst>
                  </pic:spPr>
                </pic:pic>
              </a:graphicData>
            </a:graphic>
          </wp:inline>
        </w:drawing>
      </w:r>
    </w:p>
    <w:p>
      <w:pPr>
        <w:spacing w:line="360" w:lineRule="auto"/>
        <w:ind w:firstLine="420" w:firstLineChars="200"/>
        <w:jc w:val="center"/>
        <w:rPr>
          <w:rFonts w:hint="default" w:ascii="黑体" w:hAnsi="黑体" w:eastAsia="黑体" w:cs="黑体"/>
          <w:sz w:val="21"/>
          <w:szCs w:val="21"/>
          <w:lang w:val="en-US" w:eastAsia="zh-CN"/>
        </w:rPr>
      </w:pPr>
      <w:r>
        <w:rPr>
          <w:rFonts w:hint="default" w:ascii="黑体" w:hAnsi="黑体" w:eastAsia="黑体" w:cs="黑体"/>
          <w:sz w:val="21"/>
          <w:szCs w:val="21"/>
          <w:lang w:val="en-US" w:eastAsia="zh-CN"/>
        </w:rPr>
        <w:t>图</w:t>
      </w:r>
      <w:r>
        <w:rPr>
          <w:rFonts w:hint="eastAsia" w:ascii="黑体" w:hAnsi="黑体" w:eastAsia="黑体" w:cs="黑体"/>
          <w:sz w:val="21"/>
          <w:szCs w:val="21"/>
          <w:lang w:val="en-US" w:eastAsia="zh-CN"/>
        </w:rPr>
        <w:t>8</w:t>
      </w:r>
      <w:r>
        <w:rPr>
          <w:rFonts w:hint="default" w:ascii="黑体" w:hAnsi="黑体" w:eastAsia="黑体" w:cs="黑体"/>
          <w:sz w:val="21"/>
          <w:szCs w:val="21"/>
          <w:lang w:val="en-US" w:eastAsia="zh-CN"/>
        </w:rPr>
        <w:t xml:space="preserve">  蒙乡托辣种质资源</w:t>
      </w:r>
      <w:r>
        <w:rPr>
          <w:rFonts w:hint="eastAsia" w:ascii="黑体" w:hAnsi="黑体" w:eastAsia="黑体" w:cs="黑体"/>
          <w:sz w:val="21"/>
          <w:szCs w:val="21"/>
          <w:lang w:val="en-US" w:eastAsia="zh-CN"/>
        </w:rPr>
        <w:t>各时期株展</w:t>
      </w:r>
      <w:r>
        <w:rPr>
          <w:rFonts w:hint="default" w:ascii="黑体" w:hAnsi="黑体" w:eastAsia="黑体" w:cs="黑体"/>
          <w:sz w:val="21"/>
          <w:szCs w:val="21"/>
          <w:lang w:val="en-US" w:eastAsia="zh-CN"/>
        </w:rPr>
        <w:t>生态学性状统计图</w:t>
      </w:r>
    </w:p>
    <w:p>
      <w:pPr>
        <w:pStyle w:val="3"/>
      </w:pPr>
    </w:p>
    <w:p>
      <w:pPr>
        <w:spacing w:line="360" w:lineRule="auto"/>
        <w:ind w:firstLine="480" w:firstLineChars="200"/>
        <w:rPr>
          <w:rFonts w:hint="eastAsia" w:ascii="宋体" w:hAnsi="宋体"/>
          <w:sz w:val="24"/>
          <w:szCs w:val="22"/>
          <w:lang w:val="en-US" w:eastAsia="zh-CN"/>
        </w:rPr>
      </w:pPr>
      <w:r>
        <w:rPr>
          <w:rFonts w:hint="default" w:ascii="宋体" w:hAnsi="宋体"/>
          <w:sz w:val="24"/>
          <w:szCs w:val="22"/>
          <w:lang w:val="en-US" w:eastAsia="zh-CN"/>
        </w:rPr>
        <w:t>综合</w:t>
      </w:r>
      <w:r>
        <w:rPr>
          <w:rFonts w:hint="eastAsia" w:ascii="宋体" w:hAnsi="宋体"/>
          <w:sz w:val="24"/>
          <w:szCs w:val="22"/>
          <w:lang w:val="en-US" w:eastAsia="zh-CN"/>
        </w:rPr>
        <w:t>株展</w:t>
      </w:r>
      <w:r>
        <w:rPr>
          <w:rFonts w:hint="default" w:ascii="宋体" w:hAnsi="宋体"/>
          <w:sz w:val="24"/>
          <w:szCs w:val="22"/>
          <w:lang w:val="en-US" w:eastAsia="zh-CN"/>
        </w:rPr>
        <w:t>生态学性状，由图</w:t>
      </w:r>
      <w:r>
        <w:rPr>
          <w:rFonts w:hint="eastAsia" w:ascii="宋体" w:hAnsi="宋体"/>
          <w:sz w:val="24"/>
          <w:szCs w:val="22"/>
          <w:lang w:val="en-US" w:eastAsia="zh-CN"/>
        </w:rPr>
        <w:t>8</w:t>
      </w:r>
      <w:r>
        <w:rPr>
          <w:rFonts w:hint="default" w:ascii="宋体" w:hAnsi="宋体"/>
          <w:sz w:val="24"/>
          <w:szCs w:val="22"/>
          <w:lang w:val="en-US" w:eastAsia="zh-CN"/>
        </w:rPr>
        <w:t>可知，蒙乡托辣</w:t>
      </w:r>
      <w:r>
        <w:rPr>
          <w:rFonts w:hint="eastAsia" w:ascii="宋体" w:hAnsi="宋体"/>
          <w:sz w:val="24"/>
          <w:szCs w:val="22"/>
          <w:lang w:val="en-US" w:eastAsia="zh-CN"/>
        </w:rPr>
        <w:t>11号</w:t>
      </w:r>
      <w:r>
        <w:rPr>
          <w:rFonts w:hint="default" w:ascii="宋体" w:hAnsi="宋体"/>
          <w:sz w:val="24"/>
          <w:szCs w:val="22"/>
          <w:lang w:val="en-US" w:eastAsia="zh-CN"/>
        </w:rPr>
        <w:t>在</w:t>
      </w:r>
      <w:r>
        <w:rPr>
          <w:rFonts w:hint="eastAsia" w:ascii="宋体" w:hAnsi="宋体"/>
          <w:sz w:val="24"/>
          <w:szCs w:val="22"/>
          <w:lang w:val="en-US" w:eastAsia="zh-CN"/>
        </w:rPr>
        <w:t>各个时期</w:t>
      </w:r>
      <w:r>
        <w:rPr>
          <w:rFonts w:hint="default" w:ascii="宋体" w:hAnsi="宋体"/>
          <w:sz w:val="24"/>
          <w:szCs w:val="22"/>
          <w:lang w:val="en-US" w:eastAsia="zh-CN"/>
        </w:rPr>
        <w:t>的</w:t>
      </w:r>
      <w:r>
        <w:rPr>
          <w:rFonts w:hint="eastAsia" w:ascii="宋体" w:hAnsi="宋体"/>
          <w:sz w:val="24"/>
          <w:szCs w:val="22"/>
          <w:lang w:val="en-US" w:eastAsia="zh-CN"/>
        </w:rPr>
        <w:t>株展</w:t>
      </w:r>
      <w:r>
        <w:rPr>
          <w:rFonts w:hint="default" w:ascii="宋体" w:hAnsi="宋体"/>
          <w:sz w:val="24"/>
          <w:szCs w:val="22"/>
          <w:lang w:val="en-US" w:eastAsia="zh-CN"/>
        </w:rPr>
        <w:t>要远优于其他资源，</w:t>
      </w:r>
      <w:r>
        <w:rPr>
          <w:rFonts w:hint="eastAsia" w:ascii="宋体" w:hAnsi="宋体"/>
          <w:sz w:val="24"/>
          <w:szCs w:val="22"/>
          <w:lang w:val="en-US" w:eastAsia="zh-CN"/>
        </w:rPr>
        <w:t>蒙乡托辣16号也比较良好</w:t>
      </w:r>
      <w:r>
        <w:rPr>
          <w:rFonts w:hint="default" w:ascii="宋体" w:hAnsi="宋体"/>
          <w:sz w:val="24"/>
          <w:szCs w:val="22"/>
          <w:lang w:val="en-US" w:eastAsia="zh-CN"/>
        </w:rPr>
        <w:t>，</w:t>
      </w:r>
      <w:r>
        <w:rPr>
          <w:rFonts w:hint="eastAsia" w:ascii="宋体" w:hAnsi="宋体"/>
          <w:sz w:val="24"/>
          <w:szCs w:val="22"/>
          <w:lang w:val="en-US" w:eastAsia="zh-CN"/>
        </w:rPr>
        <w:t>托辣14号的株展最短，综合来看</w:t>
      </w:r>
      <w:r>
        <w:rPr>
          <w:rFonts w:hint="default" w:ascii="宋体" w:hAnsi="宋体"/>
          <w:sz w:val="24"/>
          <w:szCs w:val="22"/>
          <w:lang w:val="en-US" w:eastAsia="zh-CN"/>
        </w:rPr>
        <w:t>在P＜0.05水平下的组内显著性检验</w:t>
      </w:r>
      <w:r>
        <w:rPr>
          <w:rFonts w:hint="eastAsia" w:ascii="宋体" w:hAnsi="宋体"/>
          <w:sz w:val="24"/>
          <w:szCs w:val="22"/>
          <w:lang w:val="en-US" w:eastAsia="zh-CN"/>
        </w:rPr>
        <w:t>下发现托县辣椒资源的茎粗无显著差异。</w:t>
      </w:r>
    </w:p>
    <w:p>
      <w:pPr>
        <w:spacing w:line="360" w:lineRule="auto"/>
        <w:ind w:firstLine="420" w:firstLineChars="200"/>
        <w:jc w:val="center"/>
        <w:rPr>
          <w:rFonts w:hint="default"/>
          <w:highlight w:val="none"/>
          <w:lang w:val="en-US" w:eastAsia="zh-CN"/>
        </w:rPr>
      </w:pPr>
      <w:r>
        <w:rPr>
          <w:rFonts w:hint="default" w:ascii="黑体" w:hAnsi="黑体" w:eastAsia="黑体" w:cs="黑体"/>
          <w:sz w:val="21"/>
          <w:szCs w:val="21"/>
          <w:highlight w:val="none"/>
          <w:lang w:val="en-US" w:eastAsia="zh-CN"/>
        </w:rPr>
        <w:t>表</w:t>
      </w:r>
      <w:r>
        <w:rPr>
          <w:rFonts w:hint="eastAsia" w:ascii="黑体" w:hAnsi="黑体" w:eastAsia="黑体" w:cs="黑体"/>
          <w:sz w:val="21"/>
          <w:szCs w:val="21"/>
          <w:highlight w:val="none"/>
          <w:lang w:val="en-US" w:eastAsia="zh-CN"/>
        </w:rPr>
        <w:t>6</w:t>
      </w:r>
      <w:r>
        <w:rPr>
          <w:rFonts w:hint="default" w:ascii="黑体" w:hAnsi="黑体" w:eastAsia="黑体" w:cs="黑体"/>
          <w:sz w:val="21"/>
          <w:szCs w:val="21"/>
          <w:highlight w:val="none"/>
          <w:lang w:val="en-US" w:eastAsia="zh-CN"/>
        </w:rPr>
        <w:t xml:space="preserve"> 蒙乡托辣产量分析</w:t>
      </w:r>
    </w:p>
    <w:tbl>
      <w:tblPr>
        <w:tblStyle w:val="8"/>
        <w:tblW w:w="7822"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093"/>
        <w:gridCol w:w="2813"/>
        <w:gridCol w:w="2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blCellSpacing w:w="0" w:type="dxa"/>
          <w:jc w:val="center"/>
        </w:trPr>
        <w:tc>
          <w:tcPr>
            <w:tcW w:w="209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cs="Times New Roman"/>
                <w:b/>
                <w:bCs/>
                <w:color w:val="000000"/>
                <w:sz w:val="24"/>
                <w:szCs w:val="24"/>
              </w:rPr>
              <w:t>编号</w:t>
            </w:r>
          </w:p>
        </w:tc>
        <w:tc>
          <w:tcPr>
            <w:tcW w:w="281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cs="Times New Roman"/>
                <w:b/>
                <w:bCs/>
                <w:color w:val="000000"/>
                <w:sz w:val="24"/>
                <w:szCs w:val="24"/>
              </w:rPr>
              <w:t>作物名称</w:t>
            </w:r>
          </w:p>
        </w:tc>
        <w:tc>
          <w:tcPr>
            <w:tcW w:w="2916"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cs="Times New Roman"/>
                <w:b/>
                <w:bCs/>
                <w:color w:val="000000"/>
                <w:sz w:val="24"/>
                <w:szCs w:val="24"/>
              </w:rPr>
              <w:t>辣椒总重（kg)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blCellSpacing w:w="0" w:type="dxa"/>
          <w:jc w:val="center"/>
        </w:trPr>
        <w:tc>
          <w:tcPr>
            <w:tcW w:w="209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color w:val="FF0000"/>
                <w:sz w:val="24"/>
                <w:szCs w:val="24"/>
              </w:rPr>
            </w:pPr>
            <w:r>
              <w:rPr>
                <w:rFonts w:hint="default" w:ascii="Times New Roman" w:hAnsi="Times New Roman" w:eastAsia="宋体" w:cs="Times New Roman"/>
                <w:color w:val="FF0000"/>
                <w:sz w:val="24"/>
                <w:szCs w:val="24"/>
              </w:rPr>
              <w:t>1</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托辣16号</w:t>
            </w:r>
          </w:p>
        </w:tc>
        <w:tc>
          <w:tcPr>
            <w:tcW w:w="2916"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color w:val="FF0000"/>
                <w:sz w:val="24"/>
                <w:szCs w:val="24"/>
              </w:rPr>
            </w:pPr>
            <w:r>
              <w:rPr>
                <w:rFonts w:hint="default" w:ascii="Times New Roman" w:hAnsi="Times New Roman" w:eastAsia="宋体" w:cs="Times New Roman"/>
                <w:color w:val="FF0000"/>
                <w:sz w:val="24"/>
                <w:szCs w:val="24"/>
              </w:rPr>
              <w:t>21.49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blCellSpacing w:w="0" w:type="dxa"/>
          <w:jc w:val="center"/>
        </w:trPr>
        <w:tc>
          <w:tcPr>
            <w:tcW w:w="209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2</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托辣7号</w:t>
            </w:r>
          </w:p>
        </w:tc>
        <w:tc>
          <w:tcPr>
            <w:tcW w:w="2916"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11.59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tblCellSpacing w:w="0" w:type="dxa"/>
          <w:jc w:val="center"/>
        </w:trPr>
        <w:tc>
          <w:tcPr>
            <w:tcW w:w="209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3</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托辣14号</w:t>
            </w:r>
          </w:p>
        </w:tc>
        <w:tc>
          <w:tcPr>
            <w:tcW w:w="2916"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11.03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blCellSpacing w:w="0" w:type="dxa"/>
          <w:jc w:val="center"/>
        </w:trPr>
        <w:tc>
          <w:tcPr>
            <w:tcW w:w="209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4</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托辣3号</w:t>
            </w:r>
          </w:p>
        </w:tc>
        <w:tc>
          <w:tcPr>
            <w:tcW w:w="2916"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16.25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blCellSpacing w:w="0" w:type="dxa"/>
          <w:jc w:val="center"/>
        </w:trPr>
        <w:tc>
          <w:tcPr>
            <w:tcW w:w="209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5</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托辣11号</w:t>
            </w:r>
          </w:p>
        </w:tc>
        <w:tc>
          <w:tcPr>
            <w:tcW w:w="2916"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26.94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blCellSpacing w:w="0" w:type="dxa"/>
          <w:jc w:val="center"/>
        </w:trPr>
        <w:tc>
          <w:tcPr>
            <w:tcW w:w="209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6</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托辣13号</w:t>
            </w:r>
          </w:p>
        </w:tc>
        <w:tc>
          <w:tcPr>
            <w:tcW w:w="2916"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15.22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0" w:hRule="atLeast"/>
          <w:tblCellSpacing w:w="0" w:type="dxa"/>
          <w:jc w:val="center"/>
        </w:trPr>
        <w:tc>
          <w:tcPr>
            <w:tcW w:w="209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7</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托辣4号</w:t>
            </w:r>
          </w:p>
        </w:tc>
        <w:tc>
          <w:tcPr>
            <w:tcW w:w="2916"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20" w:hRule="atLeast"/>
          <w:tblCellSpacing w:w="0" w:type="dxa"/>
          <w:jc w:val="center"/>
        </w:trPr>
        <w:tc>
          <w:tcPr>
            <w:tcW w:w="2093"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8</w:t>
            </w:r>
          </w:p>
        </w:tc>
        <w:tc>
          <w:tcPr>
            <w:tcW w:w="2813" w:type="dxa"/>
            <w:tcBorders>
              <w:top w:val="single" w:color="000000" w:sz="4" w:space="0"/>
              <w:left w:val="single" w:color="000000" w:sz="4" w:space="0"/>
              <w:bottom w:val="single" w:color="000000" w:sz="4" w:space="0"/>
              <w:right w:val="single" w:color="000000" w:sz="4" w:space="0"/>
            </w:tcBorders>
            <w:shd w:val="clear" w:color="auto" w:fill="FFFFFF"/>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袁托</w:t>
            </w:r>
          </w:p>
        </w:tc>
        <w:tc>
          <w:tcPr>
            <w:tcW w:w="2916" w:type="dxa"/>
            <w:tcBorders>
              <w:top w:val="single" w:color="000000" w:sz="4" w:space="0"/>
              <w:left w:val="single" w:color="000000" w:sz="4" w:space="0"/>
              <w:bottom w:val="single" w:color="000000" w:sz="4" w:space="0"/>
              <w:right w:val="single" w:color="000000" w:sz="4" w:space="0"/>
            </w:tcBorders>
            <w:shd w:val="clear" w:color="auto" w:fill="auto"/>
            <w:tcMar>
              <w:top w:w="20" w:type="dxa"/>
              <w:left w:w="20" w:type="dxa"/>
              <w:bottom w:w="72" w:type="dxa"/>
              <w:right w:w="20" w:type="dxa"/>
            </w:tcMar>
            <w:vAlign w:val="center"/>
          </w:tcPr>
          <w:p>
            <w:pPr>
              <w:pStyle w:val="7"/>
              <w:keepNext w:val="0"/>
              <w:keepLines w:val="0"/>
              <w:widowControl/>
              <w:suppressLineNumbers w:val="0"/>
              <w:jc w:val="center"/>
              <w:rPr>
                <w:rFonts w:hint="default" w:ascii="Times New Roman" w:hAnsi="Times New Roman" w:cs="Times New Roman"/>
                <w:sz w:val="24"/>
                <w:szCs w:val="24"/>
              </w:rPr>
            </w:pPr>
            <w:r>
              <w:rPr>
                <w:rFonts w:hint="default" w:ascii="Times New Roman" w:hAnsi="Times New Roman" w:eastAsia="宋体" w:cs="Times New Roman"/>
                <w:color w:val="000000"/>
                <w:sz w:val="24"/>
                <w:szCs w:val="24"/>
              </w:rPr>
              <w:t>26.3</w:t>
            </w:r>
          </w:p>
        </w:tc>
      </w:tr>
    </w:tbl>
    <w:p>
      <w:pPr>
        <w:spacing w:line="360" w:lineRule="auto"/>
        <w:ind w:firstLine="480" w:firstLineChars="200"/>
        <w:rPr>
          <w:rFonts w:hint="eastAsia" w:ascii="宋体" w:hAnsi="宋体"/>
          <w:sz w:val="24"/>
          <w:szCs w:val="22"/>
          <w:lang w:val="en-US" w:eastAsia="zh-CN"/>
        </w:rPr>
      </w:pPr>
      <w:r>
        <w:rPr>
          <w:rFonts w:hint="eastAsia" w:ascii="宋体" w:hAnsi="宋体"/>
          <w:sz w:val="24"/>
          <w:szCs w:val="22"/>
          <w:lang w:val="en-US" w:eastAsia="zh-CN"/>
        </w:rPr>
        <w:t>由数据可得，袁托的产量最高，但是托辣16号资源在株高、株展以及茎粗方面都表现良好。</w:t>
      </w:r>
    </w:p>
    <w:p>
      <w:pPr>
        <w:rPr>
          <w:rFonts w:hint="eastAsia"/>
          <w:lang w:val="en-US" w:eastAsia="zh-CN"/>
        </w:rPr>
      </w:pPr>
    </w:p>
    <w:p>
      <w:pPr>
        <w:numPr>
          <w:ilvl w:val="0"/>
          <w:numId w:val="0"/>
        </w:numPr>
        <w:spacing w:line="360" w:lineRule="auto"/>
        <w:outlineLvl w:val="2"/>
        <w:rPr>
          <w:rFonts w:hint="default" w:ascii="宋体" w:hAnsi="宋体"/>
          <w:b/>
          <w:bCs/>
          <w:sz w:val="24"/>
          <w:szCs w:val="22"/>
          <w:lang w:val="en-US" w:eastAsia="zh-CN"/>
        </w:rPr>
      </w:pPr>
      <w:r>
        <w:rPr>
          <w:rFonts w:hint="eastAsia" w:ascii="宋体" w:hAnsi="宋体"/>
          <w:b/>
          <w:bCs/>
          <w:sz w:val="24"/>
          <w:szCs w:val="22"/>
          <w:lang w:val="en-US" w:eastAsia="zh-CN"/>
        </w:rPr>
        <w:t>（2）托克托县辣椒检测报告</w:t>
      </w:r>
    </w:p>
    <w:p>
      <w:pPr>
        <w:jc w:val="center"/>
        <w:rPr>
          <w:rFonts w:hint="eastAsia" w:ascii="仿宋" w:hAnsi="仿宋" w:eastAsia="仿宋"/>
          <w:b/>
          <w:sz w:val="30"/>
          <w:szCs w:val="30"/>
        </w:rPr>
      </w:pPr>
      <w:r>
        <w:rPr>
          <w:rFonts w:hint="default"/>
          <w:lang w:val="en-US" w:eastAsia="zh-CN"/>
        </w:rPr>
        <w:drawing>
          <wp:inline distT="0" distB="0" distL="114300" distR="114300">
            <wp:extent cx="4609465" cy="6520180"/>
            <wp:effectExtent l="0" t="0" r="8255" b="2540"/>
            <wp:docPr id="5" name="图片 5" descr="托县辣椒检测报告_纯图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托县辣椒检测报告_纯图版_00"/>
                    <pic:cNvPicPr>
                      <a:picLocks noChangeAspect="1"/>
                    </pic:cNvPicPr>
                  </pic:nvPicPr>
                  <pic:blipFill>
                    <a:blip r:embed="rId17"/>
                    <a:stretch>
                      <a:fillRect/>
                    </a:stretch>
                  </pic:blipFill>
                  <pic:spPr>
                    <a:xfrm>
                      <a:off x="0" y="0"/>
                      <a:ext cx="4609465" cy="6520180"/>
                    </a:xfrm>
                    <a:prstGeom prst="rect">
                      <a:avLst/>
                    </a:prstGeom>
                  </pic:spPr>
                </pic:pic>
              </a:graphicData>
            </a:graphic>
          </wp:inline>
        </w:drawing>
      </w:r>
      <w:r>
        <w:rPr>
          <w:rFonts w:hint="default"/>
          <w:lang w:val="en-US" w:eastAsia="zh-CN"/>
        </w:rPr>
        <w:drawing>
          <wp:inline distT="0" distB="0" distL="114300" distR="114300">
            <wp:extent cx="5273675" cy="7459345"/>
            <wp:effectExtent l="0" t="0" r="14605" b="8255"/>
            <wp:docPr id="4" name="图片 4" descr="托县辣椒检测报告_纯图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托县辣椒检测报告_纯图版_01"/>
                    <pic:cNvPicPr>
                      <a:picLocks noChangeAspect="1"/>
                    </pic:cNvPicPr>
                  </pic:nvPicPr>
                  <pic:blipFill>
                    <a:blip r:embed="rId18"/>
                    <a:stretch>
                      <a:fillRect/>
                    </a:stretch>
                  </pic:blipFill>
                  <pic:spPr>
                    <a:xfrm>
                      <a:off x="0" y="0"/>
                      <a:ext cx="5273675" cy="7459345"/>
                    </a:xfrm>
                    <a:prstGeom prst="rect">
                      <a:avLst/>
                    </a:prstGeom>
                  </pic:spPr>
                </pic:pic>
              </a:graphicData>
            </a:graphic>
          </wp:inline>
        </w:drawing>
      </w:r>
      <w:r>
        <w:rPr>
          <w:rFonts w:hint="default"/>
          <w:lang w:val="en-US" w:eastAsia="zh-CN"/>
        </w:rPr>
        <w:drawing>
          <wp:inline distT="0" distB="0" distL="114300" distR="114300">
            <wp:extent cx="5273675" cy="7459345"/>
            <wp:effectExtent l="0" t="0" r="14605" b="8255"/>
            <wp:docPr id="6" name="图片 6" descr="托县辣椒检测报告_纯图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托县辣椒检测报告_纯图版_02"/>
                    <pic:cNvPicPr>
                      <a:picLocks noChangeAspect="1"/>
                    </pic:cNvPicPr>
                  </pic:nvPicPr>
                  <pic:blipFill>
                    <a:blip r:embed="rId19"/>
                    <a:stretch>
                      <a:fillRect/>
                    </a:stretch>
                  </pic:blipFill>
                  <pic:spPr>
                    <a:xfrm>
                      <a:off x="0" y="0"/>
                      <a:ext cx="5273675" cy="7459345"/>
                    </a:xfrm>
                    <a:prstGeom prst="rect">
                      <a:avLst/>
                    </a:prstGeom>
                  </pic:spPr>
                </pic:pic>
              </a:graphicData>
            </a:graphic>
          </wp:inline>
        </w:drawing>
      </w:r>
    </w:p>
    <w:p>
      <w:pPr>
        <w:rPr>
          <w:rFonts w:hint="eastAsia"/>
        </w:rPr>
      </w:pPr>
    </w:p>
    <w:p>
      <w:pPr>
        <w:outlineLvl w:val="0"/>
        <w:rPr>
          <w:rFonts w:hint="eastAsia" w:ascii="仿宋" w:hAnsi="仿宋" w:eastAsia="仿宋"/>
          <w:b/>
          <w:sz w:val="30"/>
          <w:szCs w:val="30"/>
        </w:rPr>
      </w:pPr>
      <w:r>
        <w:rPr>
          <w:rFonts w:hint="eastAsia" w:ascii="仿宋" w:hAnsi="仿宋" w:eastAsia="仿宋"/>
          <w:b/>
          <w:sz w:val="30"/>
          <w:szCs w:val="30"/>
        </w:rPr>
        <w:t>六、重大意见分歧的处理依据和结果</w:t>
      </w:r>
    </w:p>
    <w:p>
      <w:pPr>
        <w:spacing w:line="360" w:lineRule="auto"/>
        <w:ind w:firstLine="480" w:firstLineChars="200"/>
        <w:rPr>
          <w:rFonts w:hint="default" w:ascii="宋体" w:hAnsi="宋体"/>
          <w:sz w:val="24"/>
          <w:szCs w:val="22"/>
          <w:lang w:val="en-US" w:eastAsia="zh-CN"/>
        </w:rPr>
      </w:pPr>
      <w:r>
        <w:rPr>
          <w:rFonts w:hint="eastAsia" w:ascii="宋体" w:hAnsi="宋体"/>
          <w:sz w:val="24"/>
          <w:szCs w:val="22"/>
          <w:lang w:val="en-US" w:eastAsia="zh-CN"/>
        </w:rPr>
        <w:t>“托克托县辣椒地方品种提纯复壮技术规程”在生产实践中证实了其提纯复壮技术，因此在本标准编制过程中无重大的分歧意见。</w:t>
      </w:r>
    </w:p>
    <w:p>
      <w:pPr>
        <w:outlineLvl w:val="0"/>
        <w:rPr>
          <w:rFonts w:hint="eastAsia" w:ascii="仿宋" w:hAnsi="仿宋" w:eastAsia="仿宋"/>
          <w:b/>
          <w:sz w:val="30"/>
          <w:szCs w:val="30"/>
        </w:rPr>
      </w:pPr>
      <w:r>
        <w:rPr>
          <w:rFonts w:hint="eastAsia" w:ascii="仿宋" w:hAnsi="仿宋" w:eastAsia="仿宋"/>
          <w:b/>
          <w:sz w:val="30"/>
          <w:szCs w:val="30"/>
        </w:rPr>
        <w:t>七、采用国际标准或国外先进标准的，说明采标程度，以及国内外同类标准水平的对比情况</w:t>
      </w:r>
    </w:p>
    <w:p>
      <w:pPr>
        <w:spacing w:line="480" w:lineRule="exact"/>
        <w:ind w:firstLine="480" w:firstLineChars="200"/>
        <w:rPr>
          <w:rFonts w:ascii="仿宋" w:hAnsi="仿宋" w:eastAsia="仿宋"/>
          <w:sz w:val="28"/>
          <w:szCs w:val="28"/>
        </w:rPr>
      </w:pPr>
      <w:r>
        <w:rPr>
          <w:rFonts w:hint="eastAsia" w:ascii="宋体" w:hAnsi="宋体"/>
          <w:sz w:val="24"/>
          <w:szCs w:val="22"/>
          <w:lang w:val="en-US" w:eastAsia="zh-CN"/>
        </w:rPr>
        <w:t>本文件未采用国际标准或国外先进标准</w:t>
      </w:r>
      <w:r>
        <w:rPr>
          <w:rFonts w:hint="eastAsia" w:ascii="仿宋" w:hAnsi="仿宋" w:eastAsia="仿宋"/>
          <w:sz w:val="28"/>
          <w:szCs w:val="28"/>
        </w:rPr>
        <w:t>。</w:t>
      </w:r>
    </w:p>
    <w:p>
      <w:pPr>
        <w:outlineLvl w:val="0"/>
        <w:rPr>
          <w:rFonts w:hint="eastAsia" w:ascii="仿宋" w:hAnsi="仿宋" w:eastAsia="仿宋"/>
          <w:b/>
          <w:sz w:val="30"/>
          <w:szCs w:val="30"/>
        </w:rPr>
      </w:pPr>
      <w:r>
        <w:rPr>
          <w:rFonts w:hint="eastAsia" w:ascii="仿宋" w:hAnsi="仿宋" w:eastAsia="仿宋"/>
          <w:b/>
          <w:sz w:val="30"/>
          <w:szCs w:val="30"/>
        </w:rPr>
        <w:t>八、其他应说明的事项</w:t>
      </w:r>
    </w:p>
    <w:p>
      <w:pPr>
        <w:spacing w:line="480" w:lineRule="exact"/>
        <w:ind w:firstLine="480" w:firstLineChars="200"/>
        <w:rPr>
          <w:rFonts w:hint="eastAsia" w:ascii="宋体" w:hAnsi="宋体"/>
          <w:sz w:val="24"/>
          <w:szCs w:val="22"/>
          <w:lang w:val="en-US" w:eastAsia="zh-CN"/>
        </w:rPr>
      </w:pPr>
      <w:r>
        <w:rPr>
          <w:rFonts w:hint="eastAsia" w:ascii="宋体" w:hAnsi="宋体"/>
          <w:sz w:val="24"/>
          <w:szCs w:val="22"/>
          <w:lang w:val="en-US" w:eastAsia="zh-CN"/>
        </w:rPr>
        <w:t xml:space="preserve">无 </w:t>
      </w:r>
    </w:p>
    <w:p>
      <w:pPr>
        <w:outlineLvl w:val="0"/>
        <w:rPr>
          <w:rFonts w:hint="eastAsia" w:ascii="仿宋" w:hAnsi="仿宋" w:eastAsia="仿宋"/>
          <w:b/>
          <w:sz w:val="30"/>
          <w:szCs w:val="30"/>
        </w:rPr>
      </w:pPr>
      <w:r>
        <w:rPr>
          <w:rFonts w:hint="eastAsia" w:ascii="仿宋" w:hAnsi="仿宋" w:eastAsia="仿宋"/>
          <w:b/>
          <w:sz w:val="30"/>
          <w:szCs w:val="30"/>
        </w:rPr>
        <w:t>九、征求意见说明</w:t>
      </w:r>
    </w:p>
    <w:p>
      <w:pPr>
        <w:jc w:val="center"/>
        <w:rPr>
          <w:rFonts w:asciiTheme="minorEastAsia" w:hAnsiTheme="minorEastAsia"/>
          <w:bCs/>
          <w:sz w:val="28"/>
          <w:szCs w:val="28"/>
        </w:rPr>
      </w:pPr>
      <w:r>
        <w:rPr>
          <w:rFonts w:hint="eastAsia" w:asciiTheme="minorEastAsia" w:hAnsiTheme="minorEastAsia"/>
          <w:bCs/>
          <w:sz w:val="28"/>
          <w:szCs w:val="28"/>
        </w:rPr>
        <w:t>《立项标准名称》征求意见汇总表</w:t>
      </w:r>
    </w:p>
    <w:p>
      <w:pPr>
        <w:jc w:val="left"/>
        <w:rPr>
          <w:rFonts w:ascii="宋体" w:hAnsi="宋体" w:eastAsia="宋体"/>
          <w:sz w:val="24"/>
          <w:szCs w:val="24"/>
        </w:rPr>
      </w:pPr>
      <w:r>
        <w:rPr>
          <w:rFonts w:hint="eastAsia" w:ascii="宋体" w:hAnsi="宋体" w:eastAsia="宋体"/>
          <w:sz w:val="24"/>
          <w:szCs w:val="24"/>
        </w:rPr>
        <w:t>起草单位：</w:t>
      </w:r>
      <w:r>
        <w:rPr>
          <w:rFonts w:ascii="宋体" w:hAnsi="宋体" w:eastAsia="宋体"/>
          <w:sz w:val="24"/>
          <w:szCs w:val="24"/>
        </w:rPr>
        <w:t xml:space="preserve"> </w:t>
      </w:r>
      <w:r>
        <w:rPr>
          <w:rFonts w:hint="eastAsia" w:ascii="仿宋" w:hAnsi="仿宋" w:eastAsia="仿宋" w:cstheme="minorBidi"/>
          <w:kern w:val="2"/>
          <w:sz w:val="28"/>
          <w:szCs w:val="28"/>
          <w:lang w:val="en-US" w:eastAsia="zh-Hans" w:bidi="ar-SA"/>
        </w:rPr>
        <w:t>蒙草生态环境（集团）股份有限公司</w:t>
      </w:r>
    </w:p>
    <w:p>
      <w:pPr>
        <w:spacing w:line="360" w:lineRule="exact"/>
        <w:jc w:val="left"/>
        <w:rPr>
          <w:rFonts w:hint="eastAsia" w:ascii="宋体" w:hAnsi="宋体" w:eastAsia="宋体"/>
          <w:sz w:val="24"/>
          <w:szCs w:val="24"/>
          <w:lang w:val="en-US" w:eastAsia="zh-CN"/>
        </w:rPr>
      </w:pPr>
      <w:r>
        <w:rPr>
          <w:rFonts w:hint="eastAsia" w:ascii="宋体" w:hAnsi="宋体" w:eastAsia="宋体"/>
          <w:sz w:val="24"/>
          <w:szCs w:val="24"/>
        </w:rPr>
        <w:t>联 系 人：</w:t>
      </w:r>
      <w:r>
        <w:rPr>
          <w:rFonts w:ascii="宋体" w:hAnsi="宋体" w:eastAsia="宋体"/>
          <w:sz w:val="24"/>
          <w:szCs w:val="24"/>
        </w:rPr>
        <w:t xml:space="preserve"> </w:t>
      </w:r>
      <w:r>
        <w:rPr>
          <w:rFonts w:hint="eastAsia" w:ascii="宋体" w:hAnsi="宋体" w:eastAsia="宋体"/>
          <w:sz w:val="24"/>
          <w:szCs w:val="24"/>
          <w:lang w:val="en-US" w:eastAsia="zh-CN"/>
        </w:rPr>
        <w:t>郑丽娜</w:t>
      </w:r>
    </w:p>
    <w:p>
      <w:pPr>
        <w:spacing w:line="360" w:lineRule="exact"/>
        <w:jc w:val="left"/>
        <w:rPr>
          <w:rFonts w:ascii="微软雅黑" w:hAnsi="微软雅黑" w:eastAsia="微软雅黑" w:cs="微软雅黑"/>
          <w:i w:val="0"/>
          <w:iCs w:val="0"/>
          <w:caps w:val="0"/>
          <w:color w:val="242424"/>
          <w:spacing w:val="0"/>
          <w:sz w:val="18"/>
          <w:szCs w:val="18"/>
          <w:shd w:val="clear" w:fill="FFFFFF"/>
        </w:rPr>
      </w:pPr>
      <w:r>
        <w:rPr>
          <w:rFonts w:hint="eastAsia" w:ascii="宋体" w:hAnsi="宋体" w:eastAsia="宋体"/>
          <w:sz w:val="24"/>
          <w:szCs w:val="24"/>
        </w:rPr>
        <w:t xml:space="preserve">联系电话： </w:t>
      </w:r>
      <w:r>
        <w:rPr>
          <w:rFonts w:ascii="微软雅黑" w:hAnsi="微软雅黑" w:eastAsia="微软雅黑" w:cs="微软雅黑"/>
          <w:i w:val="0"/>
          <w:iCs w:val="0"/>
          <w:caps w:val="0"/>
          <w:color w:val="242424"/>
          <w:spacing w:val="0"/>
          <w:sz w:val="18"/>
          <w:szCs w:val="18"/>
          <w:shd w:val="clear" w:fill="FFFFFF"/>
        </w:rPr>
        <w:t>180-4714-6676</w:t>
      </w:r>
    </w:p>
    <w:p>
      <w:pPr>
        <w:pStyle w:val="2"/>
        <w:outlineLvl w:val="9"/>
      </w:pPr>
    </w:p>
    <w:tbl>
      <w:tblPr>
        <w:tblStyle w:val="8"/>
        <w:tblW w:w="9028" w:type="dxa"/>
        <w:tblInd w:w="-3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17"/>
        <w:gridCol w:w="1843"/>
        <w:gridCol w:w="1843"/>
        <w:gridCol w:w="1275"/>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896" w:type="dxa"/>
            <w:vAlign w:val="center"/>
          </w:tcPr>
          <w:p>
            <w:pPr>
              <w:spacing w:line="400" w:lineRule="exact"/>
              <w:jc w:val="center"/>
              <w:rPr>
                <w:rFonts w:ascii="仿宋" w:hAnsi="仿宋" w:eastAsia="仿宋"/>
                <w:b/>
                <w:bCs/>
                <w:sz w:val="24"/>
              </w:rPr>
            </w:pPr>
            <w:r>
              <w:rPr>
                <w:rFonts w:hint="eastAsia" w:ascii="仿宋" w:hAnsi="仿宋" w:eastAsia="仿宋"/>
                <w:b/>
                <w:bCs/>
                <w:sz w:val="24"/>
              </w:rPr>
              <w:t>序号</w:t>
            </w:r>
          </w:p>
        </w:tc>
        <w:tc>
          <w:tcPr>
            <w:tcW w:w="1417" w:type="dxa"/>
            <w:vAlign w:val="center"/>
          </w:tcPr>
          <w:p>
            <w:pPr>
              <w:spacing w:line="400" w:lineRule="exact"/>
              <w:jc w:val="center"/>
              <w:rPr>
                <w:rFonts w:ascii="仿宋" w:hAnsi="仿宋" w:eastAsia="仿宋"/>
                <w:b/>
                <w:bCs/>
                <w:sz w:val="24"/>
              </w:rPr>
            </w:pPr>
            <w:r>
              <w:rPr>
                <w:rFonts w:hint="eastAsia" w:ascii="仿宋" w:hAnsi="仿宋" w:eastAsia="仿宋"/>
                <w:b/>
                <w:bCs/>
                <w:sz w:val="24"/>
              </w:rPr>
              <w:t>章节编号</w:t>
            </w:r>
          </w:p>
        </w:tc>
        <w:tc>
          <w:tcPr>
            <w:tcW w:w="1843" w:type="dxa"/>
            <w:vAlign w:val="center"/>
          </w:tcPr>
          <w:p>
            <w:pPr>
              <w:spacing w:line="400" w:lineRule="exact"/>
              <w:jc w:val="center"/>
              <w:rPr>
                <w:rFonts w:ascii="仿宋" w:hAnsi="仿宋" w:eastAsia="仿宋"/>
                <w:b/>
                <w:bCs/>
                <w:sz w:val="24"/>
              </w:rPr>
            </w:pPr>
            <w:r>
              <w:rPr>
                <w:rFonts w:hint="eastAsia" w:ascii="仿宋" w:hAnsi="仿宋" w:eastAsia="仿宋"/>
                <w:b/>
                <w:bCs/>
                <w:sz w:val="24"/>
              </w:rPr>
              <w:t>意见</w:t>
            </w:r>
          </w:p>
        </w:tc>
        <w:tc>
          <w:tcPr>
            <w:tcW w:w="1843" w:type="dxa"/>
            <w:vAlign w:val="center"/>
          </w:tcPr>
          <w:p>
            <w:pPr>
              <w:spacing w:line="400" w:lineRule="exact"/>
              <w:jc w:val="center"/>
              <w:rPr>
                <w:rFonts w:ascii="仿宋" w:hAnsi="仿宋" w:eastAsia="仿宋"/>
                <w:b/>
                <w:bCs/>
                <w:sz w:val="24"/>
              </w:rPr>
            </w:pPr>
            <w:r>
              <w:rPr>
                <w:rFonts w:hint="eastAsia" w:ascii="仿宋" w:hAnsi="仿宋" w:eastAsia="仿宋"/>
                <w:b/>
                <w:bCs/>
                <w:sz w:val="24"/>
              </w:rPr>
              <w:t>提出单位/专家</w:t>
            </w:r>
          </w:p>
        </w:tc>
        <w:tc>
          <w:tcPr>
            <w:tcW w:w="1275" w:type="dxa"/>
            <w:vAlign w:val="center"/>
          </w:tcPr>
          <w:p>
            <w:pPr>
              <w:spacing w:line="400" w:lineRule="exact"/>
              <w:jc w:val="center"/>
              <w:rPr>
                <w:rFonts w:ascii="仿宋" w:hAnsi="仿宋" w:eastAsia="仿宋"/>
                <w:b/>
                <w:bCs/>
                <w:sz w:val="24"/>
              </w:rPr>
            </w:pPr>
            <w:r>
              <w:rPr>
                <w:rFonts w:hint="eastAsia" w:ascii="仿宋" w:hAnsi="仿宋" w:eastAsia="仿宋"/>
                <w:b/>
                <w:bCs/>
                <w:sz w:val="24"/>
              </w:rPr>
              <w:t>是否采纳</w:t>
            </w:r>
          </w:p>
        </w:tc>
        <w:tc>
          <w:tcPr>
            <w:tcW w:w="1754" w:type="dxa"/>
            <w:vAlign w:val="center"/>
          </w:tcPr>
          <w:p>
            <w:pPr>
              <w:spacing w:line="400" w:lineRule="exact"/>
              <w:jc w:val="center"/>
              <w:rPr>
                <w:rFonts w:ascii="仿宋" w:hAnsi="仿宋" w:eastAsia="仿宋"/>
                <w:b/>
                <w:bCs/>
                <w:sz w:val="24"/>
              </w:rPr>
            </w:pPr>
            <w:r>
              <w:rPr>
                <w:rFonts w:hint="eastAsia" w:ascii="仿宋" w:hAnsi="仿宋" w:eastAsia="仿宋"/>
                <w:b/>
                <w:bCs/>
                <w:sz w:val="24"/>
              </w:rPr>
              <w:t>不采纳</w:t>
            </w:r>
          </w:p>
          <w:p>
            <w:pPr>
              <w:spacing w:line="400" w:lineRule="exact"/>
              <w:jc w:val="center"/>
              <w:rPr>
                <w:rFonts w:ascii="仿宋" w:hAnsi="仿宋" w:eastAsia="仿宋"/>
                <w:b/>
                <w:bCs/>
                <w:sz w:val="24"/>
              </w:rPr>
            </w:pPr>
            <w:r>
              <w:rPr>
                <w:rFonts w:hint="eastAsia" w:ascii="仿宋" w:hAnsi="仿宋" w:eastAsia="仿宋"/>
                <w:b/>
                <w:bCs/>
                <w:sz w:val="24"/>
              </w:rPr>
              <w:t>（说明原因）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896" w:type="dxa"/>
            <w:vAlign w:val="center"/>
          </w:tcPr>
          <w:p>
            <w:pPr>
              <w:spacing w:line="400" w:lineRule="exact"/>
              <w:jc w:val="center"/>
              <w:rPr>
                <w:rFonts w:ascii="仿宋" w:hAnsi="仿宋" w:eastAsia="仿宋"/>
                <w:sz w:val="24"/>
              </w:rPr>
            </w:pPr>
            <w:r>
              <w:rPr>
                <w:rFonts w:hint="eastAsia" w:ascii="仿宋" w:hAnsi="仿宋" w:eastAsia="仿宋"/>
                <w:sz w:val="24"/>
              </w:rPr>
              <w:t>1</w:t>
            </w:r>
          </w:p>
        </w:tc>
        <w:tc>
          <w:tcPr>
            <w:tcW w:w="1417"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275" w:type="dxa"/>
            <w:vAlign w:val="center"/>
          </w:tcPr>
          <w:p>
            <w:pPr>
              <w:spacing w:line="400" w:lineRule="exact"/>
              <w:jc w:val="left"/>
              <w:rPr>
                <w:rFonts w:ascii="仿宋" w:hAnsi="仿宋" w:eastAsia="仿宋"/>
                <w:sz w:val="24"/>
              </w:rPr>
            </w:pPr>
          </w:p>
        </w:tc>
        <w:tc>
          <w:tcPr>
            <w:tcW w:w="1754" w:type="dxa"/>
            <w:vAlign w:val="center"/>
          </w:tcPr>
          <w:p>
            <w:pPr>
              <w:spacing w:line="40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96" w:type="dxa"/>
            <w:vAlign w:val="center"/>
          </w:tcPr>
          <w:p>
            <w:pPr>
              <w:spacing w:line="400" w:lineRule="exact"/>
              <w:jc w:val="center"/>
              <w:rPr>
                <w:rFonts w:ascii="仿宋" w:hAnsi="仿宋" w:eastAsia="仿宋"/>
                <w:sz w:val="24"/>
              </w:rPr>
            </w:pPr>
            <w:r>
              <w:rPr>
                <w:rFonts w:hint="eastAsia" w:ascii="仿宋" w:hAnsi="仿宋" w:eastAsia="仿宋"/>
                <w:sz w:val="24"/>
              </w:rPr>
              <w:t>2</w:t>
            </w:r>
          </w:p>
        </w:tc>
        <w:tc>
          <w:tcPr>
            <w:tcW w:w="1417"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275" w:type="dxa"/>
            <w:vAlign w:val="center"/>
          </w:tcPr>
          <w:p>
            <w:pPr>
              <w:spacing w:line="400" w:lineRule="exact"/>
              <w:jc w:val="left"/>
              <w:rPr>
                <w:rFonts w:ascii="仿宋" w:hAnsi="仿宋" w:eastAsia="仿宋"/>
                <w:sz w:val="24"/>
              </w:rPr>
            </w:pPr>
          </w:p>
        </w:tc>
        <w:tc>
          <w:tcPr>
            <w:tcW w:w="1754" w:type="dxa"/>
            <w:vAlign w:val="center"/>
          </w:tcPr>
          <w:p>
            <w:pPr>
              <w:spacing w:line="40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spacing w:line="400" w:lineRule="exact"/>
              <w:jc w:val="center"/>
              <w:rPr>
                <w:rFonts w:ascii="仿宋" w:hAnsi="仿宋" w:eastAsia="仿宋"/>
                <w:sz w:val="24"/>
              </w:rPr>
            </w:pPr>
            <w:r>
              <w:rPr>
                <w:rFonts w:hint="eastAsia" w:ascii="仿宋" w:hAnsi="仿宋" w:eastAsia="仿宋"/>
                <w:sz w:val="24"/>
              </w:rPr>
              <w:t>3</w:t>
            </w:r>
          </w:p>
        </w:tc>
        <w:tc>
          <w:tcPr>
            <w:tcW w:w="1417" w:type="dxa"/>
            <w:vAlign w:val="center"/>
          </w:tcPr>
          <w:p>
            <w:pPr>
              <w:spacing w:line="400" w:lineRule="exac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275" w:type="dxa"/>
            <w:vAlign w:val="center"/>
          </w:tcPr>
          <w:p>
            <w:pPr>
              <w:spacing w:line="400" w:lineRule="exact"/>
              <w:jc w:val="left"/>
              <w:rPr>
                <w:rFonts w:ascii="Arial" w:hAnsi="Arial" w:eastAsia="仿宋" w:cs="Arial"/>
                <w:sz w:val="24"/>
              </w:rPr>
            </w:pPr>
          </w:p>
        </w:tc>
        <w:tc>
          <w:tcPr>
            <w:tcW w:w="1754" w:type="dxa"/>
            <w:vAlign w:val="center"/>
          </w:tcPr>
          <w:p>
            <w:pPr>
              <w:spacing w:line="40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spacing w:line="400" w:lineRule="exact"/>
              <w:jc w:val="center"/>
              <w:rPr>
                <w:rFonts w:ascii="仿宋" w:hAnsi="仿宋" w:eastAsia="仿宋"/>
                <w:sz w:val="24"/>
              </w:rPr>
            </w:pPr>
            <w:r>
              <w:rPr>
                <w:rFonts w:hint="eastAsia" w:ascii="仿宋" w:hAnsi="仿宋" w:eastAsia="仿宋"/>
                <w:sz w:val="24"/>
              </w:rPr>
              <w:t>4</w:t>
            </w:r>
          </w:p>
        </w:tc>
        <w:tc>
          <w:tcPr>
            <w:tcW w:w="1417" w:type="dxa"/>
            <w:vAlign w:val="center"/>
          </w:tcPr>
          <w:p>
            <w:pPr>
              <w:spacing w:line="400" w:lineRule="exac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275" w:type="dxa"/>
            <w:vAlign w:val="center"/>
          </w:tcPr>
          <w:p>
            <w:pPr>
              <w:spacing w:line="400" w:lineRule="exact"/>
              <w:jc w:val="left"/>
              <w:rPr>
                <w:rFonts w:ascii="Arial" w:hAnsi="Arial" w:eastAsia="仿宋" w:cs="Arial"/>
                <w:sz w:val="24"/>
              </w:rPr>
            </w:pPr>
          </w:p>
        </w:tc>
        <w:tc>
          <w:tcPr>
            <w:tcW w:w="1754" w:type="dxa"/>
            <w:vAlign w:val="center"/>
          </w:tcPr>
          <w:p>
            <w:pPr>
              <w:spacing w:line="40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896" w:type="dxa"/>
            <w:vAlign w:val="center"/>
          </w:tcPr>
          <w:p>
            <w:pPr>
              <w:spacing w:line="400" w:lineRule="exact"/>
              <w:jc w:val="center"/>
              <w:rPr>
                <w:rFonts w:ascii="仿宋" w:hAnsi="仿宋" w:eastAsia="仿宋"/>
                <w:sz w:val="24"/>
              </w:rPr>
            </w:pPr>
            <w:r>
              <w:rPr>
                <w:rFonts w:hint="eastAsia" w:ascii="仿宋" w:hAnsi="仿宋" w:eastAsia="仿宋"/>
                <w:sz w:val="24"/>
              </w:rPr>
              <w:t>5</w:t>
            </w:r>
          </w:p>
        </w:tc>
        <w:tc>
          <w:tcPr>
            <w:tcW w:w="1417" w:type="dxa"/>
            <w:vAlign w:val="center"/>
          </w:tcPr>
          <w:p>
            <w:pPr>
              <w:spacing w:line="400" w:lineRule="exac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843" w:type="dxa"/>
            <w:vAlign w:val="center"/>
          </w:tcPr>
          <w:p>
            <w:pPr>
              <w:spacing w:line="400" w:lineRule="exact"/>
              <w:jc w:val="left"/>
              <w:rPr>
                <w:rFonts w:ascii="仿宋" w:hAnsi="仿宋" w:eastAsia="仿宋"/>
                <w:sz w:val="28"/>
                <w:szCs w:val="28"/>
              </w:rPr>
            </w:pPr>
          </w:p>
        </w:tc>
        <w:tc>
          <w:tcPr>
            <w:tcW w:w="1275" w:type="dxa"/>
            <w:vAlign w:val="center"/>
          </w:tcPr>
          <w:p>
            <w:pPr>
              <w:spacing w:line="400" w:lineRule="exact"/>
              <w:jc w:val="left"/>
              <w:rPr>
                <w:rFonts w:ascii="Arial" w:hAnsi="Arial" w:eastAsia="仿宋" w:cs="Arial"/>
                <w:sz w:val="24"/>
              </w:rPr>
            </w:pPr>
          </w:p>
        </w:tc>
        <w:tc>
          <w:tcPr>
            <w:tcW w:w="1754" w:type="dxa"/>
            <w:vAlign w:val="center"/>
          </w:tcPr>
          <w:p>
            <w:pPr>
              <w:spacing w:line="400" w:lineRule="exact"/>
              <w:jc w:val="left"/>
              <w:rPr>
                <w:rFonts w:ascii="仿宋" w:hAnsi="仿宋" w:eastAsia="仿宋"/>
                <w:sz w:val="24"/>
              </w:rPr>
            </w:pPr>
          </w:p>
        </w:tc>
      </w:tr>
    </w:tbl>
    <w:p>
      <w:pPr>
        <w:rPr>
          <w:rFonts w:ascii="仿宋" w:hAnsi="仿宋" w:eastAsia="仿宋"/>
          <w:sz w:val="28"/>
          <w:szCs w:val="28"/>
        </w:rPr>
      </w:pPr>
    </w:p>
    <w:p>
      <w:pPr>
        <w:wordWrap w:val="0"/>
        <w:spacing w:line="360" w:lineRule="auto"/>
        <w:ind w:firstLine="562" w:firstLineChars="200"/>
        <w:jc w:val="right"/>
        <w:rPr>
          <w:rFonts w:ascii="Times New Roman" w:hAnsi="Times New Roman" w:eastAsia="仿宋"/>
          <w:b/>
          <w:sz w:val="28"/>
          <w:szCs w:val="28"/>
        </w:rPr>
      </w:pPr>
      <w:r>
        <w:rPr>
          <w:rFonts w:ascii="Times New Roman" w:hAnsi="仿宋" w:eastAsia="仿宋"/>
          <w:b/>
          <w:sz w:val="28"/>
          <w:szCs w:val="28"/>
          <w:highlight w:val="none"/>
        </w:rPr>
        <w:t>《》起草组</w:t>
      </w:r>
      <w:r>
        <w:rPr>
          <w:rFonts w:ascii="Times New Roman" w:hAnsi="Times New Roman" w:eastAsia="仿宋"/>
          <w:b/>
          <w:sz w:val="28"/>
          <w:szCs w:val="28"/>
          <w:highlight w:val="none"/>
        </w:rPr>
        <w:t xml:space="preserve"> </w:t>
      </w:r>
      <w:r>
        <w:rPr>
          <w:rFonts w:ascii="Times New Roman" w:hAnsi="Times New Roman" w:eastAsia="仿宋"/>
          <w:b/>
          <w:sz w:val="28"/>
          <w:szCs w:val="28"/>
        </w:rPr>
        <w:t xml:space="preserve"> </w:t>
      </w:r>
    </w:p>
    <w:p>
      <w:pPr>
        <w:rPr>
          <w:rFonts w:ascii="仿宋" w:hAnsi="仿宋" w:eastAsia="仿宋"/>
          <w:sz w:val="28"/>
          <w:szCs w:val="28"/>
        </w:rPr>
      </w:pPr>
      <w:r>
        <w:rPr>
          <w:rFonts w:ascii="Times New Roman" w:hAnsi="Times New Roman" w:eastAsia="仿宋"/>
          <w:b/>
          <w:sz w:val="28"/>
          <w:szCs w:val="28"/>
        </w:rPr>
        <w:t xml:space="preserve">                                                  </w:t>
      </w:r>
      <w:r>
        <w:rPr>
          <w:rFonts w:ascii="Times New Roman" w:hAnsi="仿宋" w:eastAsia="仿宋"/>
          <w:b/>
          <w:sz w:val="28"/>
          <w:szCs w:val="28"/>
        </w:rPr>
        <w:t>年月日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imes New Roman Regular">
    <w:altName w:val="Times New Roman"/>
    <w:panose1 w:val="02020603050405020304"/>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546B5A"/>
    <w:multiLevelType w:val="singleLevel"/>
    <w:tmpl w:val="B3546B5A"/>
    <w:lvl w:ilvl="0" w:tentative="0">
      <w:start w:val="1"/>
      <w:numFmt w:val="decimal"/>
      <w:suff w:val="nothing"/>
      <w:lvlText w:val="（%1）"/>
      <w:lvlJc w:val="left"/>
    </w:lvl>
  </w:abstractNum>
  <w:abstractNum w:abstractNumId="1">
    <w:nsid w:val="646260FA"/>
    <w:multiLevelType w:val="multilevel"/>
    <w:tmpl w:val="646260FA"/>
    <w:lvl w:ilvl="0" w:tentative="0">
      <w:start w:val="1"/>
      <w:numFmt w:val="decimal"/>
      <w:pStyle w:val="2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9"/>
      <w:suff w:val="nothing"/>
      <w:lvlText w:val="%1%2　"/>
      <w:lvlJc w:val="left"/>
      <w:pPr>
        <w:ind w:left="0" w:firstLine="0"/>
      </w:pPr>
      <w:rPr>
        <w:rFonts w:hint="eastAsia" w:ascii="黑体" w:eastAsia="黑体"/>
        <w:b w:val="0"/>
        <w:i w:val="0"/>
        <w:sz w:val="21"/>
      </w:rPr>
    </w:lvl>
    <w:lvl w:ilvl="2" w:tentative="0">
      <w:start w:val="1"/>
      <w:numFmt w:val="decimal"/>
      <w:pStyle w:val="20"/>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21"/>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iYjliNTIwYWUxZWFjNGFlYTA1NmQzNGFlNzc3MDQifQ=="/>
  </w:docVars>
  <w:rsids>
    <w:rsidRoot w:val="000B67F0"/>
    <w:rsid w:val="0000005D"/>
    <w:rsid w:val="00001A87"/>
    <w:rsid w:val="000040D0"/>
    <w:rsid w:val="00005414"/>
    <w:rsid w:val="0000562B"/>
    <w:rsid w:val="00006B78"/>
    <w:rsid w:val="000071A6"/>
    <w:rsid w:val="0000721A"/>
    <w:rsid w:val="00012121"/>
    <w:rsid w:val="0001753B"/>
    <w:rsid w:val="000210DD"/>
    <w:rsid w:val="000223B0"/>
    <w:rsid w:val="0002293A"/>
    <w:rsid w:val="000308D8"/>
    <w:rsid w:val="00031544"/>
    <w:rsid w:val="00032DC9"/>
    <w:rsid w:val="00033218"/>
    <w:rsid w:val="0003323D"/>
    <w:rsid w:val="0003329D"/>
    <w:rsid w:val="000411CB"/>
    <w:rsid w:val="0004120B"/>
    <w:rsid w:val="00044938"/>
    <w:rsid w:val="00045AEF"/>
    <w:rsid w:val="00045CB9"/>
    <w:rsid w:val="000500FC"/>
    <w:rsid w:val="00050A84"/>
    <w:rsid w:val="00052FA7"/>
    <w:rsid w:val="00055D9D"/>
    <w:rsid w:val="00056D20"/>
    <w:rsid w:val="00057EA5"/>
    <w:rsid w:val="0006044B"/>
    <w:rsid w:val="00060623"/>
    <w:rsid w:val="00060BB1"/>
    <w:rsid w:val="0006174A"/>
    <w:rsid w:val="00063360"/>
    <w:rsid w:val="00072911"/>
    <w:rsid w:val="00072C4D"/>
    <w:rsid w:val="0007379E"/>
    <w:rsid w:val="00073AEB"/>
    <w:rsid w:val="000745DC"/>
    <w:rsid w:val="00076C3F"/>
    <w:rsid w:val="00077914"/>
    <w:rsid w:val="00080D5B"/>
    <w:rsid w:val="00083FEF"/>
    <w:rsid w:val="00086FE3"/>
    <w:rsid w:val="00092DB8"/>
    <w:rsid w:val="00095602"/>
    <w:rsid w:val="00096223"/>
    <w:rsid w:val="000A1E07"/>
    <w:rsid w:val="000A2AD4"/>
    <w:rsid w:val="000A5629"/>
    <w:rsid w:val="000A5C8C"/>
    <w:rsid w:val="000A6F89"/>
    <w:rsid w:val="000A7420"/>
    <w:rsid w:val="000B03C8"/>
    <w:rsid w:val="000B1C90"/>
    <w:rsid w:val="000B1FC0"/>
    <w:rsid w:val="000B2531"/>
    <w:rsid w:val="000B28C1"/>
    <w:rsid w:val="000B4A7F"/>
    <w:rsid w:val="000B52D6"/>
    <w:rsid w:val="000B65E3"/>
    <w:rsid w:val="000B67F0"/>
    <w:rsid w:val="000B72F3"/>
    <w:rsid w:val="000C0D9C"/>
    <w:rsid w:val="000C188C"/>
    <w:rsid w:val="000C576A"/>
    <w:rsid w:val="000C5C97"/>
    <w:rsid w:val="000C5E00"/>
    <w:rsid w:val="000C6DF6"/>
    <w:rsid w:val="000D0577"/>
    <w:rsid w:val="000D2987"/>
    <w:rsid w:val="000D3ADB"/>
    <w:rsid w:val="000D470C"/>
    <w:rsid w:val="000D471A"/>
    <w:rsid w:val="000D5EA8"/>
    <w:rsid w:val="000D6BC2"/>
    <w:rsid w:val="000D717B"/>
    <w:rsid w:val="000E0072"/>
    <w:rsid w:val="000E3902"/>
    <w:rsid w:val="000E5419"/>
    <w:rsid w:val="000E6BF8"/>
    <w:rsid w:val="000E77E7"/>
    <w:rsid w:val="000F0167"/>
    <w:rsid w:val="000F0E29"/>
    <w:rsid w:val="000F0EE0"/>
    <w:rsid w:val="000F28EC"/>
    <w:rsid w:val="000F322B"/>
    <w:rsid w:val="000F6698"/>
    <w:rsid w:val="00100B55"/>
    <w:rsid w:val="00104873"/>
    <w:rsid w:val="00106C55"/>
    <w:rsid w:val="00107F18"/>
    <w:rsid w:val="00110990"/>
    <w:rsid w:val="00110FDE"/>
    <w:rsid w:val="0011250C"/>
    <w:rsid w:val="00115553"/>
    <w:rsid w:val="00117E52"/>
    <w:rsid w:val="0012117B"/>
    <w:rsid w:val="0012294F"/>
    <w:rsid w:val="0013511E"/>
    <w:rsid w:val="00141D2E"/>
    <w:rsid w:val="00142C07"/>
    <w:rsid w:val="001430A5"/>
    <w:rsid w:val="00143B5D"/>
    <w:rsid w:val="001454A6"/>
    <w:rsid w:val="0014630A"/>
    <w:rsid w:val="00147642"/>
    <w:rsid w:val="00147EC0"/>
    <w:rsid w:val="00152E30"/>
    <w:rsid w:val="0015382B"/>
    <w:rsid w:val="00155715"/>
    <w:rsid w:val="001578E0"/>
    <w:rsid w:val="00163D50"/>
    <w:rsid w:val="00172151"/>
    <w:rsid w:val="00172266"/>
    <w:rsid w:val="00173D61"/>
    <w:rsid w:val="00176AEF"/>
    <w:rsid w:val="00177726"/>
    <w:rsid w:val="00177DFA"/>
    <w:rsid w:val="001816D0"/>
    <w:rsid w:val="0018194A"/>
    <w:rsid w:val="00182A15"/>
    <w:rsid w:val="001906BE"/>
    <w:rsid w:val="00193609"/>
    <w:rsid w:val="0019389E"/>
    <w:rsid w:val="001940C1"/>
    <w:rsid w:val="001955EF"/>
    <w:rsid w:val="001A04FB"/>
    <w:rsid w:val="001A1B42"/>
    <w:rsid w:val="001A3810"/>
    <w:rsid w:val="001A3C19"/>
    <w:rsid w:val="001A4D20"/>
    <w:rsid w:val="001B1E1E"/>
    <w:rsid w:val="001B33FD"/>
    <w:rsid w:val="001B3A96"/>
    <w:rsid w:val="001C2F48"/>
    <w:rsid w:val="001C627D"/>
    <w:rsid w:val="001D44CE"/>
    <w:rsid w:val="001D7E9D"/>
    <w:rsid w:val="001E44CB"/>
    <w:rsid w:val="001E4E59"/>
    <w:rsid w:val="001E4F13"/>
    <w:rsid w:val="001E5BB8"/>
    <w:rsid w:val="001E7264"/>
    <w:rsid w:val="001E748C"/>
    <w:rsid w:val="001E77A7"/>
    <w:rsid w:val="001F2820"/>
    <w:rsid w:val="001F2CBD"/>
    <w:rsid w:val="001F32F1"/>
    <w:rsid w:val="001F6CBD"/>
    <w:rsid w:val="00203D68"/>
    <w:rsid w:val="002047DA"/>
    <w:rsid w:val="0020499C"/>
    <w:rsid w:val="0020517C"/>
    <w:rsid w:val="00205AA6"/>
    <w:rsid w:val="00205C0C"/>
    <w:rsid w:val="00206E20"/>
    <w:rsid w:val="00212CE0"/>
    <w:rsid w:val="0021388A"/>
    <w:rsid w:val="00213D26"/>
    <w:rsid w:val="00223320"/>
    <w:rsid w:val="00224115"/>
    <w:rsid w:val="002278A4"/>
    <w:rsid w:val="0023077F"/>
    <w:rsid w:val="0023177F"/>
    <w:rsid w:val="002357AA"/>
    <w:rsid w:val="0024066C"/>
    <w:rsid w:val="0024102B"/>
    <w:rsid w:val="002422DC"/>
    <w:rsid w:val="00242C90"/>
    <w:rsid w:val="00243443"/>
    <w:rsid w:val="002479E6"/>
    <w:rsid w:val="00247D50"/>
    <w:rsid w:val="002533B7"/>
    <w:rsid w:val="00253BD1"/>
    <w:rsid w:val="00253FC7"/>
    <w:rsid w:val="0025487C"/>
    <w:rsid w:val="002560D4"/>
    <w:rsid w:val="00256C72"/>
    <w:rsid w:val="0026318B"/>
    <w:rsid w:val="0026362D"/>
    <w:rsid w:val="00270008"/>
    <w:rsid w:val="002729E6"/>
    <w:rsid w:val="00275B3D"/>
    <w:rsid w:val="00277A36"/>
    <w:rsid w:val="002808AF"/>
    <w:rsid w:val="002812C0"/>
    <w:rsid w:val="0028357F"/>
    <w:rsid w:val="00283CF2"/>
    <w:rsid w:val="00286CF7"/>
    <w:rsid w:val="0029058F"/>
    <w:rsid w:val="002922BC"/>
    <w:rsid w:val="00292DF2"/>
    <w:rsid w:val="00293124"/>
    <w:rsid w:val="00294F39"/>
    <w:rsid w:val="0029614D"/>
    <w:rsid w:val="002971FE"/>
    <w:rsid w:val="002A0F8E"/>
    <w:rsid w:val="002A2A57"/>
    <w:rsid w:val="002A5F31"/>
    <w:rsid w:val="002A686E"/>
    <w:rsid w:val="002A75BE"/>
    <w:rsid w:val="002B442F"/>
    <w:rsid w:val="002B524C"/>
    <w:rsid w:val="002B5626"/>
    <w:rsid w:val="002B62DD"/>
    <w:rsid w:val="002C2397"/>
    <w:rsid w:val="002C2C08"/>
    <w:rsid w:val="002C420E"/>
    <w:rsid w:val="002C4279"/>
    <w:rsid w:val="002C7614"/>
    <w:rsid w:val="002C7B0B"/>
    <w:rsid w:val="002D0F20"/>
    <w:rsid w:val="002D1DC3"/>
    <w:rsid w:val="002D2AE8"/>
    <w:rsid w:val="002D3471"/>
    <w:rsid w:val="002D5BC2"/>
    <w:rsid w:val="002D6FC7"/>
    <w:rsid w:val="002E0636"/>
    <w:rsid w:val="002E34EF"/>
    <w:rsid w:val="002E41E8"/>
    <w:rsid w:val="002E7093"/>
    <w:rsid w:val="002F2563"/>
    <w:rsid w:val="002F2687"/>
    <w:rsid w:val="002F3B71"/>
    <w:rsid w:val="002F49BE"/>
    <w:rsid w:val="002F6B5A"/>
    <w:rsid w:val="002F73C5"/>
    <w:rsid w:val="00300841"/>
    <w:rsid w:val="00302950"/>
    <w:rsid w:val="00303C1B"/>
    <w:rsid w:val="00303FC7"/>
    <w:rsid w:val="00313C01"/>
    <w:rsid w:val="00315D64"/>
    <w:rsid w:val="0031707A"/>
    <w:rsid w:val="003204B2"/>
    <w:rsid w:val="003218D0"/>
    <w:rsid w:val="0032281C"/>
    <w:rsid w:val="003265D9"/>
    <w:rsid w:val="00332833"/>
    <w:rsid w:val="00335066"/>
    <w:rsid w:val="00335363"/>
    <w:rsid w:val="0033551B"/>
    <w:rsid w:val="00335959"/>
    <w:rsid w:val="00343196"/>
    <w:rsid w:val="00343CDF"/>
    <w:rsid w:val="00346893"/>
    <w:rsid w:val="00347507"/>
    <w:rsid w:val="00352C5D"/>
    <w:rsid w:val="0035750A"/>
    <w:rsid w:val="00357601"/>
    <w:rsid w:val="00361E07"/>
    <w:rsid w:val="00363155"/>
    <w:rsid w:val="00363D33"/>
    <w:rsid w:val="00364257"/>
    <w:rsid w:val="00364A96"/>
    <w:rsid w:val="00366512"/>
    <w:rsid w:val="003675E1"/>
    <w:rsid w:val="003713E4"/>
    <w:rsid w:val="003779C7"/>
    <w:rsid w:val="00380D7E"/>
    <w:rsid w:val="00380D99"/>
    <w:rsid w:val="00381C37"/>
    <w:rsid w:val="0038386B"/>
    <w:rsid w:val="00383C24"/>
    <w:rsid w:val="00385315"/>
    <w:rsid w:val="0038563A"/>
    <w:rsid w:val="00385C70"/>
    <w:rsid w:val="00386ABB"/>
    <w:rsid w:val="00386D3D"/>
    <w:rsid w:val="00390B63"/>
    <w:rsid w:val="0039195E"/>
    <w:rsid w:val="0039331E"/>
    <w:rsid w:val="00393FA8"/>
    <w:rsid w:val="00397D4C"/>
    <w:rsid w:val="003A11DF"/>
    <w:rsid w:val="003A1812"/>
    <w:rsid w:val="003A22D4"/>
    <w:rsid w:val="003A2A1A"/>
    <w:rsid w:val="003A4F50"/>
    <w:rsid w:val="003A59AD"/>
    <w:rsid w:val="003A780F"/>
    <w:rsid w:val="003A7835"/>
    <w:rsid w:val="003B5B7D"/>
    <w:rsid w:val="003B6BFB"/>
    <w:rsid w:val="003B6DDD"/>
    <w:rsid w:val="003C0C0E"/>
    <w:rsid w:val="003C1F11"/>
    <w:rsid w:val="003C1FA5"/>
    <w:rsid w:val="003C489E"/>
    <w:rsid w:val="003C49C2"/>
    <w:rsid w:val="003C4F6B"/>
    <w:rsid w:val="003D1A21"/>
    <w:rsid w:val="003D2A6F"/>
    <w:rsid w:val="003D2E23"/>
    <w:rsid w:val="003D4228"/>
    <w:rsid w:val="003D56EC"/>
    <w:rsid w:val="003D7759"/>
    <w:rsid w:val="003E21C6"/>
    <w:rsid w:val="003E2578"/>
    <w:rsid w:val="003E2886"/>
    <w:rsid w:val="003E2C45"/>
    <w:rsid w:val="003E3A62"/>
    <w:rsid w:val="003E55A3"/>
    <w:rsid w:val="003E62EC"/>
    <w:rsid w:val="003E78B8"/>
    <w:rsid w:val="003F0B72"/>
    <w:rsid w:val="003F205D"/>
    <w:rsid w:val="003F243E"/>
    <w:rsid w:val="003F2D86"/>
    <w:rsid w:val="003F3143"/>
    <w:rsid w:val="003F394B"/>
    <w:rsid w:val="0040026D"/>
    <w:rsid w:val="004029A1"/>
    <w:rsid w:val="00405606"/>
    <w:rsid w:val="004058DD"/>
    <w:rsid w:val="00410738"/>
    <w:rsid w:val="00412DA0"/>
    <w:rsid w:val="00414890"/>
    <w:rsid w:val="00414A63"/>
    <w:rsid w:val="00414A8F"/>
    <w:rsid w:val="00416D47"/>
    <w:rsid w:val="00416DC5"/>
    <w:rsid w:val="004171C3"/>
    <w:rsid w:val="00423C28"/>
    <w:rsid w:val="00427ECD"/>
    <w:rsid w:val="004327E0"/>
    <w:rsid w:val="004335C0"/>
    <w:rsid w:val="004343DA"/>
    <w:rsid w:val="00435C80"/>
    <w:rsid w:val="004364AD"/>
    <w:rsid w:val="00436A9E"/>
    <w:rsid w:val="00436ADD"/>
    <w:rsid w:val="00436CFD"/>
    <w:rsid w:val="00437D14"/>
    <w:rsid w:val="00441EE8"/>
    <w:rsid w:val="0044251A"/>
    <w:rsid w:val="00446A0A"/>
    <w:rsid w:val="00446D76"/>
    <w:rsid w:val="00446DBB"/>
    <w:rsid w:val="00450963"/>
    <w:rsid w:val="00450B2A"/>
    <w:rsid w:val="00450F24"/>
    <w:rsid w:val="00452440"/>
    <w:rsid w:val="004540DF"/>
    <w:rsid w:val="00454197"/>
    <w:rsid w:val="00461641"/>
    <w:rsid w:val="0046284F"/>
    <w:rsid w:val="00463AC4"/>
    <w:rsid w:val="00464EBD"/>
    <w:rsid w:val="00465786"/>
    <w:rsid w:val="0046607C"/>
    <w:rsid w:val="00467A57"/>
    <w:rsid w:val="00470D85"/>
    <w:rsid w:val="004725D1"/>
    <w:rsid w:val="00473133"/>
    <w:rsid w:val="0047584E"/>
    <w:rsid w:val="00475974"/>
    <w:rsid w:val="00477700"/>
    <w:rsid w:val="00480E2C"/>
    <w:rsid w:val="00481E9F"/>
    <w:rsid w:val="00483D46"/>
    <w:rsid w:val="004878B4"/>
    <w:rsid w:val="00490F87"/>
    <w:rsid w:val="004926FF"/>
    <w:rsid w:val="00492B46"/>
    <w:rsid w:val="004934E1"/>
    <w:rsid w:val="00493AE5"/>
    <w:rsid w:val="00493CC3"/>
    <w:rsid w:val="00493CDA"/>
    <w:rsid w:val="004A0746"/>
    <w:rsid w:val="004A2516"/>
    <w:rsid w:val="004A4BAB"/>
    <w:rsid w:val="004A585F"/>
    <w:rsid w:val="004A74E2"/>
    <w:rsid w:val="004B4B78"/>
    <w:rsid w:val="004B7467"/>
    <w:rsid w:val="004B7EA8"/>
    <w:rsid w:val="004C0344"/>
    <w:rsid w:val="004C3006"/>
    <w:rsid w:val="004C5241"/>
    <w:rsid w:val="004C7778"/>
    <w:rsid w:val="004D1C5F"/>
    <w:rsid w:val="004D4F6C"/>
    <w:rsid w:val="004E0BCE"/>
    <w:rsid w:val="004E2ACA"/>
    <w:rsid w:val="004E5D40"/>
    <w:rsid w:val="004E6C65"/>
    <w:rsid w:val="004E6DE7"/>
    <w:rsid w:val="004F44AD"/>
    <w:rsid w:val="004F474D"/>
    <w:rsid w:val="00501BC9"/>
    <w:rsid w:val="00503729"/>
    <w:rsid w:val="00504384"/>
    <w:rsid w:val="0050485C"/>
    <w:rsid w:val="00505D91"/>
    <w:rsid w:val="00505EB0"/>
    <w:rsid w:val="00510345"/>
    <w:rsid w:val="00513A30"/>
    <w:rsid w:val="00515529"/>
    <w:rsid w:val="00516539"/>
    <w:rsid w:val="00516AD4"/>
    <w:rsid w:val="00517BB8"/>
    <w:rsid w:val="0052084A"/>
    <w:rsid w:val="00521501"/>
    <w:rsid w:val="00522EC8"/>
    <w:rsid w:val="0052563E"/>
    <w:rsid w:val="005258D2"/>
    <w:rsid w:val="00534925"/>
    <w:rsid w:val="00534FC4"/>
    <w:rsid w:val="00536636"/>
    <w:rsid w:val="00542C8B"/>
    <w:rsid w:val="00544BC5"/>
    <w:rsid w:val="0054546F"/>
    <w:rsid w:val="0054642E"/>
    <w:rsid w:val="00546C87"/>
    <w:rsid w:val="005518FC"/>
    <w:rsid w:val="00553180"/>
    <w:rsid w:val="00555570"/>
    <w:rsid w:val="00555CBA"/>
    <w:rsid w:val="00566AC4"/>
    <w:rsid w:val="005742C3"/>
    <w:rsid w:val="00576E7E"/>
    <w:rsid w:val="00581446"/>
    <w:rsid w:val="005835CF"/>
    <w:rsid w:val="00585EE5"/>
    <w:rsid w:val="00590A53"/>
    <w:rsid w:val="00595500"/>
    <w:rsid w:val="005955E8"/>
    <w:rsid w:val="005963BE"/>
    <w:rsid w:val="005966BB"/>
    <w:rsid w:val="005967AC"/>
    <w:rsid w:val="005A1818"/>
    <w:rsid w:val="005A1A4F"/>
    <w:rsid w:val="005A2222"/>
    <w:rsid w:val="005A3094"/>
    <w:rsid w:val="005A3D75"/>
    <w:rsid w:val="005A4FE5"/>
    <w:rsid w:val="005A5C3F"/>
    <w:rsid w:val="005A7FCA"/>
    <w:rsid w:val="005B11A9"/>
    <w:rsid w:val="005B2950"/>
    <w:rsid w:val="005C0D05"/>
    <w:rsid w:val="005C6D41"/>
    <w:rsid w:val="005D02A4"/>
    <w:rsid w:val="005D31FC"/>
    <w:rsid w:val="005D4362"/>
    <w:rsid w:val="005D5A4D"/>
    <w:rsid w:val="005E0CF8"/>
    <w:rsid w:val="005E1961"/>
    <w:rsid w:val="005E2A91"/>
    <w:rsid w:val="005E3905"/>
    <w:rsid w:val="005E449A"/>
    <w:rsid w:val="005E4E05"/>
    <w:rsid w:val="005E5452"/>
    <w:rsid w:val="005E7C73"/>
    <w:rsid w:val="005E7E72"/>
    <w:rsid w:val="005F1146"/>
    <w:rsid w:val="005F6525"/>
    <w:rsid w:val="005F7647"/>
    <w:rsid w:val="005F7E62"/>
    <w:rsid w:val="00600EF3"/>
    <w:rsid w:val="006019C0"/>
    <w:rsid w:val="00601EC1"/>
    <w:rsid w:val="00601F41"/>
    <w:rsid w:val="006053CB"/>
    <w:rsid w:val="0060554C"/>
    <w:rsid w:val="00605D29"/>
    <w:rsid w:val="00606621"/>
    <w:rsid w:val="00606F54"/>
    <w:rsid w:val="00607E40"/>
    <w:rsid w:val="00611FBE"/>
    <w:rsid w:val="00613C85"/>
    <w:rsid w:val="00614AC8"/>
    <w:rsid w:val="00616535"/>
    <w:rsid w:val="006200E3"/>
    <w:rsid w:val="00623618"/>
    <w:rsid w:val="00624855"/>
    <w:rsid w:val="0062488E"/>
    <w:rsid w:val="006263E1"/>
    <w:rsid w:val="00626934"/>
    <w:rsid w:val="00627475"/>
    <w:rsid w:val="0063798B"/>
    <w:rsid w:val="00637C4A"/>
    <w:rsid w:val="0064172A"/>
    <w:rsid w:val="00641B20"/>
    <w:rsid w:val="00644DD1"/>
    <w:rsid w:val="0064535C"/>
    <w:rsid w:val="00647BFC"/>
    <w:rsid w:val="006536D7"/>
    <w:rsid w:val="006546A3"/>
    <w:rsid w:val="00656119"/>
    <w:rsid w:val="00660433"/>
    <w:rsid w:val="00661013"/>
    <w:rsid w:val="00662DA7"/>
    <w:rsid w:val="00662E22"/>
    <w:rsid w:val="00664695"/>
    <w:rsid w:val="00665CD1"/>
    <w:rsid w:val="00667166"/>
    <w:rsid w:val="00670D09"/>
    <w:rsid w:val="00672626"/>
    <w:rsid w:val="00672F4D"/>
    <w:rsid w:val="0067389F"/>
    <w:rsid w:val="006749E0"/>
    <w:rsid w:val="006749E8"/>
    <w:rsid w:val="00677756"/>
    <w:rsid w:val="00681829"/>
    <w:rsid w:val="00682126"/>
    <w:rsid w:val="006850F4"/>
    <w:rsid w:val="00685C8A"/>
    <w:rsid w:val="0069014D"/>
    <w:rsid w:val="00693C26"/>
    <w:rsid w:val="006A04D4"/>
    <w:rsid w:val="006A32BF"/>
    <w:rsid w:val="006A39F1"/>
    <w:rsid w:val="006A472D"/>
    <w:rsid w:val="006A4B9D"/>
    <w:rsid w:val="006A5155"/>
    <w:rsid w:val="006A607D"/>
    <w:rsid w:val="006A67A3"/>
    <w:rsid w:val="006B07B9"/>
    <w:rsid w:val="006B0FCA"/>
    <w:rsid w:val="006B10CE"/>
    <w:rsid w:val="006B395B"/>
    <w:rsid w:val="006B3EA8"/>
    <w:rsid w:val="006B446C"/>
    <w:rsid w:val="006B4BFC"/>
    <w:rsid w:val="006C4315"/>
    <w:rsid w:val="006C5FCF"/>
    <w:rsid w:val="006C6279"/>
    <w:rsid w:val="006D27EA"/>
    <w:rsid w:val="006D45E2"/>
    <w:rsid w:val="006D59E3"/>
    <w:rsid w:val="006D5BCC"/>
    <w:rsid w:val="006D5DCB"/>
    <w:rsid w:val="006E1B46"/>
    <w:rsid w:val="006E3368"/>
    <w:rsid w:val="006E3AA9"/>
    <w:rsid w:val="006E4CEA"/>
    <w:rsid w:val="006E52E9"/>
    <w:rsid w:val="006E6E1E"/>
    <w:rsid w:val="006F05AB"/>
    <w:rsid w:val="006F2F92"/>
    <w:rsid w:val="006F5454"/>
    <w:rsid w:val="006F7373"/>
    <w:rsid w:val="007010A4"/>
    <w:rsid w:val="00701ED3"/>
    <w:rsid w:val="00703B44"/>
    <w:rsid w:val="00703EF4"/>
    <w:rsid w:val="00706CA0"/>
    <w:rsid w:val="0071139C"/>
    <w:rsid w:val="00713213"/>
    <w:rsid w:val="0071691B"/>
    <w:rsid w:val="00716C35"/>
    <w:rsid w:val="00721360"/>
    <w:rsid w:val="007266F5"/>
    <w:rsid w:val="007278B3"/>
    <w:rsid w:val="00727C34"/>
    <w:rsid w:val="00733371"/>
    <w:rsid w:val="00733E90"/>
    <w:rsid w:val="00735172"/>
    <w:rsid w:val="00735F14"/>
    <w:rsid w:val="00736AFE"/>
    <w:rsid w:val="00737618"/>
    <w:rsid w:val="00737DC2"/>
    <w:rsid w:val="0074056A"/>
    <w:rsid w:val="007418F2"/>
    <w:rsid w:val="00741B3C"/>
    <w:rsid w:val="00742C8A"/>
    <w:rsid w:val="007435CA"/>
    <w:rsid w:val="00751CB9"/>
    <w:rsid w:val="007522DB"/>
    <w:rsid w:val="00752B16"/>
    <w:rsid w:val="007530E9"/>
    <w:rsid w:val="00756C7A"/>
    <w:rsid w:val="00757A00"/>
    <w:rsid w:val="00757B2F"/>
    <w:rsid w:val="00762BF1"/>
    <w:rsid w:val="0076409E"/>
    <w:rsid w:val="00764612"/>
    <w:rsid w:val="0076542F"/>
    <w:rsid w:val="00765CC7"/>
    <w:rsid w:val="00765F0F"/>
    <w:rsid w:val="00771728"/>
    <w:rsid w:val="007723DA"/>
    <w:rsid w:val="007776F7"/>
    <w:rsid w:val="00780382"/>
    <w:rsid w:val="00782E42"/>
    <w:rsid w:val="0078423C"/>
    <w:rsid w:val="00786BF5"/>
    <w:rsid w:val="007903C8"/>
    <w:rsid w:val="007908A7"/>
    <w:rsid w:val="007916C2"/>
    <w:rsid w:val="007937D0"/>
    <w:rsid w:val="00794AB9"/>
    <w:rsid w:val="00795E68"/>
    <w:rsid w:val="007A09FD"/>
    <w:rsid w:val="007A15FF"/>
    <w:rsid w:val="007A25CE"/>
    <w:rsid w:val="007A5E8B"/>
    <w:rsid w:val="007B4B97"/>
    <w:rsid w:val="007B68EC"/>
    <w:rsid w:val="007B701A"/>
    <w:rsid w:val="007B76C9"/>
    <w:rsid w:val="007C16DE"/>
    <w:rsid w:val="007C349A"/>
    <w:rsid w:val="007C4FA2"/>
    <w:rsid w:val="007C744B"/>
    <w:rsid w:val="007C7854"/>
    <w:rsid w:val="007C7E2F"/>
    <w:rsid w:val="007C7F8C"/>
    <w:rsid w:val="007D2D20"/>
    <w:rsid w:val="007D54A6"/>
    <w:rsid w:val="007E00D7"/>
    <w:rsid w:val="007E0587"/>
    <w:rsid w:val="007E0F66"/>
    <w:rsid w:val="007E2004"/>
    <w:rsid w:val="007E24E2"/>
    <w:rsid w:val="007E3935"/>
    <w:rsid w:val="007E6E52"/>
    <w:rsid w:val="007F5634"/>
    <w:rsid w:val="007F67B0"/>
    <w:rsid w:val="007F77ED"/>
    <w:rsid w:val="00803816"/>
    <w:rsid w:val="00804900"/>
    <w:rsid w:val="00804D2D"/>
    <w:rsid w:val="00806418"/>
    <w:rsid w:val="008067B8"/>
    <w:rsid w:val="00807AB0"/>
    <w:rsid w:val="00810EF9"/>
    <w:rsid w:val="00812056"/>
    <w:rsid w:val="00816C68"/>
    <w:rsid w:val="00823FE7"/>
    <w:rsid w:val="00826EC8"/>
    <w:rsid w:val="0083691C"/>
    <w:rsid w:val="00836BC0"/>
    <w:rsid w:val="00837E21"/>
    <w:rsid w:val="00841AA5"/>
    <w:rsid w:val="00846560"/>
    <w:rsid w:val="0084699D"/>
    <w:rsid w:val="00850575"/>
    <w:rsid w:val="008506E9"/>
    <w:rsid w:val="00851F34"/>
    <w:rsid w:val="0086160D"/>
    <w:rsid w:val="00865324"/>
    <w:rsid w:val="008656A2"/>
    <w:rsid w:val="00865A5E"/>
    <w:rsid w:val="00870BEA"/>
    <w:rsid w:val="00871B98"/>
    <w:rsid w:val="008739C2"/>
    <w:rsid w:val="00876C10"/>
    <w:rsid w:val="0088015C"/>
    <w:rsid w:val="008845BC"/>
    <w:rsid w:val="00886EB5"/>
    <w:rsid w:val="00887A23"/>
    <w:rsid w:val="0089031D"/>
    <w:rsid w:val="008918D8"/>
    <w:rsid w:val="008A25B4"/>
    <w:rsid w:val="008A7359"/>
    <w:rsid w:val="008B13CB"/>
    <w:rsid w:val="008B3D32"/>
    <w:rsid w:val="008B4163"/>
    <w:rsid w:val="008B4F4C"/>
    <w:rsid w:val="008B5DBE"/>
    <w:rsid w:val="008B640D"/>
    <w:rsid w:val="008C01B8"/>
    <w:rsid w:val="008C1547"/>
    <w:rsid w:val="008C2BEA"/>
    <w:rsid w:val="008C417F"/>
    <w:rsid w:val="008C5756"/>
    <w:rsid w:val="008D038F"/>
    <w:rsid w:val="008D2F2C"/>
    <w:rsid w:val="008D467D"/>
    <w:rsid w:val="008D7BA5"/>
    <w:rsid w:val="008E0D10"/>
    <w:rsid w:val="008E25C2"/>
    <w:rsid w:val="008E2C37"/>
    <w:rsid w:val="008E391E"/>
    <w:rsid w:val="008E4602"/>
    <w:rsid w:val="008E66D3"/>
    <w:rsid w:val="008F1C33"/>
    <w:rsid w:val="008F21AB"/>
    <w:rsid w:val="008F491B"/>
    <w:rsid w:val="008F7471"/>
    <w:rsid w:val="00900C25"/>
    <w:rsid w:val="00906656"/>
    <w:rsid w:val="00913BB4"/>
    <w:rsid w:val="00916AB1"/>
    <w:rsid w:val="00916B4A"/>
    <w:rsid w:val="00916CAD"/>
    <w:rsid w:val="00923A17"/>
    <w:rsid w:val="00925E63"/>
    <w:rsid w:val="00930826"/>
    <w:rsid w:val="00931196"/>
    <w:rsid w:val="00932CA5"/>
    <w:rsid w:val="00933445"/>
    <w:rsid w:val="0093599A"/>
    <w:rsid w:val="00940FCB"/>
    <w:rsid w:val="00941C82"/>
    <w:rsid w:val="00941DDF"/>
    <w:rsid w:val="0094341F"/>
    <w:rsid w:val="009437B3"/>
    <w:rsid w:val="00943CB4"/>
    <w:rsid w:val="009443FB"/>
    <w:rsid w:val="00945645"/>
    <w:rsid w:val="00945C95"/>
    <w:rsid w:val="00950300"/>
    <w:rsid w:val="0095161D"/>
    <w:rsid w:val="00951EC8"/>
    <w:rsid w:val="00953879"/>
    <w:rsid w:val="0095480E"/>
    <w:rsid w:val="00956D31"/>
    <w:rsid w:val="00960A2F"/>
    <w:rsid w:val="0096254F"/>
    <w:rsid w:val="009669D2"/>
    <w:rsid w:val="00971D2D"/>
    <w:rsid w:val="00974DBD"/>
    <w:rsid w:val="00975210"/>
    <w:rsid w:val="0097636B"/>
    <w:rsid w:val="00980AEB"/>
    <w:rsid w:val="00982FEC"/>
    <w:rsid w:val="00984F93"/>
    <w:rsid w:val="00985E9A"/>
    <w:rsid w:val="00986360"/>
    <w:rsid w:val="009865D9"/>
    <w:rsid w:val="00986C25"/>
    <w:rsid w:val="00990EAE"/>
    <w:rsid w:val="009913CC"/>
    <w:rsid w:val="00991951"/>
    <w:rsid w:val="00992228"/>
    <w:rsid w:val="009966D8"/>
    <w:rsid w:val="00997582"/>
    <w:rsid w:val="009A5703"/>
    <w:rsid w:val="009A7A10"/>
    <w:rsid w:val="009B06B7"/>
    <w:rsid w:val="009B0A47"/>
    <w:rsid w:val="009B2125"/>
    <w:rsid w:val="009B2365"/>
    <w:rsid w:val="009B2369"/>
    <w:rsid w:val="009B3085"/>
    <w:rsid w:val="009B39DE"/>
    <w:rsid w:val="009B6940"/>
    <w:rsid w:val="009C1748"/>
    <w:rsid w:val="009C6697"/>
    <w:rsid w:val="009C7A7C"/>
    <w:rsid w:val="009D00A8"/>
    <w:rsid w:val="009D08FE"/>
    <w:rsid w:val="009D1BB1"/>
    <w:rsid w:val="009D2101"/>
    <w:rsid w:val="009D26FE"/>
    <w:rsid w:val="009D2F3E"/>
    <w:rsid w:val="009D312F"/>
    <w:rsid w:val="009D3F95"/>
    <w:rsid w:val="009E0F30"/>
    <w:rsid w:val="009E5395"/>
    <w:rsid w:val="009F067A"/>
    <w:rsid w:val="009F1949"/>
    <w:rsid w:val="009F5E53"/>
    <w:rsid w:val="009F7104"/>
    <w:rsid w:val="009F7D3A"/>
    <w:rsid w:val="00A00522"/>
    <w:rsid w:val="00A04957"/>
    <w:rsid w:val="00A04BDF"/>
    <w:rsid w:val="00A06BA6"/>
    <w:rsid w:val="00A06E89"/>
    <w:rsid w:val="00A11059"/>
    <w:rsid w:val="00A1391D"/>
    <w:rsid w:val="00A1569B"/>
    <w:rsid w:val="00A15926"/>
    <w:rsid w:val="00A1759A"/>
    <w:rsid w:val="00A219E6"/>
    <w:rsid w:val="00A21E48"/>
    <w:rsid w:val="00A24AE7"/>
    <w:rsid w:val="00A32C60"/>
    <w:rsid w:val="00A34D08"/>
    <w:rsid w:val="00A40B80"/>
    <w:rsid w:val="00A42B82"/>
    <w:rsid w:val="00A43687"/>
    <w:rsid w:val="00A4623D"/>
    <w:rsid w:val="00A50409"/>
    <w:rsid w:val="00A506C6"/>
    <w:rsid w:val="00A516C1"/>
    <w:rsid w:val="00A5194B"/>
    <w:rsid w:val="00A53592"/>
    <w:rsid w:val="00A53716"/>
    <w:rsid w:val="00A5546A"/>
    <w:rsid w:val="00A564F9"/>
    <w:rsid w:val="00A57B70"/>
    <w:rsid w:val="00A61C3B"/>
    <w:rsid w:val="00A62FDC"/>
    <w:rsid w:val="00A64A4C"/>
    <w:rsid w:val="00A7018C"/>
    <w:rsid w:val="00A71190"/>
    <w:rsid w:val="00A73917"/>
    <w:rsid w:val="00A7449B"/>
    <w:rsid w:val="00A77BC2"/>
    <w:rsid w:val="00A81971"/>
    <w:rsid w:val="00A81E76"/>
    <w:rsid w:val="00A81F1E"/>
    <w:rsid w:val="00A8348A"/>
    <w:rsid w:val="00A8402C"/>
    <w:rsid w:val="00A85C2F"/>
    <w:rsid w:val="00A87328"/>
    <w:rsid w:val="00A90234"/>
    <w:rsid w:val="00A9358D"/>
    <w:rsid w:val="00A95BCD"/>
    <w:rsid w:val="00A96DC3"/>
    <w:rsid w:val="00A97431"/>
    <w:rsid w:val="00AA53FD"/>
    <w:rsid w:val="00AA607F"/>
    <w:rsid w:val="00AA680C"/>
    <w:rsid w:val="00AB2F16"/>
    <w:rsid w:val="00AB5CE4"/>
    <w:rsid w:val="00AC0E15"/>
    <w:rsid w:val="00AC3677"/>
    <w:rsid w:val="00AC5F83"/>
    <w:rsid w:val="00AC643D"/>
    <w:rsid w:val="00AC6E59"/>
    <w:rsid w:val="00AC794A"/>
    <w:rsid w:val="00AD0B8B"/>
    <w:rsid w:val="00AD25D6"/>
    <w:rsid w:val="00AD2616"/>
    <w:rsid w:val="00AD4C61"/>
    <w:rsid w:val="00AD6048"/>
    <w:rsid w:val="00AD6C99"/>
    <w:rsid w:val="00AD7BE4"/>
    <w:rsid w:val="00AE0B38"/>
    <w:rsid w:val="00AE150A"/>
    <w:rsid w:val="00AE20FD"/>
    <w:rsid w:val="00AE6650"/>
    <w:rsid w:val="00AE6AEA"/>
    <w:rsid w:val="00AE7B7D"/>
    <w:rsid w:val="00AE7EA8"/>
    <w:rsid w:val="00AF14DA"/>
    <w:rsid w:val="00AF42F4"/>
    <w:rsid w:val="00AF5ADF"/>
    <w:rsid w:val="00AF77CD"/>
    <w:rsid w:val="00AF7E7C"/>
    <w:rsid w:val="00B003CE"/>
    <w:rsid w:val="00B00D3E"/>
    <w:rsid w:val="00B01ADD"/>
    <w:rsid w:val="00B02FE9"/>
    <w:rsid w:val="00B0348E"/>
    <w:rsid w:val="00B03DBF"/>
    <w:rsid w:val="00B076E3"/>
    <w:rsid w:val="00B07C24"/>
    <w:rsid w:val="00B10FA2"/>
    <w:rsid w:val="00B1141B"/>
    <w:rsid w:val="00B1235B"/>
    <w:rsid w:val="00B1411F"/>
    <w:rsid w:val="00B148C8"/>
    <w:rsid w:val="00B1701B"/>
    <w:rsid w:val="00B20323"/>
    <w:rsid w:val="00B2061D"/>
    <w:rsid w:val="00B220DB"/>
    <w:rsid w:val="00B226A3"/>
    <w:rsid w:val="00B22756"/>
    <w:rsid w:val="00B24D49"/>
    <w:rsid w:val="00B2748B"/>
    <w:rsid w:val="00B27F6D"/>
    <w:rsid w:val="00B3050D"/>
    <w:rsid w:val="00B30941"/>
    <w:rsid w:val="00B33722"/>
    <w:rsid w:val="00B33D6E"/>
    <w:rsid w:val="00B34851"/>
    <w:rsid w:val="00B36AB9"/>
    <w:rsid w:val="00B37DAC"/>
    <w:rsid w:val="00B37F3D"/>
    <w:rsid w:val="00B41D8A"/>
    <w:rsid w:val="00B42709"/>
    <w:rsid w:val="00B440A8"/>
    <w:rsid w:val="00B454F7"/>
    <w:rsid w:val="00B5099F"/>
    <w:rsid w:val="00B50A34"/>
    <w:rsid w:val="00B53906"/>
    <w:rsid w:val="00B55B93"/>
    <w:rsid w:val="00B57872"/>
    <w:rsid w:val="00B6004B"/>
    <w:rsid w:val="00B6066D"/>
    <w:rsid w:val="00B62222"/>
    <w:rsid w:val="00B64CDF"/>
    <w:rsid w:val="00B66B14"/>
    <w:rsid w:val="00B7198A"/>
    <w:rsid w:val="00B71DB4"/>
    <w:rsid w:val="00B7320B"/>
    <w:rsid w:val="00B74C21"/>
    <w:rsid w:val="00B75DD6"/>
    <w:rsid w:val="00B75E50"/>
    <w:rsid w:val="00B7671E"/>
    <w:rsid w:val="00B77DB2"/>
    <w:rsid w:val="00B800AF"/>
    <w:rsid w:val="00B805D0"/>
    <w:rsid w:val="00B80A46"/>
    <w:rsid w:val="00B86636"/>
    <w:rsid w:val="00B92154"/>
    <w:rsid w:val="00B929E8"/>
    <w:rsid w:val="00B92E61"/>
    <w:rsid w:val="00B975B9"/>
    <w:rsid w:val="00B97699"/>
    <w:rsid w:val="00B97A08"/>
    <w:rsid w:val="00BA11E3"/>
    <w:rsid w:val="00BA6E03"/>
    <w:rsid w:val="00BA710D"/>
    <w:rsid w:val="00BA7A55"/>
    <w:rsid w:val="00BB229D"/>
    <w:rsid w:val="00BB4AF3"/>
    <w:rsid w:val="00BB5754"/>
    <w:rsid w:val="00BB6679"/>
    <w:rsid w:val="00BC0393"/>
    <w:rsid w:val="00BC1FDD"/>
    <w:rsid w:val="00BC2BF2"/>
    <w:rsid w:val="00BC328B"/>
    <w:rsid w:val="00BC3935"/>
    <w:rsid w:val="00BC418E"/>
    <w:rsid w:val="00BC454F"/>
    <w:rsid w:val="00BC4B89"/>
    <w:rsid w:val="00BC570E"/>
    <w:rsid w:val="00BC57AF"/>
    <w:rsid w:val="00BD0EA1"/>
    <w:rsid w:val="00BD4CBF"/>
    <w:rsid w:val="00BD783F"/>
    <w:rsid w:val="00BE29CD"/>
    <w:rsid w:val="00BE3CA9"/>
    <w:rsid w:val="00BE4257"/>
    <w:rsid w:val="00BE5453"/>
    <w:rsid w:val="00BE62D4"/>
    <w:rsid w:val="00BE7070"/>
    <w:rsid w:val="00BF01B8"/>
    <w:rsid w:val="00BF24A2"/>
    <w:rsid w:val="00BF2699"/>
    <w:rsid w:val="00BF7F58"/>
    <w:rsid w:val="00C00B1E"/>
    <w:rsid w:val="00C016A5"/>
    <w:rsid w:val="00C021DD"/>
    <w:rsid w:val="00C033AA"/>
    <w:rsid w:val="00C078C6"/>
    <w:rsid w:val="00C07C80"/>
    <w:rsid w:val="00C10F4F"/>
    <w:rsid w:val="00C12B25"/>
    <w:rsid w:val="00C134F3"/>
    <w:rsid w:val="00C144B6"/>
    <w:rsid w:val="00C14636"/>
    <w:rsid w:val="00C201F4"/>
    <w:rsid w:val="00C206A7"/>
    <w:rsid w:val="00C21AD5"/>
    <w:rsid w:val="00C21D09"/>
    <w:rsid w:val="00C23D50"/>
    <w:rsid w:val="00C244FD"/>
    <w:rsid w:val="00C24AB5"/>
    <w:rsid w:val="00C255D6"/>
    <w:rsid w:val="00C25A4A"/>
    <w:rsid w:val="00C261BB"/>
    <w:rsid w:val="00C268F5"/>
    <w:rsid w:val="00C2696A"/>
    <w:rsid w:val="00C2760F"/>
    <w:rsid w:val="00C32C3F"/>
    <w:rsid w:val="00C343CA"/>
    <w:rsid w:val="00C357CC"/>
    <w:rsid w:val="00C35978"/>
    <w:rsid w:val="00C35FD5"/>
    <w:rsid w:val="00C3750A"/>
    <w:rsid w:val="00C40945"/>
    <w:rsid w:val="00C409BE"/>
    <w:rsid w:val="00C43471"/>
    <w:rsid w:val="00C4420B"/>
    <w:rsid w:val="00C447DC"/>
    <w:rsid w:val="00C457A8"/>
    <w:rsid w:val="00C458ED"/>
    <w:rsid w:val="00C46139"/>
    <w:rsid w:val="00C512FD"/>
    <w:rsid w:val="00C514A4"/>
    <w:rsid w:val="00C565A2"/>
    <w:rsid w:val="00C56F2D"/>
    <w:rsid w:val="00C5770F"/>
    <w:rsid w:val="00C60DAC"/>
    <w:rsid w:val="00C65BC4"/>
    <w:rsid w:val="00C72460"/>
    <w:rsid w:val="00C72585"/>
    <w:rsid w:val="00C74094"/>
    <w:rsid w:val="00C77A74"/>
    <w:rsid w:val="00C77B7B"/>
    <w:rsid w:val="00C81F3D"/>
    <w:rsid w:val="00C87492"/>
    <w:rsid w:val="00C92499"/>
    <w:rsid w:val="00C94A2D"/>
    <w:rsid w:val="00C958AC"/>
    <w:rsid w:val="00C96167"/>
    <w:rsid w:val="00C979E8"/>
    <w:rsid w:val="00C97C99"/>
    <w:rsid w:val="00CA04CF"/>
    <w:rsid w:val="00CA07FA"/>
    <w:rsid w:val="00CA2BFA"/>
    <w:rsid w:val="00CA35F5"/>
    <w:rsid w:val="00CB0ADD"/>
    <w:rsid w:val="00CB2359"/>
    <w:rsid w:val="00CB5684"/>
    <w:rsid w:val="00CB6600"/>
    <w:rsid w:val="00CB72BC"/>
    <w:rsid w:val="00CC1B74"/>
    <w:rsid w:val="00CC5256"/>
    <w:rsid w:val="00CC64A1"/>
    <w:rsid w:val="00CC6D23"/>
    <w:rsid w:val="00CD154E"/>
    <w:rsid w:val="00CD1CF3"/>
    <w:rsid w:val="00CD2C42"/>
    <w:rsid w:val="00CD6EF0"/>
    <w:rsid w:val="00CD70D6"/>
    <w:rsid w:val="00CE19E0"/>
    <w:rsid w:val="00CE502A"/>
    <w:rsid w:val="00CE751F"/>
    <w:rsid w:val="00CE76E4"/>
    <w:rsid w:val="00CF446A"/>
    <w:rsid w:val="00CF72BC"/>
    <w:rsid w:val="00D00C19"/>
    <w:rsid w:val="00D024B3"/>
    <w:rsid w:val="00D02B5F"/>
    <w:rsid w:val="00D0402D"/>
    <w:rsid w:val="00D0614B"/>
    <w:rsid w:val="00D07071"/>
    <w:rsid w:val="00D10D7A"/>
    <w:rsid w:val="00D1435F"/>
    <w:rsid w:val="00D22BBC"/>
    <w:rsid w:val="00D23BFA"/>
    <w:rsid w:val="00D2558C"/>
    <w:rsid w:val="00D34EC9"/>
    <w:rsid w:val="00D34F65"/>
    <w:rsid w:val="00D43E4E"/>
    <w:rsid w:val="00D45339"/>
    <w:rsid w:val="00D46CDF"/>
    <w:rsid w:val="00D47973"/>
    <w:rsid w:val="00D47BBD"/>
    <w:rsid w:val="00D5015A"/>
    <w:rsid w:val="00D51A0D"/>
    <w:rsid w:val="00D52494"/>
    <w:rsid w:val="00D557CE"/>
    <w:rsid w:val="00D55DD3"/>
    <w:rsid w:val="00D5642F"/>
    <w:rsid w:val="00D56C42"/>
    <w:rsid w:val="00D621E0"/>
    <w:rsid w:val="00D642D8"/>
    <w:rsid w:val="00D67814"/>
    <w:rsid w:val="00D67CFF"/>
    <w:rsid w:val="00D70520"/>
    <w:rsid w:val="00D71A14"/>
    <w:rsid w:val="00D71ED4"/>
    <w:rsid w:val="00D7202D"/>
    <w:rsid w:val="00D82762"/>
    <w:rsid w:val="00D831D6"/>
    <w:rsid w:val="00D91B2A"/>
    <w:rsid w:val="00D91BD0"/>
    <w:rsid w:val="00D92AD9"/>
    <w:rsid w:val="00D92F36"/>
    <w:rsid w:val="00D93A87"/>
    <w:rsid w:val="00D94003"/>
    <w:rsid w:val="00D96660"/>
    <w:rsid w:val="00D96B88"/>
    <w:rsid w:val="00D9706A"/>
    <w:rsid w:val="00D97B66"/>
    <w:rsid w:val="00DA0591"/>
    <w:rsid w:val="00DA095A"/>
    <w:rsid w:val="00DA2460"/>
    <w:rsid w:val="00DA35B4"/>
    <w:rsid w:val="00DA43E2"/>
    <w:rsid w:val="00DA6616"/>
    <w:rsid w:val="00DA6BC8"/>
    <w:rsid w:val="00DB1A4B"/>
    <w:rsid w:val="00DB27C1"/>
    <w:rsid w:val="00DB3C9D"/>
    <w:rsid w:val="00DB49C3"/>
    <w:rsid w:val="00DB541C"/>
    <w:rsid w:val="00DB651C"/>
    <w:rsid w:val="00DB718D"/>
    <w:rsid w:val="00DC05EB"/>
    <w:rsid w:val="00DC138B"/>
    <w:rsid w:val="00DC74A6"/>
    <w:rsid w:val="00DC7F5E"/>
    <w:rsid w:val="00DD1F33"/>
    <w:rsid w:val="00DD3661"/>
    <w:rsid w:val="00DD43A8"/>
    <w:rsid w:val="00DD64BF"/>
    <w:rsid w:val="00DD6C08"/>
    <w:rsid w:val="00DE183E"/>
    <w:rsid w:val="00DE1BFD"/>
    <w:rsid w:val="00DE2D05"/>
    <w:rsid w:val="00DE55EE"/>
    <w:rsid w:val="00DE6FB8"/>
    <w:rsid w:val="00DF13AF"/>
    <w:rsid w:val="00DF2E8F"/>
    <w:rsid w:val="00DF6BED"/>
    <w:rsid w:val="00DF7A56"/>
    <w:rsid w:val="00E0036A"/>
    <w:rsid w:val="00E02E57"/>
    <w:rsid w:val="00E02E5D"/>
    <w:rsid w:val="00E04343"/>
    <w:rsid w:val="00E05F2A"/>
    <w:rsid w:val="00E06A58"/>
    <w:rsid w:val="00E07B67"/>
    <w:rsid w:val="00E11263"/>
    <w:rsid w:val="00E12BB6"/>
    <w:rsid w:val="00E1632D"/>
    <w:rsid w:val="00E168D3"/>
    <w:rsid w:val="00E20247"/>
    <w:rsid w:val="00E20D70"/>
    <w:rsid w:val="00E21A27"/>
    <w:rsid w:val="00E23718"/>
    <w:rsid w:val="00E23962"/>
    <w:rsid w:val="00E270B8"/>
    <w:rsid w:val="00E3060E"/>
    <w:rsid w:val="00E31165"/>
    <w:rsid w:val="00E34E26"/>
    <w:rsid w:val="00E352D3"/>
    <w:rsid w:val="00E36EE7"/>
    <w:rsid w:val="00E376D3"/>
    <w:rsid w:val="00E438B0"/>
    <w:rsid w:val="00E45EA5"/>
    <w:rsid w:val="00E517E2"/>
    <w:rsid w:val="00E51DE0"/>
    <w:rsid w:val="00E55C3D"/>
    <w:rsid w:val="00E60DAB"/>
    <w:rsid w:val="00E63382"/>
    <w:rsid w:val="00E64092"/>
    <w:rsid w:val="00E66174"/>
    <w:rsid w:val="00E7003A"/>
    <w:rsid w:val="00E70AE6"/>
    <w:rsid w:val="00E70BC3"/>
    <w:rsid w:val="00E70FC6"/>
    <w:rsid w:val="00E725DF"/>
    <w:rsid w:val="00E73E6C"/>
    <w:rsid w:val="00E844CF"/>
    <w:rsid w:val="00E84AB8"/>
    <w:rsid w:val="00E8530C"/>
    <w:rsid w:val="00E931BD"/>
    <w:rsid w:val="00E9466F"/>
    <w:rsid w:val="00E9519E"/>
    <w:rsid w:val="00EA0CCE"/>
    <w:rsid w:val="00EA1E39"/>
    <w:rsid w:val="00EA28CE"/>
    <w:rsid w:val="00EA3114"/>
    <w:rsid w:val="00EA41AA"/>
    <w:rsid w:val="00EA4A8F"/>
    <w:rsid w:val="00EA4BD0"/>
    <w:rsid w:val="00EA7925"/>
    <w:rsid w:val="00EB027B"/>
    <w:rsid w:val="00EB1234"/>
    <w:rsid w:val="00EB33B0"/>
    <w:rsid w:val="00EC4F1B"/>
    <w:rsid w:val="00ED028F"/>
    <w:rsid w:val="00ED0334"/>
    <w:rsid w:val="00ED0CB8"/>
    <w:rsid w:val="00ED72E9"/>
    <w:rsid w:val="00ED72EC"/>
    <w:rsid w:val="00EE43E6"/>
    <w:rsid w:val="00EE675D"/>
    <w:rsid w:val="00EF0F27"/>
    <w:rsid w:val="00EF4A6F"/>
    <w:rsid w:val="00EF6D41"/>
    <w:rsid w:val="00F03428"/>
    <w:rsid w:val="00F037D5"/>
    <w:rsid w:val="00F03862"/>
    <w:rsid w:val="00F0564B"/>
    <w:rsid w:val="00F11829"/>
    <w:rsid w:val="00F164A9"/>
    <w:rsid w:val="00F17AAA"/>
    <w:rsid w:val="00F2085B"/>
    <w:rsid w:val="00F21949"/>
    <w:rsid w:val="00F24987"/>
    <w:rsid w:val="00F278C3"/>
    <w:rsid w:val="00F3745B"/>
    <w:rsid w:val="00F37D5E"/>
    <w:rsid w:val="00F37F6C"/>
    <w:rsid w:val="00F40CC9"/>
    <w:rsid w:val="00F44054"/>
    <w:rsid w:val="00F443BF"/>
    <w:rsid w:val="00F463EE"/>
    <w:rsid w:val="00F50173"/>
    <w:rsid w:val="00F56C67"/>
    <w:rsid w:val="00F61E67"/>
    <w:rsid w:val="00F6457E"/>
    <w:rsid w:val="00F646B2"/>
    <w:rsid w:val="00F656AA"/>
    <w:rsid w:val="00F657DF"/>
    <w:rsid w:val="00F65909"/>
    <w:rsid w:val="00F67775"/>
    <w:rsid w:val="00F7191F"/>
    <w:rsid w:val="00F721BA"/>
    <w:rsid w:val="00F72A90"/>
    <w:rsid w:val="00F73EE8"/>
    <w:rsid w:val="00F77E1E"/>
    <w:rsid w:val="00F80A65"/>
    <w:rsid w:val="00F825D8"/>
    <w:rsid w:val="00F82B9A"/>
    <w:rsid w:val="00F907B6"/>
    <w:rsid w:val="00F9133E"/>
    <w:rsid w:val="00F9134E"/>
    <w:rsid w:val="00F93C45"/>
    <w:rsid w:val="00F94F7E"/>
    <w:rsid w:val="00F96D96"/>
    <w:rsid w:val="00F974CF"/>
    <w:rsid w:val="00FA08C1"/>
    <w:rsid w:val="00FA0CAE"/>
    <w:rsid w:val="00FA2417"/>
    <w:rsid w:val="00FA3330"/>
    <w:rsid w:val="00FA34FB"/>
    <w:rsid w:val="00FA44F3"/>
    <w:rsid w:val="00FB0D3A"/>
    <w:rsid w:val="00FB153F"/>
    <w:rsid w:val="00FB1768"/>
    <w:rsid w:val="00FB1AF0"/>
    <w:rsid w:val="00FB2487"/>
    <w:rsid w:val="00FB29C4"/>
    <w:rsid w:val="00FB7ED5"/>
    <w:rsid w:val="00FC1F23"/>
    <w:rsid w:val="00FC3A25"/>
    <w:rsid w:val="00FC3FF8"/>
    <w:rsid w:val="00FC7199"/>
    <w:rsid w:val="00FD3336"/>
    <w:rsid w:val="00FD6C5D"/>
    <w:rsid w:val="00FD732A"/>
    <w:rsid w:val="00FD77C0"/>
    <w:rsid w:val="00FE336E"/>
    <w:rsid w:val="00FE3C91"/>
    <w:rsid w:val="00FE48B5"/>
    <w:rsid w:val="00FE5DA4"/>
    <w:rsid w:val="00FE7396"/>
    <w:rsid w:val="00FF0B66"/>
    <w:rsid w:val="00FF390B"/>
    <w:rsid w:val="00FF6BA2"/>
    <w:rsid w:val="05900372"/>
    <w:rsid w:val="059F7876"/>
    <w:rsid w:val="19E5121A"/>
    <w:rsid w:val="2C675C0B"/>
    <w:rsid w:val="37C05E57"/>
    <w:rsid w:val="421F513A"/>
    <w:rsid w:val="4523030F"/>
    <w:rsid w:val="46970EDE"/>
    <w:rsid w:val="4A3026D1"/>
    <w:rsid w:val="56C55E07"/>
    <w:rsid w:val="5F2139F9"/>
    <w:rsid w:val="64F07888"/>
    <w:rsid w:val="65502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autoRedefine/>
    <w:qFormat/>
    <w:uiPriority w:val="0"/>
    <w:pPr>
      <w:keepNext/>
      <w:keepLines/>
      <w:spacing w:before="260" w:after="260" w:line="416" w:lineRule="atLeast"/>
      <w:outlineLvl w:val="2"/>
    </w:pPr>
    <w:rPr>
      <w:b/>
      <w:bCs/>
      <w:sz w:val="32"/>
      <w:szCs w:val="32"/>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autoRedefine/>
    <w:qFormat/>
    <w:uiPriority w:val="0"/>
    <w:pPr>
      <w:ind w:firstLine="567"/>
    </w:pPr>
    <w:rPr>
      <w:sz w:val="28"/>
      <w:szCs w:val="28"/>
    </w:rPr>
  </w:style>
  <w:style w:type="paragraph" w:styleId="4">
    <w:name w:val="caption"/>
    <w:basedOn w:val="1"/>
    <w:next w:val="1"/>
    <w:autoRedefine/>
    <w:semiHidden/>
    <w:unhideWhenUsed/>
    <w:qFormat/>
    <w:uiPriority w:val="35"/>
    <w:rPr>
      <w:rFonts w:ascii="Arial" w:hAnsi="Arial" w:eastAsia="黑体"/>
      <w:sz w:val="20"/>
    </w:rPr>
  </w:style>
  <w:style w:type="paragraph" w:styleId="5">
    <w:name w:val="footer"/>
    <w:basedOn w:val="1"/>
    <w:link w:val="12"/>
    <w:autoRedefine/>
    <w:unhideWhenUsed/>
    <w:qFormat/>
    <w:uiPriority w:val="99"/>
    <w:pPr>
      <w:tabs>
        <w:tab w:val="center" w:pos="4153"/>
        <w:tab w:val="right" w:pos="8306"/>
      </w:tabs>
      <w:snapToGrid w:val="0"/>
      <w:jc w:val="left"/>
    </w:pPr>
    <w:rPr>
      <w:sz w:val="18"/>
      <w:szCs w:val="18"/>
    </w:rPr>
  </w:style>
  <w:style w:type="paragraph" w:styleId="6">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autoRedefine/>
    <w:qFormat/>
    <w:uiPriority w:val="0"/>
    <w:pPr>
      <w:spacing w:after="80"/>
      <w:jc w:val="both"/>
    </w:pPr>
    <w:rPr>
      <w:kern w:val="0"/>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1">
    <w:name w:val="页眉 字符"/>
    <w:basedOn w:val="10"/>
    <w:link w:val="6"/>
    <w:autoRedefine/>
    <w:qFormat/>
    <w:uiPriority w:val="99"/>
    <w:rPr>
      <w:sz w:val="18"/>
      <w:szCs w:val="18"/>
    </w:rPr>
  </w:style>
  <w:style w:type="character" w:customStyle="1" w:styleId="12">
    <w:name w:val="页脚 字符"/>
    <w:basedOn w:val="10"/>
    <w:link w:val="5"/>
    <w:autoRedefine/>
    <w:qFormat/>
    <w:uiPriority w:val="99"/>
    <w:rPr>
      <w:sz w:val="18"/>
      <w:szCs w:val="18"/>
    </w:rPr>
  </w:style>
  <w:style w:type="paragraph" w:customStyle="1" w:styleId="13">
    <w:name w:val="段"/>
    <w:link w:val="14"/>
    <w:autoRedefine/>
    <w:qFormat/>
    <w:uiPriority w:val="0"/>
    <w:pPr>
      <w:tabs>
        <w:tab w:val="center" w:pos="4201"/>
        <w:tab w:val="right" w:leader="dot" w:pos="9298"/>
      </w:tabs>
      <w:autoSpaceDE w:val="0"/>
      <w:autoSpaceDN w:val="0"/>
      <w:ind w:firstLine="420" w:firstLineChars="200"/>
      <w:jc w:val="both"/>
    </w:pPr>
    <w:rPr>
      <w:rFonts w:ascii="宋体" w:hAnsi="Calibri" w:eastAsia="宋体" w:cs="Times New Roman"/>
      <w:kern w:val="0"/>
      <w:sz w:val="21"/>
      <w:szCs w:val="20"/>
      <w:lang w:val="en-US" w:eastAsia="zh-CN" w:bidi="ar-SA"/>
    </w:rPr>
  </w:style>
  <w:style w:type="character" w:customStyle="1" w:styleId="14">
    <w:name w:val="段 Char"/>
    <w:link w:val="13"/>
    <w:autoRedefine/>
    <w:qFormat/>
    <w:uiPriority w:val="0"/>
    <w:rPr>
      <w:rFonts w:ascii="宋体" w:hAnsi="Calibri" w:eastAsia="宋体" w:cs="Times New Roman"/>
      <w:kern w:val="0"/>
      <w:szCs w:val="20"/>
    </w:rPr>
  </w:style>
  <w:style w:type="paragraph" w:customStyle="1" w:styleId="15">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6">
    <w:name w:val="标准文件_正文标准名称"/>
    <w:autoRedefine/>
    <w:qFormat/>
    <w:uiPriority w:val="0"/>
    <w:pPr>
      <w:spacing w:after="640" w:line="400" w:lineRule="exact"/>
      <w:jc w:val="center"/>
    </w:pPr>
    <w:rPr>
      <w:rFonts w:ascii="黑体" w:hAnsi="黑体" w:eastAsia="黑体" w:cs="Times New Roman"/>
      <w:kern w:val="2"/>
      <w:sz w:val="32"/>
      <w:szCs w:val="32"/>
      <w:lang w:val="en-US" w:eastAsia="zh-CN" w:bidi="ar-SA"/>
    </w:rPr>
  </w:style>
  <w:style w:type="paragraph" w:customStyle="1" w:styleId="17">
    <w:name w:val="标准文件_页眉奇数页"/>
    <w:next w:val="1"/>
    <w:autoRedefine/>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18">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19">
    <w:name w:val="标准文件_章标题"/>
    <w:next w:val="15"/>
    <w:autoRedefine/>
    <w:qFormat/>
    <w:uiPriority w:val="0"/>
    <w:pPr>
      <w:numPr>
        <w:ilvl w:val="1"/>
        <w:numId w:val="1"/>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20">
    <w:name w:val="标准文件_一级条标题"/>
    <w:basedOn w:val="19"/>
    <w:next w:val="15"/>
    <w:autoRedefine/>
    <w:qFormat/>
    <w:uiPriority w:val="0"/>
    <w:pPr>
      <w:numPr>
        <w:ilvl w:val="2"/>
      </w:numPr>
      <w:spacing w:before="50" w:beforeLines="50" w:after="50" w:afterLines="50"/>
      <w:outlineLvl w:val="1"/>
    </w:pPr>
  </w:style>
  <w:style w:type="paragraph" w:customStyle="1" w:styleId="21">
    <w:name w:val="标准文件_二级条标题"/>
    <w:next w:val="15"/>
    <w:autoRedefine/>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22">
    <w:name w:val="标准文件_正文表标题"/>
    <w:next w:val="15"/>
    <w:autoRedefine/>
    <w:qFormat/>
    <w:uiPriority w:val="0"/>
    <w:pPr>
      <w:numPr>
        <w:ilvl w:val="0"/>
        <w:numId w:val="2"/>
      </w:numPr>
      <w:tabs>
        <w:tab w:val="left" w:pos="0"/>
      </w:tabs>
      <w:spacing w:before="50" w:beforeLines="50" w:after="50" w:afterLines="50"/>
      <w:jc w:val="center"/>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glossaryDocument" Target="glossary/document.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www.wps.cn/officeDocument/2018/webExtension" Target="webExtensions/webExtension3.xml"/><Relationship Id="rId14" Type="http://schemas.openxmlformats.org/officeDocument/2006/relationships/image" Target="media/image9.png"/><Relationship Id="rId13" Type="http://www.wps.cn/officeDocument/2018/webExtension" Target="webExtensions/webExtension2.xml"/><Relationship Id="rId12" Type="http://schemas.openxmlformats.org/officeDocument/2006/relationships/image" Target="media/image8.png"/><Relationship Id="rId11" Type="http://www.wps.cn/officeDocument/2018/webExtension" Target="webExtensions/webExtension1.xml"/><Relationship Id="rId10" Type="http://schemas.openxmlformats.org/officeDocument/2006/relationships/image" Target="media/image7.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85cd2fa-6484-4fd4-826c-4826f9e63237}"/>
        <w:style w:val=""/>
        <w:category>
          <w:name w:val="常规"/>
          <w:gallery w:val="placeholder"/>
        </w:category>
        <w:types>
          <w:type w:val="bbPlcHdr"/>
        </w:types>
        <w:behaviors>
          <w:behavior w:val="content"/>
        </w:behaviors>
        <w:description w:val=""/>
        <w:guid w:val="{085cd2fa-6484-4fd4-826c-4826f9e63237}"/>
      </w:docPartPr>
      <w:docPartBody>
        <w:p>
          <w:pPr>
            <w:pStyle w:val="2"/>
          </w:pPr>
          <w:r>
            <w:rPr>
              <w:rStyle w:val="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1" w:name="Default Paragraph Font"/>
    <w:lsdException w:qFormat="1" w:unhideWhenUsed="0" w:uiPriority="99" w:name="Placeholder Text"/>
  </w:latentStyles>
  <w:style w:type="character" w:default="1" w:styleId="1">
    <w:name w:val="Default Paragraph Font"/>
    <w:autoRedefine/>
    <w:semiHidden/>
    <w:unhideWhenUsed/>
    <w:qFormat/>
    <w:uiPriority w:val="1"/>
  </w:style>
  <w:style w:type="paragraph" w:customStyle="1" w:styleId="2">
    <w:name w:val="18742AC29F024A95852915A576344328"/>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styleId="3">
    <w:name w:val="Placeholder Text"/>
    <w:basedOn w:val="1"/>
    <w:autoRedefine/>
    <w:semiHidden/>
    <w:qFormat/>
    <w:uiPriority w:val="99"/>
    <w:rPr>
      <w:color w:val="808080"/>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webExtensions/_rels/webExtension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package" Target="../embeddings/Workbook1.xlsx"/></Relationships>
</file>

<file path=word/webExtensions/_rels/webExtension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package" Target="../embeddings/Workbook2.xlsx"/></Relationships>
</file>

<file path=word/webExtensions/_rels/webExtension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package" Target="../embeddings/Workbook3.xlsx"/></Relationships>
</file>

<file path=word/webExtensions/webExtension1.xml><?xml version="1.0" encoding="utf-8"?>
<wpswe:webExtension xmlns:wpswe="http://www.wps.cn/officeDocument/2018/webExtension">
  <wpswe:extSource id="dschart" version="1.0"/>
  <wpswe:properties>
    <wpswe:property key="DiscardFirstCodeChange" value="0"/>
    <wpswe:property key="autoSnapshot" value="0"/>
    <wpswe:property key="dschart" value="{&quot;dschart_data&quot;:{&quot;blockId&quot;:&quot;160708166728417321&quot;,&quot;chart_type&quot;:&quot;柱状图&quot;,&quot;classifty_type&quot;:[&quot;比较类&quot;],&quot;dataSrc&quot;:{&quot;data&quot;:[[[&quot;作物名称&quot;,&quot;初花期株高cm&quot;,&quot;座果期株高cm&quot;,&quot;秋收期株高cm&quot;],[&quot;托辣16号&quot;,&quot;37.567&quot;,&quot;48.733&quot;,&quot;67.667&quot;],[&quot;托辣7号&quot;,&quot;25.367&quot;,&quot;32.3&quot;,&quot;51.333&quot;],[&quot;托辣14号&quot;,&quot;28.567&quot;,&quot;36.1&quot;,&quot;59.333&quot;],[&quot;托辣3号&quot;,&quot;27.667&quot;,&quot;42.6&quot;,&quot;57.667&quot;],[&quot;托辣11号&quot;,&quot;28.133&quot;,&quot;41.367&quot;,&quot;50.233&quot;],[&quot;托辣13号&quot;,&quot;24.4&quot;,&quot;43.667&quot;,&quot;66.333&quot;],[&quot;托辣4号&quot;,&quot;31.1&quot;,&quot;44.733&quot;,&quot;60.667&quot;],[&quot;袁托&quot;,&quot;30.333&quot;,&quot;39.833&quot;,&quot;51.667&quot;]]],&quot;dataType&quot;:&quot;cross-table&quot;,&quot;download&quot;:false,&quot;srcType&quot;:&quot;local&quot;,&quot;url&quot;:&quot;&quot;},&quot;function_type&quot;:[&quot;柱形图&quot;],&quot;gif&quot;:&quot;//web.docer.wpscdn.cn/docer/ds-page/v2/images/3612096174443311107.gif?imageView2/2/w/500/quality/90&quot;,&quot;isFree&quot;:&quot;0&quot;,&quot;label&quot;:&quot;&lt;e-barstack-chart&gt;&quot;,&quot;projectId&quot;:&quot;160733549631190793&quot;,&quot;props&quot;:{&quot;animation&quot;:{&quot;duration&quot;:&quot;1.5&quot;,&quot;easeStyle&quot;:&quot;&quot;,&quot;endPause&quot;:&quot;1&quot;,&quot;moveOptions&quot;:[&quot;纵向分类拉伸&quot;,&quot;纵向分组拉伸&quot;,&quot;纵向同步拉伸&quot;,&quot;纵向整体拉伸&quot;,&quot;横向整体展开&quot;,&quot;横向同步展开&quot;,&quot;俄罗斯方块&quot;],&quot;moveStyle&quot;:&quot;纵向分类拉伸&quot;,&quot;startDelay&quot;:&quot;0&quot;,&quot;transition&quot;:true},&quot;axis&quot;:{&quot;grid&quot;:{&quot;color&quot;:&quot;#e9e9e9&quot;,&quot;gridLineWidth&quot;:&quot;1&quot;,&quot;lineStyle&quot;:&quot;dashline&quot;,&quot;show&quot;:&quot;x&quot;},&quot;x&quot;:{&quot;axisColor&quot;:&quot;#bfbfbf&quot;,&quot;axisLineWidth&quot;:&quot;1&quot;,&quot;axisShow&quot;:true,&quot;labelAngle&quot;:&quot;0&quot;,&quot;labelDirection&quot;:&quot;自动&quot;,&quot;labelDirectionOptions&quot;:[&quot;自动&quot;,&quot;横排&quot;,&quot;竖排&quot;],&quot;labelShow&quot;:true,&quot;name&quot;:&quot;作物编号&quot;},&quot;y&quot;:{&quot;axisColor&quot;:&quot;#bfbfbf&quot;,&quot;axisLineWidth&quot;:&quot;1&quot;,&quot;axisShow&quot;:false,&quot;labelShow&quot;:true,&quot;labelSuffix&quot;:&quot;&quot;,&quot;name&quot;:&quot;株高（cm）&quot;,&quot;range&quot;:[],&quot;stepOfLabel&quot;:&quot;&quot;}},&quot;backgroundColor&quot;:&quot;#F3FFF7&quot;,&quot;colors&quot;:{&quot;colorControlers&quot;:[&quot;multiple&quot;],&quot;list&quot;:[0,1,2],&quot;type&quot;:&quot;multiple&quot;},&quot;display&quot;:{&quot;barWidthPercent&quot;:0.4,&quot;borderColor&quot;:&quot;&quot;,&quot;borderWidth&quot;:&quot;0&quot;,&quot;fillOpacity&quot;:&quot;1&quot;},&quot;font&quot;:{&quot;color&quot;:&quot;#545454&quot;,&quot;fontFamily&quot;:&quot;阿里巴巴普惠体 常规&quot;,&quot;fontSize&quot;:16},&quot;label&quot;:{&quot;display&quot;:false,&quot;positionChoice&quot;:&quot;内部居中&quot;,&quot;positionOptions&quot;:[&quot;内部居中&quot;,&quot;内部居下&quot;],&quot;suffix&quot;:&quot;&quot;,&quot;textLabel&quot;:{&quot;color&quot;:&quot;#545454&quot;,&quot;fontFamily&quot;:&quot;阿里巴巴普惠体 常规&quot;,&quot;fontSize&quot;:&quot;14&quot;}},&quot;legend&quot;:{&quot;color&quot;:[&quot;#545454&quot;],&quot;fontFamily&quot;:[&quot;阿里巴巴普惠体 常规&quot;],&quot;fontSize&quot;:16,&quot;lineHeight&quot;:&quot;15&quot;,&quot;show&quot;:true,&quot;style&quot;:&quot;&quot;,&quot;styleOptions&quot;:[],&quot;xPosition&quot;:&quot;right&quot;,&quot;yPosition&quot;:&quot;top&quot;},&quot;logoDisplay&quot;:{&quot;bottomLineHeight&quot;:&quot;15&quot;,&quot;imgHeight&quot;:&quot;32&quot;,&quot;imgUrl&quot;:&quot;https://ss1.dycharts.com/newchartLogo.png&quot;,&quot;show&quot;:false,&quot;topLineHeight&quot;:&quot;11&quot;},&quot;map&quot;:[[{&quot;allowType&quot;:[&quot;string&quot;],&quot;configurable&quot;:false,&quot;function&quot;:&quot;objCol&quot;,&quot;index&quot;:0,&quot;isLegend&quot;:false,&quot;name&quot;:&quot;X轴对象&quot;},{&quot;allowType&quot;:[&quot;number&quot;],&quot;configurable&quot;:true,&quot;function&quot;:&quot;vCol&quot;,&quot;index&quot;:1,&quot;isLegend&quot;:false,&quot;name&quot;:&quot;数值列&quot;},{&quot;allowType&quot;:[&quot;number&quot;],&quot;configurable&quot;:true,&quot;function&quot;:&quot;vCol&quot;,&quot;index&quot;:2,&quot;isLegend&quot;:false,&quot;name&quot;:&quot;数值列&quot;},{&quot;allowType&quot;:[&quot;number&quot;],&quot;configurable&quot;:true,&quot;function&quot;:&quot;vCol&quot;,&quot;index&quot;:3,&quot;isLegend&quot;:false,&quot;name&quot;:&quot;数值列&quot;}]],&quot;paddings&quot;:{&quot;bottom&quot;:&quot;23&quot;,&quot;chartBottom&quot;:&quot;5&quot;,&quot;left&quot;:&quot;24&quot;,&quot;right&quot;:&quot;24&quot;,&quot;top&quot;:&quot;20&quot;},&quot;publishDisplay&quot;:{&quot;color&quot;:&quot;#878787&quot;,&quot;fontFamily&quot;:&quot;阿里巴巴普惠体 常规&quot;,&quot;fontSize&quot;:&quot;14&quot;,&quot;show&quot;:false,&quot;text&quot;:&quot;镝数出品&quot;},&quot;shadow&quot;:{&quot;display&quot;:true,&quot;shadowAngle&quot;:&quot;45&quot;,&quot;shadowBlur&quot;:&quot;5&quot;,&quot;shadowColor&quot;:&quot;#c6c6c6&quot;,&quot;shadowOpacity&quot;:&quot;100&quot;,&quot;shadowRadius&quot;:&quot;3&quot;},&quot;size&quot;:{&quot;height&quot;:315,&quot;ratio&quot;:&quot;&quot;,&quot;rotate&quot;:0,&quot;width&quot;:561},&quot;sourceDisplay&quot;:{&quot;color&quot;:&quot;#878787&quot;,&quot;fontFamily&quot;:&quot;阿里巴巴普惠体 常规&quot;,&quot;fontSize&quot;:&quot;14&quot;,&quot;show&quot;:false,&quot;text&quot;:&quot;数据来源：示例数据&quot;,&quot;topLineHeight&quot;:&quot;15&quot;,&quot;xPosition&quot;:&quot;left&quot;,&quot;yPosition&quot;:&quot;bottom&quot;},&quot;titleDisplay&quot;:{&quot;color&quot;:&quot;#4c4c4c&quot;,&quot;fontFamily&quot;:&quot;阿里巴巴普惠体 常规&quot;,&quot;fontSize&quot;:&quot;18&quot;,&quot;lineHeight&quot;:&quot;10&quot;,&quot;show&quot;:false,&quot;text&quot;:&quot;某公司各类型游戏产品的市场规模&quot;,&quot;totalHeight&quot;:&quot;39&quot;,&quot;xPosition&quot;:&quot;left&quot;,&quot;yPosition&quot;:&quot;top&quot;},&quot;tooltip&quot;:true,&quot;unitDisplay&quot;:{&quot;bottomLineHeight&quot;:&quot;15&quot;,&quot;color&quot;:&quot;#878787&quot;,&quot;fontFamily&quot;:&quot;阿里巴巴普惠体 常规&quot;,&quot;fontSize&quot;:&quot;14&quot;,&quot;show&quot;:false,&quot;text&quot;:&quot;单位：万元&quot;,&quot;xPosition&quot;:&quot;left&quot;,&quot;yPosition&quot;:&quot;top&quot;},&quot;watermarkDisplay&quot;:{&quot;imgHeight&quot;:&quot;80&quot;,&quot;imgUrl&quot;:&quot;https://ss1.dycharts.com/newchartWatermark.png&quot;,&quot;imgWidth&quot;:&quot;80&quot;,&quot;show&quot;:false}},&quot;templateId&quot;:&quot;3612096174443311107-4&quot;,&quot;templateSwitch&quot;:&quot;cross&quot;,&quot;theme&quot;:{&quot;_id&quot;:18,&quot;axis&quot;:{&quot;color&quot;:&quot;#a1a1a1 &quot;},&quot;backgroundColor&quot;:&quot;#FFFFFF&quot;,&quot;colors&quot;:[&quot;#588C7Eff&quot;,&quot;#ACBC8Aff&quot;,&quot;#ECD189ff&quot;,&quot;#F2B476ff&quot;,&quot;#E99469ff&quot;,&quot;#DB6B5Cff&quot;,&quot;#8C4646ff&quot;,&quot;#588C7Eff&quot;,&quot;#ACBC8Aff&quot;,&quot;#ECD189ff&quot;,&quot;#F2B476ff&quot;,&quot;#E99469ff&quot;,&quot;#DB6B5Cff&quot;,&quot;#8C4646ff&quot;],&quot;fonts&quot;:{&quot;accessoryColor&quot;:&quot;# 878787 &quot;,&quot;color&quot;:&quot;#545454&quot;,&quot;fontFamily&quot;:&quot;阿里巴巴普惠体 常规&quot;,&quot;fontSize&quot;:&quot;14&quot;},&quot;grid&quot;:{&quot;color&quot;:&quot;#cccccc&quot;},&quot;id&quot;:&quot;17&quot;,&quot;name&quot;:&quot;默认主题&quot;,&quot;price&quot;:&quot;0.0&quot;,&quot;shapeColor&quot;:1,&quot;themeId&quot;:&quot;18&quot;,&quot;thumb&quot;:&quot;https://ss1.dydata.io/v2/themes/17.png&quot;,&quot;titleFont&quot;:{&quot;color&quot;:&quot;#4c4c4c&quot;,&quot;fontFamily&quot;:&quot;阿里巴巴普惠体 常规&quot;,&quot;fontSize&quot;:&quot;18&quot;}},&quot;thumb&quot;:&quot;//web.docer.wpscdn.cn/docer/ds-page/v2/images/3612096174443311107-4.png&quot;,&quot;title&quot;:&quot;堆叠柱状图&quot;,&quot;type&quot;:&quot;chart&quot;},&quot;dschart_id&quot;:&quot;3612096174443311107-4&quot;,&quot;flag&quot;:&quot;1002&quot;,&quot;page&quot;:&quot;editor&quot;}"/>
    <wpswe:property key="isUseCommonErrorPage" value="false"/>
    <wpswe:property key="loadingImage" value="res:/icons/DsWebShapeDefaultPage.svg"/>
  </wpswe:properties>
  <wpswe:watchingCache>
    <wpswe:linkPath>C:/Users/62624/AppData/Local/Temp/wps.SfzwEY/Workbook1.xlsx</wpswe:linkPath>
    <wpswe:dataRange>
      <wpswe:key>data_source</wpswe:key>
      <wpswe:context>Sheet2!$B$1:$E$9</wpswe:context>
      <wpswe:count>9</wpswe:count>
      <wpswe:cells wpswe:idx="0">
        <wpswe:count>4</wpswe:count>
        <wpswe:formatCode>General</wpswe:formatCode>
        <wpswe:cell wpswe:idx="0">
          <wpswe:value>作物名称</wpswe:value>
        </wpswe:cell>
        <wpswe:cell wpswe:idx="1">
          <wpswe:value>初花期株高cm</wpswe:value>
        </wpswe:cell>
        <wpswe:cell wpswe:idx="2">
          <wpswe:value>座果期株高cm</wpswe:value>
        </wpswe:cell>
        <wpswe:cell wpswe:idx="3">
          <wpswe:value>秋收期株高cm</wpswe:value>
        </wpswe:cell>
      </wpswe:cells>
      <wpswe:cells wpswe:idx="1">
        <wpswe:count>4</wpswe:count>
        <wpswe:formatCode>General</wpswe:formatCode>
        <wpswe:cell wpswe:idx="0">
          <wpswe:value>托辣16号</wpswe:value>
        </wpswe:cell>
        <wpswe:cell wpswe:idx="1">
          <wpswe:value>37.567</wpswe:value>
        </wpswe:cell>
        <wpswe:cell wpswe:idx="2">
          <wpswe:value>48.733</wpswe:value>
        </wpswe:cell>
        <wpswe:cell wpswe:idx="3">
          <wpswe:value>67.667</wpswe:value>
        </wpswe:cell>
      </wpswe:cells>
      <wpswe:cells wpswe:idx="2">
        <wpswe:count>4</wpswe:count>
        <wpswe:formatCode>General</wpswe:formatCode>
        <wpswe:cell wpswe:idx="0">
          <wpswe:value>托辣7号</wpswe:value>
        </wpswe:cell>
        <wpswe:cell wpswe:idx="1">
          <wpswe:value>25.367</wpswe:value>
        </wpswe:cell>
        <wpswe:cell wpswe:idx="2">
          <wpswe:value>32.3</wpswe:value>
        </wpswe:cell>
        <wpswe:cell wpswe:idx="3">
          <wpswe:value>51.333</wpswe:value>
        </wpswe:cell>
      </wpswe:cells>
      <wpswe:cells wpswe:idx="3">
        <wpswe:count>4</wpswe:count>
        <wpswe:formatCode>General</wpswe:formatCode>
        <wpswe:cell wpswe:idx="0">
          <wpswe:value>托辣14号</wpswe:value>
        </wpswe:cell>
        <wpswe:cell wpswe:idx="1">
          <wpswe:value>28.567</wpswe:value>
        </wpswe:cell>
        <wpswe:cell wpswe:idx="2">
          <wpswe:value>36.1</wpswe:value>
        </wpswe:cell>
        <wpswe:cell wpswe:idx="3">
          <wpswe:value>59.333</wpswe:value>
        </wpswe:cell>
      </wpswe:cells>
      <wpswe:cells wpswe:idx="4">
        <wpswe:count>4</wpswe:count>
        <wpswe:formatCode>General</wpswe:formatCode>
        <wpswe:cell wpswe:idx="0">
          <wpswe:value>托辣3号</wpswe:value>
        </wpswe:cell>
        <wpswe:cell wpswe:idx="1">
          <wpswe:value>27.667</wpswe:value>
        </wpswe:cell>
        <wpswe:cell wpswe:idx="2">
          <wpswe:value>42.6</wpswe:value>
        </wpswe:cell>
        <wpswe:cell wpswe:idx="3">
          <wpswe:value>57.667</wpswe:value>
        </wpswe:cell>
      </wpswe:cells>
      <wpswe:cells wpswe:idx="5">
        <wpswe:count>4</wpswe:count>
        <wpswe:formatCode>General</wpswe:formatCode>
        <wpswe:cell wpswe:idx="0">
          <wpswe:value>托辣11号</wpswe:value>
        </wpswe:cell>
        <wpswe:cell wpswe:idx="1">
          <wpswe:value>28.133</wpswe:value>
        </wpswe:cell>
        <wpswe:cell wpswe:idx="2">
          <wpswe:value>41.367</wpswe:value>
        </wpswe:cell>
        <wpswe:cell wpswe:idx="3">
          <wpswe:value>50.233</wpswe:value>
        </wpswe:cell>
      </wpswe:cells>
      <wpswe:cells wpswe:idx="6">
        <wpswe:count>4</wpswe:count>
        <wpswe:formatCode>General</wpswe:formatCode>
        <wpswe:cell wpswe:idx="0">
          <wpswe:value>托辣13号</wpswe:value>
        </wpswe:cell>
        <wpswe:cell wpswe:idx="1">
          <wpswe:value>24.4</wpswe:value>
        </wpswe:cell>
        <wpswe:cell wpswe:idx="2">
          <wpswe:value>43.667</wpswe:value>
        </wpswe:cell>
        <wpswe:cell wpswe:idx="3">
          <wpswe:value>66.333</wpswe:value>
        </wpswe:cell>
      </wpswe:cells>
      <wpswe:cells wpswe:idx="7">
        <wpswe:count>4</wpswe:count>
        <wpswe:formatCode>General</wpswe:formatCode>
        <wpswe:cell wpswe:idx="0">
          <wpswe:value>托辣4号</wpswe:value>
        </wpswe:cell>
        <wpswe:cell wpswe:idx="1">
          <wpswe:value>31.1</wpswe:value>
        </wpswe:cell>
        <wpswe:cell wpswe:idx="2">
          <wpswe:value>44.733</wpswe:value>
        </wpswe:cell>
        <wpswe:cell wpswe:idx="3">
          <wpswe:value>60.667</wpswe:value>
        </wpswe:cell>
      </wpswe:cells>
      <wpswe:cells wpswe:idx="8">
        <wpswe:count>4</wpswe:count>
        <wpswe:formatCode>General</wpswe:formatCode>
        <wpswe:cell wpswe:idx="0">
          <wpswe:value>袁托</wpswe:value>
        </wpswe:cell>
        <wpswe:cell wpswe:idx="1">
          <wpswe:value>30.333</wpswe:value>
        </wpswe:cell>
        <wpswe:cell wpswe:idx="2">
          <wpswe:value>39.833</wpswe:value>
        </wpswe:cell>
        <wpswe:cell wpswe:idx="3">
          <wpswe:value>51.667</wpswe:value>
        </wpswe:cell>
      </wpswe:cells>
    </wpswe:dataRange>
  </wpswe:watchingCache>
  <wpswe:snapshot xmlns:r="http://schemas.openxmlformats.org/officeDocument/2006/relationships" r:embed="rId2"/>
  <wpswe:externalData xmlns:r="http://schemas.openxmlformats.org/officeDocument/2006/relationships" r:id="rId1"/>
  <wpswe:url>https://clientweb.docer.wps.cn//docer-ds/web-shape-1.0.0/?id=66&amp;dschart_id=3612096174443311107-4&amp;from=insert_Column&amp;productEntry=dropwin&amp;sceneEntry=docrec-66</wpswe:url>
  <wpswe:constantSnapshot>false</wpswe:constantSnapshot>
</wpswe:webExtension>
</file>

<file path=word/webExtensions/webExtension2.xml><?xml version="1.0" encoding="utf-8"?>
<wpswe:webExtension xmlns:wpswe="http://www.wps.cn/officeDocument/2018/webExtension">
  <wpswe:extSource id="dschart" version="1.0"/>
  <wpswe:properties>
    <wpswe:property key="DiscardFirstCodeChange" value="0"/>
    <wpswe:property key="autoSnapshot" value="0"/>
    <wpswe:property key="dschart" value="{&quot;dschart_data&quot;:{&quot;blockId&quot;:&quot;160708166728417321&quot;,&quot;chart_type&quot;:&quot;柱状图&quot;,&quot;classifty_type&quot;:[&quot;比较类&quot;],&quot;dataSrc&quot;:{&quot;data&quot;:[[[&quot;作物名称&quot;,&quot;初花期茎粗mm&quot;,&quot;座果期茎粗mm&quot;,&quot;秋收期期茎粗mm&quot;],[&quot;托辣16号&quot;,&quot;6.07067&quot;,&quot;9.41333&quot;,&quot;13.84333&quot;],[&quot;托辣7号&quot;,&quot;5.35933&quot;,&quot;7.79667&quot;,&quot;14.71667&quot;],[&quot;托辣14号&quot;,&quot;4.86&quot;,&quot;8.09&quot;,&quot;12.76&quot;],[&quot;托辣3号&quot;,&quot;5.56&quot;,&quot;10.53333&quot;,&quot;14.54567&quot;],[&quot;托辣11号&quot;,&quot;5.83933&quot;,&quot;10.61&quot;,&quot;15.261&quot;],[&quot;托辣13号&quot;,&quot;4.89933&quot;,&quot;10.34667&quot;,&quot;13.65433&quot;],[&quot;托辣4号&quot;,&quot;6.05667&quot;,&quot;10.75&quot;,&quot;16.299&quot;],[&quot;袁托&quot;,&quot;6.178&quot;,&quot;10.95533&quot;,&quot;15.62967&quot;]]],&quot;dataType&quot;:&quot;cross-table&quot;,&quot;download&quot;:false,&quot;srcType&quot;:&quot;local&quot;,&quot;url&quot;:&quot;&quot;},&quot;function_type&quot;:[&quot;柱形图&quot;],&quot;gif&quot;:&quot;//web.docer.wpscdn.cn/docer/ds-page/v2/images/3612096174443311107.gif?imageView2/2/w/500/quality/90&quot;,&quot;isFree&quot;:&quot;0&quot;,&quot;label&quot;:&quot;&lt;e-barstack-chart&gt;&quot;,&quot;projectId&quot;:&quot;160733549631190793&quot;,&quot;props&quot;:{&quot;animation&quot;:{&quot;duration&quot;:&quot;1.5&quot;,&quot;easeStyle&quot;:&quot;&quot;,&quot;endPause&quot;:&quot;1&quot;,&quot;moveOptions&quot;:[&quot;纵向分类拉伸&quot;,&quot;纵向分组拉伸&quot;,&quot;纵向同步拉伸&quot;,&quot;纵向整体拉伸&quot;,&quot;横向整体展开&quot;,&quot;横向同步展开&quot;,&quot;俄罗斯方块&quot;],&quot;moveStyle&quot;:&quot;纵向分类拉伸&quot;,&quot;startDelay&quot;:&quot;0&quot;,&quot;transition&quot;:true},&quot;axis&quot;:{&quot;grid&quot;:{&quot;color&quot;:&quot;#e9e9e9&quot;,&quot;gridLineWidth&quot;:&quot;1&quot;,&quot;lineStyle&quot;:&quot;dashline&quot;,&quot;show&quot;:&quot;x&quot;},&quot;x&quot;:{&quot;axisColor&quot;:&quot;#bfbfbf&quot;,&quot;axisLineWidth&quot;:&quot;1&quot;,&quot;axisShow&quot;:true,&quot;labelAngle&quot;:&quot;0&quot;,&quot;labelDirection&quot;:&quot;自动&quot;,&quot;labelDirectionOptions&quot;:[&quot;自动&quot;,&quot;横排&quot;,&quot;竖排&quot;],&quot;labelShow&quot;:true,&quot;name&quot;:&quot;作物编号&quot;},&quot;y&quot;:{&quot;axisColor&quot;:&quot;#bfbfbf&quot;,&quot;axisLineWidth&quot;:&quot;1&quot;,&quot;axisShow&quot;:false,&quot;labelShow&quot;:true,&quot;labelSuffix&quot;:&quot;&quot;,&quot;name&quot;:&quot;茎粗（mm）&quot;,&quot;range&quot;:[],&quot;stepOfLabel&quot;:&quot;&quot;}},&quot;backgroundColor&quot;:&quot;#F3FFF7&quot;,&quot;colors&quot;:{&quot;colorControlers&quot;:[&quot;multiple&quot;],&quot;list&quot;:[0,1,2],&quot;type&quot;:&quot;multiple&quot;},&quot;display&quot;:{&quot;barWidthPercent&quot;:0.4,&quot;borderColor&quot;:&quot;&quot;,&quot;borderWidth&quot;:&quot;0&quot;,&quot;fillOpacity&quot;:&quot;1&quot;},&quot;font&quot;:{&quot;color&quot;:&quot;#545454&quot;,&quot;fontFamily&quot;:&quot;阿里巴巴普惠体 常规&quot;,&quot;fontSize&quot;:16},&quot;label&quot;:{&quot;display&quot;:false,&quot;positionChoice&quot;:&quot;内部居中&quot;,&quot;positionOptions&quot;:[&quot;内部居中&quot;,&quot;内部居下&quot;],&quot;suffix&quot;:&quot;&quot;,&quot;textLabel&quot;:{&quot;color&quot;:&quot;#545454&quot;,&quot;fontFamily&quot;:&quot;阿里巴巴普惠体 常规&quot;,&quot;fontSize&quot;:&quot;14&quot;}},&quot;legend&quot;:{&quot;color&quot;:[&quot;#545454&quot;],&quot;fontFamily&quot;:[&quot;阿里巴巴普惠体 常规&quot;],&quot;fontSize&quot;:16,&quot;lineHeight&quot;:&quot;15&quot;,&quot;show&quot;:true,&quot;style&quot;:&quot;&quot;,&quot;styleOptions&quot;:&quot;&quot;,&quot;xPosition&quot;:&quot;right&quot;,&quot;yPosition&quot;:&quot;top&quot;},&quot;logoDisplay&quot;:{&quot;bottomLineHeight&quot;:&quot;15&quot;,&quot;imgHeight&quot;:&quot;32&quot;,&quot;imgUrl&quot;:&quot;https://ss1.dycharts.com/newchartLogo.png&quot;,&quot;show&quot;:false,&quot;topLineHeight&quot;:&quot;11&quot;},&quot;map&quot;:[[{&quot;allowType&quot;:[&quot;string&quot;],&quot;configurable&quot;:false,&quot;function&quot;:&quot;objCol&quot;,&quot;index&quot;:0,&quot;isLegend&quot;:false,&quot;name&quot;:&quot;X轴对象&quot;},{&quot;allowType&quot;:[&quot;number&quot;],&quot;configurable&quot;:true,&quot;function&quot;:&quot;vCol&quot;,&quot;index&quot;:1,&quot;isLegend&quot;:false,&quot;name&quot;:&quot;数值列&quot;},{&quot;allowType&quot;:[&quot;number&quot;],&quot;configurable&quot;:true,&quot;function&quot;:&quot;vCol&quot;,&quot;index&quot;:2,&quot;isLegend&quot;:false,&quot;name&quot;:&quot;数值列&quot;},{&quot;allowType&quot;:[&quot;number&quot;],&quot;configurable&quot;:true,&quot;function&quot;:&quot;vCol&quot;,&quot;index&quot;:3,&quot;isLegend&quot;:false,&quot;name&quot;:&quot;数值列&quot;}]],&quot;paddings&quot;:{&quot;bottom&quot;:&quot;23&quot;,&quot;chartBottom&quot;:&quot;5&quot;,&quot;left&quot;:&quot;24&quot;,&quot;right&quot;:&quot;24&quot;,&quot;top&quot;:&quot;20&quot;},&quot;publishDisplay&quot;:{&quot;color&quot;:&quot;#878787&quot;,&quot;fontFamily&quot;:&quot;阿里巴巴普惠体 常规&quot;,&quot;fontSize&quot;:&quot;14&quot;,&quot;show&quot;:false,&quot;text&quot;:&quot;镝数出品&quot;},&quot;shadow&quot;:{&quot;display&quot;:true,&quot;shadowAngle&quot;:&quot;45&quot;,&quot;shadowBlur&quot;:&quot;5&quot;,&quot;shadowColor&quot;:&quot;#c6c6c6&quot;,&quot;shadowOpacity&quot;:&quot;100&quot;,&quot;shadowRadius&quot;:&quot;3&quot;},&quot;size&quot;:{&quot;height&quot;:&quot;470&quot;,&quot;ratio&quot;:&quot;&quot;,&quot;rotate&quot;:0,&quot;width&quot;:&quot;600&quot;},&quot;sourceDisplay&quot;:{&quot;color&quot;:&quot;#878787&quot;,&quot;fontFamily&quot;:&quot;阿里巴巴普惠体 常规&quot;,&quot;fontSize&quot;:&quot;14&quot;,&quot;show&quot;:false,&quot;text&quot;:&quot;数据来源：示例数据&quot;,&quot;topLineHeight&quot;:&quot;15&quot;,&quot;xPosition&quot;:&quot;left&quot;,&quot;yPosition&quot;:&quot;bottom&quot;},&quot;titleDisplay&quot;:{&quot;color&quot;:&quot;#4c4c4c&quot;,&quot;fontFamily&quot;:&quot;阿里巴巴普惠体 常规&quot;,&quot;fontSize&quot;:&quot;18&quot;,&quot;lineHeight&quot;:&quot;10&quot;,&quot;show&quot;:false,&quot;text&quot;:&quot;某公司各类型游戏产品的市场规模&quot;,&quot;totalHeight&quot;:&quot;39&quot;,&quot;xPosition&quot;:&quot;left&quot;,&quot;yPosition&quot;:&quot;top&quot;},&quot;tooltip&quot;:true,&quot;unitDisplay&quot;:{&quot;bottomLineHeight&quot;:&quot;15&quot;,&quot;color&quot;:&quot;#878787&quot;,&quot;fontFamily&quot;:&quot;阿里巴巴普惠体 常规&quot;,&quot;fontSize&quot;:&quot;14&quot;,&quot;show&quot;:false,&quot;text&quot;:&quot;单位：万元&quot;,&quot;xPosition&quot;:&quot;left&quot;,&quot;yPosition&quot;:&quot;top&quot;},&quot;watermarkDisplay&quot;:{&quot;imgHeight&quot;:&quot;80&quot;,&quot;imgUrl&quot;:&quot;https://ss1.dycharts.com/newchartWatermark.png&quot;,&quot;imgWidth&quot;:&quot;80&quot;,&quot;show&quot;:false}},&quot;templateId&quot;:&quot;3612096174443311107-4&quot;,&quot;templateSwitch&quot;:&quot;cross&quot;,&quot;theme&quot;:{&quot;_id&quot;:18,&quot;axis&quot;:{&quot;color&quot;:&quot;#a1a1a1 &quot;},&quot;backgroundColor&quot;:&quot;#FFFFFF&quot;,&quot;colors&quot;:[&quot;#588C7Eff&quot;,&quot;#ACBC8Aff&quot;,&quot;#ECD189ff&quot;,&quot;#F2B476ff&quot;,&quot;#E99469ff&quot;,&quot;#DB6B5Cff&quot;,&quot;#8C4646ff&quot;,&quot;#588C7Eff&quot;,&quot;#ACBC8Aff&quot;,&quot;#ECD189ff&quot;,&quot;#F2B476ff&quot;,&quot;#E99469ff&quot;,&quot;#DB6B5Cff&quot;,&quot;#8C4646ff&quot;],&quot;fonts&quot;:{&quot;accessoryColor&quot;:&quot;# 878787 &quot;,&quot;color&quot;:&quot;#545454&quot;,&quot;fontFamily&quot;:&quot;阿里巴巴普惠体 常规&quot;,&quot;fontSize&quot;:&quot;14&quot;},&quot;grid&quot;:{&quot;color&quot;:&quot;#cccccc&quot;},&quot;id&quot;:&quot;17&quot;,&quot;name&quot;:&quot;默认主题&quot;,&quot;price&quot;:&quot;0.0&quot;,&quot;shapeColor&quot;:1,&quot;themeId&quot;:&quot;18&quot;,&quot;thumb&quot;:&quot;https://ss1.dydata.io/v2/themes/17.png&quot;,&quot;titleFont&quot;:{&quot;color&quot;:&quot;#4c4c4c&quot;,&quot;fontFamily&quot;:&quot;阿里巴巴普惠体 常规&quot;,&quot;fontSize&quot;:&quot;18&quot;}},&quot;thumb&quot;:&quot;//web.docer.wpscdn.cn/docer/ds-page/v2/images/3612096174443311107-4.png&quot;,&quot;title&quot;:&quot;堆叠柱状图&quot;,&quot;type&quot;:&quot;chart&quot;},&quot;dschart_id&quot;:&quot;3612096174443311107-4&quot;,&quot;flag&quot;:&quot;1002&quot;,&quot;page&quot;:&quot;editor&quot;}"/>
    <wpswe:property key="isUseCommonErrorPage" value="false"/>
    <wpswe:property key="loadingImage" value="res:/icons/DsWebShapeDefaultPage.svg"/>
  </wpswe:properties>
  <wpswe:watchingCache>
    <wpswe:linkPath>C:/Users/62624/AppData/Local/Temp/wps.ZIwyua/Workbook2.xlsx</wpswe:linkPath>
    <wpswe:dataRange>
      <wpswe:key>data_source</wpswe:key>
      <wpswe:context>Sheet4!$B$1:$E$9</wpswe:context>
      <wpswe:count>9</wpswe:count>
      <wpswe:cells wpswe:idx="0">
        <wpswe:count>4</wpswe:count>
        <wpswe:formatCode>General</wpswe:formatCode>
        <wpswe:cell wpswe:idx="0">
          <wpswe:value>作物名称</wpswe:value>
        </wpswe:cell>
        <wpswe:cell wpswe:idx="1">
          <wpswe:value>初花期茎粗mm</wpswe:value>
        </wpswe:cell>
        <wpswe:cell wpswe:idx="2">
          <wpswe:value>座果期茎粗mm</wpswe:value>
        </wpswe:cell>
        <wpswe:cell wpswe:idx="3">
          <wpswe:value>秋收期期茎粗mm</wpswe:value>
        </wpswe:cell>
      </wpswe:cells>
      <wpswe:cells wpswe:idx="1">
        <wpswe:count>4</wpswe:count>
        <wpswe:formatCode>General</wpswe:formatCode>
        <wpswe:cell wpswe:idx="0">
          <wpswe:value>托辣16号</wpswe:value>
        </wpswe:cell>
        <wpswe:cell wpswe:idx="1">
          <wpswe:value>6.07067</wpswe:value>
        </wpswe:cell>
        <wpswe:cell wpswe:idx="2">
          <wpswe:value>9.41333</wpswe:value>
        </wpswe:cell>
        <wpswe:cell wpswe:idx="3">
          <wpswe:value>13.84333</wpswe:value>
        </wpswe:cell>
      </wpswe:cells>
      <wpswe:cells wpswe:idx="2">
        <wpswe:count>4</wpswe:count>
        <wpswe:formatCode>General</wpswe:formatCode>
        <wpswe:cell wpswe:idx="0">
          <wpswe:value>托辣7号</wpswe:value>
        </wpswe:cell>
        <wpswe:cell wpswe:idx="1">
          <wpswe:value>5.35933</wpswe:value>
        </wpswe:cell>
        <wpswe:cell wpswe:idx="2">
          <wpswe:value>7.79667</wpswe:value>
        </wpswe:cell>
        <wpswe:cell wpswe:idx="3">
          <wpswe:value>14.71667</wpswe:value>
        </wpswe:cell>
      </wpswe:cells>
      <wpswe:cells wpswe:idx="3">
        <wpswe:count>4</wpswe:count>
        <wpswe:formatCode>General</wpswe:formatCode>
        <wpswe:cell wpswe:idx="0">
          <wpswe:value>托辣14号</wpswe:value>
        </wpswe:cell>
        <wpswe:cell wpswe:idx="1">
          <wpswe:value>4.86</wpswe:value>
        </wpswe:cell>
        <wpswe:cell wpswe:idx="2">
          <wpswe:value>8.09</wpswe:value>
        </wpswe:cell>
        <wpswe:cell wpswe:idx="3">
          <wpswe:value>12.76</wpswe:value>
        </wpswe:cell>
      </wpswe:cells>
      <wpswe:cells wpswe:idx="4">
        <wpswe:count>4</wpswe:count>
        <wpswe:formatCode>General</wpswe:formatCode>
        <wpswe:cell wpswe:idx="0">
          <wpswe:value>托辣3号</wpswe:value>
        </wpswe:cell>
        <wpswe:cell wpswe:idx="1">
          <wpswe:value>5.56</wpswe:value>
        </wpswe:cell>
        <wpswe:cell wpswe:idx="2">
          <wpswe:value>10.53333</wpswe:value>
        </wpswe:cell>
        <wpswe:cell wpswe:idx="3">
          <wpswe:value>14.54567</wpswe:value>
        </wpswe:cell>
      </wpswe:cells>
      <wpswe:cells wpswe:idx="5">
        <wpswe:count>4</wpswe:count>
        <wpswe:formatCode>General</wpswe:formatCode>
        <wpswe:cell wpswe:idx="0">
          <wpswe:value>托辣11号</wpswe:value>
        </wpswe:cell>
        <wpswe:cell wpswe:idx="1">
          <wpswe:value>5.83933</wpswe:value>
        </wpswe:cell>
        <wpswe:cell wpswe:idx="2">
          <wpswe:value>10.61</wpswe:value>
        </wpswe:cell>
        <wpswe:cell wpswe:idx="3">
          <wpswe:value>15.261</wpswe:value>
        </wpswe:cell>
      </wpswe:cells>
      <wpswe:cells wpswe:idx="6">
        <wpswe:count>4</wpswe:count>
        <wpswe:formatCode>General</wpswe:formatCode>
        <wpswe:cell wpswe:idx="0">
          <wpswe:value>托辣13号</wpswe:value>
        </wpswe:cell>
        <wpswe:cell wpswe:idx="1">
          <wpswe:value>4.89933</wpswe:value>
        </wpswe:cell>
        <wpswe:cell wpswe:idx="2">
          <wpswe:value>10.34667</wpswe:value>
        </wpswe:cell>
        <wpswe:cell wpswe:idx="3">
          <wpswe:value>13.65433</wpswe:value>
        </wpswe:cell>
      </wpswe:cells>
      <wpswe:cells wpswe:idx="7">
        <wpswe:count>4</wpswe:count>
        <wpswe:formatCode>General</wpswe:formatCode>
        <wpswe:cell wpswe:idx="0">
          <wpswe:value>托辣4号</wpswe:value>
        </wpswe:cell>
        <wpswe:cell wpswe:idx="1">
          <wpswe:value>6.05667</wpswe:value>
        </wpswe:cell>
        <wpswe:cell wpswe:idx="2">
          <wpswe:value>10.75</wpswe:value>
        </wpswe:cell>
        <wpswe:cell wpswe:idx="3">
          <wpswe:value>16.299</wpswe:value>
        </wpswe:cell>
      </wpswe:cells>
      <wpswe:cells wpswe:idx="8">
        <wpswe:count>4</wpswe:count>
        <wpswe:formatCode>General</wpswe:formatCode>
        <wpswe:cell wpswe:idx="0">
          <wpswe:value>袁托</wpswe:value>
        </wpswe:cell>
        <wpswe:cell wpswe:idx="1">
          <wpswe:value>6.178</wpswe:value>
        </wpswe:cell>
        <wpswe:cell wpswe:idx="2">
          <wpswe:value>10.95533</wpswe:value>
        </wpswe:cell>
        <wpswe:cell wpswe:idx="3">
          <wpswe:value>15.62967</wpswe:value>
        </wpswe:cell>
      </wpswe:cells>
    </wpswe:dataRange>
  </wpswe:watchingCache>
  <wpswe:snapshot xmlns:r="http://schemas.openxmlformats.org/officeDocument/2006/relationships" r:embed="rId2"/>
  <wpswe:externalData xmlns:r="http://schemas.openxmlformats.org/officeDocument/2006/relationships" r:id="rId1"/>
  <wpswe:url>https://clientweb.docer.wps.cn//docer-ds/web-shape-1.0.0/?id=66&amp;dschart_id=3612096174443311107-4&amp;from=insert_Column&amp;productEntry=dropwin&amp;sceneEntry=docrec-66</wpswe:url>
  <wpswe:constantSnapshot>false</wpswe:constantSnapshot>
</wpswe:webExtension>
</file>

<file path=word/webExtensions/webExtension3.xml><?xml version="1.0" encoding="utf-8"?>
<wpswe:webExtension xmlns:wpswe="http://www.wps.cn/officeDocument/2018/webExtension">
  <wpswe:extSource id="dschart" version="1.0"/>
  <wpswe:properties>
    <wpswe:property key="DiscardFirstCodeChange" value="0"/>
    <wpswe:property key="autoSnapshot" value="0"/>
    <wpswe:property key="dschart" value="{&quot;dschart_data&quot;:{&quot;blockId&quot;:&quot;160708166728417321&quot;,&quot;chart_type&quot;:&quot;柱状图&quot;,&quot;classifty_type&quot;:[&quot;比较类&quot;],&quot;dataSrc&quot;:{&quot;data&quot;:[[[&quot;作物名称&quot;,&quot;初花期株展cm&quot;,&quot;座果期株展cm&quot;,&quot;秋收期株展cm&quot;],[&quot;托辣16号&quot;,&quot;28.767&quot;,&quot;44.167&quot;,&quot;63.8&quot;],[&quot;托辣7号&quot;,&quot;24.7&quot;,&quot;38.633&quot;,&quot;66&quot;],[&quot;托辣14号&quot;,&quot;21.033&quot;,&quot;34.467&quot;,&quot;51.6667&quot;],[&quot;托辣3号&quot;,&quot;27.533&quot;,&quot;46&quot;,&quot;60&quot;],[&quot;托辣11号&quot;,&quot;29.3&quot;,&quot;48.533&quot;,&quot;67.1467&quot;],[&quot;托辣13号&quot;,&quot;24.567&quot;,&quot;43.6&quot;,&quot;60.6133&quot;],[&quot;托辣4号&quot;,&quot;24.733&quot;,&quot;47.633&quot;,&quot;58.4333&quot;],[&quot;袁托&quot;,&quot;33.233&quot;,&quot;42.067&quot;,&quot;53.3667&quot;]]],&quot;dataType&quot;:&quot;cross-table&quot;,&quot;download&quot;:false,&quot;srcType&quot;:&quot;local&quot;,&quot;url&quot;:&quot;&quot;},&quot;function_type&quot;:[&quot;柱形图&quot;],&quot;gif&quot;:&quot;//web.docer.wpscdn.cn/docer/ds-page/v2/images/3612096174443311107.gif?imageView2/2/w/500/quality/90&quot;,&quot;isFree&quot;:&quot;0&quot;,&quot;label&quot;:&quot;&lt;e-barstack-chart&gt;&quot;,&quot;projectId&quot;:&quot;160733549631190793&quot;,&quot;props&quot;:{&quot;animation&quot;:{&quot;duration&quot;:&quot;1.5&quot;,&quot;easeStyle&quot;:&quot;&quot;,&quot;endPause&quot;:&quot;1&quot;,&quot;moveOptions&quot;:[&quot;纵向分类拉伸&quot;,&quot;纵向分组拉伸&quot;,&quot;纵向同步拉伸&quot;,&quot;纵向整体拉伸&quot;,&quot;横向整体展开&quot;,&quot;横向同步展开&quot;,&quot;俄罗斯方块&quot;],&quot;moveStyle&quot;:&quot;纵向分类拉伸&quot;,&quot;startDelay&quot;:&quot;0&quot;,&quot;transition&quot;:true},&quot;axis&quot;:{&quot;grid&quot;:{&quot;color&quot;:&quot;#e9e9e9&quot;,&quot;gridLineWidth&quot;:&quot;1&quot;,&quot;lineStyle&quot;:&quot;dashline&quot;,&quot;show&quot;:&quot;x&quot;},&quot;x&quot;:{&quot;axisColor&quot;:&quot;#bfbfbf&quot;,&quot;axisLineWidth&quot;:&quot;1&quot;,&quot;axisShow&quot;:true,&quot;labelAngle&quot;:&quot;0&quot;,&quot;labelDirection&quot;:&quot;自动&quot;,&quot;labelDirectionOptions&quot;:[&quot;自动&quot;,&quot;横排&quot;,&quot;竖排&quot;],&quot;labelShow&quot;:true,&quot;name&quot;:&quot;作物编号&quot;},&quot;y&quot;:{&quot;axisColor&quot;:&quot;#bfbfbf&quot;,&quot;axisLineWidth&quot;:&quot;1&quot;,&quot;axisShow&quot;:false,&quot;labelShow&quot;:true,&quot;labelSuffix&quot;:&quot;&quot;,&quot;name&quot;:&quot;株展cm&quot;,&quot;range&quot;:[],&quot;stepOfLabel&quot;:&quot;&quot;}},&quot;backgroundColor&quot;:&quot;#F3FFF7&quot;,&quot;colors&quot;:{&quot;colorControlers&quot;:[&quot;multiple&quot;],&quot;list&quot;:[0,1,2],&quot;type&quot;:&quot;multiple&quot;},&quot;display&quot;:{&quot;barWidthPercent&quot;:0.4,&quot;borderColor&quot;:&quot;&quot;,&quot;borderWidth&quot;:&quot;0&quot;,&quot;fillOpacity&quot;:&quot;1&quot;},&quot;font&quot;:{&quot;color&quot;:&quot;#545454&quot;,&quot;fontFamily&quot;:&quot;阿里巴巴普惠体 常规&quot;,&quot;fontSize&quot;:16},&quot;label&quot;:{&quot;display&quot;:false,&quot;positionChoice&quot;:&quot;内部居中&quot;,&quot;positionOptions&quot;:[&quot;内部居中&quot;,&quot;内部居下&quot;],&quot;suffix&quot;:&quot;&quot;,&quot;textLabel&quot;:{&quot;color&quot;:&quot;#545454&quot;,&quot;fontFamily&quot;:&quot;阿里巴巴普惠体 常规&quot;,&quot;fontSize&quot;:&quot;14&quot;}},&quot;legend&quot;:{&quot;color&quot;:[&quot;#545454&quot;],&quot;fontFamily&quot;:[&quot;阿里巴巴普惠体 常规&quot;],&quot;fontSize&quot;:16,&quot;lineHeight&quot;:&quot;15&quot;,&quot;show&quot;:true,&quot;style&quot;:&quot;&quot;,&quot;styleOptions&quot;:[],&quot;xPosition&quot;:&quot;right&quot;,&quot;yPosition&quot;:&quot;top&quot;},&quot;logoDisplay&quot;:{&quot;bottomLineHeight&quot;:&quot;15&quot;,&quot;imgHeight&quot;:&quot;32&quot;,&quot;imgUrl&quot;:&quot;https://ss1.dycharts.com/newchartLogo.png&quot;,&quot;show&quot;:false,&quot;topLineHeight&quot;:&quot;11&quot;},&quot;map&quot;:[[{&quot;allowType&quot;:[&quot;string&quot;],&quot;configurable&quot;:false,&quot;function&quot;:&quot;objCol&quot;,&quot;index&quot;:0,&quot;isLegend&quot;:false,&quot;name&quot;:&quot;X轴对象&quot;},{&quot;allowType&quot;:[&quot;number&quot;],&quot;configurable&quot;:true,&quot;function&quot;:&quot;vCol&quot;,&quot;index&quot;:1,&quot;isLegend&quot;:false,&quot;name&quot;:&quot;数值列&quot;},{&quot;allowType&quot;:[&quot;number&quot;],&quot;configurable&quot;:true,&quot;function&quot;:&quot;vCol&quot;,&quot;index&quot;:2,&quot;isLegend&quot;:false,&quot;name&quot;:&quot;数值列&quot;},{&quot;allowType&quot;:[&quot;number&quot;],&quot;configurable&quot;:true,&quot;function&quot;:&quot;vCol&quot;,&quot;index&quot;:3,&quot;isLegend&quot;:false,&quot;name&quot;:&quot;数值列&quot;}]],&quot;paddings&quot;:{&quot;bottom&quot;:&quot;23&quot;,&quot;chartBottom&quot;:&quot;5&quot;,&quot;left&quot;:&quot;24&quot;,&quot;right&quot;:&quot;24&quot;,&quot;top&quot;:&quot;20&quot;},&quot;publishDisplay&quot;:{&quot;color&quot;:&quot;#878787&quot;,&quot;fontFamily&quot;:&quot;阿里巴巴普惠体 常规&quot;,&quot;fontSize&quot;:&quot;14&quot;,&quot;show&quot;:false,&quot;text&quot;:&quot;镝数出品&quot;},&quot;shadow&quot;:{&quot;display&quot;:true,&quot;shadowAngle&quot;:&quot;45&quot;,&quot;shadowBlur&quot;:&quot;5&quot;,&quot;shadowColor&quot;:&quot;#c6c6c6&quot;,&quot;shadowOpacity&quot;:&quot;100&quot;,&quot;shadowRadius&quot;:&quot;3&quot;},&quot;size&quot;:{&quot;height&quot;:311,&quot;ratio&quot;:&quot;&quot;,&quot;rotate&quot;:0,&quot;width&quot;:451},&quot;sourceDisplay&quot;:{&quot;color&quot;:&quot;#878787&quot;,&quot;fontFamily&quot;:&quot;阿里巴巴普惠体 常规&quot;,&quot;fontSize&quot;:&quot;14&quot;,&quot;show&quot;:false,&quot;text&quot;:&quot;数据来源：示例数据&quot;,&quot;topLineHeight&quot;:&quot;15&quot;,&quot;xPosition&quot;:&quot;left&quot;,&quot;yPosition&quot;:&quot;bottom&quot;},&quot;titleDisplay&quot;:{&quot;color&quot;:&quot;#4c4c4c&quot;,&quot;fontFamily&quot;:&quot;阿里巴巴普惠体 常规&quot;,&quot;fontSize&quot;:&quot;18&quot;,&quot;lineHeight&quot;:&quot;10&quot;,&quot;show&quot;:false,&quot;text&quot;:&quot;某公司各类型游戏产品的市场规模&quot;,&quot;totalHeight&quot;:&quot;39&quot;,&quot;xPosition&quot;:&quot;left&quot;,&quot;yPosition&quot;:&quot;top&quot;},&quot;tooltip&quot;:true,&quot;unitDisplay&quot;:{&quot;bottomLineHeight&quot;:&quot;15&quot;,&quot;color&quot;:&quot;#878787&quot;,&quot;fontFamily&quot;:&quot;阿里巴巴普惠体 常规&quot;,&quot;fontSize&quot;:&quot;14&quot;,&quot;show&quot;:false,&quot;text&quot;:&quot;单位：万元&quot;,&quot;xPosition&quot;:&quot;left&quot;,&quot;yPosition&quot;:&quot;top&quot;},&quot;watermarkDisplay&quot;:{&quot;imgHeight&quot;:&quot;80&quot;,&quot;imgUrl&quot;:&quot;https://ss1.dycharts.com/newchartWatermark.png&quot;,&quot;imgWidth&quot;:&quot;80&quot;,&quot;show&quot;:false}},&quot;templateId&quot;:&quot;3612096174443311107-4&quot;,&quot;templateSwitch&quot;:&quot;cross&quot;,&quot;theme&quot;:{&quot;_id&quot;:18,&quot;axis&quot;:{&quot;color&quot;:&quot;#a1a1a1 &quot;},&quot;backgroundColor&quot;:&quot;#FFFFFF&quot;,&quot;colors&quot;:[&quot;#588C7Eff&quot;,&quot;#ACBC8Aff&quot;,&quot;#ECD189ff&quot;,&quot;#F2B476ff&quot;,&quot;#E99469ff&quot;,&quot;#DB6B5Cff&quot;,&quot;#8C4646ff&quot;,&quot;#588C7Eff&quot;,&quot;#ACBC8Aff&quot;,&quot;#ECD189ff&quot;,&quot;#F2B476ff&quot;,&quot;#E99469ff&quot;,&quot;#DB6B5Cff&quot;,&quot;#8C4646ff&quot;],&quot;fonts&quot;:{&quot;accessoryColor&quot;:&quot;# 878787 &quot;,&quot;color&quot;:&quot;#545454&quot;,&quot;fontFamily&quot;:&quot;阿里巴巴普惠体 常规&quot;,&quot;fontSize&quot;:&quot;14&quot;},&quot;grid&quot;:{&quot;color&quot;:&quot;#cccccc&quot;},&quot;id&quot;:&quot;17&quot;,&quot;name&quot;:&quot;默认主题&quot;,&quot;price&quot;:&quot;0.0&quot;,&quot;shapeColor&quot;:1,&quot;themeId&quot;:&quot;18&quot;,&quot;thumb&quot;:&quot;https://ss1.dydata.io/v2/themes/17.png&quot;,&quot;titleFont&quot;:{&quot;color&quot;:&quot;#4c4c4c&quot;,&quot;fontFamily&quot;:&quot;阿里巴巴普惠体 常规&quot;,&quot;fontSize&quot;:&quot;18&quot;}},&quot;thumb&quot;:&quot;//web.docer.wpscdn.cn/docer/ds-page/v2/images/3612096174443311107-4.png&quot;,&quot;title&quot;:&quot;堆叠柱状图&quot;,&quot;type&quot;:&quot;chart&quot;},&quot;dschart_id&quot;:&quot;3612096174443311107-4&quot;,&quot;id&quot;:&quot;66&quot;}"/>
    <wpswe:property key="isUseCommonErrorPage" value="false"/>
    <wpswe:property key="loadingImage" value="res:/icons/DsWebShapeDefaultPage.svg"/>
  </wpswe:properties>
  <wpswe:watchingCache>
    <wpswe:linkPath>C:/Users/62624/AppData/Local/Temp/wps.nzevui/Workbook3.xlsx</wpswe:linkPath>
    <wpswe:dataRange>
      <wpswe:key>data_source</wpswe:key>
      <wpswe:context>Sheet2!$B$1:$E$9</wpswe:context>
      <wpswe:count>9</wpswe:count>
      <wpswe:cells wpswe:idx="0">
        <wpswe:count>4</wpswe:count>
        <wpswe:formatCode>General</wpswe:formatCode>
        <wpswe:cell wpswe:idx="0">
          <wpswe:value>作物名称</wpswe:value>
        </wpswe:cell>
        <wpswe:cell wpswe:idx="1">
          <wpswe:value>初花期株展cm</wpswe:value>
        </wpswe:cell>
        <wpswe:cell wpswe:idx="2">
          <wpswe:value>座果期株展cm</wpswe:value>
        </wpswe:cell>
        <wpswe:cell wpswe:idx="3">
          <wpswe:value>秋收期株展cm</wpswe:value>
        </wpswe:cell>
      </wpswe:cells>
      <wpswe:cells wpswe:idx="1">
        <wpswe:count>4</wpswe:count>
        <wpswe:formatCode>General</wpswe:formatCode>
        <wpswe:cell wpswe:idx="0">
          <wpswe:value>托辣16号</wpswe:value>
        </wpswe:cell>
        <wpswe:cell wpswe:idx="1">
          <wpswe:value>28.767</wpswe:value>
        </wpswe:cell>
        <wpswe:cell wpswe:idx="2">
          <wpswe:value>44.167</wpswe:value>
        </wpswe:cell>
        <wpswe:cell wpswe:idx="3">
          <wpswe:value>63.8</wpswe:value>
        </wpswe:cell>
      </wpswe:cells>
      <wpswe:cells wpswe:idx="2">
        <wpswe:count>4</wpswe:count>
        <wpswe:formatCode>General</wpswe:formatCode>
        <wpswe:cell wpswe:idx="0">
          <wpswe:value>托辣7号</wpswe:value>
        </wpswe:cell>
        <wpswe:cell wpswe:idx="1">
          <wpswe:value>24.7</wpswe:value>
        </wpswe:cell>
        <wpswe:cell wpswe:idx="2">
          <wpswe:value>38.633</wpswe:value>
        </wpswe:cell>
        <wpswe:cell wpswe:idx="3">
          <wpswe:value>66</wpswe:value>
        </wpswe:cell>
      </wpswe:cells>
      <wpswe:cells wpswe:idx="3">
        <wpswe:count>4</wpswe:count>
        <wpswe:formatCode>General</wpswe:formatCode>
        <wpswe:cell wpswe:idx="0">
          <wpswe:value>托辣14号</wpswe:value>
        </wpswe:cell>
        <wpswe:cell wpswe:idx="1">
          <wpswe:value>21.033</wpswe:value>
        </wpswe:cell>
        <wpswe:cell wpswe:idx="2">
          <wpswe:value>34.467</wpswe:value>
        </wpswe:cell>
        <wpswe:cell wpswe:idx="3">
          <wpswe:value>51.6667</wpswe:value>
        </wpswe:cell>
      </wpswe:cells>
      <wpswe:cells wpswe:idx="4">
        <wpswe:count>4</wpswe:count>
        <wpswe:formatCode>General</wpswe:formatCode>
        <wpswe:cell wpswe:idx="0">
          <wpswe:value>托辣3号</wpswe:value>
        </wpswe:cell>
        <wpswe:cell wpswe:idx="1">
          <wpswe:value>27.533</wpswe:value>
        </wpswe:cell>
        <wpswe:cell wpswe:idx="2">
          <wpswe:value>46</wpswe:value>
        </wpswe:cell>
        <wpswe:cell wpswe:idx="3">
          <wpswe:value>60</wpswe:value>
        </wpswe:cell>
      </wpswe:cells>
      <wpswe:cells wpswe:idx="5">
        <wpswe:count>4</wpswe:count>
        <wpswe:formatCode>General</wpswe:formatCode>
        <wpswe:cell wpswe:idx="0">
          <wpswe:value>托辣11号</wpswe:value>
        </wpswe:cell>
        <wpswe:cell wpswe:idx="1">
          <wpswe:value>29.3</wpswe:value>
        </wpswe:cell>
        <wpswe:cell wpswe:idx="2">
          <wpswe:value>48.533</wpswe:value>
        </wpswe:cell>
        <wpswe:cell wpswe:idx="3">
          <wpswe:value>67.1467</wpswe:value>
        </wpswe:cell>
      </wpswe:cells>
      <wpswe:cells wpswe:idx="6">
        <wpswe:count>4</wpswe:count>
        <wpswe:formatCode>General</wpswe:formatCode>
        <wpswe:cell wpswe:idx="0">
          <wpswe:value>托辣13号</wpswe:value>
        </wpswe:cell>
        <wpswe:cell wpswe:idx="1">
          <wpswe:value>24.567</wpswe:value>
        </wpswe:cell>
        <wpswe:cell wpswe:idx="2">
          <wpswe:value>43.6</wpswe:value>
        </wpswe:cell>
        <wpswe:cell wpswe:idx="3">
          <wpswe:value>60.6133</wpswe:value>
        </wpswe:cell>
      </wpswe:cells>
      <wpswe:cells wpswe:idx="7">
        <wpswe:count>4</wpswe:count>
        <wpswe:formatCode>General</wpswe:formatCode>
        <wpswe:cell wpswe:idx="0">
          <wpswe:value>托辣4号</wpswe:value>
        </wpswe:cell>
        <wpswe:cell wpswe:idx="1">
          <wpswe:value>24.733</wpswe:value>
        </wpswe:cell>
        <wpswe:cell wpswe:idx="2">
          <wpswe:value>47.633</wpswe:value>
        </wpswe:cell>
        <wpswe:cell wpswe:idx="3">
          <wpswe:value>58.4333</wpswe:value>
        </wpswe:cell>
      </wpswe:cells>
      <wpswe:cells wpswe:idx="8">
        <wpswe:count>4</wpswe:count>
        <wpswe:formatCode>General</wpswe:formatCode>
        <wpswe:cell wpswe:idx="0">
          <wpswe:value>袁托</wpswe:value>
        </wpswe:cell>
        <wpswe:cell wpswe:idx="1">
          <wpswe:value>33.233</wpswe:value>
        </wpswe:cell>
        <wpswe:cell wpswe:idx="2">
          <wpswe:value>42.067</wpswe:value>
        </wpswe:cell>
        <wpswe:cell wpswe:idx="3">
          <wpswe:value>53.3667</wpswe:value>
        </wpswe:cell>
      </wpswe:cells>
    </wpswe:dataRange>
  </wpswe:watchingCache>
  <wpswe:snapshot xmlns:r="http://schemas.openxmlformats.org/officeDocument/2006/relationships" r:embed="rId2"/>
  <wpswe:externalData xmlns:r="http://schemas.openxmlformats.org/officeDocument/2006/relationships" r:id="rId1"/>
  <wpswe:url>https://clientweb.docer.wps.cn//docer-ds/web-shape-1.0.0/?id=66&amp;dschart_id=3612096174443311107-4&amp;from=insert_Column&amp;productEntry=dropwin&amp;sceneEntry=docrec-66</wpswe:url>
  <wpswe:constantSnapshot>false</wpswe:constantSnapshot>
</wps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186</Words>
  <Characters>1062</Characters>
  <Lines>8</Lines>
  <Paragraphs>2</Paragraphs>
  <TotalTime>79</TotalTime>
  <ScaleCrop>false</ScaleCrop>
  <LinksUpToDate>false</LinksUpToDate>
  <CharactersWithSpaces>1246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2020-04-16T08:00:00Z</dcterms:created>
  <dc:creator>CLMB</dc:creator>
  <cp:lastModifiedBy>无奈若何</cp:lastModifiedBy>
  <cp:lastPrinted>2020-05-07T00:59:00Z</cp:lastPrinted>
  <dcterms:modified xsi:type="dcterms:W3CDTF">2024-04-18T08:28:22Z</dcterms:modified>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0269BF6D3B564DB7BF5320664790082F_13</vt:lpwstr>
  </property>
</Properties>
</file>