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97DED" w14:textId="0069D5DC" w:rsidR="00BA6495" w:rsidRPr="00F013CC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bookmarkStart w:id="0" w:name="_Toc481651147"/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《</w:t>
      </w:r>
      <w:r w:rsidR="0014763B">
        <w:rPr>
          <w:rFonts w:ascii="Times New Roman" w:eastAsia="黑体" w:hAnsi="Times New Roman" w:cs="Times New Roman"/>
          <w:b/>
          <w:bCs/>
          <w:sz w:val="36"/>
          <w:szCs w:val="32"/>
        </w:rPr>
        <w:t>海水管路用含氮奥氏体不锈钢无缝钢管</w:t>
      </w:r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》</w:t>
      </w:r>
    </w:p>
    <w:p w14:paraId="3D30AA9D" w14:textId="77777777" w:rsidR="005A6F0A" w:rsidRPr="00F013CC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团体标准编制说明</w:t>
      </w:r>
    </w:p>
    <w:p w14:paraId="0F0E27BF" w14:textId="77777777" w:rsidR="00BA6495" w:rsidRPr="00F013CC" w:rsidRDefault="00BA6495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2D1794A4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055075FB" w14:textId="5FE8E5F5" w:rsidR="00773776" w:rsidRPr="00773776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贯彻落实中共中央、国务院印发的《国家标准化发展纲要》中大力发展团体标准的有关要求，制定满足市场和创新需要的团体标准，落实国家关于钢铁行业高质量发展的政策导向，满足生产企业和下游用户对</w:t>
      </w:r>
      <w:r w:rsidR="0014763B">
        <w:rPr>
          <w:rFonts w:ascii="Times New Roman" w:eastAsia="仿宋_GB2312" w:hAnsi="Times New Roman" w:cs="Times New Roman" w:hint="eastAsia"/>
          <w:sz w:val="28"/>
          <w:szCs w:val="28"/>
        </w:rPr>
        <w:t>海水管路用含氮奥氏体不锈钢无缝钢管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产品标准的实际需求，提出《</w:t>
      </w:r>
      <w:r w:rsidR="0014763B">
        <w:rPr>
          <w:rFonts w:ascii="Times New Roman" w:eastAsia="仿宋_GB2312" w:hAnsi="Times New Roman" w:cs="Times New Roman" w:hint="eastAsia"/>
          <w:sz w:val="28"/>
          <w:szCs w:val="28"/>
        </w:rPr>
        <w:t>海水管路用含氮奥氏体不锈钢无缝钢管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》团体标准制定项目。</w:t>
      </w:r>
    </w:p>
    <w:p w14:paraId="7CAE31A3" w14:textId="6187262B" w:rsidR="00B0586C" w:rsidRPr="00F013CC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本标准由中国特钢企业协会提出并归口。由</w:t>
      </w:r>
      <w:r w:rsidR="006913E0">
        <w:rPr>
          <w:rFonts w:ascii="Times New Roman" w:eastAsia="仿宋_GB2312" w:hAnsi="Times New Roman" w:cs="Times New Roman" w:hint="eastAsia"/>
          <w:sz w:val="28"/>
          <w:szCs w:val="28"/>
        </w:rPr>
        <w:t>浙江博盛钢业集团有限公司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、冶金工业规划研究院等起草，并共同参与前期研究、调研和标准的编制、修改、技术数据验证以及标准推广等工作。</w:t>
      </w:r>
    </w:p>
    <w:p w14:paraId="41B34728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二、制定本标准的目的和意义</w:t>
      </w:r>
    </w:p>
    <w:p w14:paraId="5091B36B" w14:textId="5BDE0311" w:rsidR="000A7DE7" w:rsidRPr="000A7DE7" w:rsidRDefault="006913E0" w:rsidP="000A7DE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氮是一种经济和环境友好的，多功能的合金元素，最初是作为奥氏体化元素代替镍作用于奥氏体钢中，以节省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Ni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和改善材料性能，之后用于开发铁素体钢。钢中的氮元素与其他元素（</w:t>
      </w:r>
      <w:proofErr w:type="spellStart"/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Mn</w:t>
      </w:r>
      <w:proofErr w:type="spellEnd"/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Cr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V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proofErr w:type="spellStart"/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Nb</w:t>
      </w:r>
      <w:proofErr w:type="spellEnd"/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Ti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等）交互作用，赋予了高氮不锈钢很多优异的性能。重点应用于军工行业、海洋装备行业、石油化工领域等。无磁性是高氮不锈钢最大的特点，采用无磁性高氮不锈钢建造潜艇能够避免被雷达锁定，在国防、军工领域应用前景广泛。海洋工程、海面舰艇等的建造设计需采用大量的海水管路，海水管路主要采用不锈钢无缝钢管制造。由于高氮不锈钢具有良好的力学性能、耐蚀性能、焊接性能，同时无磁性，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所以高氮不锈钢无缝钢管能够满足国防、军工领域海洋工程和海洋舰艇中海水管路制造的需要。</w:t>
      </w:r>
    </w:p>
    <w:p w14:paraId="4198CEEE" w14:textId="4A7743F8" w:rsidR="006913E0" w:rsidRPr="006913E0" w:rsidRDefault="006913E0" w:rsidP="006913E0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目前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海水管路用含氮奥氏体不锈钢无缝钢管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没有专用的国家标准、行业标准，不锈钢无缝钢管相关的基础通用标准有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GB/T 14975-2012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《结构用不锈钢无缝钢管》、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GB/T 14976-2012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《流体输送用不锈钢无缝钢管》、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GB/T 31928-2015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《船舶用不锈钢无缝钢管》。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GB/T 14975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GB/T 14976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两项标准技术指标为基础通用要求，不能满足海水管路专用需要。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GB/T 31928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给出了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个牌号船舶用不锈钢无缝钢管的技术要求，但其中不涉及</w:t>
      </w:r>
      <w:r w:rsidR="00CB2A8E">
        <w:rPr>
          <w:rFonts w:ascii="Times New Roman" w:eastAsia="仿宋_GB2312" w:hAnsi="Times New Roman" w:cs="Times New Roman" w:hint="eastAsia"/>
          <w:sz w:val="28"/>
          <w:szCs w:val="28"/>
        </w:rPr>
        <w:t>含氮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不锈钢无缝钢管，不适用于新产品的生产应用，不能满足目前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海水管路用含氮奥氏体不锈钢无缝钢管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的标准需要。</w:t>
      </w:r>
    </w:p>
    <w:p w14:paraId="25489B2C" w14:textId="37DAD4D3" w:rsidR="008646BE" w:rsidRPr="00F013CC" w:rsidRDefault="006913E0" w:rsidP="006913E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本标准以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海水管路用含氮奥氏体不锈钢无缝钢管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专用产品的标准化需求为导向，满足我国专用钢材产品标准升级的需要，结合生产和下游用户应用的实际情况，制定适用性更强、技术指标更高的产品标准，填补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海水管路用含氮奥氏体不锈钢无缝钢管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产品的标准空白，突出标准的针对性和先进性，规范和引领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海水管路用含氮奥氏体不锈钢无缝钢管</w:t>
      </w:r>
      <w:r w:rsidRPr="006913E0">
        <w:rPr>
          <w:rFonts w:ascii="Times New Roman" w:eastAsia="仿宋_GB2312" w:hAnsi="Times New Roman" w:cs="Times New Roman" w:hint="eastAsia"/>
          <w:sz w:val="28"/>
          <w:szCs w:val="28"/>
        </w:rPr>
        <w:t>的高质量发展。</w:t>
      </w:r>
    </w:p>
    <w:p w14:paraId="6D75A40C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三、标准编制过程</w:t>
      </w:r>
    </w:p>
    <w:p w14:paraId="552361FC" w14:textId="0267D5CD" w:rsidR="005A6F0A" w:rsidRPr="00F013CC" w:rsidRDefault="006913E0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浙江博盛钢业集团有限公司</w:t>
      </w:r>
      <w:r w:rsidR="00D4135B" w:rsidRPr="00F013CC">
        <w:rPr>
          <w:rFonts w:ascii="Times New Roman" w:eastAsia="仿宋_GB2312" w:hAnsi="Times New Roman" w:cs="Times New Roman"/>
          <w:sz w:val="28"/>
          <w:szCs w:val="28"/>
        </w:rPr>
        <w:t>与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等单位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共同承担了</w:t>
      </w:r>
      <w:r w:rsidR="00D4135B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14763B">
        <w:rPr>
          <w:rFonts w:ascii="Times New Roman" w:eastAsia="仿宋_GB2312" w:hAnsi="Times New Roman" w:cs="Times New Roman"/>
          <w:sz w:val="28"/>
          <w:szCs w:val="28"/>
        </w:rPr>
        <w:t>海水管路用含氮奥氏体不锈钢无缝钢管</w:t>
      </w:r>
      <w:r w:rsidR="00D4135B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团体标准的编制工作，共同组建了该团体标准起草小组，明确各自的责任和分工，并开展工作。在</w:t>
      </w:r>
      <w:r w:rsidR="00004833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14763B">
        <w:rPr>
          <w:rFonts w:ascii="Times New Roman" w:eastAsia="仿宋_GB2312" w:hAnsi="Times New Roman" w:cs="Times New Roman"/>
          <w:sz w:val="28"/>
          <w:szCs w:val="28"/>
        </w:rPr>
        <w:t>海水管路用含氮奥氏体不锈钢无缝钢管</w:t>
      </w:r>
      <w:r w:rsidR="00004833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标准制定过程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中，起草小组认真查阅有关资料、收集相关数据信息，结合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国内外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生产情况，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以及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产品下游用户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提出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的性能要求，以及相关产品标准等，进行本团体标准的编制工作。</w:t>
      </w:r>
    </w:p>
    <w:p w14:paraId="4972E3AD" w14:textId="4823DEDB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主要编制过程如下：</w:t>
      </w:r>
    </w:p>
    <w:p w14:paraId="57954999" w14:textId="6420CD62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C47C33">
        <w:rPr>
          <w:rFonts w:ascii="Times New Roman" w:eastAsia="仿宋_GB2312" w:hAnsi="Times New Roman" w:cs="Times New Roman"/>
          <w:sz w:val="28"/>
          <w:szCs w:val="28"/>
        </w:rPr>
        <w:t>2</w:t>
      </w:r>
      <w:r w:rsidR="00B46D27">
        <w:rPr>
          <w:rFonts w:ascii="Times New Roman" w:eastAsia="仿宋_GB2312" w:hAnsi="Times New Roman" w:cs="Times New Roman"/>
          <w:sz w:val="28"/>
          <w:szCs w:val="28"/>
        </w:rPr>
        <w:t>3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CB2A8E">
        <w:rPr>
          <w:rFonts w:ascii="Times New Roman" w:eastAsia="仿宋_GB2312" w:hAnsi="Times New Roman" w:cs="Times New Roman"/>
          <w:sz w:val="28"/>
          <w:szCs w:val="28"/>
        </w:rPr>
        <w:t>9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月，中国特钢企业协会团体标准化工作委员会（以下简称团标委）秘书处给各位委员发出团体标准立项函审单。到立项函审截止日期，没有委员提出不同意见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535660D" w14:textId="55193EAB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DD5451">
        <w:rPr>
          <w:rFonts w:ascii="Times New Roman" w:eastAsia="仿宋_GB2312" w:hAnsi="Times New Roman" w:cs="Times New Roman"/>
          <w:sz w:val="28"/>
          <w:szCs w:val="28"/>
        </w:rPr>
        <w:t>2</w:t>
      </w:r>
      <w:r w:rsidR="00B46D27">
        <w:rPr>
          <w:rFonts w:ascii="Times New Roman" w:eastAsia="仿宋_GB2312" w:hAnsi="Times New Roman" w:cs="Times New Roman"/>
          <w:sz w:val="28"/>
          <w:szCs w:val="28"/>
        </w:rPr>
        <w:t>3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CB2A8E">
        <w:rPr>
          <w:rFonts w:ascii="Times New Roman" w:eastAsia="仿宋_GB2312" w:hAnsi="Times New Roman" w:cs="Times New Roman"/>
          <w:sz w:val="28"/>
          <w:szCs w:val="28"/>
        </w:rPr>
        <w:t>11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月，团标委正式下达</w:t>
      </w:r>
      <w:r w:rsidR="00A45465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14763B">
        <w:rPr>
          <w:rFonts w:ascii="Times New Roman" w:eastAsia="仿宋_GB2312" w:hAnsi="Times New Roman" w:cs="Times New Roman"/>
          <w:sz w:val="28"/>
          <w:szCs w:val="28"/>
        </w:rPr>
        <w:t>海水管路用含氮奥氏体不锈钢无缝钢管</w:t>
      </w:r>
      <w:r w:rsidR="00A45465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团体标准立项计划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2023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B46D27">
        <w:rPr>
          <w:rFonts w:ascii="Times New Roman" w:eastAsia="仿宋_GB2312" w:hAnsi="Times New Roman" w:cs="Times New Roman"/>
          <w:sz w:val="28"/>
          <w:szCs w:val="28"/>
        </w:rPr>
        <w:t>第</w:t>
      </w:r>
      <w:r w:rsidR="00CB2A8E"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 w:rsidR="00B46D27">
        <w:rPr>
          <w:rFonts w:ascii="Times New Roman" w:eastAsia="仿宋_GB2312" w:hAnsi="Times New Roman" w:cs="Times New Roman"/>
          <w:sz w:val="28"/>
          <w:szCs w:val="28"/>
        </w:rPr>
        <w:t>批）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。</w:t>
      </w:r>
      <w:r w:rsidR="00176AEA" w:rsidRPr="00F013CC">
        <w:rPr>
          <w:rFonts w:ascii="Times New Roman" w:eastAsia="仿宋_GB2312" w:hAnsi="Times New Roman" w:cs="Times New Roman"/>
          <w:sz w:val="28"/>
          <w:szCs w:val="28"/>
        </w:rPr>
        <w:t>由</w:t>
      </w:r>
      <w:r w:rsidR="006913E0">
        <w:rPr>
          <w:rFonts w:ascii="Times New Roman" w:eastAsia="仿宋_GB2312" w:hAnsi="Times New Roman" w:cs="Times New Roman"/>
          <w:sz w:val="28"/>
          <w:szCs w:val="28"/>
        </w:rPr>
        <w:t>浙江博盛钢业集团有限公司</w:t>
      </w:r>
      <w:r w:rsidRPr="00F013CC">
        <w:rPr>
          <w:rFonts w:ascii="Times New Roman" w:eastAsia="仿宋" w:hAnsi="Times New Roman" w:cs="Times New Roman"/>
          <w:sz w:val="28"/>
          <w:szCs w:val="28"/>
        </w:rPr>
        <w:t>、冶金工业规划研究院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相关人员组成了标准起草组，提出了标准编制计划和任务分工，并开始标准编制工作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3C98B0AD" w14:textId="741489D1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9C1649">
        <w:rPr>
          <w:rFonts w:ascii="Times New Roman" w:eastAsia="仿宋_GB2312" w:hAnsi="Times New Roman" w:cs="Times New Roman"/>
          <w:sz w:val="28"/>
          <w:szCs w:val="28"/>
        </w:rPr>
        <w:t>2</w:t>
      </w:r>
      <w:r w:rsidR="000D242C">
        <w:rPr>
          <w:rFonts w:ascii="Times New Roman" w:eastAsia="仿宋_GB2312" w:hAnsi="Times New Roman" w:cs="Times New Roman"/>
          <w:sz w:val="28"/>
          <w:szCs w:val="28"/>
        </w:rPr>
        <w:t>3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CB2A8E">
        <w:rPr>
          <w:rFonts w:ascii="Times New Roman" w:eastAsia="仿宋_GB2312" w:hAnsi="Times New Roman" w:cs="Times New Roman"/>
          <w:sz w:val="28"/>
          <w:szCs w:val="28"/>
        </w:rPr>
        <w:t>12</w:t>
      </w:r>
      <w:r w:rsidR="00D80936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：进行了起草标准的调研、问题分析和相关资料收集等准备工作，完成了标准制定提纲、标准草案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399C17F" w14:textId="5E685BD2" w:rsidR="000D242C" w:rsidRDefault="0091577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1</w:t>
      </w:r>
      <w:r w:rsidR="001D52B5">
        <w:rPr>
          <w:rFonts w:ascii="Times New Roman" w:eastAsia="仿宋_GB2312" w:hAnsi="Times New Roman" w:cs="Times New Roman"/>
          <w:sz w:val="28"/>
          <w:szCs w:val="28"/>
        </w:rPr>
        <w:t>-3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月：召开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标准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启动会，围绕标准草案进行讨论，并按照与会意见和建议作进一步修改</w:t>
      </w:r>
      <w:r w:rsidR="000D242C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58E33F0E" w14:textId="2518E1D7" w:rsidR="00EF5AC2" w:rsidRPr="005B1BC1" w:rsidRDefault="000D242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形成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征求意见稿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，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发出征求意见</w:t>
      </w:r>
      <w:r w:rsidR="009B3F24" w:rsidRPr="005B1BC1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20F6DF12" w14:textId="070EDB3B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B1BC1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完成征求意见处理、形成标准送审稿；</w:t>
      </w:r>
    </w:p>
    <w:p w14:paraId="39D866FE" w14:textId="71866AF9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B1BC1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完成该标准审定会和标准报批稿，上报中国特钢企业协会审批；</w:t>
      </w:r>
    </w:p>
    <w:p w14:paraId="3DF3F39E" w14:textId="6ED5B730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B1BC1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完成该标准发布、实施。</w:t>
      </w:r>
    </w:p>
    <w:p w14:paraId="52D5C9F7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6EB1F333" w14:textId="17C56F9A" w:rsidR="00A03D5C" w:rsidRPr="00F013CC" w:rsidRDefault="00A03D5C" w:rsidP="008D4D7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本标准的制定</w:t>
      </w:r>
      <w:r w:rsidR="00850135" w:rsidRPr="00F013CC">
        <w:rPr>
          <w:rFonts w:ascii="Times New Roman" w:eastAsia="仿宋_GB2312" w:hAnsi="Times New Roman" w:cs="Times New Roman"/>
          <w:sz w:val="28"/>
          <w:szCs w:val="28"/>
        </w:rPr>
        <w:t>一是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坚持先进性与实用性相结合、统一性与灵活性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相结合、可靠性与经济性相结合的原则，尽可能使标准满足多目标要求；</w:t>
      </w:r>
      <w:r w:rsidR="002A0B2B" w:rsidRPr="00F013CC">
        <w:rPr>
          <w:rFonts w:ascii="Times New Roman" w:eastAsia="仿宋_GB2312" w:hAnsi="Times New Roman" w:cs="Times New Roman"/>
          <w:sz w:val="28"/>
          <w:szCs w:val="28"/>
        </w:rPr>
        <w:t>二是充分考虑</w:t>
      </w:r>
      <w:r w:rsidR="0014763B">
        <w:rPr>
          <w:rFonts w:ascii="Times New Roman" w:eastAsia="仿宋_GB2312" w:hAnsi="Times New Roman" w:cs="Times New Roman"/>
          <w:sz w:val="28"/>
          <w:szCs w:val="28"/>
        </w:rPr>
        <w:t>海水管路用含氮奥氏体不锈钢无缝钢管</w:t>
      </w:r>
      <w:r w:rsidR="00683FC0" w:rsidRPr="00F013CC">
        <w:rPr>
          <w:rFonts w:ascii="Times New Roman" w:eastAsia="仿宋_GB2312" w:hAnsi="Times New Roman" w:cs="Times New Roman"/>
          <w:sz w:val="28"/>
          <w:szCs w:val="28"/>
        </w:rPr>
        <w:t>的使用需求</w:t>
      </w:r>
      <w:r w:rsidR="00C17196" w:rsidRPr="00F013CC">
        <w:rPr>
          <w:rFonts w:ascii="Times New Roman" w:eastAsia="仿宋_GB2312" w:hAnsi="Times New Roman" w:cs="Times New Roman"/>
          <w:sz w:val="28"/>
          <w:szCs w:val="28"/>
        </w:rPr>
        <w:t>，在充分调研交流基础上开展标准编制工作，尽可能使该标准符合实际现状和满足未来发展要求；</w:t>
      </w:r>
      <w:r w:rsidR="00F74027" w:rsidRPr="00F013CC">
        <w:rPr>
          <w:rFonts w:ascii="Times New Roman" w:eastAsia="仿宋_GB2312" w:hAnsi="Times New Roman" w:cs="Times New Roman"/>
          <w:sz w:val="28"/>
          <w:szCs w:val="28"/>
        </w:rPr>
        <w:t>三是技术创新的原则。在与国家标准体系协调一致的基础上，在标准结构、内容及主要技术指标等方面进行技术创新，在标准中充分体现新产品的技术特点。</w:t>
      </w:r>
    </w:p>
    <w:p w14:paraId="3BCBF000" w14:textId="77777777" w:rsidR="005A6F0A" w:rsidRPr="00F013CC" w:rsidRDefault="005A6F0A" w:rsidP="00A03D5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19C30F3D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（一）标准编写格式</w:t>
      </w:r>
    </w:p>
    <w:p w14:paraId="6B2C4577" w14:textId="3CF4E339" w:rsidR="00230D0B" w:rsidRPr="00F013CC" w:rsidRDefault="00185F5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本文件按照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GB/T 1.1-2020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《标准化工作导则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第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部分：标准化文件的结构和起草规则》的规定起草。</w:t>
      </w:r>
    </w:p>
    <w:p w14:paraId="1C71C9D0" w14:textId="103B120F" w:rsidR="005A6F0A" w:rsidRPr="00F013CC" w:rsidRDefault="001565DF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565DF">
        <w:rPr>
          <w:rFonts w:ascii="Times New Roman" w:eastAsia="仿宋_GB2312" w:hAnsi="Times New Roman" w:cs="Times New Roman" w:hint="eastAsia"/>
          <w:sz w:val="28"/>
          <w:szCs w:val="28"/>
        </w:rPr>
        <w:t>本文件规定了海水管路用含氮奥氏体不锈钢无缝钢管的订货内容、尺寸、外形、重量、技术要求、试验方法、检验规则、包装、标志和质量证明书</w:t>
      </w:r>
      <w:r w:rsidR="00D9534D" w:rsidRPr="00D9534D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457F379" w14:textId="5FFEEA46" w:rsidR="005A6F0A" w:rsidRPr="00F013CC" w:rsidRDefault="004B0537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（二）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适用范围</w:t>
      </w:r>
    </w:p>
    <w:p w14:paraId="4D244AAA" w14:textId="4DBA0160" w:rsidR="009B638E" w:rsidRDefault="001565DF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565DF">
        <w:rPr>
          <w:rFonts w:ascii="Times New Roman" w:eastAsia="仿宋_GB2312" w:hAnsi="Times New Roman" w:cs="Times New Roman" w:hint="eastAsia"/>
          <w:sz w:val="28"/>
          <w:szCs w:val="28"/>
        </w:rPr>
        <w:t>本文件适用于船舶海水管路用含氮奥氏体不锈钢无缝钢管（以下简称钢管）</w:t>
      </w:r>
      <w:r w:rsidR="00D9534D" w:rsidRPr="00D9534D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D738F88" w14:textId="0C9A82C7" w:rsidR="00C61DDF" w:rsidRDefault="004B0537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（三）</w:t>
      </w:r>
      <w:r w:rsidR="00C61DDF">
        <w:rPr>
          <w:rFonts w:ascii="Times New Roman" w:eastAsia="仿宋_GB2312" w:hAnsi="Times New Roman" w:cs="Times New Roman" w:hint="eastAsia"/>
          <w:sz w:val="28"/>
          <w:szCs w:val="28"/>
        </w:rPr>
        <w:t>术语和定义</w:t>
      </w:r>
    </w:p>
    <w:p w14:paraId="2B9EE9CC" w14:textId="0DD5B99C" w:rsidR="00C61DDF" w:rsidRDefault="001565DF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565DF">
        <w:rPr>
          <w:rFonts w:ascii="Times New Roman" w:eastAsia="仿宋_GB2312" w:hAnsi="Times New Roman" w:cs="Times New Roman" w:hint="eastAsia"/>
          <w:sz w:val="28"/>
          <w:szCs w:val="28"/>
        </w:rPr>
        <w:t>GB/T 30062</w:t>
      </w:r>
      <w:r w:rsidRPr="001565DF">
        <w:rPr>
          <w:rFonts w:ascii="Times New Roman" w:eastAsia="仿宋_GB2312" w:hAnsi="Times New Roman" w:cs="Times New Roman" w:hint="eastAsia"/>
          <w:sz w:val="28"/>
          <w:szCs w:val="28"/>
        </w:rPr>
        <w:t>界定的术语和定义适用于本文件</w:t>
      </w:r>
      <w:r w:rsidR="00C61DDF" w:rsidRPr="00C61DDF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47AF92E" w14:textId="011B7660" w:rsidR="004B0537" w:rsidRDefault="00C61DDF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（四）</w:t>
      </w:r>
      <w:r w:rsidR="004B0537">
        <w:rPr>
          <w:rFonts w:ascii="Times New Roman" w:eastAsia="仿宋_GB2312" w:hAnsi="Times New Roman" w:cs="Times New Roman" w:hint="eastAsia"/>
          <w:sz w:val="28"/>
          <w:szCs w:val="28"/>
        </w:rPr>
        <w:t>分类</w:t>
      </w:r>
      <w:r w:rsidR="004B0537">
        <w:rPr>
          <w:rFonts w:ascii="Times New Roman" w:eastAsia="仿宋_GB2312" w:hAnsi="Times New Roman" w:cs="Times New Roman"/>
          <w:sz w:val="28"/>
          <w:szCs w:val="28"/>
        </w:rPr>
        <w:t>和</w:t>
      </w:r>
      <w:r w:rsidR="001565DF">
        <w:rPr>
          <w:rFonts w:ascii="Times New Roman" w:eastAsia="仿宋_GB2312" w:hAnsi="Times New Roman" w:cs="Times New Roman" w:hint="eastAsia"/>
          <w:sz w:val="28"/>
          <w:szCs w:val="28"/>
        </w:rPr>
        <w:t>代号</w:t>
      </w:r>
    </w:p>
    <w:p w14:paraId="71A4938E" w14:textId="681EEBE1" w:rsidR="00EE6C7F" w:rsidRDefault="00EE6C7F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本文件给出了</w:t>
      </w:r>
      <w:r w:rsidR="00CD18FE">
        <w:rPr>
          <w:rFonts w:ascii="Times New Roman" w:eastAsia="仿宋_GB2312" w:hAnsi="Times New Roman" w:cs="Times New Roman" w:hint="eastAsia"/>
          <w:sz w:val="28"/>
          <w:szCs w:val="28"/>
        </w:rPr>
        <w:t>钢管按产品加工方式</w:t>
      </w:r>
      <w:r w:rsidR="00CD18FE">
        <w:rPr>
          <w:rFonts w:ascii="Times New Roman" w:eastAsia="仿宋_GB2312" w:hAnsi="Times New Roman" w:cs="Times New Roman"/>
          <w:sz w:val="28"/>
          <w:szCs w:val="28"/>
        </w:rPr>
        <w:t>、</w:t>
      </w:r>
      <w:r w:rsidR="00CD18FE">
        <w:rPr>
          <w:rFonts w:ascii="Times New Roman" w:eastAsia="仿宋_GB2312" w:hAnsi="Times New Roman" w:cs="Times New Roman" w:hint="eastAsia"/>
          <w:sz w:val="28"/>
          <w:szCs w:val="28"/>
        </w:rPr>
        <w:t>尺寸精度的</w:t>
      </w:r>
      <w:r w:rsidR="00CD18FE">
        <w:rPr>
          <w:rFonts w:ascii="Times New Roman" w:eastAsia="仿宋_GB2312" w:hAnsi="Times New Roman" w:cs="Times New Roman"/>
          <w:sz w:val="28"/>
          <w:szCs w:val="28"/>
        </w:rPr>
        <w:t>分类和代号，给出了</w:t>
      </w:r>
      <w:r w:rsidR="00CD18FE"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 w:rsidR="00CD18FE">
        <w:rPr>
          <w:rFonts w:ascii="Times New Roman" w:eastAsia="仿宋_GB2312" w:hAnsi="Times New Roman" w:cs="Times New Roman"/>
          <w:sz w:val="28"/>
          <w:szCs w:val="28"/>
        </w:rPr>
        <w:t>中</w:t>
      </w:r>
      <w:r w:rsidR="00CD18FE">
        <w:rPr>
          <w:rFonts w:ascii="Times New Roman" w:eastAsia="仿宋_GB2312" w:hAnsi="Times New Roman" w:cs="Times New Roman" w:hint="eastAsia"/>
          <w:sz w:val="28"/>
          <w:szCs w:val="28"/>
        </w:rPr>
        <w:t>使用</w:t>
      </w:r>
      <w:r w:rsidR="00CD18FE">
        <w:rPr>
          <w:rFonts w:ascii="Times New Roman" w:eastAsia="仿宋_GB2312" w:hAnsi="Times New Roman" w:cs="Times New Roman"/>
          <w:sz w:val="28"/>
          <w:szCs w:val="28"/>
        </w:rPr>
        <w:t>的代号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89AC810" w14:textId="7BF001C9" w:rsidR="008A40DB" w:rsidRDefault="003755BE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（五）</w:t>
      </w:r>
      <w:r w:rsidR="008A40DB">
        <w:rPr>
          <w:rFonts w:ascii="Times New Roman" w:eastAsia="仿宋_GB2312" w:hAnsi="Times New Roman" w:cs="Times New Roman"/>
          <w:sz w:val="28"/>
          <w:szCs w:val="28"/>
        </w:rPr>
        <w:t>订货内容</w:t>
      </w:r>
    </w:p>
    <w:p w14:paraId="753B277E" w14:textId="73E78E14" w:rsidR="00A52CB0" w:rsidRDefault="00BD082B" w:rsidP="003755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D082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按本文件订货的合同或订单应包括下列内容</w:t>
      </w:r>
      <w:r w:rsidR="00CE4AFE" w:rsidRPr="00F013CC">
        <w:rPr>
          <w:rFonts w:ascii="Times New Roman" w:eastAsia="仿宋_GB2312" w:hAnsi="Times New Roman" w:cs="Times New Roman"/>
          <w:sz w:val="28"/>
          <w:szCs w:val="28"/>
        </w:rPr>
        <w:t>：</w:t>
      </w:r>
      <w:r w:rsidR="009F59EB" w:rsidRPr="009F59EB">
        <w:rPr>
          <w:rFonts w:ascii="Times New Roman" w:eastAsia="仿宋_GB2312" w:hAnsi="Times New Roman" w:cs="Times New Roman" w:hint="eastAsia"/>
          <w:sz w:val="28"/>
          <w:szCs w:val="28"/>
        </w:rPr>
        <w:t>产品名称</w:t>
      </w:r>
      <w:r w:rsidR="009F59E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9F59EB" w:rsidRPr="009F59EB">
        <w:rPr>
          <w:rFonts w:ascii="Times New Roman" w:eastAsia="仿宋_GB2312" w:hAnsi="Times New Roman" w:cs="Times New Roman" w:hint="eastAsia"/>
          <w:sz w:val="28"/>
          <w:szCs w:val="28"/>
        </w:rPr>
        <w:t>本文件编号</w:t>
      </w:r>
      <w:r w:rsidR="009F59E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9F59EB" w:rsidRPr="009F59EB"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 w:rsidR="009F59E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CD18FE">
        <w:rPr>
          <w:rFonts w:ascii="Times New Roman" w:eastAsia="仿宋_GB2312" w:hAnsi="Times New Roman" w:cs="Times New Roman" w:hint="eastAsia"/>
          <w:sz w:val="28"/>
          <w:szCs w:val="28"/>
        </w:rPr>
        <w:t>尺寸规格</w:t>
      </w:r>
      <w:r w:rsidR="003755BE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CD18FE">
        <w:rPr>
          <w:rFonts w:ascii="Times New Roman" w:eastAsia="仿宋_GB2312" w:hAnsi="Times New Roman" w:cs="Times New Roman" w:hint="eastAsia"/>
          <w:sz w:val="28"/>
          <w:szCs w:val="28"/>
        </w:rPr>
        <w:t>重量</w:t>
      </w:r>
      <w:r w:rsidR="00CD18FE">
        <w:rPr>
          <w:rFonts w:ascii="Times New Roman" w:eastAsia="仿宋_GB2312" w:hAnsi="Times New Roman" w:cs="Times New Roman"/>
          <w:sz w:val="28"/>
          <w:szCs w:val="28"/>
        </w:rPr>
        <w:t>（</w:t>
      </w:r>
      <w:r w:rsidR="00CD18FE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="00CD18FE">
        <w:rPr>
          <w:rFonts w:ascii="Times New Roman" w:eastAsia="仿宋_GB2312" w:hAnsi="Times New Roman" w:cs="Times New Roman"/>
          <w:sz w:val="28"/>
          <w:szCs w:val="28"/>
        </w:rPr>
        <w:t>数量）</w:t>
      </w:r>
      <w:r w:rsidR="00CD18FE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CD18FE">
        <w:rPr>
          <w:rFonts w:ascii="Times New Roman" w:eastAsia="仿宋_GB2312" w:hAnsi="Times New Roman" w:cs="Times New Roman"/>
          <w:sz w:val="28"/>
          <w:szCs w:val="28"/>
        </w:rPr>
        <w:t>交货状态、</w:t>
      </w:r>
      <w:r w:rsidR="003755BE" w:rsidRPr="003755BE"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  <w:r w:rsidR="00CE4AFE" w:rsidRPr="00F013C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966F033" w14:textId="0AA8B1A4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3755BE"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940E50" w:rsidRPr="00F013CC">
        <w:rPr>
          <w:rFonts w:ascii="Times New Roman" w:eastAsia="仿宋_GB2312" w:hAnsi="Times New Roman" w:cs="Times New Roman"/>
          <w:sz w:val="28"/>
          <w:szCs w:val="28"/>
        </w:rPr>
        <w:t>尺寸、外形、重量</w:t>
      </w:r>
    </w:p>
    <w:p w14:paraId="29E3E0E2" w14:textId="3516ED09" w:rsidR="003A1B45" w:rsidRDefault="00F86E7B" w:rsidP="003A1B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外径</w:t>
      </w:r>
      <w:r>
        <w:rPr>
          <w:rFonts w:ascii="Times New Roman" w:eastAsia="仿宋_GB2312" w:hAnsi="Times New Roman" w:cs="Times New Roman"/>
          <w:sz w:val="28"/>
          <w:szCs w:val="28"/>
        </w:rPr>
        <w:t>和壁厚</w:t>
      </w:r>
    </w:p>
    <w:p w14:paraId="4B903568" w14:textId="302CE7A7" w:rsidR="00F86E7B" w:rsidRDefault="00D54EEA" w:rsidP="00D54EE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钢管应按公称外径和公称壁厚交货。根据需方要求，经供需双方协商，并在合同中注明，钢管可按公称外径和最小壁厚或其他尺寸规格方式交货。钢管的外径和壁厚应符合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GB/T 17395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的规定。根据需方要求，经供需双方协商，并在合同中注明，可供应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GB/T 17395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规定以外的其他尺寸钢管。钢管按公称外径和公称壁厚交货时，其公称外径和公称壁厚的允许偏差应符合表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的规定。钢管按公称外径和最小壁厚交货时，其外径允许偏差应符合表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的规定，壁厚允许偏差应符合表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的规定。当需方未在合同中注明钢管尺寸允许偏差级别时，钢管外径和壁厚的允许偏差应符合普通级尺寸精度的规定。当需方要求高级尺寸精度时，应在合同中注明。根据需方要求，经供需双方协商，并在合同中注明，可供应表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和表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D54EEA">
        <w:rPr>
          <w:rFonts w:ascii="Times New Roman" w:eastAsia="仿宋_GB2312" w:hAnsi="Times New Roman" w:cs="Times New Roman" w:hint="eastAsia"/>
          <w:sz w:val="28"/>
          <w:szCs w:val="28"/>
        </w:rPr>
        <w:t>规定以外尺寸允许偏差的钢管。</w:t>
      </w:r>
    </w:p>
    <w:p w14:paraId="45BFB82D" w14:textId="22C11945" w:rsidR="00D54EEA" w:rsidRDefault="00D54EEA" w:rsidP="00D54EE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GB/T 14976-2012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《流体</w:t>
      </w:r>
      <w:r>
        <w:rPr>
          <w:rFonts w:ascii="Times New Roman" w:eastAsia="仿宋_GB2312" w:hAnsi="Times New Roman" w:cs="Times New Roman"/>
          <w:sz w:val="28"/>
          <w:szCs w:val="28"/>
        </w:rPr>
        <w:t>输送用不锈钢无缝钢管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》相比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本文件对</w:t>
      </w:r>
      <w:r>
        <w:rPr>
          <w:rFonts w:ascii="Times New Roman" w:eastAsia="仿宋_GB2312" w:hAnsi="Times New Roman" w:cs="Times New Roman"/>
          <w:sz w:val="28"/>
          <w:szCs w:val="28"/>
        </w:rPr>
        <w:t>钢管外径和壁厚的允许偏差、钢管最小壁厚的允许偏差进行了规定，其中热轧钢管、冷轧钢管与</w:t>
      </w:r>
      <w:r>
        <w:rPr>
          <w:rFonts w:ascii="Times New Roman" w:eastAsia="仿宋_GB2312" w:hAnsi="Times New Roman" w:cs="Times New Roman"/>
          <w:sz w:val="28"/>
          <w:szCs w:val="28"/>
        </w:rPr>
        <w:t>GB/T 14976-2012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，新增了离心浇铸钢管的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外径和</w:t>
      </w:r>
      <w:r>
        <w:rPr>
          <w:rFonts w:ascii="Times New Roman" w:eastAsia="仿宋_GB2312" w:hAnsi="Times New Roman" w:cs="Times New Roman"/>
          <w:sz w:val="28"/>
          <w:szCs w:val="28"/>
        </w:rPr>
        <w:t>壁厚偏差要求。</w:t>
      </w:r>
    </w:p>
    <w:p w14:paraId="52D5FB8A" w14:textId="3984A296" w:rsidR="00D809A6" w:rsidRDefault="00D809A6" w:rsidP="00D54EE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长度</w:t>
      </w:r>
    </w:p>
    <w:p w14:paraId="4AE0F257" w14:textId="77F664F6" w:rsidR="00D809A6" w:rsidRDefault="00D809A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给出了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钢管</w:t>
      </w:r>
      <w:r>
        <w:rPr>
          <w:rFonts w:ascii="Times New Roman" w:eastAsia="仿宋_GB2312" w:hAnsi="Times New Roman" w:cs="Times New Roman"/>
          <w:sz w:val="28"/>
          <w:szCs w:val="28"/>
        </w:rPr>
        <w:t>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长度要求</w:t>
      </w:r>
      <w:r>
        <w:rPr>
          <w:rFonts w:ascii="Times New Roman" w:eastAsia="仿宋_GB2312" w:hAnsi="Times New Roman" w:cs="Times New Roman"/>
          <w:sz w:val="28"/>
          <w:szCs w:val="28"/>
        </w:rPr>
        <w:t>，包括通常长度、定尺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长度</w:t>
      </w:r>
      <w:r>
        <w:rPr>
          <w:rFonts w:ascii="Times New Roman" w:eastAsia="仿宋_GB2312" w:hAnsi="Times New Roman" w:cs="Times New Roman"/>
          <w:sz w:val="28"/>
          <w:szCs w:val="28"/>
        </w:rPr>
        <w:t>和倍尺</w:t>
      </w: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长度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比</w:t>
      </w:r>
      <w:r>
        <w:rPr>
          <w:rFonts w:ascii="Times New Roman" w:eastAsia="仿宋_GB2312" w:hAnsi="Times New Roman" w:cs="Times New Roman"/>
          <w:sz w:val="28"/>
          <w:szCs w:val="28"/>
        </w:rPr>
        <w:t>GB/T 14976-2012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新增了</w:t>
      </w:r>
      <w:r>
        <w:rPr>
          <w:rFonts w:ascii="Times New Roman" w:eastAsia="仿宋_GB2312" w:hAnsi="Times New Roman" w:cs="Times New Roman"/>
          <w:sz w:val="28"/>
          <w:szCs w:val="28"/>
        </w:rPr>
        <w:t>离心浇铸钢管的长度要求，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其他</w:t>
      </w:r>
      <w:r>
        <w:rPr>
          <w:rFonts w:ascii="Times New Roman" w:eastAsia="仿宋_GB2312" w:hAnsi="Times New Roman" w:cs="Times New Roman"/>
          <w:sz w:val="28"/>
          <w:szCs w:val="28"/>
        </w:rPr>
        <w:t>长度要求与</w:t>
      </w:r>
      <w:r>
        <w:rPr>
          <w:rFonts w:ascii="Times New Roman" w:eastAsia="仿宋_GB2312" w:hAnsi="Times New Roman" w:cs="Times New Roman"/>
          <w:sz w:val="28"/>
          <w:szCs w:val="28"/>
        </w:rPr>
        <w:t>GB/T 14976-2012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28C291A" w14:textId="08E1CAB2" w:rsidR="00D809A6" w:rsidRDefault="00A657BF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弯曲度</w:t>
      </w:r>
    </w:p>
    <w:p w14:paraId="5929B8D9" w14:textId="5B0AECA9" w:rsidR="00A657BF" w:rsidRDefault="00A657BF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给出了钢管弯曲度要求，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新增了离心浇铸</w:t>
      </w:r>
      <w:r>
        <w:rPr>
          <w:rFonts w:ascii="Times New Roman" w:eastAsia="仿宋_GB2312" w:hAnsi="Times New Roman" w:cs="Times New Roman"/>
          <w:sz w:val="28"/>
          <w:szCs w:val="28"/>
        </w:rPr>
        <w:t>钢管每米弯曲度不大于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2.0</w:t>
      </w:r>
      <w:r>
        <w:rPr>
          <w:rFonts w:ascii="Times New Roman" w:eastAsia="仿宋_GB2312" w:hAnsi="Times New Roman" w:cs="Times New Roman"/>
          <w:sz w:val="28"/>
          <w:szCs w:val="28"/>
        </w:rPr>
        <w:t>mm/m</w:t>
      </w:r>
      <w:r>
        <w:rPr>
          <w:rFonts w:ascii="Times New Roman" w:eastAsia="仿宋_GB2312" w:hAnsi="Times New Roman" w:cs="Times New Roman"/>
          <w:sz w:val="28"/>
          <w:szCs w:val="28"/>
        </w:rPr>
        <w:t>，其他弯曲度要求与</w:t>
      </w:r>
      <w:r>
        <w:rPr>
          <w:rFonts w:ascii="Times New Roman" w:eastAsia="仿宋_GB2312" w:hAnsi="Times New Roman" w:cs="Times New Roman"/>
          <w:sz w:val="28"/>
          <w:szCs w:val="28"/>
        </w:rPr>
        <w:t>GB/T 14976-2012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D2600FC" w14:textId="24021A5F" w:rsidR="00A657BF" w:rsidRDefault="0053327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端头外形</w:t>
      </w:r>
    </w:p>
    <w:p w14:paraId="6CC8C6CC" w14:textId="77777777" w:rsidR="0053327A" w:rsidRPr="0053327A" w:rsidRDefault="0053327A" w:rsidP="0053327A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53327A">
        <w:rPr>
          <w:rFonts w:ascii="Times New Roman" w:eastAsia="仿宋_GB2312" w:hAnsi="Times New Roman" w:cs="Times New Roman" w:hint="eastAsia"/>
          <w:sz w:val="28"/>
          <w:szCs w:val="28"/>
        </w:rPr>
        <w:t>钢管两端端面应与钢管轴线垂直，并应清除切口毛刺。</w:t>
      </w:r>
    </w:p>
    <w:p w14:paraId="794836A4" w14:textId="6D7F6988" w:rsidR="0053327A" w:rsidRDefault="0053327A" w:rsidP="0053327A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53327A">
        <w:rPr>
          <w:rFonts w:ascii="Times New Roman" w:eastAsia="仿宋_GB2312" w:hAnsi="Times New Roman" w:cs="Times New Roman" w:hint="eastAsia"/>
          <w:sz w:val="28"/>
          <w:szCs w:val="28"/>
        </w:rPr>
        <w:t>离心铸管管坯应切割平齐，其端面切斜度应不大于公称直径的</w:t>
      </w:r>
      <w:r w:rsidRPr="0053327A">
        <w:rPr>
          <w:rFonts w:ascii="Times New Roman" w:eastAsia="仿宋_GB2312" w:hAnsi="Times New Roman" w:cs="Times New Roman" w:hint="eastAsia"/>
          <w:sz w:val="28"/>
          <w:szCs w:val="28"/>
        </w:rPr>
        <w:t>4%</w:t>
      </w:r>
      <w:r w:rsidRPr="0053327A">
        <w:rPr>
          <w:rFonts w:ascii="Times New Roman" w:eastAsia="仿宋_GB2312" w:hAnsi="Times New Roman" w:cs="Times New Roman" w:hint="eastAsia"/>
          <w:sz w:val="28"/>
          <w:szCs w:val="28"/>
        </w:rPr>
        <w:t>，最大切斜度不大于</w:t>
      </w:r>
      <w:r w:rsidRPr="0053327A">
        <w:rPr>
          <w:rFonts w:ascii="Times New Roman" w:eastAsia="仿宋_GB2312" w:hAnsi="Times New Roman" w:cs="Times New Roman" w:hint="eastAsia"/>
          <w:sz w:val="28"/>
          <w:szCs w:val="28"/>
        </w:rPr>
        <w:t>15mm</w:t>
      </w:r>
      <w:r w:rsidRPr="0053327A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FBA7132" w14:textId="0ADC4B0D" w:rsidR="0053327A" w:rsidRDefault="0053327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5.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不圆度</w:t>
      </w:r>
      <w:r>
        <w:rPr>
          <w:rFonts w:ascii="Times New Roman" w:eastAsia="仿宋_GB2312" w:hAnsi="Times New Roman" w:cs="Times New Roman"/>
          <w:sz w:val="28"/>
          <w:szCs w:val="28"/>
        </w:rPr>
        <w:t>和壁厚不均</w:t>
      </w:r>
    </w:p>
    <w:p w14:paraId="4037D670" w14:textId="20D24789" w:rsidR="0053327A" w:rsidRDefault="0053327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3327A">
        <w:rPr>
          <w:rFonts w:ascii="Times New Roman" w:eastAsia="仿宋_GB2312" w:hAnsi="Times New Roman" w:cs="Times New Roman" w:hint="eastAsia"/>
          <w:sz w:val="28"/>
          <w:szCs w:val="28"/>
        </w:rPr>
        <w:t>根据需方要求，经供需双方协商，并在合同中注明，钢管的不圆度和壁厚不均应分别不超过外径公差和壁厚公差的</w:t>
      </w:r>
      <w:r w:rsidRPr="0053327A">
        <w:rPr>
          <w:rFonts w:ascii="Times New Roman" w:eastAsia="仿宋_GB2312" w:hAnsi="Times New Roman" w:cs="Times New Roman" w:hint="eastAsia"/>
          <w:sz w:val="28"/>
          <w:szCs w:val="28"/>
        </w:rPr>
        <w:t>80%</w:t>
      </w:r>
      <w:r w:rsidRPr="0053327A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E0F0F50" w14:textId="06D47EC4" w:rsidR="0053327A" w:rsidRDefault="0053327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GB/T 14976-2012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269D9A7" w14:textId="6D13589D" w:rsidR="000C6B01" w:rsidRDefault="000C6B01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6.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重量</w:t>
      </w:r>
    </w:p>
    <w:p w14:paraId="1A3B74E6" w14:textId="38EBB2CB" w:rsidR="000C6B01" w:rsidRPr="0053327A" w:rsidRDefault="000C6B01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钢管</w:t>
      </w:r>
      <w:r>
        <w:rPr>
          <w:rFonts w:ascii="Times New Roman" w:eastAsia="仿宋_GB2312" w:hAnsi="Times New Roman" w:cs="Times New Roman"/>
          <w:sz w:val="28"/>
          <w:szCs w:val="28"/>
        </w:rPr>
        <w:t>的重量要求与</w:t>
      </w:r>
      <w:r>
        <w:rPr>
          <w:rFonts w:ascii="Times New Roman" w:eastAsia="仿宋_GB2312" w:hAnsi="Times New Roman" w:cs="Times New Roman"/>
          <w:sz w:val="28"/>
          <w:szCs w:val="28"/>
        </w:rPr>
        <w:t>GB/T 14976-2012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33C5918" w14:textId="6A1598C8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3755BE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D8029F" w:rsidRPr="00F013CC">
        <w:rPr>
          <w:rFonts w:ascii="Times New Roman" w:eastAsia="仿宋_GB2312" w:hAnsi="Times New Roman" w:cs="Times New Roman"/>
          <w:sz w:val="28"/>
          <w:szCs w:val="28"/>
        </w:rPr>
        <w:t>技术要求</w:t>
      </w:r>
    </w:p>
    <w:p w14:paraId="56B22527" w14:textId="76F9ADF0" w:rsidR="00BD082B" w:rsidRDefault="00C529A9" w:rsidP="00054F7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 w:rsidR="00630F6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D082B"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 w:rsidR="00BD082B">
        <w:rPr>
          <w:rFonts w:ascii="Times New Roman" w:eastAsia="仿宋_GB2312" w:hAnsi="Times New Roman" w:cs="Times New Roman"/>
          <w:sz w:val="28"/>
          <w:szCs w:val="28"/>
        </w:rPr>
        <w:t>和化学成分</w:t>
      </w:r>
    </w:p>
    <w:p w14:paraId="40410912" w14:textId="3E6CBB42" w:rsidR="00307891" w:rsidRDefault="007655EC" w:rsidP="007655E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钢的牌号和化学成分（熔炼分析）应符合表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的规定。根据需方要求，经供需双方协商，并在合同中注明，可供应表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规定以外牌号和化学成分的钢管。钢管的成品化学成分允许偏差应符合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GB/T 222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的规定。钢管的熔炼分析耐点腐蚀指数（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PREN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）值应不小于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25.95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PREN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值按式（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）计算。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47"/>
        <w:gridCol w:w="553"/>
        <w:gridCol w:w="450"/>
        <w:gridCol w:w="467"/>
        <w:gridCol w:w="572"/>
        <w:gridCol w:w="587"/>
        <w:gridCol w:w="1124"/>
        <w:gridCol w:w="917"/>
        <w:gridCol w:w="944"/>
        <w:gridCol w:w="944"/>
      </w:tblGrid>
      <w:tr w:rsidR="007655EC" w:rsidRPr="007655EC" w14:paraId="76EFD667" w14:textId="77777777" w:rsidTr="00CE260B">
        <w:trPr>
          <w:cantSplit/>
          <w:trHeight w:val="20"/>
        </w:trPr>
        <w:tc>
          <w:tcPr>
            <w:tcW w:w="100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5AA2979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牌号</w:t>
            </w:r>
          </w:p>
        </w:tc>
        <w:tc>
          <w:tcPr>
            <w:tcW w:w="3992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C05D602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化学成分（质量分数）</w:t>
            </w: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/%</w:t>
            </w:r>
          </w:p>
        </w:tc>
      </w:tr>
      <w:tr w:rsidR="007655EC" w:rsidRPr="007655EC" w14:paraId="4A608B1E" w14:textId="77777777" w:rsidTr="00CE260B">
        <w:trPr>
          <w:cantSplit/>
          <w:trHeight w:val="485"/>
        </w:trPr>
        <w:tc>
          <w:tcPr>
            <w:tcW w:w="1008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0118CA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720E276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39CA3FB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B4BA93A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0A7F620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269A2496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027A44BF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7ABF3FB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</w:pP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0ABBBE8E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Mo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5F89F3F3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</w:p>
        </w:tc>
      </w:tr>
      <w:tr w:rsidR="007655EC" w:rsidRPr="007655EC" w14:paraId="70AF7163" w14:textId="77777777" w:rsidTr="00CE260B">
        <w:trPr>
          <w:cantSplit/>
          <w:trHeight w:val="20"/>
        </w:trPr>
        <w:tc>
          <w:tcPr>
            <w:tcW w:w="10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5CF91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0Cr</w:t>
            </w: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Mn</w:t>
            </w: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Ni</w:t>
            </w: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Mo</w:t>
            </w: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8ED6D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≤</w:t>
            </w: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96343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≤</w:t>
            </w: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1D40F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≤</w:t>
            </w: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131AB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≤</w:t>
            </w: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22B4E75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≤</w:t>
            </w: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6D901C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8.00~22.00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E3F16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≤</w:t>
            </w: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F0722AE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1.50~3.50</w:t>
            </w: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FCA586F" w14:textId="77777777" w:rsidR="007655EC" w:rsidRPr="007655EC" w:rsidRDefault="007655EC" w:rsidP="00765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655E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7655EC">
              <w:rPr>
                <w:rFonts w:ascii="Times New Roman" w:eastAsia="宋体" w:hAnsi="Times New Roman" w:cs="Times New Roman"/>
                <w:sz w:val="18"/>
                <w:szCs w:val="18"/>
              </w:rPr>
              <w:t>.40~0.80</w:t>
            </w:r>
          </w:p>
        </w:tc>
      </w:tr>
    </w:tbl>
    <w:p w14:paraId="6C5897C2" w14:textId="65CED99D" w:rsidR="007655EC" w:rsidRDefault="007655EC" w:rsidP="007655EC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给出了</w:t>
      </w:r>
      <w:r>
        <w:rPr>
          <w:rFonts w:ascii="Times New Roman" w:eastAsia="仿宋_GB2312" w:hAnsi="Times New Roman" w:cs="Times New Roman"/>
          <w:sz w:val="28"/>
          <w:szCs w:val="28"/>
        </w:rPr>
        <w:t>含氮奥氏体不锈钢新牌号</w:t>
      </w:r>
      <w:r w:rsidRPr="007655EC">
        <w:rPr>
          <w:rFonts w:ascii="Times New Roman" w:eastAsia="仿宋_GB2312" w:hAnsi="Times New Roman" w:cs="Times New Roman"/>
          <w:sz w:val="28"/>
          <w:szCs w:val="28"/>
        </w:rPr>
        <w:t>0Cr20Mn9Ni3Mo2N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化学成分要求，</w:t>
      </w:r>
      <w:r w:rsidR="00B67C4D">
        <w:rPr>
          <w:rFonts w:ascii="Times New Roman" w:eastAsia="仿宋_GB2312" w:hAnsi="Times New Roman" w:cs="Times New Roman" w:hint="eastAsia"/>
          <w:sz w:val="28"/>
          <w:szCs w:val="28"/>
        </w:rPr>
        <w:t>对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钢管的熔炼分析耐点腐蚀指数（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PREN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）值应不小于</w:t>
      </w:r>
      <w:r w:rsidRPr="007655EC">
        <w:rPr>
          <w:rFonts w:ascii="Times New Roman" w:eastAsia="仿宋_GB2312" w:hAnsi="Times New Roman" w:cs="Times New Roman" w:hint="eastAsia"/>
          <w:sz w:val="28"/>
          <w:szCs w:val="28"/>
        </w:rPr>
        <w:t>25.95</w:t>
      </w:r>
      <w:r w:rsidR="00B67C4D">
        <w:rPr>
          <w:rFonts w:ascii="Times New Roman" w:eastAsia="仿宋_GB2312" w:hAnsi="Times New Roman" w:cs="Times New Roman" w:hint="eastAsia"/>
          <w:sz w:val="28"/>
          <w:szCs w:val="28"/>
        </w:rPr>
        <w:t>进行了规定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D42DEB8" w14:textId="283C9209" w:rsidR="00DE7C11" w:rsidRDefault="00DE7C11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705908">
        <w:rPr>
          <w:rFonts w:ascii="Times New Roman" w:eastAsia="仿宋_GB2312" w:hAnsi="Times New Roman" w:cs="Times New Roman" w:hint="eastAsia"/>
          <w:sz w:val="28"/>
          <w:szCs w:val="28"/>
        </w:rPr>
        <w:t>制造</w:t>
      </w:r>
      <w:r>
        <w:rPr>
          <w:rFonts w:ascii="Times New Roman" w:eastAsia="仿宋_GB2312" w:hAnsi="Times New Roman" w:cs="Times New Roman"/>
          <w:sz w:val="28"/>
          <w:szCs w:val="28"/>
        </w:rPr>
        <w:t>方法</w:t>
      </w:r>
    </w:p>
    <w:p w14:paraId="6729D9AE" w14:textId="456E318F" w:rsidR="00DE7C11" w:rsidRDefault="00705908" w:rsidP="0070590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05908">
        <w:rPr>
          <w:rFonts w:ascii="Times New Roman" w:eastAsia="仿宋_GB2312" w:hAnsi="Times New Roman" w:cs="Times New Roman" w:hint="eastAsia"/>
          <w:sz w:val="28"/>
          <w:szCs w:val="28"/>
        </w:rPr>
        <w:t>钢应采用粗炼钢水加炉外精炼工艺。钢管应采用热轧、冷轧或离心浇铸方法制造。需方指定某一种制造方法时，应在合同中注明。</w:t>
      </w:r>
    </w:p>
    <w:p w14:paraId="660BCB91" w14:textId="644DA3A7" w:rsidR="00DE7C11" w:rsidRDefault="00DE7C11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交货状态</w:t>
      </w:r>
    </w:p>
    <w:p w14:paraId="118C3B2D" w14:textId="7227E105" w:rsidR="00DE7C11" w:rsidRDefault="00705908" w:rsidP="008360B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05908">
        <w:rPr>
          <w:rFonts w:ascii="Times New Roman" w:eastAsia="仿宋_GB2312" w:hAnsi="Times New Roman" w:cs="Times New Roman" w:hint="eastAsia"/>
          <w:sz w:val="28"/>
          <w:szCs w:val="28"/>
        </w:rPr>
        <w:t>钢管应经热处理并酸洗后交货。凡经整体磨、镗或经保护气氛热处理的钢管，可不经酸洗交货。钢管推荐的热处理制度应符合表</w:t>
      </w:r>
      <w:r w:rsidRPr="00705908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705908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74A2B3E0" w14:textId="044FA1F2" w:rsidR="00DE7C11" w:rsidRDefault="00DE7C11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力学</w:t>
      </w:r>
      <w:r>
        <w:rPr>
          <w:rFonts w:ascii="Times New Roman" w:eastAsia="仿宋_GB2312" w:hAnsi="Times New Roman" w:cs="Times New Roman"/>
          <w:sz w:val="28"/>
          <w:szCs w:val="28"/>
        </w:rPr>
        <w:t>性能</w:t>
      </w:r>
    </w:p>
    <w:p w14:paraId="690E7C91" w14:textId="05B36848" w:rsidR="00DE7C11" w:rsidRDefault="00705908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05908">
        <w:rPr>
          <w:rFonts w:ascii="Times New Roman" w:eastAsia="仿宋_GB2312" w:hAnsi="Times New Roman" w:cs="Times New Roman" w:hint="eastAsia"/>
          <w:sz w:val="28"/>
          <w:szCs w:val="28"/>
        </w:rPr>
        <w:t>热处理状态钢管的纵向力学性能应符合表</w:t>
      </w:r>
      <w:r w:rsidRPr="00705908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705908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本文件给出了</w:t>
      </w:r>
      <w:r>
        <w:rPr>
          <w:rFonts w:ascii="Times New Roman" w:eastAsia="仿宋_GB2312" w:hAnsi="Times New Roman" w:cs="Times New Roman"/>
          <w:sz w:val="28"/>
          <w:szCs w:val="28"/>
        </w:rPr>
        <w:t>含氮奥氏体不锈钢新牌号</w:t>
      </w:r>
      <w:r w:rsidRPr="007655EC">
        <w:rPr>
          <w:rFonts w:ascii="Times New Roman" w:eastAsia="仿宋_GB2312" w:hAnsi="Times New Roman" w:cs="Times New Roman"/>
          <w:sz w:val="28"/>
          <w:szCs w:val="28"/>
        </w:rPr>
        <w:t>0Cr20Mn9Ni3Mo2N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力学性能</w:t>
      </w:r>
      <w:r>
        <w:rPr>
          <w:rFonts w:ascii="Times New Roman" w:eastAsia="仿宋_GB2312" w:hAnsi="Times New Roman" w:cs="Times New Roman"/>
          <w:sz w:val="28"/>
          <w:szCs w:val="28"/>
        </w:rPr>
        <w:t>要求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47"/>
        <w:gridCol w:w="1506"/>
        <w:gridCol w:w="1262"/>
        <w:gridCol w:w="1262"/>
        <w:gridCol w:w="1268"/>
        <w:gridCol w:w="1260"/>
      </w:tblGrid>
      <w:tr w:rsidR="00705908" w:rsidRPr="00705908" w14:paraId="490C317F" w14:textId="77777777" w:rsidTr="00CE260B">
        <w:trPr>
          <w:cantSplit/>
          <w:trHeight w:val="20"/>
        </w:trPr>
        <w:tc>
          <w:tcPr>
            <w:tcW w:w="100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3D73719" w14:textId="77777777" w:rsidR="00705908" w:rsidRPr="00705908" w:rsidRDefault="00705908" w:rsidP="007059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牌号</w:t>
            </w:r>
          </w:p>
        </w:tc>
        <w:tc>
          <w:tcPr>
            <w:tcW w:w="91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2698ED4" w14:textId="77777777" w:rsidR="00705908" w:rsidRPr="00705908" w:rsidRDefault="00705908" w:rsidP="007059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推荐热处理制度</w:t>
            </w:r>
          </w:p>
        </w:tc>
        <w:tc>
          <w:tcPr>
            <w:tcW w:w="231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91F33" w14:textId="77777777" w:rsidR="00705908" w:rsidRPr="00705908" w:rsidRDefault="00705908" w:rsidP="007059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力学性能</w:t>
            </w:r>
          </w:p>
        </w:tc>
        <w:tc>
          <w:tcPr>
            <w:tcW w:w="7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B4ECC9A" w14:textId="77777777" w:rsidR="00705908" w:rsidRPr="00705908" w:rsidRDefault="00705908" w:rsidP="007059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密度</w:t>
            </w:r>
          </w:p>
        </w:tc>
      </w:tr>
      <w:tr w:rsidR="00705908" w:rsidRPr="00705908" w14:paraId="05FAC34C" w14:textId="77777777" w:rsidTr="00CE260B">
        <w:trPr>
          <w:cantSplit/>
          <w:trHeight w:val="20"/>
        </w:trPr>
        <w:tc>
          <w:tcPr>
            <w:tcW w:w="1007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3D3B139" w14:textId="77777777" w:rsidR="00705908" w:rsidRPr="00705908" w:rsidRDefault="00705908" w:rsidP="007059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B42BA9D" w14:textId="77777777" w:rsidR="00705908" w:rsidRPr="00705908" w:rsidRDefault="00705908" w:rsidP="007059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DE9E1" w14:textId="77777777" w:rsidR="00705908" w:rsidRPr="00705908" w:rsidRDefault="00705908" w:rsidP="00705908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抗拉强度</w:t>
            </w:r>
            <w:proofErr w:type="spellStart"/>
            <w:r w:rsidRPr="0070590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</w:t>
            </w:r>
            <w:r w:rsidRPr="00705908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m</w:t>
            </w:r>
            <w:proofErr w:type="spellEnd"/>
            <w:r w:rsidRPr="0070590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proofErr w:type="spellStart"/>
            <w:r w:rsidRPr="0070590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25C91" w14:textId="77777777" w:rsidR="00705908" w:rsidRPr="00705908" w:rsidRDefault="00705908" w:rsidP="00705908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规定塑性延伸强度</w:t>
            </w:r>
            <w:r w:rsidRPr="0070590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</w:t>
            </w:r>
            <w:r w:rsidRPr="00705908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p0.2</w:t>
            </w:r>
            <w:r w:rsidRPr="0070590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proofErr w:type="spellStart"/>
            <w:r w:rsidRPr="0070590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5FBDE" w14:textId="77777777" w:rsidR="00705908" w:rsidRPr="00705908" w:rsidRDefault="00705908" w:rsidP="00705908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断后伸长率</w:t>
            </w:r>
            <w:r w:rsidRPr="0070590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A/%</w:t>
            </w:r>
          </w:p>
        </w:tc>
        <w:tc>
          <w:tcPr>
            <w:tcW w:w="767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70BC61A4" w14:textId="77777777" w:rsidR="00705908" w:rsidRPr="00705908" w:rsidRDefault="00705908" w:rsidP="007059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ρ/</w:t>
            </w: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kg/dm</w:t>
            </w:r>
            <w:r w:rsidRPr="00705908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3</w:t>
            </w: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705908" w:rsidRPr="00705908" w14:paraId="573C6DBE" w14:textId="77777777" w:rsidTr="00CE260B">
        <w:trPr>
          <w:cantSplit/>
          <w:trHeight w:val="20"/>
        </w:trPr>
        <w:tc>
          <w:tcPr>
            <w:tcW w:w="1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2F1B0" w14:textId="77777777" w:rsidR="00705908" w:rsidRPr="00705908" w:rsidRDefault="00705908" w:rsidP="007059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0Cr</w:t>
            </w: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7059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Mn</w:t>
            </w: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7059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Ni</w:t>
            </w: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7059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Mo</w:t>
            </w: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7059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</w:t>
            </w:r>
          </w:p>
        </w:tc>
        <w:tc>
          <w:tcPr>
            <w:tcW w:w="9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E8D75" w14:textId="77777777" w:rsidR="00705908" w:rsidRPr="00705908" w:rsidRDefault="00705908" w:rsidP="007059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固溶处理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594E6" w14:textId="77777777" w:rsidR="00705908" w:rsidRPr="00705908" w:rsidRDefault="00705908" w:rsidP="007059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80~1080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E2A27" w14:textId="77777777" w:rsidR="00705908" w:rsidRPr="00705908" w:rsidRDefault="00705908" w:rsidP="007059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60~680</w:t>
            </w: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3D18A" w14:textId="77777777" w:rsidR="00705908" w:rsidRPr="00705908" w:rsidRDefault="00705908" w:rsidP="007059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8~63</w:t>
            </w:r>
          </w:p>
        </w:tc>
        <w:tc>
          <w:tcPr>
            <w:tcW w:w="7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57A7DE4" w14:textId="77777777" w:rsidR="00705908" w:rsidRPr="00705908" w:rsidRDefault="00705908" w:rsidP="007059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0590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 w:rsidRPr="00705908">
              <w:rPr>
                <w:rFonts w:ascii="Times New Roman" w:eastAsia="宋体" w:hAnsi="Times New Roman" w:cs="Times New Roman"/>
                <w:sz w:val="18"/>
                <w:szCs w:val="18"/>
              </w:rPr>
              <w:t>.87</w:t>
            </w:r>
          </w:p>
        </w:tc>
      </w:tr>
    </w:tbl>
    <w:p w14:paraId="6E314CE3" w14:textId="5537020A" w:rsidR="008360B8" w:rsidRDefault="001F5134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5. </w:t>
      </w:r>
      <w:r w:rsidR="008B7EDC">
        <w:rPr>
          <w:rFonts w:ascii="Times New Roman" w:eastAsia="仿宋_GB2312" w:hAnsi="Times New Roman" w:cs="Times New Roman" w:hint="eastAsia"/>
          <w:sz w:val="28"/>
          <w:szCs w:val="28"/>
        </w:rPr>
        <w:t>液压试验</w:t>
      </w:r>
    </w:p>
    <w:p w14:paraId="745F8A30" w14:textId="56FC35F0" w:rsidR="008360B8" w:rsidRDefault="008B7EDC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钢管应进行液压试验。试验压力按式（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）计算，最大试验压力应不超过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20MPa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，稳压时间应不少于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10s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。在试验压力下，钢管不允许出现渗漏现象。根据需方要求，经供需双方协商，并在合同中注明，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可进行更高压力的水压试验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928CFA8" w14:textId="23BD1164" w:rsidR="009C54F8" w:rsidRDefault="009C54F8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6. </w:t>
      </w:r>
      <w:r w:rsidR="008B7EDC">
        <w:rPr>
          <w:rFonts w:ascii="Times New Roman" w:eastAsia="仿宋_GB2312" w:hAnsi="Times New Roman" w:cs="Times New Roman" w:hint="eastAsia"/>
          <w:sz w:val="28"/>
          <w:szCs w:val="28"/>
        </w:rPr>
        <w:t>工艺性能</w:t>
      </w:r>
    </w:p>
    <w:p w14:paraId="4E4529B8" w14:textId="63353216" w:rsidR="001F5134" w:rsidRPr="001F5134" w:rsidRDefault="008B7EDC" w:rsidP="001F513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工艺性能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包括</w:t>
      </w:r>
      <w:r>
        <w:rPr>
          <w:rFonts w:ascii="Times New Roman" w:eastAsia="仿宋_GB2312" w:hAnsi="Times New Roman" w:cs="Times New Roman"/>
          <w:sz w:val="28"/>
          <w:szCs w:val="28"/>
        </w:rPr>
        <w:t>压扁试验、扩口试验，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指标</w:t>
      </w:r>
      <w:r>
        <w:rPr>
          <w:rFonts w:ascii="Times New Roman" w:eastAsia="仿宋_GB2312" w:hAnsi="Times New Roman" w:cs="Times New Roman"/>
          <w:sz w:val="28"/>
          <w:szCs w:val="28"/>
        </w:rPr>
        <w:t>要求</w:t>
      </w:r>
      <w:r>
        <w:rPr>
          <w:rFonts w:ascii="Times New Roman" w:eastAsia="仿宋_GB2312" w:hAnsi="Times New Roman" w:cs="Times New Roman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GB/T 14976-2012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543AD60" w14:textId="4F86C0EB" w:rsidR="001F5134" w:rsidRDefault="009C54F8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7. </w:t>
      </w:r>
      <w:r w:rsidR="008B7EDC">
        <w:rPr>
          <w:rFonts w:ascii="Times New Roman" w:eastAsia="仿宋_GB2312" w:hAnsi="Times New Roman" w:cs="Times New Roman" w:hint="eastAsia"/>
          <w:sz w:val="28"/>
          <w:szCs w:val="28"/>
        </w:rPr>
        <w:t>腐蚀试验</w:t>
      </w:r>
    </w:p>
    <w:p w14:paraId="7FA3E151" w14:textId="19CDF342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）晶间腐蚀</w:t>
      </w:r>
    </w:p>
    <w:p w14:paraId="60DB21D1" w14:textId="7E570583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钢管应进行晶间腐蚀试验，晶间腐蚀试验方法应符合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GB/T 4334-2020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E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法的规定，试验后试样不允许出现晶间腐蚀倾向。</w:t>
      </w:r>
    </w:p>
    <w:p w14:paraId="4A5C6566" w14:textId="55AAE580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GB/T 14976-2012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C6EBD20" w14:textId="0CF9E1FA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）盐雾腐蚀</w:t>
      </w:r>
    </w:p>
    <w:p w14:paraId="6B7B800D" w14:textId="47B64102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钢管应进行盐雾腐蚀试验，盐雾腐蚀试验方法应符合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GB/T 10125-2012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中的规定，试验后记录腐蚀失重、缺陷及数量分布，平均腐蚀速率不超过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0.0025mm/a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5E8C870" w14:textId="42D403D1" w:rsidR="008B7EDC" w:rsidRP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盐雾腐蚀</w:t>
      </w:r>
      <w:r>
        <w:rPr>
          <w:rFonts w:ascii="Times New Roman" w:eastAsia="仿宋_GB2312" w:hAnsi="Times New Roman" w:cs="Times New Roman"/>
          <w:sz w:val="28"/>
          <w:szCs w:val="28"/>
        </w:rPr>
        <w:t>为本文件新增的技术要求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AEA8F18" w14:textId="695EF3BB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）海水冲蚀</w:t>
      </w:r>
    </w:p>
    <w:p w14:paraId="114EA257" w14:textId="39E9353F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根据需方要求，可对钢管提出海水冲蚀试验，试验海水流速为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2.5m/s-3m/s,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试验周期为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60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天，每天冲刷时间≥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9h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，试验结果评价标准符合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GB/T 18590-2001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中点蚀评定等级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2AC8D60" w14:textId="68F43BB2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考虑到</w:t>
      </w:r>
      <w:r>
        <w:rPr>
          <w:rFonts w:ascii="Times New Roman" w:eastAsia="仿宋_GB2312" w:hAnsi="Times New Roman" w:cs="Times New Roman"/>
          <w:sz w:val="28"/>
          <w:szCs w:val="28"/>
        </w:rPr>
        <w:t>海水管路实际应用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对于</w:t>
      </w:r>
      <w:r>
        <w:rPr>
          <w:rFonts w:ascii="Times New Roman" w:eastAsia="仿宋_GB2312" w:hAnsi="Times New Roman" w:cs="Times New Roman"/>
          <w:sz w:val="28"/>
          <w:szCs w:val="28"/>
        </w:rPr>
        <w:t>海水冲蚀的要求，本文件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增加了</w:t>
      </w:r>
      <w:r>
        <w:rPr>
          <w:rFonts w:ascii="Times New Roman" w:eastAsia="仿宋_GB2312" w:hAnsi="Times New Roman" w:cs="Times New Roman"/>
          <w:sz w:val="28"/>
          <w:szCs w:val="28"/>
        </w:rPr>
        <w:t>海水冲蚀试验要求。</w:t>
      </w:r>
    </w:p>
    <w:p w14:paraId="7CA318B7" w14:textId="155899ED" w:rsidR="008B7EDC" w:rsidRDefault="001F5134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8. </w:t>
      </w:r>
      <w:r w:rsidR="008B7EDC">
        <w:rPr>
          <w:rFonts w:ascii="Times New Roman" w:eastAsia="仿宋_GB2312" w:hAnsi="Times New Roman" w:cs="Times New Roman" w:hint="eastAsia"/>
          <w:sz w:val="28"/>
          <w:szCs w:val="28"/>
        </w:rPr>
        <w:t>晶粒度</w:t>
      </w:r>
    </w:p>
    <w:p w14:paraId="268CF4C6" w14:textId="010367EA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钢管的晶粒度应不低于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级。</w:t>
      </w:r>
    </w:p>
    <w:p w14:paraId="7AB6394C" w14:textId="777A9C85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 xml:space="preserve">9.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显微组织</w:t>
      </w:r>
    </w:p>
    <w:p w14:paraId="35D39F8A" w14:textId="04700990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钢管显微组织应主要为奥氏体，铁素体含量应不大于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1.0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级。</w:t>
      </w:r>
    </w:p>
    <w:p w14:paraId="592B98C7" w14:textId="24001031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GB/T 14976-2012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相比</w:t>
      </w:r>
      <w:r>
        <w:rPr>
          <w:rFonts w:ascii="Times New Roman" w:eastAsia="仿宋_GB2312" w:hAnsi="Times New Roman" w:cs="Times New Roman"/>
          <w:sz w:val="28"/>
          <w:szCs w:val="28"/>
        </w:rPr>
        <w:t>，本文件新增显微组织要求，提升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钢管</w:t>
      </w:r>
      <w:r>
        <w:rPr>
          <w:rFonts w:ascii="Times New Roman" w:eastAsia="仿宋_GB2312" w:hAnsi="Times New Roman" w:cs="Times New Roman"/>
          <w:sz w:val="28"/>
          <w:szCs w:val="28"/>
        </w:rPr>
        <w:t>产品内部质量控制要求。</w:t>
      </w:r>
    </w:p>
    <w:p w14:paraId="3179F474" w14:textId="5EC91DE2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10.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非金属夹杂物</w:t>
      </w:r>
    </w:p>
    <w:p w14:paraId="648C401D" w14:textId="2A495198" w:rsid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钢管应进行非金属夹杂物检验。钢管的非金属夹杂物按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GB/T 10561-2023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法评级。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类、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B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类、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C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类、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D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类、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DS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类夹杂物应不大于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1.5</w:t>
      </w:r>
      <w:r w:rsidRPr="008B7EDC">
        <w:rPr>
          <w:rFonts w:ascii="Times New Roman" w:eastAsia="仿宋_GB2312" w:hAnsi="Times New Roman" w:cs="Times New Roman" w:hint="eastAsia"/>
          <w:sz w:val="28"/>
          <w:szCs w:val="28"/>
        </w:rPr>
        <w:t>级。</w:t>
      </w:r>
    </w:p>
    <w:p w14:paraId="59CC0464" w14:textId="48B8194E" w:rsidR="008B7EDC" w:rsidRPr="008B7EDC" w:rsidRDefault="008B7EDC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GB/T 14976-2012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相比</w:t>
      </w:r>
      <w:r>
        <w:rPr>
          <w:rFonts w:ascii="Times New Roman" w:eastAsia="仿宋_GB2312" w:hAnsi="Times New Roman" w:cs="Times New Roman"/>
          <w:sz w:val="28"/>
          <w:szCs w:val="28"/>
        </w:rPr>
        <w:t>，本文件新增</w:t>
      </w:r>
      <w:r w:rsidR="00D20913">
        <w:rPr>
          <w:rFonts w:ascii="Times New Roman" w:eastAsia="仿宋_GB2312" w:hAnsi="Times New Roman" w:cs="Times New Roman" w:hint="eastAsia"/>
          <w:sz w:val="28"/>
          <w:szCs w:val="28"/>
        </w:rPr>
        <w:t>非金属夹杂物</w:t>
      </w:r>
      <w:r>
        <w:rPr>
          <w:rFonts w:ascii="Times New Roman" w:eastAsia="仿宋_GB2312" w:hAnsi="Times New Roman" w:cs="Times New Roman"/>
          <w:sz w:val="28"/>
          <w:szCs w:val="28"/>
        </w:rPr>
        <w:t>要求</w:t>
      </w:r>
      <w:r w:rsidR="00D20913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8970E6C" w14:textId="5F4DB228" w:rsidR="008B7EDC" w:rsidRDefault="00D20913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11.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表面质量</w:t>
      </w:r>
    </w:p>
    <w:p w14:paraId="42B89DDE" w14:textId="7EB95F81" w:rsidR="00D20913" w:rsidRDefault="00BB136E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新增离心浇铸钢管的表面质量要求，其他与</w:t>
      </w:r>
      <w:r>
        <w:rPr>
          <w:rFonts w:ascii="Times New Roman" w:eastAsia="仿宋_GB2312" w:hAnsi="Times New Roman" w:cs="Times New Roman"/>
          <w:sz w:val="28"/>
          <w:szCs w:val="28"/>
        </w:rPr>
        <w:t>GB/T 14976-2012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保持一致。</w:t>
      </w:r>
    </w:p>
    <w:p w14:paraId="2891D811" w14:textId="621D25F9" w:rsidR="00BB136E" w:rsidRDefault="00BB136E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12.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无损</w:t>
      </w:r>
      <w:r>
        <w:rPr>
          <w:rFonts w:ascii="Times New Roman" w:eastAsia="仿宋_GB2312" w:hAnsi="Times New Roman" w:cs="Times New Roman"/>
          <w:sz w:val="28"/>
          <w:szCs w:val="28"/>
        </w:rPr>
        <w:t>检验</w:t>
      </w:r>
    </w:p>
    <w:p w14:paraId="13469B86" w14:textId="702C4E39" w:rsidR="00BB136E" w:rsidRDefault="00BB136E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B136E">
        <w:rPr>
          <w:rFonts w:ascii="Times New Roman" w:eastAsia="仿宋_GB2312" w:hAnsi="Times New Roman" w:cs="Times New Roman" w:hint="eastAsia"/>
          <w:sz w:val="28"/>
          <w:szCs w:val="28"/>
        </w:rPr>
        <w:t>钢管出厂时，需经过超声波探伤及涡流探伤，使用超声波探伤时对比样管人工缺陷应符合</w:t>
      </w:r>
      <w:r w:rsidRPr="00BB136E">
        <w:rPr>
          <w:rFonts w:ascii="Times New Roman" w:eastAsia="仿宋_GB2312" w:hAnsi="Times New Roman" w:cs="Times New Roman" w:hint="eastAsia"/>
          <w:sz w:val="28"/>
          <w:szCs w:val="28"/>
        </w:rPr>
        <w:t>GB/T 5777</w:t>
      </w:r>
      <w:r w:rsidRPr="00BB136E">
        <w:rPr>
          <w:rFonts w:ascii="Times New Roman" w:eastAsia="仿宋_GB2312" w:hAnsi="Times New Roman" w:cs="Times New Roman" w:hint="eastAsia"/>
          <w:sz w:val="28"/>
          <w:szCs w:val="28"/>
        </w:rPr>
        <w:t>中验收等级</w:t>
      </w:r>
      <w:r w:rsidRPr="00BB136E">
        <w:rPr>
          <w:rFonts w:ascii="Times New Roman" w:eastAsia="仿宋_GB2312" w:hAnsi="Times New Roman" w:cs="Times New Roman" w:hint="eastAsia"/>
          <w:sz w:val="28"/>
          <w:szCs w:val="28"/>
        </w:rPr>
        <w:t>L3</w:t>
      </w:r>
      <w:r w:rsidRPr="00BB136E">
        <w:rPr>
          <w:rFonts w:ascii="Times New Roman" w:eastAsia="仿宋_GB2312" w:hAnsi="Times New Roman" w:cs="Times New Roman" w:hint="eastAsia"/>
          <w:sz w:val="28"/>
          <w:szCs w:val="28"/>
        </w:rPr>
        <w:t>的规定；用涡流探伤时，对比样管人工缺陷应符合</w:t>
      </w:r>
      <w:r w:rsidRPr="00BB136E">
        <w:rPr>
          <w:rFonts w:ascii="Times New Roman" w:eastAsia="仿宋_GB2312" w:hAnsi="Times New Roman" w:cs="Times New Roman" w:hint="eastAsia"/>
          <w:sz w:val="28"/>
          <w:szCs w:val="28"/>
        </w:rPr>
        <w:t>GB/T 7735</w:t>
      </w:r>
      <w:r w:rsidRPr="00BB136E">
        <w:rPr>
          <w:rFonts w:ascii="Times New Roman" w:eastAsia="仿宋_GB2312" w:hAnsi="Times New Roman" w:cs="Times New Roman" w:hint="eastAsia"/>
          <w:sz w:val="28"/>
          <w:szCs w:val="28"/>
        </w:rPr>
        <w:t>中验收等级</w:t>
      </w:r>
      <w:r w:rsidRPr="00BB136E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BB136E">
        <w:rPr>
          <w:rFonts w:ascii="Times New Roman" w:eastAsia="仿宋_GB2312" w:hAnsi="Times New Roman" w:cs="Times New Roman" w:hint="eastAsia"/>
          <w:sz w:val="28"/>
          <w:szCs w:val="28"/>
        </w:rPr>
        <w:t>级的规定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GB/T 14976-2012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0879F8A" w14:textId="4142344C" w:rsidR="009C54F8" w:rsidRDefault="00A02A2A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13. 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</w:p>
    <w:p w14:paraId="17123ACE" w14:textId="3CB16EF8" w:rsidR="009C54F8" w:rsidRDefault="009C54F8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C54F8">
        <w:rPr>
          <w:rFonts w:ascii="Times New Roman" w:eastAsia="仿宋_GB2312" w:hAnsi="Times New Roman" w:cs="Times New Roman" w:hint="eastAsia"/>
          <w:sz w:val="28"/>
          <w:szCs w:val="28"/>
        </w:rPr>
        <w:t>根据需方要求，经供需双方协商，可对</w:t>
      </w:r>
      <w:r w:rsidR="00A02A2A" w:rsidRPr="00A02A2A">
        <w:rPr>
          <w:rFonts w:ascii="Times New Roman" w:eastAsia="仿宋_GB2312" w:hAnsi="Times New Roman" w:cs="Times New Roman" w:hint="eastAsia"/>
          <w:sz w:val="28"/>
          <w:szCs w:val="28"/>
        </w:rPr>
        <w:t>钢管提出其他特殊要求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0B00791" w14:textId="7D3FB82E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3755BE">
        <w:rPr>
          <w:rFonts w:ascii="Times New Roman" w:eastAsia="仿宋_GB2312" w:hAnsi="Times New Roman" w:cs="Times New Roman" w:hint="eastAsia"/>
          <w:sz w:val="28"/>
          <w:szCs w:val="28"/>
        </w:rPr>
        <w:t>八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775056" w:rsidRPr="00F013CC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11503C16" w14:textId="77777777" w:rsidR="004A3BE1" w:rsidRDefault="004A3BE1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钢的化学成分试验方法应按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11170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20123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或通用方法的规定进行，但仲裁时应按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223.11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223.18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223.25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GB/T 223.28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223.36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223.60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223.62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223.68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的规定进行</w:t>
      </w:r>
      <w:r w:rsidR="00C65E59" w:rsidRPr="00C65E59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CA2BD57" w14:textId="4E1DE3AB" w:rsidR="009C54F8" w:rsidRDefault="004A3BE1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钢管的检验项目、取样数量、取样方法及试验方法应符合表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001"/>
        <w:gridCol w:w="1134"/>
        <w:gridCol w:w="1135"/>
        <w:gridCol w:w="3118"/>
        <w:gridCol w:w="2229"/>
      </w:tblGrid>
      <w:tr w:rsidR="004A3BE1" w:rsidRPr="004A3BE1" w14:paraId="6F10E98C" w14:textId="77777777" w:rsidTr="00CE260B">
        <w:trPr>
          <w:trHeight w:val="20"/>
          <w:jc w:val="center"/>
        </w:trPr>
        <w:tc>
          <w:tcPr>
            <w:tcW w:w="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7A80C8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13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AB424F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检验项目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1BBFBD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取样数量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97BD35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取样方法</w:t>
            </w:r>
          </w:p>
        </w:tc>
        <w:tc>
          <w:tcPr>
            <w:tcW w:w="2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42645B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试验方法</w:t>
            </w:r>
          </w:p>
        </w:tc>
      </w:tr>
      <w:tr w:rsidR="004A3BE1" w:rsidRPr="004A3BE1" w14:paraId="35486918" w14:textId="77777777" w:rsidTr="00CE260B">
        <w:trPr>
          <w:trHeight w:val="20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76DC8EAD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8" w:space="0" w:color="auto"/>
            </w:tcBorders>
            <w:vAlign w:val="center"/>
          </w:tcPr>
          <w:p w14:paraId="065A7591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化学成分</w:t>
            </w:r>
          </w:p>
        </w:tc>
        <w:tc>
          <w:tcPr>
            <w:tcW w:w="1135" w:type="dxa"/>
            <w:tcBorders>
              <w:top w:val="single" w:sz="8" w:space="0" w:color="auto"/>
            </w:tcBorders>
            <w:vAlign w:val="center"/>
          </w:tcPr>
          <w:p w14:paraId="575CF2BF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炉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23D976A2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20066</w:t>
            </w:r>
          </w:p>
        </w:tc>
        <w:tc>
          <w:tcPr>
            <w:tcW w:w="2229" w:type="dxa"/>
            <w:tcBorders>
              <w:top w:val="single" w:sz="8" w:space="0" w:color="auto"/>
            </w:tcBorders>
            <w:vAlign w:val="center"/>
          </w:tcPr>
          <w:p w14:paraId="68A8F83F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见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8.1</w:t>
            </w:r>
          </w:p>
        </w:tc>
      </w:tr>
      <w:tr w:rsidR="004A3BE1" w:rsidRPr="004A3BE1" w14:paraId="10A1998B" w14:textId="77777777" w:rsidTr="00CE260B">
        <w:trPr>
          <w:trHeight w:val="20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35F4A040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8" w:space="0" w:color="auto"/>
            </w:tcBorders>
            <w:vAlign w:val="center"/>
          </w:tcPr>
          <w:p w14:paraId="04B48BA0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拉伸试验</w:t>
            </w:r>
          </w:p>
        </w:tc>
        <w:tc>
          <w:tcPr>
            <w:tcW w:w="1135" w:type="dxa"/>
            <w:tcBorders>
              <w:top w:val="single" w:sz="8" w:space="0" w:color="auto"/>
            </w:tcBorders>
            <w:vAlign w:val="center"/>
          </w:tcPr>
          <w:p w14:paraId="1D5D1A78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批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17CD40EB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不同根钢管，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2975</w:t>
            </w:r>
          </w:p>
        </w:tc>
        <w:tc>
          <w:tcPr>
            <w:tcW w:w="2229" w:type="dxa"/>
            <w:tcBorders>
              <w:top w:val="single" w:sz="8" w:space="0" w:color="auto"/>
            </w:tcBorders>
            <w:vAlign w:val="center"/>
          </w:tcPr>
          <w:p w14:paraId="38402A40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228.1</w:t>
            </w:r>
          </w:p>
        </w:tc>
      </w:tr>
      <w:tr w:rsidR="004A3BE1" w:rsidRPr="004A3BE1" w14:paraId="07B5AAB7" w14:textId="77777777" w:rsidTr="00CE260B">
        <w:trPr>
          <w:trHeight w:val="20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228C1721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5" w:type="dxa"/>
            <w:gridSpan w:val="2"/>
            <w:tcBorders>
              <w:top w:val="single" w:sz="8" w:space="0" w:color="auto"/>
            </w:tcBorders>
            <w:vAlign w:val="center"/>
          </w:tcPr>
          <w:p w14:paraId="73601837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压扁试验</w:t>
            </w:r>
          </w:p>
        </w:tc>
        <w:tc>
          <w:tcPr>
            <w:tcW w:w="1135" w:type="dxa"/>
            <w:tcBorders>
              <w:top w:val="single" w:sz="8" w:space="0" w:color="auto"/>
            </w:tcBorders>
            <w:vAlign w:val="center"/>
          </w:tcPr>
          <w:p w14:paraId="488DDDE8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批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0586E4BA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不同根钢管，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246</w:t>
            </w:r>
          </w:p>
        </w:tc>
        <w:tc>
          <w:tcPr>
            <w:tcW w:w="2229" w:type="dxa"/>
            <w:tcBorders>
              <w:top w:val="single" w:sz="8" w:space="0" w:color="auto"/>
            </w:tcBorders>
            <w:vAlign w:val="center"/>
          </w:tcPr>
          <w:p w14:paraId="23016613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246</w:t>
            </w:r>
          </w:p>
        </w:tc>
      </w:tr>
      <w:tr w:rsidR="004A3BE1" w:rsidRPr="004A3BE1" w14:paraId="269E410B" w14:textId="77777777" w:rsidTr="00CE260B">
        <w:trPr>
          <w:trHeight w:val="20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5F62F0B7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5" w:type="dxa"/>
            <w:gridSpan w:val="2"/>
            <w:tcBorders>
              <w:top w:val="single" w:sz="8" w:space="0" w:color="auto"/>
            </w:tcBorders>
            <w:vAlign w:val="center"/>
          </w:tcPr>
          <w:p w14:paraId="71B98C32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扩口试验</w:t>
            </w:r>
          </w:p>
        </w:tc>
        <w:tc>
          <w:tcPr>
            <w:tcW w:w="1135" w:type="dxa"/>
            <w:tcBorders>
              <w:top w:val="single" w:sz="8" w:space="0" w:color="auto"/>
            </w:tcBorders>
            <w:vAlign w:val="center"/>
          </w:tcPr>
          <w:p w14:paraId="764453B2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批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364BC57B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不同根钢管，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242</w:t>
            </w:r>
          </w:p>
        </w:tc>
        <w:tc>
          <w:tcPr>
            <w:tcW w:w="2229" w:type="dxa"/>
            <w:tcBorders>
              <w:top w:val="single" w:sz="8" w:space="0" w:color="auto"/>
            </w:tcBorders>
            <w:vAlign w:val="center"/>
          </w:tcPr>
          <w:p w14:paraId="13E3D63B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242</w:t>
            </w:r>
          </w:p>
        </w:tc>
      </w:tr>
      <w:tr w:rsidR="004A3BE1" w:rsidRPr="004A3BE1" w14:paraId="1E0FA6C9" w14:textId="77777777" w:rsidTr="00CE260B">
        <w:trPr>
          <w:trHeight w:val="20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203211E6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35" w:type="dxa"/>
            <w:gridSpan w:val="2"/>
            <w:tcBorders>
              <w:top w:val="single" w:sz="8" w:space="0" w:color="auto"/>
            </w:tcBorders>
            <w:vAlign w:val="center"/>
          </w:tcPr>
          <w:p w14:paraId="3BE5624C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液压</w:t>
            </w:r>
            <w:r w:rsidRPr="004A3BE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试验</w:t>
            </w:r>
          </w:p>
        </w:tc>
        <w:tc>
          <w:tcPr>
            <w:tcW w:w="1135" w:type="dxa"/>
            <w:tcBorders>
              <w:top w:val="single" w:sz="8" w:space="0" w:color="auto"/>
            </w:tcBorders>
            <w:vAlign w:val="center"/>
          </w:tcPr>
          <w:p w14:paraId="69F8CADC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逐根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088B3E2E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整根钢管</w:t>
            </w:r>
          </w:p>
        </w:tc>
        <w:tc>
          <w:tcPr>
            <w:tcW w:w="2229" w:type="dxa"/>
            <w:tcBorders>
              <w:top w:val="single" w:sz="8" w:space="0" w:color="auto"/>
            </w:tcBorders>
            <w:vAlign w:val="center"/>
          </w:tcPr>
          <w:p w14:paraId="60DD1F89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241</w:t>
            </w:r>
          </w:p>
        </w:tc>
      </w:tr>
      <w:tr w:rsidR="004A3BE1" w:rsidRPr="004A3BE1" w14:paraId="7183352F" w14:textId="77777777" w:rsidTr="00CE260B">
        <w:trPr>
          <w:trHeight w:val="20"/>
          <w:jc w:val="center"/>
        </w:trPr>
        <w:tc>
          <w:tcPr>
            <w:tcW w:w="663" w:type="dxa"/>
            <w:vMerge w:val="restart"/>
            <w:vAlign w:val="center"/>
          </w:tcPr>
          <w:p w14:paraId="597E2298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1" w:type="dxa"/>
            <w:vMerge w:val="restart"/>
            <w:vAlign w:val="center"/>
          </w:tcPr>
          <w:p w14:paraId="5701F630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无损检验</w:t>
            </w:r>
          </w:p>
        </w:tc>
        <w:tc>
          <w:tcPr>
            <w:tcW w:w="1134" w:type="dxa"/>
            <w:vAlign w:val="center"/>
          </w:tcPr>
          <w:p w14:paraId="014E6888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超声波探伤</w:t>
            </w:r>
          </w:p>
        </w:tc>
        <w:tc>
          <w:tcPr>
            <w:tcW w:w="1135" w:type="dxa"/>
            <w:vAlign w:val="center"/>
          </w:tcPr>
          <w:p w14:paraId="380CDBC2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逐根</w:t>
            </w:r>
          </w:p>
        </w:tc>
        <w:tc>
          <w:tcPr>
            <w:tcW w:w="3118" w:type="dxa"/>
            <w:vAlign w:val="center"/>
          </w:tcPr>
          <w:p w14:paraId="60577DB6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整根钢管</w:t>
            </w:r>
          </w:p>
        </w:tc>
        <w:tc>
          <w:tcPr>
            <w:tcW w:w="2229" w:type="dxa"/>
            <w:vAlign w:val="center"/>
          </w:tcPr>
          <w:p w14:paraId="177EAB6D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5777-2019</w:t>
            </w:r>
          </w:p>
        </w:tc>
      </w:tr>
      <w:tr w:rsidR="004A3BE1" w:rsidRPr="004A3BE1" w14:paraId="4FADCC6A" w14:textId="77777777" w:rsidTr="00CE260B">
        <w:trPr>
          <w:trHeight w:val="20"/>
          <w:jc w:val="center"/>
        </w:trPr>
        <w:tc>
          <w:tcPr>
            <w:tcW w:w="663" w:type="dxa"/>
            <w:vMerge/>
            <w:vAlign w:val="center"/>
          </w:tcPr>
          <w:p w14:paraId="519C3BF1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vAlign w:val="center"/>
          </w:tcPr>
          <w:p w14:paraId="71B46DBB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E28F54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涡流探伤</w:t>
            </w:r>
          </w:p>
        </w:tc>
        <w:tc>
          <w:tcPr>
            <w:tcW w:w="1135" w:type="dxa"/>
            <w:vAlign w:val="center"/>
          </w:tcPr>
          <w:p w14:paraId="5BA14EAC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逐根</w:t>
            </w:r>
          </w:p>
        </w:tc>
        <w:tc>
          <w:tcPr>
            <w:tcW w:w="3118" w:type="dxa"/>
            <w:vAlign w:val="center"/>
          </w:tcPr>
          <w:p w14:paraId="56540F6C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整根钢管</w:t>
            </w:r>
          </w:p>
        </w:tc>
        <w:tc>
          <w:tcPr>
            <w:tcW w:w="2229" w:type="dxa"/>
            <w:vAlign w:val="center"/>
          </w:tcPr>
          <w:p w14:paraId="71E0947F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GB/T 7735</w:t>
            </w:r>
          </w:p>
        </w:tc>
      </w:tr>
      <w:tr w:rsidR="004A3BE1" w:rsidRPr="004A3BE1" w14:paraId="6AD35656" w14:textId="77777777" w:rsidTr="00CE260B">
        <w:trPr>
          <w:trHeight w:val="20"/>
          <w:jc w:val="center"/>
        </w:trPr>
        <w:tc>
          <w:tcPr>
            <w:tcW w:w="663" w:type="dxa"/>
            <w:vMerge w:val="restart"/>
            <w:vAlign w:val="center"/>
          </w:tcPr>
          <w:p w14:paraId="5987D726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1" w:type="dxa"/>
            <w:vMerge w:val="restart"/>
            <w:vAlign w:val="center"/>
          </w:tcPr>
          <w:p w14:paraId="4B55A213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腐蚀试验</w:t>
            </w:r>
          </w:p>
        </w:tc>
        <w:tc>
          <w:tcPr>
            <w:tcW w:w="1134" w:type="dxa"/>
            <w:vAlign w:val="center"/>
          </w:tcPr>
          <w:p w14:paraId="2F378181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晶间腐蚀</w:t>
            </w:r>
          </w:p>
        </w:tc>
        <w:tc>
          <w:tcPr>
            <w:tcW w:w="1135" w:type="dxa"/>
            <w:vAlign w:val="center"/>
          </w:tcPr>
          <w:p w14:paraId="7F6FFA17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批</w:t>
            </w:r>
          </w:p>
        </w:tc>
        <w:tc>
          <w:tcPr>
            <w:tcW w:w="3118" w:type="dxa"/>
            <w:vAlign w:val="center"/>
          </w:tcPr>
          <w:p w14:paraId="05DA4875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不同根钢管，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4334</w:t>
            </w:r>
          </w:p>
        </w:tc>
        <w:tc>
          <w:tcPr>
            <w:tcW w:w="2229" w:type="dxa"/>
            <w:vAlign w:val="center"/>
          </w:tcPr>
          <w:p w14:paraId="221A6CF9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4334-2020</w:t>
            </w:r>
          </w:p>
        </w:tc>
      </w:tr>
      <w:tr w:rsidR="004A3BE1" w:rsidRPr="004A3BE1" w14:paraId="003467EE" w14:textId="77777777" w:rsidTr="00CE260B">
        <w:trPr>
          <w:trHeight w:val="20"/>
          <w:jc w:val="center"/>
        </w:trPr>
        <w:tc>
          <w:tcPr>
            <w:tcW w:w="663" w:type="dxa"/>
            <w:vMerge/>
            <w:vAlign w:val="center"/>
          </w:tcPr>
          <w:p w14:paraId="48A3FED4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vAlign w:val="center"/>
          </w:tcPr>
          <w:p w14:paraId="5673DFE9" w14:textId="77777777" w:rsidR="004A3BE1" w:rsidRPr="004A3BE1" w:rsidRDefault="004A3BE1" w:rsidP="004A3BE1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61BFC4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盐雾腐蚀</w:t>
            </w:r>
          </w:p>
        </w:tc>
        <w:tc>
          <w:tcPr>
            <w:tcW w:w="1135" w:type="dxa"/>
            <w:vAlign w:val="center"/>
          </w:tcPr>
          <w:p w14:paraId="5F069F0A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批</w:t>
            </w:r>
          </w:p>
        </w:tc>
        <w:tc>
          <w:tcPr>
            <w:tcW w:w="3118" w:type="dxa"/>
            <w:vAlign w:val="center"/>
          </w:tcPr>
          <w:p w14:paraId="1C101E7F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不同根钢管，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4334</w:t>
            </w:r>
          </w:p>
        </w:tc>
        <w:tc>
          <w:tcPr>
            <w:tcW w:w="2229" w:type="dxa"/>
            <w:vAlign w:val="center"/>
          </w:tcPr>
          <w:p w14:paraId="316EBC23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10125-2012</w:t>
            </w:r>
          </w:p>
        </w:tc>
      </w:tr>
      <w:tr w:rsidR="004A3BE1" w:rsidRPr="004A3BE1" w14:paraId="38A72B71" w14:textId="77777777" w:rsidTr="00CE260B">
        <w:trPr>
          <w:trHeight w:val="20"/>
          <w:jc w:val="center"/>
        </w:trPr>
        <w:tc>
          <w:tcPr>
            <w:tcW w:w="663" w:type="dxa"/>
            <w:vMerge/>
            <w:vAlign w:val="center"/>
          </w:tcPr>
          <w:p w14:paraId="7583C76F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vAlign w:val="center"/>
          </w:tcPr>
          <w:p w14:paraId="5B86F372" w14:textId="77777777" w:rsidR="004A3BE1" w:rsidRPr="004A3BE1" w:rsidRDefault="004A3BE1" w:rsidP="004A3BE1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3649E2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海水冲蚀</w:t>
            </w:r>
          </w:p>
        </w:tc>
        <w:tc>
          <w:tcPr>
            <w:tcW w:w="1135" w:type="dxa"/>
            <w:vAlign w:val="center"/>
          </w:tcPr>
          <w:p w14:paraId="34BD4B67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批</w:t>
            </w:r>
          </w:p>
        </w:tc>
        <w:tc>
          <w:tcPr>
            <w:tcW w:w="3118" w:type="dxa"/>
            <w:vAlign w:val="center"/>
          </w:tcPr>
          <w:p w14:paraId="5D028243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不同根钢管，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4334</w:t>
            </w:r>
          </w:p>
        </w:tc>
        <w:tc>
          <w:tcPr>
            <w:tcW w:w="2229" w:type="dxa"/>
            <w:vAlign w:val="center"/>
          </w:tcPr>
          <w:p w14:paraId="444C27FF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GB/T18590-2001</w:t>
            </w:r>
          </w:p>
        </w:tc>
      </w:tr>
      <w:tr w:rsidR="004A3BE1" w:rsidRPr="004A3BE1" w14:paraId="0453C11E" w14:textId="77777777" w:rsidTr="00CE260B">
        <w:trPr>
          <w:trHeight w:val="20"/>
          <w:jc w:val="center"/>
        </w:trPr>
        <w:tc>
          <w:tcPr>
            <w:tcW w:w="663" w:type="dxa"/>
            <w:vAlign w:val="center"/>
          </w:tcPr>
          <w:p w14:paraId="003A64AC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2135" w:type="dxa"/>
            <w:gridSpan w:val="2"/>
            <w:vAlign w:val="center"/>
          </w:tcPr>
          <w:p w14:paraId="5B34CD0F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晶粒度</w:t>
            </w:r>
          </w:p>
        </w:tc>
        <w:tc>
          <w:tcPr>
            <w:tcW w:w="1135" w:type="dxa"/>
            <w:vAlign w:val="center"/>
          </w:tcPr>
          <w:p w14:paraId="13ABA998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批</w:t>
            </w:r>
          </w:p>
        </w:tc>
        <w:tc>
          <w:tcPr>
            <w:tcW w:w="3118" w:type="dxa"/>
            <w:vAlign w:val="center"/>
          </w:tcPr>
          <w:p w14:paraId="3B95F8B9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不同根钢管，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6394</w:t>
            </w:r>
          </w:p>
        </w:tc>
        <w:tc>
          <w:tcPr>
            <w:tcW w:w="2229" w:type="dxa"/>
            <w:vAlign w:val="center"/>
          </w:tcPr>
          <w:p w14:paraId="03739625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6394</w:t>
            </w:r>
          </w:p>
        </w:tc>
      </w:tr>
      <w:tr w:rsidR="004A3BE1" w:rsidRPr="004A3BE1" w14:paraId="782073D7" w14:textId="77777777" w:rsidTr="00CE260B">
        <w:trPr>
          <w:trHeight w:val="20"/>
          <w:jc w:val="center"/>
        </w:trPr>
        <w:tc>
          <w:tcPr>
            <w:tcW w:w="663" w:type="dxa"/>
            <w:vAlign w:val="center"/>
          </w:tcPr>
          <w:p w14:paraId="1C244DCE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35" w:type="dxa"/>
            <w:gridSpan w:val="2"/>
            <w:vAlign w:val="center"/>
          </w:tcPr>
          <w:p w14:paraId="37C98A43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非金属夹杂物</w:t>
            </w:r>
          </w:p>
        </w:tc>
        <w:tc>
          <w:tcPr>
            <w:tcW w:w="1135" w:type="dxa"/>
            <w:vAlign w:val="center"/>
          </w:tcPr>
          <w:p w14:paraId="49CA0F8B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批</w:t>
            </w:r>
          </w:p>
        </w:tc>
        <w:tc>
          <w:tcPr>
            <w:tcW w:w="3118" w:type="dxa"/>
            <w:vAlign w:val="center"/>
          </w:tcPr>
          <w:p w14:paraId="67C33437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不同根钢管，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10561-2023</w:t>
            </w:r>
          </w:p>
        </w:tc>
        <w:tc>
          <w:tcPr>
            <w:tcW w:w="2229" w:type="dxa"/>
            <w:vAlign w:val="center"/>
          </w:tcPr>
          <w:p w14:paraId="46B71153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GB/T 10561-2023 A</w:t>
            </w: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</w:t>
            </w:r>
          </w:p>
        </w:tc>
      </w:tr>
      <w:tr w:rsidR="004A3BE1" w:rsidRPr="004A3BE1" w14:paraId="503E606F" w14:textId="77777777" w:rsidTr="00CE260B">
        <w:trPr>
          <w:trHeight w:val="20"/>
          <w:jc w:val="center"/>
        </w:trPr>
        <w:tc>
          <w:tcPr>
            <w:tcW w:w="663" w:type="dxa"/>
            <w:vAlign w:val="center"/>
          </w:tcPr>
          <w:p w14:paraId="10090561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35" w:type="dxa"/>
            <w:gridSpan w:val="2"/>
            <w:vAlign w:val="center"/>
          </w:tcPr>
          <w:p w14:paraId="452020E5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表面质量</w:t>
            </w:r>
          </w:p>
        </w:tc>
        <w:tc>
          <w:tcPr>
            <w:tcW w:w="1135" w:type="dxa"/>
            <w:vAlign w:val="center"/>
          </w:tcPr>
          <w:p w14:paraId="7C9AD60B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逐根</w:t>
            </w:r>
          </w:p>
        </w:tc>
        <w:tc>
          <w:tcPr>
            <w:tcW w:w="3118" w:type="dxa"/>
            <w:vAlign w:val="center"/>
          </w:tcPr>
          <w:p w14:paraId="5B125091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整根钢管</w:t>
            </w:r>
          </w:p>
        </w:tc>
        <w:tc>
          <w:tcPr>
            <w:tcW w:w="2229" w:type="dxa"/>
            <w:vAlign w:val="center"/>
          </w:tcPr>
          <w:p w14:paraId="68A9AC28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充分照明条件下目视</w:t>
            </w:r>
          </w:p>
        </w:tc>
      </w:tr>
      <w:tr w:rsidR="004A3BE1" w:rsidRPr="004A3BE1" w14:paraId="1B50C6B1" w14:textId="77777777" w:rsidTr="00CE260B">
        <w:trPr>
          <w:trHeight w:val="20"/>
          <w:jc w:val="center"/>
        </w:trPr>
        <w:tc>
          <w:tcPr>
            <w:tcW w:w="663" w:type="dxa"/>
            <w:vAlign w:val="center"/>
          </w:tcPr>
          <w:p w14:paraId="04065D5E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11</w:t>
            </w:r>
          </w:p>
        </w:tc>
        <w:tc>
          <w:tcPr>
            <w:tcW w:w="2135" w:type="dxa"/>
            <w:gridSpan w:val="2"/>
            <w:vAlign w:val="center"/>
          </w:tcPr>
          <w:p w14:paraId="033886DD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尺寸外形</w:t>
            </w:r>
          </w:p>
        </w:tc>
        <w:tc>
          <w:tcPr>
            <w:tcW w:w="1135" w:type="dxa"/>
            <w:vAlign w:val="center"/>
          </w:tcPr>
          <w:p w14:paraId="2A9A8A1A" w14:textId="77777777" w:rsidR="004A3BE1" w:rsidRPr="004A3BE1" w:rsidRDefault="004A3BE1" w:rsidP="004A3BE1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sz w:val="18"/>
                <w:szCs w:val="18"/>
              </w:rPr>
              <w:t>逐根</w:t>
            </w:r>
          </w:p>
        </w:tc>
        <w:tc>
          <w:tcPr>
            <w:tcW w:w="3118" w:type="dxa"/>
            <w:vAlign w:val="center"/>
          </w:tcPr>
          <w:p w14:paraId="05B0DBAC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整根钢管</w:t>
            </w:r>
          </w:p>
        </w:tc>
        <w:tc>
          <w:tcPr>
            <w:tcW w:w="2229" w:type="dxa"/>
            <w:vAlign w:val="center"/>
          </w:tcPr>
          <w:p w14:paraId="6CE7FFE4" w14:textId="77777777" w:rsidR="004A3BE1" w:rsidRPr="004A3BE1" w:rsidRDefault="004A3BE1" w:rsidP="004A3BE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A3BE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合适的量具</w:t>
            </w:r>
          </w:p>
        </w:tc>
      </w:tr>
    </w:tbl>
    <w:p w14:paraId="7F1EAC1F" w14:textId="5105CB42" w:rsidR="0072201A" w:rsidRPr="00F013CC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3755BE">
        <w:rPr>
          <w:rFonts w:ascii="Times New Roman" w:eastAsia="仿宋_GB2312" w:hAnsi="Times New Roman" w:cs="Times New Roman" w:hint="eastAsia"/>
          <w:sz w:val="28"/>
          <w:szCs w:val="28"/>
        </w:rPr>
        <w:t>九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）检验规则</w:t>
      </w:r>
    </w:p>
    <w:p w14:paraId="5376EA53" w14:textId="77777777" w:rsidR="008D3BC6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检查和验收</w:t>
      </w:r>
    </w:p>
    <w:p w14:paraId="56BE2D27" w14:textId="70683818" w:rsidR="001D18A9" w:rsidRPr="00F013CC" w:rsidRDefault="004A3BE1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钢管的检查和验收由供方质量检验部门进行</w:t>
      </w:r>
      <w:r w:rsidR="00C65E59" w:rsidRPr="00C65E59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E2AE56C" w14:textId="77777777" w:rsidR="008D3BC6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组批规则</w:t>
      </w:r>
    </w:p>
    <w:p w14:paraId="2EB372DB" w14:textId="2EB73184" w:rsidR="009C54F8" w:rsidRPr="004A3BE1" w:rsidRDefault="004A3BE1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钢管应成批验收。每批由同一牌号、同一炉号、同一制造工艺、同一规格和同一热处理制度（炉次）的钢管组成，每批钢管的数量应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>不超过如下规定：</w:t>
      </w:r>
    </w:p>
    <w:p w14:paraId="65C79F86" w14:textId="77777777" w:rsidR="004A3BE1" w:rsidRPr="004A3BE1" w:rsidRDefault="004A3BE1" w:rsidP="004A3BE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/>
          <w:sz w:val="28"/>
          <w:szCs w:val="28"/>
        </w:rPr>
        <w:t>——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>公称外径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 xml:space="preserve">D≤76mm 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>且壁厚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>S≤3 mm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 xml:space="preserve">400 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>根；</w:t>
      </w:r>
    </w:p>
    <w:p w14:paraId="363FBE8F" w14:textId="77777777" w:rsidR="004A3BE1" w:rsidRPr="004A3BE1" w:rsidRDefault="004A3BE1" w:rsidP="004A3BE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/>
          <w:sz w:val="28"/>
          <w:szCs w:val="28"/>
        </w:rPr>
        <w:t>——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>其他规格，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 xml:space="preserve">200 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>根；</w:t>
      </w:r>
    </w:p>
    <w:p w14:paraId="44F36E6B" w14:textId="467E367C" w:rsidR="004A3BE1" w:rsidRPr="004A3BE1" w:rsidRDefault="004A3BE1" w:rsidP="004A3BE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/>
          <w:sz w:val="28"/>
          <w:szCs w:val="28"/>
        </w:rPr>
        <w:t>——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>离心浇铸钢管，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>1</w:t>
      </w:r>
      <w:r w:rsidRPr="004A3BE1">
        <w:rPr>
          <w:rFonts w:ascii="Times New Roman" w:eastAsia="仿宋_GB2312" w:hAnsi="Times New Roman" w:cs="Times New Roman"/>
          <w:sz w:val="28"/>
          <w:szCs w:val="28"/>
        </w:rPr>
        <w:t>根。</w:t>
      </w:r>
    </w:p>
    <w:p w14:paraId="03E5365A" w14:textId="3549FC60" w:rsidR="008D3BC6" w:rsidRDefault="001D18A9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 xml:space="preserve">3. </w:t>
      </w:r>
      <w:r w:rsidR="008D3BC6">
        <w:rPr>
          <w:rFonts w:ascii="Times New Roman" w:eastAsia="仿宋_GB2312" w:hAnsi="Times New Roman" w:cs="Times New Roman" w:hint="eastAsia"/>
          <w:sz w:val="28"/>
          <w:szCs w:val="28"/>
        </w:rPr>
        <w:t>取样数量</w:t>
      </w:r>
    </w:p>
    <w:p w14:paraId="67AC09BE" w14:textId="1C10568F" w:rsidR="008D3BC6" w:rsidRDefault="004A3BE1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每批钢管的取样数量见表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8D3BC6" w:rsidRP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D5732C1" w14:textId="458ECE1D" w:rsidR="008D3BC6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复验和判定</w:t>
      </w:r>
    </w:p>
    <w:p w14:paraId="4D86151F" w14:textId="3DD9537E" w:rsidR="0072201A" w:rsidRPr="00F013CC" w:rsidRDefault="004A3BE1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钢管的复验和判定应符合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2102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 w:rsidRP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30F0533" w14:textId="0E701B60" w:rsidR="008D3BC6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="001D18A9" w:rsidRPr="00F013CC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数值修约</w:t>
      </w:r>
    </w:p>
    <w:p w14:paraId="7BB7206A" w14:textId="1DAF2A48" w:rsidR="008D3BC6" w:rsidRDefault="004A3BE1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数值判定采用修约值比较法进行修约，修约规则应符合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0B40F9F" w14:textId="10B19334" w:rsidR="001351BC" w:rsidRPr="00F013CC" w:rsidRDefault="001351B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3755BE">
        <w:rPr>
          <w:rFonts w:ascii="Times New Roman" w:eastAsia="仿宋_GB2312" w:hAnsi="Times New Roman" w:cs="Times New Roman" w:hint="eastAsia"/>
          <w:sz w:val="28"/>
          <w:szCs w:val="28"/>
        </w:rPr>
        <w:t>十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关于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包装、标志和质量证明书</w:t>
      </w:r>
    </w:p>
    <w:p w14:paraId="66C7F0F2" w14:textId="042EE3AA" w:rsidR="004B605A" w:rsidRPr="00F013CC" w:rsidRDefault="004A3BE1" w:rsidP="008D3BC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钢管的包装、标志和质量证明书应符合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GB/T 2102</w:t>
      </w:r>
      <w:r w:rsidRPr="004A3BE1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bookmarkStart w:id="1" w:name="_GoBack"/>
      <w:bookmarkEnd w:id="1"/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6E4EDA7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677DD3BE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61310314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304FF50D" w14:textId="77777777" w:rsidR="005A6F0A" w:rsidRPr="00F013CC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本标准属于中国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协会团体标准。</w:t>
      </w:r>
    </w:p>
    <w:p w14:paraId="0678C4F3" w14:textId="11D6BD75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八、标准水平及预期效果</w:t>
      </w:r>
    </w:p>
    <w:p w14:paraId="62284DDB" w14:textId="499BF245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该标准的制定能有效规范</w:t>
      </w:r>
      <w:r w:rsidR="0014763B">
        <w:rPr>
          <w:rFonts w:ascii="Times New Roman" w:eastAsia="仿宋_GB2312" w:hAnsi="Times New Roman" w:cs="Times New Roman" w:hint="eastAsia"/>
          <w:sz w:val="28"/>
          <w:szCs w:val="28"/>
        </w:rPr>
        <w:t>海水管路用含氮奥氏体不锈钢无缝钢管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的生产、销售和使用，对</w:t>
      </w:r>
      <w:r w:rsidR="00BE57D4">
        <w:rPr>
          <w:rFonts w:ascii="Times New Roman" w:eastAsia="仿宋_GB2312" w:hAnsi="Times New Roman" w:cs="Times New Roman" w:hint="eastAsia"/>
          <w:sz w:val="28"/>
          <w:szCs w:val="28"/>
        </w:rPr>
        <w:t>该产品的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有序发展具有重要意义。同时该标准对</w:t>
      </w:r>
      <w:r w:rsidR="00793E76" w:rsidRPr="00F013CC">
        <w:rPr>
          <w:rFonts w:ascii="Times New Roman" w:eastAsia="仿宋_GB2312" w:hAnsi="Times New Roman" w:cs="Times New Roman"/>
          <w:sz w:val="28"/>
          <w:szCs w:val="28"/>
        </w:rPr>
        <w:t>该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产品的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技术创新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具有较高的指导意义，有利于促进产品质量提升与推广应用，体现团体标准的引领作用。</w:t>
      </w:r>
    </w:p>
    <w:p w14:paraId="3F3FB183" w14:textId="762ED9BD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九、贯彻要求及建议</w:t>
      </w:r>
    </w:p>
    <w:p w14:paraId="0989B819" w14:textId="5F0DA57F" w:rsidR="005A6F0A" w:rsidRPr="00F013CC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本标准归口单位为中国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协会，经过审定报批后，由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发布。建议在</w:t>
      </w:r>
      <w:r w:rsidR="0014763B">
        <w:rPr>
          <w:rFonts w:ascii="Times New Roman" w:eastAsia="仿宋_GB2312" w:hAnsi="Times New Roman" w:cs="Times New Roman" w:hint="eastAsia"/>
          <w:sz w:val="28"/>
          <w:szCs w:val="28"/>
        </w:rPr>
        <w:t>海水管路用含氮奥氏体不锈钢无缝钢管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生产、贸易和使用等相关单位进行宣贯执行。</w:t>
      </w:r>
    </w:p>
    <w:sectPr w:rsidR="005A6F0A" w:rsidRPr="00F013CC" w:rsidSect="00B41D49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D3BB7" w14:textId="77777777" w:rsidR="008A4C2E" w:rsidRDefault="008A4C2E" w:rsidP="005A6F0A">
      <w:r>
        <w:separator/>
      </w:r>
    </w:p>
  </w:endnote>
  <w:endnote w:type="continuationSeparator" w:id="0">
    <w:p w14:paraId="32BB9919" w14:textId="77777777" w:rsidR="008A4C2E" w:rsidRDefault="008A4C2E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18A8E" w14:textId="77777777" w:rsidR="0031479A" w:rsidRDefault="0083049F">
    <w:pPr>
      <w:pStyle w:val="a5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7E35B3" w:rsidRPr="00310A8E">
      <w:rPr>
        <w:noProof/>
        <w:lang w:val="zh-CN"/>
      </w:rPr>
      <w:t>6</w:t>
    </w:r>
    <w:r>
      <w:fldChar w:fldCharType="end"/>
    </w:r>
  </w:p>
  <w:p w14:paraId="756D3722" w14:textId="77777777" w:rsidR="0031479A" w:rsidRDefault="008A4C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2089" w14:textId="77777777" w:rsidR="00FD7CA8" w:rsidRDefault="0083049F" w:rsidP="0031479A">
    <w:pPr>
      <w:pStyle w:val="a5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4A3BE1" w:rsidRPr="004A3BE1">
      <w:rPr>
        <w:noProof/>
        <w:lang w:val="zh-CN"/>
      </w:rPr>
      <w:t>11</w:t>
    </w:r>
    <w:r>
      <w:fldChar w:fldCharType="end"/>
    </w:r>
  </w:p>
  <w:p w14:paraId="0FF6134B" w14:textId="77777777" w:rsidR="00893195" w:rsidRDefault="008A4C2E" w:rsidP="004052FA">
    <w:pPr>
      <w:pStyle w:val="a5"/>
      <w:tabs>
        <w:tab w:val="clear" w:pos="8306"/>
        <w:tab w:val="right" w:pos="7920"/>
      </w:tabs>
      <w:ind w:rightChars="144" w:right="302" w:firstLineChars="74" w:firstLine="156"/>
      <w:jc w:val="right"/>
      <w:rPr>
        <w:rFonts w:ascii="宋体" w:hAnsi="宋体"/>
        <w:b/>
        <w:sz w:val="21"/>
        <w:szCs w:val="21"/>
      </w:rPr>
    </w:pPr>
  </w:p>
  <w:p w14:paraId="6E4EF0E5" w14:textId="77777777" w:rsidR="00893195" w:rsidRDefault="008A4C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A7FBA" w14:textId="77777777" w:rsidR="008A4C2E" w:rsidRDefault="008A4C2E" w:rsidP="005A6F0A">
      <w:r>
        <w:separator/>
      </w:r>
    </w:p>
  </w:footnote>
  <w:footnote w:type="continuationSeparator" w:id="0">
    <w:p w14:paraId="4491DC38" w14:textId="77777777" w:rsidR="008A4C2E" w:rsidRDefault="008A4C2E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00000003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5387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-2269"/>
        </w:tabs>
        <w:ind w:left="-2269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-1277"/>
        </w:tabs>
        <w:ind w:left="-127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-710"/>
        </w:tabs>
        <w:ind w:left="-71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-1"/>
        </w:tabs>
        <w:ind w:left="-1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6"/>
        </w:tabs>
        <w:ind w:left="56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133"/>
        </w:tabs>
        <w:ind w:left="113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41"/>
        </w:tabs>
        <w:ind w:left="1841" w:hanging="1700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69"/>
    <w:rsid w:val="000040F1"/>
    <w:rsid w:val="00004833"/>
    <w:rsid w:val="00012F01"/>
    <w:rsid w:val="00015BDD"/>
    <w:rsid w:val="0002127B"/>
    <w:rsid w:val="00027A9C"/>
    <w:rsid w:val="00031DBD"/>
    <w:rsid w:val="00032FE7"/>
    <w:rsid w:val="00033909"/>
    <w:rsid w:val="000355B2"/>
    <w:rsid w:val="00037363"/>
    <w:rsid w:val="00037D0A"/>
    <w:rsid w:val="00037D2E"/>
    <w:rsid w:val="000401F0"/>
    <w:rsid w:val="000415CF"/>
    <w:rsid w:val="000442B8"/>
    <w:rsid w:val="000454C2"/>
    <w:rsid w:val="00047514"/>
    <w:rsid w:val="00050447"/>
    <w:rsid w:val="000541E0"/>
    <w:rsid w:val="00054F7B"/>
    <w:rsid w:val="00056414"/>
    <w:rsid w:val="00080305"/>
    <w:rsid w:val="00081755"/>
    <w:rsid w:val="00084CA1"/>
    <w:rsid w:val="00086FC6"/>
    <w:rsid w:val="000878B0"/>
    <w:rsid w:val="000878C0"/>
    <w:rsid w:val="00093B3E"/>
    <w:rsid w:val="00094009"/>
    <w:rsid w:val="00094A1B"/>
    <w:rsid w:val="000A239E"/>
    <w:rsid w:val="000A29C0"/>
    <w:rsid w:val="000A4F69"/>
    <w:rsid w:val="000A5354"/>
    <w:rsid w:val="000A563E"/>
    <w:rsid w:val="000A7DE7"/>
    <w:rsid w:val="000A7F28"/>
    <w:rsid w:val="000B2457"/>
    <w:rsid w:val="000B376B"/>
    <w:rsid w:val="000C6B01"/>
    <w:rsid w:val="000D242C"/>
    <w:rsid w:val="000D34A8"/>
    <w:rsid w:val="000D38A0"/>
    <w:rsid w:val="000E764E"/>
    <w:rsid w:val="000F083F"/>
    <w:rsid w:val="000F19DC"/>
    <w:rsid w:val="000F3926"/>
    <w:rsid w:val="000F3A7F"/>
    <w:rsid w:val="000F4EDD"/>
    <w:rsid w:val="000F67DC"/>
    <w:rsid w:val="0010039C"/>
    <w:rsid w:val="00107511"/>
    <w:rsid w:val="0011293C"/>
    <w:rsid w:val="001149B5"/>
    <w:rsid w:val="00116EA3"/>
    <w:rsid w:val="00117F9D"/>
    <w:rsid w:val="001263DE"/>
    <w:rsid w:val="0013393F"/>
    <w:rsid w:val="001351BC"/>
    <w:rsid w:val="00137F95"/>
    <w:rsid w:val="001414E1"/>
    <w:rsid w:val="0014471A"/>
    <w:rsid w:val="0014735C"/>
    <w:rsid w:val="0014763B"/>
    <w:rsid w:val="00150E81"/>
    <w:rsid w:val="00155A43"/>
    <w:rsid w:val="001565DF"/>
    <w:rsid w:val="00163E34"/>
    <w:rsid w:val="001662ED"/>
    <w:rsid w:val="00172D0A"/>
    <w:rsid w:val="00176AEA"/>
    <w:rsid w:val="00182931"/>
    <w:rsid w:val="001841D8"/>
    <w:rsid w:val="00184793"/>
    <w:rsid w:val="00185F5D"/>
    <w:rsid w:val="00187018"/>
    <w:rsid w:val="00187271"/>
    <w:rsid w:val="00191490"/>
    <w:rsid w:val="00192E1F"/>
    <w:rsid w:val="00194F37"/>
    <w:rsid w:val="0019503B"/>
    <w:rsid w:val="0019650E"/>
    <w:rsid w:val="0019755B"/>
    <w:rsid w:val="001A1B43"/>
    <w:rsid w:val="001A2A80"/>
    <w:rsid w:val="001A3676"/>
    <w:rsid w:val="001A4246"/>
    <w:rsid w:val="001A7DA7"/>
    <w:rsid w:val="001B2747"/>
    <w:rsid w:val="001B3F15"/>
    <w:rsid w:val="001B5AF3"/>
    <w:rsid w:val="001B6B26"/>
    <w:rsid w:val="001C04A2"/>
    <w:rsid w:val="001C3C21"/>
    <w:rsid w:val="001C4FD7"/>
    <w:rsid w:val="001D02F9"/>
    <w:rsid w:val="001D1047"/>
    <w:rsid w:val="001D18A9"/>
    <w:rsid w:val="001D1C23"/>
    <w:rsid w:val="001D52B5"/>
    <w:rsid w:val="001E4FEA"/>
    <w:rsid w:val="001E74CC"/>
    <w:rsid w:val="001F235E"/>
    <w:rsid w:val="001F5134"/>
    <w:rsid w:val="00200450"/>
    <w:rsid w:val="00201A8E"/>
    <w:rsid w:val="002032D0"/>
    <w:rsid w:val="00203917"/>
    <w:rsid w:val="002042BF"/>
    <w:rsid w:val="00213C4C"/>
    <w:rsid w:val="00213FB2"/>
    <w:rsid w:val="00215DCD"/>
    <w:rsid w:val="00227024"/>
    <w:rsid w:val="00230D0B"/>
    <w:rsid w:val="00230D70"/>
    <w:rsid w:val="002359F9"/>
    <w:rsid w:val="00237497"/>
    <w:rsid w:val="00237B7B"/>
    <w:rsid w:val="002441F3"/>
    <w:rsid w:val="00252B04"/>
    <w:rsid w:val="00257CE8"/>
    <w:rsid w:val="00262788"/>
    <w:rsid w:val="00262E8D"/>
    <w:rsid w:val="00263815"/>
    <w:rsid w:val="0027019D"/>
    <w:rsid w:val="0027200B"/>
    <w:rsid w:val="002731A6"/>
    <w:rsid w:val="00273A14"/>
    <w:rsid w:val="0028342A"/>
    <w:rsid w:val="002835ED"/>
    <w:rsid w:val="002871AE"/>
    <w:rsid w:val="0029042B"/>
    <w:rsid w:val="0029654A"/>
    <w:rsid w:val="002A0B2B"/>
    <w:rsid w:val="002A4B7C"/>
    <w:rsid w:val="002B256C"/>
    <w:rsid w:val="002B4073"/>
    <w:rsid w:val="002B5927"/>
    <w:rsid w:val="002B6010"/>
    <w:rsid w:val="002B707D"/>
    <w:rsid w:val="002B7445"/>
    <w:rsid w:val="002C249F"/>
    <w:rsid w:val="002C2644"/>
    <w:rsid w:val="002C565F"/>
    <w:rsid w:val="002C5742"/>
    <w:rsid w:val="002C5C37"/>
    <w:rsid w:val="002D147D"/>
    <w:rsid w:val="002D2931"/>
    <w:rsid w:val="002D5D70"/>
    <w:rsid w:val="002E25FC"/>
    <w:rsid w:val="002F328A"/>
    <w:rsid w:val="002F7F1C"/>
    <w:rsid w:val="00303517"/>
    <w:rsid w:val="00303E4F"/>
    <w:rsid w:val="00307891"/>
    <w:rsid w:val="00312E15"/>
    <w:rsid w:val="0032091E"/>
    <w:rsid w:val="0032228A"/>
    <w:rsid w:val="003237B4"/>
    <w:rsid w:val="00324A70"/>
    <w:rsid w:val="00327318"/>
    <w:rsid w:val="00330C8C"/>
    <w:rsid w:val="00331ACD"/>
    <w:rsid w:val="00332A10"/>
    <w:rsid w:val="00333C1D"/>
    <w:rsid w:val="00334DCF"/>
    <w:rsid w:val="00340D65"/>
    <w:rsid w:val="003449A0"/>
    <w:rsid w:val="00355C82"/>
    <w:rsid w:val="00360F25"/>
    <w:rsid w:val="00362AEA"/>
    <w:rsid w:val="00363BAA"/>
    <w:rsid w:val="00365D0A"/>
    <w:rsid w:val="003663E5"/>
    <w:rsid w:val="0036697A"/>
    <w:rsid w:val="003715F1"/>
    <w:rsid w:val="003744FA"/>
    <w:rsid w:val="003755BE"/>
    <w:rsid w:val="00377225"/>
    <w:rsid w:val="00380A19"/>
    <w:rsid w:val="00381178"/>
    <w:rsid w:val="00381AC6"/>
    <w:rsid w:val="00381CC3"/>
    <w:rsid w:val="00381E03"/>
    <w:rsid w:val="00385BB5"/>
    <w:rsid w:val="00390749"/>
    <w:rsid w:val="00392F32"/>
    <w:rsid w:val="00395193"/>
    <w:rsid w:val="003951A1"/>
    <w:rsid w:val="003A1B45"/>
    <w:rsid w:val="003A1D33"/>
    <w:rsid w:val="003A389A"/>
    <w:rsid w:val="003B0CEF"/>
    <w:rsid w:val="003B352D"/>
    <w:rsid w:val="003B6B80"/>
    <w:rsid w:val="003C2393"/>
    <w:rsid w:val="003C7E56"/>
    <w:rsid w:val="003D70A5"/>
    <w:rsid w:val="003D7CCA"/>
    <w:rsid w:val="003E0E85"/>
    <w:rsid w:val="003E1308"/>
    <w:rsid w:val="003E1D8B"/>
    <w:rsid w:val="003E3B6A"/>
    <w:rsid w:val="003E4BEE"/>
    <w:rsid w:val="003E6DAD"/>
    <w:rsid w:val="003E7A13"/>
    <w:rsid w:val="003F1FE4"/>
    <w:rsid w:val="003F57E6"/>
    <w:rsid w:val="00400E32"/>
    <w:rsid w:val="00405654"/>
    <w:rsid w:val="00421872"/>
    <w:rsid w:val="004221BC"/>
    <w:rsid w:val="004229BA"/>
    <w:rsid w:val="00425E2F"/>
    <w:rsid w:val="00432E80"/>
    <w:rsid w:val="00435EB2"/>
    <w:rsid w:val="004407BB"/>
    <w:rsid w:val="0044149A"/>
    <w:rsid w:val="00450CE9"/>
    <w:rsid w:val="004529F8"/>
    <w:rsid w:val="0046074A"/>
    <w:rsid w:val="00463F66"/>
    <w:rsid w:val="00465C28"/>
    <w:rsid w:val="0046652A"/>
    <w:rsid w:val="004820CA"/>
    <w:rsid w:val="00482943"/>
    <w:rsid w:val="0048347D"/>
    <w:rsid w:val="0048425A"/>
    <w:rsid w:val="0048740B"/>
    <w:rsid w:val="0049303E"/>
    <w:rsid w:val="00493F1E"/>
    <w:rsid w:val="004A069D"/>
    <w:rsid w:val="004A1539"/>
    <w:rsid w:val="004A1ED2"/>
    <w:rsid w:val="004A2108"/>
    <w:rsid w:val="004A2E49"/>
    <w:rsid w:val="004A3BE1"/>
    <w:rsid w:val="004B0537"/>
    <w:rsid w:val="004B44D0"/>
    <w:rsid w:val="004B605A"/>
    <w:rsid w:val="004B7DC1"/>
    <w:rsid w:val="004C0884"/>
    <w:rsid w:val="004C16F6"/>
    <w:rsid w:val="004C4969"/>
    <w:rsid w:val="004C5EC7"/>
    <w:rsid w:val="004C703F"/>
    <w:rsid w:val="004E1E4E"/>
    <w:rsid w:val="004E3FA5"/>
    <w:rsid w:val="004F0631"/>
    <w:rsid w:val="004F341F"/>
    <w:rsid w:val="004F75C1"/>
    <w:rsid w:val="00504B04"/>
    <w:rsid w:val="0050569C"/>
    <w:rsid w:val="00510D95"/>
    <w:rsid w:val="00513DBC"/>
    <w:rsid w:val="00521702"/>
    <w:rsid w:val="00523DF2"/>
    <w:rsid w:val="00525AEF"/>
    <w:rsid w:val="005268CD"/>
    <w:rsid w:val="005302FD"/>
    <w:rsid w:val="0053262C"/>
    <w:rsid w:val="0053327A"/>
    <w:rsid w:val="0053605D"/>
    <w:rsid w:val="00536EBC"/>
    <w:rsid w:val="00547C3F"/>
    <w:rsid w:val="0055323C"/>
    <w:rsid w:val="0055530C"/>
    <w:rsid w:val="00555EEF"/>
    <w:rsid w:val="00557B0B"/>
    <w:rsid w:val="00560ABA"/>
    <w:rsid w:val="005616F1"/>
    <w:rsid w:val="00566351"/>
    <w:rsid w:val="005754F7"/>
    <w:rsid w:val="00576F87"/>
    <w:rsid w:val="00580962"/>
    <w:rsid w:val="005822B7"/>
    <w:rsid w:val="00586D67"/>
    <w:rsid w:val="005872E9"/>
    <w:rsid w:val="00592096"/>
    <w:rsid w:val="005932D2"/>
    <w:rsid w:val="005939C1"/>
    <w:rsid w:val="00593FE3"/>
    <w:rsid w:val="005967B5"/>
    <w:rsid w:val="005A1A10"/>
    <w:rsid w:val="005A6F0A"/>
    <w:rsid w:val="005B1BC1"/>
    <w:rsid w:val="005B3EC5"/>
    <w:rsid w:val="005B53C3"/>
    <w:rsid w:val="005C2A1B"/>
    <w:rsid w:val="005C3EF8"/>
    <w:rsid w:val="005C40FA"/>
    <w:rsid w:val="005D1CB6"/>
    <w:rsid w:val="005D4A96"/>
    <w:rsid w:val="005D6C11"/>
    <w:rsid w:val="005D737B"/>
    <w:rsid w:val="005E0EE1"/>
    <w:rsid w:val="005E791D"/>
    <w:rsid w:val="005F0971"/>
    <w:rsid w:val="005F188C"/>
    <w:rsid w:val="005F20B3"/>
    <w:rsid w:val="005F5102"/>
    <w:rsid w:val="00600060"/>
    <w:rsid w:val="006010ED"/>
    <w:rsid w:val="00601C34"/>
    <w:rsid w:val="00601EB8"/>
    <w:rsid w:val="0060210E"/>
    <w:rsid w:val="006031B1"/>
    <w:rsid w:val="00606094"/>
    <w:rsid w:val="00606212"/>
    <w:rsid w:val="00610406"/>
    <w:rsid w:val="00615DEF"/>
    <w:rsid w:val="00617908"/>
    <w:rsid w:val="0062057F"/>
    <w:rsid w:val="00624FCE"/>
    <w:rsid w:val="00625FD6"/>
    <w:rsid w:val="00630914"/>
    <w:rsid w:val="00630F6A"/>
    <w:rsid w:val="0063233B"/>
    <w:rsid w:val="00643105"/>
    <w:rsid w:val="0064582B"/>
    <w:rsid w:val="00646B1D"/>
    <w:rsid w:val="006476DA"/>
    <w:rsid w:val="00653703"/>
    <w:rsid w:val="006551AD"/>
    <w:rsid w:val="00656980"/>
    <w:rsid w:val="0066361E"/>
    <w:rsid w:val="00664650"/>
    <w:rsid w:val="0066771F"/>
    <w:rsid w:val="006771CA"/>
    <w:rsid w:val="00683FC0"/>
    <w:rsid w:val="00685CCF"/>
    <w:rsid w:val="00687A15"/>
    <w:rsid w:val="0069101B"/>
    <w:rsid w:val="006913E0"/>
    <w:rsid w:val="006930DE"/>
    <w:rsid w:val="006971B9"/>
    <w:rsid w:val="006A7DD7"/>
    <w:rsid w:val="006B63C6"/>
    <w:rsid w:val="006C0100"/>
    <w:rsid w:val="006C29AA"/>
    <w:rsid w:val="006C3E62"/>
    <w:rsid w:val="006C3EF8"/>
    <w:rsid w:val="006C4A0D"/>
    <w:rsid w:val="006C69EF"/>
    <w:rsid w:val="006D27CF"/>
    <w:rsid w:val="006D3060"/>
    <w:rsid w:val="006E083B"/>
    <w:rsid w:val="006E5B3C"/>
    <w:rsid w:val="006E642F"/>
    <w:rsid w:val="006F064E"/>
    <w:rsid w:val="006F2EC1"/>
    <w:rsid w:val="006F75B1"/>
    <w:rsid w:val="00703493"/>
    <w:rsid w:val="007041A7"/>
    <w:rsid w:val="00704F6E"/>
    <w:rsid w:val="00705908"/>
    <w:rsid w:val="00705B3C"/>
    <w:rsid w:val="007144A2"/>
    <w:rsid w:val="0071792A"/>
    <w:rsid w:val="00717A82"/>
    <w:rsid w:val="007217CE"/>
    <w:rsid w:val="0072201A"/>
    <w:rsid w:val="007253F8"/>
    <w:rsid w:val="007262BC"/>
    <w:rsid w:val="00730B89"/>
    <w:rsid w:val="00730D8C"/>
    <w:rsid w:val="00732098"/>
    <w:rsid w:val="00733FB2"/>
    <w:rsid w:val="007342CB"/>
    <w:rsid w:val="00735034"/>
    <w:rsid w:val="00737826"/>
    <w:rsid w:val="00746135"/>
    <w:rsid w:val="0075173E"/>
    <w:rsid w:val="007546B5"/>
    <w:rsid w:val="00755089"/>
    <w:rsid w:val="0075561F"/>
    <w:rsid w:val="007565D9"/>
    <w:rsid w:val="00757398"/>
    <w:rsid w:val="007577DB"/>
    <w:rsid w:val="00757D06"/>
    <w:rsid w:val="0076079D"/>
    <w:rsid w:val="00761457"/>
    <w:rsid w:val="0076167B"/>
    <w:rsid w:val="007655EC"/>
    <w:rsid w:val="0076681B"/>
    <w:rsid w:val="00770A8C"/>
    <w:rsid w:val="007718AD"/>
    <w:rsid w:val="00771DC1"/>
    <w:rsid w:val="00772A53"/>
    <w:rsid w:val="00773776"/>
    <w:rsid w:val="00775056"/>
    <w:rsid w:val="007753CB"/>
    <w:rsid w:val="00775A47"/>
    <w:rsid w:val="00781CB6"/>
    <w:rsid w:val="00783E38"/>
    <w:rsid w:val="00791D7A"/>
    <w:rsid w:val="00793E76"/>
    <w:rsid w:val="00796003"/>
    <w:rsid w:val="007A1179"/>
    <w:rsid w:val="007A1601"/>
    <w:rsid w:val="007B1579"/>
    <w:rsid w:val="007B1B3F"/>
    <w:rsid w:val="007B2D01"/>
    <w:rsid w:val="007B377E"/>
    <w:rsid w:val="007B5436"/>
    <w:rsid w:val="007D31AA"/>
    <w:rsid w:val="007D4501"/>
    <w:rsid w:val="007E32F1"/>
    <w:rsid w:val="007E35B3"/>
    <w:rsid w:val="007F4889"/>
    <w:rsid w:val="007F7083"/>
    <w:rsid w:val="007F7ADD"/>
    <w:rsid w:val="00802637"/>
    <w:rsid w:val="00806C82"/>
    <w:rsid w:val="00807DEB"/>
    <w:rsid w:val="00810015"/>
    <w:rsid w:val="00810CC8"/>
    <w:rsid w:val="00815195"/>
    <w:rsid w:val="00821B34"/>
    <w:rsid w:val="0082447F"/>
    <w:rsid w:val="00826789"/>
    <w:rsid w:val="0083049F"/>
    <w:rsid w:val="008309FE"/>
    <w:rsid w:val="008312A7"/>
    <w:rsid w:val="00834CBE"/>
    <w:rsid w:val="008360B8"/>
    <w:rsid w:val="00840DDC"/>
    <w:rsid w:val="008446C6"/>
    <w:rsid w:val="00844B23"/>
    <w:rsid w:val="00844BCB"/>
    <w:rsid w:val="00850135"/>
    <w:rsid w:val="00850561"/>
    <w:rsid w:val="008563E4"/>
    <w:rsid w:val="00863427"/>
    <w:rsid w:val="008646BE"/>
    <w:rsid w:val="00867432"/>
    <w:rsid w:val="0087707D"/>
    <w:rsid w:val="00881523"/>
    <w:rsid w:val="00882594"/>
    <w:rsid w:val="008846D4"/>
    <w:rsid w:val="00884CD1"/>
    <w:rsid w:val="0089189F"/>
    <w:rsid w:val="00891B9A"/>
    <w:rsid w:val="00892D4F"/>
    <w:rsid w:val="00894699"/>
    <w:rsid w:val="00896863"/>
    <w:rsid w:val="008A40DB"/>
    <w:rsid w:val="008A4713"/>
    <w:rsid w:val="008A4C2E"/>
    <w:rsid w:val="008A666E"/>
    <w:rsid w:val="008B3D11"/>
    <w:rsid w:val="008B5D9D"/>
    <w:rsid w:val="008B7EDC"/>
    <w:rsid w:val="008C3087"/>
    <w:rsid w:val="008C382C"/>
    <w:rsid w:val="008C6D72"/>
    <w:rsid w:val="008D1BA4"/>
    <w:rsid w:val="008D3BC6"/>
    <w:rsid w:val="008D4037"/>
    <w:rsid w:val="008D4D73"/>
    <w:rsid w:val="008E266F"/>
    <w:rsid w:val="008E2C48"/>
    <w:rsid w:val="008E6036"/>
    <w:rsid w:val="00901CAE"/>
    <w:rsid w:val="00902A23"/>
    <w:rsid w:val="0090713F"/>
    <w:rsid w:val="00913B4A"/>
    <w:rsid w:val="0091577C"/>
    <w:rsid w:val="0091769D"/>
    <w:rsid w:val="00925468"/>
    <w:rsid w:val="00925F1E"/>
    <w:rsid w:val="00926006"/>
    <w:rsid w:val="00926E29"/>
    <w:rsid w:val="00933A3E"/>
    <w:rsid w:val="00935980"/>
    <w:rsid w:val="009406AC"/>
    <w:rsid w:val="00940942"/>
    <w:rsid w:val="00940E50"/>
    <w:rsid w:val="00941710"/>
    <w:rsid w:val="009453A1"/>
    <w:rsid w:val="0094698D"/>
    <w:rsid w:val="0096623F"/>
    <w:rsid w:val="00973B9A"/>
    <w:rsid w:val="00981ACE"/>
    <w:rsid w:val="00985452"/>
    <w:rsid w:val="009912DE"/>
    <w:rsid w:val="00991D36"/>
    <w:rsid w:val="0099334E"/>
    <w:rsid w:val="009A349F"/>
    <w:rsid w:val="009B27EA"/>
    <w:rsid w:val="009B2872"/>
    <w:rsid w:val="009B3F24"/>
    <w:rsid w:val="009B3F93"/>
    <w:rsid w:val="009B5038"/>
    <w:rsid w:val="009B638E"/>
    <w:rsid w:val="009B7D4F"/>
    <w:rsid w:val="009C1649"/>
    <w:rsid w:val="009C26ED"/>
    <w:rsid w:val="009C3B47"/>
    <w:rsid w:val="009C54F8"/>
    <w:rsid w:val="009C723A"/>
    <w:rsid w:val="009C7329"/>
    <w:rsid w:val="009D049E"/>
    <w:rsid w:val="009D617A"/>
    <w:rsid w:val="009D62D7"/>
    <w:rsid w:val="009D652B"/>
    <w:rsid w:val="009E06D7"/>
    <w:rsid w:val="009E0705"/>
    <w:rsid w:val="009E15B1"/>
    <w:rsid w:val="009E3FCA"/>
    <w:rsid w:val="009E400B"/>
    <w:rsid w:val="009E4F4B"/>
    <w:rsid w:val="009E761B"/>
    <w:rsid w:val="009F53C0"/>
    <w:rsid w:val="009F59EB"/>
    <w:rsid w:val="00A02668"/>
    <w:rsid w:val="00A02A2A"/>
    <w:rsid w:val="00A03D5C"/>
    <w:rsid w:val="00A06205"/>
    <w:rsid w:val="00A0726A"/>
    <w:rsid w:val="00A1067D"/>
    <w:rsid w:val="00A13D98"/>
    <w:rsid w:val="00A24435"/>
    <w:rsid w:val="00A245CE"/>
    <w:rsid w:val="00A30BEE"/>
    <w:rsid w:val="00A339E3"/>
    <w:rsid w:val="00A4214F"/>
    <w:rsid w:val="00A43BCA"/>
    <w:rsid w:val="00A45465"/>
    <w:rsid w:val="00A50871"/>
    <w:rsid w:val="00A5277E"/>
    <w:rsid w:val="00A52CB0"/>
    <w:rsid w:val="00A531FF"/>
    <w:rsid w:val="00A53E54"/>
    <w:rsid w:val="00A54AB7"/>
    <w:rsid w:val="00A55277"/>
    <w:rsid w:val="00A62FBC"/>
    <w:rsid w:val="00A64DB6"/>
    <w:rsid w:val="00A657BF"/>
    <w:rsid w:val="00A663E5"/>
    <w:rsid w:val="00A7120A"/>
    <w:rsid w:val="00A72A7B"/>
    <w:rsid w:val="00A739D4"/>
    <w:rsid w:val="00A73F78"/>
    <w:rsid w:val="00A7514E"/>
    <w:rsid w:val="00A767B6"/>
    <w:rsid w:val="00A82A81"/>
    <w:rsid w:val="00A91E4D"/>
    <w:rsid w:val="00A92B02"/>
    <w:rsid w:val="00A9617E"/>
    <w:rsid w:val="00AA35C2"/>
    <w:rsid w:val="00AA603E"/>
    <w:rsid w:val="00AA69DD"/>
    <w:rsid w:val="00AA76F9"/>
    <w:rsid w:val="00AB494E"/>
    <w:rsid w:val="00AC1905"/>
    <w:rsid w:val="00AC2F36"/>
    <w:rsid w:val="00AC3F19"/>
    <w:rsid w:val="00AC56C4"/>
    <w:rsid w:val="00AC592D"/>
    <w:rsid w:val="00AC69DF"/>
    <w:rsid w:val="00AD4C12"/>
    <w:rsid w:val="00AD5381"/>
    <w:rsid w:val="00AE5235"/>
    <w:rsid w:val="00AE611F"/>
    <w:rsid w:val="00AF27A5"/>
    <w:rsid w:val="00AF30B3"/>
    <w:rsid w:val="00AF37F7"/>
    <w:rsid w:val="00AF4769"/>
    <w:rsid w:val="00AF6CC5"/>
    <w:rsid w:val="00AF743B"/>
    <w:rsid w:val="00B006B1"/>
    <w:rsid w:val="00B00731"/>
    <w:rsid w:val="00B03C70"/>
    <w:rsid w:val="00B04335"/>
    <w:rsid w:val="00B04701"/>
    <w:rsid w:val="00B0586C"/>
    <w:rsid w:val="00B105F8"/>
    <w:rsid w:val="00B11276"/>
    <w:rsid w:val="00B11D19"/>
    <w:rsid w:val="00B13638"/>
    <w:rsid w:val="00B13967"/>
    <w:rsid w:val="00B2116F"/>
    <w:rsid w:val="00B226EB"/>
    <w:rsid w:val="00B237E1"/>
    <w:rsid w:val="00B24AE1"/>
    <w:rsid w:val="00B266AD"/>
    <w:rsid w:val="00B2798A"/>
    <w:rsid w:val="00B27A3B"/>
    <w:rsid w:val="00B330E2"/>
    <w:rsid w:val="00B33F34"/>
    <w:rsid w:val="00B344DA"/>
    <w:rsid w:val="00B345EA"/>
    <w:rsid w:val="00B43DE3"/>
    <w:rsid w:val="00B46D27"/>
    <w:rsid w:val="00B55E6F"/>
    <w:rsid w:val="00B612C7"/>
    <w:rsid w:val="00B626BB"/>
    <w:rsid w:val="00B648BB"/>
    <w:rsid w:val="00B648BC"/>
    <w:rsid w:val="00B67C4D"/>
    <w:rsid w:val="00B70E46"/>
    <w:rsid w:val="00B72DAF"/>
    <w:rsid w:val="00B8721C"/>
    <w:rsid w:val="00B9123D"/>
    <w:rsid w:val="00B9762F"/>
    <w:rsid w:val="00B97659"/>
    <w:rsid w:val="00BA2944"/>
    <w:rsid w:val="00BA3F69"/>
    <w:rsid w:val="00BA59EF"/>
    <w:rsid w:val="00BA6495"/>
    <w:rsid w:val="00BB136E"/>
    <w:rsid w:val="00BC5152"/>
    <w:rsid w:val="00BC665E"/>
    <w:rsid w:val="00BC7B6F"/>
    <w:rsid w:val="00BC7C74"/>
    <w:rsid w:val="00BD082B"/>
    <w:rsid w:val="00BD2B9D"/>
    <w:rsid w:val="00BD3F6E"/>
    <w:rsid w:val="00BD581D"/>
    <w:rsid w:val="00BE188E"/>
    <w:rsid w:val="00BE57D4"/>
    <w:rsid w:val="00BE6E5D"/>
    <w:rsid w:val="00BE77D5"/>
    <w:rsid w:val="00BF1CA7"/>
    <w:rsid w:val="00BF5CC6"/>
    <w:rsid w:val="00C01449"/>
    <w:rsid w:val="00C0437A"/>
    <w:rsid w:val="00C17196"/>
    <w:rsid w:val="00C20241"/>
    <w:rsid w:val="00C23A0D"/>
    <w:rsid w:val="00C242FF"/>
    <w:rsid w:val="00C274EF"/>
    <w:rsid w:val="00C32820"/>
    <w:rsid w:val="00C3294F"/>
    <w:rsid w:val="00C35F59"/>
    <w:rsid w:val="00C44E57"/>
    <w:rsid w:val="00C47C33"/>
    <w:rsid w:val="00C50154"/>
    <w:rsid w:val="00C529A9"/>
    <w:rsid w:val="00C61DDF"/>
    <w:rsid w:val="00C62787"/>
    <w:rsid w:val="00C65367"/>
    <w:rsid w:val="00C65E59"/>
    <w:rsid w:val="00C662BB"/>
    <w:rsid w:val="00C67707"/>
    <w:rsid w:val="00C710F5"/>
    <w:rsid w:val="00C7475B"/>
    <w:rsid w:val="00C773F5"/>
    <w:rsid w:val="00C774E3"/>
    <w:rsid w:val="00C77D8B"/>
    <w:rsid w:val="00C77E8D"/>
    <w:rsid w:val="00C82861"/>
    <w:rsid w:val="00C84628"/>
    <w:rsid w:val="00C87BCD"/>
    <w:rsid w:val="00C87C5E"/>
    <w:rsid w:val="00C91987"/>
    <w:rsid w:val="00C919ED"/>
    <w:rsid w:val="00C92479"/>
    <w:rsid w:val="00C9508A"/>
    <w:rsid w:val="00C950C9"/>
    <w:rsid w:val="00CA0ADB"/>
    <w:rsid w:val="00CA3493"/>
    <w:rsid w:val="00CA484E"/>
    <w:rsid w:val="00CB000F"/>
    <w:rsid w:val="00CB0404"/>
    <w:rsid w:val="00CB2944"/>
    <w:rsid w:val="00CB2A8E"/>
    <w:rsid w:val="00CB5552"/>
    <w:rsid w:val="00CB5719"/>
    <w:rsid w:val="00CC4484"/>
    <w:rsid w:val="00CC79E1"/>
    <w:rsid w:val="00CD0180"/>
    <w:rsid w:val="00CD0987"/>
    <w:rsid w:val="00CD18FE"/>
    <w:rsid w:val="00CE0042"/>
    <w:rsid w:val="00CE3D93"/>
    <w:rsid w:val="00CE4AFE"/>
    <w:rsid w:val="00CF15E1"/>
    <w:rsid w:val="00CF32A2"/>
    <w:rsid w:val="00CF6504"/>
    <w:rsid w:val="00CF7B5F"/>
    <w:rsid w:val="00D01C88"/>
    <w:rsid w:val="00D01E04"/>
    <w:rsid w:val="00D023A0"/>
    <w:rsid w:val="00D02729"/>
    <w:rsid w:val="00D03102"/>
    <w:rsid w:val="00D040F7"/>
    <w:rsid w:val="00D050DE"/>
    <w:rsid w:val="00D06188"/>
    <w:rsid w:val="00D07D75"/>
    <w:rsid w:val="00D10ABD"/>
    <w:rsid w:val="00D11E81"/>
    <w:rsid w:val="00D16E4F"/>
    <w:rsid w:val="00D203E2"/>
    <w:rsid w:val="00D20913"/>
    <w:rsid w:val="00D252EC"/>
    <w:rsid w:val="00D35BD8"/>
    <w:rsid w:val="00D4135B"/>
    <w:rsid w:val="00D42AE3"/>
    <w:rsid w:val="00D44724"/>
    <w:rsid w:val="00D44BBC"/>
    <w:rsid w:val="00D4675B"/>
    <w:rsid w:val="00D47C1D"/>
    <w:rsid w:val="00D51DF3"/>
    <w:rsid w:val="00D53921"/>
    <w:rsid w:val="00D54EEA"/>
    <w:rsid w:val="00D57AB3"/>
    <w:rsid w:val="00D61CB4"/>
    <w:rsid w:val="00D6385D"/>
    <w:rsid w:val="00D677F6"/>
    <w:rsid w:val="00D71C8C"/>
    <w:rsid w:val="00D75BED"/>
    <w:rsid w:val="00D77D71"/>
    <w:rsid w:val="00D8029F"/>
    <w:rsid w:val="00D80936"/>
    <w:rsid w:val="00D809A6"/>
    <w:rsid w:val="00D81A36"/>
    <w:rsid w:val="00D82B31"/>
    <w:rsid w:val="00D83446"/>
    <w:rsid w:val="00D8355E"/>
    <w:rsid w:val="00D877C7"/>
    <w:rsid w:val="00D912FA"/>
    <w:rsid w:val="00D925D0"/>
    <w:rsid w:val="00D9534D"/>
    <w:rsid w:val="00D972C4"/>
    <w:rsid w:val="00DA13AB"/>
    <w:rsid w:val="00DB0518"/>
    <w:rsid w:val="00DB10F3"/>
    <w:rsid w:val="00DB652B"/>
    <w:rsid w:val="00DB76B0"/>
    <w:rsid w:val="00DC447C"/>
    <w:rsid w:val="00DC5FC2"/>
    <w:rsid w:val="00DC638D"/>
    <w:rsid w:val="00DC7D54"/>
    <w:rsid w:val="00DD13F0"/>
    <w:rsid w:val="00DD2F2F"/>
    <w:rsid w:val="00DD5451"/>
    <w:rsid w:val="00DE4649"/>
    <w:rsid w:val="00DE6F46"/>
    <w:rsid w:val="00DE7C11"/>
    <w:rsid w:val="00DF02C2"/>
    <w:rsid w:val="00DF0C4E"/>
    <w:rsid w:val="00DF0C98"/>
    <w:rsid w:val="00DF2501"/>
    <w:rsid w:val="00DF327B"/>
    <w:rsid w:val="00DF65A8"/>
    <w:rsid w:val="00DF677B"/>
    <w:rsid w:val="00DF7553"/>
    <w:rsid w:val="00E0003B"/>
    <w:rsid w:val="00E05EB8"/>
    <w:rsid w:val="00E06AB6"/>
    <w:rsid w:val="00E1270A"/>
    <w:rsid w:val="00E12DF0"/>
    <w:rsid w:val="00E14F03"/>
    <w:rsid w:val="00E170B6"/>
    <w:rsid w:val="00E202AF"/>
    <w:rsid w:val="00E215F6"/>
    <w:rsid w:val="00E25130"/>
    <w:rsid w:val="00E26251"/>
    <w:rsid w:val="00E31A78"/>
    <w:rsid w:val="00E32FFD"/>
    <w:rsid w:val="00E3679F"/>
    <w:rsid w:val="00E42E99"/>
    <w:rsid w:val="00E509C7"/>
    <w:rsid w:val="00E560E4"/>
    <w:rsid w:val="00E6357A"/>
    <w:rsid w:val="00E71BC2"/>
    <w:rsid w:val="00E728F8"/>
    <w:rsid w:val="00E76388"/>
    <w:rsid w:val="00E76749"/>
    <w:rsid w:val="00E806AC"/>
    <w:rsid w:val="00E82A08"/>
    <w:rsid w:val="00E83F23"/>
    <w:rsid w:val="00E9207B"/>
    <w:rsid w:val="00E92829"/>
    <w:rsid w:val="00E929FC"/>
    <w:rsid w:val="00E94923"/>
    <w:rsid w:val="00E95DB5"/>
    <w:rsid w:val="00EA061C"/>
    <w:rsid w:val="00EA69E4"/>
    <w:rsid w:val="00EB1085"/>
    <w:rsid w:val="00EB217B"/>
    <w:rsid w:val="00EB6BE2"/>
    <w:rsid w:val="00EC1471"/>
    <w:rsid w:val="00EC363A"/>
    <w:rsid w:val="00EC3E5F"/>
    <w:rsid w:val="00EC558B"/>
    <w:rsid w:val="00EC746F"/>
    <w:rsid w:val="00ED27C0"/>
    <w:rsid w:val="00ED6207"/>
    <w:rsid w:val="00EE0705"/>
    <w:rsid w:val="00EE64D6"/>
    <w:rsid w:val="00EE6C54"/>
    <w:rsid w:val="00EE6C7F"/>
    <w:rsid w:val="00EF0B48"/>
    <w:rsid w:val="00EF5AC2"/>
    <w:rsid w:val="00F00ED0"/>
    <w:rsid w:val="00F013CC"/>
    <w:rsid w:val="00F12418"/>
    <w:rsid w:val="00F125E6"/>
    <w:rsid w:val="00F12E41"/>
    <w:rsid w:val="00F214E1"/>
    <w:rsid w:val="00F21BEE"/>
    <w:rsid w:val="00F22789"/>
    <w:rsid w:val="00F2592B"/>
    <w:rsid w:val="00F41E6A"/>
    <w:rsid w:val="00F53748"/>
    <w:rsid w:val="00F57193"/>
    <w:rsid w:val="00F57C3A"/>
    <w:rsid w:val="00F62025"/>
    <w:rsid w:val="00F629D2"/>
    <w:rsid w:val="00F64A58"/>
    <w:rsid w:val="00F71DF4"/>
    <w:rsid w:val="00F74027"/>
    <w:rsid w:val="00F74E93"/>
    <w:rsid w:val="00F76FF8"/>
    <w:rsid w:val="00F77F7D"/>
    <w:rsid w:val="00F86E7B"/>
    <w:rsid w:val="00F87619"/>
    <w:rsid w:val="00F97DA5"/>
    <w:rsid w:val="00FA067C"/>
    <w:rsid w:val="00FA2863"/>
    <w:rsid w:val="00FA2B2A"/>
    <w:rsid w:val="00FA35B9"/>
    <w:rsid w:val="00FB0224"/>
    <w:rsid w:val="00FB0ADF"/>
    <w:rsid w:val="00FB602E"/>
    <w:rsid w:val="00FC08D3"/>
    <w:rsid w:val="00FC2AAE"/>
    <w:rsid w:val="00FC479D"/>
    <w:rsid w:val="00FC7BD6"/>
    <w:rsid w:val="00FD2C2C"/>
    <w:rsid w:val="00FD663F"/>
    <w:rsid w:val="00FD7628"/>
    <w:rsid w:val="00FD7A43"/>
    <w:rsid w:val="00FE027A"/>
    <w:rsid w:val="00FE103F"/>
    <w:rsid w:val="00FE1547"/>
    <w:rsid w:val="00FE6DE8"/>
    <w:rsid w:val="00FF02D4"/>
    <w:rsid w:val="00FF02EB"/>
    <w:rsid w:val="00FF1B12"/>
    <w:rsid w:val="00FF1EDD"/>
    <w:rsid w:val="00FF4DB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5BA6"/>
  <w15:docId w15:val="{921F23AC-B9FD-4F14-B520-F785F22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437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A6F0A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A6F0A"/>
    <w:rPr>
      <w:sz w:val="18"/>
      <w:szCs w:val="18"/>
    </w:rPr>
  </w:style>
  <w:style w:type="table" w:customStyle="1" w:styleId="1">
    <w:name w:val="网格型1"/>
    <w:basedOn w:val="a2"/>
    <w:next w:val="a6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qFormat/>
    <w:rsid w:val="00B00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2"/>
    <w:next w:val="a6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2"/>
    <w:next w:val="a6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Char1"/>
    <w:uiPriority w:val="99"/>
    <w:semiHidden/>
    <w:unhideWhenUsed/>
    <w:rsid w:val="00F21BEE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F21BEE"/>
    <w:rPr>
      <w:sz w:val="18"/>
      <w:szCs w:val="18"/>
    </w:rPr>
  </w:style>
  <w:style w:type="paragraph" w:styleId="a8">
    <w:name w:val="List Paragraph"/>
    <w:basedOn w:val="a0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">
    <w:name w:val="正文表标题"/>
    <w:next w:val="a0"/>
    <w:qFormat/>
    <w:rsid w:val="00307891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4">
    <w:name w:val="网格型4"/>
    <w:basedOn w:val="a2"/>
    <w:next w:val="a6"/>
    <w:qFormat/>
    <w:rsid w:val="00D040F7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2"/>
    <w:next w:val="a6"/>
    <w:qFormat/>
    <w:rsid w:val="00C774E3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2"/>
    <w:next w:val="a6"/>
    <w:qFormat/>
    <w:rsid w:val="00187018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a0"/>
    <w:next w:val="a0"/>
    <w:semiHidden/>
    <w:rsid w:val="00C65E59"/>
    <w:pPr>
      <w:numPr>
        <w:ilvl w:val="1"/>
        <w:numId w:val="3"/>
      </w:num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8">
    <w:name w:val="index 8"/>
    <w:basedOn w:val="a0"/>
    <w:next w:val="a0"/>
    <w:rsid w:val="00C65E59"/>
    <w:pPr>
      <w:numPr>
        <w:ilvl w:val="2"/>
        <w:numId w:val="3"/>
      </w:numPr>
      <w:ind w:left="1680" w:hanging="210"/>
      <w:jc w:val="left"/>
    </w:pPr>
    <w:rPr>
      <w:rFonts w:ascii="Calibri" w:eastAsia="宋体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wangzequn</cp:lastModifiedBy>
  <cp:revision>39</cp:revision>
  <dcterms:created xsi:type="dcterms:W3CDTF">2024-04-07T06:49:00Z</dcterms:created>
  <dcterms:modified xsi:type="dcterms:W3CDTF">2024-04-08T05:27:00Z</dcterms:modified>
</cp:coreProperties>
</file>