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rPr>
      </w:pPr>
    </w:p>
    <w:tbl>
      <w:tblPr>
        <w:tblStyle w:val="22"/>
        <w:tblW w:w="95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3"/>
        <w:gridCol w:w="9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pPr>
              <w:pStyle w:val="55"/>
              <w:framePr w:wrap="around"/>
              <w:jc w:val="both"/>
              <w:rPr>
                <w:rFonts w:hint="default"/>
              </w:rPr>
            </w:pPr>
            <w:r>
              <w:t>ICS</w:t>
            </w:r>
          </w:p>
        </w:tc>
        <w:tc>
          <w:tcPr>
            <w:tcW w:w="9107" w:type="dxa"/>
          </w:tcPr>
          <w:p>
            <w:pPr>
              <w:pStyle w:val="55"/>
              <w:framePr w:wrap="around"/>
              <w:jc w:val="both"/>
              <w:rPr>
                <w:rFonts w:hint="default"/>
              </w:rPr>
            </w:pPr>
            <w:bookmarkStart w:id="0" w:name="ICS"/>
            <w:r>
              <w:fldChar w:fldCharType="begin">
                <w:ffData>
                  <w:name w:val="ICS"/>
                  <w:enabled/>
                  <w:calcOnExit w:val="0"/>
                  <w:textInput>
                    <w:default w:val="点击此处添加ICS号"/>
                  </w:textInput>
                </w:ffData>
              </w:fldChar>
            </w:r>
            <w:r>
              <w:instrText xml:space="preserve">FORMTEXT</w:instrText>
            </w:r>
            <w:r>
              <w:fldChar w:fldCharType="separate"/>
            </w:r>
            <w:r>
              <w:t>67.140.10</w:t>
            </w:r>
            <w: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pPr>
              <w:pStyle w:val="55"/>
              <w:framePr w:wrap="around"/>
              <w:jc w:val="both"/>
              <w:rPr>
                <w:rFonts w:hint="default"/>
              </w:rPr>
            </w:pPr>
            <w:r>
              <w:t>CCS</w:t>
            </w:r>
          </w:p>
        </w:tc>
        <w:tc>
          <w:tcPr>
            <w:tcW w:w="9107" w:type="dxa"/>
          </w:tcPr>
          <w:p>
            <w:pPr>
              <w:pStyle w:val="55"/>
              <w:framePr w:wrap="around"/>
              <w:jc w:val="both"/>
              <w:rPr>
                <w:rFonts w:hint="default"/>
              </w:rPr>
            </w:pPr>
            <w:bookmarkStart w:id="1" w:name="CCS"/>
            <w:r>
              <w:fldChar w:fldCharType="begin">
                <w:ffData>
                  <w:name w:val="CCS"/>
                  <w:enabled/>
                  <w:calcOnExit w:val="0"/>
                  <w:textInput>
                    <w:default w:val="点击此处添加CCS号"/>
                  </w:textInput>
                </w:ffData>
              </w:fldChar>
            </w:r>
            <w:r>
              <w:instrText xml:space="preserve">FORMTEXT</w:instrText>
            </w:r>
            <w:r>
              <w:fldChar w:fldCharType="separate"/>
            </w:r>
            <w:r>
              <w:t>X</w:t>
            </w:r>
            <w:r>
              <w:rPr>
                <w:rFonts w:hint="default"/>
              </w:rPr>
              <w:t>55</w:t>
            </w:r>
            <w:r>
              <w:fldChar w:fldCharType="end"/>
            </w:r>
            <w:bookmarkEnd w:id="1"/>
          </w:p>
        </w:tc>
      </w:tr>
    </w:tbl>
    <w:p>
      <w:pPr>
        <w:pStyle w:val="31"/>
        <w:framePr w:wrap="around"/>
        <w:rPr>
          <w:rFonts w:hint="default"/>
        </w:rPr>
      </w:pPr>
      <w:r>
        <w:t>团体标准</w:t>
      </w:r>
    </w:p>
    <w:p>
      <w:pPr>
        <w:pStyle w:val="43"/>
        <w:framePr w:wrap="around"/>
        <w:rPr>
          <w:rFonts w:hint="default"/>
        </w:rPr>
      </w:pPr>
      <w:r>
        <w:fldChar w:fldCharType="begin">
          <w:ffData>
            <w:name w:val="StandNo"/>
            <w:enabled/>
            <w:calcOnExit w:val="0"/>
            <w:textInput>
              <w:default w:val="T/XXX XXX—XXXX"/>
            </w:textInput>
          </w:ffData>
        </w:fldChar>
      </w:r>
      <w:bookmarkStart w:id="2" w:name="StandNo"/>
      <w:r>
        <w:instrText xml:space="preserve">FORMTEXT</w:instrText>
      </w:r>
      <w:r>
        <w:fldChar w:fldCharType="separate"/>
      </w:r>
      <w:r>
        <w:t>T/XXX XXX—XXXX</w:t>
      </w:r>
      <w:r>
        <w:fldChar w:fldCharType="end"/>
      </w:r>
      <w:bookmarkEnd w:id="2"/>
    </w:p>
    <w:p>
      <w:pPr>
        <w:pStyle w:val="42"/>
        <w:framePr w:wrap="around"/>
        <w:rPr>
          <w:rFonts w:hint="default"/>
        </w:rPr>
      </w:pPr>
      <w:r>
        <w:fldChar w:fldCharType="begin">
          <w:ffData>
            <w:name w:val="ReplaceT"/>
            <w:enabled/>
            <w:calcOnExit w:val="0"/>
            <w:textInput/>
          </w:ffData>
        </w:fldChar>
      </w:r>
      <w:bookmarkStart w:id="3" w:name="ReplaceT"/>
      <w:r>
        <w:instrText xml:space="preserve">FORMTEXT</w:instrText>
      </w:r>
      <w:r>
        <w:fldChar w:fldCharType="separate"/>
      </w:r>
      <w:r>
        <w:rPr>
          <w:rFonts w:hint="default"/>
        </w:rPr>
        <w:t>     </w:t>
      </w:r>
      <w:r>
        <w:fldChar w:fldCharType="end"/>
      </w:r>
      <w:bookmarkEnd w:id="3"/>
    </w:p>
    <w:tbl>
      <w:tblPr>
        <w:tblStyle w:val="22"/>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741" w:type="dxa"/>
            <w:tcBorders>
              <w:top w:val="single" w:color="auto" w:sz="8" w:space="0"/>
            </w:tcBorders>
          </w:tcPr>
          <w:p>
            <w:pPr>
              <w:pStyle w:val="37"/>
              <w:framePr w:wrap="around"/>
              <w:widowControl w:val="0"/>
              <w:jc w:val="both"/>
              <w:rPr>
                <w:rFonts w:hint="default"/>
                <w:sz w:val="10"/>
              </w:rPr>
            </w:pPr>
          </w:p>
        </w:tc>
      </w:tr>
    </w:tbl>
    <w:p>
      <w:pPr>
        <w:pStyle w:val="44"/>
        <w:framePr w:wrap="around"/>
        <w:rPr>
          <w:rFonts w:hint="default"/>
        </w:rPr>
      </w:pPr>
      <w:r>
        <w:fldChar w:fldCharType="begin">
          <w:ffData>
            <w:name w:val="StdName"/>
            <w:enabled/>
            <w:calcOnExit w:val="0"/>
            <w:textInput>
              <w:default w:val="周宁高山云雾茶"/>
            </w:textInput>
          </w:ffData>
        </w:fldChar>
      </w:r>
      <w:bookmarkStart w:id="4" w:name="StdName"/>
      <w:r>
        <w:instrText xml:space="preserve">FORMTEXT</w:instrText>
      </w:r>
      <w:r>
        <w:fldChar w:fldCharType="separate"/>
      </w:r>
      <w:r>
        <w:rPr>
          <w:rFonts w:hint="eastAsia"/>
          <w:lang w:eastAsia="zh-CN"/>
        </w:rPr>
        <w:t>陈年</w:t>
      </w:r>
      <w:r>
        <w:t>茉莉花茶</w:t>
      </w:r>
      <w:r>
        <w:fldChar w:fldCharType="end"/>
      </w:r>
      <w:bookmarkEnd w:id="4"/>
    </w:p>
    <w:p>
      <w:pPr>
        <w:pStyle w:val="45"/>
        <w:framePr w:wrap="around"/>
        <w:rPr>
          <w:rFonts w:hint="default"/>
        </w:rPr>
      </w:pPr>
      <w:r>
        <w:fldChar w:fldCharType="begin">
          <w:ffData>
            <w:name w:val="StdEnglishName"/>
            <w:enabled/>
            <w:calcOnExit w:val="0"/>
            <w:textInput>
              <w:default w:val="点击此处添加标准英文译名"/>
            </w:textInput>
          </w:ffData>
        </w:fldChar>
      </w:r>
      <w:bookmarkStart w:id="5" w:name="StdEnglishName"/>
      <w:r>
        <w:instrText xml:space="preserve">FORMTEXT</w:instrText>
      </w:r>
      <w:r>
        <w:fldChar w:fldCharType="separate"/>
      </w:r>
      <w:r>
        <w:rPr>
          <w:rFonts w:hint="default"/>
        </w:rPr>
        <w:t xml:space="preserve">Aged </w:t>
      </w:r>
      <w:r>
        <w:t>Jasmine tea</w:t>
      </w:r>
      <w:r>
        <w:fldChar w:fldCharType="end"/>
      </w:r>
      <w:bookmarkEnd w:id="5"/>
    </w:p>
    <w:p>
      <w:pPr>
        <w:pStyle w:val="46"/>
        <w:framePr w:wrap="around"/>
        <w:rPr>
          <w:rFonts w:hint="default"/>
        </w:rPr>
      </w:pPr>
      <w:r>
        <w:fldChar w:fldCharType="begin">
          <w:ffData>
            <w:name w:val="YZBS"/>
            <w:enabled/>
            <w:calcOnExit w:val="0"/>
            <w:textInput>
              <w:default w:val="(点击此处添加与国际标准一致性程度的标识)"/>
            </w:textInput>
          </w:ffData>
        </w:fldChar>
      </w:r>
      <w:bookmarkStart w:id="6" w:name="YZBS"/>
      <w:r>
        <w:instrText xml:space="preserve">FORMTEXT</w:instrText>
      </w:r>
      <w:r>
        <w:fldChar w:fldCharType="separate"/>
      </w:r>
      <w:r>
        <w:t>(点击此处添加与国际标准一致性程度的标识)</w:t>
      </w:r>
      <w:r>
        <w:fldChar w:fldCharType="end"/>
      </w:r>
      <w:bookmarkEnd w:id="6"/>
    </w:p>
    <w:p>
      <w:pPr>
        <w:pStyle w:val="47"/>
        <w:framePr w:wrap="around"/>
        <w:spacing w:after="0"/>
        <w:rPr>
          <w:rFonts w:hint="default"/>
        </w:rPr>
      </w:pPr>
      <w:r>
        <w:fldChar w:fldCharType="begin">
          <w:ffData>
            <w:name w:val="LB"/>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7" w:name="LB"/>
      <w:r>
        <w:instrText xml:space="preserve">FORMDROPDOWN</w:instrText>
      </w:r>
      <w:r>
        <w:rPr>
          <w:rFonts w:hint="default"/>
        </w:rPr>
        <w:fldChar w:fldCharType="separate"/>
      </w:r>
      <w:r>
        <w:fldChar w:fldCharType="end"/>
      </w:r>
      <w:bookmarkEnd w:id="7"/>
    </w:p>
    <w:p>
      <w:pPr>
        <w:pStyle w:val="48"/>
        <w:framePr w:wrap="around"/>
        <w:spacing w:before="100"/>
        <w:rPr>
          <w:rFonts w:hint="default"/>
        </w:rPr>
      </w:pPr>
      <w:r>
        <w:fldChar w:fldCharType="begin">
          <w:ffData>
            <w:name w:val="WCRQ"/>
            <w:enabled/>
            <w:calcOnExit w:val="0"/>
            <w:textInput/>
          </w:ffData>
        </w:fldChar>
      </w:r>
      <w:bookmarkStart w:id="8" w:name="WCRQ"/>
      <w:r>
        <w:instrText xml:space="preserve">FORMTEXT</w:instrText>
      </w:r>
      <w:r>
        <w:fldChar w:fldCharType="separate"/>
      </w:r>
      <w:r>
        <w:rPr>
          <w:rFonts w:hint="default"/>
        </w:rPr>
        <w:t>     </w:t>
      </w:r>
      <w:r>
        <w:fldChar w:fldCharType="end"/>
      </w:r>
      <w:bookmarkEnd w:id="8"/>
    </w:p>
    <w:p>
      <w:pPr>
        <w:pStyle w:val="49"/>
        <w:framePr w:wrap="around"/>
        <w:spacing w:before="686" w:beforeLines="220" w:after="93"/>
        <w:rPr>
          <w:rFonts w:hint="default"/>
        </w:rPr>
      </w:pPr>
      <w:r>
        <w:fldChar w:fldCharType="begin">
          <w:ffData>
            <w:name w:val="FileSelect"/>
            <w:enabled/>
            <w:calcOnExit w:val="0"/>
            <w:ddList>
              <w:listEntry w:val="     "/>
              <w:listEntry w:val="在提交反馈意见时，请将您知道的相关专利连同支持性文件一件附上。"/>
            </w:ddList>
          </w:ffData>
        </w:fldChar>
      </w:r>
      <w:bookmarkStart w:id="9" w:name="FileSelect"/>
      <w:r>
        <w:instrText xml:space="preserve">FORMDROPDOWN</w:instrText>
      </w:r>
      <w:r>
        <w:rPr>
          <w:rFonts w:hint="default"/>
        </w:rPr>
        <w:fldChar w:fldCharType="separate"/>
      </w:r>
      <w:r>
        <w:fldChar w:fldCharType="end"/>
      </w:r>
      <w:bookmarkEnd w:id="9"/>
    </w:p>
    <w:tbl>
      <w:tblPr>
        <w:tblStyle w:val="22"/>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70"/>
        <w:gridCol w:w="4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4870" w:type="dxa"/>
            <w:tcBorders>
              <w:bottom w:val="single" w:color="auto" w:sz="8" w:space="0"/>
            </w:tcBorders>
            <w:tcMar>
              <w:left w:w="57" w:type="dxa"/>
              <w:bottom w:w="28" w:type="dxa"/>
            </w:tcMar>
          </w:tcPr>
          <w:p>
            <w:pPr>
              <w:pStyle w:val="41"/>
              <w:framePr w:wrap="around"/>
              <w:widowControl w:val="0"/>
              <w:jc w:val="both"/>
              <w:rPr>
                <w:rFonts w:hint="default"/>
              </w:rPr>
            </w:pPr>
            <w:r>
              <w:fldChar w:fldCharType="begin">
                <w:ffData>
                  <w:name w:val="FY"/>
                  <w:enabled/>
                  <w:calcOnExit w:val="0"/>
                  <w:textInput>
                    <w:default w:val="XXXX"/>
                    <w:maxLength w:val="4"/>
                  </w:textInput>
                </w:ffData>
              </w:fldChar>
            </w:r>
            <w:bookmarkStart w:id="10" w:name="FY"/>
            <w:r>
              <w:instrText xml:space="preserve">FORMTEXT</w:instrText>
            </w:r>
            <w:r>
              <w:fldChar w:fldCharType="separate"/>
            </w:r>
            <w:r>
              <w:rPr>
                <w:rFonts w:hint="default"/>
              </w:rPr>
              <w:t>2024</w:t>
            </w:r>
            <w:r>
              <w:fldChar w:fldCharType="end"/>
            </w:r>
            <w:bookmarkEnd w:id="10"/>
            <w:r>
              <w:t xml:space="preserve"> - </w:t>
            </w:r>
            <w:r>
              <w:fldChar w:fldCharType="begin">
                <w:ffData>
                  <w:name w:val="FM"/>
                  <w:enabled/>
                  <w:calcOnExit w:val="0"/>
                  <w:textInput>
                    <w:default w:val="XX"/>
                    <w:maxLength w:val="2"/>
                  </w:textInput>
                </w:ffData>
              </w:fldChar>
            </w:r>
            <w:bookmarkStart w:id="11" w:name="FM"/>
            <w:r>
              <w:instrText xml:space="preserve">FORMTEXT</w:instrText>
            </w:r>
            <w:r>
              <w:fldChar w:fldCharType="separate"/>
            </w:r>
            <w:r>
              <w:t>XX</w:t>
            </w:r>
            <w:r>
              <w:fldChar w:fldCharType="end"/>
            </w:r>
            <w:bookmarkEnd w:id="11"/>
            <w:r>
              <w:t xml:space="preserve"> - </w:t>
            </w:r>
            <w:r>
              <w:fldChar w:fldCharType="begin">
                <w:ffData>
                  <w:name w:val="FD"/>
                  <w:enabled/>
                  <w:calcOnExit w:val="0"/>
                  <w:textInput>
                    <w:default w:val="XX"/>
                    <w:maxLength w:val="2"/>
                  </w:textInput>
                </w:ffData>
              </w:fldChar>
            </w:r>
            <w:bookmarkStart w:id="12" w:name="FD"/>
            <w:r>
              <w:instrText xml:space="preserve">FORMTEXT</w:instrText>
            </w:r>
            <w:r>
              <w:fldChar w:fldCharType="separate"/>
            </w:r>
            <w:r>
              <w:t>XX</w:t>
            </w:r>
            <w:r>
              <w:fldChar w:fldCharType="end"/>
            </w:r>
            <w:bookmarkEnd w:id="12"/>
            <w:r>
              <w:t xml:space="preserve"> 发布</w:t>
            </w:r>
          </w:p>
        </w:tc>
        <w:tc>
          <w:tcPr>
            <w:tcW w:w="4871" w:type="dxa"/>
            <w:tcBorders>
              <w:bottom w:val="single" w:color="auto" w:sz="8" w:space="0"/>
            </w:tcBorders>
            <w:tcMar>
              <w:right w:w="57" w:type="dxa"/>
            </w:tcMar>
          </w:tcPr>
          <w:p>
            <w:pPr>
              <w:pStyle w:val="41"/>
              <w:framePr w:wrap="around"/>
              <w:widowControl w:val="0"/>
              <w:jc w:val="right"/>
              <w:rPr>
                <w:rFonts w:hint="default"/>
              </w:rPr>
            </w:pPr>
            <w:r>
              <w:fldChar w:fldCharType="begin">
                <w:ffData>
                  <w:name w:val="SY"/>
                  <w:enabled/>
                  <w:calcOnExit w:val="0"/>
                  <w:textInput>
                    <w:default w:val="XXXX"/>
                    <w:maxLength w:val="4"/>
                  </w:textInput>
                </w:ffData>
              </w:fldChar>
            </w:r>
            <w:bookmarkStart w:id="13" w:name="SY"/>
            <w:r>
              <w:instrText xml:space="preserve">FORMTEXT</w:instrText>
            </w:r>
            <w:r>
              <w:fldChar w:fldCharType="separate"/>
            </w:r>
            <w:r>
              <w:rPr>
                <w:rFonts w:hint="default"/>
              </w:rPr>
              <w:t>2024</w:t>
            </w:r>
            <w:r>
              <w:fldChar w:fldCharType="end"/>
            </w:r>
            <w:bookmarkEnd w:id="13"/>
            <w:r>
              <w:t xml:space="preserve"> - </w:t>
            </w:r>
            <w:r>
              <w:fldChar w:fldCharType="begin">
                <w:ffData>
                  <w:name w:val="SM"/>
                  <w:enabled/>
                  <w:calcOnExit w:val="0"/>
                  <w:textInput>
                    <w:default w:val="XX"/>
                    <w:maxLength w:val="2"/>
                  </w:textInput>
                </w:ffData>
              </w:fldChar>
            </w:r>
            <w:bookmarkStart w:id="14" w:name="SM"/>
            <w:r>
              <w:instrText xml:space="preserve">FORMTEXT</w:instrText>
            </w:r>
            <w:r>
              <w:fldChar w:fldCharType="separate"/>
            </w:r>
            <w:r>
              <w:t>XX</w:t>
            </w:r>
            <w:r>
              <w:fldChar w:fldCharType="end"/>
            </w:r>
            <w:bookmarkEnd w:id="14"/>
            <w:r>
              <w:t xml:space="preserve"> - </w:t>
            </w:r>
            <w:r>
              <w:fldChar w:fldCharType="begin">
                <w:ffData>
                  <w:name w:val="SD"/>
                  <w:enabled/>
                  <w:calcOnExit w:val="0"/>
                  <w:textInput>
                    <w:default w:val="XX"/>
                    <w:maxLength w:val="2"/>
                  </w:textInput>
                </w:ffData>
              </w:fldChar>
            </w:r>
            <w:bookmarkStart w:id="15" w:name="SD"/>
            <w:r>
              <w:instrText xml:space="preserve">FORMTEXT</w:instrText>
            </w:r>
            <w:r>
              <w:fldChar w:fldCharType="separate"/>
            </w:r>
            <w:r>
              <w:t>XX</w:t>
            </w:r>
            <w:r>
              <w:fldChar w:fldCharType="end"/>
            </w:r>
            <w:bookmarkEnd w:id="15"/>
            <w:r>
              <w:t xml:space="preserve"> 实施</w:t>
            </w:r>
          </w:p>
        </w:tc>
      </w:tr>
    </w:tbl>
    <w:p>
      <w:pPr>
        <w:pStyle w:val="51"/>
        <w:framePr w:wrap="around"/>
        <w:spacing w:before="0"/>
        <w:rPr>
          <w:rFonts w:hint="default"/>
        </w:rPr>
        <w:sectPr>
          <w:pgSz w:w="11906" w:h="16838"/>
          <w:pgMar w:top="-340" w:right="1134" w:bottom="1021" w:left="1134" w:header="0" w:footer="0" w:gutter="284"/>
          <w:pgNumType w:start="1"/>
          <w:cols w:space="425" w:num="1"/>
          <w:titlePg/>
          <w:docGrid w:type="lines" w:linePitch="312" w:charSpace="0"/>
        </w:sectPr>
      </w:pPr>
      <w:r>
        <w:fldChar w:fldCharType="begin">
          <w:ffData>
            <w:name w:val="FM2"/>
            <w:enabled/>
            <w:calcOnExit w:val="0"/>
            <w:textInput/>
          </w:ffData>
        </w:fldChar>
      </w:r>
      <w:bookmarkStart w:id="16" w:name="FM2"/>
      <w:r>
        <w:instrText xml:space="preserve">FORMTEXT</w:instrText>
      </w:r>
      <w:r>
        <w:fldChar w:fldCharType="separate"/>
      </w:r>
      <w:r>
        <w:t>海峡两岸茶业交流协会</w:t>
      </w:r>
      <w:r>
        <w:fldChar w:fldCharType="end"/>
      </w:r>
      <w:bookmarkEnd w:id="16"/>
      <w:r>
        <w:t>  </w:t>
      </w:r>
      <w:r>
        <w:rPr>
          <w:spacing w:val="85"/>
        </w:rPr>
        <w:t>发</w:t>
      </w:r>
      <w:r>
        <w:t>布</w:t>
      </w:r>
    </w:p>
    <w:p>
      <w:pPr>
        <w:pStyle w:val="57"/>
        <w:spacing w:after="468"/>
        <w:rPr>
          <w:rFonts w:hint="default"/>
        </w:rPr>
      </w:pPr>
      <w:r>
        <w:rPr>
          <w:spacing w:val="317"/>
        </w:rPr>
        <w:t>前</w:t>
      </w:r>
      <w:bookmarkStart w:id="17" w:name="BKQY"/>
      <w:r>
        <w:t>言</w:t>
      </w:r>
    </w:p>
    <w:p>
      <w:pPr>
        <w:pStyle w:val="27"/>
        <w:rPr>
          <w:rFonts w:hint="default"/>
        </w:rPr>
      </w:pPr>
      <w:r>
        <w:t>本文件按照GB/T 1.1-2020《标准化工作导则  第1部分：标准化文件的结构和起草规则》的规定起草。</w:t>
      </w:r>
    </w:p>
    <w:p>
      <w:pPr>
        <w:pStyle w:val="27"/>
        <w:rPr>
          <w:rFonts w:hint="default"/>
        </w:rPr>
      </w:pPr>
      <w:r>
        <w:t>本文件由福建春伦集团有限公司提出。</w:t>
      </w:r>
    </w:p>
    <w:p>
      <w:pPr>
        <w:pStyle w:val="27"/>
        <w:rPr>
          <w:rFonts w:hint="default"/>
        </w:rPr>
      </w:pPr>
      <w:r>
        <w:t>本文件由海峡两岸茶业交流协会归口。</w:t>
      </w:r>
    </w:p>
    <w:p>
      <w:pPr>
        <w:pStyle w:val="27"/>
        <w:rPr>
          <w:rFonts w:hint="default"/>
        </w:rPr>
      </w:pPr>
      <w:r>
        <w:t>本文件起草单位：</w:t>
      </w:r>
    </w:p>
    <w:p>
      <w:pPr>
        <w:pStyle w:val="27"/>
        <w:rPr>
          <w:rFonts w:hint="default"/>
        </w:rPr>
      </w:pPr>
      <w:r>
        <w:t>本文件主要起草人：</w:t>
      </w:r>
    </w:p>
    <w:p>
      <w:pPr>
        <w:pStyle w:val="27"/>
        <w:rPr>
          <w:rFonts w:hint="default"/>
        </w:rPr>
      </w:pPr>
    </w:p>
    <w:bookmarkEnd w:id="17"/>
    <w:p>
      <w:pPr>
        <w:rPr>
          <w:rFonts w:hint="default"/>
        </w:rPr>
      </w:pPr>
    </w:p>
    <w:p>
      <w:pPr>
        <w:rPr>
          <w:rFonts w:hint="default"/>
        </w:rPr>
      </w:pPr>
    </w:p>
    <w:p>
      <w:pPr>
        <w:rPr>
          <w:rFonts w:hint="default"/>
        </w:rPr>
        <w:sectPr>
          <w:headerReference r:id="rId3" w:type="default"/>
          <w:footerReference r:id="rId4" w:type="default"/>
          <w:pgSz w:w="11906" w:h="16838"/>
          <w:pgMar w:top="1871" w:right="1134" w:bottom="1134" w:left="1134" w:header="1418" w:footer="1134" w:gutter="284"/>
          <w:pgNumType w:fmt="upperRoman" w:start="1"/>
          <w:cols w:space="425" w:num="1"/>
          <w:formProt w:val="0"/>
          <w:docGrid w:type="lines" w:linePitch="312" w:charSpace="0"/>
        </w:sectPr>
      </w:pPr>
    </w:p>
    <w:sdt>
      <w:sdtPr>
        <w:rPr>
          <w:rStyle w:val="122"/>
        </w:rPr>
        <w:tag w:val="StandardName"/>
        <w:id w:val="147457473"/>
        <w:lock w:val="sdtLocked"/>
        <w:placeholder>
          <w:docPart w:val="{78fe63ff-caff-426a-a345-a4e829793e53}"/>
        </w:placeholder>
      </w:sdtPr>
      <w:sdtEndPr>
        <w:rPr>
          <w:rStyle w:val="122"/>
        </w:rPr>
      </w:sdtEndPr>
      <w:sdtContent>
        <w:p>
          <w:pPr>
            <w:pStyle w:val="58"/>
            <w:rPr>
              <w:rStyle w:val="122"/>
              <w:rFonts w:hint="default"/>
            </w:rPr>
          </w:pPr>
          <w:bookmarkStart w:id="18" w:name="StandardName"/>
          <w:bookmarkEnd w:id="18"/>
          <w:r>
            <w:rPr>
              <w:rStyle w:val="122"/>
              <w:rFonts w:hint="eastAsia"/>
              <w:lang w:eastAsia="zh-CN"/>
            </w:rPr>
            <w:t>陈年茉莉花茶</w:t>
          </w:r>
        </w:p>
      </w:sdtContent>
    </w:sdt>
    <w:p>
      <w:pPr>
        <w:pStyle w:val="74"/>
        <w:spacing w:before="312" w:after="312"/>
        <w:rPr>
          <w:rFonts w:hint="default"/>
        </w:rPr>
      </w:pPr>
      <w:r>
        <w:t>范围</w:t>
      </w:r>
    </w:p>
    <w:p>
      <w:pPr>
        <w:pStyle w:val="27"/>
        <w:rPr>
          <w:rFonts w:hint="default"/>
        </w:rPr>
      </w:pPr>
      <w:r>
        <w:t>本文件规定了</w:t>
      </w:r>
      <w:r>
        <w:rPr>
          <w:rFonts w:hint="eastAsia"/>
          <w:lang w:eastAsia="zh-CN"/>
        </w:rPr>
        <w:t>陈年茉莉花茶</w:t>
      </w:r>
      <w:r>
        <w:t>的分类、要求、试验方法、检验规则、标志标签、包装、运输和贮存。</w:t>
      </w:r>
    </w:p>
    <w:p>
      <w:pPr>
        <w:pStyle w:val="27"/>
        <w:rPr>
          <w:rFonts w:hint="default"/>
        </w:rPr>
      </w:pPr>
      <w:r>
        <w:t>本文件适用于</w:t>
      </w:r>
      <w:r>
        <w:rPr>
          <w:rFonts w:hint="eastAsia"/>
          <w:lang w:eastAsia="zh-CN"/>
        </w:rPr>
        <w:t>陈年茉莉花茶</w:t>
      </w:r>
      <w:r>
        <w:t>系列产品。</w:t>
      </w:r>
    </w:p>
    <w:p>
      <w:pPr>
        <w:pStyle w:val="74"/>
        <w:spacing w:before="312" w:after="312"/>
        <w:rPr>
          <w:rFonts w:hint="default"/>
        </w:rPr>
      </w:pPr>
      <w:r>
        <w:t>规范性引用文件</w:t>
      </w:r>
    </w:p>
    <w:sdt>
      <w:sdtPr>
        <w:tag w:val="StandNameFile"/>
        <w:id w:val="147461267"/>
        <w:placeholder>
          <w:docPart w:val="{c306d9cb-56ce-41b4-8ad2-473e97192021}"/>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Content>
        <w:p>
          <w:pPr>
            <w:pStyle w:val="27"/>
            <w:rPr>
              <w:rFonts w:hint="default"/>
            </w:rPr>
          </w:pPr>
          <w: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7"/>
        <w:rPr>
          <w:rFonts w:hint="default"/>
        </w:rPr>
      </w:pPr>
      <w:r>
        <w:t xml:space="preserve">GB/T 191 </w:t>
      </w:r>
      <w:r>
        <w:rPr>
          <w:rFonts w:hint="default"/>
        </w:rPr>
        <w:t xml:space="preserve"> </w:t>
      </w:r>
      <w:r>
        <w:t>包装储运图示标志</w:t>
      </w:r>
    </w:p>
    <w:p>
      <w:pPr>
        <w:pStyle w:val="27"/>
        <w:rPr>
          <w:rFonts w:hint="default"/>
        </w:rPr>
      </w:pPr>
      <w:r>
        <w:t xml:space="preserve">GB 2762 </w:t>
      </w:r>
      <w:r>
        <w:rPr>
          <w:rFonts w:hint="default"/>
        </w:rPr>
        <w:t xml:space="preserve"> </w:t>
      </w:r>
      <w:r>
        <w:t xml:space="preserve">食品安全国家标准 </w:t>
      </w:r>
      <w:r>
        <w:rPr>
          <w:rFonts w:hint="default"/>
        </w:rPr>
        <w:t xml:space="preserve"> </w:t>
      </w:r>
      <w:r>
        <w:t>食品中污染物限量</w:t>
      </w:r>
    </w:p>
    <w:p>
      <w:pPr>
        <w:pStyle w:val="27"/>
        <w:rPr>
          <w:rFonts w:hint="default"/>
        </w:rPr>
      </w:pPr>
      <w:r>
        <w:t xml:space="preserve">GB 2763 </w:t>
      </w:r>
      <w:r>
        <w:rPr>
          <w:rFonts w:hint="default"/>
        </w:rPr>
        <w:t xml:space="preserve"> </w:t>
      </w:r>
      <w:r>
        <w:t xml:space="preserve">食品安全国家标准 </w:t>
      </w:r>
      <w:r>
        <w:rPr>
          <w:rFonts w:hint="default"/>
        </w:rPr>
        <w:t xml:space="preserve"> </w:t>
      </w:r>
      <w:r>
        <w:t>食品中农药最大残留限量</w:t>
      </w:r>
    </w:p>
    <w:p>
      <w:pPr>
        <w:pStyle w:val="27"/>
        <w:rPr>
          <w:rFonts w:hint="default"/>
        </w:rPr>
      </w:pPr>
      <w:bookmarkStart w:id="19" w:name="_Hlk160439936"/>
      <w:r>
        <w:t xml:space="preserve">GB 2763.1 </w:t>
      </w:r>
      <w:r>
        <w:rPr>
          <w:rFonts w:hint="default"/>
        </w:rPr>
        <w:t xml:space="preserve"> </w:t>
      </w:r>
      <w:r>
        <w:t xml:space="preserve">食品安全国家标准 </w:t>
      </w:r>
      <w:r>
        <w:rPr>
          <w:rFonts w:hint="default"/>
        </w:rPr>
        <w:t xml:space="preserve"> </w:t>
      </w:r>
      <w:r>
        <w:t>食品中2,4-滴丁酸钠盐等112种农药最大残留限量</w:t>
      </w:r>
    </w:p>
    <w:bookmarkEnd w:id="19"/>
    <w:p>
      <w:pPr>
        <w:pStyle w:val="27"/>
        <w:rPr>
          <w:rFonts w:hint="default"/>
        </w:rPr>
      </w:pPr>
      <w:r>
        <w:t xml:space="preserve">GB 5009.3 </w:t>
      </w:r>
      <w:r>
        <w:rPr>
          <w:rFonts w:hint="default"/>
        </w:rPr>
        <w:t xml:space="preserve"> </w:t>
      </w:r>
      <w:r>
        <w:t xml:space="preserve">食品安全国家标准 </w:t>
      </w:r>
      <w:r>
        <w:rPr>
          <w:rFonts w:hint="default"/>
        </w:rPr>
        <w:t xml:space="preserve"> </w:t>
      </w:r>
      <w:r>
        <w:t>食品中水分的测定</w:t>
      </w:r>
    </w:p>
    <w:p>
      <w:pPr>
        <w:pStyle w:val="27"/>
        <w:rPr>
          <w:rFonts w:hint="default"/>
        </w:rPr>
      </w:pPr>
      <w:r>
        <w:t xml:space="preserve">GB 5009.4 </w:t>
      </w:r>
      <w:r>
        <w:rPr>
          <w:rFonts w:hint="default"/>
        </w:rPr>
        <w:t xml:space="preserve"> </w:t>
      </w:r>
      <w:r>
        <w:t xml:space="preserve">食品安全国家标准 </w:t>
      </w:r>
      <w:r>
        <w:rPr>
          <w:rFonts w:hint="default"/>
        </w:rPr>
        <w:t xml:space="preserve"> </w:t>
      </w:r>
      <w:r>
        <w:t>食品中灰分的测定</w:t>
      </w:r>
    </w:p>
    <w:p>
      <w:pPr>
        <w:pStyle w:val="27"/>
        <w:rPr>
          <w:rFonts w:hint="default"/>
        </w:rPr>
      </w:pPr>
      <w:r>
        <w:t xml:space="preserve">GB 7718 </w:t>
      </w:r>
      <w:r>
        <w:rPr>
          <w:rFonts w:hint="default"/>
        </w:rPr>
        <w:t xml:space="preserve"> </w:t>
      </w:r>
      <w:r>
        <w:t xml:space="preserve">食品安全国家标准 </w:t>
      </w:r>
      <w:r>
        <w:rPr>
          <w:rFonts w:hint="default"/>
        </w:rPr>
        <w:t xml:space="preserve"> </w:t>
      </w:r>
      <w:r>
        <w:t>预包装食品标签通则</w:t>
      </w:r>
    </w:p>
    <w:p>
      <w:pPr>
        <w:pStyle w:val="27"/>
        <w:rPr>
          <w:rFonts w:hint="default"/>
        </w:rPr>
      </w:pPr>
      <w:r>
        <w:t xml:space="preserve">GB/T 8302 </w:t>
      </w:r>
      <w:r>
        <w:rPr>
          <w:rFonts w:hint="default"/>
        </w:rPr>
        <w:t xml:space="preserve"> </w:t>
      </w:r>
      <w:r>
        <w:t xml:space="preserve">茶 </w:t>
      </w:r>
      <w:r>
        <w:rPr>
          <w:rFonts w:hint="default"/>
        </w:rPr>
        <w:t xml:space="preserve"> </w:t>
      </w:r>
      <w:r>
        <w:t>取样</w:t>
      </w:r>
    </w:p>
    <w:p>
      <w:pPr>
        <w:pStyle w:val="27"/>
        <w:rPr>
          <w:rFonts w:hint="default"/>
        </w:rPr>
      </w:pPr>
      <w:r>
        <w:t xml:space="preserve">GB/T 8303 </w:t>
      </w:r>
      <w:r>
        <w:rPr>
          <w:rFonts w:hint="default"/>
        </w:rPr>
        <w:t xml:space="preserve"> </w:t>
      </w:r>
      <w:r>
        <w:t xml:space="preserve">茶 </w:t>
      </w:r>
      <w:r>
        <w:rPr>
          <w:rFonts w:hint="default"/>
        </w:rPr>
        <w:t xml:space="preserve"> </w:t>
      </w:r>
      <w:r>
        <w:t>磨碎试样的制备及其干物质含量测定</w:t>
      </w:r>
    </w:p>
    <w:p>
      <w:pPr>
        <w:pStyle w:val="27"/>
        <w:rPr>
          <w:rFonts w:hint="default"/>
        </w:rPr>
      </w:pPr>
      <w:r>
        <w:t xml:space="preserve">GB/T 8305 </w:t>
      </w:r>
      <w:r>
        <w:rPr>
          <w:rFonts w:hint="default"/>
        </w:rPr>
        <w:t xml:space="preserve"> </w:t>
      </w:r>
      <w:r>
        <w:t xml:space="preserve">茶 </w:t>
      </w:r>
      <w:r>
        <w:rPr>
          <w:rFonts w:hint="default"/>
        </w:rPr>
        <w:t xml:space="preserve"> </w:t>
      </w:r>
      <w:r>
        <w:t>水浸出物测定</w:t>
      </w:r>
    </w:p>
    <w:p>
      <w:pPr>
        <w:pStyle w:val="27"/>
        <w:rPr>
          <w:rFonts w:hint="default"/>
        </w:rPr>
      </w:pPr>
      <w:r>
        <w:t xml:space="preserve">GB/T 8311 </w:t>
      </w:r>
      <w:r>
        <w:rPr>
          <w:rFonts w:hint="default"/>
        </w:rPr>
        <w:t xml:space="preserve"> </w:t>
      </w:r>
      <w:r>
        <w:t xml:space="preserve">茶 </w:t>
      </w:r>
      <w:r>
        <w:rPr>
          <w:rFonts w:hint="default"/>
        </w:rPr>
        <w:t xml:space="preserve"> </w:t>
      </w:r>
      <w:r>
        <w:t>粉末和碎茶含量测定</w:t>
      </w:r>
    </w:p>
    <w:p>
      <w:pPr>
        <w:pStyle w:val="27"/>
        <w:rPr>
          <w:rFonts w:hint="default"/>
        </w:rPr>
      </w:pPr>
      <w:r>
        <w:t>GB/T 2</w:t>
      </w:r>
      <w:r>
        <w:rPr>
          <w:rFonts w:hint="default"/>
        </w:rPr>
        <w:t xml:space="preserve">2292  </w:t>
      </w:r>
      <w:r>
        <w:t>茉莉花茶</w:t>
      </w:r>
    </w:p>
    <w:p>
      <w:pPr>
        <w:pStyle w:val="27"/>
        <w:rPr>
          <w:rFonts w:hint="default"/>
        </w:rPr>
      </w:pPr>
      <w:r>
        <w:t xml:space="preserve">GB 23350 </w:t>
      </w:r>
      <w:r>
        <w:rPr>
          <w:rFonts w:hint="default"/>
        </w:rPr>
        <w:t xml:space="preserve"> </w:t>
      </w:r>
      <w:r>
        <w:t xml:space="preserve">限制商品过度包装要求 </w:t>
      </w:r>
      <w:r>
        <w:rPr>
          <w:rFonts w:hint="default"/>
        </w:rPr>
        <w:t xml:space="preserve"> </w:t>
      </w:r>
      <w:r>
        <w:t>食品和化妆品</w:t>
      </w:r>
    </w:p>
    <w:p>
      <w:pPr>
        <w:pStyle w:val="27"/>
        <w:rPr>
          <w:rFonts w:hint="default"/>
        </w:rPr>
      </w:pPr>
      <w:r>
        <w:t xml:space="preserve">GB/T 23776 </w:t>
      </w:r>
      <w:r>
        <w:rPr>
          <w:rFonts w:hint="default"/>
        </w:rPr>
        <w:t xml:space="preserve"> </w:t>
      </w:r>
      <w:r>
        <w:t>茶叶感官审评方法</w:t>
      </w:r>
    </w:p>
    <w:p>
      <w:pPr>
        <w:pStyle w:val="27"/>
        <w:rPr>
          <w:rFonts w:hint="default"/>
        </w:rPr>
      </w:pPr>
      <w:r>
        <w:t xml:space="preserve">GB/T 30375 </w:t>
      </w:r>
      <w:r>
        <w:rPr>
          <w:rFonts w:hint="default"/>
        </w:rPr>
        <w:t xml:space="preserve"> </w:t>
      </w:r>
      <w:r>
        <w:t>茶叶贮存</w:t>
      </w:r>
    </w:p>
    <w:p>
      <w:pPr>
        <w:pStyle w:val="27"/>
        <w:rPr>
          <w:rFonts w:hint="default"/>
        </w:rPr>
      </w:pPr>
      <w:r>
        <w:t xml:space="preserve">GH/T 1070 </w:t>
      </w:r>
      <w:r>
        <w:rPr>
          <w:rFonts w:hint="default"/>
        </w:rPr>
        <w:t xml:space="preserve"> </w:t>
      </w:r>
      <w:r>
        <w:t>茶叶包装通则</w:t>
      </w:r>
    </w:p>
    <w:p>
      <w:pPr>
        <w:pStyle w:val="27"/>
        <w:rPr>
          <w:rFonts w:hint="default"/>
        </w:rPr>
      </w:pPr>
      <w:r>
        <w:t xml:space="preserve">JJF 1070 </w:t>
      </w:r>
      <w:r>
        <w:rPr>
          <w:rFonts w:hint="default"/>
        </w:rPr>
        <w:t xml:space="preserve"> </w:t>
      </w:r>
      <w:r>
        <w:t>定量包装商品净含量计量检验规则</w:t>
      </w:r>
    </w:p>
    <w:p>
      <w:pPr>
        <w:pStyle w:val="27"/>
        <w:rPr>
          <w:rFonts w:hint="default"/>
        </w:rPr>
      </w:pPr>
      <w:r>
        <w:t xml:space="preserve">国家市场监督管理总局令〔2023〕第70号 </w:t>
      </w:r>
      <w:r>
        <w:rPr>
          <w:rFonts w:hint="default"/>
        </w:rPr>
        <w:t xml:space="preserve"> </w:t>
      </w:r>
      <w:r>
        <w:t>定量包装商品计量监督管理办法</w:t>
      </w:r>
    </w:p>
    <w:p>
      <w:pPr>
        <w:pStyle w:val="74"/>
        <w:spacing w:before="312" w:after="312"/>
        <w:rPr>
          <w:rFonts w:hint="default"/>
        </w:rPr>
      </w:pPr>
      <w:r>
        <w:t>术语和定义</w:t>
      </w:r>
    </w:p>
    <w:sdt>
      <w:sdtPr>
        <w:tag w:val="TermContent"/>
        <w:id w:val="-1479137820"/>
        <w:placeholder>
          <w:docPart w:val="{79d605d7-9d6d-4e33-8141-424cc128213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27"/>
            <w:rPr>
              <w:rFonts w:hint="default"/>
            </w:rPr>
          </w:pPr>
          <w:r>
            <w:rPr>
              <w:rFonts w:hint="default"/>
            </w:rPr>
            <w:t>GB/T 22292</w:t>
          </w:r>
          <w:r>
            <w:t>界定的以及下列术语和定义适用于本文件。</w:t>
          </w:r>
        </w:p>
      </w:sdtContent>
    </w:sdt>
    <w:p>
      <w:pPr>
        <w:pStyle w:val="85"/>
        <w:spacing w:before="3" w:after="0" w:afterLines="0"/>
        <w:rPr>
          <w:rFonts w:hint="default"/>
        </w:rPr>
      </w:pPr>
      <w:r>
        <w:br w:type="textWrapping"/>
      </w:r>
      <w:r>
        <w:rPr>
          <w:rFonts w:hint="eastAsia"/>
          <w:lang w:eastAsia="zh-CN"/>
        </w:rPr>
        <w:t>陈年茉莉花茶</w:t>
      </w:r>
      <w:r>
        <w:t xml:space="preserve"> </w:t>
      </w:r>
      <w:r>
        <w:rPr>
          <w:rFonts w:hint="default"/>
        </w:rPr>
        <w:t xml:space="preserve"> </w:t>
      </w:r>
      <w:r>
        <w:t>a</w:t>
      </w:r>
      <w:r>
        <w:rPr>
          <w:rFonts w:hint="default"/>
        </w:rPr>
        <w:t>ged j</w:t>
      </w:r>
      <w:r>
        <w:t>asmine tea</w:t>
      </w:r>
    </w:p>
    <w:p>
      <w:pPr>
        <w:ind w:firstLine="420" w:firstLineChars="200"/>
        <w:rPr>
          <w:rFonts w:hint="default"/>
        </w:rPr>
      </w:pPr>
      <w:r>
        <w:t>在阴凉、干燥、通风、无异气味且相对密封避光的贮存环境条件下，经缓慢氧化、自然陈</w:t>
      </w:r>
    </w:p>
    <w:p>
      <w:pPr>
        <w:rPr>
          <w:rFonts w:hint="default"/>
        </w:rPr>
      </w:pPr>
      <w:r>
        <w:t>化三年及以上，具有“花香陈韵”品质特征并能满足质量安全要求的茉莉花茶。</w:t>
      </w:r>
    </w:p>
    <w:p>
      <w:pPr>
        <w:rPr>
          <w:rFonts w:hint="default" w:ascii="黑体" w:hAnsi="黑体" w:eastAsia="黑体" w:cs="黑体"/>
          <w:kern w:val="0"/>
          <w:szCs w:val="20"/>
        </w:rPr>
      </w:pPr>
      <w:r>
        <w:rPr>
          <w:rFonts w:ascii="黑体" w:hAnsi="黑体" w:eastAsia="黑体" w:cs="黑体"/>
          <w:kern w:val="0"/>
          <w:szCs w:val="20"/>
        </w:rPr>
        <w:t>3</w:t>
      </w:r>
      <w:r>
        <w:rPr>
          <w:rFonts w:hint="default" w:ascii="黑体" w:hAnsi="黑体" w:eastAsia="黑体" w:cs="黑体"/>
          <w:kern w:val="0"/>
          <w:szCs w:val="20"/>
        </w:rPr>
        <w:t>.2</w:t>
      </w:r>
    </w:p>
    <w:p>
      <w:pPr>
        <w:ind w:firstLine="420" w:firstLineChars="200"/>
        <w:rPr>
          <w:rFonts w:hint="default" w:ascii="黑体" w:hAnsi="黑体" w:eastAsia="黑体" w:cs="黑体"/>
          <w:kern w:val="0"/>
          <w:szCs w:val="20"/>
        </w:rPr>
      </w:pPr>
      <w:r>
        <w:rPr>
          <w:rFonts w:ascii="黑体" w:hAnsi="黑体" w:eastAsia="黑体" w:cs="黑体"/>
          <w:kern w:val="0"/>
          <w:szCs w:val="20"/>
        </w:rPr>
        <w:t xml:space="preserve">花香陈韵 </w:t>
      </w:r>
      <w:r>
        <w:rPr>
          <w:rFonts w:hint="default" w:ascii="黑体" w:hAnsi="黑体" w:eastAsia="黑体" w:cs="黑体"/>
          <w:kern w:val="0"/>
          <w:szCs w:val="20"/>
        </w:rPr>
        <w:t xml:space="preserve"> </w:t>
      </w:r>
    </w:p>
    <w:p>
      <w:pPr>
        <w:ind w:firstLine="420" w:firstLineChars="200"/>
        <w:rPr>
          <w:rFonts w:hint="default" w:hAnsi="宋体"/>
        </w:rPr>
      </w:pPr>
      <w:r>
        <w:rPr>
          <w:rFonts w:hint="eastAsia"/>
          <w:lang w:eastAsia="zh-CN"/>
        </w:rPr>
        <w:t>陈年茉莉花茶</w:t>
      </w:r>
      <w:r>
        <w:rPr>
          <w:rFonts w:hAnsi="宋体" w:cs="黑体"/>
          <w:kern w:val="0"/>
          <w:szCs w:val="20"/>
        </w:rPr>
        <w:t>所特有的品质特征，既有淡淡的茉莉花香，又有经过自然陈化所产生的陈香和陈醇甘滑的感官风味。</w:t>
      </w:r>
      <w:bookmarkStart w:id="56" w:name="_GoBack"/>
      <w:bookmarkEnd w:id="56"/>
    </w:p>
    <w:p>
      <w:pPr>
        <w:pStyle w:val="74"/>
        <w:spacing w:before="312" w:after="312"/>
        <w:rPr>
          <w:rFonts w:hint="default"/>
        </w:rPr>
      </w:pPr>
      <w:r>
        <w:t>产品分类</w:t>
      </w:r>
    </w:p>
    <w:p>
      <w:pPr>
        <w:pStyle w:val="80"/>
        <w:numPr>
          <w:ilvl w:val="0"/>
          <w:numId w:val="0"/>
        </w:numPr>
        <w:spacing w:before="0" w:beforeLines="0" w:after="0" w:afterLines="0"/>
        <w:ind w:firstLine="420" w:firstLineChars="200"/>
        <w:rPr>
          <w:rFonts w:hint="default" w:hAnsi="Times New Roman"/>
          <w:szCs w:val="22"/>
        </w:rPr>
      </w:pPr>
      <w:bookmarkStart w:id="20" w:name="_Hlk160439377"/>
      <w:r>
        <w:rPr>
          <w:rFonts w:hint="eastAsia"/>
          <w:lang w:eastAsia="zh-CN"/>
        </w:rPr>
        <w:t>陈年茉莉花茶</w:t>
      </w:r>
      <w:r>
        <w:rPr>
          <w:spacing w:val="-4"/>
        </w:rPr>
        <w:t>根据茶坯原料和加工方式不同，分为烘青</w:t>
      </w:r>
      <w:r>
        <w:rPr>
          <w:rFonts w:hint="eastAsia"/>
          <w:lang w:eastAsia="zh-CN"/>
        </w:rPr>
        <w:t>陈年茉莉花茶</w:t>
      </w:r>
      <w:r>
        <w:rPr>
          <w:spacing w:val="-4"/>
        </w:rPr>
        <w:t>和炒青（含半烘炒）</w:t>
      </w:r>
      <w:r>
        <w:rPr>
          <w:rFonts w:hint="eastAsia"/>
          <w:lang w:eastAsia="zh-CN"/>
        </w:rPr>
        <w:t>陈年茉莉花茶</w:t>
      </w:r>
      <w:r>
        <w:rPr>
          <w:spacing w:val="-4"/>
        </w:rPr>
        <w:t>两类；每类</w:t>
      </w:r>
      <w:r>
        <w:rPr>
          <w:rFonts w:cs="黑体"/>
        </w:rPr>
        <w:t>又</w:t>
      </w:r>
      <w:r>
        <w:t>分为散茶和紧压茶</w:t>
      </w:r>
      <w:r>
        <w:rPr>
          <w:rFonts w:hAnsi="Times New Roman"/>
          <w:szCs w:val="22"/>
        </w:rPr>
        <w:t>。</w:t>
      </w:r>
    </w:p>
    <w:bookmarkEnd w:id="20"/>
    <w:p>
      <w:pPr>
        <w:pStyle w:val="74"/>
        <w:spacing w:before="312" w:after="312"/>
        <w:rPr>
          <w:rFonts w:hint="default"/>
        </w:rPr>
      </w:pPr>
      <w:r>
        <w:t>要求</w:t>
      </w:r>
    </w:p>
    <w:p>
      <w:pPr>
        <w:pStyle w:val="75"/>
        <w:spacing w:before="156" w:after="156"/>
        <w:rPr>
          <w:rFonts w:hint="default"/>
        </w:rPr>
      </w:pPr>
      <w:r>
        <w:t>基本要求</w:t>
      </w:r>
    </w:p>
    <w:p>
      <w:pPr>
        <w:pStyle w:val="81"/>
        <w:spacing w:before="0" w:beforeLines="0" w:after="0" w:afterLines="0"/>
        <w:ind w:left="0"/>
        <w:jc w:val="left"/>
        <w:rPr>
          <w:rFonts w:hint="default"/>
        </w:rPr>
      </w:pPr>
      <w:r>
        <w:t>品质正常，无异味、无异嗅、无劣变。</w:t>
      </w:r>
    </w:p>
    <w:p>
      <w:pPr>
        <w:pStyle w:val="81"/>
        <w:spacing w:before="0" w:beforeLines="0" w:after="0" w:afterLines="0"/>
        <w:ind w:left="0"/>
        <w:rPr>
          <w:rFonts w:hint="default"/>
        </w:rPr>
      </w:pPr>
      <w:r>
        <w:t>不得含有非茶类夹杂物，不着色，无任何添加剂。</w:t>
      </w:r>
    </w:p>
    <w:p>
      <w:pPr>
        <w:pStyle w:val="75"/>
        <w:spacing w:before="156" w:after="156"/>
        <w:rPr>
          <w:rFonts w:hint="default"/>
        </w:rPr>
      </w:pPr>
      <w:bookmarkStart w:id="21" w:name="_Toc286932282"/>
      <w:bookmarkStart w:id="22" w:name="_Toc186263280"/>
      <w:bookmarkStart w:id="23" w:name="_Toc187727789"/>
      <w:r>
        <w:t>感官</w:t>
      </w:r>
      <w:bookmarkEnd w:id="21"/>
      <w:bookmarkEnd w:id="22"/>
      <w:bookmarkEnd w:id="23"/>
      <w:r>
        <w:t>品质</w:t>
      </w:r>
    </w:p>
    <w:p>
      <w:pPr>
        <w:pStyle w:val="123"/>
        <w:tabs>
          <w:tab w:val="center" w:pos="4201"/>
          <w:tab w:val="right" w:leader="dot" w:pos="9298"/>
        </w:tabs>
        <w:ind w:firstLine="0" w:firstLineChars="0"/>
      </w:pPr>
      <w:r>
        <w:rPr>
          <w:rFonts w:hint="eastAsia" w:ascii="黑体" w:hAnsi="黑体" w:eastAsia="黑体" w:cs="宋体"/>
        </w:rPr>
        <w:t>5</w:t>
      </w:r>
      <w:r>
        <w:rPr>
          <w:rFonts w:ascii="黑体" w:hAnsi="黑体" w:eastAsia="黑体" w:cs="宋体"/>
        </w:rPr>
        <w:t>.2.1</w:t>
      </w:r>
      <w:r>
        <w:rPr>
          <w:rFonts w:hAnsi="宋体" w:cs="宋体"/>
        </w:rPr>
        <w:t xml:space="preserve">  </w:t>
      </w:r>
      <w:r>
        <w:rPr>
          <w:rFonts w:hint="eastAsia"/>
        </w:rPr>
        <w:t>各类别（各级别）</w:t>
      </w:r>
      <w:r>
        <w:rPr>
          <w:rFonts w:hint="eastAsia" w:hAnsi="宋体"/>
          <w:spacing w:val="-4"/>
        </w:rPr>
        <w:t>烘青</w:t>
      </w:r>
      <w:r>
        <w:rPr>
          <w:rFonts w:hint="eastAsia"/>
          <w:lang w:eastAsia="zh-CN"/>
        </w:rPr>
        <w:t>陈年茉莉花茶</w:t>
      </w:r>
      <w:r>
        <w:rPr>
          <w:rFonts w:hint="eastAsia"/>
        </w:rPr>
        <w:t>感官品质</w:t>
      </w:r>
      <w:r>
        <w:t>应符合表</w:t>
      </w:r>
      <w:r>
        <w:rPr>
          <w:rFonts w:hint="eastAsia"/>
        </w:rPr>
        <w:t>1</w:t>
      </w:r>
      <w:r>
        <w:t>的</w:t>
      </w:r>
      <w:r>
        <w:rPr>
          <w:rFonts w:hint="eastAsia"/>
        </w:rPr>
        <w:t>规定</w:t>
      </w:r>
      <w:r>
        <w:t>。</w:t>
      </w:r>
    </w:p>
    <w:p>
      <w:pPr>
        <w:pStyle w:val="115"/>
        <w:spacing w:before="156" w:after="156"/>
        <w:rPr>
          <w:rFonts w:hint="default"/>
        </w:rPr>
      </w:pPr>
      <w:r>
        <w:rPr>
          <w:rFonts w:ascii="宋体" w:hAnsi="宋体"/>
          <w:spacing w:val="-4"/>
        </w:rPr>
        <w:t>烘青</w:t>
      </w:r>
      <w:r>
        <w:rPr>
          <w:rFonts w:hint="eastAsia"/>
          <w:lang w:eastAsia="zh-CN"/>
        </w:rPr>
        <w:t>陈年茉莉花茶</w:t>
      </w:r>
      <w:r>
        <w:t>感官品质要求</w:t>
      </w:r>
    </w:p>
    <w:tbl>
      <w:tblPr>
        <w:tblStyle w:val="21"/>
        <w:tblW w:w="9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457"/>
        <w:gridCol w:w="793"/>
        <w:gridCol w:w="645"/>
        <w:gridCol w:w="972"/>
        <w:gridCol w:w="1128"/>
        <w:gridCol w:w="1026"/>
        <w:gridCol w:w="1179"/>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45" w:type="dxa"/>
            <w:vMerge w:val="restart"/>
            <w:vAlign w:val="center"/>
          </w:tcPr>
          <w:p>
            <w:pPr>
              <w:pStyle w:val="131"/>
              <w:spacing w:line="240" w:lineRule="exact"/>
              <w:ind w:firstLine="0" w:firstLineChars="0"/>
              <w:jc w:val="center"/>
              <w:rPr>
                <w:rFonts w:ascii="宋体" w:hAnsi="宋体" w:cs="宋体"/>
                <w:sz w:val="18"/>
                <w:szCs w:val="18"/>
              </w:rPr>
            </w:pPr>
            <w:r>
              <w:rPr>
                <w:rFonts w:hint="eastAsia" w:ascii="宋体" w:hAnsi="宋体" w:cs="宋体"/>
                <w:sz w:val="18"/>
                <w:szCs w:val="18"/>
              </w:rPr>
              <w:t>类别</w:t>
            </w:r>
          </w:p>
          <w:p>
            <w:pPr>
              <w:pStyle w:val="131"/>
              <w:spacing w:line="240" w:lineRule="exact"/>
              <w:ind w:firstLine="0" w:firstLineChars="0"/>
              <w:jc w:val="center"/>
              <w:rPr>
                <w:rFonts w:ascii="宋体" w:hAnsi="宋体" w:cs="宋体"/>
                <w:sz w:val="18"/>
                <w:szCs w:val="18"/>
              </w:rPr>
            </w:pPr>
            <w:r>
              <w:rPr>
                <w:rFonts w:hint="eastAsia" w:ascii="宋体" w:hAnsi="宋体" w:cs="宋体"/>
                <w:sz w:val="18"/>
                <w:szCs w:val="18"/>
              </w:rPr>
              <w:t>（级别）</w:t>
            </w:r>
          </w:p>
        </w:tc>
        <w:tc>
          <w:tcPr>
            <w:tcW w:w="8677" w:type="dxa"/>
            <w:gridSpan w:val="8"/>
            <w:vAlign w:val="center"/>
          </w:tcPr>
          <w:p>
            <w:pPr>
              <w:pStyle w:val="131"/>
              <w:spacing w:line="240" w:lineRule="exact"/>
              <w:ind w:firstLine="0" w:firstLineChars="0"/>
              <w:jc w:val="center"/>
              <w:rPr>
                <w:rFonts w:ascii="宋体" w:hAnsi="宋体" w:cs="宋体"/>
                <w:sz w:val="18"/>
                <w:szCs w:val="18"/>
              </w:rPr>
            </w:pPr>
            <w:r>
              <w:rPr>
                <w:rFonts w:hint="eastAsia" w:ascii="宋体" w:hAnsi="宋体" w:cs="宋体"/>
                <w:sz w:val="18"/>
                <w:szCs w:val="18"/>
              </w:rPr>
              <w:t>项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45" w:type="dxa"/>
            <w:vMerge w:val="continue"/>
            <w:vAlign w:val="center"/>
          </w:tcPr>
          <w:p>
            <w:pPr>
              <w:pStyle w:val="131"/>
              <w:spacing w:line="240" w:lineRule="exact"/>
              <w:ind w:firstLine="0" w:firstLineChars="0"/>
              <w:jc w:val="center"/>
              <w:rPr>
                <w:rFonts w:ascii="宋体" w:hAnsi="宋体" w:cs="宋体"/>
                <w:sz w:val="18"/>
                <w:szCs w:val="18"/>
              </w:rPr>
            </w:pPr>
          </w:p>
        </w:tc>
        <w:tc>
          <w:tcPr>
            <w:tcW w:w="3867" w:type="dxa"/>
            <w:gridSpan w:val="4"/>
            <w:vAlign w:val="center"/>
          </w:tcPr>
          <w:p>
            <w:pPr>
              <w:pStyle w:val="131"/>
              <w:spacing w:line="240" w:lineRule="exact"/>
              <w:ind w:firstLine="0" w:firstLineChars="0"/>
              <w:jc w:val="center"/>
              <w:rPr>
                <w:rFonts w:ascii="宋体" w:hAnsi="宋体" w:cs="宋体"/>
                <w:sz w:val="18"/>
                <w:szCs w:val="18"/>
              </w:rPr>
            </w:pPr>
            <w:r>
              <w:rPr>
                <w:rFonts w:hint="eastAsia" w:ascii="宋体" w:hAnsi="宋体" w:cs="宋体"/>
                <w:sz w:val="18"/>
                <w:szCs w:val="18"/>
              </w:rPr>
              <w:t>外    形</w:t>
            </w:r>
          </w:p>
        </w:tc>
        <w:tc>
          <w:tcPr>
            <w:tcW w:w="4810" w:type="dxa"/>
            <w:gridSpan w:val="4"/>
            <w:vAlign w:val="center"/>
          </w:tcPr>
          <w:p>
            <w:pPr>
              <w:pStyle w:val="131"/>
              <w:spacing w:line="240" w:lineRule="exact"/>
              <w:ind w:firstLine="0" w:firstLineChars="0"/>
              <w:jc w:val="center"/>
              <w:rPr>
                <w:rFonts w:ascii="宋体" w:hAnsi="宋体" w:cs="宋体"/>
                <w:sz w:val="18"/>
                <w:szCs w:val="18"/>
              </w:rPr>
            </w:pPr>
            <w:r>
              <w:rPr>
                <w:rFonts w:hint="eastAsia" w:ascii="宋体" w:hAnsi="宋体" w:cs="宋体"/>
                <w:sz w:val="18"/>
                <w:szCs w:val="18"/>
              </w:rPr>
              <w:t>内    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45" w:type="dxa"/>
            <w:vMerge w:val="continue"/>
            <w:vAlign w:val="center"/>
          </w:tcPr>
          <w:p>
            <w:pPr>
              <w:pStyle w:val="131"/>
              <w:spacing w:line="240" w:lineRule="exact"/>
              <w:ind w:firstLine="0" w:firstLineChars="0"/>
              <w:jc w:val="center"/>
              <w:rPr>
                <w:rFonts w:ascii="宋体" w:hAnsi="宋体" w:cs="宋体"/>
                <w:sz w:val="18"/>
                <w:szCs w:val="18"/>
              </w:rPr>
            </w:pPr>
          </w:p>
        </w:tc>
        <w:tc>
          <w:tcPr>
            <w:tcW w:w="1457" w:type="dxa"/>
            <w:vAlign w:val="center"/>
          </w:tcPr>
          <w:p>
            <w:pPr>
              <w:pStyle w:val="131"/>
              <w:spacing w:line="240" w:lineRule="exact"/>
              <w:ind w:firstLine="0" w:firstLineChars="0"/>
              <w:jc w:val="center"/>
              <w:rPr>
                <w:rFonts w:ascii="宋体" w:hAnsi="宋体" w:cs="宋体"/>
                <w:sz w:val="18"/>
                <w:szCs w:val="18"/>
              </w:rPr>
            </w:pPr>
            <w:r>
              <w:rPr>
                <w:rFonts w:hint="eastAsia" w:ascii="宋体" w:hAnsi="宋体" w:cs="宋体"/>
                <w:sz w:val="18"/>
                <w:szCs w:val="18"/>
              </w:rPr>
              <w:t>形状</w:t>
            </w:r>
          </w:p>
        </w:tc>
        <w:tc>
          <w:tcPr>
            <w:tcW w:w="793" w:type="dxa"/>
            <w:vAlign w:val="center"/>
          </w:tcPr>
          <w:p>
            <w:pPr>
              <w:pStyle w:val="131"/>
              <w:spacing w:line="240" w:lineRule="exact"/>
              <w:ind w:firstLine="0" w:firstLineChars="0"/>
              <w:jc w:val="center"/>
              <w:rPr>
                <w:rFonts w:ascii="宋体" w:hAnsi="宋体" w:cs="宋体"/>
                <w:sz w:val="18"/>
                <w:szCs w:val="18"/>
              </w:rPr>
            </w:pPr>
            <w:r>
              <w:rPr>
                <w:rFonts w:hint="eastAsia" w:ascii="宋体" w:hAnsi="宋体" w:cs="宋体"/>
                <w:sz w:val="18"/>
                <w:szCs w:val="18"/>
              </w:rPr>
              <w:t>整碎</w:t>
            </w:r>
          </w:p>
        </w:tc>
        <w:tc>
          <w:tcPr>
            <w:tcW w:w="645" w:type="dxa"/>
            <w:vAlign w:val="center"/>
          </w:tcPr>
          <w:p>
            <w:pPr>
              <w:pStyle w:val="131"/>
              <w:spacing w:line="240" w:lineRule="exact"/>
              <w:ind w:firstLine="0" w:firstLineChars="0"/>
              <w:jc w:val="center"/>
              <w:rPr>
                <w:rFonts w:ascii="宋体" w:hAnsi="宋体" w:cs="宋体"/>
                <w:sz w:val="18"/>
                <w:szCs w:val="18"/>
              </w:rPr>
            </w:pPr>
            <w:r>
              <w:rPr>
                <w:rFonts w:hint="eastAsia" w:ascii="宋体" w:hAnsi="宋体" w:cs="宋体"/>
                <w:sz w:val="18"/>
                <w:szCs w:val="18"/>
              </w:rPr>
              <w:t>净度</w:t>
            </w:r>
          </w:p>
        </w:tc>
        <w:tc>
          <w:tcPr>
            <w:tcW w:w="972" w:type="dxa"/>
            <w:vAlign w:val="center"/>
          </w:tcPr>
          <w:p>
            <w:pPr>
              <w:pStyle w:val="131"/>
              <w:spacing w:line="240" w:lineRule="exact"/>
              <w:ind w:firstLine="0" w:firstLineChars="0"/>
              <w:jc w:val="center"/>
              <w:rPr>
                <w:rFonts w:ascii="宋体" w:hAnsi="宋体" w:cs="宋体"/>
                <w:sz w:val="18"/>
                <w:szCs w:val="18"/>
              </w:rPr>
            </w:pPr>
            <w:r>
              <w:rPr>
                <w:rFonts w:hint="eastAsia" w:ascii="宋体" w:hAnsi="宋体" w:cs="宋体"/>
                <w:sz w:val="18"/>
                <w:szCs w:val="18"/>
              </w:rPr>
              <w:t>色泽</w:t>
            </w:r>
          </w:p>
        </w:tc>
        <w:tc>
          <w:tcPr>
            <w:tcW w:w="1128" w:type="dxa"/>
            <w:vAlign w:val="center"/>
          </w:tcPr>
          <w:p>
            <w:pPr>
              <w:pStyle w:val="131"/>
              <w:spacing w:line="240" w:lineRule="exact"/>
              <w:ind w:firstLine="0" w:firstLineChars="0"/>
              <w:jc w:val="center"/>
              <w:rPr>
                <w:rFonts w:ascii="宋体" w:hAnsi="宋体" w:cs="宋体"/>
                <w:sz w:val="18"/>
                <w:szCs w:val="18"/>
              </w:rPr>
            </w:pPr>
            <w:r>
              <w:rPr>
                <w:rFonts w:hint="eastAsia" w:ascii="宋体" w:hAnsi="宋体" w:cs="宋体"/>
                <w:sz w:val="18"/>
                <w:szCs w:val="18"/>
              </w:rPr>
              <w:t>香气</w:t>
            </w:r>
          </w:p>
        </w:tc>
        <w:tc>
          <w:tcPr>
            <w:tcW w:w="1026" w:type="dxa"/>
            <w:vAlign w:val="center"/>
          </w:tcPr>
          <w:p>
            <w:pPr>
              <w:pStyle w:val="131"/>
              <w:spacing w:line="240" w:lineRule="exact"/>
              <w:ind w:firstLine="0" w:firstLineChars="0"/>
              <w:jc w:val="center"/>
              <w:rPr>
                <w:rFonts w:ascii="宋体" w:hAnsi="宋体" w:cs="宋体"/>
                <w:sz w:val="18"/>
                <w:szCs w:val="18"/>
              </w:rPr>
            </w:pPr>
            <w:r>
              <w:rPr>
                <w:rFonts w:hint="eastAsia" w:ascii="宋体" w:hAnsi="宋体" w:cs="宋体"/>
                <w:sz w:val="18"/>
                <w:szCs w:val="18"/>
              </w:rPr>
              <w:t>滋味</w:t>
            </w:r>
          </w:p>
        </w:tc>
        <w:tc>
          <w:tcPr>
            <w:tcW w:w="1179" w:type="dxa"/>
            <w:vAlign w:val="center"/>
          </w:tcPr>
          <w:p>
            <w:pPr>
              <w:pStyle w:val="131"/>
              <w:spacing w:line="240" w:lineRule="exact"/>
              <w:ind w:firstLine="0" w:firstLineChars="0"/>
              <w:jc w:val="center"/>
              <w:rPr>
                <w:rFonts w:ascii="宋体" w:hAnsi="宋体" w:cs="宋体"/>
                <w:sz w:val="18"/>
                <w:szCs w:val="18"/>
              </w:rPr>
            </w:pPr>
            <w:r>
              <w:rPr>
                <w:rFonts w:hint="eastAsia" w:ascii="宋体" w:hAnsi="宋体" w:cs="宋体"/>
                <w:sz w:val="18"/>
                <w:szCs w:val="18"/>
              </w:rPr>
              <w:t>汤色</w:t>
            </w:r>
          </w:p>
        </w:tc>
        <w:tc>
          <w:tcPr>
            <w:tcW w:w="1477" w:type="dxa"/>
            <w:vAlign w:val="center"/>
          </w:tcPr>
          <w:p>
            <w:pPr>
              <w:pStyle w:val="131"/>
              <w:spacing w:line="240" w:lineRule="exact"/>
              <w:ind w:firstLine="0" w:firstLineChars="0"/>
              <w:jc w:val="center"/>
              <w:rPr>
                <w:rFonts w:ascii="宋体" w:hAnsi="宋体" w:cs="宋体"/>
                <w:sz w:val="18"/>
                <w:szCs w:val="18"/>
              </w:rPr>
            </w:pPr>
            <w:r>
              <w:rPr>
                <w:rFonts w:hint="eastAsia" w:ascii="宋体" w:hAnsi="宋体" w:cs="宋体"/>
                <w:sz w:val="18"/>
                <w:szCs w:val="18"/>
              </w:rPr>
              <w:t>叶底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5" w:type="dxa"/>
            <w:vAlign w:val="center"/>
          </w:tcPr>
          <w:p>
            <w:pPr>
              <w:spacing w:line="240" w:lineRule="exact"/>
              <w:ind w:left="-86" w:leftChars="-41" w:right="-130" w:rightChars="-62"/>
              <w:jc w:val="center"/>
              <w:rPr>
                <w:rFonts w:hint="default" w:hAnsi="宋体"/>
                <w:sz w:val="18"/>
                <w:szCs w:val="18"/>
              </w:rPr>
            </w:pPr>
            <w:r>
              <w:rPr>
                <w:rFonts w:hAnsi="宋体"/>
                <w:sz w:val="18"/>
                <w:szCs w:val="18"/>
              </w:rPr>
              <w:t>造型茶</w:t>
            </w:r>
          </w:p>
        </w:tc>
        <w:tc>
          <w:tcPr>
            <w:tcW w:w="1457" w:type="dxa"/>
            <w:vAlign w:val="center"/>
          </w:tcPr>
          <w:p>
            <w:pPr>
              <w:pStyle w:val="131"/>
              <w:spacing w:line="240" w:lineRule="exact"/>
              <w:ind w:firstLine="0" w:firstLineChars="0"/>
              <w:rPr>
                <w:rFonts w:ascii="宋体" w:hAnsi="宋体" w:cs="宋体"/>
                <w:sz w:val="18"/>
                <w:szCs w:val="18"/>
              </w:rPr>
            </w:pPr>
            <w:r>
              <w:rPr>
                <w:rFonts w:hint="eastAsia" w:ascii="宋体" w:hAnsi="宋体" w:cs="宋体"/>
                <w:sz w:val="18"/>
                <w:szCs w:val="18"/>
              </w:rPr>
              <w:t>针形、兰花形或其它特殊造型</w:t>
            </w:r>
          </w:p>
        </w:tc>
        <w:tc>
          <w:tcPr>
            <w:tcW w:w="793" w:type="dxa"/>
            <w:vAlign w:val="center"/>
          </w:tcPr>
          <w:p>
            <w:pPr>
              <w:pStyle w:val="131"/>
              <w:spacing w:line="240" w:lineRule="exact"/>
              <w:ind w:firstLine="0" w:firstLineChars="0"/>
              <w:jc w:val="center"/>
              <w:rPr>
                <w:rFonts w:ascii="宋体" w:hAnsi="宋体" w:cs="宋体"/>
                <w:sz w:val="18"/>
                <w:szCs w:val="18"/>
              </w:rPr>
            </w:pPr>
            <w:r>
              <w:rPr>
                <w:rFonts w:hint="eastAsia" w:ascii="宋体" w:hAnsi="宋体" w:cs="宋体"/>
                <w:sz w:val="18"/>
                <w:szCs w:val="18"/>
              </w:rPr>
              <w:t>匀整</w:t>
            </w:r>
          </w:p>
        </w:tc>
        <w:tc>
          <w:tcPr>
            <w:tcW w:w="645" w:type="dxa"/>
            <w:vAlign w:val="center"/>
          </w:tcPr>
          <w:p>
            <w:pPr>
              <w:pStyle w:val="131"/>
              <w:spacing w:line="240" w:lineRule="exact"/>
              <w:ind w:firstLine="0" w:firstLineChars="0"/>
              <w:jc w:val="center"/>
              <w:rPr>
                <w:rFonts w:ascii="宋体" w:hAnsi="宋体" w:cs="宋体"/>
                <w:sz w:val="18"/>
                <w:szCs w:val="18"/>
              </w:rPr>
            </w:pPr>
            <w:r>
              <w:rPr>
                <w:rFonts w:hint="eastAsia" w:ascii="宋体" w:hAnsi="宋体" w:cs="宋体"/>
                <w:sz w:val="18"/>
                <w:szCs w:val="18"/>
              </w:rPr>
              <w:t>洁净</w:t>
            </w:r>
          </w:p>
        </w:tc>
        <w:tc>
          <w:tcPr>
            <w:tcW w:w="972" w:type="dxa"/>
            <w:vAlign w:val="center"/>
          </w:tcPr>
          <w:p>
            <w:pPr>
              <w:pStyle w:val="131"/>
              <w:spacing w:line="240" w:lineRule="exact"/>
              <w:ind w:firstLine="0" w:firstLineChars="0"/>
              <w:jc w:val="center"/>
              <w:rPr>
                <w:rFonts w:ascii="宋体" w:hAnsi="宋体" w:cs="宋体"/>
                <w:sz w:val="18"/>
                <w:szCs w:val="18"/>
              </w:rPr>
            </w:pPr>
            <w:r>
              <w:rPr>
                <w:rFonts w:hint="eastAsia" w:ascii="宋体" w:hAnsi="宋体" w:cs="宋体"/>
                <w:sz w:val="18"/>
                <w:szCs w:val="18"/>
              </w:rPr>
              <w:t>黄褐</w:t>
            </w:r>
          </w:p>
          <w:p>
            <w:pPr>
              <w:pStyle w:val="131"/>
              <w:spacing w:line="240" w:lineRule="exact"/>
              <w:ind w:firstLine="0" w:firstLineChars="0"/>
              <w:jc w:val="center"/>
              <w:rPr>
                <w:rFonts w:ascii="宋体" w:hAnsi="宋体" w:cs="宋体"/>
                <w:sz w:val="18"/>
                <w:szCs w:val="18"/>
              </w:rPr>
            </w:pPr>
            <w:r>
              <w:rPr>
                <w:rFonts w:hAnsi="宋体"/>
                <w:sz w:val="18"/>
                <w:szCs w:val="18"/>
              </w:rPr>
              <w:t>至红褐</w:t>
            </w:r>
          </w:p>
        </w:tc>
        <w:tc>
          <w:tcPr>
            <w:tcW w:w="1128" w:type="dxa"/>
            <w:vAlign w:val="center"/>
          </w:tcPr>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花香持久</w:t>
            </w:r>
          </w:p>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陈香浓</w:t>
            </w:r>
          </w:p>
        </w:tc>
        <w:tc>
          <w:tcPr>
            <w:tcW w:w="1026" w:type="dxa"/>
            <w:vAlign w:val="center"/>
          </w:tcPr>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醇</w:t>
            </w:r>
            <w:r>
              <w:rPr>
                <w:rFonts w:hint="eastAsia" w:ascii="宋体" w:hAnsi="宋体" w:cs="宋体"/>
                <w:color w:val="000000" w:themeColor="text1"/>
                <w:sz w:val="18"/>
                <w:szCs w:val="18"/>
                <w14:textFill>
                  <w14:solidFill>
                    <w14:schemeClr w14:val="tx1"/>
                  </w14:solidFill>
                </w14:textFill>
              </w:rPr>
              <w:t>厚</w:t>
            </w:r>
            <w:r>
              <w:rPr>
                <w:rFonts w:ascii="宋体" w:hAnsi="宋体" w:cs="宋体"/>
                <w:color w:val="000000" w:themeColor="text1"/>
                <w:sz w:val="18"/>
                <w:szCs w:val="18"/>
                <w14:textFill>
                  <w14:solidFill>
                    <w14:schemeClr w14:val="tx1"/>
                  </w14:solidFill>
                </w14:textFill>
              </w:rPr>
              <w:t>甘滑陈</w:t>
            </w:r>
            <w:r>
              <w:rPr>
                <w:rFonts w:hint="eastAsia" w:ascii="宋体" w:hAnsi="宋体" w:cs="宋体"/>
                <w:color w:val="000000" w:themeColor="text1"/>
                <w:sz w:val="18"/>
                <w:szCs w:val="18"/>
                <w14:textFill>
                  <w14:solidFill>
                    <w14:schemeClr w14:val="tx1"/>
                  </w14:solidFill>
                </w14:textFill>
              </w:rPr>
              <w:t>韵显</w:t>
            </w:r>
          </w:p>
        </w:tc>
        <w:tc>
          <w:tcPr>
            <w:tcW w:w="1179" w:type="dxa"/>
            <w:vAlign w:val="center"/>
          </w:tcPr>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黄至橙黄</w:t>
            </w:r>
          </w:p>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清澈明亮</w:t>
            </w:r>
          </w:p>
        </w:tc>
        <w:tc>
          <w:tcPr>
            <w:tcW w:w="1477" w:type="dxa"/>
            <w:vAlign w:val="center"/>
          </w:tcPr>
          <w:p>
            <w:pPr>
              <w:pStyle w:val="131"/>
              <w:spacing w:line="240" w:lineRule="exact"/>
              <w:ind w:firstLine="0" w:firstLineChars="0"/>
              <w:jc w:val="center"/>
              <w:rPr>
                <w:rFonts w:ascii="宋体" w:hAnsi="宋体" w:cs="宋体"/>
                <w:sz w:val="18"/>
                <w:szCs w:val="18"/>
              </w:rPr>
            </w:pPr>
            <w:r>
              <w:rPr>
                <w:rFonts w:hint="eastAsia" w:ascii="宋体" w:hAnsi="宋体" w:cs="宋体"/>
                <w:sz w:val="18"/>
                <w:szCs w:val="18"/>
              </w:rPr>
              <w:t>黄绿</w:t>
            </w:r>
            <w:r>
              <w:rPr>
                <w:rFonts w:hint="eastAsia" w:ascii="宋体" w:hAnsi="宋体" w:cs="宋体"/>
                <w:color w:val="000000" w:themeColor="text1"/>
                <w:sz w:val="18"/>
                <w:szCs w:val="18"/>
                <w14:textFill>
                  <w14:solidFill>
                    <w14:schemeClr w14:val="tx1"/>
                  </w14:solidFill>
                </w14:textFill>
              </w:rPr>
              <w:t>至橙黄</w:t>
            </w:r>
            <w:r>
              <w:rPr>
                <w:rFonts w:hint="eastAsia" w:ascii="宋体" w:hAnsi="宋体" w:cs="宋体"/>
                <w:sz w:val="18"/>
                <w:szCs w:val="18"/>
              </w:rPr>
              <w:t>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5" w:type="dxa"/>
            <w:vAlign w:val="center"/>
          </w:tcPr>
          <w:p>
            <w:pPr>
              <w:spacing w:line="240" w:lineRule="exact"/>
              <w:ind w:left="-86" w:leftChars="-41" w:right="-134" w:rightChars="-64"/>
              <w:jc w:val="center"/>
              <w:rPr>
                <w:rFonts w:hint="default" w:hAnsi="宋体"/>
                <w:sz w:val="18"/>
                <w:szCs w:val="18"/>
              </w:rPr>
            </w:pPr>
            <w:r>
              <w:rPr>
                <w:rFonts w:hAnsi="宋体"/>
                <w:sz w:val="18"/>
                <w:szCs w:val="18"/>
              </w:rPr>
              <w:t>大白毫</w:t>
            </w:r>
          </w:p>
        </w:tc>
        <w:tc>
          <w:tcPr>
            <w:tcW w:w="1457" w:type="dxa"/>
            <w:vAlign w:val="center"/>
          </w:tcPr>
          <w:p>
            <w:pPr>
              <w:pStyle w:val="131"/>
              <w:spacing w:line="240" w:lineRule="exact"/>
              <w:ind w:firstLine="0" w:firstLineChars="0"/>
              <w:rPr>
                <w:rFonts w:ascii="宋体" w:hAnsi="宋体" w:cs="宋体"/>
                <w:color w:val="FF0000"/>
                <w:sz w:val="18"/>
                <w:szCs w:val="18"/>
              </w:rPr>
            </w:pPr>
            <w:r>
              <w:rPr>
                <w:rFonts w:hint="eastAsia" w:ascii="宋体" w:hAnsi="宋体" w:cs="宋体"/>
                <w:sz w:val="18"/>
                <w:szCs w:val="18"/>
              </w:rPr>
              <w:t>肥壮紧直重实，满披毫</w:t>
            </w:r>
          </w:p>
        </w:tc>
        <w:tc>
          <w:tcPr>
            <w:tcW w:w="793" w:type="dxa"/>
            <w:vAlign w:val="center"/>
          </w:tcPr>
          <w:p>
            <w:pPr>
              <w:pStyle w:val="131"/>
              <w:spacing w:line="240" w:lineRule="exact"/>
              <w:ind w:firstLine="0" w:firstLineChars="0"/>
              <w:jc w:val="center"/>
              <w:rPr>
                <w:rFonts w:ascii="宋体" w:hAnsi="宋体" w:cs="宋体"/>
                <w:sz w:val="18"/>
                <w:szCs w:val="18"/>
              </w:rPr>
            </w:pPr>
            <w:r>
              <w:rPr>
                <w:rFonts w:hint="eastAsia" w:ascii="宋体" w:hAnsi="宋体" w:cs="宋体"/>
                <w:sz w:val="18"/>
                <w:szCs w:val="18"/>
              </w:rPr>
              <w:t>匀整</w:t>
            </w:r>
          </w:p>
        </w:tc>
        <w:tc>
          <w:tcPr>
            <w:tcW w:w="645" w:type="dxa"/>
            <w:vAlign w:val="center"/>
          </w:tcPr>
          <w:p>
            <w:pPr>
              <w:pStyle w:val="131"/>
              <w:spacing w:line="240" w:lineRule="exact"/>
              <w:ind w:firstLine="0" w:firstLineChars="0"/>
              <w:jc w:val="center"/>
              <w:rPr>
                <w:rFonts w:ascii="宋体" w:hAnsi="宋体" w:cs="宋体"/>
                <w:sz w:val="18"/>
                <w:szCs w:val="18"/>
              </w:rPr>
            </w:pPr>
            <w:r>
              <w:rPr>
                <w:rFonts w:hint="eastAsia" w:ascii="宋体" w:hAnsi="宋体" w:cs="宋体"/>
                <w:sz w:val="18"/>
                <w:szCs w:val="18"/>
              </w:rPr>
              <w:t>洁净</w:t>
            </w:r>
          </w:p>
        </w:tc>
        <w:tc>
          <w:tcPr>
            <w:tcW w:w="972" w:type="dxa"/>
            <w:vAlign w:val="center"/>
          </w:tcPr>
          <w:p>
            <w:pPr>
              <w:pStyle w:val="131"/>
              <w:spacing w:line="240" w:lineRule="exact"/>
              <w:ind w:firstLine="0" w:firstLineChars="0"/>
              <w:jc w:val="center"/>
              <w:rPr>
                <w:rFonts w:ascii="宋体" w:hAnsi="宋体" w:cs="宋体"/>
                <w:sz w:val="18"/>
                <w:szCs w:val="18"/>
              </w:rPr>
            </w:pPr>
            <w:r>
              <w:rPr>
                <w:rFonts w:hint="eastAsia" w:ascii="宋体" w:hAnsi="宋体" w:cs="宋体"/>
                <w:sz w:val="18"/>
                <w:szCs w:val="18"/>
              </w:rPr>
              <w:t>黄褐</w:t>
            </w:r>
          </w:p>
          <w:p>
            <w:pPr>
              <w:pStyle w:val="131"/>
              <w:spacing w:line="240" w:lineRule="exact"/>
              <w:ind w:firstLine="0" w:firstLineChars="0"/>
              <w:jc w:val="center"/>
              <w:rPr>
                <w:rFonts w:ascii="宋体" w:hAnsi="宋体" w:cs="宋体"/>
                <w:sz w:val="18"/>
                <w:szCs w:val="18"/>
              </w:rPr>
            </w:pPr>
            <w:r>
              <w:rPr>
                <w:rFonts w:hAnsi="宋体"/>
                <w:sz w:val="18"/>
                <w:szCs w:val="18"/>
              </w:rPr>
              <w:t>至红褐</w:t>
            </w:r>
          </w:p>
        </w:tc>
        <w:tc>
          <w:tcPr>
            <w:tcW w:w="1128" w:type="dxa"/>
            <w:vAlign w:val="center"/>
          </w:tcPr>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花香持久</w:t>
            </w:r>
          </w:p>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陈香浓</w:t>
            </w:r>
          </w:p>
        </w:tc>
        <w:tc>
          <w:tcPr>
            <w:tcW w:w="1026" w:type="dxa"/>
            <w:vAlign w:val="center"/>
          </w:tcPr>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醇</w:t>
            </w:r>
            <w:r>
              <w:rPr>
                <w:rFonts w:hint="eastAsia" w:ascii="宋体" w:hAnsi="宋体" w:cs="宋体"/>
                <w:color w:val="000000" w:themeColor="text1"/>
                <w:sz w:val="18"/>
                <w:szCs w:val="18"/>
                <w14:textFill>
                  <w14:solidFill>
                    <w14:schemeClr w14:val="tx1"/>
                  </w14:solidFill>
                </w14:textFill>
              </w:rPr>
              <w:t>厚</w:t>
            </w:r>
            <w:r>
              <w:rPr>
                <w:rFonts w:ascii="宋体" w:hAnsi="宋体" w:cs="宋体"/>
                <w:color w:val="000000" w:themeColor="text1"/>
                <w:sz w:val="18"/>
                <w:szCs w:val="18"/>
                <w14:textFill>
                  <w14:solidFill>
                    <w14:schemeClr w14:val="tx1"/>
                  </w14:solidFill>
                </w14:textFill>
              </w:rPr>
              <w:t>甘滑陈</w:t>
            </w:r>
            <w:r>
              <w:rPr>
                <w:rFonts w:hint="eastAsia" w:ascii="宋体" w:hAnsi="宋体" w:cs="宋体"/>
                <w:color w:val="000000" w:themeColor="text1"/>
                <w:sz w:val="18"/>
                <w:szCs w:val="18"/>
                <w14:textFill>
                  <w14:solidFill>
                    <w14:schemeClr w14:val="tx1"/>
                  </w14:solidFill>
                </w14:textFill>
              </w:rPr>
              <w:t>韵显</w:t>
            </w:r>
          </w:p>
        </w:tc>
        <w:tc>
          <w:tcPr>
            <w:tcW w:w="1179" w:type="dxa"/>
            <w:vAlign w:val="center"/>
          </w:tcPr>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黄至橙黄</w:t>
            </w:r>
          </w:p>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清澈明亮</w:t>
            </w:r>
          </w:p>
        </w:tc>
        <w:tc>
          <w:tcPr>
            <w:tcW w:w="1477" w:type="dxa"/>
            <w:vAlign w:val="center"/>
          </w:tcPr>
          <w:p>
            <w:pPr>
              <w:pStyle w:val="131"/>
              <w:spacing w:line="240" w:lineRule="exact"/>
              <w:ind w:firstLine="0" w:firstLineChars="0"/>
              <w:jc w:val="center"/>
              <w:rPr>
                <w:rFonts w:ascii="宋体" w:hAnsi="宋体" w:cs="宋体"/>
                <w:sz w:val="18"/>
                <w:szCs w:val="18"/>
              </w:rPr>
            </w:pPr>
            <w:r>
              <w:rPr>
                <w:rFonts w:hint="eastAsia" w:ascii="宋体" w:hAnsi="宋体" w:cs="宋体"/>
                <w:sz w:val="18"/>
                <w:szCs w:val="18"/>
              </w:rPr>
              <w:t>肥嫩多芽，黄绿</w:t>
            </w:r>
            <w:r>
              <w:rPr>
                <w:rFonts w:hint="eastAsia" w:ascii="宋体" w:hAnsi="宋体" w:cs="宋体"/>
                <w:color w:val="000000" w:themeColor="text1"/>
                <w:sz w:val="18"/>
                <w:szCs w:val="18"/>
                <w14:textFill>
                  <w14:solidFill>
                    <w14:schemeClr w14:val="tx1"/>
                  </w14:solidFill>
                </w14:textFill>
              </w:rPr>
              <w:t>至橙黄</w:t>
            </w:r>
            <w:r>
              <w:rPr>
                <w:rFonts w:hint="eastAsia" w:ascii="宋体" w:hAnsi="宋体" w:cs="宋体"/>
                <w:sz w:val="18"/>
                <w:szCs w:val="18"/>
              </w:rPr>
              <w:t>匀亮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5" w:type="dxa"/>
            <w:vAlign w:val="center"/>
          </w:tcPr>
          <w:p>
            <w:pPr>
              <w:spacing w:line="240" w:lineRule="exact"/>
              <w:jc w:val="center"/>
              <w:rPr>
                <w:rFonts w:hint="default" w:hAnsi="宋体"/>
                <w:sz w:val="18"/>
                <w:szCs w:val="18"/>
              </w:rPr>
            </w:pPr>
            <w:r>
              <w:rPr>
                <w:rFonts w:hAnsi="宋体"/>
                <w:sz w:val="18"/>
                <w:szCs w:val="18"/>
              </w:rPr>
              <w:t>毛尖</w:t>
            </w:r>
          </w:p>
        </w:tc>
        <w:tc>
          <w:tcPr>
            <w:tcW w:w="1457" w:type="dxa"/>
            <w:vAlign w:val="center"/>
          </w:tcPr>
          <w:p>
            <w:pPr>
              <w:pStyle w:val="131"/>
              <w:spacing w:line="240" w:lineRule="exact"/>
              <w:ind w:firstLine="0" w:firstLineChars="0"/>
              <w:rPr>
                <w:rFonts w:ascii="宋体" w:hAnsi="宋体" w:cs="宋体"/>
                <w:sz w:val="18"/>
                <w:szCs w:val="18"/>
              </w:rPr>
            </w:pPr>
            <w:r>
              <w:rPr>
                <w:rFonts w:hint="eastAsia" w:ascii="宋体" w:hAnsi="宋体" w:cs="宋体"/>
                <w:sz w:val="18"/>
                <w:szCs w:val="18"/>
              </w:rPr>
              <w:t>毫芽细秀紧结平伏，毫显露</w:t>
            </w:r>
          </w:p>
        </w:tc>
        <w:tc>
          <w:tcPr>
            <w:tcW w:w="793" w:type="dxa"/>
            <w:vAlign w:val="center"/>
          </w:tcPr>
          <w:p>
            <w:pPr>
              <w:pStyle w:val="131"/>
              <w:spacing w:line="240" w:lineRule="exact"/>
              <w:ind w:firstLine="0" w:firstLineChars="0"/>
              <w:jc w:val="center"/>
              <w:rPr>
                <w:rFonts w:ascii="宋体" w:hAnsi="宋体" w:cs="宋体"/>
                <w:sz w:val="18"/>
                <w:szCs w:val="18"/>
              </w:rPr>
            </w:pPr>
            <w:r>
              <w:rPr>
                <w:rFonts w:hint="eastAsia" w:ascii="宋体" w:hAnsi="宋体" w:cs="宋体"/>
                <w:sz w:val="18"/>
                <w:szCs w:val="18"/>
              </w:rPr>
              <w:t>匀整</w:t>
            </w:r>
          </w:p>
        </w:tc>
        <w:tc>
          <w:tcPr>
            <w:tcW w:w="645" w:type="dxa"/>
            <w:vAlign w:val="center"/>
          </w:tcPr>
          <w:p>
            <w:pPr>
              <w:pStyle w:val="131"/>
              <w:spacing w:line="240" w:lineRule="exact"/>
              <w:ind w:firstLine="0" w:firstLineChars="0"/>
              <w:jc w:val="center"/>
              <w:rPr>
                <w:rFonts w:ascii="宋体" w:hAnsi="宋体" w:cs="宋体"/>
                <w:sz w:val="18"/>
                <w:szCs w:val="18"/>
              </w:rPr>
            </w:pPr>
            <w:r>
              <w:rPr>
                <w:rFonts w:hint="eastAsia" w:ascii="宋体" w:hAnsi="宋体" w:cs="宋体"/>
                <w:sz w:val="18"/>
                <w:szCs w:val="18"/>
              </w:rPr>
              <w:t>洁净</w:t>
            </w:r>
          </w:p>
        </w:tc>
        <w:tc>
          <w:tcPr>
            <w:tcW w:w="972" w:type="dxa"/>
            <w:vAlign w:val="center"/>
          </w:tcPr>
          <w:p>
            <w:pPr>
              <w:pStyle w:val="131"/>
              <w:spacing w:line="240" w:lineRule="exact"/>
              <w:ind w:firstLine="0" w:firstLineChars="0"/>
              <w:jc w:val="center"/>
              <w:rPr>
                <w:rFonts w:ascii="宋体" w:hAnsi="宋体" w:cs="宋体"/>
                <w:sz w:val="18"/>
                <w:szCs w:val="18"/>
              </w:rPr>
            </w:pPr>
            <w:r>
              <w:rPr>
                <w:rFonts w:hint="eastAsia" w:ascii="宋体" w:hAnsi="宋体" w:cs="宋体"/>
                <w:sz w:val="18"/>
                <w:szCs w:val="18"/>
              </w:rPr>
              <w:t>黄褐</w:t>
            </w:r>
          </w:p>
          <w:p>
            <w:pPr>
              <w:pStyle w:val="131"/>
              <w:spacing w:line="240" w:lineRule="exact"/>
              <w:ind w:firstLine="0" w:firstLineChars="0"/>
              <w:jc w:val="center"/>
              <w:rPr>
                <w:rFonts w:ascii="宋体" w:hAnsi="宋体" w:cs="宋体"/>
                <w:sz w:val="18"/>
                <w:szCs w:val="18"/>
              </w:rPr>
            </w:pPr>
            <w:r>
              <w:rPr>
                <w:rFonts w:hAnsi="宋体"/>
                <w:sz w:val="18"/>
                <w:szCs w:val="18"/>
              </w:rPr>
              <w:t>至红褐</w:t>
            </w:r>
          </w:p>
        </w:tc>
        <w:tc>
          <w:tcPr>
            <w:tcW w:w="1128" w:type="dxa"/>
            <w:vAlign w:val="center"/>
          </w:tcPr>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花香持久</w:t>
            </w:r>
          </w:p>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陈香浓</w:t>
            </w:r>
          </w:p>
        </w:tc>
        <w:tc>
          <w:tcPr>
            <w:tcW w:w="1026" w:type="dxa"/>
            <w:vAlign w:val="center"/>
          </w:tcPr>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醇</w:t>
            </w:r>
            <w:r>
              <w:rPr>
                <w:rFonts w:hint="eastAsia" w:ascii="宋体" w:hAnsi="宋体" w:cs="宋体"/>
                <w:color w:val="000000" w:themeColor="text1"/>
                <w:sz w:val="18"/>
                <w:szCs w:val="18"/>
                <w14:textFill>
                  <w14:solidFill>
                    <w14:schemeClr w14:val="tx1"/>
                  </w14:solidFill>
                </w14:textFill>
              </w:rPr>
              <w:t>厚</w:t>
            </w:r>
            <w:r>
              <w:rPr>
                <w:rFonts w:ascii="宋体" w:hAnsi="宋体" w:cs="宋体"/>
                <w:color w:val="000000" w:themeColor="text1"/>
                <w:sz w:val="18"/>
                <w:szCs w:val="18"/>
                <w14:textFill>
                  <w14:solidFill>
                    <w14:schemeClr w14:val="tx1"/>
                  </w14:solidFill>
                </w14:textFill>
              </w:rPr>
              <w:t>甘滑陈</w:t>
            </w:r>
            <w:r>
              <w:rPr>
                <w:rFonts w:hint="eastAsia" w:ascii="宋体" w:hAnsi="宋体" w:cs="宋体"/>
                <w:color w:val="000000" w:themeColor="text1"/>
                <w:sz w:val="18"/>
                <w:szCs w:val="18"/>
                <w14:textFill>
                  <w14:solidFill>
                    <w14:schemeClr w14:val="tx1"/>
                  </w14:solidFill>
                </w14:textFill>
              </w:rPr>
              <w:t>韵显</w:t>
            </w:r>
          </w:p>
        </w:tc>
        <w:tc>
          <w:tcPr>
            <w:tcW w:w="1179" w:type="dxa"/>
            <w:vAlign w:val="center"/>
          </w:tcPr>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黄至橙黄</w:t>
            </w:r>
          </w:p>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明亮</w:t>
            </w:r>
          </w:p>
        </w:tc>
        <w:tc>
          <w:tcPr>
            <w:tcW w:w="1477" w:type="dxa"/>
            <w:vAlign w:val="center"/>
          </w:tcPr>
          <w:p>
            <w:pPr>
              <w:pStyle w:val="131"/>
              <w:spacing w:line="240" w:lineRule="exact"/>
              <w:ind w:firstLine="0" w:firstLineChars="0"/>
              <w:jc w:val="center"/>
              <w:rPr>
                <w:rFonts w:ascii="宋体" w:hAnsi="宋体" w:cs="宋体"/>
                <w:sz w:val="18"/>
                <w:szCs w:val="18"/>
              </w:rPr>
            </w:pPr>
            <w:r>
              <w:rPr>
                <w:rFonts w:hint="eastAsia" w:ascii="宋体" w:hAnsi="宋体" w:cs="宋体"/>
                <w:sz w:val="18"/>
                <w:szCs w:val="18"/>
              </w:rPr>
              <w:t>细嫩显芽，黄绿</w:t>
            </w:r>
            <w:r>
              <w:rPr>
                <w:rFonts w:hint="eastAsia" w:ascii="宋体" w:hAnsi="宋体" w:cs="宋体"/>
                <w:color w:val="000000" w:themeColor="text1"/>
                <w:sz w:val="18"/>
                <w:szCs w:val="18"/>
                <w14:textFill>
                  <w14:solidFill>
                    <w14:schemeClr w14:val="tx1"/>
                  </w14:solidFill>
                </w14:textFill>
              </w:rPr>
              <w:t>至橙黄</w:t>
            </w:r>
            <w:r>
              <w:rPr>
                <w:rFonts w:hint="eastAsia" w:ascii="宋体" w:hAnsi="宋体" w:cs="宋体"/>
                <w:sz w:val="18"/>
                <w:szCs w:val="18"/>
              </w:rPr>
              <w:t>匀亮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5" w:type="dxa"/>
            <w:vAlign w:val="center"/>
          </w:tcPr>
          <w:p>
            <w:pPr>
              <w:spacing w:line="240" w:lineRule="exact"/>
              <w:jc w:val="center"/>
              <w:rPr>
                <w:rFonts w:hint="default" w:hAnsi="宋体"/>
                <w:sz w:val="18"/>
                <w:szCs w:val="18"/>
              </w:rPr>
            </w:pPr>
            <w:r>
              <w:rPr>
                <w:rFonts w:hAnsi="宋体"/>
                <w:sz w:val="18"/>
                <w:szCs w:val="18"/>
              </w:rPr>
              <w:t>毛峰</w:t>
            </w:r>
          </w:p>
        </w:tc>
        <w:tc>
          <w:tcPr>
            <w:tcW w:w="1457" w:type="dxa"/>
            <w:vAlign w:val="center"/>
          </w:tcPr>
          <w:p>
            <w:pPr>
              <w:pStyle w:val="131"/>
              <w:spacing w:line="240" w:lineRule="exact"/>
              <w:ind w:firstLine="0" w:firstLineChars="0"/>
              <w:rPr>
                <w:rFonts w:ascii="宋体" w:hAnsi="宋体" w:cs="宋体"/>
                <w:sz w:val="18"/>
                <w:szCs w:val="18"/>
              </w:rPr>
            </w:pPr>
            <w:r>
              <w:rPr>
                <w:rFonts w:hint="eastAsia" w:ascii="宋体" w:hAnsi="宋体" w:cs="宋体"/>
                <w:sz w:val="18"/>
                <w:szCs w:val="18"/>
              </w:rPr>
              <w:t>紧结肥壮锋毫显露</w:t>
            </w:r>
          </w:p>
        </w:tc>
        <w:tc>
          <w:tcPr>
            <w:tcW w:w="793" w:type="dxa"/>
            <w:vAlign w:val="center"/>
          </w:tcPr>
          <w:p>
            <w:pPr>
              <w:pStyle w:val="131"/>
              <w:spacing w:line="240" w:lineRule="exact"/>
              <w:ind w:firstLine="0" w:firstLineChars="0"/>
              <w:jc w:val="center"/>
              <w:rPr>
                <w:rFonts w:ascii="宋体" w:hAnsi="宋体" w:cs="宋体"/>
                <w:sz w:val="18"/>
                <w:szCs w:val="18"/>
              </w:rPr>
            </w:pPr>
            <w:r>
              <w:rPr>
                <w:rFonts w:hint="eastAsia" w:ascii="宋体" w:hAnsi="宋体" w:cs="宋体"/>
                <w:sz w:val="18"/>
                <w:szCs w:val="18"/>
              </w:rPr>
              <w:t>匀整</w:t>
            </w:r>
          </w:p>
        </w:tc>
        <w:tc>
          <w:tcPr>
            <w:tcW w:w="645" w:type="dxa"/>
            <w:vAlign w:val="center"/>
          </w:tcPr>
          <w:p>
            <w:pPr>
              <w:pStyle w:val="131"/>
              <w:spacing w:line="240" w:lineRule="exact"/>
              <w:ind w:firstLine="0" w:firstLineChars="0"/>
              <w:jc w:val="center"/>
              <w:rPr>
                <w:rFonts w:ascii="宋体" w:hAnsi="宋体" w:cs="宋体"/>
                <w:sz w:val="18"/>
                <w:szCs w:val="18"/>
              </w:rPr>
            </w:pPr>
            <w:r>
              <w:rPr>
                <w:rFonts w:hint="eastAsia" w:ascii="宋体" w:hAnsi="宋体" w:cs="宋体"/>
                <w:sz w:val="18"/>
                <w:szCs w:val="18"/>
              </w:rPr>
              <w:t>洁净</w:t>
            </w:r>
          </w:p>
        </w:tc>
        <w:tc>
          <w:tcPr>
            <w:tcW w:w="972" w:type="dxa"/>
            <w:vAlign w:val="center"/>
          </w:tcPr>
          <w:p>
            <w:pPr>
              <w:pStyle w:val="131"/>
              <w:spacing w:line="240" w:lineRule="exact"/>
              <w:ind w:firstLine="0" w:firstLineChars="0"/>
              <w:jc w:val="center"/>
              <w:rPr>
                <w:rFonts w:ascii="宋体" w:hAnsi="宋体" w:cs="宋体"/>
                <w:sz w:val="18"/>
                <w:szCs w:val="18"/>
              </w:rPr>
            </w:pPr>
            <w:r>
              <w:rPr>
                <w:rFonts w:hint="eastAsia" w:ascii="宋体" w:hAnsi="宋体" w:cs="宋体"/>
                <w:sz w:val="18"/>
                <w:szCs w:val="18"/>
              </w:rPr>
              <w:t>黄褐</w:t>
            </w:r>
          </w:p>
          <w:p>
            <w:pPr>
              <w:pStyle w:val="131"/>
              <w:spacing w:line="240" w:lineRule="exact"/>
              <w:ind w:firstLine="0" w:firstLineChars="0"/>
              <w:jc w:val="center"/>
              <w:rPr>
                <w:rFonts w:ascii="宋体" w:hAnsi="宋体" w:cs="宋体"/>
                <w:sz w:val="18"/>
                <w:szCs w:val="18"/>
              </w:rPr>
            </w:pPr>
            <w:r>
              <w:rPr>
                <w:rFonts w:hAnsi="宋体"/>
                <w:sz w:val="18"/>
                <w:szCs w:val="18"/>
              </w:rPr>
              <w:t>至红褐</w:t>
            </w:r>
          </w:p>
        </w:tc>
        <w:tc>
          <w:tcPr>
            <w:tcW w:w="1128" w:type="dxa"/>
            <w:vAlign w:val="center"/>
          </w:tcPr>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花香持久</w:t>
            </w:r>
          </w:p>
          <w:p>
            <w:pPr>
              <w:pStyle w:val="131"/>
              <w:spacing w:line="240" w:lineRule="exact"/>
              <w:ind w:right="-126" w:rightChars="-60"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陈香浓</w:t>
            </w:r>
          </w:p>
        </w:tc>
        <w:tc>
          <w:tcPr>
            <w:tcW w:w="1026" w:type="dxa"/>
            <w:vAlign w:val="center"/>
          </w:tcPr>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醇</w:t>
            </w:r>
            <w:r>
              <w:rPr>
                <w:rFonts w:hint="eastAsia" w:ascii="宋体" w:hAnsi="宋体" w:cs="宋体"/>
                <w:color w:val="000000" w:themeColor="text1"/>
                <w:sz w:val="18"/>
                <w:szCs w:val="18"/>
                <w14:textFill>
                  <w14:solidFill>
                    <w14:schemeClr w14:val="tx1"/>
                  </w14:solidFill>
                </w14:textFill>
              </w:rPr>
              <w:t>厚</w:t>
            </w:r>
            <w:r>
              <w:rPr>
                <w:rFonts w:ascii="宋体" w:hAnsi="宋体" w:cs="宋体"/>
                <w:color w:val="000000" w:themeColor="text1"/>
                <w:sz w:val="18"/>
                <w:szCs w:val="18"/>
                <w14:textFill>
                  <w14:solidFill>
                    <w14:schemeClr w14:val="tx1"/>
                  </w14:solidFill>
                </w14:textFill>
              </w:rPr>
              <w:t>甘滑陈</w:t>
            </w:r>
            <w:r>
              <w:rPr>
                <w:rFonts w:hint="eastAsia" w:ascii="宋体" w:hAnsi="宋体" w:cs="宋体"/>
                <w:color w:val="000000" w:themeColor="text1"/>
                <w:sz w:val="18"/>
                <w:szCs w:val="18"/>
                <w14:textFill>
                  <w14:solidFill>
                    <w14:schemeClr w14:val="tx1"/>
                  </w14:solidFill>
                </w14:textFill>
              </w:rPr>
              <w:t>韵显</w:t>
            </w:r>
          </w:p>
        </w:tc>
        <w:tc>
          <w:tcPr>
            <w:tcW w:w="1179" w:type="dxa"/>
            <w:vAlign w:val="center"/>
          </w:tcPr>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黄至橙黄</w:t>
            </w:r>
          </w:p>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明亮</w:t>
            </w:r>
          </w:p>
        </w:tc>
        <w:tc>
          <w:tcPr>
            <w:tcW w:w="1477" w:type="dxa"/>
            <w:vAlign w:val="center"/>
          </w:tcPr>
          <w:p>
            <w:pPr>
              <w:pStyle w:val="131"/>
              <w:spacing w:line="240" w:lineRule="exact"/>
              <w:ind w:firstLine="0" w:firstLineChars="0"/>
              <w:jc w:val="center"/>
              <w:rPr>
                <w:rFonts w:ascii="宋体" w:hAnsi="宋体" w:cs="宋体"/>
                <w:sz w:val="18"/>
                <w:szCs w:val="18"/>
              </w:rPr>
            </w:pPr>
            <w:r>
              <w:rPr>
                <w:rFonts w:hint="eastAsia" w:ascii="宋体" w:hAnsi="宋体" w:cs="宋体"/>
                <w:sz w:val="18"/>
                <w:szCs w:val="18"/>
              </w:rPr>
              <w:t>肥嫩显芽，黄绿</w:t>
            </w:r>
            <w:r>
              <w:rPr>
                <w:rFonts w:hint="eastAsia" w:ascii="宋体" w:hAnsi="宋体" w:cs="宋体"/>
                <w:color w:val="000000" w:themeColor="text1"/>
                <w:sz w:val="18"/>
                <w:szCs w:val="18"/>
                <w14:textFill>
                  <w14:solidFill>
                    <w14:schemeClr w14:val="tx1"/>
                  </w14:solidFill>
                </w14:textFill>
              </w:rPr>
              <w:t>至橙黄</w:t>
            </w:r>
            <w:r>
              <w:rPr>
                <w:rFonts w:hint="eastAsia" w:ascii="宋体" w:hAnsi="宋体" w:cs="宋体"/>
                <w:sz w:val="18"/>
                <w:szCs w:val="18"/>
              </w:rPr>
              <w:t>匀亮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5" w:type="dxa"/>
            <w:vAlign w:val="center"/>
          </w:tcPr>
          <w:p>
            <w:pPr>
              <w:spacing w:line="240" w:lineRule="exact"/>
              <w:jc w:val="center"/>
              <w:rPr>
                <w:rFonts w:hint="default" w:hAnsi="宋体"/>
                <w:sz w:val="18"/>
                <w:szCs w:val="18"/>
              </w:rPr>
            </w:pPr>
            <w:r>
              <w:rPr>
                <w:rFonts w:hAnsi="宋体"/>
                <w:sz w:val="18"/>
                <w:szCs w:val="18"/>
              </w:rPr>
              <w:t>银毫</w:t>
            </w:r>
          </w:p>
        </w:tc>
        <w:tc>
          <w:tcPr>
            <w:tcW w:w="1457" w:type="dxa"/>
            <w:vAlign w:val="center"/>
          </w:tcPr>
          <w:p>
            <w:pPr>
              <w:pStyle w:val="131"/>
              <w:spacing w:line="240" w:lineRule="exact"/>
              <w:ind w:firstLine="0" w:firstLineChars="0"/>
              <w:rPr>
                <w:rFonts w:ascii="宋体" w:hAnsi="宋体" w:cs="宋体"/>
                <w:sz w:val="18"/>
                <w:szCs w:val="18"/>
              </w:rPr>
            </w:pPr>
            <w:r>
              <w:rPr>
                <w:rFonts w:hint="eastAsia" w:ascii="宋体" w:hAnsi="宋体" w:cs="宋体"/>
                <w:sz w:val="18"/>
                <w:szCs w:val="18"/>
              </w:rPr>
              <w:t>紧结肥壮平伏毫芽显露</w:t>
            </w:r>
          </w:p>
        </w:tc>
        <w:tc>
          <w:tcPr>
            <w:tcW w:w="793" w:type="dxa"/>
            <w:vAlign w:val="center"/>
          </w:tcPr>
          <w:p>
            <w:pPr>
              <w:pStyle w:val="131"/>
              <w:spacing w:line="240" w:lineRule="exact"/>
              <w:ind w:firstLine="0" w:firstLineChars="0"/>
              <w:jc w:val="center"/>
              <w:rPr>
                <w:rFonts w:ascii="宋体" w:hAnsi="宋体" w:cs="宋体"/>
                <w:sz w:val="18"/>
                <w:szCs w:val="18"/>
              </w:rPr>
            </w:pPr>
            <w:r>
              <w:rPr>
                <w:rFonts w:hint="eastAsia" w:ascii="宋体" w:hAnsi="宋体" w:cs="宋体"/>
                <w:sz w:val="18"/>
                <w:szCs w:val="18"/>
              </w:rPr>
              <w:t>匀整</w:t>
            </w:r>
          </w:p>
        </w:tc>
        <w:tc>
          <w:tcPr>
            <w:tcW w:w="645" w:type="dxa"/>
            <w:vAlign w:val="center"/>
          </w:tcPr>
          <w:p>
            <w:pPr>
              <w:pStyle w:val="131"/>
              <w:spacing w:line="240" w:lineRule="exact"/>
              <w:ind w:firstLine="0" w:firstLineChars="0"/>
              <w:jc w:val="center"/>
              <w:rPr>
                <w:rFonts w:ascii="宋体" w:hAnsi="宋体" w:cs="宋体"/>
                <w:sz w:val="18"/>
                <w:szCs w:val="18"/>
              </w:rPr>
            </w:pPr>
            <w:r>
              <w:rPr>
                <w:rFonts w:hint="eastAsia" w:ascii="宋体" w:hAnsi="宋体" w:cs="宋体"/>
                <w:sz w:val="18"/>
                <w:szCs w:val="18"/>
              </w:rPr>
              <w:t>洁净</w:t>
            </w:r>
          </w:p>
        </w:tc>
        <w:tc>
          <w:tcPr>
            <w:tcW w:w="972" w:type="dxa"/>
            <w:vAlign w:val="center"/>
          </w:tcPr>
          <w:p>
            <w:pPr>
              <w:pStyle w:val="131"/>
              <w:spacing w:line="240" w:lineRule="exact"/>
              <w:ind w:firstLine="0" w:firstLineChars="0"/>
              <w:jc w:val="center"/>
              <w:rPr>
                <w:rFonts w:ascii="宋体" w:hAnsi="宋体" w:cs="宋体"/>
                <w:sz w:val="18"/>
                <w:szCs w:val="18"/>
              </w:rPr>
            </w:pPr>
            <w:r>
              <w:rPr>
                <w:rFonts w:hint="eastAsia" w:ascii="宋体" w:hAnsi="宋体" w:cs="宋体"/>
                <w:sz w:val="18"/>
                <w:szCs w:val="18"/>
              </w:rPr>
              <w:t>黄褐</w:t>
            </w:r>
          </w:p>
          <w:p>
            <w:pPr>
              <w:pStyle w:val="131"/>
              <w:spacing w:line="240" w:lineRule="exact"/>
              <w:ind w:firstLine="0" w:firstLineChars="0"/>
              <w:jc w:val="center"/>
              <w:rPr>
                <w:rFonts w:ascii="宋体" w:hAnsi="宋体" w:cs="宋体"/>
                <w:sz w:val="18"/>
                <w:szCs w:val="18"/>
              </w:rPr>
            </w:pPr>
            <w:r>
              <w:rPr>
                <w:rFonts w:hAnsi="宋体"/>
                <w:sz w:val="18"/>
                <w:szCs w:val="18"/>
              </w:rPr>
              <w:t>至红褐</w:t>
            </w:r>
          </w:p>
        </w:tc>
        <w:tc>
          <w:tcPr>
            <w:tcW w:w="1128" w:type="dxa"/>
            <w:vAlign w:val="center"/>
          </w:tcPr>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花香较持久</w:t>
            </w:r>
          </w:p>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陈香浓</w:t>
            </w:r>
          </w:p>
        </w:tc>
        <w:tc>
          <w:tcPr>
            <w:tcW w:w="1026" w:type="dxa"/>
            <w:vAlign w:val="center"/>
          </w:tcPr>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醇</w:t>
            </w:r>
            <w:r>
              <w:rPr>
                <w:rFonts w:hint="eastAsia" w:ascii="宋体" w:hAnsi="宋体" w:cs="宋体"/>
                <w:color w:val="000000" w:themeColor="text1"/>
                <w:sz w:val="18"/>
                <w:szCs w:val="18"/>
                <w14:textFill>
                  <w14:solidFill>
                    <w14:schemeClr w14:val="tx1"/>
                  </w14:solidFill>
                </w14:textFill>
              </w:rPr>
              <w:t>厚顺</w:t>
            </w:r>
            <w:r>
              <w:rPr>
                <w:rFonts w:ascii="宋体" w:hAnsi="宋体" w:cs="宋体"/>
                <w:color w:val="000000" w:themeColor="text1"/>
                <w:sz w:val="18"/>
                <w:szCs w:val="18"/>
                <w14:textFill>
                  <w14:solidFill>
                    <w14:schemeClr w14:val="tx1"/>
                  </w14:solidFill>
                </w14:textFill>
              </w:rPr>
              <w:t>滑陈</w:t>
            </w:r>
            <w:r>
              <w:rPr>
                <w:rFonts w:hint="eastAsia" w:ascii="宋体" w:hAnsi="宋体" w:cs="宋体"/>
                <w:color w:val="000000" w:themeColor="text1"/>
                <w:sz w:val="18"/>
                <w:szCs w:val="18"/>
                <w14:textFill>
                  <w14:solidFill>
                    <w14:schemeClr w14:val="tx1"/>
                  </w14:solidFill>
                </w14:textFill>
              </w:rPr>
              <w:t>韵较显</w:t>
            </w:r>
          </w:p>
        </w:tc>
        <w:tc>
          <w:tcPr>
            <w:tcW w:w="1179" w:type="dxa"/>
            <w:vAlign w:val="center"/>
          </w:tcPr>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黄至深橙黄</w:t>
            </w:r>
          </w:p>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明亮</w:t>
            </w:r>
          </w:p>
        </w:tc>
        <w:tc>
          <w:tcPr>
            <w:tcW w:w="1477" w:type="dxa"/>
            <w:vAlign w:val="center"/>
          </w:tcPr>
          <w:p>
            <w:pPr>
              <w:pStyle w:val="131"/>
              <w:spacing w:line="240" w:lineRule="exact"/>
              <w:ind w:firstLine="0" w:firstLineChars="0"/>
              <w:jc w:val="center"/>
              <w:rPr>
                <w:rFonts w:ascii="宋体" w:hAnsi="宋体" w:cs="宋体"/>
                <w:sz w:val="18"/>
                <w:szCs w:val="18"/>
              </w:rPr>
            </w:pPr>
            <w:r>
              <w:rPr>
                <w:rFonts w:hint="eastAsia" w:ascii="宋体" w:hAnsi="宋体" w:cs="宋体"/>
                <w:sz w:val="18"/>
                <w:szCs w:val="18"/>
              </w:rPr>
              <w:t>肥嫩，黄绿</w:t>
            </w:r>
            <w:r>
              <w:rPr>
                <w:rFonts w:hint="eastAsia" w:ascii="宋体" w:hAnsi="宋体" w:cs="宋体"/>
                <w:color w:val="000000" w:themeColor="text1"/>
                <w:sz w:val="18"/>
                <w:szCs w:val="18"/>
                <w14:textFill>
                  <w14:solidFill>
                    <w14:schemeClr w14:val="tx1"/>
                  </w14:solidFill>
                </w14:textFill>
              </w:rPr>
              <w:t>至深橙黄</w:t>
            </w:r>
            <w:r>
              <w:rPr>
                <w:rFonts w:hint="eastAsia" w:ascii="宋体" w:hAnsi="宋体" w:cs="宋体"/>
                <w:sz w:val="18"/>
                <w:szCs w:val="18"/>
              </w:rPr>
              <w:t>匀亮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5" w:type="dxa"/>
            <w:vAlign w:val="center"/>
          </w:tcPr>
          <w:p>
            <w:pPr>
              <w:spacing w:line="240" w:lineRule="exact"/>
              <w:jc w:val="center"/>
              <w:rPr>
                <w:rFonts w:hint="default" w:hAnsi="宋体"/>
                <w:sz w:val="18"/>
                <w:szCs w:val="18"/>
              </w:rPr>
            </w:pPr>
            <w:r>
              <w:rPr>
                <w:rFonts w:hAnsi="宋体"/>
                <w:sz w:val="18"/>
                <w:szCs w:val="18"/>
              </w:rPr>
              <w:t>春毫</w:t>
            </w:r>
          </w:p>
        </w:tc>
        <w:tc>
          <w:tcPr>
            <w:tcW w:w="1457" w:type="dxa"/>
            <w:vAlign w:val="center"/>
          </w:tcPr>
          <w:p>
            <w:pPr>
              <w:pStyle w:val="131"/>
              <w:spacing w:line="240" w:lineRule="exact"/>
              <w:ind w:firstLine="0" w:firstLineChars="0"/>
              <w:rPr>
                <w:rFonts w:ascii="宋体" w:hAnsi="宋体" w:cs="宋体"/>
                <w:sz w:val="18"/>
                <w:szCs w:val="18"/>
              </w:rPr>
            </w:pPr>
            <w:r>
              <w:rPr>
                <w:rFonts w:hint="eastAsia" w:ascii="宋体" w:hAnsi="宋体" w:cs="宋体"/>
                <w:sz w:val="18"/>
                <w:szCs w:val="18"/>
              </w:rPr>
              <w:t>紧结细嫩平伏毫芽较显</w:t>
            </w:r>
          </w:p>
        </w:tc>
        <w:tc>
          <w:tcPr>
            <w:tcW w:w="793" w:type="dxa"/>
            <w:vAlign w:val="center"/>
          </w:tcPr>
          <w:p>
            <w:pPr>
              <w:pStyle w:val="131"/>
              <w:spacing w:line="240" w:lineRule="exact"/>
              <w:ind w:firstLine="0" w:firstLineChars="0"/>
              <w:jc w:val="center"/>
              <w:rPr>
                <w:rFonts w:ascii="宋体" w:hAnsi="宋体" w:cs="宋体"/>
                <w:sz w:val="18"/>
                <w:szCs w:val="18"/>
              </w:rPr>
            </w:pPr>
            <w:r>
              <w:rPr>
                <w:rFonts w:hint="eastAsia" w:ascii="宋体" w:hAnsi="宋体" w:cs="宋体"/>
                <w:sz w:val="18"/>
                <w:szCs w:val="18"/>
              </w:rPr>
              <w:t>匀整</w:t>
            </w:r>
          </w:p>
        </w:tc>
        <w:tc>
          <w:tcPr>
            <w:tcW w:w="645" w:type="dxa"/>
            <w:vAlign w:val="center"/>
          </w:tcPr>
          <w:p>
            <w:pPr>
              <w:pStyle w:val="131"/>
              <w:spacing w:line="240" w:lineRule="exact"/>
              <w:ind w:firstLine="0" w:firstLineChars="0"/>
              <w:jc w:val="center"/>
              <w:rPr>
                <w:rFonts w:ascii="宋体" w:hAnsi="宋体" w:cs="宋体"/>
                <w:sz w:val="18"/>
                <w:szCs w:val="18"/>
              </w:rPr>
            </w:pPr>
            <w:r>
              <w:rPr>
                <w:rFonts w:hint="eastAsia" w:ascii="宋体" w:hAnsi="宋体" w:cs="宋体"/>
                <w:sz w:val="18"/>
                <w:szCs w:val="18"/>
              </w:rPr>
              <w:t>洁净</w:t>
            </w:r>
          </w:p>
        </w:tc>
        <w:tc>
          <w:tcPr>
            <w:tcW w:w="972" w:type="dxa"/>
            <w:vAlign w:val="center"/>
          </w:tcPr>
          <w:p>
            <w:pPr>
              <w:pStyle w:val="131"/>
              <w:spacing w:line="240" w:lineRule="exact"/>
              <w:ind w:firstLine="0" w:firstLineChars="0"/>
              <w:jc w:val="center"/>
              <w:rPr>
                <w:rFonts w:ascii="宋体" w:hAnsi="宋体" w:cs="宋体"/>
                <w:sz w:val="18"/>
                <w:szCs w:val="18"/>
              </w:rPr>
            </w:pPr>
            <w:r>
              <w:rPr>
                <w:rFonts w:hint="eastAsia" w:ascii="宋体" w:hAnsi="宋体" w:cs="宋体"/>
                <w:sz w:val="18"/>
                <w:szCs w:val="18"/>
              </w:rPr>
              <w:t>黄褐</w:t>
            </w:r>
          </w:p>
          <w:p>
            <w:pPr>
              <w:pStyle w:val="131"/>
              <w:spacing w:line="240" w:lineRule="exact"/>
              <w:ind w:firstLine="0" w:firstLineChars="0"/>
              <w:jc w:val="center"/>
              <w:rPr>
                <w:rFonts w:ascii="宋体" w:hAnsi="宋体" w:cs="宋体"/>
                <w:sz w:val="18"/>
                <w:szCs w:val="18"/>
              </w:rPr>
            </w:pPr>
            <w:r>
              <w:rPr>
                <w:rFonts w:hAnsi="宋体"/>
                <w:sz w:val="18"/>
                <w:szCs w:val="18"/>
              </w:rPr>
              <w:t>至红褐</w:t>
            </w:r>
          </w:p>
        </w:tc>
        <w:tc>
          <w:tcPr>
            <w:tcW w:w="1128" w:type="dxa"/>
            <w:vAlign w:val="center"/>
          </w:tcPr>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花香较持久</w:t>
            </w:r>
          </w:p>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陈香浓</w:t>
            </w:r>
          </w:p>
        </w:tc>
        <w:tc>
          <w:tcPr>
            <w:tcW w:w="1026" w:type="dxa"/>
            <w:vAlign w:val="center"/>
          </w:tcPr>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醇</w:t>
            </w:r>
            <w:r>
              <w:rPr>
                <w:rFonts w:hint="eastAsia" w:ascii="宋体" w:hAnsi="宋体" w:cs="宋体"/>
                <w:color w:val="000000" w:themeColor="text1"/>
                <w:sz w:val="18"/>
                <w:szCs w:val="18"/>
                <w14:textFill>
                  <w14:solidFill>
                    <w14:schemeClr w14:val="tx1"/>
                  </w14:solidFill>
                </w14:textFill>
              </w:rPr>
              <w:t>厚顺</w:t>
            </w:r>
            <w:r>
              <w:rPr>
                <w:rFonts w:ascii="宋体" w:hAnsi="宋体" w:cs="宋体"/>
                <w:color w:val="000000" w:themeColor="text1"/>
                <w:sz w:val="18"/>
                <w:szCs w:val="18"/>
                <w14:textFill>
                  <w14:solidFill>
                    <w14:schemeClr w14:val="tx1"/>
                  </w14:solidFill>
                </w14:textFill>
              </w:rPr>
              <w:t>滑陈</w:t>
            </w:r>
            <w:r>
              <w:rPr>
                <w:rFonts w:hint="eastAsia" w:ascii="宋体" w:hAnsi="宋体" w:cs="宋体"/>
                <w:color w:val="000000" w:themeColor="text1"/>
                <w:sz w:val="18"/>
                <w:szCs w:val="18"/>
                <w14:textFill>
                  <w14:solidFill>
                    <w14:schemeClr w14:val="tx1"/>
                  </w14:solidFill>
                </w14:textFill>
              </w:rPr>
              <w:t>韵较显</w:t>
            </w:r>
          </w:p>
        </w:tc>
        <w:tc>
          <w:tcPr>
            <w:tcW w:w="1179" w:type="dxa"/>
            <w:vAlign w:val="center"/>
          </w:tcPr>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黄至深橙黄</w:t>
            </w:r>
          </w:p>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明亮</w:t>
            </w:r>
          </w:p>
        </w:tc>
        <w:tc>
          <w:tcPr>
            <w:tcW w:w="1477" w:type="dxa"/>
            <w:vAlign w:val="center"/>
          </w:tcPr>
          <w:p>
            <w:pPr>
              <w:pStyle w:val="131"/>
              <w:spacing w:line="240" w:lineRule="exact"/>
              <w:ind w:firstLine="0" w:firstLineChars="0"/>
              <w:jc w:val="center"/>
              <w:rPr>
                <w:rFonts w:ascii="宋体" w:hAnsi="宋体" w:cs="宋体"/>
                <w:sz w:val="18"/>
                <w:szCs w:val="18"/>
              </w:rPr>
            </w:pPr>
            <w:r>
              <w:rPr>
                <w:rFonts w:hint="eastAsia" w:ascii="宋体" w:hAnsi="宋体" w:cs="宋体"/>
                <w:sz w:val="18"/>
                <w:szCs w:val="18"/>
              </w:rPr>
              <w:t>嫩匀，黄绿</w:t>
            </w:r>
            <w:r>
              <w:rPr>
                <w:rFonts w:hint="eastAsia" w:ascii="宋体" w:hAnsi="宋体" w:cs="宋体"/>
                <w:color w:val="000000" w:themeColor="text1"/>
                <w:sz w:val="18"/>
                <w:szCs w:val="18"/>
                <w14:textFill>
                  <w14:solidFill>
                    <w14:schemeClr w14:val="tx1"/>
                  </w14:solidFill>
                </w14:textFill>
              </w:rPr>
              <w:t>至深橙黄</w:t>
            </w:r>
            <w:r>
              <w:rPr>
                <w:rFonts w:hint="eastAsia" w:ascii="宋体" w:hAnsi="宋体" w:cs="宋体"/>
                <w:sz w:val="18"/>
                <w:szCs w:val="18"/>
              </w:rPr>
              <w:t>匀亮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5" w:type="dxa"/>
            <w:vAlign w:val="center"/>
          </w:tcPr>
          <w:p>
            <w:pPr>
              <w:spacing w:line="240" w:lineRule="exact"/>
              <w:jc w:val="center"/>
              <w:rPr>
                <w:rFonts w:hint="default" w:hAnsi="宋体"/>
                <w:sz w:val="18"/>
                <w:szCs w:val="18"/>
              </w:rPr>
            </w:pPr>
            <w:r>
              <w:rPr>
                <w:rFonts w:hAnsi="宋体"/>
                <w:sz w:val="18"/>
                <w:szCs w:val="18"/>
              </w:rPr>
              <w:t>香毫</w:t>
            </w:r>
          </w:p>
        </w:tc>
        <w:tc>
          <w:tcPr>
            <w:tcW w:w="1457" w:type="dxa"/>
            <w:vAlign w:val="center"/>
          </w:tcPr>
          <w:p>
            <w:pPr>
              <w:pStyle w:val="131"/>
              <w:spacing w:line="240" w:lineRule="exact"/>
              <w:ind w:firstLine="0" w:firstLineChars="0"/>
              <w:rPr>
                <w:rFonts w:ascii="宋体" w:hAnsi="宋体" w:cs="宋体"/>
                <w:sz w:val="18"/>
                <w:szCs w:val="18"/>
              </w:rPr>
            </w:pPr>
            <w:r>
              <w:rPr>
                <w:rFonts w:hint="eastAsia" w:ascii="宋体" w:hAnsi="宋体" w:cs="宋体"/>
                <w:sz w:val="18"/>
                <w:szCs w:val="18"/>
              </w:rPr>
              <w:t>紧结显毫</w:t>
            </w:r>
          </w:p>
        </w:tc>
        <w:tc>
          <w:tcPr>
            <w:tcW w:w="793" w:type="dxa"/>
            <w:vAlign w:val="center"/>
          </w:tcPr>
          <w:p>
            <w:pPr>
              <w:pStyle w:val="131"/>
              <w:spacing w:line="240" w:lineRule="exact"/>
              <w:ind w:firstLine="0" w:firstLineChars="0"/>
              <w:jc w:val="center"/>
              <w:rPr>
                <w:rFonts w:ascii="宋体" w:hAnsi="宋体" w:cs="宋体"/>
                <w:sz w:val="18"/>
                <w:szCs w:val="18"/>
              </w:rPr>
            </w:pPr>
            <w:r>
              <w:rPr>
                <w:rFonts w:hint="eastAsia" w:ascii="宋体" w:hAnsi="宋体" w:cs="宋体"/>
                <w:sz w:val="18"/>
                <w:szCs w:val="18"/>
              </w:rPr>
              <w:t>匀整</w:t>
            </w:r>
          </w:p>
        </w:tc>
        <w:tc>
          <w:tcPr>
            <w:tcW w:w="645" w:type="dxa"/>
            <w:vAlign w:val="center"/>
          </w:tcPr>
          <w:p>
            <w:pPr>
              <w:pStyle w:val="131"/>
              <w:spacing w:line="240" w:lineRule="exact"/>
              <w:ind w:firstLine="0" w:firstLineChars="0"/>
              <w:jc w:val="center"/>
              <w:rPr>
                <w:rFonts w:ascii="宋体" w:hAnsi="宋体" w:cs="宋体"/>
                <w:sz w:val="18"/>
                <w:szCs w:val="18"/>
              </w:rPr>
            </w:pPr>
            <w:r>
              <w:rPr>
                <w:rFonts w:hint="eastAsia" w:ascii="宋体" w:hAnsi="宋体" w:cs="宋体"/>
                <w:sz w:val="18"/>
                <w:szCs w:val="18"/>
              </w:rPr>
              <w:t>净</w:t>
            </w:r>
          </w:p>
        </w:tc>
        <w:tc>
          <w:tcPr>
            <w:tcW w:w="972" w:type="dxa"/>
            <w:vAlign w:val="center"/>
          </w:tcPr>
          <w:p>
            <w:pPr>
              <w:pStyle w:val="131"/>
              <w:spacing w:line="240" w:lineRule="exact"/>
              <w:ind w:firstLine="0" w:firstLineChars="0"/>
              <w:jc w:val="center"/>
              <w:rPr>
                <w:rFonts w:ascii="宋体" w:hAnsi="宋体" w:cs="宋体"/>
                <w:sz w:val="18"/>
                <w:szCs w:val="18"/>
              </w:rPr>
            </w:pPr>
            <w:r>
              <w:rPr>
                <w:rFonts w:hint="eastAsia" w:ascii="宋体" w:hAnsi="宋体" w:cs="宋体"/>
                <w:sz w:val="18"/>
                <w:szCs w:val="18"/>
              </w:rPr>
              <w:t>黄</w:t>
            </w:r>
            <w:r>
              <w:rPr>
                <w:rFonts w:hAnsi="宋体"/>
                <w:sz w:val="18"/>
                <w:szCs w:val="18"/>
              </w:rPr>
              <w:t>至红褐</w:t>
            </w:r>
          </w:p>
        </w:tc>
        <w:tc>
          <w:tcPr>
            <w:tcW w:w="1128" w:type="dxa"/>
            <w:vAlign w:val="center"/>
          </w:tcPr>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花香较持久</w:t>
            </w:r>
          </w:p>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陈香浓</w:t>
            </w:r>
          </w:p>
        </w:tc>
        <w:tc>
          <w:tcPr>
            <w:tcW w:w="1026" w:type="dxa"/>
            <w:vAlign w:val="center"/>
          </w:tcPr>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醇</w:t>
            </w:r>
            <w:r>
              <w:rPr>
                <w:rFonts w:hint="eastAsia" w:ascii="宋体" w:hAnsi="宋体" w:cs="宋体"/>
                <w:color w:val="000000" w:themeColor="text1"/>
                <w:sz w:val="18"/>
                <w:szCs w:val="18"/>
                <w14:textFill>
                  <w14:solidFill>
                    <w14:schemeClr w14:val="tx1"/>
                  </w14:solidFill>
                </w14:textFill>
              </w:rPr>
              <w:t>厚顺</w:t>
            </w:r>
            <w:r>
              <w:rPr>
                <w:rFonts w:ascii="宋体" w:hAnsi="宋体" w:cs="宋体"/>
                <w:color w:val="000000" w:themeColor="text1"/>
                <w:sz w:val="18"/>
                <w:szCs w:val="18"/>
                <w14:textFill>
                  <w14:solidFill>
                    <w14:schemeClr w14:val="tx1"/>
                  </w14:solidFill>
                </w14:textFill>
              </w:rPr>
              <w:t>滑陈</w:t>
            </w:r>
            <w:r>
              <w:rPr>
                <w:rFonts w:hint="eastAsia" w:ascii="宋体" w:hAnsi="宋体" w:cs="宋体"/>
                <w:color w:val="000000" w:themeColor="text1"/>
                <w:sz w:val="18"/>
                <w:szCs w:val="18"/>
                <w14:textFill>
                  <w14:solidFill>
                    <w14:schemeClr w14:val="tx1"/>
                  </w14:solidFill>
                </w14:textFill>
              </w:rPr>
              <w:t>韵较显</w:t>
            </w:r>
          </w:p>
        </w:tc>
        <w:tc>
          <w:tcPr>
            <w:tcW w:w="1179" w:type="dxa"/>
            <w:vAlign w:val="center"/>
          </w:tcPr>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黄至深橙黄</w:t>
            </w:r>
          </w:p>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明亮</w:t>
            </w:r>
          </w:p>
        </w:tc>
        <w:tc>
          <w:tcPr>
            <w:tcW w:w="1477" w:type="dxa"/>
            <w:vAlign w:val="center"/>
          </w:tcPr>
          <w:p>
            <w:pPr>
              <w:pStyle w:val="131"/>
              <w:spacing w:line="240" w:lineRule="exact"/>
              <w:ind w:firstLine="0" w:firstLineChars="0"/>
              <w:jc w:val="center"/>
              <w:rPr>
                <w:rFonts w:ascii="宋体" w:hAnsi="宋体" w:cs="宋体"/>
                <w:color w:val="FF0000"/>
                <w:sz w:val="18"/>
                <w:szCs w:val="18"/>
              </w:rPr>
            </w:pPr>
            <w:r>
              <w:rPr>
                <w:rFonts w:hint="eastAsia" w:ascii="宋体" w:hAnsi="宋体" w:cs="宋体"/>
                <w:sz w:val="18"/>
                <w:szCs w:val="18"/>
              </w:rPr>
              <w:t>嫩匀，黄绿</w:t>
            </w:r>
            <w:r>
              <w:rPr>
                <w:rFonts w:hint="eastAsia" w:ascii="宋体" w:hAnsi="宋体" w:cs="宋体"/>
                <w:color w:val="000000" w:themeColor="text1"/>
                <w:sz w:val="18"/>
                <w:szCs w:val="18"/>
                <w14:textFill>
                  <w14:solidFill>
                    <w14:schemeClr w14:val="tx1"/>
                  </w14:solidFill>
                </w14:textFill>
              </w:rPr>
              <w:t>至深橙黄</w:t>
            </w:r>
            <w:r>
              <w:rPr>
                <w:rFonts w:hint="eastAsia" w:ascii="宋体" w:hAnsi="宋体" w:cs="宋体"/>
                <w:sz w:val="18"/>
                <w:szCs w:val="18"/>
              </w:rPr>
              <w:t>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5" w:type="dxa"/>
            <w:vAlign w:val="center"/>
          </w:tcPr>
          <w:p>
            <w:pPr>
              <w:spacing w:line="240" w:lineRule="exact"/>
              <w:jc w:val="center"/>
              <w:rPr>
                <w:rFonts w:hint="default" w:hAnsi="宋体"/>
                <w:sz w:val="18"/>
                <w:szCs w:val="18"/>
              </w:rPr>
            </w:pPr>
            <w:r>
              <w:rPr>
                <w:rFonts w:hAnsi="宋体"/>
                <w:sz w:val="18"/>
                <w:szCs w:val="18"/>
              </w:rPr>
              <w:t>特级</w:t>
            </w:r>
          </w:p>
        </w:tc>
        <w:tc>
          <w:tcPr>
            <w:tcW w:w="1457" w:type="dxa"/>
            <w:vAlign w:val="center"/>
          </w:tcPr>
          <w:p>
            <w:pPr>
              <w:spacing w:line="280" w:lineRule="exact"/>
              <w:rPr>
                <w:rFonts w:hint="default" w:hAnsi="宋体"/>
                <w:spacing w:val="-10"/>
                <w:sz w:val="18"/>
                <w:szCs w:val="18"/>
              </w:rPr>
            </w:pPr>
            <w:r>
              <w:rPr>
                <w:rFonts w:hAnsi="宋体"/>
                <w:spacing w:val="-10"/>
                <w:sz w:val="18"/>
                <w:szCs w:val="18"/>
              </w:rPr>
              <w:t>细紧或肥壮，有锋苗有毫</w:t>
            </w:r>
          </w:p>
        </w:tc>
        <w:tc>
          <w:tcPr>
            <w:tcW w:w="793" w:type="dxa"/>
            <w:vAlign w:val="center"/>
          </w:tcPr>
          <w:p>
            <w:pPr>
              <w:pStyle w:val="131"/>
              <w:spacing w:line="240" w:lineRule="exact"/>
              <w:ind w:firstLine="0" w:firstLineChars="0"/>
              <w:jc w:val="center"/>
              <w:rPr>
                <w:rFonts w:ascii="宋体" w:hAnsi="宋体" w:cs="宋体"/>
                <w:sz w:val="18"/>
                <w:szCs w:val="18"/>
              </w:rPr>
            </w:pPr>
            <w:r>
              <w:rPr>
                <w:rFonts w:hint="eastAsia" w:ascii="宋体" w:hAnsi="宋体"/>
                <w:sz w:val="18"/>
                <w:szCs w:val="18"/>
              </w:rPr>
              <w:t>匀整</w:t>
            </w:r>
          </w:p>
        </w:tc>
        <w:tc>
          <w:tcPr>
            <w:tcW w:w="645" w:type="dxa"/>
            <w:vAlign w:val="center"/>
          </w:tcPr>
          <w:p>
            <w:pPr>
              <w:pStyle w:val="131"/>
              <w:spacing w:line="240" w:lineRule="exact"/>
              <w:ind w:firstLine="0" w:firstLineChars="0"/>
              <w:jc w:val="center"/>
              <w:rPr>
                <w:rFonts w:ascii="宋体" w:hAnsi="宋体" w:cs="宋体"/>
                <w:sz w:val="18"/>
                <w:szCs w:val="18"/>
              </w:rPr>
            </w:pPr>
            <w:r>
              <w:rPr>
                <w:rFonts w:hint="eastAsia" w:ascii="宋体" w:hAnsi="宋体"/>
                <w:sz w:val="18"/>
                <w:szCs w:val="18"/>
              </w:rPr>
              <w:t>净</w:t>
            </w:r>
          </w:p>
        </w:tc>
        <w:tc>
          <w:tcPr>
            <w:tcW w:w="972" w:type="dxa"/>
            <w:vAlign w:val="center"/>
          </w:tcPr>
          <w:p>
            <w:pPr>
              <w:pStyle w:val="131"/>
              <w:spacing w:line="240" w:lineRule="exact"/>
              <w:ind w:firstLine="0" w:firstLineChars="0"/>
              <w:jc w:val="center"/>
              <w:rPr>
                <w:rFonts w:ascii="宋体" w:hAnsi="宋体"/>
                <w:sz w:val="18"/>
                <w:szCs w:val="18"/>
              </w:rPr>
            </w:pPr>
            <w:r>
              <w:rPr>
                <w:rFonts w:hint="eastAsia" w:ascii="宋体" w:hAnsi="宋体"/>
                <w:sz w:val="18"/>
                <w:szCs w:val="18"/>
              </w:rPr>
              <w:t>绿黄</w:t>
            </w:r>
          </w:p>
          <w:p>
            <w:pPr>
              <w:pStyle w:val="131"/>
              <w:spacing w:line="240" w:lineRule="exact"/>
              <w:ind w:firstLine="0" w:firstLineChars="0"/>
              <w:jc w:val="center"/>
              <w:rPr>
                <w:rFonts w:ascii="宋体" w:hAnsi="宋体" w:cs="宋体"/>
                <w:sz w:val="18"/>
                <w:szCs w:val="18"/>
              </w:rPr>
            </w:pPr>
            <w:r>
              <w:rPr>
                <w:rFonts w:hAnsi="宋体"/>
                <w:sz w:val="18"/>
                <w:szCs w:val="18"/>
              </w:rPr>
              <w:t>至红褐</w:t>
            </w:r>
          </w:p>
        </w:tc>
        <w:tc>
          <w:tcPr>
            <w:tcW w:w="1128" w:type="dxa"/>
            <w:vAlign w:val="center"/>
          </w:tcPr>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有花香</w:t>
            </w:r>
          </w:p>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陈香较浓</w:t>
            </w:r>
          </w:p>
        </w:tc>
        <w:tc>
          <w:tcPr>
            <w:tcW w:w="1026" w:type="dxa"/>
            <w:vAlign w:val="center"/>
          </w:tcPr>
          <w:p>
            <w:pPr>
              <w:pStyle w:val="131"/>
              <w:spacing w:line="240" w:lineRule="exact"/>
              <w:ind w:firstLine="0" w:firstLine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醇和</w:t>
            </w:r>
          </w:p>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陈</w:t>
            </w:r>
            <w:r>
              <w:rPr>
                <w:rFonts w:hint="eastAsia" w:ascii="宋体" w:hAnsi="宋体" w:cs="宋体"/>
                <w:color w:val="000000" w:themeColor="text1"/>
                <w:sz w:val="18"/>
                <w:szCs w:val="18"/>
                <w14:textFill>
                  <w14:solidFill>
                    <w14:schemeClr w14:val="tx1"/>
                  </w14:solidFill>
                </w14:textFill>
              </w:rPr>
              <w:t>韵较显</w:t>
            </w:r>
          </w:p>
        </w:tc>
        <w:tc>
          <w:tcPr>
            <w:tcW w:w="1179" w:type="dxa"/>
            <w:vAlign w:val="center"/>
          </w:tcPr>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黄至橙红</w:t>
            </w:r>
          </w:p>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明亮</w:t>
            </w:r>
          </w:p>
        </w:tc>
        <w:tc>
          <w:tcPr>
            <w:tcW w:w="1477" w:type="dxa"/>
            <w:vAlign w:val="center"/>
          </w:tcPr>
          <w:p>
            <w:pPr>
              <w:pStyle w:val="131"/>
              <w:spacing w:line="240" w:lineRule="exact"/>
              <w:ind w:firstLine="0" w:firstLineChars="0"/>
              <w:jc w:val="center"/>
              <w:rPr>
                <w:rFonts w:ascii="宋体" w:hAnsi="宋体" w:cs="宋体"/>
                <w:sz w:val="18"/>
                <w:szCs w:val="18"/>
              </w:rPr>
            </w:pPr>
            <w:r>
              <w:rPr>
                <w:rFonts w:hint="eastAsia" w:ascii="宋体" w:hAnsi="宋体"/>
                <w:sz w:val="18"/>
                <w:szCs w:val="18"/>
              </w:rPr>
              <w:t>嫩软匀齐，黄绿</w:t>
            </w:r>
            <w:r>
              <w:rPr>
                <w:rFonts w:hint="eastAsia" w:ascii="宋体" w:hAnsi="宋体" w:cs="宋体"/>
                <w:color w:val="000000" w:themeColor="text1"/>
                <w:sz w:val="18"/>
                <w:szCs w:val="18"/>
                <w14:textFill>
                  <w14:solidFill>
                    <w14:schemeClr w14:val="tx1"/>
                  </w14:solidFill>
                </w14:textFill>
              </w:rPr>
              <w:t>至橙红</w:t>
            </w:r>
            <w:r>
              <w:rPr>
                <w:rFonts w:hint="eastAsia" w:ascii="宋体" w:hAnsi="宋体"/>
                <w:sz w:val="18"/>
                <w:szCs w:val="18"/>
              </w:rPr>
              <w:t>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5" w:type="dxa"/>
            <w:vAlign w:val="center"/>
          </w:tcPr>
          <w:p>
            <w:pPr>
              <w:spacing w:line="240" w:lineRule="exact"/>
              <w:jc w:val="center"/>
              <w:rPr>
                <w:rFonts w:hint="default" w:hAnsi="宋体"/>
                <w:sz w:val="18"/>
                <w:szCs w:val="18"/>
              </w:rPr>
            </w:pPr>
            <w:r>
              <w:rPr>
                <w:rFonts w:hAnsi="宋体"/>
                <w:sz w:val="18"/>
                <w:szCs w:val="18"/>
              </w:rPr>
              <w:t>一级</w:t>
            </w:r>
          </w:p>
        </w:tc>
        <w:tc>
          <w:tcPr>
            <w:tcW w:w="1457" w:type="dxa"/>
            <w:vAlign w:val="center"/>
          </w:tcPr>
          <w:p>
            <w:pPr>
              <w:pStyle w:val="131"/>
              <w:spacing w:line="240" w:lineRule="exact"/>
              <w:ind w:firstLine="0" w:firstLineChars="0"/>
              <w:rPr>
                <w:rFonts w:ascii="宋体" w:hAnsi="宋体" w:cs="宋体"/>
                <w:sz w:val="18"/>
                <w:szCs w:val="18"/>
              </w:rPr>
            </w:pPr>
            <w:r>
              <w:rPr>
                <w:rFonts w:hint="eastAsia" w:ascii="宋体" w:hAnsi="宋体"/>
                <w:sz w:val="18"/>
                <w:szCs w:val="18"/>
              </w:rPr>
              <w:t>紧结有锋苗</w:t>
            </w:r>
          </w:p>
        </w:tc>
        <w:tc>
          <w:tcPr>
            <w:tcW w:w="793" w:type="dxa"/>
            <w:vAlign w:val="center"/>
          </w:tcPr>
          <w:p>
            <w:pPr>
              <w:pStyle w:val="131"/>
              <w:spacing w:line="240" w:lineRule="exact"/>
              <w:ind w:firstLine="0" w:firstLineChars="0"/>
              <w:jc w:val="center"/>
              <w:rPr>
                <w:rFonts w:ascii="宋体" w:hAnsi="宋体" w:cs="宋体"/>
                <w:sz w:val="18"/>
                <w:szCs w:val="18"/>
              </w:rPr>
            </w:pPr>
            <w:r>
              <w:rPr>
                <w:rFonts w:hint="eastAsia" w:ascii="宋体" w:hAnsi="宋体"/>
                <w:sz w:val="18"/>
                <w:szCs w:val="18"/>
              </w:rPr>
              <w:t>匀整</w:t>
            </w:r>
          </w:p>
        </w:tc>
        <w:tc>
          <w:tcPr>
            <w:tcW w:w="645" w:type="dxa"/>
            <w:vAlign w:val="center"/>
          </w:tcPr>
          <w:p>
            <w:pPr>
              <w:pStyle w:val="131"/>
              <w:spacing w:line="240" w:lineRule="exact"/>
              <w:ind w:firstLine="0" w:firstLineChars="0"/>
              <w:rPr>
                <w:rFonts w:ascii="宋体" w:hAnsi="宋体" w:cs="宋体"/>
                <w:sz w:val="18"/>
                <w:szCs w:val="18"/>
              </w:rPr>
            </w:pPr>
            <w:r>
              <w:rPr>
                <w:rFonts w:hint="eastAsia" w:ascii="宋体" w:hAnsi="宋体"/>
                <w:sz w:val="18"/>
                <w:szCs w:val="18"/>
              </w:rPr>
              <w:t>尚净</w:t>
            </w:r>
          </w:p>
        </w:tc>
        <w:tc>
          <w:tcPr>
            <w:tcW w:w="972" w:type="dxa"/>
            <w:vAlign w:val="center"/>
          </w:tcPr>
          <w:p>
            <w:pPr>
              <w:pStyle w:val="131"/>
              <w:spacing w:line="240" w:lineRule="exact"/>
              <w:ind w:firstLine="0" w:firstLineChars="0"/>
              <w:jc w:val="center"/>
              <w:rPr>
                <w:rFonts w:ascii="宋体" w:hAnsi="宋体"/>
                <w:sz w:val="18"/>
                <w:szCs w:val="18"/>
              </w:rPr>
            </w:pPr>
            <w:r>
              <w:rPr>
                <w:rFonts w:hint="eastAsia" w:ascii="宋体" w:hAnsi="宋体"/>
                <w:sz w:val="18"/>
                <w:szCs w:val="18"/>
              </w:rPr>
              <w:t>绿黄</w:t>
            </w:r>
          </w:p>
          <w:p>
            <w:pPr>
              <w:pStyle w:val="131"/>
              <w:spacing w:line="240" w:lineRule="exact"/>
              <w:ind w:firstLine="0" w:firstLineChars="0"/>
              <w:jc w:val="center"/>
              <w:rPr>
                <w:rFonts w:ascii="宋体" w:hAnsi="宋体" w:cs="宋体"/>
                <w:sz w:val="18"/>
                <w:szCs w:val="18"/>
              </w:rPr>
            </w:pPr>
            <w:r>
              <w:rPr>
                <w:rFonts w:hAnsi="宋体"/>
                <w:sz w:val="18"/>
                <w:szCs w:val="18"/>
              </w:rPr>
              <w:t>至红褐</w:t>
            </w:r>
          </w:p>
        </w:tc>
        <w:tc>
          <w:tcPr>
            <w:tcW w:w="1128" w:type="dxa"/>
            <w:vAlign w:val="center"/>
          </w:tcPr>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有花香</w:t>
            </w:r>
          </w:p>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陈香较浓</w:t>
            </w:r>
          </w:p>
        </w:tc>
        <w:tc>
          <w:tcPr>
            <w:tcW w:w="1026" w:type="dxa"/>
            <w:vAlign w:val="center"/>
          </w:tcPr>
          <w:p>
            <w:pPr>
              <w:pStyle w:val="131"/>
              <w:spacing w:line="240" w:lineRule="exact"/>
              <w:ind w:firstLine="0" w:firstLine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醇和</w:t>
            </w:r>
          </w:p>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陈</w:t>
            </w:r>
            <w:r>
              <w:rPr>
                <w:rFonts w:hint="eastAsia" w:ascii="宋体" w:hAnsi="宋体" w:cs="宋体"/>
                <w:color w:val="000000" w:themeColor="text1"/>
                <w:sz w:val="18"/>
                <w:szCs w:val="18"/>
                <w14:textFill>
                  <w14:solidFill>
                    <w14:schemeClr w14:val="tx1"/>
                  </w14:solidFill>
                </w14:textFill>
              </w:rPr>
              <w:t>韵较显</w:t>
            </w:r>
          </w:p>
        </w:tc>
        <w:tc>
          <w:tcPr>
            <w:tcW w:w="1179" w:type="dxa"/>
            <w:vAlign w:val="center"/>
          </w:tcPr>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黄至橙红</w:t>
            </w:r>
          </w:p>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明亮</w:t>
            </w:r>
          </w:p>
        </w:tc>
        <w:tc>
          <w:tcPr>
            <w:tcW w:w="1477" w:type="dxa"/>
            <w:vAlign w:val="center"/>
          </w:tcPr>
          <w:p>
            <w:pPr>
              <w:pStyle w:val="131"/>
              <w:spacing w:line="240" w:lineRule="exact"/>
              <w:ind w:firstLine="0" w:firstLineChars="0"/>
              <w:jc w:val="center"/>
              <w:rPr>
                <w:rFonts w:ascii="宋体" w:hAnsi="宋体" w:cs="宋体"/>
                <w:sz w:val="18"/>
                <w:szCs w:val="18"/>
              </w:rPr>
            </w:pPr>
            <w:r>
              <w:rPr>
                <w:rFonts w:hint="eastAsia" w:ascii="宋体" w:hAnsi="宋体"/>
                <w:sz w:val="18"/>
                <w:szCs w:val="18"/>
              </w:rPr>
              <w:t>嫩匀，黄绿</w:t>
            </w:r>
            <w:r>
              <w:rPr>
                <w:rFonts w:hint="eastAsia" w:ascii="宋体" w:hAnsi="宋体" w:cs="宋体"/>
                <w:color w:val="000000" w:themeColor="text1"/>
                <w:sz w:val="18"/>
                <w:szCs w:val="18"/>
                <w14:textFill>
                  <w14:solidFill>
                    <w14:schemeClr w14:val="tx1"/>
                  </w14:solidFill>
                </w14:textFill>
              </w:rPr>
              <w:t>至橙红</w:t>
            </w:r>
            <w:r>
              <w:rPr>
                <w:rFonts w:hint="eastAsia" w:ascii="宋体" w:hAnsi="宋体"/>
                <w:sz w:val="18"/>
                <w:szCs w:val="18"/>
              </w:rPr>
              <w:t>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5" w:type="dxa"/>
            <w:vAlign w:val="center"/>
          </w:tcPr>
          <w:p>
            <w:pPr>
              <w:spacing w:line="240" w:lineRule="exact"/>
              <w:jc w:val="center"/>
              <w:rPr>
                <w:rFonts w:hint="default" w:hAnsi="宋体"/>
                <w:sz w:val="18"/>
                <w:szCs w:val="18"/>
              </w:rPr>
            </w:pPr>
            <w:r>
              <w:rPr>
                <w:rFonts w:hAnsi="宋体"/>
                <w:sz w:val="18"/>
                <w:szCs w:val="18"/>
              </w:rPr>
              <w:t>二级</w:t>
            </w:r>
          </w:p>
        </w:tc>
        <w:tc>
          <w:tcPr>
            <w:tcW w:w="1457" w:type="dxa"/>
            <w:vAlign w:val="center"/>
          </w:tcPr>
          <w:p>
            <w:pPr>
              <w:pStyle w:val="131"/>
              <w:spacing w:line="240" w:lineRule="exact"/>
              <w:ind w:firstLine="0" w:firstLineChars="0"/>
              <w:rPr>
                <w:rFonts w:ascii="宋体" w:hAnsi="宋体" w:cs="宋体"/>
                <w:sz w:val="18"/>
                <w:szCs w:val="18"/>
              </w:rPr>
            </w:pPr>
            <w:r>
              <w:rPr>
                <w:rFonts w:hint="eastAsia" w:ascii="宋体" w:hAnsi="宋体"/>
                <w:sz w:val="18"/>
                <w:szCs w:val="18"/>
              </w:rPr>
              <w:t>尚紧结</w:t>
            </w:r>
          </w:p>
        </w:tc>
        <w:tc>
          <w:tcPr>
            <w:tcW w:w="793" w:type="dxa"/>
            <w:vAlign w:val="center"/>
          </w:tcPr>
          <w:p>
            <w:pPr>
              <w:pStyle w:val="131"/>
              <w:spacing w:line="240" w:lineRule="exact"/>
              <w:ind w:firstLine="0" w:firstLineChars="0"/>
              <w:rPr>
                <w:rFonts w:ascii="宋体" w:hAnsi="宋体" w:cs="宋体"/>
                <w:sz w:val="18"/>
                <w:szCs w:val="18"/>
              </w:rPr>
            </w:pPr>
            <w:r>
              <w:rPr>
                <w:rFonts w:hint="eastAsia" w:ascii="宋体" w:hAnsi="宋体"/>
                <w:sz w:val="18"/>
                <w:szCs w:val="18"/>
              </w:rPr>
              <w:t>尚匀整</w:t>
            </w:r>
          </w:p>
        </w:tc>
        <w:tc>
          <w:tcPr>
            <w:tcW w:w="645" w:type="dxa"/>
            <w:vAlign w:val="center"/>
          </w:tcPr>
          <w:p>
            <w:pPr>
              <w:pStyle w:val="131"/>
              <w:spacing w:line="240" w:lineRule="exact"/>
              <w:ind w:firstLine="0" w:firstLineChars="0"/>
              <w:jc w:val="center"/>
              <w:rPr>
                <w:rFonts w:ascii="宋体" w:hAnsi="宋体" w:cs="宋体"/>
                <w:sz w:val="18"/>
                <w:szCs w:val="18"/>
              </w:rPr>
            </w:pPr>
            <w:r>
              <w:rPr>
                <w:rFonts w:hint="eastAsia" w:hAnsi="宋体"/>
                <w:spacing w:val="-12"/>
                <w:sz w:val="18"/>
                <w:szCs w:val="18"/>
              </w:rPr>
              <w:t>稍有嫩茎</w:t>
            </w:r>
          </w:p>
        </w:tc>
        <w:tc>
          <w:tcPr>
            <w:tcW w:w="972" w:type="dxa"/>
            <w:vAlign w:val="center"/>
          </w:tcPr>
          <w:p>
            <w:pPr>
              <w:pStyle w:val="131"/>
              <w:spacing w:line="240" w:lineRule="exact"/>
              <w:ind w:firstLine="0" w:firstLineChars="0"/>
              <w:jc w:val="center"/>
              <w:rPr>
                <w:rFonts w:ascii="宋体" w:hAnsi="宋体"/>
                <w:sz w:val="18"/>
                <w:szCs w:val="18"/>
              </w:rPr>
            </w:pPr>
            <w:r>
              <w:rPr>
                <w:rFonts w:hint="eastAsia" w:ascii="宋体" w:hAnsi="宋体"/>
                <w:sz w:val="18"/>
                <w:szCs w:val="18"/>
              </w:rPr>
              <w:t>绿黄</w:t>
            </w:r>
          </w:p>
          <w:p>
            <w:pPr>
              <w:pStyle w:val="131"/>
              <w:spacing w:line="240" w:lineRule="exact"/>
              <w:ind w:firstLine="0" w:firstLineChars="0"/>
              <w:jc w:val="center"/>
              <w:rPr>
                <w:rFonts w:ascii="宋体" w:hAnsi="宋体" w:cs="宋体"/>
                <w:sz w:val="18"/>
                <w:szCs w:val="18"/>
              </w:rPr>
            </w:pPr>
            <w:r>
              <w:rPr>
                <w:rFonts w:hAnsi="宋体"/>
                <w:sz w:val="18"/>
                <w:szCs w:val="18"/>
              </w:rPr>
              <w:t>至红褐</w:t>
            </w:r>
          </w:p>
        </w:tc>
        <w:tc>
          <w:tcPr>
            <w:tcW w:w="1128" w:type="dxa"/>
            <w:vAlign w:val="center"/>
          </w:tcPr>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陈香</w:t>
            </w:r>
            <w:r>
              <w:rPr>
                <w:rFonts w:hint="eastAsia" w:ascii="宋体" w:hAnsi="宋体"/>
                <w:color w:val="000000" w:themeColor="text1"/>
                <w:sz w:val="18"/>
                <w:szCs w:val="18"/>
                <w14:textFill>
                  <w14:solidFill>
                    <w14:schemeClr w14:val="tx1"/>
                  </w14:solidFill>
                </w14:textFill>
              </w:rPr>
              <w:t>较浓纯</w:t>
            </w:r>
          </w:p>
        </w:tc>
        <w:tc>
          <w:tcPr>
            <w:tcW w:w="1026" w:type="dxa"/>
            <w:vAlign w:val="center"/>
          </w:tcPr>
          <w:p>
            <w:pPr>
              <w:pStyle w:val="131"/>
              <w:spacing w:line="240" w:lineRule="exact"/>
              <w:ind w:firstLine="0" w:firstLine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醇和</w:t>
            </w:r>
          </w:p>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有陈韵</w:t>
            </w:r>
          </w:p>
        </w:tc>
        <w:tc>
          <w:tcPr>
            <w:tcW w:w="1179" w:type="dxa"/>
            <w:vAlign w:val="center"/>
          </w:tcPr>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黄至橙红</w:t>
            </w:r>
          </w:p>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较亮</w:t>
            </w:r>
          </w:p>
        </w:tc>
        <w:tc>
          <w:tcPr>
            <w:tcW w:w="1477" w:type="dxa"/>
            <w:vAlign w:val="center"/>
          </w:tcPr>
          <w:p>
            <w:pPr>
              <w:pStyle w:val="131"/>
              <w:spacing w:line="240" w:lineRule="exact"/>
              <w:ind w:firstLine="0" w:firstLineChars="0"/>
              <w:jc w:val="center"/>
              <w:rPr>
                <w:rFonts w:ascii="宋体" w:hAnsi="宋体" w:cs="宋体"/>
                <w:sz w:val="18"/>
                <w:szCs w:val="18"/>
              </w:rPr>
            </w:pPr>
            <w:r>
              <w:rPr>
                <w:rFonts w:hint="eastAsia" w:ascii="宋体" w:hAnsi="宋体"/>
                <w:sz w:val="18"/>
                <w:szCs w:val="18"/>
              </w:rPr>
              <w:t>嫩尚匀，黄绿</w:t>
            </w:r>
            <w:r>
              <w:rPr>
                <w:rFonts w:hint="eastAsia" w:ascii="宋体" w:hAnsi="宋体" w:cs="宋体"/>
                <w:color w:val="000000" w:themeColor="text1"/>
                <w:sz w:val="18"/>
                <w:szCs w:val="18"/>
                <w14:textFill>
                  <w14:solidFill>
                    <w14:schemeClr w14:val="tx1"/>
                  </w14:solidFill>
                </w14:textFill>
              </w:rPr>
              <w:t>至橙红较</w:t>
            </w:r>
            <w:r>
              <w:rPr>
                <w:rFonts w:hint="eastAsia" w:ascii="宋体" w:hAnsi="宋体"/>
                <w:sz w:val="18"/>
                <w:szCs w:val="18"/>
              </w:rPr>
              <w:t>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5" w:type="dxa"/>
            <w:vAlign w:val="center"/>
          </w:tcPr>
          <w:p>
            <w:pPr>
              <w:spacing w:line="240" w:lineRule="exact"/>
              <w:jc w:val="center"/>
              <w:rPr>
                <w:rFonts w:hint="default" w:hAnsi="宋体"/>
                <w:sz w:val="18"/>
                <w:szCs w:val="18"/>
              </w:rPr>
            </w:pPr>
            <w:r>
              <w:rPr>
                <w:rFonts w:hAnsi="宋体"/>
                <w:sz w:val="18"/>
                <w:szCs w:val="18"/>
              </w:rPr>
              <w:t>三级</w:t>
            </w:r>
          </w:p>
        </w:tc>
        <w:tc>
          <w:tcPr>
            <w:tcW w:w="1457" w:type="dxa"/>
            <w:vAlign w:val="center"/>
          </w:tcPr>
          <w:p>
            <w:pPr>
              <w:pStyle w:val="131"/>
              <w:spacing w:line="240" w:lineRule="exact"/>
              <w:ind w:firstLine="0" w:firstLineChars="0"/>
              <w:rPr>
                <w:rFonts w:ascii="宋体" w:hAnsi="宋体" w:cs="宋体"/>
                <w:sz w:val="18"/>
                <w:szCs w:val="18"/>
              </w:rPr>
            </w:pPr>
            <w:r>
              <w:rPr>
                <w:rFonts w:hint="eastAsia" w:ascii="宋体" w:hAnsi="宋体"/>
                <w:sz w:val="18"/>
                <w:szCs w:val="18"/>
              </w:rPr>
              <w:t>尚紧</w:t>
            </w:r>
          </w:p>
        </w:tc>
        <w:tc>
          <w:tcPr>
            <w:tcW w:w="793" w:type="dxa"/>
            <w:vAlign w:val="center"/>
          </w:tcPr>
          <w:p>
            <w:pPr>
              <w:pStyle w:val="131"/>
              <w:spacing w:line="240" w:lineRule="exact"/>
              <w:ind w:firstLine="0" w:firstLineChars="0"/>
              <w:rPr>
                <w:rFonts w:ascii="宋体" w:hAnsi="宋体" w:cs="宋体"/>
                <w:sz w:val="18"/>
                <w:szCs w:val="18"/>
              </w:rPr>
            </w:pPr>
            <w:r>
              <w:rPr>
                <w:rFonts w:hint="eastAsia" w:ascii="宋体" w:hAnsi="宋体"/>
                <w:sz w:val="18"/>
                <w:szCs w:val="18"/>
              </w:rPr>
              <w:t>尚匀整</w:t>
            </w:r>
          </w:p>
        </w:tc>
        <w:tc>
          <w:tcPr>
            <w:tcW w:w="645" w:type="dxa"/>
            <w:vAlign w:val="center"/>
          </w:tcPr>
          <w:p>
            <w:pPr>
              <w:pStyle w:val="131"/>
              <w:spacing w:line="240" w:lineRule="exact"/>
              <w:ind w:firstLine="0" w:firstLineChars="0"/>
              <w:jc w:val="center"/>
              <w:rPr>
                <w:rFonts w:ascii="宋体" w:hAnsi="宋体" w:cs="宋体"/>
                <w:sz w:val="18"/>
                <w:szCs w:val="18"/>
              </w:rPr>
            </w:pPr>
            <w:r>
              <w:rPr>
                <w:rFonts w:hint="eastAsia" w:ascii="宋体" w:hAnsi="宋体"/>
                <w:sz w:val="18"/>
                <w:szCs w:val="18"/>
              </w:rPr>
              <w:t>有嫩茎</w:t>
            </w:r>
          </w:p>
        </w:tc>
        <w:tc>
          <w:tcPr>
            <w:tcW w:w="972" w:type="dxa"/>
            <w:vAlign w:val="center"/>
          </w:tcPr>
          <w:p>
            <w:pPr>
              <w:pStyle w:val="131"/>
              <w:spacing w:line="240" w:lineRule="exact"/>
              <w:ind w:firstLine="0" w:firstLineChars="0"/>
              <w:jc w:val="center"/>
              <w:rPr>
                <w:rFonts w:ascii="宋体" w:hAnsi="宋体"/>
                <w:sz w:val="18"/>
                <w:szCs w:val="18"/>
              </w:rPr>
            </w:pPr>
            <w:r>
              <w:rPr>
                <w:rFonts w:hint="eastAsia" w:ascii="宋体" w:hAnsi="宋体"/>
                <w:sz w:val="18"/>
                <w:szCs w:val="18"/>
              </w:rPr>
              <w:t>绿黄</w:t>
            </w:r>
          </w:p>
          <w:p>
            <w:pPr>
              <w:pStyle w:val="131"/>
              <w:spacing w:line="240" w:lineRule="exact"/>
              <w:ind w:firstLine="0" w:firstLineChars="0"/>
              <w:jc w:val="center"/>
              <w:rPr>
                <w:rFonts w:ascii="宋体" w:hAnsi="宋体" w:cs="宋体"/>
                <w:sz w:val="18"/>
                <w:szCs w:val="18"/>
              </w:rPr>
            </w:pPr>
            <w:r>
              <w:rPr>
                <w:rFonts w:hAnsi="宋体"/>
                <w:sz w:val="18"/>
                <w:szCs w:val="18"/>
              </w:rPr>
              <w:t>至红褐</w:t>
            </w:r>
          </w:p>
        </w:tc>
        <w:tc>
          <w:tcPr>
            <w:tcW w:w="1128" w:type="dxa"/>
            <w:vAlign w:val="center"/>
          </w:tcPr>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陈香</w:t>
            </w:r>
            <w:r>
              <w:rPr>
                <w:rFonts w:hint="eastAsia" w:ascii="宋体" w:hAnsi="宋体"/>
                <w:color w:val="000000" w:themeColor="text1"/>
                <w:sz w:val="18"/>
                <w:szCs w:val="18"/>
                <w14:textFill>
                  <w14:solidFill>
                    <w14:schemeClr w14:val="tx1"/>
                  </w14:solidFill>
                </w14:textFill>
              </w:rPr>
              <w:t>尚浓纯</w:t>
            </w:r>
          </w:p>
        </w:tc>
        <w:tc>
          <w:tcPr>
            <w:tcW w:w="1026" w:type="dxa"/>
            <w:vAlign w:val="center"/>
          </w:tcPr>
          <w:p>
            <w:pPr>
              <w:pStyle w:val="131"/>
              <w:spacing w:line="240" w:lineRule="exact"/>
              <w:ind w:firstLine="0" w:firstLine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较醇和</w:t>
            </w:r>
          </w:p>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有陈韵</w:t>
            </w:r>
          </w:p>
        </w:tc>
        <w:tc>
          <w:tcPr>
            <w:tcW w:w="1179" w:type="dxa"/>
            <w:vAlign w:val="center"/>
          </w:tcPr>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黄至橙红</w:t>
            </w:r>
          </w:p>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尚亮</w:t>
            </w:r>
          </w:p>
        </w:tc>
        <w:tc>
          <w:tcPr>
            <w:tcW w:w="1477" w:type="dxa"/>
            <w:vAlign w:val="center"/>
          </w:tcPr>
          <w:p>
            <w:pPr>
              <w:pStyle w:val="131"/>
              <w:spacing w:line="240" w:lineRule="exact"/>
              <w:ind w:firstLine="0" w:firstLineChars="0"/>
              <w:jc w:val="center"/>
              <w:rPr>
                <w:rFonts w:ascii="宋体" w:hAnsi="宋体" w:cs="宋体"/>
                <w:sz w:val="18"/>
                <w:szCs w:val="18"/>
              </w:rPr>
            </w:pPr>
            <w:r>
              <w:rPr>
                <w:rFonts w:hint="eastAsia" w:ascii="宋体" w:hAnsi="宋体"/>
                <w:sz w:val="18"/>
                <w:szCs w:val="18"/>
              </w:rPr>
              <w:t>尚嫩匀，黄绿</w:t>
            </w:r>
            <w:r>
              <w:rPr>
                <w:rFonts w:hint="eastAsia" w:ascii="宋体" w:hAnsi="宋体" w:cs="宋体"/>
                <w:color w:val="000000" w:themeColor="text1"/>
                <w:sz w:val="18"/>
                <w:szCs w:val="18"/>
                <w14:textFill>
                  <w14:solidFill>
                    <w14:schemeClr w14:val="tx1"/>
                  </w14:solidFill>
                </w14:textFill>
              </w:rPr>
              <w:t>至橙红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5" w:type="dxa"/>
            <w:vAlign w:val="center"/>
          </w:tcPr>
          <w:p>
            <w:pPr>
              <w:spacing w:line="240" w:lineRule="exact"/>
              <w:jc w:val="center"/>
              <w:rPr>
                <w:rFonts w:hint="default" w:hAnsi="宋体"/>
                <w:sz w:val="18"/>
                <w:szCs w:val="18"/>
              </w:rPr>
            </w:pPr>
            <w:r>
              <w:rPr>
                <w:rFonts w:hAnsi="宋体"/>
                <w:sz w:val="18"/>
                <w:szCs w:val="18"/>
              </w:rPr>
              <w:t>四级</w:t>
            </w:r>
          </w:p>
        </w:tc>
        <w:tc>
          <w:tcPr>
            <w:tcW w:w="1457" w:type="dxa"/>
            <w:vAlign w:val="center"/>
          </w:tcPr>
          <w:p>
            <w:pPr>
              <w:pStyle w:val="131"/>
              <w:spacing w:line="240" w:lineRule="exact"/>
              <w:ind w:firstLine="0" w:firstLineChars="0"/>
              <w:rPr>
                <w:rFonts w:ascii="宋体" w:hAnsi="宋体" w:cs="宋体"/>
                <w:sz w:val="18"/>
                <w:szCs w:val="18"/>
              </w:rPr>
            </w:pPr>
            <w:r>
              <w:rPr>
                <w:rFonts w:hint="eastAsia" w:ascii="宋体" w:hAnsi="宋体"/>
                <w:sz w:val="18"/>
                <w:szCs w:val="18"/>
              </w:rPr>
              <w:t>稍松</w:t>
            </w:r>
          </w:p>
        </w:tc>
        <w:tc>
          <w:tcPr>
            <w:tcW w:w="793" w:type="dxa"/>
            <w:vAlign w:val="center"/>
          </w:tcPr>
          <w:p>
            <w:pPr>
              <w:pStyle w:val="131"/>
              <w:spacing w:line="240" w:lineRule="exact"/>
              <w:ind w:firstLine="0" w:firstLineChars="0"/>
              <w:jc w:val="center"/>
              <w:rPr>
                <w:rFonts w:ascii="宋体" w:hAnsi="宋体" w:cs="宋体"/>
                <w:sz w:val="18"/>
                <w:szCs w:val="18"/>
              </w:rPr>
            </w:pPr>
            <w:r>
              <w:rPr>
                <w:rFonts w:hint="eastAsia" w:ascii="宋体" w:hAnsi="宋体"/>
                <w:sz w:val="18"/>
                <w:szCs w:val="18"/>
              </w:rPr>
              <w:t>尚匀</w:t>
            </w:r>
          </w:p>
        </w:tc>
        <w:tc>
          <w:tcPr>
            <w:tcW w:w="645" w:type="dxa"/>
            <w:vAlign w:val="center"/>
          </w:tcPr>
          <w:p>
            <w:pPr>
              <w:pStyle w:val="131"/>
              <w:spacing w:line="240" w:lineRule="exact"/>
              <w:ind w:firstLine="0" w:firstLineChars="0"/>
              <w:jc w:val="center"/>
              <w:rPr>
                <w:rFonts w:ascii="宋体" w:hAnsi="宋体" w:cs="宋体"/>
                <w:sz w:val="18"/>
                <w:szCs w:val="18"/>
              </w:rPr>
            </w:pPr>
            <w:r>
              <w:rPr>
                <w:rFonts w:hint="eastAsia" w:ascii="宋体" w:hAnsi="宋体"/>
                <w:sz w:val="18"/>
                <w:szCs w:val="18"/>
              </w:rPr>
              <w:t>有茎梗</w:t>
            </w:r>
          </w:p>
        </w:tc>
        <w:tc>
          <w:tcPr>
            <w:tcW w:w="972" w:type="dxa"/>
            <w:vAlign w:val="center"/>
          </w:tcPr>
          <w:p>
            <w:pPr>
              <w:pStyle w:val="131"/>
              <w:spacing w:line="240" w:lineRule="exact"/>
              <w:ind w:firstLine="0" w:firstLineChars="0"/>
              <w:jc w:val="center"/>
              <w:rPr>
                <w:rFonts w:ascii="宋体" w:hAnsi="宋体" w:cs="宋体"/>
                <w:sz w:val="18"/>
                <w:szCs w:val="18"/>
              </w:rPr>
            </w:pPr>
            <w:r>
              <w:rPr>
                <w:rFonts w:hint="eastAsia" w:ascii="宋体" w:hAnsi="宋体" w:cs="宋体"/>
                <w:sz w:val="18"/>
                <w:szCs w:val="18"/>
              </w:rPr>
              <w:t>黄</w:t>
            </w:r>
            <w:r>
              <w:rPr>
                <w:rFonts w:hAnsi="宋体"/>
                <w:sz w:val="18"/>
                <w:szCs w:val="18"/>
              </w:rPr>
              <w:t>至红褐</w:t>
            </w:r>
            <w:r>
              <w:rPr>
                <w:rFonts w:hint="eastAsia" w:ascii="宋体" w:hAnsi="宋体"/>
                <w:sz w:val="18"/>
                <w:szCs w:val="18"/>
              </w:rPr>
              <w:t>稍暗</w:t>
            </w:r>
          </w:p>
        </w:tc>
        <w:tc>
          <w:tcPr>
            <w:tcW w:w="1128" w:type="dxa"/>
            <w:vAlign w:val="center"/>
          </w:tcPr>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陈香</w:t>
            </w:r>
            <w:r>
              <w:rPr>
                <w:rFonts w:hint="eastAsia" w:ascii="宋体" w:hAnsi="宋体"/>
                <w:color w:val="000000" w:themeColor="text1"/>
                <w:sz w:val="18"/>
                <w:szCs w:val="18"/>
                <w14:textFill>
                  <w14:solidFill>
                    <w14:schemeClr w14:val="tx1"/>
                  </w14:solidFill>
                </w14:textFill>
              </w:rPr>
              <w:t>较纯</w:t>
            </w:r>
          </w:p>
        </w:tc>
        <w:tc>
          <w:tcPr>
            <w:tcW w:w="1026" w:type="dxa"/>
            <w:vAlign w:val="center"/>
          </w:tcPr>
          <w:p>
            <w:pPr>
              <w:pStyle w:val="131"/>
              <w:spacing w:line="240" w:lineRule="exact"/>
              <w:ind w:firstLine="0" w:firstLine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尚醇和</w:t>
            </w:r>
          </w:p>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有陈韵</w:t>
            </w:r>
          </w:p>
        </w:tc>
        <w:tc>
          <w:tcPr>
            <w:tcW w:w="1179" w:type="dxa"/>
            <w:vAlign w:val="center"/>
          </w:tcPr>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黄至深橙红</w:t>
            </w:r>
          </w:p>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欠亮</w:t>
            </w:r>
          </w:p>
        </w:tc>
        <w:tc>
          <w:tcPr>
            <w:tcW w:w="1477" w:type="dxa"/>
            <w:vAlign w:val="center"/>
          </w:tcPr>
          <w:p>
            <w:pPr>
              <w:pStyle w:val="131"/>
              <w:spacing w:line="240" w:lineRule="exact"/>
              <w:ind w:firstLine="0" w:firstLineChars="0"/>
              <w:jc w:val="center"/>
              <w:rPr>
                <w:rFonts w:ascii="宋体" w:hAnsi="宋体" w:cs="宋体"/>
                <w:sz w:val="18"/>
                <w:szCs w:val="18"/>
              </w:rPr>
            </w:pPr>
            <w:r>
              <w:rPr>
                <w:rFonts w:hint="eastAsia" w:ascii="宋体" w:hAnsi="宋体"/>
                <w:sz w:val="18"/>
                <w:szCs w:val="18"/>
              </w:rPr>
              <w:t>稍有摊张，绿黄</w:t>
            </w:r>
            <w:r>
              <w:rPr>
                <w:rFonts w:hint="eastAsia" w:ascii="宋体" w:hAnsi="宋体" w:cs="宋体"/>
                <w:color w:val="000000" w:themeColor="text1"/>
                <w:sz w:val="18"/>
                <w:szCs w:val="18"/>
                <w14:textFill>
                  <w14:solidFill>
                    <w14:schemeClr w14:val="tx1"/>
                  </w14:solidFill>
                </w14:textFill>
              </w:rPr>
              <w:t>至红褐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5" w:type="dxa"/>
            <w:vAlign w:val="center"/>
          </w:tcPr>
          <w:p>
            <w:pPr>
              <w:spacing w:line="240" w:lineRule="exact"/>
              <w:jc w:val="center"/>
              <w:rPr>
                <w:rFonts w:hint="default" w:hAnsi="宋体"/>
                <w:sz w:val="18"/>
                <w:szCs w:val="18"/>
              </w:rPr>
            </w:pPr>
            <w:r>
              <w:rPr>
                <w:rFonts w:hAnsi="宋体"/>
                <w:sz w:val="18"/>
                <w:szCs w:val="18"/>
              </w:rPr>
              <w:t>五级</w:t>
            </w:r>
          </w:p>
        </w:tc>
        <w:tc>
          <w:tcPr>
            <w:tcW w:w="1457" w:type="dxa"/>
            <w:vAlign w:val="center"/>
          </w:tcPr>
          <w:p>
            <w:pPr>
              <w:pStyle w:val="131"/>
              <w:spacing w:line="240" w:lineRule="exact"/>
              <w:ind w:firstLine="0" w:firstLineChars="0"/>
              <w:rPr>
                <w:rFonts w:ascii="宋体" w:hAnsi="宋体" w:cs="宋体"/>
                <w:sz w:val="18"/>
                <w:szCs w:val="18"/>
              </w:rPr>
            </w:pPr>
            <w:r>
              <w:rPr>
                <w:rFonts w:hint="eastAsia" w:ascii="宋体" w:hAnsi="宋体"/>
                <w:sz w:val="18"/>
                <w:szCs w:val="18"/>
              </w:rPr>
              <w:t>稍粗松</w:t>
            </w:r>
          </w:p>
        </w:tc>
        <w:tc>
          <w:tcPr>
            <w:tcW w:w="793" w:type="dxa"/>
            <w:vAlign w:val="center"/>
          </w:tcPr>
          <w:p>
            <w:pPr>
              <w:pStyle w:val="131"/>
              <w:spacing w:line="240" w:lineRule="exact"/>
              <w:ind w:firstLine="0" w:firstLineChars="0"/>
              <w:jc w:val="center"/>
              <w:rPr>
                <w:rFonts w:ascii="宋体" w:hAnsi="宋体" w:cs="宋体"/>
                <w:sz w:val="18"/>
                <w:szCs w:val="18"/>
              </w:rPr>
            </w:pPr>
            <w:r>
              <w:rPr>
                <w:rFonts w:hint="eastAsia" w:ascii="宋体" w:hAnsi="宋体"/>
                <w:sz w:val="18"/>
                <w:szCs w:val="18"/>
              </w:rPr>
              <w:t>尚匀</w:t>
            </w:r>
          </w:p>
        </w:tc>
        <w:tc>
          <w:tcPr>
            <w:tcW w:w="645" w:type="dxa"/>
            <w:vAlign w:val="center"/>
          </w:tcPr>
          <w:p>
            <w:pPr>
              <w:pStyle w:val="131"/>
              <w:spacing w:line="240" w:lineRule="exact"/>
              <w:ind w:firstLine="0" w:firstLineChars="0"/>
              <w:jc w:val="center"/>
              <w:rPr>
                <w:rFonts w:ascii="宋体" w:hAnsi="宋体" w:cs="宋体"/>
                <w:sz w:val="18"/>
                <w:szCs w:val="18"/>
              </w:rPr>
            </w:pPr>
            <w:r>
              <w:rPr>
                <w:rFonts w:hint="eastAsia" w:ascii="宋体" w:hAnsi="宋体"/>
                <w:sz w:val="18"/>
                <w:szCs w:val="18"/>
              </w:rPr>
              <w:t>有梗朴</w:t>
            </w:r>
          </w:p>
        </w:tc>
        <w:tc>
          <w:tcPr>
            <w:tcW w:w="972" w:type="dxa"/>
            <w:vAlign w:val="center"/>
          </w:tcPr>
          <w:p>
            <w:pPr>
              <w:pStyle w:val="131"/>
              <w:spacing w:line="240" w:lineRule="exact"/>
              <w:ind w:firstLine="0" w:firstLineChars="0"/>
              <w:jc w:val="center"/>
              <w:rPr>
                <w:rFonts w:ascii="宋体" w:hAnsi="宋体" w:cs="宋体"/>
                <w:sz w:val="18"/>
                <w:szCs w:val="18"/>
              </w:rPr>
            </w:pPr>
            <w:r>
              <w:rPr>
                <w:rFonts w:hint="eastAsia" w:ascii="宋体" w:hAnsi="宋体" w:cs="宋体"/>
                <w:sz w:val="18"/>
                <w:szCs w:val="18"/>
              </w:rPr>
              <w:t>黄</w:t>
            </w:r>
            <w:r>
              <w:rPr>
                <w:rFonts w:hAnsi="宋体"/>
                <w:sz w:val="18"/>
                <w:szCs w:val="18"/>
              </w:rPr>
              <w:t>至红褐</w:t>
            </w:r>
            <w:r>
              <w:rPr>
                <w:rFonts w:hint="eastAsia" w:ascii="宋体" w:hAnsi="宋体"/>
                <w:sz w:val="18"/>
                <w:szCs w:val="18"/>
              </w:rPr>
              <w:t>稍枯</w:t>
            </w:r>
          </w:p>
        </w:tc>
        <w:tc>
          <w:tcPr>
            <w:tcW w:w="1128" w:type="dxa"/>
            <w:vAlign w:val="center"/>
          </w:tcPr>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陈香</w:t>
            </w:r>
            <w:r>
              <w:rPr>
                <w:rFonts w:hint="eastAsia" w:ascii="宋体" w:hAnsi="宋体"/>
                <w:color w:val="000000" w:themeColor="text1"/>
                <w:sz w:val="18"/>
                <w:szCs w:val="18"/>
                <w14:textFill>
                  <w14:solidFill>
                    <w14:schemeClr w14:val="tx1"/>
                  </w14:solidFill>
                </w14:textFill>
              </w:rPr>
              <w:t>尚纯</w:t>
            </w:r>
          </w:p>
        </w:tc>
        <w:tc>
          <w:tcPr>
            <w:tcW w:w="1026" w:type="dxa"/>
            <w:vAlign w:val="center"/>
          </w:tcPr>
          <w:p>
            <w:pPr>
              <w:pStyle w:val="131"/>
              <w:spacing w:line="240" w:lineRule="exact"/>
              <w:ind w:firstLine="0" w:firstLine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稍粗</w:t>
            </w:r>
          </w:p>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有陈韵</w:t>
            </w:r>
          </w:p>
        </w:tc>
        <w:tc>
          <w:tcPr>
            <w:tcW w:w="1179" w:type="dxa"/>
            <w:vAlign w:val="center"/>
          </w:tcPr>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黄至深橙红</w:t>
            </w:r>
          </w:p>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较暗</w:t>
            </w:r>
          </w:p>
        </w:tc>
        <w:tc>
          <w:tcPr>
            <w:tcW w:w="1477" w:type="dxa"/>
            <w:vAlign w:val="center"/>
          </w:tcPr>
          <w:p>
            <w:pPr>
              <w:pStyle w:val="131"/>
              <w:spacing w:line="240" w:lineRule="exact"/>
              <w:ind w:firstLine="0" w:firstLineChars="0"/>
              <w:jc w:val="center"/>
              <w:rPr>
                <w:rFonts w:ascii="宋体" w:hAnsi="宋体" w:cs="宋体"/>
                <w:sz w:val="18"/>
                <w:szCs w:val="18"/>
              </w:rPr>
            </w:pPr>
            <w:r>
              <w:rPr>
                <w:rFonts w:hint="eastAsia" w:ascii="宋体" w:hAnsi="宋体"/>
                <w:spacing w:val="-4"/>
                <w:sz w:val="18"/>
                <w:szCs w:val="18"/>
              </w:rPr>
              <w:t>稍粗大，黄</w:t>
            </w:r>
            <w:r>
              <w:rPr>
                <w:rFonts w:hint="eastAsia" w:ascii="宋体" w:hAnsi="宋体" w:cs="宋体"/>
                <w:color w:val="000000" w:themeColor="text1"/>
                <w:sz w:val="18"/>
                <w:szCs w:val="18"/>
                <w14:textFill>
                  <w14:solidFill>
                    <w14:schemeClr w14:val="tx1"/>
                  </w14:solidFill>
                </w14:textFill>
              </w:rPr>
              <w:t>至红褐</w:t>
            </w:r>
            <w:r>
              <w:rPr>
                <w:rFonts w:hint="eastAsia" w:ascii="宋体" w:hAnsi="宋体"/>
                <w:spacing w:val="-4"/>
                <w:sz w:val="18"/>
                <w:szCs w:val="18"/>
              </w:rPr>
              <w:t>稍暗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5" w:type="dxa"/>
            <w:vAlign w:val="center"/>
          </w:tcPr>
          <w:p>
            <w:pPr>
              <w:spacing w:line="240" w:lineRule="exact"/>
              <w:jc w:val="center"/>
              <w:rPr>
                <w:rFonts w:hint="default" w:hAnsi="宋体"/>
                <w:sz w:val="18"/>
                <w:szCs w:val="18"/>
              </w:rPr>
            </w:pPr>
            <w:r>
              <w:rPr>
                <w:rFonts w:hAnsi="宋体"/>
                <w:sz w:val="18"/>
                <w:szCs w:val="18"/>
              </w:rPr>
              <w:t>紧压茶</w:t>
            </w:r>
          </w:p>
        </w:tc>
        <w:tc>
          <w:tcPr>
            <w:tcW w:w="3867" w:type="dxa"/>
            <w:gridSpan w:val="4"/>
            <w:vAlign w:val="center"/>
          </w:tcPr>
          <w:p>
            <w:pPr>
              <w:spacing w:line="240" w:lineRule="exact"/>
              <w:jc w:val="left"/>
              <w:rPr>
                <w:rFonts w:hint="default" w:hAnsi="宋体"/>
                <w:sz w:val="18"/>
                <w:szCs w:val="18"/>
              </w:rPr>
            </w:pPr>
            <w:r>
              <w:rPr>
                <w:rFonts w:hAnsi="宋体"/>
                <w:sz w:val="18"/>
                <w:szCs w:val="18"/>
              </w:rPr>
              <w:t>方形、圆形等，外形端正匀称、松紧适度，表面平整、无脱层,不洒面；色泽黄褐至红褐</w:t>
            </w:r>
          </w:p>
        </w:tc>
        <w:tc>
          <w:tcPr>
            <w:tcW w:w="4810" w:type="dxa"/>
            <w:gridSpan w:val="4"/>
            <w:vAlign w:val="center"/>
          </w:tcPr>
          <w:p>
            <w:pPr>
              <w:pStyle w:val="131"/>
              <w:spacing w:line="240" w:lineRule="exact"/>
              <w:ind w:firstLine="0" w:firstLineChars="0"/>
              <w:jc w:val="left"/>
              <w:rPr>
                <w:rFonts w:ascii="宋体" w:hAnsi="宋体"/>
                <w:spacing w:val="-4"/>
                <w:sz w:val="18"/>
                <w:szCs w:val="18"/>
              </w:rPr>
            </w:pPr>
            <w:r>
              <w:rPr>
                <w:rFonts w:hint="eastAsia" w:ascii="宋体" w:hAnsi="宋体"/>
                <w:spacing w:val="-4"/>
                <w:sz w:val="18"/>
                <w:szCs w:val="18"/>
              </w:rPr>
              <w:t>参照上述</w:t>
            </w:r>
            <w:r>
              <w:rPr>
                <w:rFonts w:hint="eastAsia"/>
                <w:sz w:val="18"/>
                <w:szCs w:val="18"/>
              </w:rPr>
              <w:t>各类别（各级别）内质感官品质要求</w:t>
            </w:r>
          </w:p>
        </w:tc>
      </w:tr>
    </w:tbl>
    <w:p>
      <w:pPr>
        <w:pStyle w:val="123"/>
        <w:tabs>
          <w:tab w:val="center" w:pos="4201"/>
          <w:tab w:val="right" w:leader="dot" w:pos="9298"/>
        </w:tabs>
        <w:ind w:firstLine="0" w:firstLineChars="0"/>
        <w:rPr>
          <w:rFonts w:ascii="黑体" w:hAnsi="黑体" w:eastAsia="黑体" w:cs="宋体"/>
        </w:rPr>
      </w:pPr>
    </w:p>
    <w:p>
      <w:pPr>
        <w:pStyle w:val="123"/>
        <w:tabs>
          <w:tab w:val="center" w:pos="4201"/>
          <w:tab w:val="right" w:leader="dot" w:pos="9298"/>
        </w:tabs>
        <w:ind w:firstLine="0" w:firstLineChars="0"/>
      </w:pPr>
      <w:r>
        <w:rPr>
          <w:rFonts w:hint="eastAsia" w:ascii="黑体" w:hAnsi="黑体" w:eastAsia="黑体" w:cs="宋体"/>
        </w:rPr>
        <w:t>5</w:t>
      </w:r>
      <w:r>
        <w:rPr>
          <w:rFonts w:ascii="黑体" w:hAnsi="黑体" w:eastAsia="黑体" w:cs="宋体"/>
        </w:rPr>
        <w:t>.2.2</w:t>
      </w:r>
      <w:r>
        <w:rPr>
          <w:rFonts w:hAnsi="宋体" w:cs="宋体"/>
        </w:rPr>
        <w:t xml:space="preserve">  </w:t>
      </w:r>
      <w:r>
        <w:rPr>
          <w:rFonts w:hint="eastAsia"/>
        </w:rPr>
        <w:t>各类别（各级别）</w:t>
      </w:r>
      <w:r>
        <w:rPr>
          <w:rFonts w:hint="eastAsia" w:hAnsi="宋体"/>
          <w:spacing w:val="-4"/>
        </w:rPr>
        <w:t>炒青</w:t>
      </w:r>
      <w:r>
        <w:rPr>
          <w:rFonts w:hint="eastAsia" w:cs="黑体"/>
          <w:lang w:eastAsia="zh-CN"/>
        </w:rPr>
        <w:t>陈年茉莉花茶</w:t>
      </w:r>
      <w:r>
        <w:rPr>
          <w:rFonts w:hint="eastAsia"/>
        </w:rPr>
        <w:t>感官品质</w:t>
      </w:r>
      <w:r>
        <w:t>应符合表2的</w:t>
      </w:r>
      <w:r>
        <w:rPr>
          <w:rFonts w:hint="eastAsia"/>
        </w:rPr>
        <w:t>规定</w:t>
      </w:r>
      <w:r>
        <w:t>。</w:t>
      </w:r>
    </w:p>
    <w:p>
      <w:pPr>
        <w:spacing w:before="156" w:beforeLines="50" w:after="156" w:afterLines="50"/>
        <w:jc w:val="center"/>
        <w:rPr>
          <w:rFonts w:hint="default" w:ascii="黑体" w:hAnsi="宋体" w:eastAsia="黑体"/>
          <w:szCs w:val="21"/>
        </w:rPr>
      </w:pPr>
      <w:r>
        <w:rPr>
          <w:rFonts w:ascii="黑体" w:hAnsi="黑体" w:eastAsia="黑体" w:cs="黑体"/>
          <w:kern w:val="0"/>
          <w:szCs w:val="20"/>
        </w:rPr>
        <w:t>表</w:t>
      </w:r>
      <w:r>
        <w:rPr>
          <w:rFonts w:hint="default" w:ascii="黑体" w:hAnsi="黑体" w:eastAsia="黑体" w:cs="黑体"/>
          <w:kern w:val="0"/>
          <w:szCs w:val="20"/>
        </w:rPr>
        <w:t xml:space="preserve">2 </w:t>
      </w:r>
      <w:r>
        <w:rPr>
          <w:rFonts w:ascii="黑体" w:hAnsi="黑体" w:eastAsia="黑体" w:cs="黑体"/>
          <w:kern w:val="0"/>
          <w:szCs w:val="20"/>
        </w:rPr>
        <w:t xml:space="preserve"> </w:t>
      </w:r>
      <w:r>
        <w:rPr>
          <w:rFonts w:ascii="黑体" w:hAnsi="宋体" w:eastAsia="黑体"/>
          <w:szCs w:val="21"/>
        </w:rPr>
        <w:t>炒青（含半烘炒）</w:t>
      </w:r>
      <w:r>
        <w:rPr>
          <w:rFonts w:hint="eastAsia" w:ascii="黑体" w:hAnsi="宋体" w:eastAsia="黑体"/>
          <w:szCs w:val="21"/>
          <w:lang w:eastAsia="zh-CN"/>
        </w:rPr>
        <w:t>陈年茉莉花茶</w:t>
      </w:r>
      <w:r>
        <w:rPr>
          <w:rFonts w:ascii="黑体" w:hAnsi="宋体" w:eastAsia="黑体"/>
          <w:szCs w:val="21"/>
        </w:rPr>
        <w:t>感官品质要求</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905"/>
        <w:gridCol w:w="1585"/>
        <w:gridCol w:w="872"/>
        <w:gridCol w:w="945"/>
        <w:gridCol w:w="945"/>
        <w:gridCol w:w="951"/>
        <w:gridCol w:w="992"/>
        <w:gridCol w:w="1192"/>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cantSplit/>
          <w:trHeight w:val="397" w:hRule="exact"/>
        </w:trPr>
        <w:tc>
          <w:tcPr>
            <w:tcW w:w="905" w:type="dxa"/>
            <w:vMerge w:val="restart"/>
            <w:vAlign w:val="center"/>
          </w:tcPr>
          <w:p>
            <w:pPr>
              <w:pStyle w:val="131"/>
              <w:spacing w:line="240" w:lineRule="exact"/>
              <w:ind w:firstLine="0" w:firstLineChars="0"/>
              <w:jc w:val="center"/>
              <w:rPr>
                <w:rFonts w:ascii="宋体" w:hAnsi="宋体" w:cs="宋体"/>
                <w:sz w:val="18"/>
                <w:szCs w:val="18"/>
              </w:rPr>
            </w:pPr>
            <w:r>
              <w:rPr>
                <w:rFonts w:hint="eastAsia" w:ascii="宋体" w:hAnsi="宋体" w:cs="宋体"/>
                <w:sz w:val="18"/>
                <w:szCs w:val="18"/>
              </w:rPr>
              <w:t>类别</w:t>
            </w:r>
          </w:p>
          <w:p>
            <w:pPr>
              <w:spacing w:line="280" w:lineRule="exact"/>
              <w:jc w:val="center"/>
              <w:rPr>
                <w:rFonts w:hint="default" w:hAnsi="宋体"/>
                <w:sz w:val="18"/>
                <w:szCs w:val="18"/>
              </w:rPr>
            </w:pPr>
            <w:r>
              <w:rPr>
                <w:rFonts w:hAnsi="宋体"/>
                <w:sz w:val="18"/>
                <w:szCs w:val="18"/>
              </w:rPr>
              <w:t>（级别）</w:t>
            </w:r>
          </w:p>
        </w:tc>
        <w:tc>
          <w:tcPr>
            <w:tcW w:w="8652" w:type="dxa"/>
            <w:gridSpan w:val="8"/>
            <w:vAlign w:val="center"/>
          </w:tcPr>
          <w:p>
            <w:pPr>
              <w:spacing w:line="280" w:lineRule="exact"/>
              <w:jc w:val="center"/>
              <w:rPr>
                <w:rFonts w:hint="default" w:hAnsi="宋体"/>
                <w:sz w:val="18"/>
                <w:szCs w:val="18"/>
              </w:rPr>
            </w:pPr>
            <w:r>
              <w:rPr>
                <w:rFonts w:hAnsi="宋体"/>
                <w:sz w:val="18"/>
                <w:szCs w:val="18"/>
              </w:rPr>
              <w:t>项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cantSplit/>
          <w:trHeight w:val="397" w:hRule="exact"/>
        </w:trPr>
        <w:tc>
          <w:tcPr>
            <w:tcW w:w="905" w:type="dxa"/>
            <w:vMerge w:val="continue"/>
            <w:vAlign w:val="center"/>
          </w:tcPr>
          <w:p>
            <w:pPr>
              <w:spacing w:line="280" w:lineRule="exact"/>
              <w:jc w:val="center"/>
              <w:rPr>
                <w:rFonts w:hint="default" w:hAnsi="宋体"/>
                <w:sz w:val="18"/>
                <w:szCs w:val="18"/>
              </w:rPr>
            </w:pPr>
          </w:p>
        </w:tc>
        <w:tc>
          <w:tcPr>
            <w:tcW w:w="4347" w:type="dxa"/>
            <w:gridSpan w:val="4"/>
            <w:vAlign w:val="center"/>
          </w:tcPr>
          <w:p>
            <w:pPr>
              <w:spacing w:line="280" w:lineRule="exact"/>
              <w:jc w:val="center"/>
              <w:rPr>
                <w:rFonts w:hint="default" w:hAnsi="宋体"/>
                <w:sz w:val="18"/>
                <w:szCs w:val="18"/>
              </w:rPr>
            </w:pPr>
            <w:r>
              <w:rPr>
                <w:rFonts w:hAnsi="宋体"/>
                <w:sz w:val="18"/>
                <w:szCs w:val="18"/>
              </w:rPr>
              <w:t>外形</w:t>
            </w:r>
          </w:p>
        </w:tc>
        <w:tc>
          <w:tcPr>
            <w:tcW w:w="4305" w:type="dxa"/>
            <w:gridSpan w:val="4"/>
            <w:vAlign w:val="center"/>
          </w:tcPr>
          <w:p>
            <w:pPr>
              <w:spacing w:line="280" w:lineRule="exact"/>
              <w:jc w:val="center"/>
              <w:rPr>
                <w:rFonts w:hint="default" w:hAnsi="宋体"/>
                <w:sz w:val="18"/>
                <w:szCs w:val="18"/>
              </w:rPr>
            </w:pPr>
            <w:r>
              <w:rPr>
                <w:rFonts w:hAnsi="宋体"/>
                <w:sz w:val="18"/>
                <w:szCs w:val="18"/>
              </w:rPr>
              <w:t>内质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cantSplit/>
          <w:trHeight w:val="397" w:hRule="exact"/>
        </w:trPr>
        <w:tc>
          <w:tcPr>
            <w:tcW w:w="905" w:type="dxa"/>
            <w:vMerge w:val="continue"/>
            <w:vAlign w:val="center"/>
          </w:tcPr>
          <w:p>
            <w:pPr>
              <w:spacing w:line="280" w:lineRule="exact"/>
              <w:jc w:val="center"/>
              <w:rPr>
                <w:rFonts w:hint="default" w:hAnsi="宋体"/>
                <w:sz w:val="18"/>
                <w:szCs w:val="18"/>
              </w:rPr>
            </w:pPr>
          </w:p>
        </w:tc>
        <w:tc>
          <w:tcPr>
            <w:tcW w:w="1585" w:type="dxa"/>
            <w:vAlign w:val="center"/>
          </w:tcPr>
          <w:p>
            <w:pPr>
              <w:spacing w:line="280" w:lineRule="exact"/>
              <w:jc w:val="center"/>
              <w:rPr>
                <w:rFonts w:hint="default" w:hAnsi="宋体"/>
                <w:sz w:val="18"/>
                <w:szCs w:val="18"/>
              </w:rPr>
            </w:pPr>
            <w:r>
              <w:rPr>
                <w:rFonts w:hAnsi="宋体"/>
                <w:sz w:val="18"/>
                <w:szCs w:val="18"/>
              </w:rPr>
              <w:t>形状</w:t>
            </w:r>
          </w:p>
        </w:tc>
        <w:tc>
          <w:tcPr>
            <w:tcW w:w="872" w:type="dxa"/>
            <w:vAlign w:val="center"/>
          </w:tcPr>
          <w:p>
            <w:pPr>
              <w:spacing w:line="280" w:lineRule="exact"/>
              <w:jc w:val="center"/>
              <w:rPr>
                <w:rFonts w:hint="default" w:hAnsi="宋体"/>
                <w:sz w:val="18"/>
                <w:szCs w:val="18"/>
              </w:rPr>
            </w:pPr>
            <w:r>
              <w:rPr>
                <w:rFonts w:hAnsi="宋体"/>
                <w:sz w:val="18"/>
                <w:szCs w:val="18"/>
              </w:rPr>
              <w:t>整碎</w:t>
            </w:r>
          </w:p>
        </w:tc>
        <w:tc>
          <w:tcPr>
            <w:tcW w:w="945" w:type="dxa"/>
            <w:vAlign w:val="center"/>
          </w:tcPr>
          <w:p>
            <w:pPr>
              <w:spacing w:line="280" w:lineRule="exact"/>
              <w:jc w:val="center"/>
              <w:rPr>
                <w:rFonts w:hint="default" w:hAnsi="宋体"/>
                <w:sz w:val="18"/>
                <w:szCs w:val="18"/>
              </w:rPr>
            </w:pPr>
            <w:r>
              <w:rPr>
                <w:rFonts w:hAnsi="宋体"/>
                <w:sz w:val="18"/>
                <w:szCs w:val="18"/>
              </w:rPr>
              <w:t>净度</w:t>
            </w:r>
          </w:p>
        </w:tc>
        <w:tc>
          <w:tcPr>
            <w:tcW w:w="945" w:type="dxa"/>
            <w:vAlign w:val="center"/>
          </w:tcPr>
          <w:p>
            <w:pPr>
              <w:spacing w:line="280" w:lineRule="exact"/>
              <w:jc w:val="center"/>
              <w:rPr>
                <w:rFonts w:hint="default" w:hAnsi="宋体"/>
                <w:sz w:val="18"/>
                <w:szCs w:val="18"/>
              </w:rPr>
            </w:pPr>
            <w:r>
              <w:rPr>
                <w:rFonts w:hAnsi="宋体"/>
                <w:sz w:val="18"/>
                <w:szCs w:val="18"/>
              </w:rPr>
              <w:t>色泽</w:t>
            </w:r>
          </w:p>
        </w:tc>
        <w:tc>
          <w:tcPr>
            <w:tcW w:w="951" w:type="dxa"/>
            <w:vAlign w:val="center"/>
          </w:tcPr>
          <w:p>
            <w:pPr>
              <w:spacing w:line="280" w:lineRule="exact"/>
              <w:jc w:val="center"/>
              <w:rPr>
                <w:rFonts w:hint="default" w:hAnsi="宋体"/>
                <w:sz w:val="18"/>
                <w:szCs w:val="18"/>
              </w:rPr>
            </w:pPr>
            <w:r>
              <w:rPr>
                <w:rFonts w:hAnsi="宋体"/>
                <w:sz w:val="18"/>
                <w:szCs w:val="18"/>
              </w:rPr>
              <w:t>香气</w:t>
            </w:r>
          </w:p>
        </w:tc>
        <w:tc>
          <w:tcPr>
            <w:tcW w:w="992" w:type="dxa"/>
            <w:vAlign w:val="center"/>
          </w:tcPr>
          <w:p>
            <w:pPr>
              <w:spacing w:line="280" w:lineRule="exact"/>
              <w:jc w:val="center"/>
              <w:rPr>
                <w:rFonts w:hint="default" w:hAnsi="宋体"/>
                <w:sz w:val="18"/>
                <w:szCs w:val="18"/>
              </w:rPr>
            </w:pPr>
            <w:r>
              <w:rPr>
                <w:rFonts w:hAnsi="宋体"/>
                <w:sz w:val="18"/>
                <w:szCs w:val="18"/>
              </w:rPr>
              <w:t>滋味</w:t>
            </w:r>
          </w:p>
        </w:tc>
        <w:tc>
          <w:tcPr>
            <w:tcW w:w="1192" w:type="dxa"/>
            <w:vAlign w:val="center"/>
          </w:tcPr>
          <w:p>
            <w:pPr>
              <w:spacing w:line="280" w:lineRule="exact"/>
              <w:jc w:val="center"/>
              <w:rPr>
                <w:rFonts w:hint="default" w:hAnsi="宋体"/>
                <w:sz w:val="18"/>
                <w:szCs w:val="18"/>
              </w:rPr>
            </w:pPr>
            <w:r>
              <w:rPr>
                <w:rFonts w:hAnsi="宋体"/>
                <w:sz w:val="18"/>
                <w:szCs w:val="18"/>
              </w:rPr>
              <w:t>汤色</w:t>
            </w:r>
          </w:p>
        </w:tc>
        <w:tc>
          <w:tcPr>
            <w:tcW w:w="1170" w:type="dxa"/>
            <w:vAlign w:val="center"/>
          </w:tcPr>
          <w:p>
            <w:pPr>
              <w:spacing w:line="280" w:lineRule="exact"/>
              <w:jc w:val="center"/>
              <w:rPr>
                <w:rFonts w:hint="default" w:hAnsi="宋体"/>
                <w:sz w:val="18"/>
                <w:szCs w:val="18"/>
              </w:rPr>
            </w:pPr>
            <w:r>
              <w:rPr>
                <w:rFonts w:hAnsi="宋体"/>
                <w:sz w:val="18"/>
                <w:szCs w:val="18"/>
              </w:rPr>
              <w:t>叶底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cantSplit/>
          <w:trHeight w:val="454" w:hRule="atLeast"/>
        </w:trPr>
        <w:tc>
          <w:tcPr>
            <w:tcW w:w="905" w:type="dxa"/>
            <w:vAlign w:val="center"/>
          </w:tcPr>
          <w:p>
            <w:pPr>
              <w:spacing w:line="240" w:lineRule="exact"/>
              <w:jc w:val="center"/>
              <w:rPr>
                <w:rFonts w:hint="default" w:hAnsi="宋体"/>
                <w:sz w:val="18"/>
                <w:szCs w:val="18"/>
              </w:rPr>
            </w:pPr>
            <w:r>
              <w:rPr>
                <w:rFonts w:hAnsi="宋体"/>
                <w:sz w:val="18"/>
                <w:szCs w:val="18"/>
              </w:rPr>
              <w:t>特种</w:t>
            </w:r>
          </w:p>
        </w:tc>
        <w:tc>
          <w:tcPr>
            <w:tcW w:w="1585" w:type="dxa"/>
            <w:vAlign w:val="center"/>
          </w:tcPr>
          <w:p>
            <w:pPr>
              <w:spacing w:line="240" w:lineRule="exact"/>
              <w:jc w:val="center"/>
              <w:rPr>
                <w:rFonts w:hint="default" w:hAnsi="宋体"/>
                <w:sz w:val="18"/>
                <w:szCs w:val="18"/>
              </w:rPr>
            </w:pPr>
            <w:r>
              <w:rPr>
                <w:rFonts w:hAnsi="宋体"/>
                <w:sz w:val="18"/>
                <w:szCs w:val="18"/>
              </w:rPr>
              <w:t>扁平、卷曲、圆珠或其它特殊造型</w:t>
            </w:r>
          </w:p>
        </w:tc>
        <w:tc>
          <w:tcPr>
            <w:tcW w:w="872" w:type="dxa"/>
            <w:vAlign w:val="center"/>
          </w:tcPr>
          <w:p>
            <w:pPr>
              <w:spacing w:line="240" w:lineRule="exact"/>
              <w:jc w:val="center"/>
              <w:rPr>
                <w:rFonts w:hint="default" w:hAnsi="宋体"/>
                <w:sz w:val="18"/>
                <w:szCs w:val="18"/>
              </w:rPr>
            </w:pPr>
            <w:r>
              <w:rPr>
                <w:rFonts w:hAnsi="宋体"/>
                <w:sz w:val="18"/>
                <w:szCs w:val="18"/>
              </w:rPr>
              <w:t>匀整</w:t>
            </w:r>
          </w:p>
        </w:tc>
        <w:tc>
          <w:tcPr>
            <w:tcW w:w="945" w:type="dxa"/>
            <w:vAlign w:val="center"/>
          </w:tcPr>
          <w:p>
            <w:pPr>
              <w:spacing w:line="240" w:lineRule="exact"/>
              <w:jc w:val="center"/>
              <w:rPr>
                <w:rFonts w:hint="default" w:hAnsi="宋体"/>
                <w:sz w:val="18"/>
                <w:szCs w:val="18"/>
              </w:rPr>
            </w:pPr>
            <w:r>
              <w:rPr>
                <w:rFonts w:hAnsi="宋体"/>
                <w:sz w:val="18"/>
                <w:szCs w:val="18"/>
              </w:rPr>
              <w:t>净</w:t>
            </w:r>
          </w:p>
        </w:tc>
        <w:tc>
          <w:tcPr>
            <w:tcW w:w="945" w:type="dxa"/>
            <w:vAlign w:val="center"/>
          </w:tcPr>
          <w:p>
            <w:pPr>
              <w:spacing w:line="240" w:lineRule="exact"/>
              <w:jc w:val="center"/>
              <w:rPr>
                <w:rFonts w:hint="default" w:hAnsi="宋体"/>
                <w:sz w:val="18"/>
                <w:szCs w:val="18"/>
              </w:rPr>
            </w:pPr>
            <w:r>
              <w:rPr>
                <w:rFonts w:hAnsi="宋体"/>
                <w:sz w:val="18"/>
                <w:szCs w:val="18"/>
              </w:rPr>
              <w:t>黄绿或黄褐至红褐</w:t>
            </w:r>
          </w:p>
        </w:tc>
        <w:tc>
          <w:tcPr>
            <w:tcW w:w="951" w:type="dxa"/>
            <w:vAlign w:val="center"/>
          </w:tcPr>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花香持久</w:t>
            </w:r>
          </w:p>
          <w:p>
            <w:pPr>
              <w:spacing w:line="240" w:lineRule="exact"/>
              <w:jc w:val="center"/>
              <w:rPr>
                <w:rFonts w:hint="default" w:hAnsi="宋体"/>
                <w:sz w:val="18"/>
                <w:szCs w:val="18"/>
              </w:rPr>
            </w:pPr>
            <w:r>
              <w:rPr>
                <w:rFonts w:hAnsi="宋体"/>
                <w:color w:val="000000" w:themeColor="text1"/>
                <w:sz w:val="18"/>
                <w:szCs w:val="18"/>
                <w14:textFill>
                  <w14:solidFill>
                    <w14:schemeClr w14:val="tx1"/>
                  </w14:solidFill>
                </w14:textFill>
              </w:rPr>
              <w:t>陈香浓</w:t>
            </w:r>
          </w:p>
        </w:tc>
        <w:tc>
          <w:tcPr>
            <w:tcW w:w="992" w:type="dxa"/>
            <w:vAlign w:val="center"/>
          </w:tcPr>
          <w:p>
            <w:pPr>
              <w:spacing w:line="240" w:lineRule="exact"/>
              <w:jc w:val="center"/>
              <w:rPr>
                <w:rFonts w:hint="default"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醇厚甘滑</w:t>
            </w:r>
          </w:p>
          <w:p>
            <w:pPr>
              <w:spacing w:line="240" w:lineRule="exact"/>
              <w:jc w:val="center"/>
              <w:rPr>
                <w:rFonts w:hint="default" w:hAnsi="宋体"/>
                <w:sz w:val="18"/>
                <w:szCs w:val="18"/>
              </w:rPr>
            </w:pPr>
            <w:r>
              <w:rPr>
                <w:rFonts w:hAnsi="宋体"/>
                <w:color w:val="000000" w:themeColor="text1"/>
                <w:sz w:val="18"/>
                <w:szCs w:val="18"/>
                <w14:textFill>
                  <w14:solidFill>
                    <w14:schemeClr w14:val="tx1"/>
                  </w14:solidFill>
                </w14:textFill>
              </w:rPr>
              <w:t>陈韵显</w:t>
            </w:r>
          </w:p>
        </w:tc>
        <w:tc>
          <w:tcPr>
            <w:tcW w:w="1192" w:type="dxa"/>
            <w:vAlign w:val="center"/>
          </w:tcPr>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黄至橙黄</w:t>
            </w:r>
          </w:p>
          <w:p>
            <w:pPr>
              <w:spacing w:line="240" w:lineRule="exact"/>
              <w:jc w:val="center"/>
              <w:rPr>
                <w:rFonts w:hint="default" w:hAnsi="宋体"/>
                <w:sz w:val="18"/>
                <w:szCs w:val="18"/>
              </w:rPr>
            </w:pPr>
            <w:r>
              <w:rPr>
                <w:rFonts w:hAnsi="宋体"/>
                <w:color w:val="000000" w:themeColor="text1"/>
                <w:sz w:val="18"/>
                <w:szCs w:val="18"/>
                <w14:textFill>
                  <w14:solidFill>
                    <w14:schemeClr w14:val="tx1"/>
                  </w14:solidFill>
                </w14:textFill>
              </w:rPr>
              <w:t>清澈明亮</w:t>
            </w:r>
          </w:p>
        </w:tc>
        <w:tc>
          <w:tcPr>
            <w:tcW w:w="1170" w:type="dxa"/>
            <w:vAlign w:val="center"/>
          </w:tcPr>
          <w:p>
            <w:pPr>
              <w:spacing w:line="240" w:lineRule="exact"/>
              <w:jc w:val="center"/>
              <w:rPr>
                <w:rFonts w:hint="default" w:hAnsi="宋体"/>
                <w:sz w:val="18"/>
                <w:szCs w:val="18"/>
              </w:rPr>
            </w:pPr>
            <w:r>
              <w:rPr>
                <w:rFonts w:hAnsi="宋体"/>
                <w:sz w:val="18"/>
                <w:szCs w:val="18"/>
              </w:rPr>
              <w:t>黄绿至橙红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cantSplit/>
          <w:trHeight w:val="454" w:hRule="atLeast"/>
        </w:trPr>
        <w:tc>
          <w:tcPr>
            <w:tcW w:w="905" w:type="dxa"/>
            <w:vAlign w:val="center"/>
          </w:tcPr>
          <w:p>
            <w:pPr>
              <w:spacing w:line="240" w:lineRule="exact"/>
              <w:jc w:val="center"/>
              <w:rPr>
                <w:rFonts w:hint="default" w:hAnsi="宋体"/>
                <w:sz w:val="18"/>
                <w:szCs w:val="18"/>
              </w:rPr>
            </w:pPr>
            <w:r>
              <w:rPr>
                <w:rFonts w:hAnsi="宋体"/>
                <w:sz w:val="18"/>
                <w:szCs w:val="18"/>
              </w:rPr>
              <w:t>特级</w:t>
            </w:r>
          </w:p>
        </w:tc>
        <w:tc>
          <w:tcPr>
            <w:tcW w:w="1585" w:type="dxa"/>
            <w:vAlign w:val="center"/>
          </w:tcPr>
          <w:p>
            <w:pPr>
              <w:spacing w:line="240" w:lineRule="exact"/>
              <w:jc w:val="center"/>
              <w:rPr>
                <w:rFonts w:hint="default" w:hAnsi="宋体"/>
                <w:sz w:val="18"/>
                <w:szCs w:val="18"/>
              </w:rPr>
            </w:pPr>
            <w:r>
              <w:rPr>
                <w:rFonts w:hAnsi="宋体"/>
                <w:sz w:val="18"/>
                <w:szCs w:val="18"/>
              </w:rPr>
              <w:t>紧结</w:t>
            </w:r>
          </w:p>
          <w:p>
            <w:pPr>
              <w:spacing w:line="240" w:lineRule="exact"/>
              <w:jc w:val="center"/>
              <w:rPr>
                <w:rFonts w:hint="default" w:hAnsi="宋体"/>
                <w:sz w:val="18"/>
                <w:szCs w:val="18"/>
              </w:rPr>
            </w:pPr>
            <w:r>
              <w:rPr>
                <w:rFonts w:hAnsi="宋体"/>
                <w:sz w:val="18"/>
                <w:szCs w:val="18"/>
              </w:rPr>
              <w:t>显锋苗</w:t>
            </w:r>
          </w:p>
        </w:tc>
        <w:tc>
          <w:tcPr>
            <w:tcW w:w="872" w:type="dxa"/>
            <w:vAlign w:val="center"/>
          </w:tcPr>
          <w:p>
            <w:pPr>
              <w:spacing w:line="240" w:lineRule="exact"/>
              <w:jc w:val="center"/>
              <w:rPr>
                <w:rFonts w:hint="default" w:hAnsi="宋体"/>
                <w:sz w:val="18"/>
                <w:szCs w:val="18"/>
              </w:rPr>
            </w:pPr>
            <w:r>
              <w:rPr>
                <w:rFonts w:hAnsi="宋体"/>
                <w:sz w:val="18"/>
                <w:szCs w:val="18"/>
              </w:rPr>
              <w:t>匀整</w:t>
            </w:r>
          </w:p>
        </w:tc>
        <w:tc>
          <w:tcPr>
            <w:tcW w:w="945" w:type="dxa"/>
            <w:vAlign w:val="center"/>
          </w:tcPr>
          <w:p>
            <w:pPr>
              <w:spacing w:line="240" w:lineRule="exact"/>
              <w:jc w:val="center"/>
              <w:rPr>
                <w:rFonts w:hint="default" w:hAnsi="宋体"/>
                <w:sz w:val="18"/>
                <w:szCs w:val="18"/>
              </w:rPr>
            </w:pPr>
            <w:r>
              <w:rPr>
                <w:rFonts w:hAnsi="宋体"/>
                <w:sz w:val="18"/>
                <w:szCs w:val="18"/>
              </w:rPr>
              <w:t>洁净</w:t>
            </w:r>
          </w:p>
        </w:tc>
        <w:tc>
          <w:tcPr>
            <w:tcW w:w="945" w:type="dxa"/>
            <w:vAlign w:val="center"/>
          </w:tcPr>
          <w:p>
            <w:pPr>
              <w:spacing w:line="240" w:lineRule="exact"/>
              <w:jc w:val="center"/>
              <w:rPr>
                <w:rFonts w:hint="default" w:hAnsi="宋体"/>
                <w:sz w:val="18"/>
                <w:szCs w:val="18"/>
              </w:rPr>
            </w:pPr>
            <w:r>
              <w:rPr>
                <w:rFonts w:hAnsi="宋体"/>
                <w:sz w:val="18"/>
                <w:szCs w:val="18"/>
              </w:rPr>
              <w:t>绿黄</w:t>
            </w:r>
          </w:p>
          <w:p>
            <w:pPr>
              <w:spacing w:line="240" w:lineRule="exact"/>
              <w:jc w:val="center"/>
              <w:rPr>
                <w:rFonts w:hint="default" w:hAnsi="宋体"/>
                <w:sz w:val="18"/>
                <w:szCs w:val="18"/>
              </w:rPr>
            </w:pPr>
            <w:r>
              <w:rPr>
                <w:rFonts w:hAnsi="宋体"/>
                <w:sz w:val="18"/>
                <w:szCs w:val="18"/>
              </w:rPr>
              <w:t>至红褐</w:t>
            </w:r>
          </w:p>
        </w:tc>
        <w:tc>
          <w:tcPr>
            <w:tcW w:w="951" w:type="dxa"/>
            <w:vAlign w:val="center"/>
          </w:tcPr>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有花香</w:t>
            </w:r>
          </w:p>
          <w:p>
            <w:pPr>
              <w:spacing w:line="240" w:lineRule="exact"/>
              <w:jc w:val="center"/>
              <w:rPr>
                <w:rFonts w:hint="default" w:hAnsi="宋体"/>
                <w:sz w:val="18"/>
                <w:szCs w:val="18"/>
              </w:rPr>
            </w:pPr>
            <w:r>
              <w:rPr>
                <w:rFonts w:hAnsi="宋体"/>
                <w:color w:val="000000" w:themeColor="text1"/>
                <w:sz w:val="18"/>
                <w:szCs w:val="18"/>
                <w14:textFill>
                  <w14:solidFill>
                    <w14:schemeClr w14:val="tx1"/>
                  </w14:solidFill>
                </w14:textFill>
              </w:rPr>
              <w:t>陈香较浓</w:t>
            </w:r>
          </w:p>
        </w:tc>
        <w:tc>
          <w:tcPr>
            <w:tcW w:w="992" w:type="dxa"/>
            <w:vAlign w:val="center"/>
          </w:tcPr>
          <w:p>
            <w:pPr>
              <w:pStyle w:val="131"/>
              <w:spacing w:line="240" w:lineRule="exact"/>
              <w:ind w:firstLine="0" w:firstLine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醇和</w:t>
            </w:r>
          </w:p>
          <w:p>
            <w:pPr>
              <w:spacing w:line="240" w:lineRule="exact"/>
              <w:jc w:val="center"/>
              <w:rPr>
                <w:rFonts w:hint="default" w:hAnsi="宋体"/>
                <w:sz w:val="18"/>
                <w:szCs w:val="18"/>
              </w:rPr>
            </w:pPr>
            <w:r>
              <w:rPr>
                <w:rFonts w:hAnsi="宋体"/>
                <w:color w:val="000000" w:themeColor="text1"/>
                <w:sz w:val="18"/>
                <w:szCs w:val="18"/>
                <w14:textFill>
                  <w14:solidFill>
                    <w14:schemeClr w14:val="tx1"/>
                  </w14:solidFill>
                </w14:textFill>
              </w:rPr>
              <w:t>陈韵较显</w:t>
            </w:r>
          </w:p>
        </w:tc>
        <w:tc>
          <w:tcPr>
            <w:tcW w:w="1192" w:type="dxa"/>
            <w:vAlign w:val="center"/>
          </w:tcPr>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黄至橙红</w:t>
            </w:r>
          </w:p>
          <w:p>
            <w:pPr>
              <w:spacing w:line="240" w:lineRule="exact"/>
              <w:jc w:val="center"/>
              <w:rPr>
                <w:rFonts w:hint="default" w:hAnsi="宋体"/>
                <w:sz w:val="18"/>
                <w:szCs w:val="18"/>
              </w:rPr>
            </w:pPr>
            <w:r>
              <w:rPr>
                <w:rFonts w:hAnsi="宋体"/>
                <w:color w:val="000000" w:themeColor="text1"/>
                <w:sz w:val="18"/>
                <w:szCs w:val="18"/>
                <w14:textFill>
                  <w14:solidFill>
                    <w14:schemeClr w14:val="tx1"/>
                  </w14:solidFill>
                </w14:textFill>
              </w:rPr>
              <w:t>明亮</w:t>
            </w:r>
          </w:p>
        </w:tc>
        <w:tc>
          <w:tcPr>
            <w:tcW w:w="1170" w:type="dxa"/>
            <w:vAlign w:val="center"/>
          </w:tcPr>
          <w:p>
            <w:pPr>
              <w:spacing w:line="240" w:lineRule="exact"/>
              <w:jc w:val="center"/>
              <w:rPr>
                <w:rFonts w:hint="default" w:hAnsi="宋体"/>
                <w:sz w:val="18"/>
                <w:szCs w:val="18"/>
              </w:rPr>
            </w:pPr>
            <w:r>
              <w:rPr>
                <w:rFonts w:hAnsi="宋体"/>
                <w:sz w:val="18"/>
                <w:szCs w:val="18"/>
              </w:rPr>
              <w:t>嫩匀，黄绿至橙红明亮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cantSplit/>
          <w:trHeight w:val="454" w:hRule="atLeast"/>
        </w:trPr>
        <w:tc>
          <w:tcPr>
            <w:tcW w:w="905" w:type="dxa"/>
            <w:vAlign w:val="center"/>
          </w:tcPr>
          <w:p>
            <w:pPr>
              <w:spacing w:line="240" w:lineRule="exact"/>
              <w:jc w:val="center"/>
              <w:rPr>
                <w:rFonts w:hint="default" w:hAnsi="宋体"/>
                <w:sz w:val="18"/>
                <w:szCs w:val="18"/>
              </w:rPr>
            </w:pPr>
            <w:r>
              <w:rPr>
                <w:rFonts w:hAnsi="宋体"/>
                <w:sz w:val="18"/>
                <w:szCs w:val="18"/>
              </w:rPr>
              <w:t>一级</w:t>
            </w:r>
          </w:p>
        </w:tc>
        <w:tc>
          <w:tcPr>
            <w:tcW w:w="1585" w:type="dxa"/>
            <w:vAlign w:val="center"/>
          </w:tcPr>
          <w:p>
            <w:pPr>
              <w:spacing w:line="240" w:lineRule="exact"/>
              <w:jc w:val="center"/>
              <w:rPr>
                <w:rFonts w:hint="default" w:hAnsi="宋体"/>
                <w:sz w:val="18"/>
                <w:szCs w:val="18"/>
              </w:rPr>
            </w:pPr>
            <w:r>
              <w:rPr>
                <w:rFonts w:hAnsi="宋体"/>
                <w:sz w:val="18"/>
                <w:szCs w:val="18"/>
              </w:rPr>
              <w:t>紧结</w:t>
            </w:r>
          </w:p>
        </w:tc>
        <w:tc>
          <w:tcPr>
            <w:tcW w:w="872" w:type="dxa"/>
            <w:vAlign w:val="center"/>
          </w:tcPr>
          <w:p>
            <w:pPr>
              <w:spacing w:line="240" w:lineRule="exact"/>
              <w:jc w:val="center"/>
              <w:rPr>
                <w:rFonts w:hint="default" w:hAnsi="宋体"/>
                <w:sz w:val="18"/>
                <w:szCs w:val="18"/>
              </w:rPr>
            </w:pPr>
            <w:r>
              <w:rPr>
                <w:rFonts w:hAnsi="宋体"/>
                <w:sz w:val="18"/>
                <w:szCs w:val="18"/>
              </w:rPr>
              <w:t>匀整</w:t>
            </w:r>
          </w:p>
        </w:tc>
        <w:tc>
          <w:tcPr>
            <w:tcW w:w="945" w:type="dxa"/>
            <w:vAlign w:val="center"/>
          </w:tcPr>
          <w:p>
            <w:pPr>
              <w:spacing w:line="240" w:lineRule="exact"/>
              <w:jc w:val="center"/>
              <w:rPr>
                <w:rFonts w:hint="default" w:hAnsi="宋体"/>
                <w:sz w:val="18"/>
                <w:szCs w:val="18"/>
              </w:rPr>
            </w:pPr>
            <w:r>
              <w:rPr>
                <w:rFonts w:hAnsi="宋体"/>
                <w:sz w:val="18"/>
                <w:szCs w:val="18"/>
              </w:rPr>
              <w:t>净</w:t>
            </w:r>
          </w:p>
        </w:tc>
        <w:tc>
          <w:tcPr>
            <w:tcW w:w="945" w:type="dxa"/>
            <w:vAlign w:val="center"/>
          </w:tcPr>
          <w:p>
            <w:pPr>
              <w:spacing w:line="240" w:lineRule="exact"/>
              <w:jc w:val="center"/>
              <w:rPr>
                <w:rFonts w:hint="default" w:hAnsi="宋体"/>
                <w:sz w:val="18"/>
                <w:szCs w:val="18"/>
              </w:rPr>
            </w:pPr>
            <w:r>
              <w:rPr>
                <w:rFonts w:hAnsi="宋体"/>
                <w:sz w:val="18"/>
                <w:szCs w:val="18"/>
              </w:rPr>
              <w:t>绿黄</w:t>
            </w:r>
          </w:p>
          <w:p>
            <w:pPr>
              <w:spacing w:line="240" w:lineRule="exact"/>
              <w:jc w:val="center"/>
              <w:rPr>
                <w:rFonts w:hint="default" w:hAnsi="宋体"/>
                <w:sz w:val="18"/>
                <w:szCs w:val="18"/>
              </w:rPr>
            </w:pPr>
            <w:r>
              <w:rPr>
                <w:rFonts w:hAnsi="宋体"/>
                <w:sz w:val="18"/>
                <w:szCs w:val="18"/>
              </w:rPr>
              <w:t>至红褐</w:t>
            </w:r>
          </w:p>
        </w:tc>
        <w:tc>
          <w:tcPr>
            <w:tcW w:w="951" w:type="dxa"/>
            <w:vAlign w:val="center"/>
          </w:tcPr>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有花香</w:t>
            </w:r>
          </w:p>
          <w:p>
            <w:pPr>
              <w:spacing w:line="240" w:lineRule="exact"/>
              <w:jc w:val="center"/>
              <w:rPr>
                <w:rFonts w:hint="default" w:hAnsi="宋体"/>
                <w:sz w:val="18"/>
                <w:szCs w:val="18"/>
              </w:rPr>
            </w:pPr>
            <w:r>
              <w:rPr>
                <w:rFonts w:hAnsi="宋体"/>
                <w:color w:val="000000" w:themeColor="text1"/>
                <w:sz w:val="18"/>
                <w:szCs w:val="18"/>
                <w14:textFill>
                  <w14:solidFill>
                    <w14:schemeClr w14:val="tx1"/>
                  </w14:solidFill>
                </w14:textFill>
              </w:rPr>
              <w:t>陈香较浓</w:t>
            </w:r>
          </w:p>
        </w:tc>
        <w:tc>
          <w:tcPr>
            <w:tcW w:w="992" w:type="dxa"/>
            <w:vAlign w:val="center"/>
          </w:tcPr>
          <w:p>
            <w:pPr>
              <w:pStyle w:val="131"/>
              <w:spacing w:line="240" w:lineRule="exact"/>
              <w:ind w:firstLine="0" w:firstLine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醇和</w:t>
            </w:r>
          </w:p>
          <w:p>
            <w:pPr>
              <w:spacing w:line="240" w:lineRule="exact"/>
              <w:jc w:val="center"/>
              <w:rPr>
                <w:rFonts w:hint="default" w:hAnsi="宋体"/>
                <w:sz w:val="18"/>
                <w:szCs w:val="18"/>
              </w:rPr>
            </w:pPr>
            <w:r>
              <w:rPr>
                <w:rFonts w:hAnsi="宋体"/>
                <w:color w:val="000000" w:themeColor="text1"/>
                <w:sz w:val="18"/>
                <w:szCs w:val="18"/>
                <w14:textFill>
                  <w14:solidFill>
                    <w14:schemeClr w14:val="tx1"/>
                  </w14:solidFill>
                </w14:textFill>
              </w:rPr>
              <w:t>陈韵较显</w:t>
            </w:r>
          </w:p>
        </w:tc>
        <w:tc>
          <w:tcPr>
            <w:tcW w:w="1192" w:type="dxa"/>
            <w:vAlign w:val="center"/>
          </w:tcPr>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黄至橙红</w:t>
            </w:r>
          </w:p>
          <w:p>
            <w:pPr>
              <w:spacing w:line="240" w:lineRule="exact"/>
              <w:jc w:val="center"/>
              <w:rPr>
                <w:rFonts w:hint="default" w:hAnsi="宋体"/>
                <w:sz w:val="18"/>
                <w:szCs w:val="18"/>
              </w:rPr>
            </w:pPr>
            <w:r>
              <w:rPr>
                <w:rFonts w:hAnsi="宋体"/>
                <w:color w:val="000000" w:themeColor="text1"/>
                <w:sz w:val="18"/>
                <w:szCs w:val="18"/>
                <w14:textFill>
                  <w14:solidFill>
                    <w14:schemeClr w14:val="tx1"/>
                  </w14:solidFill>
                </w14:textFill>
              </w:rPr>
              <w:t>明亮</w:t>
            </w:r>
          </w:p>
        </w:tc>
        <w:tc>
          <w:tcPr>
            <w:tcW w:w="1170" w:type="dxa"/>
            <w:vAlign w:val="center"/>
          </w:tcPr>
          <w:p>
            <w:pPr>
              <w:spacing w:line="240" w:lineRule="exact"/>
              <w:jc w:val="center"/>
              <w:rPr>
                <w:rFonts w:hint="default" w:hAnsi="宋体"/>
                <w:sz w:val="18"/>
                <w:szCs w:val="18"/>
              </w:rPr>
            </w:pPr>
            <w:r>
              <w:rPr>
                <w:rFonts w:hAnsi="宋体"/>
                <w:sz w:val="18"/>
                <w:szCs w:val="18"/>
              </w:rPr>
              <w:t>嫩匀，黄绿至橙红明亮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cantSplit/>
          <w:trHeight w:val="454" w:hRule="atLeast"/>
        </w:trPr>
        <w:tc>
          <w:tcPr>
            <w:tcW w:w="905" w:type="dxa"/>
            <w:vAlign w:val="center"/>
          </w:tcPr>
          <w:p>
            <w:pPr>
              <w:spacing w:line="240" w:lineRule="exact"/>
              <w:jc w:val="center"/>
              <w:rPr>
                <w:rFonts w:hint="default" w:hAnsi="宋体"/>
                <w:sz w:val="18"/>
                <w:szCs w:val="18"/>
              </w:rPr>
            </w:pPr>
            <w:r>
              <w:rPr>
                <w:rFonts w:hAnsi="宋体"/>
                <w:sz w:val="18"/>
                <w:szCs w:val="18"/>
              </w:rPr>
              <w:t>二级</w:t>
            </w:r>
          </w:p>
        </w:tc>
        <w:tc>
          <w:tcPr>
            <w:tcW w:w="1585" w:type="dxa"/>
            <w:vAlign w:val="center"/>
          </w:tcPr>
          <w:p>
            <w:pPr>
              <w:spacing w:line="240" w:lineRule="exact"/>
              <w:jc w:val="center"/>
              <w:rPr>
                <w:rFonts w:hint="default" w:hAnsi="宋体"/>
                <w:sz w:val="18"/>
                <w:szCs w:val="18"/>
              </w:rPr>
            </w:pPr>
            <w:r>
              <w:rPr>
                <w:rFonts w:hAnsi="宋体"/>
                <w:sz w:val="18"/>
                <w:szCs w:val="18"/>
              </w:rPr>
              <w:t>紧实</w:t>
            </w:r>
          </w:p>
        </w:tc>
        <w:tc>
          <w:tcPr>
            <w:tcW w:w="872" w:type="dxa"/>
            <w:vAlign w:val="center"/>
          </w:tcPr>
          <w:p>
            <w:pPr>
              <w:spacing w:line="240" w:lineRule="exact"/>
              <w:jc w:val="center"/>
              <w:rPr>
                <w:rFonts w:hint="default" w:hAnsi="宋体"/>
                <w:sz w:val="18"/>
                <w:szCs w:val="18"/>
              </w:rPr>
            </w:pPr>
            <w:r>
              <w:rPr>
                <w:rFonts w:hAnsi="宋体"/>
                <w:sz w:val="18"/>
                <w:szCs w:val="18"/>
              </w:rPr>
              <w:t>匀整</w:t>
            </w:r>
          </w:p>
        </w:tc>
        <w:tc>
          <w:tcPr>
            <w:tcW w:w="945" w:type="dxa"/>
            <w:vAlign w:val="center"/>
          </w:tcPr>
          <w:p>
            <w:pPr>
              <w:spacing w:line="240" w:lineRule="exact"/>
              <w:jc w:val="center"/>
              <w:rPr>
                <w:rFonts w:hint="default" w:hAnsi="宋体"/>
                <w:sz w:val="18"/>
                <w:szCs w:val="18"/>
              </w:rPr>
            </w:pPr>
            <w:r>
              <w:rPr>
                <w:rFonts w:hAnsi="宋体"/>
                <w:sz w:val="18"/>
                <w:szCs w:val="18"/>
              </w:rPr>
              <w:t>稍有嫩茎</w:t>
            </w:r>
          </w:p>
        </w:tc>
        <w:tc>
          <w:tcPr>
            <w:tcW w:w="945" w:type="dxa"/>
            <w:vAlign w:val="center"/>
          </w:tcPr>
          <w:p>
            <w:pPr>
              <w:spacing w:line="240" w:lineRule="exact"/>
              <w:jc w:val="center"/>
              <w:rPr>
                <w:rFonts w:hint="default" w:hAnsi="宋体"/>
                <w:sz w:val="18"/>
                <w:szCs w:val="18"/>
              </w:rPr>
            </w:pPr>
            <w:r>
              <w:rPr>
                <w:rFonts w:hAnsi="宋体"/>
                <w:sz w:val="18"/>
                <w:szCs w:val="18"/>
              </w:rPr>
              <w:t>绿黄</w:t>
            </w:r>
          </w:p>
          <w:p>
            <w:pPr>
              <w:spacing w:line="240" w:lineRule="exact"/>
              <w:jc w:val="center"/>
              <w:rPr>
                <w:rFonts w:hint="default" w:hAnsi="宋体"/>
                <w:sz w:val="18"/>
                <w:szCs w:val="18"/>
              </w:rPr>
            </w:pPr>
            <w:r>
              <w:rPr>
                <w:rFonts w:hAnsi="宋体"/>
                <w:sz w:val="18"/>
                <w:szCs w:val="18"/>
              </w:rPr>
              <w:t>至红褐</w:t>
            </w:r>
          </w:p>
        </w:tc>
        <w:tc>
          <w:tcPr>
            <w:tcW w:w="951" w:type="dxa"/>
            <w:vAlign w:val="center"/>
          </w:tcPr>
          <w:p>
            <w:pPr>
              <w:spacing w:line="240" w:lineRule="exact"/>
              <w:jc w:val="center"/>
              <w:rPr>
                <w:rFonts w:hint="default"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陈香</w:t>
            </w:r>
          </w:p>
          <w:p>
            <w:pPr>
              <w:spacing w:line="240" w:lineRule="exact"/>
              <w:jc w:val="center"/>
              <w:rPr>
                <w:rFonts w:hint="default" w:hAnsi="宋体"/>
                <w:sz w:val="18"/>
                <w:szCs w:val="18"/>
              </w:rPr>
            </w:pPr>
            <w:r>
              <w:rPr>
                <w:rFonts w:hAnsi="宋体"/>
                <w:color w:val="000000" w:themeColor="text1"/>
                <w:sz w:val="18"/>
                <w:szCs w:val="18"/>
                <w14:textFill>
                  <w14:solidFill>
                    <w14:schemeClr w14:val="tx1"/>
                  </w14:solidFill>
                </w14:textFill>
              </w:rPr>
              <w:t>较浓纯</w:t>
            </w:r>
          </w:p>
        </w:tc>
        <w:tc>
          <w:tcPr>
            <w:tcW w:w="992" w:type="dxa"/>
            <w:vAlign w:val="center"/>
          </w:tcPr>
          <w:p>
            <w:pPr>
              <w:pStyle w:val="131"/>
              <w:spacing w:line="240" w:lineRule="exact"/>
              <w:ind w:firstLine="0" w:firstLine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醇和</w:t>
            </w:r>
          </w:p>
          <w:p>
            <w:pPr>
              <w:spacing w:line="240" w:lineRule="exact"/>
              <w:jc w:val="center"/>
              <w:rPr>
                <w:rFonts w:hint="default" w:hAnsi="宋体"/>
                <w:sz w:val="18"/>
                <w:szCs w:val="18"/>
              </w:rPr>
            </w:pPr>
            <w:r>
              <w:rPr>
                <w:rFonts w:hAnsi="宋体"/>
                <w:color w:val="000000" w:themeColor="text1"/>
                <w:sz w:val="18"/>
                <w:szCs w:val="18"/>
                <w14:textFill>
                  <w14:solidFill>
                    <w14:schemeClr w14:val="tx1"/>
                  </w14:solidFill>
                </w14:textFill>
              </w:rPr>
              <w:t>有陈韵</w:t>
            </w:r>
          </w:p>
        </w:tc>
        <w:tc>
          <w:tcPr>
            <w:tcW w:w="1192" w:type="dxa"/>
            <w:vAlign w:val="center"/>
          </w:tcPr>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黄至橙红</w:t>
            </w:r>
          </w:p>
          <w:p>
            <w:pPr>
              <w:spacing w:line="240" w:lineRule="exact"/>
              <w:jc w:val="center"/>
              <w:rPr>
                <w:rFonts w:hint="default" w:hAnsi="宋体"/>
                <w:sz w:val="18"/>
                <w:szCs w:val="18"/>
              </w:rPr>
            </w:pPr>
            <w:r>
              <w:rPr>
                <w:rFonts w:hAnsi="宋体"/>
                <w:color w:val="000000" w:themeColor="text1"/>
                <w:sz w:val="18"/>
                <w:szCs w:val="18"/>
                <w14:textFill>
                  <w14:solidFill>
                    <w14:schemeClr w14:val="tx1"/>
                  </w14:solidFill>
                </w14:textFill>
              </w:rPr>
              <w:t>较亮</w:t>
            </w:r>
          </w:p>
        </w:tc>
        <w:tc>
          <w:tcPr>
            <w:tcW w:w="1170" w:type="dxa"/>
            <w:vAlign w:val="center"/>
          </w:tcPr>
          <w:p>
            <w:pPr>
              <w:spacing w:line="240" w:lineRule="exact"/>
              <w:jc w:val="center"/>
              <w:rPr>
                <w:rFonts w:hint="default" w:hAnsi="宋体"/>
                <w:sz w:val="18"/>
                <w:szCs w:val="18"/>
              </w:rPr>
            </w:pPr>
            <w:r>
              <w:rPr>
                <w:rFonts w:hAnsi="宋体"/>
                <w:sz w:val="18"/>
                <w:szCs w:val="18"/>
              </w:rPr>
              <w:t>尚匀，黄绿</w:t>
            </w:r>
          </w:p>
          <w:p>
            <w:pPr>
              <w:spacing w:line="240" w:lineRule="exact"/>
              <w:jc w:val="center"/>
              <w:rPr>
                <w:rFonts w:hint="default" w:hAnsi="宋体"/>
                <w:sz w:val="18"/>
                <w:szCs w:val="18"/>
              </w:rPr>
            </w:pPr>
            <w:r>
              <w:rPr>
                <w:rFonts w:hAnsi="宋体"/>
                <w:sz w:val="18"/>
                <w:szCs w:val="18"/>
              </w:rPr>
              <w:t>至橙红明亮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cantSplit/>
          <w:trHeight w:val="454" w:hRule="atLeast"/>
        </w:trPr>
        <w:tc>
          <w:tcPr>
            <w:tcW w:w="905" w:type="dxa"/>
            <w:vAlign w:val="center"/>
          </w:tcPr>
          <w:p>
            <w:pPr>
              <w:spacing w:line="240" w:lineRule="exact"/>
              <w:jc w:val="center"/>
              <w:rPr>
                <w:rFonts w:hint="default" w:hAnsi="宋体"/>
                <w:sz w:val="18"/>
                <w:szCs w:val="18"/>
              </w:rPr>
            </w:pPr>
            <w:r>
              <w:rPr>
                <w:rFonts w:hAnsi="宋体"/>
                <w:sz w:val="18"/>
                <w:szCs w:val="18"/>
              </w:rPr>
              <w:t>三级</w:t>
            </w:r>
          </w:p>
        </w:tc>
        <w:tc>
          <w:tcPr>
            <w:tcW w:w="1585" w:type="dxa"/>
            <w:vAlign w:val="center"/>
          </w:tcPr>
          <w:p>
            <w:pPr>
              <w:spacing w:line="240" w:lineRule="exact"/>
              <w:jc w:val="center"/>
              <w:rPr>
                <w:rFonts w:hint="default" w:hAnsi="宋体"/>
                <w:sz w:val="18"/>
                <w:szCs w:val="18"/>
              </w:rPr>
            </w:pPr>
            <w:r>
              <w:rPr>
                <w:rFonts w:hAnsi="宋体"/>
                <w:sz w:val="18"/>
                <w:szCs w:val="18"/>
              </w:rPr>
              <w:t>尚紧实</w:t>
            </w:r>
          </w:p>
        </w:tc>
        <w:tc>
          <w:tcPr>
            <w:tcW w:w="872" w:type="dxa"/>
            <w:vAlign w:val="center"/>
          </w:tcPr>
          <w:p>
            <w:pPr>
              <w:spacing w:line="240" w:lineRule="exact"/>
              <w:jc w:val="center"/>
              <w:rPr>
                <w:rFonts w:hint="default" w:hAnsi="宋体"/>
                <w:sz w:val="18"/>
                <w:szCs w:val="18"/>
              </w:rPr>
            </w:pPr>
            <w:r>
              <w:rPr>
                <w:rFonts w:hAnsi="宋体"/>
                <w:sz w:val="18"/>
                <w:szCs w:val="18"/>
              </w:rPr>
              <w:t>尚匀整</w:t>
            </w:r>
          </w:p>
        </w:tc>
        <w:tc>
          <w:tcPr>
            <w:tcW w:w="945" w:type="dxa"/>
            <w:vAlign w:val="center"/>
          </w:tcPr>
          <w:p>
            <w:pPr>
              <w:spacing w:line="240" w:lineRule="exact"/>
              <w:jc w:val="center"/>
              <w:rPr>
                <w:rFonts w:hint="default" w:hAnsi="宋体"/>
                <w:sz w:val="18"/>
                <w:szCs w:val="18"/>
              </w:rPr>
            </w:pPr>
            <w:r>
              <w:rPr>
                <w:rFonts w:hAnsi="宋体"/>
                <w:sz w:val="18"/>
                <w:szCs w:val="18"/>
              </w:rPr>
              <w:t>有筋梗</w:t>
            </w:r>
          </w:p>
        </w:tc>
        <w:tc>
          <w:tcPr>
            <w:tcW w:w="945" w:type="dxa"/>
            <w:vAlign w:val="center"/>
          </w:tcPr>
          <w:p>
            <w:pPr>
              <w:spacing w:line="240" w:lineRule="exact"/>
              <w:jc w:val="center"/>
              <w:rPr>
                <w:rFonts w:hint="default" w:hAnsi="宋体"/>
                <w:sz w:val="18"/>
                <w:szCs w:val="18"/>
              </w:rPr>
            </w:pPr>
            <w:r>
              <w:rPr>
                <w:rFonts w:hAnsi="宋体"/>
                <w:sz w:val="18"/>
                <w:szCs w:val="18"/>
              </w:rPr>
              <w:t>绿黄</w:t>
            </w:r>
          </w:p>
          <w:p>
            <w:pPr>
              <w:spacing w:line="240" w:lineRule="exact"/>
              <w:jc w:val="center"/>
              <w:rPr>
                <w:rFonts w:hint="default" w:hAnsi="宋体"/>
                <w:sz w:val="18"/>
                <w:szCs w:val="18"/>
              </w:rPr>
            </w:pPr>
            <w:r>
              <w:rPr>
                <w:rFonts w:hAnsi="宋体"/>
                <w:sz w:val="18"/>
                <w:szCs w:val="18"/>
              </w:rPr>
              <w:t>至红褐</w:t>
            </w:r>
          </w:p>
        </w:tc>
        <w:tc>
          <w:tcPr>
            <w:tcW w:w="951" w:type="dxa"/>
            <w:vAlign w:val="center"/>
          </w:tcPr>
          <w:p>
            <w:pPr>
              <w:spacing w:line="240" w:lineRule="exact"/>
              <w:jc w:val="center"/>
              <w:rPr>
                <w:rFonts w:hint="default"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陈香</w:t>
            </w:r>
          </w:p>
          <w:p>
            <w:pPr>
              <w:spacing w:line="240" w:lineRule="exact"/>
              <w:jc w:val="center"/>
              <w:rPr>
                <w:rFonts w:hint="default" w:hAnsi="宋体"/>
                <w:sz w:val="18"/>
                <w:szCs w:val="18"/>
              </w:rPr>
            </w:pPr>
            <w:r>
              <w:rPr>
                <w:rFonts w:hAnsi="宋体"/>
                <w:color w:val="000000" w:themeColor="text1"/>
                <w:sz w:val="18"/>
                <w:szCs w:val="18"/>
                <w14:textFill>
                  <w14:solidFill>
                    <w14:schemeClr w14:val="tx1"/>
                  </w14:solidFill>
                </w14:textFill>
              </w:rPr>
              <w:t>尚浓纯</w:t>
            </w:r>
          </w:p>
        </w:tc>
        <w:tc>
          <w:tcPr>
            <w:tcW w:w="992" w:type="dxa"/>
            <w:vAlign w:val="center"/>
          </w:tcPr>
          <w:p>
            <w:pPr>
              <w:pStyle w:val="131"/>
              <w:spacing w:line="240" w:lineRule="exact"/>
              <w:ind w:firstLine="0" w:firstLine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较醇和</w:t>
            </w:r>
          </w:p>
          <w:p>
            <w:pPr>
              <w:spacing w:line="240" w:lineRule="exact"/>
              <w:jc w:val="center"/>
              <w:rPr>
                <w:rFonts w:hint="default" w:hAnsi="宋体"/>
                <w:sz w:val="18"/>
                <w:szCs w:val="18"/>
              </w:rPr>
            </w:pPr>
            <w:r>
              <w:rPr>
                <w:rFonts w:hAnsi="宋体"/>
                <w:color w:val="000000" w:themeColor="text1"/>
                <w:sz w:val="18"/>
                <w:szCs w:val="18"/>
                <w14:textFill>
                  <w14:solidFill>
                    <w14:schemeClr w14:val="tx1"/>
                  </w14:solidFill>
                </w14:textFill>
              </w:rPr>
              <w:t>有陈韵</w:t>
            </w:r>
          </w:p>
        </w:tc>
        <w:tc>
          <w:tcPr>
            <w:tcW w:w="1192" w:type="dxa"/>
            <w:vAlign w:val="center"/>
          </w:tcPr>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黄至橙红</w:t>
            </w:r>
          </w:p>
          <w:p>
            <w:pPr>
              <w:spacing w:line="240" w:lineRule="exact"/>
              <w:jc w:val="center"/>
              <w:rPr>
                <w:rFonts w:hint="default" w:hAnsi="宋体"/>
                <w:sz w:val="18"/>
                <w:szCs w:val="18"/>
              </w:rPr>
            </w:pPr>
            <w:r>
              <w:rPr>
                <w:rFonts w:hAnsi="宋体"/>
                <w:color w:val="000000" w:themeColor="text1"/>
                <w:sz w:val="18"/>
                <w:szCs w:val="18"/>
                <w14:textFill>
                  <w14:solidFill>
                    <w14:schemeClr w14:val="tx1"/>
                  </w14:solidFill>
                </w14:textFill>
              </w:rPr>
              <w:t>尚亮</w:t>
            </w:r>
          </w:p>
        </w:tc>
        <w:tc>
          <w:tcPr>
            <w:tcW w:w="1170" w:type="dxa"/>
            <w:vAlign w:val="center"/>
          </w:tcPr>
          <w:p>
            <w:pPr>
              <w:spacing w:line="240" w:lineRule="exact"/>
              <w:jc w:val="center"/>
              <w:rPr>
                <w:rFonts w:hint="default" w:hAnsi="宋体"/>
                <w:sz w:val="18"/>
                <w:szCs w:val="18"/>
              </w:rPr>
            </w:pPr>
            <w:r>
              <w:rPr>
                <w:rFonts w:hAnsi="宋体"/>
                <w:sz w:val="18"/>
                <w:szCs w:val="18"/>
              </w:rPr>
              <w:t>欠匀，绿黄至橙红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cantSplit/>
          <w:trHeight w:val="454" w:hRule="atLeast"/>
        </w:trPr>
        <w:tc>
          <w:tcPr>
            <w:tcW w:w="905" w:type="dxa"/>
            <w:vAlign w:val="center"/>
          </w:tcPr>
          <w:p>
            <w:pPr>
              <w:spacing w:line="240" w:lineRule="exact"/>
              <w:jc w:val="center"/>
              <w:rPr>
                <w:rFonts w:hint="default" w:hAnsi="宋体"/>
                <w:sz w:val="18"/>
                <w:szCs w:val="18"/>
              </w:rPr>
            </w:pPr>
            <w:r>
              <w:rPr>
                <w:rFonts w:hAnsi="宋体"/>
                <w:sz w:val="18"/>
                <w:szCs w:val="18"/>
              </w:rPr>
              <w:t>四级</w:t>
            </w:r>
          </w:p>
        </w:tc>
        <w:tc>
          <w:tcPr>
            <w:tcW w:w="1585" w:type="dxa"/>
            <w:vAlign w:val="center"/>
          </w:tcPr>
          <w:p>
            <w:pPr>
              <w:spacing w:line="240" w:lineRule="exact"/>
              <w:jc w:val="center"/>
              <w:rPr>
                <w:rFonts w:hint="default" w:hAnsi="宋体"/>
                <w:sz w:val="18"/>
                <w:szCs w:val="18"/>
              </w:rPr>
            </w:pPr>
            <w:r>
              <w:rPr>
                <w:rFonts w:hAnsi="宋体"/>
                <w:sz w:val="18"/>
                <w:szCs w:val="18"/>
              </w:rPr>
              <w:t>粗实</w:t>
            </w:r>
          </w:p>
        </w:tc>
        <w:tc>
          <w:tcPr>
            <w:tcW w:w="872" w:type="dxa"/>
            <w:vAlign w:val="center"/>
          </w:tcPr>
          <w:p>
            <w:pPr>
              <w:spacing w:line="240" w:lineRule="exact"/>
              <w:jc w:val="center"/>
              <w:rPr>
                <w:rFonts w:hint="default" w:hAnsi="宋体"/>
                <w:sz w:val="18"/>
                <w:szCs w:val="18"/>
              </w:rPr>
            </w:pPr>
            <w:r>
              <w:rPr>
                <w:rFonts w:hAnsi="宋体"/>
                <w:sz w:val="18"/>
                <w:szCs w:val="18"/>
              </w:rPr>
              <w:t>尚匀整</w:t>
            </w:r>
          </w:p>
        </w:tc>
        <w:tc>
          <w:tcPr>
            <w:tcW w:w="945" w:type="dxa"/>
            <w:vAlign w:val="center"/>
          </w:tcPr>
          <w:p>
            <w:pPr>
              <w:spacing w:line="240" w:lineRule="exact"/>
              <w:jc w:val="center"/>
              <w:rPr>
                <w:rFonts w:hint="default" w:hAnsi="宋体"/>
                <w:sz w:val="18"/>
                <w:szCs w:val="18"/>
              </w:rPr>
            </w:pPr>
            <w:r>
              <w:rPr>
                <w:rFonts w:hAnsi="宋体"/>
                <w:sz w:val="18"/>
                <w:szCs w:val="18"/>
              </w:rPr>
              <w:t>带梗朴</w:t>
            </w:r>
          </w:p>
        </w:tc>
        <w:tc>
          <w:tcPr>
            <w:tcW w:w="945" w:type="dxa"/>
            <w:vAlign w:val="center"/>
          </w:tcPr>
          <w:p>
            <w:pPr>
              <w:spacing w:line="240" w:lineRule="exact"/>
              <w:jc w:val="center"/>
              <w:rPr>
                <w:rFonts w:hint="default" w:hAnsi="宋体"/>
                <w:sz w:val="18"/>
                <w:szCs w:val="18"/>
              </w:rPr>
            </w:pPr>
            <w:r>
              <w:rPr>
                <w:rFonts w:hAnsi="宋体"/>
                <w:sz w:val="18"/>
                <w:szCs w:val="18"/>
              </w:rPr>
              <w:t>黄至红褐稍暗</w:t>
            </w:r>
          </w:p>
        </w:tc>
        <w:tc>
          <w:tcPr>
            <w:tcW w:w="951" w:type="dxa"/>
            <w:vAlign w:val="center"/>
          </w:tcPr>
          <w:p>
            <w:pPr>
              <w:spacing w:line="240" w:lineRule="exact"/>
              <w:jc w:val="center"/>
              <w:rPr>
                <w:rFonts w:hint="default" w:hAnsi="宋体"/>
                <w:sz w:val="18"/>
                <w:szCs w:val="18"/>
              </w:rPr>
            </w:pPr>
            <w:r>
              <w:rPr>
                <w:rFonts w:hAnsi="宋体"/>
                <w:color w:val="000000" w:themeColor="text1"/>
                <w:sz w:val="18"/>
                <w:szCs w:val="18"/>
                <w14:textFill>
                  <w14:solidFill>
                    <w14:schemeClr w14:val="tx1"/>
                  </w14:solidFill>
                </w14:textFill>
              </w:rPr>
              <w:t>陈香较纯</w:t>
            </w:r>
          </w:p>
        </w:tc>
        <w:tc>
          <w:tcPr>
            <w:tcW w:w="992" w:type="dxa"/>
            <w:vAlign w:val="center"/>
          </w:tcPr>
          <w:p>
            <w:pPr>
              <w:pStyle w:val="131"/>
              <w:spacing w:line="240" w:lineRule="exact"/>
              <w:ind w:firstLine="0" w:firstLine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尚醇和</w:t>
            </w:r>
          </w:p>
          <w:p>
            <w:pPr>
              <w:spacing w:line="240" w:lineRule="exact"/>
              <w:jc w:val="center"/>
              <w:rPr>
                <w:rFonts w:hint="default" w:hAnsi="宋体"/>
                <w:sz w:val="18"/>
                <w:szCs w:val="18"/>
              </w:rPr>
            </w:pPr>
            <w:r>
              <w:rPr>
                <w:rFonts w:hAnsi="宋体"/>
                <w:color w:val="000000" w:themeColor="text1"/>
                <w:sz w:val="18"/>
                <w:szCs w:val="18"/>
                <w14:textFill>
                  <w14:solidFill>
                    <w14:schemeClr w14:val="tx1"/>
                  </w14:solidFill>
                </w14:textFill>
              </w:rPr>
              <w:t>有陈韵</w:t>
            </w:r>
          </w:p>
        </w:tc>
        <w:tc>
          <w:tcPr>
            <w:tcW w:w="1192" w:type="dxa"/>
            <w:vAlign w:val="center"/>
          </w:tcPr>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黄至深橙红</w:t>
            </w:r>
          </w:p>
          <w:p>
            <w:pPr>
              <w:spacing w:line="240" w:lineRule="exact"/>
              <w:jc w:val="center"/>
              <w:rPr>
                <w:rFonts w:hint="default" w:hAnsi="宋体"/>
                <w:sz w:val="18"/>
                <w:szCs w:val="18"/>
              </w:rPr>
            </w:pPr>
            <w:r>
              <w:rPr>
                <w:rFonts w:hAnsi="宋体"/>
                <w:color w:val="000000" w:themeColor="text1"/>
                <w:sz w:val="18"/>
                <w:szCs w:val="18"/>
                <w14:textFill>
                  <w14:solidFill>
                    <w14:schemeClr w14:val="tx1"/>
                  </w14:solidFill>
                </w14:textFill>
              </w:rPr>
              <w:t>欠亮</w:t>
            </w:r>
          </w:p>
        </w:tc>
        <w:tc>
          <w:tcPr>
            <w:tcW w:w="1170" w:type="dxa"/>
            <w:vAlign w:val="center"/>
          </w:tcPr>
          <w:p>
            <w:pPr>
              <w:spacing w:line="240" w:lineRule="exact"/>
              <w:jc w:val="center"/>
              <w:rPr>
                <w:rFonts w:hint="default" w:hAnsi="宋体"/>
                <w:sz w:val="18"/>
                <w:szCs w:val="18"/>
              </w:rPr>
            </w:pPr>
            <w:r>
              <w:rPr>
                <w:rFonts w:hAnsi="宋体"/>
                <w:sz w:val="18"/>
                <w:szCs w:val="18"/>
              </w:rPr>
              <w:t>稍有摊张</w:t>
            </w:r>
          </w:p>
          <w:p>
            <w:pPr>
              <w:spacing w:line="240" w:lineRule="exact"/>
              <w:jc w:val="center"/>
              <w:rPr>
                <w:rFonts w:hint="default" w:hAnsi="宋体"/>
                <w:sz w:val="18"/>
                <w:szCs w:val="18"/>
              </w:rPr>
            </w:pPr>
            <w:r>
              <w:rPr>
                <w:rFonts w:hAnsi="宋体"/>
                <w:sz w:val="18"/>
                <w:szCs w:val="18"/>
              </w:rPr>
              <w:t>黄至红褐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cantSplit/>
          <w:trHeight w:val="454" w:hRule="atLeast"/>
        </w:trPr>
        <w:tc>
          <w:tcPr>
            <w:tcW w:w="905" w:type="dxa"/>
            <w:vAlign w:val="center"/>
          </w:tcPr>
          <w:p>
            <w:pPr>
              <w:spacing w:line="240" w:lineRule="exact"/>
              <w:jc w:val="center"/>
              <w:rPr>
                <w:rFonts w:hint="default" w:hAnsi="宋体"/>
                <w:sz w:val="18"/>
                <w:szCs w:val="18"/>
              </w:rPr>
            </w:pPr>
            <w:r>
              <w:rPr>
                <w:rFonts w:hAnsi="宋体"/>
                <w:sz w:val="18"/>
                <w:szCs w:val="18"/>
              </w:rPr>
              <w:t>五级</w:t>
            </w:r>
          </w:p>
        </w:tc>
        <w:tc>
          <w:tcPr>
            <w:tcW w:w="1585" w:type="dxa"/>
            <w:vAlign w:val="center"/>
          </w:tcPr>
          <w:p>
            <w:pPr>
              <w:spacing w:line="240" w:lineRule="exact"/>
              <w:jc w:val="center"/>
              <w:rPr>
                <w:rFonts w:hint="default" w:hAnsi="宋体"/>
                <w:sz w:val="18"/>
                <w:szCs w:val="18"/>
              </w:rPr>
            </w:pPr>
            <w:r>
              <w:rPr>
                <w:rFonts w:hAnsi="宋体"/>
                <w:sz w:val="18"/>
                <w:szCs w:val="18"/>
              </w:rPr>
              <w:t>稍粗松</w:t>
            </w:r>
          </w:p>
        </w:tc>
        <w:tc>
          <w:tcPr>
            <w:tcW w:w="872" w:type="dxa"/>
            <w:vAlign w:val="center"/>
          </w:tcPr>
          <w:p>
            <w:pPr>
              <w:spacing w:line="240" w:lineRule="exact"/>
              <w:jc w:val="center"/>
              <w:rPr>
                <w:rFonts w:hint="default" w:hAnsi="宋体"/>
                <w:sz w:val="18"/>
                <w:szCs w:val="18"/>
              </w:rPr>
            </w:pPr>
            <w:r>
              <w:rPr>
                <w:rFonts w:hAnsi="宋体"/>
                <w:sz w:val="18"/>
                <w:szCs w:val="18"/>
              </w:rPr>
              <w:t>尚匀</w:t>
            </w:r>
          </w:p>
        </w:tc>
        <w:tc>
          <w:tcPr>
            <w:tcW w:w="945" w:type="dxa"/>
            <w:vAlign w:val="center"/>
          </w:tcPr>
          <w:p>
            <w:pPr>
              <w:spacing w:line="240" w:lineRule="exact"/>
              <w:jc w:val="center"/>
              <w:rPr>
                <w:rFonts w:hint="default" w:hAnsi="宋体"/>
                <w:sz w:val="18"/>
                <w:szCs w:val="18"/>
              </w:rPr>
            </w:pPr>
            <w:r>
              <w:rPr>
                <w:rFonts w:hAnsi="宋体"/>
                <w:sz w:val="18"/>
                <w:szCs w:val="18"/>
              </w:rPr>
              <w:t>多梗朴</w:t>
            </w:r>
          </w:p>
        </w:tc>
        <w:tc>
          <w:tcPr>
            <w:tcW w:w="945" w:type="dxa"/>
            <w:vAlign w:val="center"/>
          </w:tcPr>
          <w:p>
            <w:pPr>
              <w:spacing w:line="240" w:lineRule="exact"/>
              <w:jc w:val="center"/>
              <w:rPr>
                <w:rFonts w:hint="default" w:hAnsi="宋体"/>
                <w:sz w:val="18"/>
                <w:szCs w:val="18"/>
              </w:rPr>
            </w:pPr>
            <w:r>
              <w:rPr>
                <w:rFonts w:hAnsi="宋体"/>
                <w:sz w:val="18"/>
                <w:szCs w:val="18"/>
              </w:rPr>
              <w:t>黄至红褐稍枯</w:t>
            </w:r>
          </w:p>
        </w:tc>
        <w:tc>
          <w:tcPr>
            <w:tcW w:w="951" w:type="dxa"/>
            <w:vAlign w:val="center"/>
          </w:tcPr>
          <w:p>
            <w:pPr>
              <w:spacing w:line="240" w:lineRule="exact"/>
              <w:jc w:val="center"/>
              <w:rPr>
                <w:rFonts w:hint="default" w:hAnsi="宋体"/>
                <w:sz w:val="18"/>
                <w:szCs w:val="18"/>
              </w:rPr>
            </w:pPr>
            <w:r>
              <w:rPr>
                <w:rFonts w:hAnsi="宋体"/>
                <w:color w:val="000000" w:themeColor="text1"/>
                <w:sz w:val="18"/>
                <w:szCs w:val="18"/>
                <w14:textFill>
                  <w14:solidFill>
                    <w14:schemeClr w14:val="tx1"/>
                  </w14:solidFill>
                </w14:textFill>
              </w:rPr>
              <w:t>陈香尚纯</w:t>
            </w:r>
          </w:p>
        </w:tc>
        <w:tc>
          <w:tcPr>
            <w:tcW w:w="992" w:type="dxa"/>
            <w:vAlign w:val="center"/>
          </w:tcPr>
          <w:p>
            <w:pPr>
              <w:pStyle w:val="131"/>
              <w:spacing w:line="240" w:lineRule="exact"/>
              <w:ind w:firstLine="0" w:firstLine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稍粗</w:t>
            </w:r>
          </w:p>
          <w:p>
            <w:pPr>
              <w:spacing w:line="240" w:lineRule="exact"/>
              <w:jc w:val="center"/>
              <w:rPr>
                <w:rFonts w:hint="default" w:hAnsi="宋体"/>
                <w:sz w:val="18"/>
                <w:szCs w:val="18"/>
              </w:rPr>
            </w:pPr>
            <w:r>
              <w:rPr>
                <w:rFonts w:hAnsi="宋体"/>
                <w:color w:val="000000" w:themeColor="text1"/>
                <w:sz w:val="18"/>
                <w:szCs w:val="18"/>
                <w14:textFill>
                  <w14:solidFill>
                    <w14:schemeClr w14:val="tx1"/>
                  </w14:solidFill>
                </w14:textFill>
              </w:rPr>
              <w:t>有陈韵</w:t>
            </w:r>
          </w:p>
        </w:tc>
        <w:tc>
          <w:tcPr>
            <w:tcW w:w="1192" w:type="dxa"/>
            <w:vAlign w:val="center"/>
          </w:tcPr>
          <w:p>
            <w:pPr>
              <w:pStyle w:val="131"/>
              <w:spacing w:line="240" w:lineRule="exact"/>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黄至深橙红</w:t>
            </w:r>
          </w:p>
          <w:p>
            <w:pPr>
              <w:spacing w:line="240" w:lineRule="exact"/>
              <w:jc w:val="center"/>
              <w:rPr>
                <w:rFonts w:hint="default" w:hAnsi="宋体"/>
                <w:sz w:val="18"/>
                <w:szCs w:val="18"/>
              </w:rPr>
            </w:pPr>
            <w:r>
              <w:rPr>
                <w:rFonts w:hAnsi="宋体"/>
                <w:color w:val="000000" w:themeColor="text1"/>
                <w:sz w:val="18"/>
                <w:szCs w:val="18"/>
                <w14:textFill>
                  <w14:solidFill>
                    <w14:schemeClr w14:val="tx1"/>
                  </w14:solidFill>
                </w14:textFill>
              </w:rPr>
              <w:t>较暗</w:t>
            </w:r>
          </w:p>
        </w:tc>
        <w:tc>
          <w:tcPr>
            <w:tcW w:w="1170" w:type="dxa"/>
            <w:vAlign w:val="center"/>
          </w:tcPr>
          <w:p>
            <w:pPr>
              <w:spacing w:line="240" w:lineRule="exact"/>
              <w:jc w:val="center"/>
              <w:rPr>
                <w:rFonts w:hint="default" w:hAnsi="宋体"/>
                <w:sz w:val="18"/>
                <w:szCs w:val="18"/>
              </w:rPr>
            </w:pPr>
            <w:r>
              <w:rPr>
                <w:rFonts w:hAnsi="宋体"/>
                <w:sz w:val="18"/>
                <w:szCs w:val="18"/>
              </w:rPr>
              <w:t>稍粗黄至红褐稍暗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cantSplit/>
          <w:trHeight w:val="454" w:hRule="atLeast"/>
        </w:trPr>
        <w:tc>
          <w:tcPr>
            <w:tcW w:w="905" w:type="dxa"/>
            <w:vAlign w:val="center"/>
          </w:tcPr>
          <w:p>
            <w:pPr>
              <w:spacing w:line="240" w:lineRule="exact"/>
              <w:jc w:val="center"/>
              <w:rPr>
                <w:rFonts w:hint="default" w:hAnsi="宋体"/>
                <w:sz w:val="18"/>
                <w:szCs w:val="18"/>
              </w:rPr>
            </w:pPr>
            <w:r>
              <w:rPr>
                <w:rFonts w:hAnsi="宋体"/>
                <w:sz w:val="18"/>
                <w:szCs w:val="18"/>
              </w:rPr>
              <w:t>紧压茶</w:t>
            </w:r>
          </w:p>
        </w:tc>
        <w:tc>
          <w:tcPr>
            <w:tcW w:w="4347" w:type="dxa"/>
            <w:gridSpan w:val="4"/>
            <w:vAlign w:val="center"/>
          </w:tcPr>
          <w:p>
            <w:pPr>
              <w:spacing w:line="240" w:lineRule="exact"/>
              <w:jc w:val="center"/>
              <w:rPr>
                <w:rFonts w:hint="default" w:hAnsi="宋体"/>
                <w:sz w:val="18"/>
                <w:szCs w:val="18"/>
              </w:rPr>
            </w:pPr>
            <w:r>
              <w:rPr>
                <w:rFonts w:hAnsi="宋体"/>
                <w:sz w:val="18"/>
                <w:szCs w:val="18"/>
              </w:rPr>
              <w:t>方形、圆形等，外形端正匀称、松紧适度，表面平整、无脱层,不洒面；色泽黄褐至红褐</w:t>
            </w:r>
          </w:p>
        </w:tc>
        <w:tc>
          <w:tcPr>
            <w:tcW w:w="4305" w:type="dxa"/>
            <w:gridSpan w:val="4"/>
            <w:vAlign w:val="center"/>
          </w:tcPr>
          <w:p>
            <w:pPr>
              <w:spacing w:line="240" w:lineRule="exact"/>
              <w:jc w:val="center"/>
              <w:rPr>
                <w:rFonts w:hint="default" w:hAnsi="宋体"/>
                <w:sz w:val="18"/>
                <w:szCs w:val="18"/>
              </w:rPr>
            </w:pPr>
            <w:r>
              <w:rPr>
                <w:rFonts w:hAnsi="宋体"/>
                <w:spacing w:val="-4"/>
                <w:sz w:val="18"/>
                <w:szCs w:val="18"/>
              </w:rPr>
              <w:t>参照上述</w:t>
            </w:r>
            <w:r>
              <w:rPr>
                <w:sz w:val="18"/>
                <w:szCs w:val="18"/>
              </w:rPr>
              <w:t>各类别（各级别）内质感官品质要求</w:t>
            </w:r>
          </w:p>
        </w:tc>
      </w:tr>
    </w:tbl>
    <w:p>
      <w:pPr>
        <w:pStyle w:val="27"/>
        <w:ind w:firstLine="0" w:firstLineChars="0"/>
        <w:rPr>
          <w:rFonts w:hint="default"/>
        </w:rPr>
      </w:pPr>
    </w:p>
    <w:p>
      <w:pPr>
        <w:pStyle w:val="75"/>
        <w:spacing w:before="156" w:after="156"/>
        <w:rPr>
          <w:rFonts w:hint="default"/>
        </w:rPr>
      </w:pPr>
      <w:r>
        <w:t>理化指标</w:t>
      </w:r>
    </w:p>
    <w:p>
      <w:pPr>
        <w:pStyle w:val="123"/>
        <w:ind w:firstLine="420"/>
      </w:pPr>
      <w:r>
        <w:rPr>
          <w:rFonts w:hint="eastAsia"/>
        </w:rPr>
        <w:t>理化指标应符合表2的要求。</w:t>
      </w:r>
    </w:p>
    <w:p>
      <w:pPr>
        <w:pStyle w:val="115"/>
        <w:numPr>
          <w:ilvl w:val="0"/>
          <w:numId w:val="0"/>
        </w:numPr>
        <w:spacing w:before="156" w:after="156"/>
        <w:rPr>
          <w:rFonts w:hint="default"/>
        </w:rPr>
      </w:pPr>
      <w:r>
        <w:t>表</w:t>
      </w:r>
      <w:r>
        <w:rPr>
          <w:rFonts w:hint="default"/>
        </w:rPr>
        <w:t xml:space="preserve">3 </w:t>
      </w:r>
      <w:r>
        <w:t xml:space="preserve"> 理化指标</w:t>
      </w:r>
    </w:p>
    <w:tbl>
      <w:tblPr>
        <w:tblStyle w:val="21"/>
        <w:tblW w:w="9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7"/>
        <w:gridCol w:w="3260"/>
        <w:gridCol w:w="3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87" w:type="dxa"/>
            <w:vMerge w:val="restart"/>
            <w:vAlign w:val="center"/>
          </w:tcPr>
          <w:p>
            <w:pPr>
              <w:jc w:val="center"/>
              <w:rPr>
                <w:rFonts w:hint="default"/>
              </w:rPr>
            </w:pPr>
            <w:r>
              <w:t>项目</w:t>
            </w:r>
          </w:p>
        </w:tc>
        <w:tc>
          <w:tcPr>
            <w:tcW w:w="6486" w:type="dxa"/>
            <w:gridSpan w:val="2"/>
            <w:vAlign w:val="center"/>
          </w:tcPr>
          <w:p>
            <w:pPr>
              <w:jc w:val="center"/>
              <w:rPr>
                <w:rFonts w:hint="default"/>
              </w:rPr>
            </w:pPr>
            <w: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87" w:type="dxa"/>
            <w:vMerge w:val="continue"/>
            <w:vAlign w:val="center"/>
          </w:tcPr>
          <w:p>
            <w:pPr>
              <w:rPr>
                <w:rFonts w:hint="default"/>
              </w:rPr>
            </w:pPr>
          </w:p>
        </w:tc>
        <w:tc>
          <w:tcPr>
            <w:tcW w:w="3260" w:type="dxa"/>
            <w:vAlign w:val="center"/>
          </w:tcPr>
          <w:p>
            <w:pPr>
              <w:jc w:val="center"/>
              <w:rPr>
                <w:rFonts w:hint="default"/>
              </w:rPr>
            </w:pPr>
            <w:r>
              <w:t>特级以上、特级、一级、二级</w:t>
            </w:r>
          </w:p>
        </w:tc>
        <w:tc>
          <w:tcPr>
            <w:tcW w:w="3226" w:type="dxa"/>
            <w:vAlign w:val="center"/>
          </w:tcPr>
          <w:p>
            <w:pPr>
              <w:jc w:val="center"/>
              <w:rPr>
                <w:rFonts w:hint="default"/>
              </w:rPr>
            </w:pPr>
            <w:r>
              <w:t>三级、四级、五级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7" w:type="dxa"/>
            <w:vAlign w:val="center"/>
          </w:tcPr>
          <w:p>
            <w:pPr>
              <w:rPr>
                <w:rFonts w:hint="default"/>
              </w:rPr>
            </w:pPr>
            <w:r>
              <w:t xml:space="preserve">水分/%（质量分数）       ≤ </w:t>
            </w:r>
          </w:p>
        </w:tc>
        <w:tc>
          <w:tcPr>
            <w:tcW w:w="6486" w:type="dxa"/>
            <w:gridSpan w:val="2"/>
            <w:vAlign w:val="center"/>
          </w:tcPr>
          <w:p>
            <w:pPr>
              <w:jc w:val="center"/>
              <w:rPr>
                <w:rFonts w:hint="default"/>
              </w:rPr>
            </w:pPr>
            <w: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7" w:type="dxa"/>
            <w:vAlign w:val="center"/>
          </w:tcPr>
          <w:p>
            <w:pPr>
              <w:rPr>
                <w:rFonts w:hint="default"/>
              </w:rPr>
            </w:pPr>
            <w:r>
              <w:t>总灰分/%（质量分数）      ≤</w:t>
            </w:r>
          </w:p>
        </w:tc>
        <w:tc>
          <w:tcPr>
            <w:tcW w:w="6486" w:type="dxa"/>
            <w:gridSpan w:val="2"/>
            <w:vAlign w:val="center"/>
          </w:tcPr>
          <w:p>
            <w:pPr>
              <w:jc w:val="center"/>
              <w:rPr>
                <w:rFonts w:hint="default"/>
              </w:rPr>
            </w:pPr>
            <w: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7" w:type="dxa"/>
            <w:vAlign w:val="center"/>
          </w:tcPr>
          <w:p>
            <w:pPr>
              <w:rPr>
                <w:rFonts w:hint="default"/>
              </w:rPr>
            </w:pPr>
            <w:r>
              <w:t>水浸出物/%（质量分数）    ≥</w:t>
            </w:r>
          </w:p>
        </w:tc>
        <w:tc>
          <w:tcPr>
            <w:tcW w:w="3260" w:type="dxa"/>
            <w:vAlign w:val="center"/>
          </w:tcPr>
          <w:p>
            <w:pPr>
              <w:jc w:val="center"/>
              <w:rPr>
                <w:rFonts w:hint="default"/>
              </w:rPr>
            </w:pPr>
            <w:r>
              <w:t>34</w:t>
            </w:r>
          </w:p>
        </w:tc>
        <w:tc>
          <w:tcPr>
            <w:tcW w:w="3226" w:type="dxa"/>
            <w:vAlign w:val="center"/>
          </w:tcPr>
          <w:p>
            <w:pPr>
              <w:jc w:val="center"/>
              <w:rPr>
                <w:rFonts w:hint="default"/>
              </w:rPr>
            </w:pPr>
            <w: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7" w:type="dxa"/>
            <w:vAlign w:val="center"/>
          </w:tcPr>
          <w:p>
            <w:pPr>
              <w:rPr>
                <w:rFonts w:hint="default"/>
              </w:rPr>
            </w:pPr>
            <w:r>
              <w:t>粉末/%（质量分数）        ≤</w:t>
            </w:r>
          </w:p>
        </w:tc>
        <w:tc>
          <w:tcPr>
            <w:tcW w:w="3260" w:type="dxa"/>
            <w:vAlign w:val="center"/>
          </w:tcPr>
          <w:p>
            <w:pPr>
              <w:jc w:val="center"/>
              <w:rPr>
                <w:rFonts w:hint="default"/>
              </w:rPr>
            </w:pPr>
            <w:r>
              <w:t>1.0</w:t>
            </w:r>
          </w:p>
        </w:tc>
        <w:tc>
          <w:tcPr>
            <w:tcW w:w="3226" w:type="dxa"/>
            <w:vAlign w:val="center"/>
          </w:tcPr>
          <w:p>
            <w:pPr>
              <w:jc w:val="center"/>
              <w:rPr>
                <w:rFonts w:hint="default"/>
              </w:rPr>
            </w:pPr>
            <w: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7" w:type="dxa"/>
            <w:vAlign w:val="center"/>
          </w:tcPr>
          <w:p>
            <w:pPr>
              <w:rPr>
                <w:rFonts w:hint="default"/>
              </w:rPr>
            </w:pPr>
            <w:r>
              <w:t>茉莉花干%（质量分数）    ≤</w:t>
            </w:r>
          </w:p>
        </w:tc>
        <w:tc>
          <w:tcPr>
            <w:tcW w:w="3260" w:type="dxa"/>
            <w:vAlign w:val="center"/>
          </w:tcPr>
          <w:p>
            <w:pPr>
              <w:jc w:val="center"/>
              <w:rPr>
                <w:rFonts w:hint="default"/>
              </w:rPr>
            </w:pPr>
            <w:r>
              <w:t>1.0</w:t>
            </w:r>
          </w:p>
        </w:tc>
        <w:tc>
          <w:tcPr>
            <w:tcW w:w="3226" w:type="dxa"/>
            <w:vAlign w:val="center"/>
          </w:tcPr>
          <w:p>
            <w:pPr>
              <w:jc w:val="center"/>
              <w:rPr>
                <w:rFonts w:hint="default"/>
              </w:rPr>
            </w:pP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73" w:type="dxa"/>
            <w:gridSpan w:val="3"/>
            <w:vAlign w:val="center"/>
          </w:tcPr>
          <w:p>
            <w:pPr>
              <w:jc w:val="left"/>
              <w:rPr>
                <w:rFonts w:hint="default" w:ascii="黑体" w:hAnsi="黑体" w:eastAsia="黑体"/>
              </w:rPr>
            </w:pPr>
            <w:r>
              <w:t xml:space="preserve"> </w:t>
            </w:r>
            <w:r>
              <w:rPr>
                <w:rFonts w:hint="default"/>
              </w:rPr>
              <w:t xml:space="preserve"> </w:t>
            </w:r>
            <w:r>
              <w:rPr>
                <w:rFonts w:ascii="黑体" w:hAnsi="黑体" w:eastAsia="黑体"/>
              </w:rPr>
              <w:t>注：</w:t>
            </w:r>
            <w:r>
              <w:rPr>
                <w:rFonts w:hAnsi="宋体"/>
              </w:rPr>
              <w:t>粉末含量指标仅适用于散茶。</w:t>
            </w:r>
          </w:p>
        </w:tc>
      </w:tr>
    </w:tbl>
    <w:p>
      <w:pPr>
        <w:pStyle w:val="27"/>
        <w:ind w:firstLine="0" w:firstLineChars="0"/>
        <w:rPr>
          <w:rFonts w:hint="default"/>
        </w:rPr>
      </w:pPr>
    </w:p>
    <w:p>
      <w:pPr>
        <w:pStyle w:val="75"/>
        <w:spacing w:before="156" w:after="156"/>
        <w:rPr>
          <w:rFonts w:hint="default"/>
        </w:rPr>
      </w:pPr>
      <w:r>
        <w:t>质量安全指标</w:t>
      </w:r>
    </w:p>
    <w:p>
      <w:pPr>
        <w:pStyle w:val="76"/>
        <w:spacing w:before="156" w:after="156"/>
        <w:ind w:left="0"/>
        <w:rPr>
          <w:rFonts w:hint="default"/>
        </w:rPr>
      </w:pPr>
      <w:r>
        <w:t>污染物限量指标</w:t>
      </w:r>
    </w:p>
    <w:p>
      <w:pPr>
        <w:pStyle w:val="27"/>
        <w:rPr>
          <w:rFonts w:hint="default"/>
        </w:rPr>
      </w:pPr>
      <w:r>
        <w:t>应符合GB 2762的规定。</w:t>
      </w:r>
    </w:p>
    <w:p>
      <w:pPr>
        <w:pStyle w:val="76"/>
        <w:spacing w:before="156" w:after="156"/>
        <w:ind w:left="0"/>
        <w:rPr>
          <w:rFonts w:hint="default"/>
        </w:rPr>
      </w:pPr>
      <w:r>
        <w:t>农药残留限量指标</w:t>
      </w:r>
    </w:p>
    <w:p>
      <w:pPr>
        <w:pStyle w:val="27"/>
        <w:rPr>
          <w:rFonts w:hint="default"/>
        </w:rPr>
      </w:pPr>
      <w:r>
        <w:t>应符合GB 2763和GB 2763.1的规定。</w:t>
      </w:r>
    </w:p>
    <w:p>
      <w:pPr>
        <w:pStyle w:val="75"/>
        <w:spacing w:before="156" w:after="156"/>
        <w:rPr>
          <w:rFonts w:hint="default"/>
        </w:rPr>
      </w:pPr>
      <w:r>
        <w:t>净含量</w:t>
      </w:r>
    </w:p>
    <w:p>
      <w:pPr>
        <w:pStyle w:val="124"/>
        <w:ind w:firstLine="420" w:firstLineChars="200"/>
        <w:rPr>
          <w:rFonts w:ascii="宋体" w:hAnsi="宋体" w:eastAsia="宋体"/>
        </w:rPr>
      </w:pPr>
      <w:bookmarkStart w:id="24" w:name="_Toc286932289"/>
      <w:bookmarkStart w:id="25" w:name="_Toc286673684"/>
      <w:r>
        <w:rPr>
          <w:rFonts w:hint="eastAsia" w:ascii="宋体" w:hAnsi="宋体" w:eastAsia="宋体"/>
        </w:rPr>
        <w:t>应符合《定量包装商品计量监督管理办法》的规定。</w:t>
      </w:r>
    </w:p>
    <w:bookmarkEnd w:id="24"/>
    <w:bookmarkEnd w:id="25"/>
    <w:p>
      <w:pPr>
        <w:pStyle w:val="74"/>
        <w:spacing w:before="312" w:after="312"/>
        <w:rPr>
          <w:rFonts w:hint="default"/>
        </w:rPr>
      </w:pPr>
      <w:bookmarkStart w:id="26" w:name="_Toc184091979"/>
      <w:bookmarkStart w:id="27" w:name="_Toc286932290"/>
      <w:bookmarkStart w:id="28" w:name="_Toc187727794"/>
      <w:bookmarkStart w:id="29" w:name="_Toc186263285"/>
      <w:r>
        <w:t>试验方法</w:t>
      </w:r>
      <w:bookmarkEnd w:id="26"/>
      <w:bookmarkEnd w:id="27"/>
      <w:bookmarkEnd w:id="28"/>
      <w:bookmarkEnd w:id="29"/>
    </w:p>
    <w:p>
      <w:pPr>
        <w:pStyle w:val="75"/>
        <w:spacing w:before="156" w:after="156"/>
        <w:rPr>
          <w:rFonts w:hint="default"/>
        </w:rPr>
      </w:pPr>
      <w:r>
        <w:t>取样</w:t>
      </w:r>
    </w:p>
    <w:p>
      <w:pPr>
        <w:pStyle w:val="27"/>
        <w:rPr>
          <w:rFonts w:hint="default"/>
        </w:rPr>
      </w:pPr>
      <w:bookmarkStart w:id="30" w:name="_Toc186263302"/>
      <w:bookmarkStart w:id="31" w:name="_Toc286932309"/>
      <w:bookmarkStart w:id="32" w:name="_Toc187727810"/>
      <w:bookmarkStart w:id="33" w:name="_Toc286932310"/>
      <w:r>
        <w:t>按GB/T 8302的规定执行。</w:t>
      </w:r>
    </w:p>
    <w:p>
      <w:pPr>
        <w:pStyle w:val="75"/>
        <w:spacing w:before="156" w:after="156"/>
        <w:rPr>
          <w:rFonts w:hint="default"/>
        </w:rPr>
      </w:pPr>
      <w:r>
        <w:t>试样制备</w:t>
      </w:r>
    </w:p>
    <w:p>
      <w:pPr>
        <w:pStyle w:val="27"/>
        <w:rPr>
          <w:rFonts w:hint="default"/>
        </w:rPr>
      </w:pPr>
      <w:r>
        <w:t>按GB/T 8303的规定执行。</w:t>
      </w:r>
    </w:p>
    <w:p>
      <w:pPr>
        <w:pStyle w:val="75"/>
        <w:spacing w:before="156" w:after="156"/>
        <w:rPr>
          <w:rFonts w:hint="default"/>
        </w:rPr>
      </w:pPr>
      <w:r>
        <w:t>感官品质</w:t>
      </w:r>
    </w:p>
    <w:p>
      <w:pPr>
        <w:pStyle w:val="27"/>
        <w:rPr>
          <w:rFonts w:hint="default"/>
        </w:rPr>
      </w:pPr>
      <w:r>
        <w:t>按GB/T 23776的规定执行。</w:t>
      </w:r>
    </w:p>
    <w:p>
      <w:pPr>
        <w:pStyle w:val="75"/>
        <w:spacing w:before="156" w:after="156"/>
        <w:rPr>
          <w:rFonts w:hint="default"/>
        </w:rPr>
      </w:pPr>
      <w:r>
        <w:t>理化指标</w:t>
      </w:r>
    </w:p>
    <w:p>
      <w:pPr>
        <w:pStyle w:val="76"/>
        <w:spacing w:before="156" w:after="156"/>
        <w:ind w:left="0"/>
        <w:rPr>
          <w:rFonts w:hint="default"/>
        </w:rPr>
      </w:pPr>
      <w:r>
        <w:t>水分</w:t>
      </w:r>
    </w:p>
    <w:p>
      <w:pPr>
        <w:pStyle w:val="27"/>
        <w:rPr>
          <w:rFonts w:hint="default"/>
        </w:rPr>
      </w:pPr>
      <w:r>
        <w:t>按GB 5009.3的规定执行。</w:t>
      </w:r>
    </w:p>
    <w:p>
      <w:pPr>
        <w:pStyle w:val="76"/>
        <w:spacing w:before="156" w:after="156"/>
        <w:ind w:left="0"/>
        <w:rPr>
          <w:rFonts w:hint="default"/>
        </w:rPr>
      </w:pPr>
      <w:r>
        <w:t>总灰分</w:t>
      </w:r>
    </w:p>
    <w:p>
      <w:pPr>
        <w:pStyle w:val="27"/>
        <w:rPr>
          <w:rFonts w:hint="default"/>
        </w:rPr>
      </w:pPr>
      <w:r>
        <w:t xml:space="preserve">按GB </w:t>
      </w:r>
      <w:r>
        <w:rPr>
          <w:szCs w:val="22"/>
        </w:rPr>
        <w:t>5009.4</w:t>
      </w:r>
      <w:r>
        <w:t>的规定执行。</w:t>
      </w:r>
    </w:p>
    <w:p>
      <w:pPr>
        <w:pStyle w:val="76"/>
        <w:spacing w:before="156" w:after="156"/>
        <w:ind w:left="0"/>
        <w:rPr>
          <w:rFonts w:hint="default"/>
        </w:rPr>
      </w:pPr>
      <w:r>
        <w:t>粉末</w:t>
      </w:r>
    </w:p>
    <w:p>
      <w:pPr>
        <w:pStyle w:val="27"/>
        <w:rPr>
          <w:rFonts w:hint="default"/>
        </w:rPr>
      </w:pPr>
      <w:r>
        <w:t>按GB/T 8311的规定执行。</w:t>
      </w:r>
    </w:p>
    <w:p>
      <w:pPr>
        <w:pStyle w:val="76"/>
        <w:spacing w:before="156" w:after="156"/>
        <w:ind w:left="0"/>
        <w:rPr>
          <w:rFonts w:hint="default"/>
        </w:rPr>
      </w:pPr>
      <w:r>
        <w:t>水浸出物</w:t>
      </w:r>
    </w:p>
    <w:p>
      <w:pPr>
        <w:pStyle w:val="27"/>
        <w:rPr>
          <w:rFonts w:hint="default"/>
        </w:rPr>
      </w:pPr>
      <w:r>
        <w:t>按GB/T 8305的规定执行。</w:t>
      </w:r>
    </w:p>
    <w:p>
      <w:pPr>
        <w:pStyle w:val="76"/>
        <w:spacing w:before="156" w:after="156"/>
        <w:ind w:left="0"/>
        <w:rPr>
          <w:rFonts w:hint="default"/>
        </w:rPr>
      </w:pPr>
      <w:r>
        <w:t>茉莉花干</w:t>
      </w:r>
    </w:p>
    <w:p>
      <w:pPr>
        <w:pStyle w:val="27"/>
        <w:rPr>
          <w:rFonts w:hint="default"/>
        </w:rPr>
      </w:pPr>
      <w:r>
        <w:t xml:space="preserve">按GB/T </w:t>
      </w:r>
      <w:r>
        <w:rPr>
          <w:rFonts w:hint="default"/>
        </w:rPr>
        <w:t>22292</w:t>
      </w:r>
      <w:r>
        <w:t>的规定执行。</w:t>
      </w:r>
    </w:p>
    <w:p>
      <w:pPr>
        <w:pStyle w:val="75"/>
        <w:spacing w:before="156" w:after="156"/>
        <w:rPr>
          <w:rFonts w:hint="default"/>
        </w:rPr>
      </w:pPr>
      <w:r>
        <w:t>质量安全指标</w:t>
      </w:r>
    </w:p>
    <w:p>
      <w:pPr>
        <w:pStyle w:val="76"/>
        <w:spacing w:before="156" w:after="156"/>
        <w:ind w:left="0"/>
        <w:rPr>
          <w:rFonts w:hint="default"/>
        </w:rPr>
      </w:pPr>
      <w:r>
        <w:t>污染物限量</w:t>
      </w:r>
    </w:p>
    <w:p>
      <w:pPr>
        <w:pStyle w:val="27"/>
        <w:rPr>
          <w:rFonts w:hint="default"/>
        </w:rPr>
      </w:pPr>
      <w:r>
        <w:t>按GB 2762的规定执行。</w:t>
      </w:r>
    </w:p>
    <w:p>
      <w:pPr>
        <w:pStyle w:val="76"/>
        <w:spacing w:before="156" w:after="156"/>
        <w:ind w:left="0"/>
        <w:rPr>
          <w:rFonts w:hint="default"/>
        </w:rPr>
      </w:pPr>
      <w:r>
        <w:t>农药残留限量</w:t>
      </w:r>
    </w:p>
    <w:p>
      <w:pPr>
        <w:pStyle w:val="27"/>
        <w:rPr>
          <w:rFonts w:hint="default"/>
        </w:rPr>
      </w:pPr>
      <w:r>
        <w:t>按GB 2763和GB 2763.1的规定执行。</w:t>
      </w:r>
    </w:p>
    <w:p>
      <w:pPr>
        <w:pStyle w:val="75"/>
        <w:spacing w:before="156" w:after="156"/>
        <w:rPr>
          <w:rFonts w:hint="default"/>
        </w:rPr>
      </w:pPr>
      <w:r>
        <w:t>净含量</w:t>
      </w:r>
    </w:p>
    <w:p>
      <w:pPr>
        <w:pStyle w:val="27"/>
        <w:rPr>
          <w:rFonts w:hint="default"/>
        </w:rPr>
      </w:pPr>
      <w:r>
        <w:t>按JJF 1070的规定执行。</w:t>
      </w:r>
    </w:p>
    <w:bookmarkEnd w:id="30"/>
    <w:bookmarkEnd w:id="31"/>
    <w:bookmarkEnd w:id="32"/>
    <w:p>
      <w:pPr>
        <w:pStyle w:val="74"/>
        <w:spacing w:before="312" w:after="312"/>
        <w:rPr>
          <w:rFonts w:hint="default"/>
        </w:rPr>
      </w:pPr>
      <w:bookmarkStart w:id="34" w:name="_Toc187727811"/>
      <w:bookmarkStart w:id="35" w:name="_Toc186263303"/>
      <w:r>
        <w:t>检验规则</w:t>
      </w:r>
      <w:bookmarkEnd w:id="33"/>
      <w:bookmarkEnd w:id="34"/>
      <w:bookmarkEnd w:id="35"/>
    </w:p>
    <w:p>
      <w:pPr>
        <w:pStyle w:val="75"/>
        <w:spacing w:before="156" w:after="156"/>
        <w:rPr>
          <w:rFonts w:hint="default"/>
        </w:rPr>
      </w:pPr>
      <w:bookmarkStart w:id="36" w:name="_Toc186263304"/>
      <w:bookmarkStart w:id="37" w:name="_Toc187727812"/>
      <w:bookmarkStart w:id="38" w:name="_Toc286932311"/>
      <w:r>
        <w:t>取样</w:t>
      </w:r>
      <w:bookmarkEnd w:id="36"/>
      <w:bookmarkEnd w:id="37"/>
      <w:bookmarkEnd w:id="38"/>
    </w:p>
    <w:p>
      <w:pPr>
        <w:pStyle w:val="27"/>
        <w:rPr>
          <w:rFonts w:hint="default"/>
        </w:rPr>
      </w:pPr>
      <w:bookmarkStart w:id="39" w:name="_Toc187727813"/>
      <w:bookmarkStart w:id="40" w:name="_Toc286932312"/>
      <w:bookmarkStart w:id="41" w:name="_Toc186263305"/>
      <w:r>
        <w:t>取样以“批”为单位，同一批投料生产、同一条生产线、同一班次加工过程中形成的独立数量的产品为一个批次，同批产品的品质和规格一致。取样按GB/T 8302规定执行。</w:t>
      </w:r>
    </w:p>
    <w:p>
      <w:pPr>
        <w:pStyle w:val="75"/>
        <w:spacing w:before="156" w:after="156"/>
        <w:rPr>
          <w:rFonts w:hint="default"/>
        </w:rPr>
      </w:pPr>
      <w:r>
        <w:t>检验</w:t>
      </w:r>
      <w:bookmarkEnd w:id="39"/>
      <w:bookmarkEnd w:id="40"/>
      <w:bookmarkEnd w:id="41"/>
    </w:p>
    <w:p>
      <w:pPr>
        <w:pStyle w:val="76"/>
        <w:spacing w:before="156" w:after="156"/>
        <w:ind w:left="0"/>
        <w:rPr>
          <w:rFonts w:hint="default"/>
        </w:rPr>
      </w:pPr>
      <w:bookmarkStart w:id="42" w:name="_Toc286932313"/>
      <w:bookmarkStart w:id="43" w:name="_Toc186263306"/>
      <w:bookmarkStart w:id="44" w:name="_Toc187727814"/>
      <w:r>
        <w:t>出厂检验</w:t>
      </w:r>
      <w:bookmarkEnd w:id="42"/>
      <w:bookmarkEnd w:id="43"/>
      <w:bookmarkEnd w:id="44"/>
    </w:p>
    <w:p>
      <w:pPr>
        <w:pStyle w:val="27"/>
        <w:rPr>
          <w:rFonts w:hint="default"/>
        </w:rPr>
      </w:pPr>
      <w:r>
        <w:t>每批产品均应做出厂检验，经检验合格签发合格证后，方可出厂。出厂检验项目为感官品质、水分、灰分、粉末和净含量。</w:t>
      </w:r>
    </w:p>
    <w:p>
      <w:pPr>
        <w:pStyle w:val="76"/>
        <w:spacing w:before="156" w:after="156"/>
        <w:ind w:left="0"/>
        <w:rPr>
          <w:rFonts w:hint="default"/>
        </w:rPr>
      </w:pPr>
      <w:bookmarkStart w:id="45" w:name="_Toc186263307"/>
      <w:bookmarkStart w:id="46" w:name="_Toc187727815"/>
      <w:bookmarkStart w:id="47" w:name="_Toc286932314"/>
      <w:r>
        <w:t>型式检验</w:t>
      </w:r>
      <w:bookmarkEnd w:id="45"/>
      <w:bookmarkEnd w:id="46"/>
      <w:bookmarkEnd w:id="47"/>
    </w:p>
    <w:p>
      <w:pPr>
        <w:pStyle w:val="27"/>
        <w:rPr>
          <w:rFonts w:hint="default"/>
        </w:rPr>
      </w:pPr>
      <w:r>
        <w:t>型式检验项目为第5章要求中的全部项目，检验周期为每年一次。有下列情况之一时，应对产品质量进行型式检验：</w:t>
      </w:r>
    </w:p>
    <w:p>
      <w:pPr>
        <w:pStyle w:val="62"/>
        <w:rPr>
          <w:rFonts w:hint="default"/>
        </w:rPr>
      </w:pPr>
      <w:r>
        <w:t>如原料有较大改变，可能影响产品质量时；</w:t>
      </w:r>
    </w:p>
    <w:p>
      <w:pPr>
        <w:pStyle w:val="62"/>
        <w:rPr>
          <w:rFonts w:hint="default"/>
        </w:rPr>
      </w:pPr>
      <w:r>
        <w:t>生产地址、生产设备或加工工艺发生较大变化，可能影响茶叶产品质量时；</w:t>
      </w:r>
    </w:p>
    <w:p>
      <w:pPr>
        <w:pStyle w:val="62"/>
        <w:rPr>
          <w:rFonts w:hint="default"/>
        </w:rPr>
      </w:pPr>
      <w:r>
        <w:t>停产一年以上恢复生产时；</w:t>
      </w:r>
    </w:p>
    <w:p>
      <w:pPr>
        <w:pStyle w:val="62"/>
        <w:rPr>
          <w:rFonts w:hint="default"/>
        </w:rPr>
      </w:pPr>
      <w:r>
        <w:t>国家法定质量监督机构提出型式检验要求时。</w:t>
      </w:r>
    </w:p>
    <w:p>
      <w:pPr>
        <w:pStyle w:val="75"/>
        <w:spacing w:before="156" w:after="156"/>
        <w:rPr>
          <w:rFonts w:hint="default"/>
        </w:rPr>
      </w:pPr>
      <w:bookmarkStart w:id="48" w:name="_Toc186263308"/>
      <w:bookmarkStart w:id="49" w:name="_Toc286932315"/>
      <w:bookmarkStart w:id="50" w:name="_Toc187727816"/>
      <w:r>
        <w:t>判定规则</w:t>
      </w:r>
    </w:p>
    <w:p>
      <w:pPr>
        <w:pStyle w:val="81"/>
        <w:spacing w:before="0" w:beforeLines="0" w:after="0" w:afterLines="0"/>
        <w:ind w:left="0"/>
        <w:rPr>
          <w:rFonts w:hint="default"/>
        </w:rPr>
      </w:pPr>
      <w:r>
        <w:t>检验结果全部符合本文件第5章要求的全部项目，则判定该批产品合格。</w:t>
      </w:r>
    </w:p>
    <w:p>
      <w:pPr>
        <w:pStyle w:val="81"/>
        <w:spacing w:before="0" w:beforeLines="0" w:after="0" w:afterLines="0"/>
        <w:ind w:left="0"/>
        <w:rPr>
          <w:rFonts w:hint="default"/>
        </w:rPr>
      </w:pPr>
      <w:r>
        <w:t>检验结果中任何一项不符合要求，则判定该批产品不合格。</w:t>
      </w:r>
    </w:p>
    <w:bookmarkEnd w:id="48"/>
    <w:bookmarkEnd w:id="49"/>
    <w:bookmarkEnd w:id="50"/>
    <w:p>
      <w:pPr>
        <w:pStyle w:val="75"/>
        <w:spacing w:before="156" w:after="156"/>
        <w:rPr>
          <w:rFonts w:hint="default"/>
        </w:rPr>
      </w:pPr>
      <w:bookmarkStart w:id="51" w:name="_Toc186263309"/>
      <w:bookmarkStart w:id="52" w:name="_Toc187727817"/>
      <w:bookmarkStart w:id="53" w:name="_Toc286932316"/>
      <w:r>
        <w:t>复检</w:t>
      </w:r>
      <w:bookmarkEnd w:id="51"/>
      <w:bookmarkEnd w:id="52"/>
      <w:bookmarkEnd w:id="53"/>
    </w:p>
    <w:p>
      <w:pPr>
        <w:pStyle w:val="27"/>
        <w:rPr>
          <w:rFonts w:hint="default"/>
        </w:rPr>
      </w:pPr>
      <w:bookmarkStart w:id="54" w:name="_Toc286932317"/>
      <w:r>
        <w:t>对检验结果有争议时，应对留存样或在同批产品中重新按GB/T 8302规定加倍取样，对不合格项进行复检，以复检结果为准。</w:t>
      </w:r>
    </w:p>
    <w:p>
      <w:pPr>
        <w:pStyle w:val="74"/>
        <w:spacing w:before="312" w:after="312"/>
        <w:rPr>
          <w:rFonts w:hint="default"/>
        </w:rPr>
      </w:pPr>
      <w:r>
        <w:t>标签标志、包装、运输和贮存</w:t>
      </w:r>
    </w:p>
    <w:p>
      <w:pPr>
        <w:pStyle w:val="75"/>
        <w:spacing w:before="156" w:after="156"/>
        <w:rPr>
          <w:rFonts w:hint="default"/>
        </w:rPr>
      </w:pPr>
      <w:r>
        <w:t>标签标志</w:t>
      </w:r>
    </w:p>
    <w:p>
      <w:pPr>
        <w:pStyle w:val="27"/>
        <w:rPr>
          <w:rFonts w:hint="default"/>
        </w:rPr>
      </w:pPr>
      <w:r>
        <w:t>标签应符合GB 7718的规定；产品运输包装的储运图示标志应符合GB/T 191的规定。</w:t>
      </w:r>
    </w:p>
    <w:p>
      <w:pPr>
        <w:pStyle w:val="75"/>
        <w:spacing w:before="156" w:after="156"/>
        <w:rPr>
          <w:rFonts w:hint="default"/>
        </w:rPr>
      </w:pPr>
      <w:r>
        <w:t>包装</w:t>
      </w:r>
    </w:p>
    <w:p>
      <w:pPr>
        <w:pStyle w:val="27"/>
        <w:rPr>
          <w:rFonts w:hint="default"/>
        </w:rPr>
      </w:pPr>
      <w:r>
        <w:t>应符合GB 23350和GH/T 1070的规定。</w:t>
      </w:r>
    </w:p>
    <w:p>
      <w:pPr>
        <w:pStyle w:val="75"/>
        <w:spacing w:before="156" w:after="156"/>
        <w:rPr>
          <w:rFonts w:hint="default"/>
        </w:rPr>
      </w:pPr>
      <w:r>
        <w:t>运输</w:t>
      </w:r>
    </w:p>
    <w:p>
      <w:pPr>
        <w:pStyle w:val="27"/>
        <w:rPr>
          <w:rFonts w:hint="default"/>
        </w:rPr>
      </w:pPr>
      <w:r>
        <w:t>产品运输应防雨、防潮、防曝晒，严禁与有毒、有害、有异气味、易污染的物品混装、混运。运输工具应清洁、干燥、无异味、无污染。</w:t>
      </w:r>
    </w:p>
    <w:p>
      <w:pPr>
        <w:pStyle w:val="75"/>
        <w:spacing w:before="156" w:after="156"/>
        <w:rPr>
          <w:rFonts w:hint="default"/>
        </w:rPr>
      </w:pPr>
      <w:r>
        <w:t>贮存</w:t>
      </w:r>
    </w:p>
    <w:p>
      <w:pPr>
        <w:pStyle w:val="27"/>
        <w:rPr>
          <w:rFonts w:hint="default" w:hAnsi="宋体"/>
          <w:color w:val="000000"/>
          <w:szCs w:val="21"/>
        </w:rPr>
      </w:pPr>
      <w:r>
        <w:rPr>
          <w:rFonts w:hAnsi="宋体"/>
          <w:color w:val="000000"/>
          <w:szCs w:val="21"/>
        </w:rPr>
        <w:t>应符合</w:t>
      </w:r>
      <w:r>
        <w:rPr>
          <w:rFonts w:hAnsi="宋体"/>
        </w:rPr>
        <w:t>GB/T 30375</w:t>
      </w:r>
      <w:r>
        <w:rPr>
          <w:rFonts w:hAnsi="宋体"/>
          <w:color w:val="000000"/>
          <w:szCs w:val="21"/>
        </w:rPr>
        <w:t>的规定。</w:t>
      </w:r>
      <w:bookmarkEnd w:id="54"/>
    </w:p>
    <w:p>
      <w:pPr>
        <w:pStyle w:val="114"/>
        <w:framePr w:wrap="around"/>
        <w:rPr>
          <w:rFonts w:hint="default"/>
        </w:rPr>
      </w:pPr>
      <w:bookmarkStart w:id="55" w:name="EndLine"/>
      <w:r>
        <w:drawing>
          <wp:inline distT="0" distB="0" distL="114300" distR="114300">
            <wp:extent cx="1485900" cy="321945"/>
            <wp:effectExtent l="0" t="0" r="0" b="1905"/>
            <wp:docPr id="3" name="图片 3" descr="En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ndLine"/>
                    <pic:cNvPicPr>
                      <a:picLocks noChangeAspect="1"/>
                    </pic:cNvPicPr>
                  </pic:nvPicPr>
                  <pic:blipFill>
                    <a:blip r:embed="rId6"/>
                    <a:stretch>
                      <a:fillRect/>
                    </a:stretch>
                  </pic:blipFill>
                  <pic:spPr>
                    <a:xfrm>
                      <a:off x="0" y="0"/>
                      <a:ext cx="1485900" cy="321945"/>
                    </a:xfrm>
                    <a:prstGeom prst="rect">
                      <a:avLst/>
                    </a:prstGeom>
                  </pic:spPr>
                </pic:pic>
              </a:graphicData>
            </a:graphic>
          </wp:inline>
        </w:drawing>
      </w:r>
      <w:bookmarkEnd w:id="55"/>
    </w:p>
    <w:sectPr>
      <w:pgSz w:w="11906" w:h="16838"/>
      <w:pgMar w:top="1871" w:right="1134" w:bottom="1134" w:left="1134" w:header="1418" w:footer="1134" w:gutter="284"/>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rPr>
        <w:rFonts w:hint="default"/>
      </w:rPr>
    </w:pP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rPr>
        <w:rFonts w:hint="default"/>
      </w:rPr>
    </w:pPr>
    <w:r>
      <w:t>T/XXX 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6260FA"/>
    <w:multiLevelType w:val="multilevel"/>
    <w:tmpl w:val="646260FA"/>
    <w:lvl w:ilvl="0" w:tentative="0">
      <w:start w:val="1"/>
      <w:numFmt w:val="decimal"/>
      <w:pStyle w:val="12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64B4B427"/>
    <w:multiLevelType w:val="multilevel"/>
    <w:tmpl w:val="64B4B427"/>
    <w:lvl w:ilvl="0" w:tentative="0">
      <w:start w:val="1"/>
      <w:numFmt w:val="upperLetter"/>
      <w:lvlText w:val="%1"/>
      <w:lvlJc w:val="left"/>
      <w:pPr>
        <w:tabs>
          <w:tab w:val="left" w:pos="0"/>
        </w:tabs>
        <w:ind w:left="0" w:firstLine="0"/>
      </w:pPr>
      <w:rPr>
        <w:rFonts w:hint="default"/>
      </w:rPr>
    </w:lvl>
    <w:lvl w:ilvl="1" w:tentative="0">
      <w:start w:val="1"/>
      <w:numFmt w:val="decimal"/>
      <w:pStyle w:val="2"/>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64B669F6"/>
    <w:multiLevelType w:val="multilevel"/>
    <w:tmpl w:val="64B669F6"/>
    <w:lvl w:ilvl="0" w:tentative="0">
      <w:start w:val="1"/>
      <w:numFmt w:val="none"/>
      <w:pStyle w:val="59"/>
      <w:lvlText w:val="%1——"/>
      <w:lvlJc w:val="left"/>
      <w:pPr>
        <w:tabs>
          <w:tab w:val="left" w:pos="851"/>
        </w:tabs>
        <w:ind w:left="851" w:hanging="426"/>
      </w:pPr>
      <w:rPr>
        <w:rFonts w:hint="default" w:ascii="Times New Roman" w:hAnsi="Times New Roman" w:eastAsia="宋体" w:cs="Times New Roman"/>
        <w:sz w:val="20"/>
      </w:rPr>
    </w:lvl>
    <w:lvl w:ilvl="1" w:tentative="0">
      <w:start w:val="1"/>
      <w:numFmt w:val="bullet"/>
      <w:pStyle w:val="60"/>
      <w:lvlText w:val=""/>
      <w:lvlJc w:val="left"/>
      <w:pPr>
        <w:tabs>
          <w:tab w:val="left" w:pos="851"/>
        </w:tabs>
        <w:ind w:left="1270" w:hanging="419"/>
      </w:pPr>
      <w:rPr>
        <w:rFonts w:hint="default" w:ascii="Symbol" w:hAnsi="Symbol" w:eastAsia="宋体" w:cs="Symbol"/>
        <w:sz w:val="21"/>
      </w:rPr>
    </w:lvl>
    <w:lvl w:ilvl="2" w:tentative="0">
      <w:start w:val="1"/>
      <w:numFmt w:val="bullet"/>
      <w:lvlText w:val=""/>
      <w:lvlJc w:val="left"/>
      <w:pPr>
        <w:tabs>
          <w:tab w:val="left" w:pos="1678"/>
        </w:tabs>
        <w:ind w:left="1678" w:hanging="414"/>
      </w:pPr>
      <w:rPr>
        <w:rFonts w:hint="default" w:ascii="Symbol" w:hAnsi="Symbol" w:cs="Symbol"/>
      </w:rPr>
    </w:lvl>
    <w:lvl w:ilvl="3" w:tentative="0">
      <w:start w:val="1"/>
      <w:numFmt w:val="decimal"/>
      <w:suff w:val="nothing"/>
      <w:lvlText w:val="（%4）"/>
      <w:lvlJc w:val="left"/>
      <w:pPr>
        <w:ind w:left="0" w:firstLine="402"/>
      </w:pPr>
      <w:rPr>
        <w:rFonts w:hint="default"/>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default"/>
      </w:rPr>
    </w:lvl>
    <w:lvl w:ilvl="6" w:tentative="0">
      <w:start w:val="1"/>
      <w:numFmt w:val="lowerLetter"/>
      <w:suff w:val="nothing"/>
      <w:lvlText w:val="%7．"/>
      <w:lvlJc w:val="left"/>
      <w:pPr>
        <w:ind w:left="0" w:firstLine="402"/>
      </w:pPr>
      <w:rPr>
        <w:rFonts w:hint="default"/>
      </w:rPr>
    </w:lvl>
    <w:lvl w:ilvl="7" w:tentative="0">
      <w:start w:val="1"/>
      <w:numFmt w:val="lowerLetter"/>
      <w:suff w:val="nothing"/>
      <w:lvlText w:val="%8）"/>
      <w:lvlJc w:val="left"/>
      <w:pPr>
        <w:ind w:left="0" w:firstLine="402"/>
      </w:pPr>
      <w:rPr>
        <w:rFonts w:hint="default"/>
      </w:rPr>
    </w:lvl>
    <w:lvl w:ilvl="8" w:tentative="0">
      <w:start w:val="1"/>
      <w:numFmt w:val="lowerRoman"/>
      <w:suff w:val="nothing"/>
      <w:lvlText w:val="%9. "/>
      <w:lvlJc w:val="left"/>
      <w:pPr>
        <w:ind w:left="0" w:firstLine="402"/>
      </w:pPr>
      <w:rPr>
        <w:rFonts w:hint="default"/>
      </w:rPr>
    </w:lvl>
  </w:abstractNum>
  <w:abstractNum w:abstractNumId="3">
    <w:nsid w:val="64B66A0C"/>
    <w:multiLevelType w:val="multilevel"/>
    <w:tmpl w:val="64B66A0C"/>
    <w:lvl w:ilvl="0" w:tentative="0">
      <w:start w:val="1"/>
      <w:numFmt w:val="lowerLetter"/>
      <w:pStyle w:val="62"/>
      <w:lvlText w:val="%1)"/>
      <w:lvlJc w:val="left"/>
      <w:pPr>
        <w:tabs>
          <w:tab w:val="left" w:pos="851"/>
        </w:tabs>
        <w:ind w:left="851" w:hanging="426"/>
      </w:pPr>
      <w:rPr>
        <w:rFonts w:hint="default" w:ascii="宋体" w:hAnsi="宋体" w:eastAsia="宋体" w:cs="宋体"/>
        <w:sz w:val="20"/>
      </w:rPr>
    </w:lvl>
    <w:lvl w:ilvl="1" w:tentative="0">
      <w:start w:val="1"/>
      <w:numFmt w:val="decimal"/>
      <w:pStyle w:val="63"/>
      <w:lvlText w:val="%2)"/>
      <w:lvlJc w:val="left"/>
      <w:pPr>
        <w:tabs>
          <w:tab w:val="left" w:pos="1276"/>
        </w:tabs>
        <w:ind w:left="1276" w:hanging="425"/>
      </w:pPr>
      <w:rPr>
        <w:rFonts w:hint="default" w:ascii="宋体" w:hAnsi="Times New Roman" w:eastAsia="宋体" w:cs="Times New Roman"/>
        <w:sz w:val="21"/>
      </w:rPr>
    </w:lvl>
    <w:lvl w:ilvl="2" w:tentative="0">
      <w:start w:val="1"/>
      <w:numFmt w:val="bullet"/>
      <w:pStyle w:val="61"/>
      <w:lvlText w:val=""/>
      <w:lvlJc w:val="left"/>
      <w:pPr>
        <w:tabs>
          <w:tab w:val="left" w:pos="1678"/>
        </w:tabs>
        <w:ind w:left="1678" w:hanging="414"/>
      </w:pPr>
      <w:rPr>
        <w:rFonts w:hint="default" w:ascii="Symbol" w:hAnsi="Symbol" w:cs="Symbol"/>
      </w:rPr>
    </w:lvl>
    <w:lvl w:ilvl="3" w:tentative="0">
      <w:start w:val="1"/>
      <w:numFmt w:val="decimal"/>
      <w:suff w:val="nothing"/>
      <w:lvlText w:val="（%4）"/>
      <w:lvlJc w:val="left"/>
      <w:pPr>
        <w:ind w:left="0" w:firstLine="402"/>
      </w:pPr>
      <w:rPr>
        <w:rFonts w:hint="default"/>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default"/>
      </w:rPr>
    </w:lvl>
    <w:lvl w:ilvl="6" w:tentative="0">
      <w:start w:val="1"/>
      <w:numFmt w:val="lowerLetter"/>
      <w:suff w:val="nothing"/>
      <w:lvlText w:val="%7．"/>
      <w:lvlJc w:val="left"/>
      <w:pPr>
        <w:ind w:left="0" w:firstLine="402"/>
      </w:pPr>
      <w:rPr>
        <w:rFonts w:hint="default"/>
      </w:rPr>
    </w:lvl>
    <w:lvl w:ilvl="7" w:tentative="0">
      <w:start w:val="1"/>
      <w:numFmt w:val="lowerLetter"/>
      <w:suff w:val="nothing"/>
      <w:lvlText w:val="%8）"/>
      <w:lvlJc w:val="left"/>
      <w:pPr>
        <w:ind w:left="0" w:firstLine="402"/>
      </w:pPr>
      <w:rPr>
        <w:rFonts w:hint="default"/>
      </w:rPr>
    </w:lvl>
    <w:lvl w:ilvl="8" w:tentative="0">
      <w:start w:val="1"/>
      <w:numFmt w:val="lowerRoman"/>
      <w:suff w:val="nothing"/>
      <w:lvlText w:val="%9. "/>
      <w:lvlJc w:val="left"/>
      <w:pPr>
        <w:ind w:left="0" w:firstLine="402"/>
      </w:pPr>
      <w:rPr>
        <w:rFonts w:hint="default"/>
      </w:rPr>
    </w:lvl>
  </w:abstractNum>
  <w:abstractNum w:abstractNumId="4">
    <w:nsid w:val="64B66A43"/>
    <w:multiLevelType w:val="multilevel"/>
    <w:tmpl w:val="64B66A43"/>
    <w:lvl w:ilvl="0" w:tentative="0">
      <w:start w:val="1"/>
      <w:numFmt w:val="none"/>
      <w:pStyle w:val="57"/>
      <w:suff w:val="nothing"/>
      <w:lvlText w:val="%1"/>
      <w:lvlJc w:val="left"/>
      <w:pPr>
        <w:ind w:left="425" w:hanging="425"/>
      </w:pPr>
      <w:rPr>
        <w:rFonts w:hint="default"/>
      </w:rPr>
    </w:lvl>
    <w:lvl w:ilvl="1" w:tentative="0">
      <w:start w:val="1"/>
      <w:numFmt w:val="decimal"/>
      <w:pStyle w:val="64"/>
      <w:suff w:val="nothing"/>
      <w:lvlText w:val="%10.%2 "/>
      <w:lvlJc w:val="left"/>
      <w:pPr>
        <w:ind w:left="0" w:firstLine="0"/>
      </w:pPr>
      <w:rPr>
        <w:rFonts w:hint="default" w:ascii="黑体" w:hAnsi="黑体" w:eastAsia="黑体" w:cs="黑体"/>
        <w:sz w:val="20"/>
      </w:rPr>
    </w:lvl>
    <w:lvl w:ilvl="2" w:tentative="0">
      <w:start w:val="1"/>
      <w:numFmt w:val="decimal"/>
      <w:pStyle w:val="65"/>
      <w:suff w:val="nothing"/>
      <w:lvlText w:val="%10.%2.%3 "/>
      <w:lvlJc w:val="left"/>
      <w:pPr>
        <w:ind w:left="0" w:firstLine="0"/>
      </w:pPr>
      <w:rPr>
        <w:rFonts w:hint="default" w:ascii="黑体" w:hAnsi="黑体" w:eastAsia="黑体" w:cs="黑体"/>
        <w:sz w:val="20"/>
      </w:rPr>
    </w:lvl>
    <w:lvl w:ilvl="3" w:tentative="0">
      <w:start w:val="1"/>
      <w:numFmt w:val="decimal"/>
      <w:pStyle w:val="66"/>
      <w:suff w:val="nothing"/>
      <w:lvlText w:val="%10.%2.%3.%4 "/>
      <w:lvlJc w:val="left"/>
      <w:pPr>
        <w:ind w:left="0" w:firstLine="0"/>
      </w:pPr>
      <w:rPr>
        <w:rFonts w:hint="default" w:ascii="黑体" w:hAnsi="黑体" w:eastAsia="黑体" w:cs="黑体"/>
        <w:sz w:val="20"/>
      </w:rPr>
    </w:lvl>
    <w:lvl w:ilvl="4" w:tentative="0">
      <w:start w:val="1"/>
      <w:numFmt w:val="decimal"/>
      <w:pStyle w:val="67"/>
      <w:suff w:val="nothing"/>
      <w:lvlText w:val="%10.%2.%3.%4.%5 "/>
      <w:lvlJc w:val="left"/>
      <w:pPr>
        <w:ind w:left="0" w:firstLine="0"/>
      </w:pPr>
      <w:rPr>
        <w:rFonts w:hint="default" w:ascii="黑体" w:hAnsi="黑体" w:eastAsia="黑体" w:cs="黑体"/>
        <w:sz w:val="20"/>
      </w:rPr>
    </w:lvl>
    <w:lvl w:ilvl="5" w:tentative="0">
      <w:start w:val="1"/>
      <w:numFmt w:val="decimal"/>
      <w:pStyle w:val="68"/>
      <w:suff w:val="nothing"/>
      <w:lvlText w:val="%10.%2.%3.%4.%5.%6 "/>
      <w:lvlJc w:val="left"/>
      <w:pPr>
        <w:ind w:left="0" w:firstLine="0"/>
      </w:pPr>
      <w:rPr>
        <w:rFonts w:hint="default" w:ascii="黑体" w:hAnsi="黑体" w:eastAsia="黑体" w:cs="黑体"/>
        <w:sz w:val="20"/>
      </w:rPr>
    </w:lvl>
    <w:lvl w:ilvl="6" w:tentative="0">
      <w:start w:val="1"/>
      <w:numFmt w:val="lowerLetter"/>
      <w:suff w:val="nothing"/>
      <w:lvlText w:val="%7．"/>
      <w:lvlJc w:val="left"/>
      <w:pPr>
        <w:ind w:left="0" w:firstLine="402"/>
      </w:pPr>
      <w:rPr>
        <w:rFonts w:hint="default"/>
      </w:rPr>
    </w:lvl>
    <w:lvl w:ilvl="7" w:tentative="0">
      <w:start w:val="1"/>
      <w:numFmt w:val="lowerLetter"/>
      <w:suff w:val="nothing"/>
      <w:lvlText w:val="%8）"/>
      <w:lvlJc w:val="left"/>
      <w:pPr>
        <w:ind w:left="0" w:firstLine="402"/>
      </w:pPr>
      <w:rPr>
        <w:rFonts w:hint="default"/>
      </w:rPr>
    </w:lvl>
    <w:lvl w:ilvl="8" w:tentative="0">
      <w:start w:val="1"/>
      <w:numFmt w:val="lowerRoman"/>
      <w:suff w:val="nothing"/>
      <w:lvlText w:val="%9 "/>
      <w:lvlJc w:val="left"/>
      <w:pPr>
        <w:ind w:left="0" w:firstLine="402"/>
      </w:pPr>
      <w:rPr>
        <w:rFonts w:hint="default"/>
      </w:rPr>
    </w:lvl>
  </w:abstractNum>
  <w:abstractNum w:abstractNumId="5">
    <w:nsid w:val="64B66A86"/>
    <w:multiLevelType w:val="multilevel"/>
    <w:tmpl w:val="64B66A86"/>
    <w:lvl w:ilvl="0" w:tentative="0">
      <w:start w:val="1"/>
      <w:numFmt w:val="decimal"/>
      <w:pStyle w:val="74"/>
      <w:suff w:val="nothing"/>
      <w:lvlText w:val="%1　"/>
      <w:lvlJc w:val="left"/>
      <w:pPr>
        <w:ind w:left="0" w:firstLine="0"/>
      </w:pPr>
      <w:rPr>
        <w:rFonts w:hint="default" w:ascii="黑体" w:hAnsi="黑体" w:eastAsia="黑体" w:cs="黑体"/>
        <w:sz w:val="20"/>
      </w:rPr>
    </w:lvl>
    <w:lvl w:ilvl="1" w:tentative="0">
      <w:start w:val="1"/>
      <w:numFmt w:val="decimal"/>
      <w:pStyle w:val="75"/>
      <w:suff w:val="nothing"/>
      <w:lvlText w:val="%1.%2　"/>
      <w:lvlJc w:val="left"/>
      <w:pPr>
        <w:ind w:left="0" w:firstLine="0"/>
      </w:pPr>
      <w:rPr>
        <w:rFonts w:hint="default" w:ascii="黑体" w:hAnsi="黑体" w:eastAsia="黑体" w:cs="黑体"/>
        <w:sz w:val="20"/>
      </w:rPr>
    </w:lvl>
    <w:lvl w:ilvl="2" w:tentative="0">
      <w:start w:val="1"/>
      <w:numFmt w:val="decimal"/>
      <w:pStyle w:val="76"/>
      <w:suff w:val="nothing"/>
      <w:lvlText w:val="%1.%2.%3　"/>
      <w:lvlJc w:val="left"/>
      <w:pPr>
        <w:ind w:left="283" w:firstLine="0"/>
      </w:pPr>
      <w:rPr>
        <w:rFonts w:hint="default" w:ascii="黑体" w:hAnsi="黑体" w:eastAsia="黑体" w:cs="黑体"/>
        <w:sz w:val="20"/>
      </w:rPr>
    </w:lvl>
    <w:lvl w:ilvl="3" w:tentative="0">
      <w:start w:val="1"/>
      <w:numFmt w:val="decimal"/>
      <w:pStyle w:val="77"/>
      <w:suff w:val="nothing"/>
      <w:lvlText w:val="%1.%2.%3.%4　"/>
      <w:lvlJc w:val="left"/>
      <w:pPr>
        <w:ind w:left="0" w:firstLine="0"/>
      </w:pPr>
      <w:rPr>
        <w:rFonts w:hint="default" w:ascii="黑体" w:hAnsi="黑体" w:eastAsia="黑体" w:cs="黑体"/>
        <w:sz w:val="20"/>
      </w:rPr>
    </w:lvl>
    <w:lvl w:ilvl="4" w:tentative="0">
      <w:start w:val="1"/>
      <w:numFmt w:val="decimal"/>
      <w:pStyle w:val="78"/>
      <w:suff w:val="nothing"/>
      <w:lvlText w:val="%1.%2.%3.%4.%5　"/>
      <w:lvlJc w:val="left"/>
      <w:pPr>
        <w:ind w:left="0" w:firstLine="0"/>
      </w:pPr>
      <w:rPr>
        <w:rFonts w:hint="default" w:ascii="黑体" w:hAnsi="黑体" w:eastAsia="黑体" w:cs="黑体"/>
        <w:sz w:val="20"/>
      </w:rPr>
    </w:lvl>
    <w:lvl w:ilvl="5" w:tentative="0">
      <w:start w:val="1"/>
      <w:numFmt w:val="decimal"/>
      <w:pStyle w:val="79"/>
      <w:suff w:val="nothing"/>
      <w:lvlText w:val="%1.%2.%3.%4.%5.%6　"/>
      <w:lvlJc w:val="left"/>
      <w:pPr>
        <w:ind w:left="0" w:firstLine="0"/>
      </w:pPr>
      <w:rPr>
        <w:rFonts w:hint="default" w:ascii="黑体" w:hAnsi="黑体" w:eastAsia="黑体" w:cs="黑体"/>
        <w:sz w:val="20"/>
      </w:rPr>
    </w:lvl>
    <w:lvl w:ilvl="6" w:tentative="0">
      <w:start w:val="1"/>
      <w:numFmt w:val="lowerLetter"/>
      <w:suff w:val="nothing"/>
      <w:lvlText w:val="%7）"/>
      <w:lvlJc w:val="left"/>
      <w:pPr>
        <w:ind w:left="0" w:firstLine="402"/>
      </w:pPr>
      <w:rPr>
        <w:rFonts w:hint="default"/>
      </w:rPr>
    </w:lvl>
    <w:lvl w:ilvl="7" w:tentative="0">
      <w:start w:val="1"/>
      <w:numFmt w:val="lowerRoman"/>
      <w:suff w:val="nothing"/>
      <w:lvlText w:val="%8. "/>
      <w:lvlJc w:val="left"/>
      <w:pPr>
        <w:ind w:left="0" w:firstLine="402"/>
      </w:pPr>
      <w:rPr>
        <w:rFonts w:hint="default"/>
      </w:rPr>
    </w:lvl>
    <w:lvl w:ilvl="8" w:tentative="0">
      <w:start w:val="1"/>
      <w:numFmt w:val="lowerRoman"/>
      <w:suff w:val="nothing"/>
      <w:lvlText w:val="%9）"/>
      <w:lvlJc w:val="left"/>
      <w:pPr>
        <w:ind w:left="0" w:firstLine="402"/>
      </w:pPr>
      <w:rPr>
        <w:rFonts w:hint="default"/>
      </w:rPr>
    </w:lvl>
  </w:abstractNum>
  <w:abstractNum w:abstractNumId="6">
    <w:nsid w:val="64B66AC8"/>
    <w:multiLevelType w:val="multilevel"/>
    <w:tmpl w:val="64B66AC8"/>
    <w:lvl w:ilvl="0" w:tentative="0">
      <w:start w:val="1"/>
      <w:numFmt w:val="upperLetter"/>
      <w:pStyle w:val="90"/>
      <w:suff w:val="nothing"/>
      <w:lvlText w:val="附录%1"/>
      <w:lvlJc w:val="left"/>
      <w:pPr>
        <w:ind w:left="0" w:firstLine="0"/>
      </w:pPr>
      <w:rPr>
        <w:rFonts w:hint="default"/>
        <w:spacing w:val="102"/>
      </w:rPr>
    </w:lvl>
    <w:lvl w:ilvl="1" w:tentative="0">
      <w:start w:val="1"/>
      <w:numFmt w:val="decimal"/>
      <w:pStyle w:val="91"/>
      <w:suff w:val="nothing"/>
      <w:lvlText w:val="%1.%2　"/>
      <w:lvlJc w:val="left"/>
      <w:pPr>
        <w:ind w:left="0" w:firstLine="0"/>
      </w:pPr>
      <w:rPr>
        <w:rFonts w:hint="default" w:ascii="黑体" w:hAnsi="黑体" w:eastAsia="黑体" w:cs="黑体"/>
        <w:sz w:val="20"/>
      </w:rPr>
    </w:lvl>
    <w:lvl w:ilvl="2" w:tentative="0">
      <w:start w:val="1"/>
      <w:numFmt w:val="decimal"/>
      <w:pStyle w:val="92"/>
      <w:suff w:val="nothing"/>
      <w:lvlText w:val="%1.%2.%3　"/>
      <w:lvlJc w:val="left"/>
      <w:pPr>
        <w:ind w:left="0" w:firstLine="0"/>
      </w:pPr>
      <w:rPr>
        <w:rFonts w:hint="default" w:ascii="黑体" w:hAnsi="黑体" w:eastAsia="黑体" w:cs="黑体"/>
        <w:sz w:val="20"/>
      </w:rPr>
    </w:lvl>
    <w:lvl w:ilvl="3" w:tentative="0">
      <w:start w:val="1"/>
      <w:numFmt w:val="decimal"/>
      <w:pStyle w:val="93"/>
      <w:suff w:val="nothing"/>
      <w:lvlText w:val="%1.%2.%3.%4　"/>
      <w:lvlJc w:val="left"/>
      <w:pPr>
        <w:ind w:left="0" w:firstLine="0"/>
      </w:pPr>
      <w:rPr>
        <w:rFonts w:hint="default" w:ascii="黑体" w:hAnsi="黑体" w:eastAsia="黑体" w:cs="黑体"/>
        <w:sz w:val="20"/>
      </w:rPr>
    </w:lvl>
    <w:lvl w:ilvl="4" w:tentative="0">
      <w:start w:val="1"/>
      <w:numFmt w:val="decimal"/>
      <w:pStyle w:val="94"/>
      <w:suff w:val="nothing"/>
      <w:lvlText w:val="%1.%2.%3.%4.%5　"/>
      <w:lvlJc w:val="left"/>
      <w:pPr>
        <w:ind w:left="0" w:firstLine="0"/>
      </w:pPr>
      <w:rPr>
        <w:rFonts w:hint="default" w:ascii="黑体" w:hAnsi="黑体" w:eastAsia="黑体" w:cs="黑体"/>
        <w:sz w:val="20"/>
      </w:rPr>
    </w:lvl>
    <w:lvl w:ilvl="5" w:tentative="0">
      <w:start w:val="1"/>
      <w:numFmt w:val="decimal"/>
      <w:pStyle w:val="95"/>
      <w:suff w:val="nothing"/>
      <w:lvlText w:val="%1.%2.%3.%4.%5.%6　"/>
      <w:lvlJc w:val="left"/>
      <w:pPr>
        <w:ind w:left="0" w:firstLine="0"/>
      </w:pPr>
      <w:rPr>
        <w:rFonts w:hint="default" w:ascii="黑体" w:hAnsi="黑体" w:eastAsia="黑体" w:cs="黑体"/>
        <w:sz w:val="20"/>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64B66ADE"/>
    <w:multiLevelType w:val="multilevel"/>
    <w:tmpl w:val="64B66ADE"/>
    <w:lvl w:ilvl="0" w:tentative="0">
      <w:start w:val="1"/>
      <w:numFmt w:val="upperLetter"/>
      <w:pStyle w:val="101"/>
      <w:lvlText w:val="%1"/>
      <w:lvlJc w:val="left"/>
      <w:pPr>
        <w:tabs>
          <w:tab w:val="left" w:pos="0"/>
        </w:tabs>
        <w:ind w:left="0" w:firstLine="0"/>
      </w:pPr>
      <w:rPr>
        <w:rFonts w:hint="default"/>
      </w:rPr>
    </w:lvl>
    <w:lvl w:ilvl="1" w:tentative="0">
      <w:start w:val="1"/>
      <w:numFmt w:val="decimal"/>
      <w:pStyle w:val="102"/>
      <w:suff w:val="nothing"/>
      <w:lvlText w:val="图%1.%2　"/>
      <w:lvlJc w:val="left"/>
      <w:pPr>
        <w:ind w:left="0" w:firstLine="0"/>
      </w:pPr>
      <w:rPr>
        <w:rFonts w:hint="default"/>
      </w:rPr>
    </w:lvl>
    <w:lvl w:ilvl="2" w:tentative="0">
      <w:start w:val="1"/>
      <w:numFmt w:val="decimal"/>
      <w:pStyle w:val="3"/>
      <w:lvlText w:val="%1.%2.%3."/>
      <w:lvlJc w:val="left"/>
      <w:pPr>
        <w:ind w:left="720" w:hanging="720"/>
      </w:pPr>
      <w:rPr>
        <w:rFonts w:hint="default"/>
      </w:rPr>
    </w:lvl>
    <w:lvl w:ilvl="3" w:tentative="0">
      <w:start w:val="1"/>
      <w:numFmt w:val="decimal"/>
      <w:pStyle w:val="4"/>
      <w:lvlText w:val="%1.%2.%3.%4."/>
      <w:lvlJc w:val="left"/>
      <w:pPr>
        <w:ind w:left="864" w:hanging="864"/>
      </w:pPr>
      <w:rPr>
        <w:rFonts w:hint="default"/>
      </w:rPr>
    </w:lvl>
    <w:lvl w:ilvl="4" w:tentative="0">
      <w:start w:val="1"/>
      <w:numFmt w:val="decimal"/>
      <w:pStyle w:val="5"/>
      <w:lvlText w:val="%1.%2.%3.%4.%5."/>
      <w:lvlJc w:val="left"/>
      <w:pPr>
        <w:ind w:left="1008" w:hanging="1008"/>
      </w:pPr>
      <w:rPr>
        <w:rFonts w:hint="default"/>
      </w:rPr>
    </w:lvl>
    <w:lvl w:ilvl="5" w:tentative="0">
      <w:start w:val="1"/>
      <w:numFmt w:val="decimal"/>
      <w:pStyle w:val="6"/>
      <w:lvlText w:val="%1.%2.%3.%4.%5.%6."/>
      <w:lvlJc w:val="left"/>
      <w:pPr>
        <w:ind w:left="1151" w:hanging="1151"/>
      </w:pPr>
      <w:rPr>
        <w:rFonts w:hint="default"/>
      </w:rPr>
    </w:lvl>
    <w:lvl w:ilvl="6" w:tentative="0">
      <w:start w:val="1"/>
      <w:numFmt w:val="decimal"/>
      <w:pStyle w:val="7"/>
      <w:lvlText w:val="%1.%2.%3.%4.%5.%6.%7."/>
      <w:lvlJc w:val="left"/>
      <w:pPr>
        <w:ind w:left="1296" w:hanging="1296"/>
      </w:pPr>
      <w:rPr>
        <w:rFonts w:hint="default"/>
      </w:rPr>
    </w:lvl>
    <w:lvl w:ilvl="7" w:tentative="0">
      <w:start w:val="1"/>
      <w:numFmt w:val="decimal"/>
      <w:pStyle w:val="8"/>
      <w:lvlText w:val="%1.%2.%3.%4.%5.%6.%7.%8."/>
      <w:lvlJc w:val="left"/>
      <w:pPr>
        <w:ind w:left="1440" w:hanging="1440"/>
      </w:pPr>
      <w:rPr>
        <w:rFonts w:hint="default"/>
      </w:rPr>
    </w:lvl>
    <w:lvl w:ilvl="8" w:tentative="0">
      <w:start w:val="1"/>
      <w:numFmt w:val="decimal"/>
      <w:pStyle w:val="9"/>
      <w:lvlText w:val="%1.%2.%3.%4.%5.%6.%7.%8.%9."/>
      <w:lvlJc w:val="left"/>
      <w:pPr>
        <w:ind w:left="1583" w:hanging="1583"/>
      </w:pPr>
      <w:rPr>
        <w:rFonts w:hint="default"/>
      </w:rPr>
    </w:lvl>
  </w:abstractNum>
  <w:abstractNum w:abstractNumId="8">
    <w:nsid w:val="64B66AF4"/>
    <w:multiLevelType w:val="multilevel"/>
    <w:tmpl w:val="64B66AF4"/>
    <w:lvl w:ilvl="0" w:tentative="0">
      <w:start w:val="1"/>
      <w:numFmt w:val="upperLetter"/>
      <w:pStyle w:val="103"/>
      <w:lvlText w:val="%1"/>
      <w:lvlJc w:val="left"/>
      <w:pPr>
        <w:tabs>
          <w:tab w:val="left" w:pos="0"/>
        </w:tabs>
        <w:ind w:left="0" w:firstLine="0"/>
      </w:pPr>
      <w:rPr>
        <w:rFonts w:hint="default"/>
      </w:rPr>
    </w:lvl>
    <w:lvl w:ilvl="1" w:tentative="0">
      <w:start w:val="1"/>
      <w:numFmt w:val="decimal"/>
      <w:pStyle w:val="104"/>
      <w:suff w:val="nothing"/>
      <w:lvlText w:val="表%1.%2　"/>
      <w:lvlJc w:val="left"/>
      <w:pPr>
        <w:ind w:left="0" w:firstLine="0"/>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9">
    <w:nsid w:val="64B66AFF"/>
    <w:multiLevelType w:val="multilevel"/>
    <w:tmpl w:val="64B66AFF"/>
    <w:lvl w:ilvl="0" w:tentative="0">
      <w:start w:val="1"/>
      <w:numFmt w:val="none"/>
      <w:pStyle w:val="106"/>
      <w:suff w:val="nothing"/>
      <w:lvlText w:val="示例："/>
      <w:lvlJc w:val="left"/>
      <w:pPr>
        <w:tabs>
          <w:tab w:val="left" w:pos="539"/>
        </w:tabs>
        <w:ind w:left="0" w:firstLine="363"/>
      </w:pPr>
      <w:rPr>
        <w:rFonts w:hint="eastAsia" w:ascii="黑体" w:hAnsi="黑体" w:eastAsia="黑体" w:cs="黑体"/>
        <w:sz w:val="18"/>
        <w:vertAlign w:val="baseline"/>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0">
    <w:nsid w:val="64B66B0A"/>
    <w:multiLevelType w:val="multilevel"/>
    <w:tmpl w:val="64B66B0A"/>
    <w:lvl w:ilvl="0" w:tentative="0">
      <w:start w:val="1"/>
      <w:numFmt w:val="decimal"/>
      <w:pStyle w:val="107"/>
      <w:suff w:val="nothing"/>
      <w:lvlText w:val="示例%1："/>
      <w:lvlJc w:val="left"/>
      <w:pPr>
        <w:tabs>
          <w:tab w:val="left" w:pos="539"/>
        </w:tabs>
        <w:ind w:left="0" w:firstLine="363"/>
      </w:pPr>
      <w:rPr>
        <w:rFonts w:hint="eastAsia" w:ascii="黑体" w:hAnsi="黑体" w:eastAsia="黑体" w:cs="黑体"/>
        <w:sz w:val="18"/>
        <w:vertAlign w:val="baseline"/>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1">
    <w:nsid w:val="64B66B15"/>
    <w:multiLevelType w:val="multilevel"/>
    <w:tmpl w:val="64B66B15"/>
    <w:lvl w:ilvl="0" w:tentative="0">
      <w:start w:val="1"/>
      <w:numFmt w:val="none"/>
      <w:pStyle w:val="108"/>
      <w:suff w:val="nothing"/>
      <w:lvlText w:val="注："/>
      <w:lvlJc w:val="left"/>
      <w:pPr>
        <w:tabs>
          <w:tab w:val="left" w:pos="539"/>
        </w:tabs>
        <w:ind w:left="737" w:hanging="374"/>
      </w:pPr>
      <w:rPr>
        <w:rFonts w:hint="eastAsia" w:ascii="黑体" w:hAnsi="黑体" w:eastAsia="黑体" w:cs="黑体"/>
        <w:sz w:val="18"/>
        <w:vertAlign w:val="baseline"/>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2">
    <w:nsid w:val="64B66B20"/>
    <w:multiLevelType w:val="multilevel"/>
    <w:tmpl w:val="64B66B20"/>
    <w:lvl w:ilvl="0" w:tentative="0">
      <w:start w:val="1"/>
      <w:numFmt w:val="decimal"/>
      <w:pStyle w:val="109"/>
      <w:suff w:val="nothing"/>
      <w:lvlText w:val="注%1："/>
      <w:lvlJc w:val="left"/>
      <w:pPr>
        <w:tabs>
          <w:tab w:val="left" w:pos="539"/>
        </w:tabs>
        <w:ind w:left="811" w:hanging="448"/>
      </w:pPr>
      <w:rPr>
        <w:rFonts w:hint="eastAsia" w:ascii="黑体" w:hAnsi="黑体" w:eastAsia="黑体" w:cs="黑体"/>
        <w:sz w:val="18"/>
        <w:vertAlign w:val="baseline"/>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3">
    <w:nsid w:val="64B66B2B"/>
    <w:multiLevelType w:val="multilevel"/>
    <w:tmpl w:val="64B66B2B"/>
    <w:lvl w:ilvl="0" w:tentative="0">
      <w:start w:val="1"/>
      <w:numFmt w:val="decimal"/>
      <w:pStyle w:val="17"/>
      <w:lvlText w:val="%1)"/>
      <w:lvlJc w:val="left"/>
      <w:pPr>
        <w:tabs>
          <w:tab w:val="left" w:pos="0"/>
        </w:tabs>
        <w:ind w:left="720" w:hanging="357"/>
      </w:pPr>
      <w:rPr>
        <w:rFonts w:hint="eastAsia" w:ascii="宋体" w:hAnsi="宋体" w:eastAsia="宋体" w:cs="宋体"/>
        <w:sz w:val="15"/>
        <w:vertAlign w:val="baseline"/>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4">
    <w:nsid w:val="64B66B36"/>
    <w:multiLevelType w:val="multilevel"/>
    <w:tmpl w:val="64B66B36"/>
    <w:lvl w:ilvl="0" w:tentative="0">
      <w:start w:val="1"/>
      <w:numFmt w:val="lowerLetter"/>
      <w:pStyle w:val="110"/>
      <w:lvlText w:val="%1"/>
      <w:lvlJc w:val="left"/>
      <w:pPr>
        <w:tabs>
          <w:tab w:val="left" w:pos="539"/>
        </w:tabs>
        <w:ind w:left="539" w:hanging="119"/>
      </w:pPr>
      <w:rPr>
        <w:rFonts w:hint="eastAsia" w:ascii="宋体" w:hAnsi="宋体" w:eastAsia="宋体" w:cs="宋体"/>
        <w:sz w:val="15"/>
        <w:vertAlign w:val="superscript"/>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5">
    <w:nsid w:val="64B66B41"/>
    <w:multiLevelType w:val="multilevel"/>
    <w:tmpl w:val="64B66B41"/>
    <w:lvl w:ilvl="0" w:tentative="0">
      <w:start w:val="1"/>
      <w:numFmt w:val="decimal"/>
      <w:pStyle w:val="115"/>
      <w:suff w:val="nothing"/>
      <w:lvlText w:val="表%1  "/>
      <w:lvlJc w:val="left"/>
      <w:pPr>
        <w:tabs>
          <w:tab w:val="left" w:pos="539"/>
        </w:tabs>
        <w:ind w:left="0" w:firstLine="0"/>
      </w:pPr>
      <w:rPr>
        <w:rFonts w:hint="eastAsia" w:ascii="黑体" w:hAnsi="黑体" w:eastAsia="黑体" w:cs="黑体"/>
        <w:sz w:val="21"/>
        <w:vertAlign w:val="baseline"/>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6">
    <w:nsid w:val="64B66B4C"/>
    <w:multiLevelType w:val="multilevel"/>
    <w:tmpl w:val="64B66B4C"/>
    <w:lvl w:ilvl="0" w:tentative="0">
      <w:start w:val="1"/>
      <w:numFmt w:val="decimal"/>
      <w:pStyle w:val="116"/>
      <w:suff w:val="nothing"/>
      <w:lvlText w:val="图%1  "/>
      <w:lvlJc w:val="left"/>
      <w:pPr>
        <w:tabs>
          <w:tab w:val="left" w:pos="539"/>
        </w:tabs>
        <w:ind w:left="0" w:firstLine="0"/>
      </w:pPr>
      <w:rPr>
        <w:rFonts w:hint="eastAsia" w:ascii="黑体" w:hAnsi="黑体" w:eastAsia="黑体" w:cs="黑体"/>
        <w:sz w:val="21"/>
        <w:vertAlign w:val="baseline"/>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7">
    <w:nsid w:val="64B66B57"/>
    <w:multiLevelType w:val="multilevel"/>
    <w:tmpl w:val="64B66B57"/>
    <w:lvl w:ilvl="0" w:tentative="0">
      <w:start w:val="1"/>
      <w:numFmt w:val="decimal"/>
      <w:pStyle w:val="121"/>
      <w:suff w:val="nothing"/>
      <w:lvlText w:val="[%1]  "/>
      <w:lvlJc w:val="left"/>
      <w:pPr>
        <w:tabs>
          <w:tab w:val="left" w:pos="425"/>
        </w:tabs>
        <w:ind w:left="0" w:firstLine="363"/>
      </w:pPr>
      <w:rPr>
        <w:rFonts w:hint="default" w:ascii="黑体" w:hAnsi="黑体" w:eastAsia="黑体" w:cs="黑体"/>
        <w:sz w:val="18"/>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8">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126"/>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29"/>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7"/>
  </w:num>
  <w:num w:numId="3">
    <w:abstractNumId w:val="13"/>
  </w:num>
  <w:num w:numId="4">
    <w:abstractNumId w:val="4"/>
  </w:num>
  <w:num w:numId="5">
    <w:abstractNumId w:val="2"/>
  </w:num>
  <w:num w:numId="6">
    <w:abstractNumId w:val="3"/>
  </w:num>
  <w:num w:numId="7">
    <w:abstractNumId w:val="5"/>
  </w:num>
  <w:num w:numId="8">
    <w:abstractNumId w:val="6"/>
  </w:num>
  <w:num w:numId="9">
    <w:abstractNumId w:val="8"/>
  </w:num>
  <w:num w:numId="10">
    <w:abstractNumId w:val="9"/>
  </w:num>
  <w:num w:numId="11">
    <w:abstractNumId w:val="10"/>
  </w:num>
  <w:num w:numId="12">
    <w:abstractNumId w:val="11"/>
  </w:num>
  <w:num w:numId="13">
    <w:abstractNumId w:val="12"/>
  </w:num>
  <w:num w:numId="14">
    <w:abstractNumId w:val="14"/>
  </w:num>
  <w:num w:numId="15">
    <w:abstractNumId w:val="15"/>
  </w:num>
  <w:num w:numId="16">
    <w:abstractNumId w:val="16"/>
  </w:num>
  <w:num w:numId="17">
    <w:abstractNumId w:val="17"/>
  </w:num>
  <w:num w:numId="18">
    <w:abstractNumId w:val="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dit="forms" w:enforcement="1" w:cryptProviderType="rsaFull" w:cryptAlgorithmClass="hash" w:cryptAlgorithmType="typeAny" w:cryptAlgorithmSid="4" w:cryptSpinCount="0" w:hash="cpiiPepLqwqXbHN8Cqr2QKuKxLY=" w:salt="VZKn+52KyruhZFAxsROyxg=="/>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1MmU3Y2ZjOWIxODA5NDc1YTY5ZjM1YWQ1ZjMzNDkifQ=="/>
  </w:docVars>
  <w:rsids>
    <w:rsidRoot w:val="7B771149"/>
    <w:rsid w:val="00001FF1"/>
    <w:rsid w:val="000444B9"/>
    <w:rsid w:val="000866FA"/>
    <w:rsid w:val="000E07DC"/>
    <w:rsid w:val="000F710D"/>
    <w:rsid w:val="00104CF4"/>
    <w:rsid w:val="001123C7"/>
    <w:rsid w:val="0011394E"/>
    <w:rsid w:val="00113D2C"/>
    <w:rsid w:val="0012421D"/>
    <w:rsid w:val="00171494"/>
    <w:rsid w:val="001B4983"/>
    <w:rsid w:val="0020495D"/>
    <w:rsid w:val="002116DF"/>
    <w:rsid w:val="00234954"/>
    <w:rsid w:val="00284EFB"/>
    <w:rsid w:val="00290F9D"/>
    <w:rsid w:val="00292ACF"/>
    <w:rsid w:val="002C33E6"/>
    <w:rsid w:val="00344DAE"/>
    <w:rsid w:val="00373755"/>
    <w:rsid w:val="003962E4"/>
    <w:rsid w:val="003A0D91"/>
    <w:rsid w:val="003B3AB9"/>
    <w:rsid w:val="003C66E7"/>
    <w:rsid w:val="003D36D3"/>
    <w:rsid w:val="003E516F"/>
    <w:rsid w:val="004117D7"/>
    <w:rsid w:val="00425202"/>
    <w:rsid w:val="00437410"/>
    <w:rsid w:val="004C2710"/>
    <w:rsid w:val="004C75CA"/>
    <w:rsid w:val="005109DC"/>
    <w:rsid w:val="00525B0A"/>
    <w:rsid w:val="0052653F"/>
    <w:rsid w:val="005C6C70"/>
    <w:rsid w:val="0061156F"/>
    <w:rsid w:val="006357C5"/>
    <w:rsid w:val="006410B2"/>
    <w:rsid w:val="006627C1"/>
    <w:rsid w:val="00681EF7"/>
    <w:rsid w:val="00682A4C"/>
    <w:rsid w:val="00693FEC"/>
    <w:rsid w:val="0072060C"/>
    <w:rsid w:val="00734740"/>
    <w:rsid w:val="00735716"/>
    <w:rsid w:val="007441DD"/>
    <w:rsid w:val="007C58A0"/>
    <w:rsid w:val="00804FD9"/>
    <w:rsid w:val="00817CC3"/>
    <w:rsid w:val="00881E4E"/>
    <w:rsid w:val="008A5BE0"/>
    <w:rsid w:val="008E7025"/>
    <w:rsid w:val="0090597D"/>
    <w:rsid w:val="009068B0"/>
    <w:rsid w:val="0093623C"/>
    <w:rsid w:val="00951FCF"/>
    <w:rsid w:val="009857EB"/>
    <w:rsid w:val="009950B4"/>
    <w:rsid w:val="00A1676D"/>
    <w:rsid w:val="00A32C1B"/>
    <w:rsid w:val="00A35D8B"/>
    <w:rsid w:val="00AB2E1E"/>
    <w:rsid w:val="00AC78BA"/>
    <w:rsid w:val="00AD1469"/>
    <w:rsid w:val="00B05D0C"/>
    <w:rsid w:val="00B43821"/>
    <w:rsid w:val="00B47C92"/>
    <w:rsid w:val="00B653DB"/>
    <w:rsid w:val="00BA057F"/>
    <w:rsid w:val="00BA169F"/>
    <w:rsid w:val="00BB09E0"/>
    <w:rsid w:val="00BB5048"/>
    <w:rsid w:val="00BB7D27"/>
    <w:rsid w:val="00BD3539"/>
    <w:rsid w:val="00C21E9E"/>
    <w:rsid w:val="00C244D3"/>
    <w:rsid w:val="00C403C0"/>
    <w:rsid w:val="00C56CB1"/>
    <w:rsid w:val="00C742E0"/>
    <w:rsid w:val="00C80D41"/>
    <w:rsid w:val="00CD2D50"/>
    <w:rsid w:val="00CD342B"/>
    <w:rsid w:val="00CE2C90"/>
    <w:rsid w:val="00D257D8"/>
    <w:rsid w:val="00E45760"/>
    <w:rsid w:val="00E56EF6"/>
    <w:rsid w:val="00E93AFC"/>
    <w:rsid w:val="00ED6ADE"/>
    <w:rsid w:val="00F125AB"/>
    <w:rsid w:val="00F47329"/>
    <w:rsid w:val="00F51748"/>
    <w:rsid w:val="00F8742A"/>
    <w:rsid w:val="00FA54F2"/>
    <w:rsid w:val="00FF6C4C"/>
    <w:rsid w:val="019E2928"/>
    <w:rsid w:val="06B16E22"/>
    <w:rsid w:val="0B4E1E7F"/>
    <w:rsid w:val="103C79A3"/>
    <w:rsid w:val="16F92E7F"/>
    <w:rsid w:val="17194368"/>
    <w:rsid w:val="2AB66064"/>
    <w:rsid w:val="36514795"/>
    <w:rsid w:val="366B2A74"/>
    <w:rsid w:val="39165684"/>
    <w:rsid w:val="39D536E8"/>
    <w:rsid w:val="48152297"/>
    <w:rsid w:val="48CB66F3"/>
    <w:rsid w:val="4AC30729"/>
    <w:rsid w:val="4B7C0BBF"/>
    <w:rsid w:val="4FB21408"/>
    <w:rsid w:val="534D1451"/>
    <w:rsid w:val="53E87D47"/>
    <w:rsid w:val="55142F82"/>
    <w:rsid w:val="56875002"/>
    <w:rsid w:val="61871CC1"/>
    <w:rsid w:val="6561558F"/>
    <w:rsid w:val="67A20C29"/>
    <w:rsid w:val="78CC2CE2"/>
    <w:rsid w:val="790030A9"/>
    <w:rsid w:val="7B771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宋体" w:hAnsi="Times New Roman" w:eastAsia="宋体" w:cs="宋体"/>
      <w:kern w:val="2"/>
      <w:sz w:val="21"/>
      <w:szCs w:val="24"/>
      <w:lang w:val="en-US" w:eastAsia="zh-CN" w:bidi="ar-SA"/>
    </w:rPr>
  </w:style>
  <w:style w:type="paragraph" w:styleId="2">
    <w:name w:val="heading 2"/>
    <w:basedOn w:val="1"/>
    <w:next w:val="1"/>
    <w:unhideWhenUsed/>
    <w:qFormat/>
    <w:uiPriority w:val="0"/>
    <w:pPr>
      <w:keepNext/>
      <w:keepLines/>
      <w:numPr>
        <w:ilvl w:val="1"/>
        <w:numId w:val="1"/>
      </w:numPr>
      <w:spacing w:before="260" w:after="260" w:line="413" w:lineRule="auto"/>
      <w:outlineLvl w:val="1"/>
    </w:pPr>
    <w:rPr>
      <w:rFonts w:ascii="Arial" w:hAnsi="Arial" w:eastAsia="黑体"/>
      <w:b/>
      <w:sz w:val="32"/>
    </w:rPr>
  </w:style>
  <w:style w:type="paragraph" w:styleId="3">
    <w:name w:val="heading 3"/>
    <w:basedOn w:val="1"/>
    <w:next w:val="1"/>
    <w:unhideWhenUsed/>
    <w:qFormat/>
    <w:uiPriority w:val="0"/>
    <w:pPr>
      <w:keepNext/>
      <w:keepLines/>
      <w:numPr>
        <w:ilvl w:val="2"/>
        <w:numId w:val="2"/>
      </w:numPr>
      <w:spacing w:before="260" w:after="260" w:line="413" w:lineRule="auto"/>
      <w:outlineLvl w:val="2"/>
    </w:pPr>
    <w:rPr>
      <w:b/>
      <w:sz w:val="32"/>
    </w:rPr>
  </w:style>
  <w:style w:type="paragraph" w:styleId="4">
    <w:name w:val="heading 4"/>
    <w:basedOn w:val="1"/>
    <w:next w:val="1"/>
    <w:unhideWhenUsed/>
    <w:qFormat/>
    <w:uiPriority w:val="0"/>
    <w:pPr>
      <w:keepNext/>
      <w:keepLines/>
      <w:numPr>
        <w:ilvl w:val="3"/>
        <w:numId w:val="2"/>
      </w:numPr>
      <w:spacing w:before="280" w:after="290" w:line="372" w:lineRule="auto"/>
      <w:outlineLvl w:val="3"/>
    </w:pPr>
    <w:rPr>
      <w:rFonts w:ascii="Arial" w:hAnsi="Arial" w:eastAsia="黑体"/>
      <w:b/>
      <w:sz w:val="28"/>
    </w:rPr>
  </w:style>
  <w:style w:type="paragraph" w:styleId="5">
    <w:name w:val="heading 5"/>
    <w:basedOn w:val="1"/>
    <w:next w:val="1"/>
    <w:unhideWhenUsed/>
    <w:qFormat/>
    <w:uiPriority w:val="0"/>
    <w:pPr>
      <w:keepNext/>
      <w:keepLines/>
      <w:numPr>
        <w:ilvl w:val="4"/>
        <w:numId w:val="2"/>
      </w:numPr>
      <w:spacing w:before="280" w:after="290" w:line="372" w:lineRule="auto"/>
      <w:outlineLvl w:val="4"/>
    </w:pPr>
    <w:rPr>
      <w:b/>
      <w:sz w:val="28"/>
    </w:rPr>
  </w:style>
  <w:style w:type="paragraph" w:styleId="6">
    <w:name w:val="heading 6"/>
    <w:basedOn w:val="1"/>
    <w:next w:val="1"/>
    <w:unhideWhenUsed/>
    <w:qFormat/>
    <w:uiPriority w:val="0"/>
    <w:pPr>
      <w:keepNext/>
      <w:keepLines/>
      <w:numPr>
        <w:ilvl w:val="5"/>
        <w:numId w:val="2"/>
      </w:numPr>
      <w:spacing w:before="240" w:after="64" w:line="317" w:lineRule="auto"/>
      <w:outlineLvl w:val="5"/>
    </w:pPr>
    <w:rPr>
      <w:rFonts w:ascii="Arial" w:hAnsi="Arial" w:eastAsia="黑体"/>
      <w:b/>
      <w:sz w:val="24"/>
    </w:rPr>
  </w:style>
  <w:style w:type="paragraph" w:styleId="7">
    <w:name w:val="heading 7"/>
    <w:basedOn w:val="1"/>
    <w:next w:val="1"/>
    <w:unhideWhenUsed/>
    <w:qFormat/>
    <w:uiPriority w:val="0"/>
    <w:pPr>
      <w:keepNext/>
      <w:keepLines/>
      <w:numPr>
        <w:ilvl w:val="6"/>
        <w:numId w:val="2"/>
      </w:numPr>
      <w:spacing w:before="240" w:after="64" w:line="317" w:lineRule="auto"/>
      <w:outlineLvl w:val="6"/>
    </w:pPr>
    <w:rPr>
      <w:b/>
      <w:sz w:val="24"/>
    </w:rPr>
  </w:style>
  <w:style w:type="paragraph" w:styleId="8">
    <w:name w:val="heading 8"/>
    <w:basedOn w:val="1"/>
    <w:next w:val="1"/>
    <w:unhideWhenUsed/>
    <w:qFormat/>
    <w:uiPriority w:val="0"/>
    <w:pPr>
      <w:keepNext/>
      <w:keepLines/>
      <w:numPr>
        <w:ilvl w:val="7"/>
        <w:numId w:val="2"/>
      </w:numPr>
      <w:spacing w:before="240" w:after="64" w:line="317" w:lineRule="auto"/>
      <w:outlineLvl w:val="7"/>
    </w:pPr>
    <w:rPr>
      <w:rFonts w:ascii="Arial" w:hAnsi="Arial" w:eastAsia="黑体"/>
      <w:sz w:val="24"/>
    </w:rPr>
  </w:style>
  <w:style w:type="paragraph" w:styleId="9">
    <w:name w:val="heading 9"/>
    <w:basedOn w:val="1"/>
    <w:next w:val="1"/>
    <w:unhideWhenUsed/>
    <w:qFormat/>
    <w:uiPriority w:val="0"/>
    <w:pPr>
      <w:keepNext/>
      <w:keepLines/>
      <w:numPr>
        <w:ilvl w:val="8"/>
        <w:numId w:val="2"/>
      </w:numPr>
      <w:spacing w:before="240" w:after="64" w:line="317" w:lineRule="auto"/>
      <w:outlineLvl w:val="8"/>
    </w:pPr>
    <w:rPr>
      <w:rFonts w:ascii="Arial" w:hAnsi="Arial" w:eastAsia="黑体"/>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10">
    <w:name w:val="annotation text"/>
    <w:basedOn w:val="1"/>
    <w:qFormat/>
    <w:uiPriority w:val="0"/>
    <w:pPr>
      <w:jc w:val="left"/>
    </w:pPr>
  </w:style>
  <w:style w:type="paragraph" w:styleId="11">
    <w:name w:val="toc 5"/>
    <w:basedOn w:val="1"/>
    <w:next w:val="1"/>
    <w:qFormat/>
    <w:uiPriority w:val="0"/>
    <w:pPr>
      <w:spacing w:line="300" w:lineRule="exact"/>
      <w:ind w:left="1680" w:leftChars="800"/>
    </w:pPr>
    <w:rPr>
      <w:rFonts w:hAnsi="宋体"/>
    </w:rPr>
  </w:style>
  <w:style w:type="paragraph" w:styleId="12">
    <w:name w:val="toc 3"/>
    <w:basedOn w:val="1"/>
    <w:next w:val="1"/>
    <w:qFormat/>
    <w:uiPriority w:val="0"/>
    <w:pPr>
      <w:spacing w:line="300" w:lineRule="exact"/>
      <w:ind w:left="840" w:leftChars="400"/>
    </w:pPr>
    <w:rPr>
      <w:rFonts w:hAnsi="宋体"/>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0"/>
    <w:pPr>
      <w:spacing w:line="400" w:lineRule="exact"/>
    </w:pPr>
    <w:rPr>
      <w:rFonts w:hAnsi="宋体"/>
    </w:rPr>
  </w:style>
  <w:style w:type="paragraph" w:styleId="16">
    <w:name w:val="toc 4"/>
    <w:basedOn w:val="1"/>
    <w:next w:val="1"/>
    <w:qFormat/>
    <w:uiPriority w:val="0"/>
    <w:pPr>
      <w:spacing w:line="300" w:lineRule="exact"/>
      <w:ind w:left="1260" w:leftChars="600"/>
    </w:pPr>
    <w:rPr>
      <w:rFonts w:hAnsi="宋体"/>
    </w:rPr>
  </w:style>
  <w:style w:type="paragraph" w:styleId="17">
    <w:name w:val="footnote text"/>
    <w:basedOn w:val="1"/>
    <w:qFormat/>
    <w:uiPriority w:val="0"/>
    <w:pPr>
      <w:widowControl/>
      <w:numPr>
        <w:ilvl w:val="0"/>
        <w:numId w:val="3"/>
      </w:numPr>
      <w:autoSpaceDE w:val="0"/>
      <w:autoSpaceDN w:val="0"/>
      <w:ind w:left="840" w:leftChars="200" w:hanging="420" w:hangingChars="200"/>
    </w:pPr>
    <w:rPr>
      <w:rFonts w:hAnsi="宋体"/>
      <w:sz w:val="15"/>
    </w:rPr>
  </w:style>
  <w:style w:type="paragraph" w:styleId="18">
    <w:name w:val="toc 6"/>
    <w:basedOn w:val="1"/>
    <w:next w:val="1"/>
    <w:qFormat/>
    <w:uiPriority w:val="0"/>
    <w:pPr>
      <w:spacing w:line="300" w:lineRule="exact"/>
      <w:ind w:left="2100" w:leftChars="1000"/>
    </w:pPr>
    <w:rPr>
      <w:rFonts w:hAnsi="宋体"/>
    </w:rPr>
  </w:style>
  <w:style w:type="paragraph" w:styleId="19">
    <w:name w:val="toc 2"/>
    <w:basedOn w:val="1"/>
    <w:next w:val="1"/>
    <w:qFormat/>
    <w:uiPriority w:val="0"/>
    <w:pPr>
      <w:spacing w:line="300" w:lineRule="exact"/>
      <w:ind w:left="420" w:leftChars="200"/>
    </w:pPr>
    <w:rPr>
      <w:rFonts w:hAnsi="宋体"/>
    </w:rPr>
  </w:style>
  <w:style w:type="paragraph" w:styleId="20">
    <w:name w:val="Normal (Web)"/>
    <w:basedOn w:val="1"/>
    <w:qFormat/>
    <w:uiPriority w:val="0"/>
    <w:pPr>
      <w:spacing w:beforeAutospacing="1" w:afterAutospacing="1"/>
      <w:jc w:val="left"/>
    </w:pPr>
    <w:rPr>
      <w:rFonts w:cs="Times New Roman"/>
      <w:kern w:val="0"/>
      <w:sz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0"/>
    <w:rPr>
      <w:b/>
    </w:rPr>
  </w:style>
  <w:style w:type="character" w:styleId="25">
    <w:name w:val="Hyperlink"/>
    <w:basedOn w:val="23"/>
    <w:autoRedefine/>
    <w:qFormat/>
    <w:uiPriority w:val="0"/>
    <w:rPr>
      <w:color w:val="0000FF"/>
      <w:u w:val="single"/>
    </w:rPr>
  </w:style>
  <w:style w:type="character" w:styleId="26">
    <w:name w:val="footnote reference"/>
    <w:basedOn w:val="23"/>
    <w:autoRedefine/>
    <w:qFormat/>
    <w:uiPriority w:val="0"/>
    <w:rPr>
      <w:rFonts w:hAnsi="宋体" w:cs="宋体"/>
      <w:sz w:val="18"/>
      <w:vertAlign w:val="superscript"/>
    </w:rPr>
  </w:style>
  <w:style w:type="paragraph" w:customStyle="1" w:styleId="27">
    <w:name w:val="标准文件_段"/>
    <w:autoRedefine/>
    <w:qFormat/>
    <w:uiPriority w:val="0"/>
    <w:pPr>
      <w:ind w:firstLine="420" w:firstLineChars="200"/>
      <w:jc w:val="both"/>
    </w:pPr>
    <w:rPr>
      <w:rFonts w:hint="eastAsia" w:ascii="宋体" w:hAnsi="Times New Roman" w:eastAsia="宋体" w:cs="宋体"/>
      <w:sz w:val="21"/>
      <w:lang w:val="en-US" w:eastAsia="zh-CN" w:bidi="ar-SA"/>
    </w:rPr>
  </w:style>
  <w:style w:type="paragraph" w:customStyle="1" w:styleId="28">
    <w:name w:val="标准标志"/>
    <w:next w:val="1"/>
    <w:autoRedefine/>
    <w:qFormat/>
    <w:uiPriority w:val="0"/>
    <w:pPr>
      <w:framePr w:w="2546" w:h="1134" w:hRule="exact" w:hSpace="181" w:wrap="around" w:vAnchor="margin" w:hAnchor="margin" w:x="6521" w:y="421" w:anchorLock="1"/>
      <w:shd w:val="clear" w:color="auto" w:fill="FFFFFF"/>
      <w:spacing w:line="0" w:lineRule="atLeast"/>
      <w:jc w:val="right"/>
    </w:pPr>
    <w:rPr>
      <w:rFonts w:hint="eastAsia" w:ascii="Times New Roman" w:hAnsi="Times New Roman" w:eastAsia="宋体" w:cs="Times New Roman"/>
      <w:b/>
      <w:w w:val="170"/>
      <w:sz w:val="96"/>
      <w:lang w:val="en-US" w:eastAsia="zh-CN" w:bidi="ar-SA"/>
    </w:rPr>
  </w:style>
  <w:style w:type="paragraph" w:customStyle="1" w:styleId="29">
    <w:name w:val="标准标志2"/>
    <w:next w:val="1"/>
    <w:autoRedefine/>
    <w:qFormat/>
    <w:uiPriority w:val="0"/>
    <w:pPr>
      <w:framePr w:wrap="around" w:vAnchor="margin" w:hAnchor="margin" w:x="5614" w:y="398" w:anchorLock="1"/>
      <w:spacing w:line="0" w:lineRule="atLeast"/>
      <w:jc w:val="right"/>
    </w:pPr>
    <w:rPr>
      <w:rFonts w:hint="eastAsia" w:ascii="Times New Roman" w:hAnsi="Times New Roman" w:eastAsia="宋体" w:cs="Times New Roman"/>
      <w:b/>
      <w:w w:val="130"/>
      <w:sz w:val="96"/>
      <w:lang w:val="en-US" w:eastAsia="zh-CN" w:bidi="ar-SA"/>
    </w:rPr>
  </w:style>
  <w:style w:type="paragraph" w:customStyle="1" w:styleId="30">
    <w:name w:val="标准称谓"/>
    <w:next w:val="1"/>
    <w:autoRedefine/>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宋体" w:hAnsi="Times New Roman" w:eastAsia="宋体" w:cs="Times New Roman"/>
      <w:b/>
      <w:w w:val="148"/>
      <w:sz w:val="48"/>
      <w:lang w:val="en-US" w:eastAsia="zh-CN" w:bidi="ar-SA"/>
    </w:rPr>
  </w:style>
  <w:style w:type="paragraph" w:customStyle="1" w:styleId="31">
    <w:name w:val="标准称谓2"/>
    <w:next w:val="1"/>
    <w:autoRedefine/>
    <w:qFormat/>
    <w:uiPriority w:val="0"/>
    <w:pPr>
      <w:framePr w:w="6781" w:h="907" w:hRule="exact" w:hSpace="181" w:vSpace="181" w:wrap="around" w:vAnchor="page" w:hAnchor="page" w:xAlign="center" w:y="2269" w:anchorLock="1"/>
      <w:widowControl w:val="0"/>
      <w:kinsoku w:val="0"/>
      <w:overflowPunct w:val="0"/>
      <w:autoSpaceDE w:val="0"/>
      <w:autoSpaceDN w:val="0"/>
      <w:spacing w:line="0" w:lineRule="atLeast"/>
      <w:jc w:val="distribute"/>
    </w:pPr>
    <w:rPr>
      <w:rFonts w:hint="eastAsia" w:ascii="Times New Roman" w:hAnsi="Times New Roman" w:eastAsia="黑体" w:cs="Times New Roman"/>
      <w:spacing w:val="-40"/>
      <w:kern w:val="2"/>
      <w:sz w:val="72"/>
      <w:szCs w:val="72"/>
      <w:lang w:val="en-US" w:eastAsia="zh-CN" w:bidi="ar-SA"/>
    </w:rPr>
  </w:style>
  <w:style w:type="paragraph" w:customStyle="1" w:styleId="32">
    <w:name w:val="标准称谓3"/>
    <w:next w:val="1"/>
    <w:autoRedefine/>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黑体" w:hAnsi="Times New Roman" w:eastAsia="黑体" w:cs="Times New Roman"/>
      <w:sz w:val="48"/>
      <w:lang w:val="en-US" w:eastAsia="zh-CN" w:bidi="ar-SA"/>
    </w:rPr>
  </w:style>
  <w:style w:type="paragraph" w:customStyle="1" w:styleId="33">
    <w:name w:val="标准书脚_奇数页"/>
    <w:autoRedefine/>
    <w:qFormat/>
    <w:uiPriority w:val="0"/>
    <w:pPr>
      <w:ind w:right="227"/>
      <w:jc w:val="right"/>
    </w:pPr>
    <w:rPr>
      <w:rFonts w:hint="eastAsia" w:ascii="宋体" w:hAnsi="Times New Roman" w:eastAsia="宋体" w:cs="宋体"/>
      <w:sz w:val="18"/>
      <w:lang w:val="en-US" w:eastAsia="zh-CN" w:bidi="ar-SA"/>
    </w:rPr>
  </w:style>
  <w:style w:type="paragraph" w:customStyle="1" w:styleId="34">
    <w:name w:val="标准书眉_奇数页"/>
    <w:next w:val="1"/>
    <w:autoRedefine/>
    <w:qFormat/>
    <w:uiPriority w:val="0"/>
    <w:pPr>
      <w:tabs>
        <w:tab w:val="center" w:pos="4153"/>
        <w:tab w:val="right" w:pos="8306"/>
      </w:tabs>
      <w:spacing w:after="120"/>
      <w:jc w:val="right"/>
    </w:pPr>
    <w:rPr>
      <w:rFonts w:hint="eastAsia" w:ascii="黑体" w:hAnsi="Times New Roman" w:eastAsia="黑体" w:cs="黑体"/>
      <w:sz w:val="21"/>
      <w:lang w:val="en-US" w:eastAsia="zh-CN" w:bidi="ar-SA"/>
    </w:rPr>
  </w:style>
  <w:style w:type="paragraph" w:customStyle="1" w:styleId="35">
    <w:name w:val="标准书眉_偶数页"/>
    <w:next w:val="1"/>
    <w:autoRedefine/>
    <w:qFormat/>
    <w:uiPriority w:val="0"/>
    <w:pPr>
      <w:spacing w:after="120"/>
    </w:pPr>
    <w:rPr>
      <w:rFonts w:hint="eastAsia" w:ascii="黑体" w:hAnsi="Times New Roman" w:eastAsia="黑体" w:cs="黑体"/>
      <w:sz w:val="21"/>
      <w:lang w:val="en-US" w:eastAsia="zh-CN" w:bidi="ar-SA"/>
    </w:rPr>
  </w:style>
  <w:style w:type="paragraph" w:customStyle="1" w:styleId="36">
    <w:name w:val="标准文件_参考文献标题"/>
    <w:basedOn w:val="1"/>
    <w:next w:val="1"/>
    <w:autoRedefine/>
    <w:qFormat/>
    <w:uiPriority w:val="0"/>
    <w:pPr>
      <w:widowControl/>
      <w:spacing w:before="126" w:beforeLines="40" w:after="157" w:afterLines="50"/>
      <w:jc w:val="center"/>
      <w:outlineLvl w:val="0"/>
    </w:pPr>
    <w:rPr>
      <w:rFonts w:ascii="黑体" w:eastAsia="黑体" w:cs="黑体"/>
      <w:kern w:val="0"/>
    </w:rPr>
  </w:style>
  <w:style w:type="paragraph" w:customStyle="1" w:styleId="37">
    <w:name w:val="封面标准顶部线"/>
    <w:autoRedefine/>
    <w:qFormat/>
    <w:uiPriority w:val="0"/>
    <w:pPr>
      <w:framePr w:w="9673" w:hSpace="181" w:wrap="around" w:vAnchor="page" w:hAnchor="page" w:x="1390" w:y="4242"/>
      <w:spacing w:line="0" w:lineRule="atLeast"/>
    </w:pPr>
    <w:rPr>
      <w:rFonts w:hint="eastAsia" w:ascii="宋体" w:hAnsi="Times New Roman" w:eastAsia="宋体" w:cs="Times New Roman"/>
      <w:sz w:val="21"/>
      <w:lang w:val="en-US" w:eastAsia="zh-CN" w:bidi="ar-SA"/>
    </w:rPr>
  </w:style>
  <w:style w:type="paragraph" w:customStyle="1" w:styleId="38">
    <w:name w:val="发布部门"/>
    <w:next w:val="27"/>
    <w:autoRedefine/>
    <w:qFormat/>
    <w:uiPriority w:val="0"/>
    <w:pPr>
      <w:framePr w:w="7938" w:h="1134" w:hRule="exact" w:hSpace="125" w:vSpace="181" w:wrap="around" w:vAnchor="page" w:hAnchor="page" w:x="2150" w:y="14630" w:anchorLock="1"/>
      <w:spacing w:before="100"/>
      <w:jc w:val="center"/>
    </w:pPr>
    <w:rPr>
      <w:rFonts w:hint="eastAsia" w:ascii="宋体" w:hAnsi="Times New Roman" w:eastAsia="宋体" w:cs="Times New Roman"/>
      <w:spacing w:val="20"/>
      <w:w w:val="135"/>
      <w:sz w:val="28"/>
      <w:lang w:val="en-US" w:eastAsia="zh-CN" w:bidi="ar-SA"/>
    </w:rPr>
  </w:style>
  <w:style w:type="paragraph" w:customStyle="1" w:styleId="39">
    <w:name w:val="发布日期"/>
    <w:autoRedefine/>
    <w:qFormat/>
    <w:uiPriority w:val="0"/>
    <w:pPr>
      <w:framePr w:w="3997" w:h="471" w:hRule="exact" w:hSpace="181" w:vSpace="181" w:wrap="around" w:vAnchor="margin" w:hAnchor="page" w:y="14080" w:anchorLock="1"/>
      <w:spacing w:line="360" w:lineRule="exact"/>
    </w:pPr>
    <w:rPr>
      <w:rFonts w:hint="eastAsia" w:ascii="黑体" w:hAnsi="Times New Roman" w:eastAsia="黑体" w:cs="Times New Roman"/>
      <w:sz w:val="28"/>
      <w:lang w:val="en-US" w:eastAsia="zh-CN" w:bidi="ar-SA"/>
    </w:rPr>
  </w:style>
  <w:style w:type="paragraph" w:customStyle="1" w:styleId="40">
    <w:name w:val="实施日期"/>
    <w:basedOn w:val="39"/>
    <w:autoRedefine/>
    <w:qFormat/>
    <w:uiPriority w:val="0"/>
    <w:pPr>
      <w:framePr w:hSpace="0" w:wrap="around" w:vAnchor="page" w:hAnchor="text" w:x="7089" w:y="14176"/>
      <w:jc w:val="right"/>
    </w:pPr>
  </w:style>
  <w:style w:type="paragraph" w:customStyle="1" w:styleId="41">
    <w:name w:val="封面日期"/>
    <w:autoRedefine/>
    <w:qFormat/>
    <w:uiPriority w:val="0"/>
    <w:pPr>
      <w:framePr w:w="9673" w:vSpace="181" w:wrap="around" w:vAnchor="page" w:hAnchor="page" w:x="1419" w:y="14176" w:anchorLock="1"/>
      <w:spacing w:line="360" w:lineRule="exact"/>
    </w:pPr>
    <w:rPr>
      <w:rFonts w:hint="eastAsia" w:ascii="黑体" w:hAnsi="Times New Roman" w:eastAsia="黑体" w:cs="Times New Roman"/>
      <w:sz w:val="28"/>
      <w:lang w:val="en-US" w:eastAsia="zh-CN" w:bidi="ar-SA"/>
    </w:rPr>
  </w:style>
  <w:style w:type="paragraph" w:customStyle="1" w:styleId="42">
    <w:name w:val="封面标准代替信息"/>
    <w:autoRedefine/>
    <w:qFormat/>
    <w:uiPriority w:val="0"/>
    <w:pPr>
      <w:framePr w:w="9355" w:h="624" w:hRule="exact" w:hSpace="181" w:vSpace="181" w:wrap="around" w:vAnchor="page" w:hAnchor="page" w:x="1419" w:y="3284"/>
      <w:spacing w:before="57" w:line="280" w:lineRule="exact"/>
      <w:jc w:val="right"/>
    </w:pPr>
    <w:rPr>
      <w:rFonts w:hint="eastAsia" w:ascii="黑体" w:hAnsi="Times New Roman" w:eastAsia="黑体" w:cs="Times New Roman"/>
      <w:sz w:val="21"/>
      <w:lang w:val="en-US" w:eastAsia="zh-CN" w:bidi="ar-SA"/>
    </w:rPr>
  </w:style>
  <w:style w:type="paragraph" w:customStyle="1" w:styleId="43">
    <w:name w:val="封面标准号2"/>
    <w:autoRedefine/>
    <w:qFormat/>
    <w:uiPriority w:val="0"/>
    <w:pPr>
      <w:framePr w:w="9355" w:h="624" w:hRule="exact" w:hSpace="181" w:vSpace="181" w:wrap="around" w:vAnchor="page" w:hAnchor="page" w:x="1419" w:y="3284"/>
      <w:spacing w:line="280" w:lineRule="exact"/>
      <w:jc w:val="right"/>
    </w:pPr>
    <w:rPr>
      <w:rFonts w:hint="eastAsia" w:ascii="黑体" w:hAnsi="Times New Roman" w:eastAsia="黑体" w:cs="Times New Roman"/>
      <w:sz w:val="28"/>
      <w:lang w:val="en-US" w:eastAsia="zh-CN" w:bidi="ar-SA"/>
    </w:rPr>
  </w:style>
  <w:style w:type="paragraph" w:customStyle="1" w:styleId="44">
    <w:name w:val="封面标准名称"/>
    <w:autoRedefine/>
    <w:qFormat/>
    <w:uiPriority w:val="0"/>
    <w:pPr>
      <w:framePr w:w="9639" w:h="6974" w:hRule="exact" w:wrap="around" w:vAnchor="page" w:hAnchor="page" w:x="1419" w:y="6408"/>
      <w:spacing w:line="700" w:lineRule="exact"/>
      <w:jc w:val="center"/>
    </w:pPr>
    <w:rPr>
      <w:rFonts w:hint="eastAsia" w:ascii="黑体" w:hAnsi="Times New Roman" w:eastAsia="黑体" w:cs="Times New Roman"/>
      <w:sz w:val="52"/>
      <w:lang w:val="en-US" w:eastAsia="zh-CN" w:bidi="ar-SA"/>
    </w:rPr>
  </w:style>
  <w:style w:type="paragraph" w:customStyle="1" w:styleId="45">
    <w:name w:val="封面标准英文名称"/>
    <w:basedOn w:val="44"/>
    <w:autoRedefine/>
    <w:qFormat/>
    <w:uiPriority w:val="0"/>
    <w:pPr>
      <w:framePr w:wrap="around"/>
      <w:widowControl w:val="0"/>
      <w:spacing w:before="410" w:line="360" w:lineRule="exact"/>
      <w:textAlignment w:val="bottom"/>
    </w:pPr>
    <w:rPr>
      <w:rFonts w:ascii="Times New Roman"/>
      <w:sz w:val="28"/>
    </w:rPr>
  </w:style>
  <w:style w:type="paragraph" w:customStyle="1" w:styleId="46">
    <w:name w:val="封面一致性程度标识"/>
    <w:basedOn w:val="45"/>
    <w:autoRedefine/>
    <w:qFormat/>
    <w:uiPriority w:val="0"/>
    <w:pPr>
      <w:framePr w:wrap="around"/>
      <w:spacing w:before="760"/>
    </w:pPr>
  </w:style>
  <w:style w:type="paragraph" w:customStyle="1" w:styleId="47">
    <w:name w:val="封面标准文稿类别"/>
    <w:basedOn w:val="46"/>
    <w:autoRedefine/>
    <w:qFormat/>
    <w:uiPriority w:val="0"/>
    <w:pPr>
      <w:framePr w:wrap="around"/>
      <w:spacing w:before="440" w:after="160"/>
    </w:pPr>
    <w:rPr>
      <w:rFonts w:ascii="黑体" w:hAnsi="黑体" w:cs="黑体"/>
      <w:sz w:val="24"/>
    </w:rPr>
  </w:style>
  <w:style w:type="paragraph" w:customStyle="1" w:styleId="48">
    <w:name w:val="封面标准文稿编辑信息"/>
    <w:basedOn w:val="47"/>
    <w:autoRedefine/>
    <w:qFormat/>
    <w:uiPriority w:val="0"/>
    <w:pPr>
      <w:framePr w:wrap="around"/>
      <w:spacing w:before="180" w:line="240" w:lineRule="atLeast"/>
    </w:pPr>
    <w:rPr>
      <w:sz w:val="21"/>
    </w:rPr>
  </w:style>
  <w:style w:type="paragraph" w:customStyle="1" w:styleId="49">
    <w:name w:val="封面标准文稿附件"/>
    <w:basedOn w:val="47"/>
    <w:autoRedefine/>
    <w:qFormat/>
    <w:uiPriority w:val="0"/>
    <w:pPr>
      <w:framePr w:wrap="around"/>
      <w:spacing w:before="937" w:beforeLines="300" w:afterLines="30" w:line="240" w:lineRule="auto"/>
    </w:pPr>
    <w:rPr>
      <w:rFonts w:ascii="Times New Roman" w:hAnsi="Times New Roman" w:cs="Times New Roman"/>
      <w:b/>
      <w:sz w:val="21"/>
    </w:rPr>
  </w:style>
  <w:style w:type="paragraph" w:customStyle="1" w:styleId="50">
    <w:name w:val="其他发布部门"/>
    <w:basedOn w:val="38"/>
    <w:autoRedefine/>
    <w:qFormat/>
    <w:uiPriority w:val="0"/>
    <w:pPr>
      <w:framePr w:wrap="around" w:y="15310"/>
      <w:spacing w:line="0" w:lineRule="atLeast"/>
    </w:pPr>
    <w:rPr>
      <w:rFonts w:ascii="黑体" w:hAnsi="黑体" w:eastAsia="黑体" w:cs="黑体"/>
    </w:rPr>
  </w:style>
  <w:style w:type="paragraph" w:customStyle="1" w:styleId="51">
    <w:name w:val="其他发布部门2"/>
    <w:basedOn w:val="38"/>
    <w:autoRedefine/>
    <w:qFormat/>
    <w:uiPriority w:val="0"/>
    <w:pPr>
      <w:framePr w:w="7433" w:h="584" w:hRule="exact" w:hSpace="181" w:wrap="around" w:vAnchor="margin" w:hAnchor="margin" w:xAlign="center" w:y="15027"/>
      <w:spacing w:line="0" w:lineRule="atLeast"/>
    </w:pPr>
    <w:rPr>
      <w:rFonts w:ascii="黑体" w:hAnsi="黑体" w:eastAsia="黑体"/>
      <w:spacing w:val="0"/>
      <w:w w:val="100"/>
    </w:rPr>
  </w:style>
  <w:style w:type="paragraph" w:customStyle="1" w:styleId="52">
    <w:name w:val="其他发布部门3"/>
    <w:autoRedefine/>
    <w:qFormat/>
    <w:uiPriority w:val="0"/>
    <w:pPr>
      <w:framePr w:w="9248" w:h="1259" w:hRule="exact" w:hSpace="181" w:vSpace="181" w:wrap="around" w:vAnchor="margin" w:hAnchor="margin" w:xAlign="center" w:y="14545"/>
      <w:spacing w:line="0" w:lineRule="atLeast"/>
      <w:jc w:val="center"/>
    </w:pPr>
    <w:rPr>
      <w:rFonts w:hint="eastAsia" w:ascii="黑体" w:hAnsi="Times New Roman" w:eastAsia="黑体" w:cs="Times New Roman"/>
      <w:sz w:val="28"/>
      <w:lang w:val="en-US" w:eastAsia="zh-CN" w:bidi="ar-SA"/>
    </w:rPr>
  </w:style>
  <w:style w:type="paragraph" w:customStyle="1" w:styleId="53">
    <w:name w:val="其他发布日期"/>
    <w:basedOn w:val="39"/>
    <w:autoRedefine/>
    <w:qFormat/>
    <w:uiPriority w:val="0"/>
    <w:pPr>
      <w:framePr w:hSpace="0" w:wrap="around" w:vAnchor="page" w:hAnchor="text" w:x="1419" w:y="14176"/>
    </w:pPr>
  </w:style>
  <w:style w:type="paragraph" w:customStyle="1" w:styleId="54">
    <w:name w:val="其他实施日期"/>
    <w:basedOn w:val="40"/>
    <w:autoRedefine/>
    <w:qFormat/>
    <w:uiPriority w:val="0"/>
    <w:pPr>
      <w:framePr w:wrap="around"/>
    </w:pPr>
  </w:style>
  <w:style w:type="paragraph" w:customStyle="1" w:styleId="55">
    <w:name w:val="文献分类号"/>
    <w:autoRedefine/>
    <w:qFormat/>
    <w:uiPriority w:val="0"/>
    <w:pPr>
      <w:framePr w:wrap="around" w:vAnchor="page" w:hAnchor="page" w:x="1373" w:y="568"/>
      <w:widowControl w:val="0"/>
      <w:textAlignment w:val="center"/>
    </w:pPr>
    <w:rPr>
      <w:rFonts w:hint="eastAsia" w:ascii="黑体" w:hAnsi="Times New Roman" w:eastAsia="黑体" w:cs="Times New Roman"/>
      <w:kern w:val="21"/>
      <w:sz w:val="21"/>
      <w:lang w:val="en-US" w:eastAsia="zh-CN" w:bidi="ar-SA"/>
    </w:rPr>
  </w:style>
  <w:style w:type="paragraph" w:customStyle="1" w:styleId="56">
    <w:name w:val="标准文件_目录标题"/>
    <w:basedOn w:val="1"/>
    <w:autoRedefine/>
    <w:qFormat/>
    <w:uiPriority w:val="0"/>
    <w:pPr>
      <w:shd w:val="clear" w:color="auto" w:fill="FFFFFF"/>
      <w:spacing w:after="469" w:afterLines="150"/>
      <w:jc w:val="center"/>
    </w:pPr>
    <w:rPr>
      <w:rFonts w:ascii="黑体" w:eastAsia="黑体" w:cs="黑体"/>
      <w:kern w:val="0"/>
      <w:sz w:val="32"/>
    </w:rPr>
  </w:style>
  <w:style w:type="paragraph" w:customStyle="1" w:styleId="57">
    <w:name w:val="标准文件_前言、引言标题"/>
    <w:next w:val="1"/>
    <w:autoRedefine/>
    <w:qFormat/>
    <w:uiPriority w:val="0"/>
    <w:pPr>
      <w:numPr>
        <w:ilvl w:val="0"/>
        <w:numId w:val="4"/>
      </w:numPr>
      <w:spacing w:after="469" w:afterLines="150"/>
      <w:jc w:val="center"/>
      <w:outlineLvl w:val="0"/>
    </w:pPr>
    <w:rPr>
      <w:rFonts w:hint="eastAsia" w:ascii="黑体" w:hAnsi="Times New Roman" w:eastAsia="黑体" w:cs="黑体"/>
      <w:sz w:val="32"/>
      <w:lang w:val="en-US" w:eastAsia="zh-CN" w:bidi="ar-SA"/>
    </w:rPr>
  </w:style>
  <w:style w:type="paragraph" w:customStyle="1" w:styleId="58">
    <w:name w:val="标准文件_正文标准名称"/>
    <w:basedOn w:val="1"/>
    <w:link w:val="122"/>
    <w:autoRedefine/>
    <w:qFormat/>
    <w:uiPriority w:val="0"/>
    <w:pPr>
      <w:widowControl/>
      <w:spacing w:after="640" w:line="400" w:lineRule="exact"/>
      <w:jc w:val="center"/>
    </w:pPr>
    <w:rPr>
      <w:rFonts w:ascii="黑体" w:hAnsi="黑体" w:eastAsia="黑体" w:cs="黑体"/>
      <w:sz w:val="32"/>
    </w:rPr>
  </w:style>
  <w:style w:type="paragraph" w:customStyle="1" w:styleId="59">
    <w:name w:val="标准文件_一级项"/>
    <w:next w:val="27"/>
    <w:autoRedefine/>
    <w:qFormat/>
    <w:uiPriority w:val="0"/>
    <w:pPr>
      <w:numPr>
        <w:ilvl w:val="0"/>
        <w:numId w:val="5"/>
      </w:numPr>
    </w:pPr>
    <w:rPr>
      <w:rFonts w:hint="eastAsia" w:ascii="宋体" w:hAnsi="Times New Roman" w:eastAsia="宋体" w:cs="宋体"/>
      <w:sz w:val="21"/>
      <w:lang w:val="en-US" w:eastAsia="zh-CN" w:bidi="ar-SA"/>
    </w:rPr>
  </w:style>
  <w:style w:type="paragraph" w:customStyle="1" w:styleId="60">
    <w:name w:val="标准文件_二级项2"/>
    <w:basedOn w:val="27"/>
    <w:next w:val="27"/>
    <w:autoRedefine/>
    <w:qFormat/>
    <w:uiPriority w:val="0"/>
    <w:pPr>
      <w:numPr>
        <w:ilvl w:val="1"/>
        <w:numId w:val="5"/>
      </w:numPr>
    </w:pPr>
  </w:style>
  <w:style w:type="paragraph" w:customStyle="1" w:styleId="61">
    <w:name w:val="标准文件_三级项"/>
    <w:basedOn w:val="1"/>
    <w:next w:val="27"/>
    <w:autoRedefine/>
    <w:qFormat/>
    <w:uiPriority w:val="0"/>
    <w:pPr>
      <w:numPr>
        <w:ilvl w:val="2"/>
        <w:numId w:val="6"/>
      </w:numPr>
      <w:spacing w:line="300" w:lineRule="exact"/>
    </w:pPr>
    <w:rPr>
      <w:rFonts w:hAnsi="Calibri"/>
    </w:rPr>
  </w:style>
  <w:style w:type="paragraph" w:customStyle="1" w:styleId="62">
    <w:name w:val="标准文件_字母编号列项（一级）"/>
    <w:next w:val="27"/>
    <w:autoRedefine/>
    <w:qFormat/>
    <w:uiPriority w:val="0"/>
    <w:pPr>
      <w:numPr>
        <w:ilvl w:val="0"/>
        <w:numId w:val="6"/>
      </w:numPr>
      <w:tabs>
        <w:tab w:val="left" w:pos="839"/>
        <w:tab w:val="clear" w:pos="851"/>
      </w:tabs>
      <w:jc w:val="both"/>
    </w:pPr>
    <w:rPr>
      <w:rFonts w:hint="eastAsia" w:ascii="宋体" w:hAnsi="Times New Roman" w:eastAsia="宋体" w:cs="宋体"/>
      <w:sz w:val="21"/>
      <w:lang w:val="en-US" w:eastAsia="zh-CN" w:bidi="ar-SA"/>
    </w:rPr>
  </w:style>
  <w:style w:type="paragraph" w:customStyle="1" w:styleId="63">
    <w:name w:val="标准文件_数字编号列项（二级）"/>
    <w:next w:val="27"/>
    <w:autoRedefine/>
    <w:qFormat/>
    <w:uiPriority w:val="0"/>
    <w:pPr>
      <w:numPr>
        <w:ilvl w:val="1"/>
        <w:numId w:val="6"/>
      </w:numPr>
      <w:tabs>
        <w:tab w:val="left" w:pos="1259"/>
        <w:tab w:val="clear" w:pos="1276"/>
      </w:tabs>
      <w:ind w:left="1259" w:hanging="419"/>
      <w:jc w:val="both"/>
    </w:pPr>
    <w:rPr>
      <w:rFonts w:hint="eastAsia" w:ascii="宋体" w:hAnsi="Times New Roman" w:eastAsia="宋体" w:cs="Times New Roman"/>
      <w:sz w:val="21"/>
      <w:lang w:val="en-US" w:eastAsia="zh-CN" w:bidi="ar-SA"/>
    </w:rPr>
  </w:style>
  <w:style w:type="paragraph" w:customStyle="1" w:styleId="64">
    <w:name w:val="标准文件_引言一级条标题"/>
    <w:basedOn w:val="27"/>
    <w:next w:val="27"/>
    <w:autoRedefine/>
    <w:qFormat/>
    <w:uiPriority w:val="0"/>
    <w:pPr>
      <w:numPr>
        <w:ilvl w:val="1"/>
        <w:numId w:val="4"/>
      </w:numPr>
      <w:spacing w:before="157" w:beforeLines="50" w:after="157" w:afterLines="50"/>
    </w:pPr>
    <w:rPr>
      <w:rFonts w:ascii="黑体" w:hAnsi="黑体" w:eastAsia="黑体" w:cs="黑体"/>
    </w:rPr>
  </w:style>
  <w:style w:type="paragraph" w:customStyle="1" w:styleId="65">
    <w:name w:val="标准文件_引言二级条标题"/>
    <w:basedOn w:val="27"/>
    <w:next w:val="27"/>
    <w:autoRedefine/>
    <w:qFormat/>
    <w:uiPriority w:val="0"/>
    <w:pPr>
      <w:numPr>
        <w:ilvl w:val="2"/>
        <w:numId w:val="4"/>
      </w:numPr>
      <w:spacing w:before="157" w:beforeLines="50" w:after="157" w:afterLines="50"/>
    </w:pPr>
    <w:rPr>
      <w:rFonts w:ascii="黑体" w:hAnsi="黑体" w:eastAsia="黑体" w:cs="黑体"/>
    </w:rPr>
  </w:style>
  <w:style w:type="paragraph" w:customStyle="1" w:styleId="66">
    <w:name w:val="标准文件_引言三级条标题"/>
    <w:basedOn w:val="27"/>
    <w:next w:val="27"/>
    <w:autoRedefine/>
    <w:qFormat/>
    <w:uiPriority w:val="0"/>
    <w:pPr>
      <w:numPr>
        <w:ilvl w:val="3"/>
        <w:numId w:val="4"/>
      </w:numPr>
      <w:spacing w:before="157" w:beforeLines="50" w:after="157" w:afterLines="50"/>
    </w:pPr>
    <w:rPr>
      <w:rFonts w:ascii="黑体" w:hAnsi="黑体" w:eastAsia="黑体" w:cs="黑体"/>
    </w:rPr>
  </w:style>
  <w:style w:type="paragraph" w:customStyle="1" w:styleId="67">
    <w:name w:val="标准文件_引言四级条标题"/>
    <w:basedOn w:val="27"/>
    <w:next w:val="27"/>
    <w:autoRedefine/>
    <w:qFormat/>
    <w:uiPriority w:val="0"/>
    <w:pPr>
      <w:numPr>
        <w:ilvl w:val="4"/>
        <w:numId w:val="4"/>
      </w:numPr>
      <w:spacing w:before="157" w:beforeLines="50" w:after="157" w:afterLines="50"/>
    </w:pPr>
    <w:rPr>
      <w:rFonts w:ascii="黑体" w:hAnsi="黑体" w:eastAsia="黑体" w:cs="黑体"/>
    </w:rPr>
  </w:style>
  <w:style w:type="paragraph" w:customStyle="1" w:styleId="68">
    <w:name w:val="标准文件_引言五级条标题"/>
    <w:basedOn w:val="27"/>
    <w:next w:val="27"/>
    <w:autoRedefine/>
    <w:qFormat/>
    <w:uiPriority w:val="0"/>
    <w:pPr>
      <w:numPr>
        <w:ilvl w:val="5"/>
        <w:numId w:val="4"/>
      </w:numPr>
      <w:spacing w:before="157" w:beforeLines="50" w:after="157" w:afterLines="50"/>
    </w:pPr>
    <w:rPr>
      <w:rFonts w:ascii="黑体" w:hAnsi="黑体" w:eastAsia="黑体" w:cs="黑体"/>
    </w:rPr>
  </w:style>
  <w:style w:type="paragraph" w:customStyle="1" w:styleId="69">
    <w:name w:val="标准文件_引言一级无标题"/>
    <w:basedOn w:val="64"/>
    <w:next w:val="27"/>
    <w:autoRedefine/>
    <w:qFormat/>
    <w:uiPriority w:val="0"/>
    <w:pPr>
      <w:spacing w:before="4" w:beforeLines="1" w:after="4" w:afterLines="1" w:line="276" w:lineRule="auto"/>
    </w:pPr>
    <w:rPr>
      <w:rFonts w:ascii="宋体" w:hAnsi="宋体" w:eastAsia="宋体" w:cs="宋体"/>
    </w:rPr>
  </w:style>
  <w:style w:type="paragraph" w:customStyle="1" w:styleId="70">
    <w:name w:val="标准文件_引言二级无标题"/>
    <w:basedOn w:val="65"/>
    <w:next w:val="27"/>
    <w:autoRedefine/>
    <w:qFormat/>
    <w:uiPriority w:val="0"/>
    <w:pPr>
      <w:spacing w:before="4" w:beforeLines="1" w:after="4" w:afterLines="1" w:line="276" w:lineRule="auto"/>
    </w:pPr>
    <w:rPr>
      <w:rFonts w:ascii="宋体" w:hAnsi="宋体" w:eastAsia="宋体" w:cs="宋体"/>
    </w:rPr>
  </w:style>
  <w:style w:type="paragraph" w:customStyle="1" w:styleId="71">
    <w:name w:val="标准文件_引言三级无标题"/>
    <w:basedOn w:val="66"/>
    <w:next w:val="27"/>
    <w:autoRedefine/>
    <w:qFormat/>
    <w:uiPriority w:val="0"/>
    <w:pPr>
      <w:spacing w:before="4" w:beforeLines="1" w:after="4" w:afterLines="1" w:line="276" w:lineRule="auto"/>
    </w:pPr>
    <w:rPr>
      <w:rFonts w:ascii="宋体" w:hAnsi="宋体" w:eastAsia="宋体" w:cs="宋体"/>
    </w:rPr>
  </w:style>
  <w:style w:type="paragraph" w:customStyle="1" w:styleId="72">
    <w:name w:val="标准文件_引言四级无标题"/>
    <w:basedOn w:val="67"/>
    <w:next w:val="27"/>
    <w:autoRedefine/>
    <w:qFormat/>
    <w:uiPriority w:val="0"/>
    <w:pPr>
      <w:spacing w:before="4" w:beforeLines="1" w:after="4" w:afterLines="1" w:line="276" w:lineRule="auto"/>
    </w:pPr>
    <w:rPr>
      <w:rFonts w:ascii="宋体" w:hAnsi="宋体" w:eastAsia="宋体" w:cs="宋体"/>
    </w:rPr>
  </w:style>
  <w:style w:type="paragraph" w:customStyle="1" w:styleId="73">
    <w:name w:val="标准文件_引言五级无标题"/>
    <w:basedOn w:val="68"/>
    <w:next w:val="27"/>
    <w:autoRedefine/>
    <w:qFormat/>
    <w:uiPriority w:val="0"/>
    <w:pPr>
      <w:spacing w:before="4" w:beforeLines="1" w:after="4" w:afterLines="1" w:line="276" w:lineRule="auto"/>
    </w:pPr>
    <w:rPr>
      <w:rFonts w:ascii="宋体" w:hAnsi="宋体" w:eastAsia="宋体" w:cs="宋体"/>
    </w:rPr>
  </w:style>
  <w:style w:type="paragraph" w:customStyle="1" w:styleId="74">
    <w:name w:val="标准文件_章标题"/>
    <w:next w:val="27"/>
    <w:autoRedefine/>
    <w:qFormat/>
    <w:uiPriority w:val="0"/>
    <w:pPr>
      <w:numPr>
        <w:ilvl w:val="0"/>
        <w:numId w:val="7"/>
      </w:numPr>
      <w:spacing w:before="313" w:beforeLines="100" w:after="313" w:afterLines="100"/>
      <w:jc w:val="both"/>
      <w:outlineLvl w:val="0"/>
    </w:pPr>
    <w:rPr>
      <w:rFonts w:hint="eastAsia" w:ascii="黑体" w:hAnsi="Times New Roman" w:eastAsia="黑体" w:cs="黑体"/>
      <w:sz w:val="21"/>
      <w:lang w:val="en-US" w:eastAsia="zh-CN" w:bidi="ar-SA"/>
    </w:rPr>
  </w:style>
  <w:style w:type="paragraph" w:customStyle="1" w:styleId="75">
    <w:name w:val="标准文件_一级条标题"/>
    <w:basedOn w:val="74"/>
    <w:next w:val="27"/>
    <w:autoRedefine/>
    <w:qFormat/>
    <w:uiPriority w:val="0"/>
    <w:pPr>
      <w:numPr>
        <w:ilvl w:val="1"/>
      </w:numPr>
      <w:spacing w:before="157" w:beforeLines="50" w:after="157" w:afterLines="50"/>
      <w:outlineLvl w:val="1"/>
    </w:pPr>
  </w:style>
  <w:style w:type="paragraph" w:customStyle="1" w:styleId="76">
    <w:name w:val="标准文件_二级条标题"/>
    <w:next w:val="27"/>
    <w:autoRedefine/>
    <w:qFormat/>
    <w:uiPriority w:val="0"/>
    <w:pPr>
      <w:numPr>
        <w:ilvl w:val="2"/>
        <w:numId w:val="7"/>
      </w:numPr>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77">
    <w:name w:val="标准文件_三级条标题"/>
    <w:basedOn w:val="76"/>
    <w:next w:val="27"/>
    <w:qFormat/>
    <w:uiPriority w:val="0"/>
    <w:pPr>
      <w:numPr>
        <w:ilvl w:val="3"/>
      </w:numPr>
      <w:outlineLvl w:val="3"/>
    </w:pPr>
  </w:style>
  <w:style w:type="paragraph" w:customStyle="1" w:styleId="78">
    <w:name w:val="标准文件_四级条标题"/>
    <w:next w:val="27"/>
    <w:qFormat/>
    <w:uiPriority w:val="0"/>
    <w:pPr>
      <w:numPr>
        <w:ilvl w:val="4"/>
        <w:numId w:val="7"/>
      </w:numPr>
      <w:spacing w:before="157" w:beforeLines="50" w:after="157" w:afterLines="50"/>
      <w:jc w:val="both"/>
      <w:outlineLvl w:val="4"/>
    </w:pPr>
    <w:rPr>
      <w:rFonts w:hint="eastAsia" w:ascii="黑体" w:hAnsi="黑体" w:eastAsia="黑体" w:cs="黑体"/>
      <w:sz w:val="21"/>
      <w:lang w:val="en-US" w:eastAsia="zh-CN" w:bidi="ar-SA"/>
    </w:rPr>
  </w:style>
  <w:style w:type="paragraph" w:customStyle="1" w:styleId="79">
    <w:name w:val="标准文件_五级条标题"/>
    <w:next w:val="27"/>
    <w:qFormat/>
    <w:uiPriority w:val="0"/>
    <w:pPr>
      <w:numPr>
        <w:ilvl w:val="5"/>
        <w:numId w:val="7"/>
      </w:numPr>
      <w:spacing w:before="157" w:beforeLines="50" w:after="157" w:afterLines="50"/>
      <w:jc w:val="both"/>
      <w:outlineLvl w:val="4"/>
    </w:pPr>
    <w:rPr>
      <w:rFonts w:hint="eastAsia" w:ascii="黑体" w:hAnsi="黑体" w:eastAsia="黑体" w:cs="黑体"/>
      <w:sz w:val="21"/>
      <w:lang w:val="en-US" w:eastAsia="zh-CN" w:bidi="ar-SA"/>
    </w:rPr>
  </w:style>
  <w:style w:type="paragraph" w:customStyle="1" w:styleId="80">
    <w:name w:val="标准文件_一级无标题"/>
    <w:basedOn w:val="75"/>
    <w:qFormat/>
    <w:uiPriority w:val="0"/>
    <w:pPr>
      <w:spacing w:before="4" w:beforeLines="1" w:after="4" w:afterLines="1"/>
      <w:outlineLvl w:val="9"/>
    </w:pPr>
    <w:rPr>
      <w:rFonts w:ascii="宋体" w:hAnsi="宋体" w:eastAsia="宋体" w:cs="宋体"/>
    </w:rPr>
  </w:style>
  <w:style w:type="paragraph" w:customStyle="1" w:styleId="81">
    <w:name w:val="标准文件_二级无标题"/>
    <w:basedOn w:val="76"/>
    <w:qFormat/>
    <w:uiPriority w:val="0"/>
    <w:pPr>
      <w:spacing w:before="4" w:beforeLines="1" w:after="4" w:afterLines="1"/>
      <w:outlineLvl w:val="9"/>
    </w:pPr>
    <w:rPr>
      <w:rFonts w:ascii="宋体" w:hAnsi="宋体" w:eastAsia="宋体" w:cs="宋体"/>
    </w:rPr>
  </w:style>
  <w:style w:type="paragraph" w:customStyle="1" w:styleId="82">
    <w:name w:val="标准文件_三级无标题"/>
    <w:basedOn w:val="77"/>
    <w:qFormat/>
    <w:uiPriority w:val="0"/>
    <w:pPr>
      <w:spacing w:before="4" w:beforeLines="1" w:after="4" w:afterLines="1"/>
      <w:outlineLvl w:val="9"/>
    </w:pPr>
    <w:rPr>
      <w:rFonts w:ascii="宋体" w:hAnsi="宋体" w:eastAsia="宋体" w:cs="宋体"/>
    </w:rPr>
  </w:style>
  <w:style w:type="paragraph" w:customStyle="1" w:styleId="83">
    <w:name w:val="标准文件_四级无标题"/>
    <w:basedOn w:val="78"/>
    <w:qFormat/>
    <w:uiPriority w:val="0"/>
    <w:pPr>
      <w:spacing w:before="4" w:beforeLines="1" w:after="4" w:afterLines="1"/>
      <w:outlineLvl w:val="9"/>
    </w:pPr>
    <w:rPr>
      <w:rFonts w:ascii="宋体" w:hAnsi="宋体" w:eastAsia="宋体" w:cs="宋体"/>
    </w:rPr>
  </w:style>
  <w:style w:type="paragraph" w:customStyle="1" w:styleId="84">
    <w:name w:val="标准文件_五级无标题"/>
    <w:basedOn w:val="79"/>
    <w:qFormat/>
    <w:uiPriority w:val="0"/>
    <w:pPr>
      <w:spacing w:before="4" w:beforeLines="1" w:after="4" w:afterLines="1"/>
      <w:outlineLvl w:val="9"/>
    </w:pPr>
    <w:rPr>
      <w:rFonts w:ascii="宋体" w:hAnsi="宋体" w:eastAsia="宋体" w:cs="宋体"/>
    </w:rPr>
  </w:style>
  <w:style w:type="paragraph" w:customStyle="1" w:styleId="85">
    <w:name w:val="标准文件_术语条一"/>
    <w:basedOn w:val="80"/>
    <w:next w:val="27"/>
    <w:qFormat/>
    <w:uiPriority w:val="0"/>
    <w:pPr>
      <w:ind w:left="420" w:hanging="420" w:hangingChars="200"/>
    </w:pPr>
    <w:rPr>
      <w:rFonts w:ascii="黑体" w:hAnsi="黑体" w:eastAsia="黑体" w:cs="黑体"/>
    </w:rPr>
  </w:style>
  <w:style w:type="paragraph" w:customStyle="1" w:styleId="86">
    <w:name w:val="标准文件_术语条二"/>
    <w:basedOn w:val="81"/>
    <w:next w:val="27"/>
    <w:qFormat/>
    <w:uiPriority w:val="0"/>
    <w:pPr>
      <w:ind w:left="420" w:hanging="420" w:hangingChars="200"/>
    </w:pPr>
    <w:rPr>
      <w:rFonts w:ascii="黑体" w:hAnsi="黑体" w:eastAsia="黑体" w:cs="黑体"/>
    </w:rPr>
  </w:style>
  <w:style w:type="paragraph" w:customStyle="1" w:styleId="87">
    <w:name w:val="标准文件_术语条三"/>
    <w:basedOn w:val="82"/>
    <w:next w:val="27"/>
    <w:qFormat/>
    <w:uiPriority w:val="0"/>
    <w:pPr>
      <w:ind w:left="420" w:hanging="420" w:hangingChars="200"/>
    </w:pPr>
    <w:rPr>
      <w:rFonts w:ascii="黑体" w:hAnsi="黑体" w:eastAsia="黑体" w:cs="黑体"/>
    </w:rPr>
  </w:style>
  <w:style w:type="paragraph" w:customStyle="1" w:styleId="88">
    <w:name w:val="标准文件_术语条四"/>
    <w:basedOn w:val="83"/>
    <w:next w:val="27"/>
    <w:qFormat/>
    <w:uiPriority w:val="0"/>
    <w:pPr>
      <w:ind w:left="420" w:hanging="420" w:hangingChars="200"/>
    </w:pPr>
    <w:rPr>
      <w:rFonts w:ascii="黑体" w:hAnsi="黑体" w:eastAsia="黑体" w:cs="黑体"/>
    </w:rPr>
  </w:style>
  <w:style w:type="paragraph" w:customStyle="1" w:styleId="89">
    <w:name w:val="标准文件_术语条五"/>
    <w:basedOn w:val="84"/>
    <w:next w:val="27"/>
    <w:qFormat/>
    <w:uiPriority w:val="0"/>
    <w:pPr>
      <w:ind w:left="420" w:hanging="420" w:hangingChars="200"/>
    </w:pPr>
    <w:rPr>
      <w:rFonts w:ascii="黑体" w:hAnsi="黑体" w:eastAsia="黑体" w:cs="黑体"/>
    </w:rPr>
  </w:style>
  <w:style w:type="paragraph" w:customStyle="1" w:styleId="90">
    <w:name w:val="标准文件_附录标识"/>
    <w:basedOn w:val="1"/>
    <w:next w:val="27"/>
    <w:qFormat/>
    <w:uiPriority w:val="0"/>
    <w:pPr>
      <w:widowControl/>
      <w:numPr>
        <w:ilvl w:val="0"/>
        <w:numId w:val="8"/>
      </w:numPr>
      <w:spacing w:before="79" w:beforeLines="25" w:after="157" w:afterLines="50"/>
      <w:jc w:val="center"/>
      <w:outlineLvl w:val="0"/>
    </w:pPr>
    <w:rPr>
      <w:rFonts w:ascii="黑体" w:hAnsi="黑体" w:eastAsia="黑体" w:cs="黑体"/>
    </w:rPr>
  </w:style>
  <w:style w:type="paragraph" w:customStyle="1" w:styleId="91">
    <w:name w:val="标准文件_附录一级条标题"/>
    <w:next w:val="27"/>
    <w:qFormat/>
    <w:uiPriority w:val="0"/>
    <w:pPr>
      <w:numPr>
        <w:ilvl w:val="1"/>
        <w:numId w:val="8"/>
      </w:numPr>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92">
    <w:name w:val="标准文件_附录二级条标题"/>
    <w:next w:val="27"/>
    <w:qFormat/>
    <w:uiPriority w:val="0"/>
    <w:pPr>
      <w:numPr>
        <w:ilvl w:val="2"/>
        <w:numId w:val="8"/>
      </w:numPr>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93">
    <w:name w:val="标准文件_附录三级条标题"/>
    <w:next w:val="27"/>
    <w:qFormat/>
    <w:uiPriority w:val="0"/>
    <w:pPr>
      <w:numPr>
        <w:ilvl w:val="3"/>
        <w:numId w:val="8"/>
      </w:numPr>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94">
    <w:name w:val="标准文件_附录四级条标题"/>
    <w:next w:val="27"/>
    <w:qFormat/>
    <w:uiPriority w:val="0"/>
    <w:pPr>
      <w:numPr>
        <w:ilvl w:val="4"/>
        <w:numId w:val="8"/>
      </w:numPr>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95">
    <w:name w:val="标准文件_附录五级条标题"/>
    <w:next w:val="27"/>
    <w:qFormat/>
    <w:uiPriority w:val="0"/>
    <w:pPr>
      <w:numPr>
        <w:ilvl w:val="5"/>
        <w:numId w:val="8"/>
      </w:numPr>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96">
    <w:name w:val="标准文件_附录一级无标题"/>
    <w:basedOn w:val="91"/>
    <w:qFormat/>
    <w:uiPriority w:val="0"/>
    <w:pPr>
      <w:spacing w:before="4" w:beforeLines="1" w:after="4" w:afterLines="1" w:line="276" w:lineRule="auto"/>
    </w:pPr>
    <w:rPr>
      <w:rFonts w:ascii="宋体" w:hAnsi="宋体" w:eastAsia="宋体" w:cs="宋体"/>
    </w:rPr>
  </w:style>
  <w:style w:type="paragraph" w:customStyle="1" w:styleId="97">
    <w:name w:val="标准文件_附录二级无标题"/>
    <w:basedOn w:val="92"/>
    <w:qFormat/>
    <w:uiPriority w:val="0"/>
    <w:pPr>
      <w:spacing w:before="4" w:beforeLines="1" w:after="4" w:afterLines="1" w:line="276" w:lineRule="auto"/>
    </w:pPr>
    <w:rPr>
      <w:rFonts w:ascii="宋体" w:hAnsi="宋体" w:eastAsia="宋体" w:cs="宋体"/>
    </w:rPr>
  </w:style>
  <w:style w:type="paragraph" w:customStyle="1" w:styleId="98">
    <w:name w:val="标准文件_附录三级无标题"/>
    <w:basedOn w:val="93"/>
    <w:qFormat/>
    <w:uiPriority w:val="0"/>
    <w:pPr>
      <w:spacing w:before="4" w:beforeLines="1" w:after="4" w:afterLines="1" w:line="276" w:lineRule="auto"/>
    </w:pPr>
    <w:rPr>
      <w:rFonts w:ascii="宋体" w:hAnsi="宋体" w:eastAsia="宋体" w:cs="宋体"/>
    </w:rPr>
  </w:style>
  <w:style w:type="paragraph" w:customStyle="1" w:styleId="99">
    <w:name w:val="标准文件_附录四级无标题"/>
    <w:basedOn w:val="94"/>
    <w:qFormat/>
    <w:uiPriority w:val="0"/>
    <w:pPr>
      <w:spacing w:before="4" w:beforeLines="1" w:after="4" w:afterLines="1" w:line="276" w:lineRule="auto"/>
    </w:pPr>
    <w:rPr>
      <w:rFonts w:ascii="宋体" w:hAnsi="宋体" w:eastAsia="宋体" w:cs="宋体"/>
    </w:rPr>
  </w:style>
  <w:style w:type="paragraph" w:customStyle="1" w:styleId="100">
    <w:name w:val="标准文件_附录五级无标题"/>
    <w:basedOn w:val="95"/>
    <w:qFormat/>
    <w:uiPriority w:val="0"/>
    <w:pPr>
      <w:spacing w:before="4" w:beforeLines="1" w:after="4" w:afterLines="1" w:line="276" w:lineRule="auto"/>
    </w:pPr>
    <w:rPr>
      <w:rFonts w:ascii="宋体" w:hAnsi="宋体" w:eastAsia="宋体" w:cs="宋体"/>
    </w:rPr>
  </w:style>
  <w:style w:type="paragraph" w:customStyle="1" w:styleId="101">
    <w:name w:val="附录图标号"/>
    <w:basedOn w:val="27"/>
    <w:next w:val="27"/>
    <w:qFormat/>
    <w:uiPriority w:val="0"/>
    <w:pPr>
      <w:numPr>
        <w:ilvl w:val="0"/>
        <w:numId w:val="2"/>
      </w:numPr>
      <w:spacing w:line="14" w:lineRule="exact"/>
      <w:jc w:val="center"/>
    </w:pPr>
    <w:rPr>
      <w:sz w:val="2"/>
    </w:rPr>
  </w:style>
  <w:style w:type="paragraph" w:customStyle="1" w:styleId="102">
    <w:name w:val="附录图标题"/>
    <w:next w:val="27"/>
    <w:qFormat/>
    <w:uiPriority w:val="0"/>
    <w:pPr>
      <w:numPr>
        <w:ilvl w:val="1"/>
        <w:numId w:val="2"/>
      </w:numPr>
      <w:spacing w:before="157" w:beforeLines="50" w:after="157" w:afterLines="50"/>
      <w:jc w:val="center"/>
    </w:pPr>
    <w:rPr>
      <w:rFonts w:hint="eastAsia" w:ascii="黑体" w:hAnsi="黑体" w:eastAsia="黑体" w:cs="黑体"/>
      <w:sz w:val="21"/>
      <w:lang w:val="en-US" w:eastAsia="zh-CN" w:bidi="ar-SA"/>
    </w:rPr>
  </w:style>
  <w:style w:type="paragraph" w:customStyle="1" w:styleId="103">
    <w:name w:val="附录表标号"/>
    <w:basedOn w:val="27"/>
    <w:next w:val="27"/>
    <w:qFormat/>
    <w:uiPriority w:val="0"/>
    <w:pPr>
      <w:numPr>
        <w:ilvl w:val="0"/>
        <w:numId w:val="9"/>
      </w:numPr>
      <w:spacing w:line="14" w:lineRule="exact"/>
      <w:jc w:val="center"/>
    </w:pPr>
    <w:rPr>
      <w:sz w:val="2"/>
    </w:rPr>
  </w:style>
  <w:style w:type="paragraph" w:customStyle="1" w:styleId="104">
    <w:name w:val="附录表标题"/>
    <w:next w:val="27"/>
    <w:qFormat/>
    <w:uiPriority w:val="0"/>
    <w:pPr>
      <w:numPr>
        <w:ilvl w:val="1"/>
        <w:numId w:val="9"/>
      </w:numPr>
      <w:spacing w:before="157" w:beforeLines="50" w:after="157" w:afterLines="50"/>
      <w:jc w:val="center"/>
    </w:pPr>
    <w:rPr>
      <w:rFonts w:hint="eastAsia" w:ascii="黑体" w:hAnsi="黑体" w:eastAsia="黑体" w:cs="黑体"/>
      <w:sz w:val="21"/>
      <w:lang w:val="en-US" w:eastAsia="zh-CN" w:bidi="ar-SA"/>
    </w:rPr>
  </w:style>
  <w:style w:type="paragraph" w:customStyle="1" w:styleId="105">
    <w:name w:val="标准文件_示例内容"/>
    <w:basedOn w:val="27"/>
    <w:qFormat/>
    <w:uiPriority w:val="0"/>
    <w:rPr>
      <w:rFonts w:hAnsi="宋体"/>
      <w:sz w:val="18"/>
    </w:rPr>
  </w:style>
  <w:style w:type="paragraph" w:customStyle="1" w:styleId="106">
    <w:name w:val="标准文件_示例"/>
    <w:next w:val="105"/>
    <w:qFormat/>
    <w:uiPriority w:val="0"/>
    <w:pPr>
      <w:numPr>
        <w:ilvl w:val="0"/>
        <w:numId w:val="10"/>
      </w:numPr>
      <w:jc w:val="both"/>
    </w:pPr>
    <w:rPr>
      <w:rFonts w:hint="eastAsia" w:ascii="宋体" w:hAnsi="宋体" w:eastAsia="宋体" w:cs="宋体"/>
      <w:sz w:val="18"/>
      <w:lang w:val="en-US" w:eastAsia="zh-CN" w:bidi="ar-SA"/>
    </w:rPr>
  </w:style>
  <w:style w:type="paragraph" w:customStyle="1" w:styleId="107">
    <w:name w:val="标准文件_示例×"/>
    <w:basedOn w:val="1"/>
    <w:next w:val="105"/>
    <w:qFormat/>
    <w:uiPriority w:val="0"/>
    <w:pPr>
      <w:widowControl/>
      <w:numPr>
        <w:ilvl w:val="0"/>
        <w:numId w:val="11"/>
      </w:numPr>
    </w:pPr>
    <w:rPr>
      <w:sz w:val="18"/>
    </w:rPr>
  </w:style>
  <w:style w:type="paragraph" w:customStyle="1" w:styleId="108">
    <w:name w:val="标准文件_注"/>
    <w:next w:val="27"/>
    <w:qFormat/>
    <w:uiPriority w:val="0"/>
    <w:pPr>
      <w:numPr>
        <w:ilvl w:val="0"/>
        <w:numId w:val="12"/>
      </w:numPr>
      <w:autoSpaceDE w:val="0"/>
      <w:autoSpaceDN w:val="0"/>
      <w:jc w:val="both"/>
    </w:pPr>
    <w:rPr>
      <w:rFonts w:hint="eastAsia" w:ascii="宋体" w:hAnsi="宋体" w:eastAsia="宋体" w:cs="宋体"/>
      <w:sz w:val="18"/>
      <w:lang w:val="en-US" w:eastAsia="zh-CN" w:bidi="ar-SA"/>
    </w:rPr>
  </w:style>
  <w:style w:type="paragraph" w:customStyle="1" w:styleId="109">
    <w:name w:val="标准文件_注×"/>
    <w:next w:val="27"/>
    <w:qFormat/>
    <w:uiPriority w:val="0"/>
    <w:pPr>
      <w:numPr>
        <w:ilvl w:val="0"/>
        <w:numId w:val="13"/>
      </w:numPr>
      <w:jc w:val="both"/>
    </w:pPr>
    <w:rPr>
      <w:rFonts w:hint="eastAsia" w:ascii="宋体" w:hAnsi="宋体" w:eastAsia="宋体" w:cs="宋体"/>
      <w:sz w:val="18"/>
      <w:lang w:val="en-US" w:eastAsia="zh-CN" w:bidi="ar-SA"/>
    </w:rPr>
  </w:style>
  <w:style w:type="paragraph" w:customStyle="1" w:styleId="110">
    <w:name w:val="标准文件_图表脚注"/>
    <w:basedOn w:val="1"/>
    <w:next w:val="27"/>
    <w:qFormat/>
    <w:uiPriority w:val="0"/>
    <w:pPr>
      <w:numPr>
        <w:ilvl w:val="0"/>
        <w:numId w:val="14"/>
      </w:numPr>
      <w:adjustRightInd w:val="0"/>
      <w:jc w:val="left"/>
    </w:pPr>
    <w:rPr>
      <w:rFonts w:hAnsi="宋体"/>
      <w:sz w:val="18"/>
    </w:rPr>
  </w:style>
  <w:style w:type="paragraph" w:customStyle="1" w:styleId="111">
    <w:name w:val="标准文件_标准正文"/>
    <w:basedOn w:val="1"/>
    <w:next w:val="27"/>
    <w:qFormat/>
    <w:uiPriority w:val="0"/>
    <w:pPr>
      <w:ind w:firstLine="420" w:firstLineChars="200"/>
    </w:pPr>
  </w:style>
  <w:style w:type="paragraph" w:customStyle="1" w:styleId="112">
    <w:name w:val="标准文件_正文公式"/>
    <w:basedOn w:val="1"/>
    <w:next w:val="111"/>
    <w:qFormat/>
    <w:uiPriority w:val="0"/>
    <w:pPr>
      <w:tabs>
        <w:tab w:val="center" w:pos="4678"/>
        <w:tab w:val="right" w:leader="middleDot" w:pos="9355"/>
      </w:tabs>
    </w:pPr>
  </w:style>
  <w:style w:type="paragraph" w:customStyle="1" w:styleId="113">
    <w:name w:val="标准文件_表格"/>
    <w:basedOn w:val="27"/>
    <w:qFormat/>
    <w:uiPriority w:val="0"/>
    <w:pPr>
      <w:jc w:val="center"/>
    </w:pPr>
    <w:rPr>
      <w:sz w:val="18"/>
    </w:rPr>
  </w:style>
  <w:style w:type="paragraph" w:customStyle="1" w:styleId="114">
    <w:name w:val="终结线"/>
    <w:basedOn w:val="1"/>
    <w:qFormat/>
    <w:uiPriority w:val="0"/>
    <w:pPr>
      <w:framePr w:hSpace="181" w:vSpace="181" w:wrap="around" w:vAnchor="text" w:hAnchor="margin" w:xAlign="center" w:y="285"/>
    </w:pPr>
    <w:rPr>
      <w:rFonts w:ascii="Times New Roman" w:cs="Times New Roman"/>
      <w:b/>
      <w:sz w:val="34"/>
    </w:rPr>
  </w:style>
  <w:style w:type="paragraph" w:customStyle="1" w:styleId="115">
    <w:name w:val="标准文件_正文表标题"/>
    <w:next w:val="27"/>
    <w:qFormat/>
    <w:uiPriority w:val="0"/>
    <w:pPr>
      <w:numPr>
        <w:ilvl w:val="0"/>
        <w:numId w:val="15"/>
      </w:numPr>
      <w:spacing w:before="157" w:beforeLines="50" w:after="157" w:afterLines="50"/>
      <w:jc w:val="center"/>
    </w:pPr>
    <w:rPr>
      <w:rFonts w:hint="eastAsia" w:ascii="黑体" w:hAnsi="黑体" w:eastAsia="黑体" w:cs="黑体"/>
      <w:sz w:val="21"/>
      <w:lang w:val="en-US" w:eastAsia="zh-CN" w:bidi="ar-SA"/>
    </w:rPr>
  </w:style>
  <w:style w:type="paragraph" w:customStyle="1" w:styleId="116">
    <w:name w:val="标准文件_正文图标题"/>
    <w:next w:val="27"/>
    <w:qFormat/>
    <w:uiPriority w:val="0"/>
    <w:pPr>
      <w:numPr>
        <w:ilvl w:val="0"/>
        <w:numId w:val="16"/>
      </w:numPr>
      <w:spacing w:before="157" w:beforeLines="50" w:after="157" w:afterLines="50"/>
      <w:jc w:val="center"/>
    </w:pPr>
    <w:rPr>
      <w:rFonts w:hint="eastAsia" w:ascii="黑体" w:hAnsi="黑体" w:eastAsia="黑体" w:cs="黑体"/>
      <w:sz w:val="21"/>
      <w:lang w:val="en-US" w:eastAsia="zh-CN" w:bidi="ar-SA"/>
    </w:rPr>
  </w:style>
  <w:style w:type="paragraph" w:customStyle="1" w:styleId="117">
    <w:name w:val="标准文件_索引标题"/>
    <w:basedOn w:val="36"/>
    <w:next w:val="27"/>
    <w:qFormat/>
    <w:uiPriority w:val="0"/>
    <w:rPr>
      <w:rFonts w:hAnsi="黑体"/>
    </w:rPr>
  </w:style>
  <w:style w:type="paragraph" w:customStyle="1" w:styleId="118">
    <w:name w:val="标准文件_索引项"/>
    <w:basedOn w:val="27"/>
    <w:next w:val="27"/>
    <w:qFormat/>
    <w:uiPriority w:val="0"/>
    <w:pPr>
      <w:tabs>
        <w:tab w:val="right" w:leader="dot" w:pos="9355"/>
      </w:tabs>
      <w:autoSpaceDE w:val="0"/>
      <w:autoSpaceDN w:val="0"/>
      <w:ind w:left="77" w:hanging="77" w:hangingChars="37"/>
      <w:jc w:val="left"/>
    </w:pPr>
  </w:style>
  <w:style w:type="paragraph" w:customStyle="1" w:styleId="119">
    <w:name w:val="标准文件_索引字母"/>
    <w:next w:val="27"/>
    <w:qFormat/>
    <w:uiPriority w:val="0"/>
    <w:pPr>
      <w:jc w:val="center"/>
    </w:pPr>
    <w:rPr>
      <w:rFonts w:hint="eastAsia" w:ascii="宋体" w:hAnsi="宋体" w:eastAsia="宋体" w:cs="宋体"/>
      <w:b/>
      <w:kern w:val="2"/>
      <w:sz w:val="21"/>
      <w:lang w:val="en-US" w:eastAsia="zh-CN" w:bidi="ar-SA"/>
    </w:rPr>
  </w:style>
  <w:style w:type="paragraph" w:customStyle="1" w:styleId="120">
    <w:name w:val="标准文件_提示"/>
    <w:basedOn w:val="1"/>
    <w:qFormat/>
    <w:uiPriority w:val="0"/>
    <w:pPr>
      <w:ind w:firstLine="420" w:firstLineChars="200"/>
    </w:pPr>
    <w:rPr>
      <w:rFonts w:ascii="黑体" w:hAnsi="黑体" w:eastAsia="黑体" w:cs="黑体"/>
    </w:rPr>
  </w:style>
  <w:style w:type="paragraph" w:customStyle="1" w:styleId="121">
    <w:name w:val="标准文件_参考文献编号"/>
    <w:basedOn w:val="27"/>
    <w:qFormat/>
    <w:uiPriority w:val="0"/>
    <w:pPr>
      <w:numPr>
        <w:ilvl w:val="0"/>
        <w:numId w:val="17"/>
      </w:numPr>
    </w:pPr>
  </w:style>
  <w:style w:type="character" w:customStyle="1" w:styleId="122">
    <w:name w:val="标准文件_正文标准名称 Char"/>
    <w:link w:val="58"/>
    <w:qFormat/>
    <w:uiPriority w:val="0"/>
    <w:rPr>
      <w:rFonts w:ascii="黑体" w:hAnsi="黑体" w:eastAsia="黑体" w:cs="黑体"/>
      <w:sz w:val="32"/>
    </w:rPr>
  </w:style>
  <w:style w:type="paragraph" w:customStyle="1" w:styleId="1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4">
    <w:name w:val="一级条标题"/>
    <w:next w:val="123"/>
    <w:qFormat/>
    <w:uiPriority w:val="0"/>
    <w:pPr>
      <w:outlineLvl w:val="2"/>
    </w:pPr>
    <w:rPr>
      <w:rFonts w:ascii="黑体" w:hAnsi="Times New Roman" w:eastAsia="黑体" w:cs="Times New Roman"/>
      <w:sz w:val="21"/>
      <w:lang w:val="en-US" w:eastAsia="zh-CN" w:bidi="ar-SA"/>
    </w:rPr>
  </w:style>
  <w:style w:type="paragraph" w:customStyle="1" w:styleId="125">
    <w:name w:val="正文表标题"/>
    <w:next w:val="123"/>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6">
    <w:name w:val="章标题"/>
    <w:next w:val="123"/>
    <w:qFormat/>
    <w:uiPriority w:val="0"/>
    <w:pPr>
      <w:numPr>
        <w:ilvl w:val="1"/>
        <w:numId w:val="19"/>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127">
    <w:name w:val="一级无"/>
    <w:basedOn w:val="124"/>
    <w:qFormat/>
    <w:uiPriority w:val="0"/>
    <w:rPr>
      <w:rFonts w:ascii="宋体" w:eastAsia="宋体"/>
    </w:rPr>
  </w:style>
  <w:style w:type="paragraph" w:customStyle="1" w:styleId="128">
    <w:name w:val="二级无"/>
    <w:basedOn w:val="129"/>
    <w:qFormat/>
    <w:uiPriority w:val="0"/>
    <w:rPr>
      <w:rFonts w:ascii="宋体" w:eastAsia="宋体"/>
    </w:rPr>
  </w:style>
  <w:style w:type="paragraph" w:customStyle="1" w:styleId="129">
    <w:name w:val="二级条标题"/>
    <w:basedOn w:val="124"/>
    <w:next w:val="123"/>
    <w:qFormat/>
    <w:uiPriority w:val="0"/>
    <w:pPr>
      <w:numPr>
        <w:ilvl w:val="3"/>
        <w:numId w:val="19"/>
      </w:numPr>
      <w:outlineLvl w:val="3"/>
    </w:pPr>
  </w:style>
  <w:style w:type="paragraph" w:customStyle="1" w:styleId="130">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31">
    <w:name w:val="列表段落1"/>
    <w:basedOn w:val="1"/>
    <w:uiPriority w:val="0"/>
    <w:pPr>
      <w:ind w:firstLine="420" w:firstLineChars="200"/>
    </w:pPr>
    <w:rPr>
      <w:rFonts w:hint="default" w:ascii="Calibri" w:hAnsi="Calibri" w:cs="Times New Roman"/>
      <w:szCs w:val="22"/>
    </w:rPr>
  </w:style>
  <w:style w:type="paragraph" w:customStyle="1" w:styleId="132">
    <w:name w:val="目录 41"/>
    <w:basedOn w:val="1"/>
    <w:next w:val="1"/>
    <w:semiHidden/>
    <w:qFormat/>
    <w:uiPriority w:val="0"/>
    <w:pPr>
      <w:tabs>
        <w:tab w:val="right" w:leader="dot" w:pos="9241"/>
      </w:tabs>
      <w:ind w:firstLine="198" w:firstLineChars="200"/>
      <w:jc w:val="left"/>
    </w:pPr>
    <w:rPr>
      <w:rFonts w:hint="default"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306d9cb-56ce-41b4-8ad2-473e97192021}"/>
        <w:style w:val=""/>
        <w:category>
          <w:name w:val="常规"/>
          <w:gallery w:val="placeholder"/>
        </w:category>
        <w:types>
          <w:type w:val="bbPlcHdr"/>
        </w:types>
        <w:behaviors>
          <w:behavior w:val="content"/>
        </w:behaviors>
        <w:description w:val=""/>
        <w:guid w:val="{C306D9CB-56CE-41B4-8AD2-473E97192021}"/>
      </w:docPartPr>
      <w:docPartBody>
        <w:p>
          <w:r>
            <w:rPr>
              <w:color w:val="808080"/>
            </w:rPr>
            <w:t>选择一项。</w:t>
          </w:r>
        </w:p>
      </w:docPartBody>
    </w:docPart>
    <w:docPart>
      <w:docPartPr>
        <w:name w:val="{79d605d7-9d6d-4e33-8141-424cc1282130}"/>
        <w:style w:val=""/>
        <w:category>
          <w:name w:val="常规"/>
          <w:gallery w:val="placeholder"/>
        </w:category>
        <w:types>
          <w:type w:val="bbPlcHdr"/>
        </w:types>
        <w:behaviors>
          <w:behavior w:val="content"/>
        </w:behaviors>
        <w:description w:val=""/>
        <w:guid w:val="{79D605D7-9D6D-4E33-8141-424CC1282130}"/>
      </w:docPartPr>
      <w:docPartBody>
        <w:p>
          <w:r>
            <w:rPr>
              <w:color w:val="808080"/>
            </w:rPr>
            <w:t>选择一项。</w:t>
          </w:r>
        </w:p>
      </w:docPartBody>
    </w:docPart>
    <w:docPart>
      <w:docPartPr>
        <w:name w:val="{78fe63ff-caff-426a-a345-a4e829793e53}"/>
        <w:style w:val=""/>
        <w:category>
          <w:name w:val="常规"/>
          <w:gallery w:val="placeholder"/>
        </w:category>
        <w:types>
          <w:type w:val="bbPlcHdr"/>
        </w:types>
        <w:behaviors>
          <w:behavior w:val="content"/>
        </w:behaviors>
        <w:description w:val=""/>
        <w:guid w:val="{78FE63FF-CAFF-426A-A345-A4E829793E53}"/>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336997"/>
    <w:rsid w:val="00072907"/>
    <w:rsid w:val="00113867"/>
    <w:rsid w:val="002B6AB0"/>
    <w:rsid w:val="002C31D5"/>
    <w:rsid w:val="002F464C"/>
    <w:rsid w:val="00336997"/>
    <w:rsid w:val="003D5212"/>
    <w:rsid w:val="007271FE"/>
    <w:rsid w:val="00A40726"/>
    <w:rsid w:val="00C54914"/>
    <w:rsid w:val="00C54A79"/>
    <w:rsid w:val="00D62C05"/>
    <w:rsid w:val="00DC2647"/>
    <w:rsid w:val="00E64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atentStyles>
  <w:style w:type="paragraph" w:default="1" w:styleId="1">
    <w:name w:val="Normal"/>
    <w:autoRedefine/>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autoRedefine/>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26A52-DD13-4981-82D2-86DB2935BD83}">
  <ds:schemaRefs/>
</ds:datastoreItem>
</file>

<file path=docProps/app.xml><?xml version="1.0" encoding="utf-8"?>
<Properties xmlns="http://schemas.openxmlformats.org/officeDocument/2006/extended-properties" xmlns:vt="http://schemas.openxmlformats.org/officeDocument/2006/docPropsVTypes">
  <Template>Normal</Template>
  <Pages>8</Pages>
  <Words>622</Words>
  <Characters>3551</Characters>
  <Lines>29</Lines>
  <Paragraphs>8</Paragraphs>
  <TotalTime>1368</TotalTime>
  <ScaleCrop>false</ScaleCrop>
  <LinksUpToDate>false</LinksUpToDate>
  <CharactersWithSpaces>4165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2023-05-05T07:14:00Z</dcterms:created>
  <dc:creator>Administrator</dc:creator>
  <cp:lastModifiedBy>smile唐</cp:lastModifiedBy>
  <cp:lastPrinted>2023-05-16T12:48:00Z</cp:lastPrinted>
  <dcterms:modified xsi:type="dcterms:W3CDTF">2024-04-10T08:21:35Z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931692CCE2924EFDA2BC2CC5C8A4E2C3_13</vt:lpwstr>
  </property>
</Properties>
</file>