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framePr w:wrap="around"/>
        <w:ind w:left="1134" w:right="1692"/>
        <w:rPr>
          <w:rFonts w:ascii="Times New Roman"/>
        </w:rPr>
      </w:pPr>
      <w:r>
        <w:rPr>
          <w:rFonts w:hint="eastAsia" w:ascii="Times New Roman"/>
        </w:rPr>
        <w:t xml:space="preserve"> 团体标准</w:t>
      </w:r>
    </w:p>
    <w:p>
      <w:pPr>
        <w:pStyle w:val="28"/>
        <w:framePr w:h="1974" w:hRule="exact" w:wrap="around" w:x="1967" w:y="2168"/>
        <w:wordWrap w:val="0"/>
        <w:rPr>
          <w:rFonts w:ascii="Times New Roman"/>
        </w:rPr>
      </w:pPr>
      <w:bookmarkStart w:id="0" w:name="OLE_LINK1"/>
    </w:p>
    <w:p>
      <w:pPr>
        <w:pStyle w:val="28"/>
        <w:framePr w:h="1974" w:hRule="exact" w:wrap="around" w:x="1967" w:y="2168"/>
        <w:ind w:right="280"/>
        <w:rPr>
          <w:rFonts w:ascii="Times New Roman"/>
        </w:rPr>
      </w:pPr>
      <w:r>
        <w:rPr>
          <w:rFonts w:ascii="Times New Roman"/>
        </w:rPr>
        <w:t>T/SSEA XXXX—2022</w:t>
      </w:r>
    </w:p>
    <w:p>
      <w:pPr>
        <w:pStyle w:val="28"/>
        <w:framePr w:h="1974" w:hRule="exact" w:wrap="around" w:x="1967" w:y="2168"/>
        <w:pBdr>
          <w:bottom w:val="single" w:color="auto" w:sz="4" w:space="1"/>
        </w:pBdr>
        <w:ind w:right="280"/>
        <w:rPr>
          <w:rFonts w:ascii="Times New Roman"/>
        </w:rPr>
      </w:pPr>
      <w:r>
        <w:rPr>
          <w:rFonts w:ascii="Times New Roman"/>
        </w:rPr>
        <w:t>T/</w:t>
      </w:r>
      <w:r>
        <w:rPr>
          <w:rFonts w:hint="eastAsia" w:ascii="Times New Roman"/>
        </w:rPr>
        <w:t>CSTAXXXX</w:t>
      </w:r>
      <w:r>
        <w:rPr>
          <w:rFonts w:ascii="Times New Roman"/>
        </w:rPr>
        <w:t>—2022</w:t>
      </w:r>
    </w:p>
    <w:p>
      <w:pPr>
        <w:pStyle w:val="28"/>
        <w:framePr w:h="1974" w:hRule="exact" w:wrap="around" w:x="1967" w:y="2168"/>
        <w:rPr>
          <w:rFonts w:ascii="Times New Roman"/>
        </w:rPr>
      </w:pPr>
    </w:p>
    <w:p>
      <w:pPr>
        <w:pStyle w:val="28"/>
        <w:framePr w:h="1974" w:hRule="exact" w:wrap="around" w:x="1967" w:y="2168"/>
        <w:rPr>
          <w:rFonts w:ascii="Times New Roman"/>
        </w:rPr>
      </w:pPr>
    </w:p>
    <w:p>
      <w:pPr>
        <w:pStyle w:val="30"/>
        <w:framePr w:h="4042" w:hRule="exact" w:wrap="around" w:x="1168" w:y="6336"/>
        <w:rPr>
          <w:rFonts w:ascii="Times New Roman"/>
        </w:rPr>
      </w:pPr>
      <w:r>
        <w:rPr>
          <w:rFonts w:hint="eastAsia" w:ascii="Times New Roman"/>
        </w:rPr>
        <w:t>精密仪器仪表用不锈钢无缝管</w:t>
      </w:r>
    </w:p>
    <w:bookmarkEnd w:id="0"/>
    <w:p>
      <w:pPr>
        <w:pStyle w:val="29"/>
        <w:framePr w:h="4042" w:hRule="exact" w:wrap="around" w:x="1168" w:y="6336"/>
      </w:pPr>
      <w:r>
        <w:rPr>
          <w:rFonts w:hint="eastAsia"/>
        </w:rPr>
        <w:t>Seamless stainless steel tubes for precision instruments</w:t>
      </w:r>
    </w:p>
    <w:p>
      <w:pPr>
        <w:pStyle w:val="32"/>
        <w:framePr w:h="4042" w:hRule="exact" w:wrap="around" w:x="1168" w:y="6336"/>
        <w:spacing w:before="156" w:after="156"/>
        <w:rPr>
          <w:rFonts w:ascii="Times New Roman"/>
        </w:rPr>
      </w:pPr>
    </w:p>
    <w:p>
      <w:pPr>
        <w:pStyle w:val="35"/>
        <w:framePr w:wrap="around"/>
        <w:rPr>
          <w:rFonts w:eastAsia="宋体"/>
        </w:rPr>
      </w:pPr>
      <w:r>
        <w:rPr>
          <w:rFonts w:eastAsia="宋体"/>
        </w:rPr>
        <w:t>20</w:t>
      </w:r>
      <w:bookmarkStart w:id="1" w:name="FM"/>
      <w:r>
        <w:rPr>
          <w:rFonts w:eastAsia="宋体"/>
        </w:rPr>
        <w:t>XX-</w:t>
      </w:r>
      <w:bookmarkEnd w:id="1"/>
      <w:r>
        <w:rPr>
          <w:rFonts w:eastAsia="宋体"/>
        </w:rPr>
        <w:t>XX-XX</w:t>
      </w:r>
      <w:r>
        <w:rPr>
          <w:rFonts w:hint="eastAsia" w:eastAsia="宋体"/>
        </w:rPr>
        <w:t>发布</w:t>
      </w:r>
      <w:r>
        <w:pict>
          <v:line id="_x0000_s1026" o:spid="_x0000_s1026" o:spt="20" style="position:absolute;left:0pt;margin-left:-0.05pt;margin-top:728.45pt;height:0pt;width:481.9pt;mso-position-vertical-relative:page;z-index:251660288;mso-width-relative:page;mso-height-relative:page;" coordsize="21600,21600">
            <v:path arrowok="t"/>
            <v:fill focussize="0,0"/>
            <v:stroke/>
            <v:imagedata o:title=""/>
            <o:lock v:ext="edit"/>
            <w10:anchorlock/>
          </v:line>
        </w:pict>
      </w:r>
    </w:p>
    <w:p>
      <w:pPr>
        <w:pStyle w:val="38"/>
        <w:framePr w:wrap="around"/>
        <w:rPr>
          <w:rFonts w:eastAsia="宋体"/>
        </w:rPr>
      </w:pPr>
      <w:r>
        <w:rPr>
          <w:rFonts w:eastAsia="宋体"/>
        </w:rPr>
        <w:t>20XX-XX-XX</w:t>
      </w:r>
      <w:r>
        <w:rPr>
          <w:rFonts w:hint="eastAsia" w:eastAsia="宋体"/>
        </w:rPr>
        <w:t>实施</w:t>
      </w:r>
    </w:p>
    <w:p>
      <w:pPr>
        <w:pStyle w:val="51"/>
        <w:framePr w:w="8988" w:h="1351" w:hRule="exact" w:wrap="around" w:x="1579" w:y="15084"/>
        <w:rPr>
          <w:rFonts w:ascii="Times New Roman"/>
          <w:sz w:val="32"/>
        </w:rPr>
      </w:pPr>
      <w:r>
        <w:rPr>
          <w:rFonts w:ascii="Times New Roman"/>
          <w:sz w:val="32"/>
        </w:rPr>
        <w:t>中国特钢企业协会</w:t>
      </w:r>
    </w:p>
    <w:p>
      <w:pPr>
        <w:pStyle w:val="51"/>
        <w:framePr w:w="8988" w:h="1351" w:hRule="exact" w:wrap="around" w:x="1579" w:y="15084"/>
        <w:jc w:val="right"/>
        <w:rPr>
          <w:rFonts w:ascii="Times New Roman"/>
          <w:sz w:val="32"/>
          <w:szCs w:val="32"/>
        </w:rPr>
      </w:pPr>
      <w:r>
        <w:rPr>
          <w:rFonts w:hint="eastAsia" w:ascii="Times New Roman"/>
          <w:sz w:val="32"/>
          <w:szCs w:val="32"/>
        </w:rPr>
        <w:t xml:space="preserve">中关村不锈及特种合金新材料 </w:t>
      </w:r>
      <w:r>
        <w:rPr>
          <w:rStyle w:val="50"/>
          <w:rFonts w:ascii="Times New Roman"/>
        </w:rPr>
        <w:t>发布</w:t>
      </w:r>
    </w:p>
    <w:p>
      <w:pPr>
        <w:pStyle w:val="51"/>
        <w:framePr w:w="8988" w:h="1351" w:hRule="exact" w:wrap="around" w:x="1579" w:y="15084"/>
        <w:rPr>
          <w:rFonts w:ascii="Times New Roman"/>
        </w:rPr>
      </w:pPr>
      <w:r>
        <w:rPr>
          <w:rFonts w:hint="eastAsia" w:ascii="Times New Roman"/>
          <w:sz w:val="32"/>
          <w:szCs w:val="32"/>
        </w:rPr>
        <w:t>产业技术创新联盟</w:t>
      </w:r>
    </w:p>
    <w:p>
      <w:pPr>
        <w:pStyle w:val="20"/>
        <w:spacing w:line="340" w:lineRule="exact"/>
        <w:ind w:firstLine="400"/>
        <w:rPr>
          <w:rFonts w:ascii="Times New Roman"/>
          <w:sz w:val="22"/>
        </w:rPr>
      </w:pPr>
      <w:r>
        <w:rPr>
          <w:rFonts w:ascii="Times New Roman"/>
        </w:rPr>
        <w:t>ICS</w:t>
      </w:r>
      <w:r>
        <w:rPr>
          <w:rFonts w:ascii="Times New Roman"/>
          <w:sz w:val="22"/>
        </w:rPr>
        <w:t xml:space="preserve"> 77.140.35</w:t>
      </w:r>
    </w:p>
    <w:p>
      <w:pPr>
        <w:pStyle w:val="20"/>
        <w:spacing w:line="340" w:lineRule="exact"/>
        <w:ind w:firstLine="400"/>
        <w:rPr>
          <w:rFonts w:ascii="Times New Roman"/>
        </w:rPr>
      </w:pPr>
      <w:r>
        <w:rPr>
          <w:rFonts w:ascii="Times New Roman"/>
        </w:rPr>
        <w:t>CCS H 40</w:t>
      </w:r>
    </w:p>
    <w:p>
      <w:pPr>
        <w:pStyle w:val="20"/>
        <w:spacing w:line="340" w:lineRule="exact"/>
        <w:ind w:firstLine="400"/>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p>
    <w:p>
      <w:pPr>
        <w:jc w:val="center"/>
        <w:rPr>
          <w:b/>
          <w:sz w:val="32"/>
        </w:rPr>
        <w:sectPr>
          <w:headerReference r:id="rId3" w:type="default"/>
          <w:footerReference r:id="rId4" w:type="default"/>
          <w:pgSz w:w="11906" w:h="16838"/>
          <w:pgMar w:top="1134" w:right="1134" w:bottom="1134" w:left="1418" w:header="851" w:footer="992" w:gutter="0"/>
          <w:pgNumType w:fmt="upperRoman" w:start="1"/>
          <w:cols w:space="720" w:num="1"/>
          <w:docGrid w:type="lines" w:linePitch="312" w:charSpace="0"/>
        </w:sectPr>
      </w:pPr>
    </w:p>
    <w:p>
      <w:pPr>
        <w:pStyle w:val="24"/>
        <w:spacing w:before="156" w:after="156"/>
      </w:pPr>
      <w:bookmarkStart w:id="2" w:name="_Toc520380389"/>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pStyle w:val="20"/>
        <w:ind w:firstLine="400"/>
      </w:pPr>
    </w:p>
    <w:p>
      <w:pPr>
        <w:rPr>
          <w:rFonts w:ascii="宋体"/>
        </w:rPr>
      </w:pPr>
      <w:r>
        <w:rPr>
          <w:rFonts w:ascii="宋体"/>
        </w:rPr>
        <w:pict>
          <v:shape id="_x0000_i1025" o:spt="75" type="#_x0000_t75" style="height:60.6pt;width:64.2pt;" filled="f" o:preferrelative="t" stroked="f" coordsize="21600,21600">
            <v:path/>
            <v:fill on="f" focussize="0,0"/>
            <v:stroke on="f" joinstyle="miter"/>
            <v:imagedata r:id="rId9" o:title=""/>
            <o:lock v:ext="edit" aspectratio="t"/>
            <w10:wrap type="none"/>
            <w10:anchorlock/>
          </v:shape>
        </w:pict>
      </w:r>
      <w:r>
        <w:rPr>
          <w:rFonts w:hint="eastAsia" w:ascii="宋体"/>
        </w:rPr>
        <w:t>版权保护文件</w:t>
      </w:r>
    </w:p>
    <w:p>
      <w:pPr>
        <w:spacing w:before="156" w:beforeLines="50" w:after="156" w:afterLines="50"/>
        <w:rPr>
          <w:rFonts w:ascii="宋体" w:hAnsi="宋体"/>
        </w:rPr>
        <w:sectPr>
          <w:headerReference r:id="rId5" w:type="default"/>
          <w:pgSz w:w="11906" w:h="16838"/>
          <w:pgMar w:top="1440" w:right="1466" w:bottom="1440" w:left="1620" w:header="851" w:footer="992" w:gutter="0"/>
          <w:pgNumType w:fmt="upperRoman"/>
          <w:cols w:space="425" w:num="1"/>
          <w:docGrid w:type="lines" w:linePitch="312" w:charSpace="0"/>
        </w:sectPr>
      </w:pPr>
      <w:r>
        <w:rPr>
          <w:rFonts w:hint="eastAsia" w:ascii="宋体"/>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2"/>
    <w:p>
      <w:pPr>
        <w:pStyle w:val="24"/>
        <w:rPr>
          <w:rFonts w:ascii="Times New Roman"/>
        </w:rPr>
      </w:pPr>
      <w:r>
        <w:rPr>
          <w:rFonts w:ascii="Times New Roman"/>
        </w:rPr>
        <w:t>前</w:t>
      </w:r>
      <w:bookmarkStart w:id="3" w:name="BKQY"/>
      <w:r>
        <w:rPr>
          <w:rFonts w:ascii="Times New Roman"/>
        </w:rPr>
        <w:t>  言</w:t>
      </w:r>
      <w:bookmarkEnd w:id="3"/>
    </w:p>
    <w:p>
      <w:pPr>
        <w:pStyle w:val="20"/>
        <w:rPr>
          <w:rFonts w:ascii="Times New Roman" w:hAnsi="Calibri"/>
          <w:kern w:val="2"/>
          <w:sz w:val="21"/>
          <w:szCs w:val="22"/>
        </w:rPr>
      </w:pPr>
      <w:r>
        <w:rPr>
          <w:rFonts w:hint="eastAsia" w:ascii="Times New Roman" w:hAnsi="Calibri"/>
          <w:kern w:val="2"/>
          <w:sz w:val="21"/>
          <w:szCs w:val="22"/>
        </w:rPr>
        <w:t>本文件按照GB/T 1.1-2020《标准化工作导则 第1部分：标准化文件的结构和起草规则》的规定起草。</w:t>
      </w:r>
    </w:p>
    <w:p>
      <w:pPr>
        <w:pStyle w:val="20"/>
        <w:rPr>
          <w:rFonts w:ascii="Times New Roman" w:hAnsi="Calibri"/>
          <w:kern w:val="2"/>
          <w:sz w:val="21"/>
          <w:szCs w:val="22"/>
        </w:rPr>
      </w:pPr>
      <w:r>
        <w:rPr>
          <w:rFonts w:hint="eastAsia" w:ascii="Times New Roman" w:hAnsi="Calibri"/>
          <w:kern w:val="2"/>
          <w:sz w:val="21"/>
          <w:szCs w:val="22"/>
        </w:rPr>
        <w:t>请注意本文件的某些内容可能涉及专利。本文件的发布机构不承担识别专利的责任。</w:t>
      </w:r>
    </w:p>
    <w:p>
      <w:pPr>
        <w:ind w:firstLine="420" w:firstLineChars="200"/>
      </w:pPr>
      <w:r>
        <w:t>本文件由中国特钢企业协会团体标准化工作委员会</w:t>
      </w:r>
      <w:r>
        <w:rPr>
          <w:rFonts w:hint="eastAsia"/>
        </w:rPr>
        <w:t>、中关村不锈及特种合金新材料产业技术创新联盟</w:t>
      </w:r>
      <w:r>
        <w:t>团体标准化工作委员会</w:t>
      </w:r>
      <w:r>
        <w:rPr>
          <w:rFonts w:hint="eastAsia"/>
        </w:rPr>
        <w:t>联合</w:t>
      </w:r>
      <w:r>
        <w:t>提出并归口。</w:t>
      </w:r>
    </w:p>
    <w:p>
      <w:pPr>
        <w:pStyle w:val="20"/>
        <w:rPr>
          <w:rFonts w:ascii="Times New Roman" w:hAnsi="Calibri"/>
          <w:kern w:val="2"/>
          <w:sz w:val="21"/>
          <w:szCs w:val="22"/>
        </w:rPr>
      </w:pPr>
      <w:r>
        <w:rPr>
          <w:rFonts w:hint="eastAsia" w:ascii="Times New Roman" w:hAnsi="Calibri"/>
          <w:kern w:val="2"/>
          <w:sz w:val="21"/>
          <w:szCs w:val="22"/>
        </w:rPr>
        <w:t>本文件起草单位：浙江久立特材科技股份有限公司、冶金工业规划研究院</w:t>
      </w:r>
    </w:p>
    <w:p>
      <w:pPr>
        <w:pStyle w:val="20"/>
        <w:rPr>
          <w:rFonts w:ascii="Times New Roman" w:hAnsi="Calibri"/>
          <w:kern w:val="2"/>
          <w:sz w:val="21"/>
          <w:szCs w:val="22"/>
        </w:rPr>
      </w:pPr>
      <w:r>
        <w:rPr>
          <w:rFonts w:hint="eastAsia" w:ascii="Times New Roman" w:hAnsi="Calibri"/>
          <w:kern w:val="2"/>
          <w:sz w:val="21"/>
          <w:szCs w:val="22"/>
        </w:rPr>
        <w:t>本文件主要起草人：</w:t>
      </w:r>
    </w:p>
    <w:p>
      <w:pPr>
        <w:pStyle w:val="31"/>
        <w:spacing w:after="624" w:afterLines="200"/>
        <w:rPr>
          <w:rFonts w:ascii="Times New Roman"/>
        </w:rPr>
      </w:pPr>
      <w:r>
        <w:rPr>
          <w:rFonts w:hint="eastAsia" w:ascii="Times New Roman"/>
        </w:rPr>
        <w:t>精密仪器仪表用不锈钢无缝管</w:t>
      </w:r>
    </w:p>
    <w:p>
      <w:pPr>
        <w:pStyle w:val="19"/>
        <w:numPr>
          <w:ilvl w:val="0"/>
          <w:numId w:val="3"/>
        </w:numPr>
        <w:spacing w:before="312" w:after="312"/>
        <w:ind w:left="0" w:firstLine="0"/>
        <w:rPr>
          <w:rFonts w:ascii="Times New Roman"/>
        </w:rPr>
      </w:pPr>
      <w:bookmarkStart w:id="4" w:name="_Toc520380391"/>
      <w:r>
        <w:rPr>
          <w:rFonts w:hint="eastAsia" w:ascii="Times New Roman"/>
        </w:rPr>
        <w:t>范围</w:t>
      </w:r>
      <w:bookmarkEnd w:id="4"/>
    </w:p>
    <w:p>
      <w:pPr>
        <w:spacing w:line="360" w:lineRule="exact"/>
        <w:ind w:firstLine="420" w:firstLineChars="200"/>
      </w:pPr>
      <w:bookmarkStart w:id="5" w:name="_Toc520380392"/>
      <w:r>
        <w:rPr>
          <w:rFonts w:hint="eastAsia"/>
        </w:rPr>
        <w:t>本文件规定了精密</w:t>
      </w:r>
      <w:bookmarkStart w:id="15" w:name="_GoBack"/>
      <w:bookmarkEnd w:id="15"/>
      <w:r>
        <w:rPr>
          <w:rFonts w:hint="eastAsia"/>
        </w:rPr>
        <w:t>仪器仪表用不锈钢无缝管的分类和代号、订货内容、尺寸、外形、重量、技术要求、试验方法、检验规则、包装、标志和质量证明书。</w:t>
      </w:r>
    </w:p>
    <w:p>
      <w:pPr>
        <w:spacing w:line="360" w:lineRule="exact"/>
        <w:ind w:firstLine="420" w:firstLineChars="200"/>
      </w:pPr>
      <w:r>
        <w:rPr>
          <w:rFonts w:hint="eastAsia"/>
        </w:rPr>
        <w:t>本文件适用于制造</w:t>
      </w:r>
      <w:r>
        <w:t>外径为3.0 mm～30.0 mm，壁厚为0.8 mm～3.0 mm范围</w:t>
      </w:r>
      <w:r>
        <w:rPr>
          <w:rFonts w:hint="eastAsia"/>
        </w:rPr>
        <w:t>的民用（非核级）精密仪器仪表用冷轧（拔）不锈钢无缝钢管（以下简称“钢管”）。</w:t>
      </w:r>
    </w:p>
    <w:p>
      <w:pPr>
        <w:pStyle w:val="19"/>
        <w:numPr>
          <w:ilvl w:val="0"/>
          <w:numId w:val="3"/>
        </w:numPr>
        <w:spacing w:before="312" w:after="312"/>
        <w:ind w:left="0" w:firstLine="0"/>
        <w:rPr>
          <w:rFonts w:ascii="Times New Roman"/>
        </w:rPr>
      </w:pPr>
      <w:r>
        <w:rPr>
          <w:rFonts w:hint="eastAsia" w:ascii="Times New Roman"/>
        </w:rPr>
        <w:t>规范性引用文件</w:t>
      </w:r>
      <w:bookmarkEnd w:id="5"/>
    </w:p>
    <w:p>
      <w:pPr>
        <w:spacing w:line="360" w:lineRule="exact"/>
        <w:ind w:firstLine="420" w:firstLineChars="200"/>
      </w:pPr>
      <w:bookmarkStart w:id="6" w:name="_Toc520380394"/>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570"/>
        <w:rPr>
          <w:szCs w:val="21"/>
        </w:rPr>
      </w:pPr>
      <w:r>
        <w:rPr>
          <w:szCs w:val="21"/>
        </w:rPr>
        <w:t xml:space="preserve">GB/T 222     </w:t>
      </w:r>
      <w:r>
        <w:rPr>
          <w:szCs w:val="21"/>
        </w:rPr>
        <w:tab/>
      </w:r>
      <w:r>
        <w:rPr>
          <w:rFonts w:hint="eastAsia" w:cs="宋体"/>
          <w:szCs w:val="21"/>
        </w:rPr>
        <w:t>钢的成品化学成分允许偏差</w:t>
      </w:r>
    </w:p>
    <w:p>
      <w:pPr>
        <w:ind w:firstLine="570"/>
        <w:rPr>
          <w:szCs w:val="21"/>
        </w:rPr>
      </w:pPr>
      <w:r>
        <w:rPr>
          <w:szCs w:val="21"/>
        </w:rPr>
        <w:t xml:space="preserve">GB/T 223.11   </w:t>
      </w:r>
      <w:r>
        <w:rPr>
          <w:szCs w:val="21"/>
        </w:rPr>
        <w:tab/>
      </w:r>
      <w:r>
        <w:rPr>
          <w:rFonts w:hint="eastAsia" w:cs="宋体"/>
          <w:szCs w:val="21"/>
        </w:rPr>
        <w:t>钢铁及合金铬含量的测定可视滴定或电位滴定法</w:t>
      </w:r>
    </w:p>
    <w:p>
      <w:pPr>
        <w:ind w:firstLine="570"/>
        <w:rPr>
          <w:szCs w:val="21"/>
        </w:rPr>
      </w:pPr>
      <w:r>
        <w:rPr>
          <w:szCs w:val="21"/>
        </w:rPr>
        <w:t xml:space="preserve">GB/T 223.25   </w:t>
      </w:r>
      <w:r>
        <w:rPr>
          <w:szCs w:val="21"/>
        </w:rPr>
        <w:tab/>
      </w:r>
      <w:r>
        <w:rPr>
          <w:rFonts w:hint="eastAsia" w:cs="宋体"/>
          <w:szCs w:val="21"/>
        </w:rPr>
        <w:t>钢铁及合金化学分析方法丁二酮肟重量法来测定镍量</w:t>
      </w:r>
    </w:p>
    <w:p>
      <w:pPr>
        <w:ind w:firstLine="570"/>
        <w:rPr>
          <w:szCs w:val="21"/>
        </w:rPr>
      </w:pPr>
      <w:r>
        <w:rPr>
          <w:szCs w:val="21"/>
        </w:rPr>
        <w:t xml:space="preserve">GB/T 223.28   </w:t>
      </w:r>
      <w:r>
        <w:rPr>
          <w:szCs w:val="21"/>
        </w:rPr>
        <w:tab/>
      </w:r>
      <w:r>
        <w:rPr>
          <w:rFonts w:hint="eastAsia" w:cs="宋体"/>
          <w:szCs w:val="21"/>
        </w:rPr>
        <w:t>钢铁及合金化学分析方法α</w:t>
      </w:r>
      <w:r>
        <w:rPr>
          <w:szCs w:val="21"/>
        </w:rPr>
        <w:t>-</w:t>
      </w:r>
      <w:r>
        <w:rPr>
          <w:rFonts w:hint="eastAsia" w:cs="宋体"/>
          <w:szCs w:val="21"/>
        </w:rPr>
        <w:t>安息香肟重量法测定钼量</w:t>
      </w:r>
    </w:p>
    <w:p>
      <w:pPr>
        <w:ind w:firstLine="570"/>
        <w:rPr>
          <w:szCs w:val="21"/>
        </w:rPr>
      </w:pPr>
      <w:r>
        <w:rPr>
          <w:szCs w:val="21"/>
        </w:rPr>
        <w:t xml:space="preserve">GB/T 223.36   </w:t>
      </w:r>
      <w:r>
        <w:rPr>
          <w:szCs w:val="21"/>
        </w:rPr>
        <w:tab/>
      </w:r>
      <w:r>
        <w:rPr>
          <w:rFonts w:hint="eastAsia"/>
          <w:szCs w:val="21"/>
        </w:rPr>
        <w:t>钢铁及合金化学分析方法 蒸馏分离-中和滴定法测定氮量</w:t>
      </w:r>
    </w:p>
    <w:p>
      <w:pPr>
        <w:ind w:firstLine="570"/>
        <w:rPr>
          <w:szCs w:val="21"/>
        </w:rPr>
      </w:pPr>
      <w:r>
        <w:rPr>
          <w:szCs w:val="21"/>
        </w:rPr>
        <w:t xml:space="preserve">GB/T 223.59   </w:t>
      </w:r>
      <w:r>
        <w:rPr>
          <w:szCs w:val="21"/>
        </w:rPr>
        <w:tab/>
      </w:r>
      <w:r>
        <w:rPr>
          <w:rFonts w:hint="eastAsia"/>
          <w:szCs w:val="21"/>
        </w:rPr>
        <w:t>钢铁及合金磷含量的测定 铋磷钼蓝分光光度法和锑磷钼蓝分光光度法</w:t>
      </w:r>
    </w:p>
    <w:p>
      <w:pPr>
        <w:ind w:firstLine="570"/>
        <w:rPr>
          <w:szCs w:val="21"/>
        </w:rPr>
      </w:pPr>
      <w:r>
        <w:rPr>
          <w:szCs w:val="21"/>
        </w:rPr>
        <w:t xml:space="preserve">GB/T 223.60   </w:t>
      </w:r>
      <w:r>
        <w:rPr>
          <w:szCs w:val="21"/>
        </w:rPr>
        <w:tab/>
      </w:r>
      <w:r>
        <w:rPr>
          <w:rFonts w:hint="eastAsia" w:cs="宋体"/>
          <w:szCs w:val="21"/>
        </w:rPr>
        <w:t>钢铁及合金化学分析方法高氯酸脱水重量法测定硅含量</w:t>
      </w:r>
    </w:p>
    <w:p>
      <w:pPr>
        <w:ind w:firstLine="570"/>
        <w:rPr>
          <w:szCs w:val="21"/>
        </w:rPr>
      </w:pPr>
      <w:r>
        <w:rPr>
          <w:szCs w:val="21"/>
        </w:rPr>
        <w:t xml:space="preserve">GB/T 223.63   </w:t>
      </w:r>
      <w:r>
        <w:rPr>
          <w:szCs w:val="21"/>
        </w:rPr>
        <w:tab/>
      </w:r>
      <w:r>
        <w:rPr>
          <w:rFonts w:hint="eastAsia" w:cs="宋体"/>
          <w:szCs w:val="21"/>
        </w:rPr>
        <w:t>钢铁及合金化学分析方法高碘酸钠（钾）光度法测定锰量</w:t>
      </w:r>
    </w:p>
    <w:p>
      <w:pPr>
        <w:ind w:firstLine="570"/>
        <w:rPr>
          <w:szCs w:val="21"/>
        </w:rPr>
      </w:pPr>
      <w:r>
        <w:rPr>
          <w:szCs w:val="21"/>
        </w:rPr>
        <w:t xml:space="preserve">GB/T 223.82   </w:t>
      </w:r>
      <w:r>
        <w:rPr>
          <w:szCs w:val="21"/>
        </w:rPr>
        <w:tab/>
      </w:r>
      <w:r>
        <w:rPr>
          <w:rFonts w:hint="eastAsia" w:cs="宋体"/>
          <w:szCs w:val="21"/>
        </w:rPr>
        <w:t>钢铁　氢含量的测定　惰性气体熔融</w:t>
      </w:r>
      <w:r>
        <w:rPr>
          <w:szCs w:val="21"/>
        </w:rPr>
        <w:t>-</w:t>
      </w:r>
      <w:r>
        <w:rPr>
          <w:rFonts w:hint="eastAsia" w:cs="宋体"/>
          <w:szCs w:val="21"/>
        </w:rPr>
        <w:t>热导或红外法</w:t>
      </w:r>
    </w:p>
    <w:p>
      <w:pPr>
        <w:ind w:firstLine="570"/>
        <w:rPr>
          <w:szCs w:val="21"/>
        </w:rPr>
      </w:pPr>
      <w:r>
        <w:rPr>
          <w:szCs w:val="21"/>
        </w:rPr>
        <w:t xml:space="preserve">GB/T 223.85   </w:t>
      </w:r>
      <w:r>
        <w:rPr>
          <w:szCs w:val="21"/>
        </w:rPr>
        <w:tab/>
      </w:r>
      <w:r>
        <w:rPr>
          <w:rFonts w:hint="eastAsia" w:cs="宋体"/>
          <w:szCs w:val="21"/>
        </w:rPr>
        <w:t>钢铁及合金硫含量的测定感应炉燃烧后红外吸收法</w:t>
      </w:r>
    </w:p>
    <w:p>
      <w:pPr>
        <w:ind w:firstLine="570"/>
        <w:rPr>
          <w:rFonts w:cs="宋体"/>
          <w:szCs w:val="21"/>
        </w:rPr>
      </w:pPr>
      <w:r>
        <w:rPr>
          <w:szCs w:val="21"/>
        </w:rPr>
        <w:t xml:space="preserve">GB/T 223.86   </w:t>
      </w:r>
      <w:r>
        <w:rPr>
          <w:szCs w:val="21"/>
        </w:rPr>
        <w:tab/>
      </w:r>
      <w:r>
        <w:rPr>
          <w:rFonts w:hint="eastAsia" w:cs="宋体"/>
          <w:szCs w:val="21"/>
        </w:rPr>
        <w:t>钢铁及合金总碳含量的测定感应炉燃烧后红外吸收法</w:t>
      </w:r>
    </w:p>
    <w:p>
      <w:pPr>
        <w:ind w:firstLine="570"/>
        <w:rPr>
          <w:szCs w:val="21"/>
        </w:rPr>
      </w:pPr>
      <w:r>
        <w:rPr>
          <w:szCs w:val="21"/>
        </w:rPr>
        <w:t xml:space="preserve">GB/T 226   </w:t>
      </w:r>
      <w:r>
        <w:rPr>
          <w:szCs w:val="21"/>
        </w:rPr>
        <w:tab/>
      </w:r>
      <w:r>
        <w:rPr>
          <w:rFonts w:hint="eastAsia"/>
          <w:szCs w:val="21"/>
        </w:rPr>
        <w:t>钢的低倍组织及缺陷酸蚀检验法</w:t>
      </w:r>
    </w:p>
    <w:p>
      <w:pPr>
        <w:ind w:firstLine="570"/>
        <w:rPr>
          <w:rFonts w:cs="宋体"/>
          <w:szCs w:val="21"/>
        </w:rPr>
      </w:pPr>
      <w:r>
        <w:rPr>
          <w:szCs w:val="21"/>
        </w:rPr>
        <w:t xml:space="preserve">GB/T 228.1    </w:t>
      </w:r>
      <w:r>
        <w:rPr>
          <w:szCs w:val="21"/>
        </w:rPr>
        <w:tab/>
      </w:r>
      <w:r>
        <w:rPr>
          <w:rFonts w:hint="eastAsia" w:cs="宋体"/>
          <w:szCs w:val="21"/>
        </w:rPr>
        <w:t>金属材料拉伸试验第</w:t>
      </w:r>
      <w:r>
        <w:rPr>
          <w:szCs w:val="21"/>
        </w:rPr>
        <w:t>1</w:t>
      </w:r>
      <w:r>
        <w:rPr>
          <w:rFonts w:hint="eastAsia" w:cs="宋体"/>
          <w:szCs w:val="21"/>
        </w:rPr>
        <w:t>部分：室温试验方法</w:t>
      </w:r>
    </w:p>
    <w:p>
      <w:pPr>
        <w:ind w:firstLine="570"/>
        <w:rPr>
          <w:szCs w:val="21"/>
        </w:rPr>
      </w:pPr>
      <w:r>
        <w:rPr>
          <w:szCs w:val="21"/>
        </w:rPr>
        <w:t>GB/T 228.2</w:t>
      </w:r>
      <w:r>
        <w:rPr>
          <w:rFonts w:hint="eastAsia"/>
          <w:szCs w:val="21"/>
        </w:rPr>
        <w:t xml:space="preserve"> </w:t>
      </w:r>
      <w:r>
        <w:rPr>
          <w:szCs w:val="21"/>
        </w:rPr>
        <w:t xml:space="preserve">   </w:t>
      </w:r>
      <w:r>
        <w:rPr>
          <w:szCs w:val="21"/>
        </w:rPr>
        <w:tab/>
      </w:r>
      <w:r>
        <w:rPr>
          <w:rFonts w:hint="eastAsia"/>
          <w:szCs w:val="21"/>
        </w:rPr>
        <w:t>金属材料 拉伸试验 第2部分：高温试验方法</w:t>
      </w:r>
    </w:p>
    <w:p>
      <w:pPr>
        <w:ind w:firstLine="570"/>
        <w:rPr>
          <w:rFonts w:cs="宋体"/>
          <w:szCs w:val="21"/>
        </w:rPr>
      </w:pPr>
      <w:r>
        <w:rPr>
          <w:szCs w:val="21"/>
        </w:rPr>
        <w:t xml:space="preserve">GB/T 230.1   </w:t>
      </w:r>
      <w:r>
        <w:rPr>
          <w:szCs w:val="21"/>
        </w:rPr>
        <w:tab/>
      </w:r>
      <w:r>
        <w:rPr>
          <w:rFonts w:hint="eastAsia" w:cs="宋体"/>
          <w:szCs w:val="21"/>
        </w:rPr>
        <w:t>金属材料洛氏硬度试验第</w:t>
      </w:r>
      <w:r>
        <w:rPr>
          <w:szCs w:val="21"/>
        </w:rPr>
        <w:t>1</w:t>
      </w:r>
      <w:r>
        <w:rPr>
          <w:rFonts w:hint="eastAsia" w:cs="宋体"/>
          <w:szCs w:val="21"/>
        </w:rPr>
        <w:t>部分：试验方法</w:t>
      </w:r>
    </w:p>
    <w:p>
      <w:pPr>
        <w:ind w:firstLine="570"/>
        <w:rPr>
          <w:szCs w:val="21"/>
        </w:rPr>
      </w:pPr>
      <w:r>
        <w:rPr>
          <w:szCs w:val="21"/>
        </w:rPr>
        <w:t xml:space="preserve">GB/T 241     </w:t>
      </w:r>
      <w:r>
        <w:rPr>
          <w:szCs w:val="21"/>
        </w:rPr>
        <w:tab/>
      </w:r>
      <w:r>
        <w:rPr>
          <w:rFonts w:hint="eastAsia" w:cs="宋体"/>
          <w:szCs w:val="21"/>
        </w:rPr>
        <w:t>金属管液压试验方法</w:t>
      </w:r>
    </w:p>
    <w:p>
      <w:pPr>
        <w:ind w:firstLine="570"/>
        <w:rPr>
          <w:szCs w:val="21"/>
        </w:rPr>
      </w:pPr>
      <w:r>
        <w:rPr>
          <w:szCs w:val="21"/>
        </w:rPr>
        <w:t xml:space="preserve">GB/T 242     </w:t>
      </w:r>
      <w:r>
        <w:rPr>
          <w:szCs w:val="21"/>
        </w:rPr>
        <w:tab/>
      </w:r>
      <w:r>
        <w:rPr>
          <w:rFonts w:hint="eastAsia" w:cs="宋体"/>
          <w:szCs w:val="21"/>
        </w:rPr>
        <w:t>金属管扩口试验方法</w:t>
      </w:r>
    </w:p>
    <w:p>
      <w:pPr>
        <w:ind w:firstLine="570"/>
        <w:rPr>
          <w:rFonts w:cs="宋体"/>
          <w:szCs w:val="21"/>
        </w:rPr>
      </w:pPr>
      <w:r>
        <w:rPr>
          <w:szCs w:val="21"/>
        </w:rPr>
        <w:t xml:space="preserve">GB/T 246   </w:t>
      </w:r>
      <w:r>
        <w:rPr>
          <w:szCs w:val="21"/>
        </w:rPr>
        <w:tab/>
      </w:r>
      <w:r>
        <w:rPr>
          <w:rFonts w:hint="eastAsia" w:cs="宋体"/>
          <w:szCs w:val="21"/>
        </w:rPr>
        <w:t>金属材料管压扁试验方法</w:t>
      </w:r>
    </w:p>
    <w:p>
      <w:pPr>
        <w:ind w:firstLine="570"/>
        <w:rPr>
          <w:szCs w:val="21"/>
        </w:rPr>
      </w:pPr>
      <w:r>
        <w:rPr>
          <w:szCs w:val="21"/>
        </w:rPr>
        <w:t xml:space="preserve">GB/T 1979   </w:t>
      </w:r>
      <w:r>
        <w:rPr>
          <w:szCs w:val="21"/>
        </w:rPr>
        <w:tab/>
      </w:r>
      <w:r>
        <w:rPr>
          <w:rFonts w:hint="eastAsia"/>
          <w:szCs w:val="21"/>
        </w:rPr>
        <w:t>结构钢低倍组织缺陷评级图</w:t>
      </w:r>
    </w:p>
    <w:p>
      <w:pPr>
        <w:ind w:firstLine="570"/>
        <w:rPr>
          <w:rFonts w:cs="宋体"/>
          <w:szCs w:val="21"/>
        </w:rPr>
      </w:pPr>
      <w:r>
        <w:rPr>
          <w:szCs w:val="21"/>
        </w:rPr>
        <w:t xml:space="preserve">GB/T 2102  </w:t>
      </w:r>
      <w:r>
        <w:rPr>
          <w:szCs w:val="21"/>
        </w:rPr>
        <w:tab/>
      </w:r>
      <w:r>
        <w:rPr>
          <w:rFonts w:hint="eastAsia" w:cs="宋体"/>
          <w:szCs w:val="21"/>
        </w:rPr>
        <w:t>钢管的验收、包装、标志和质量证明书</w:t>
      </w:r>
    </w:p>
    <w:p>
      <w:pPr>
        <w:ind w:firstLine="570"/>
        <w:rPr>
          <w:szCs w:val="21"/>
        </w:rPr>
      </w:pPr>
      <w:r>
        <w:rPr>
          <w:szCs w:val="21"/>
        </w:rPr>
        <w:t xml:space="preserve">GB/T 4162  </w:t>
      </w:r>
      <w:r>
        <w:rPr>
          <w:szCs w:val="21"/>
        </w:rPr>
        <w:tab/>
      </w:r>
      <w:r>
        <w:rPr>
          <w:rFonts w:hint="eastAsia"/>
          <w:szCs w:val="21"/>
        </w:rPr>
        <w:t>锻轧钢棒超声检测方法</w:t>
      </w:r>
    </w:p>
    <w:p>
      <w:pPr>
        <w:ind w:firstLine="570"/>
        <w:rPr>
          <w:szCs w:val="21"/>
        </w:rPr>
      </w:pPr>
      <w:r>
        <w:rPr>
          <w:szCs w:val="21"/>
        </w:rPr>
        <w:t>GB/T 4340.1</w:t>
      </w:r>
      <w:r>
        <w:rPr>
          <w:rFonts w:hint="eastAsia"/>
          <w:szCs w:val="21"/>
        </w:rPr>
        <w:t xml:space="preserve">  </w:t>
      </w:r>
      <w:r>
        <w:rPr>
          <w:szCs w:val="21"/>
        </w:rPr>
        <w:tab/>
      </w:r>
      <w:r>
        <w:rPr>
          <w:rFonts w:hint="eastAsia"/>
          <w:szCs w:val="21"/>
        </w:rPr>
        <w:t>金属材料 维氏硬度试验 第一部分：试验方法</w:t>
      </w:r>
    </w:p>
    <w:p>
      <w:pPr>
        <w:ind w:firstLine="570"/>
        <w:rPr>
          <w:szCs w:val="21"/>
        </w:rPr>
      </w:pPr>
      <w:r>
        <w:rPr>
          <w:szCs w:val="21"/>
        </w:rPr>
        <w:t xml:space="preserve">GB/T 5777  </w:t>
      </w:r>
      <w:r>
        <w:rPr>
          <w:szCs w:val="21"/>
        </w:rPr>
        <w:tab/>
      </w:r>
      <w:r>
        <w:rPr>
          <w:rFonts w:hint="eastAsia"/>
          <w:szCs w:val="21"/>
        </w:rPr>
        <w:t>无缝和焊接(埋弧焊除外)钢管纵向和∕或横向缺欠的全圆周自动超声检测</w:t>
      </w:r>
    </w:p>
    <w:p>
      <w:pPr>
        <w:ind w:firstLine="570"/>
        <w:rPr>
          <w:rFonts w:cs="宋体"/>
          <w:szCs w:val="21"/>
        </w:rPr>
      </w:pPr>
      <w:r>
        <w:rPr>
          <w:szCs w:val="21"/>
        </w:rPr>
        <w:t xml:space="preserve">GB/T 6394  </w:t>
      </w:r>
      <w:r>
        <w:rPr>
          <w:szCs w:val="21"/>
        </w:rPr>
        <w:tab/>
      </w:r>
      <w:r>
        <w:rPr>
          <w:rFonts w:hint="eastAsia" w:cs="宋体"/>
          <w:szCs w:val="21"/>
        </w:rPr>
        <w:t>金属平均晶粒度测定方法</w:t>
      </w:r>
    </w:p>
    <w:p>
      <w:pPr>
        <w:ind w:firstLine="570"/>
        <w:rPr>
          <w:szCs w:val="21"/>
        </w:rPr>
      </w:pPr>
      <w:r>
        <w:rPr>
          <w:szCs w:val="21"/>
        </w:rPr>
        <w:t xml:space="preserve">GB/T 7735  </w:t>
      </w:r>
      <w:r>
        <w:rPr>
          <w:szCs w:val="21"/>
        </w:rPr>
        <w:tab/>
      </w:r>
      <w:r>
        <w:rPr>
          <w:rFonts w:hint="eastAsia"/>
          <w:szCs w:val="21"/>
        </w:rPr>
        <w:t>无缝和焊接(埋弧焊除外)钢管缺欠的自动涡流检测</w:t>
      </w:r>
    </w:p>
    <w:p>
      <w:pPr>
        <w:ind w:firstLine="570"/>
        <w:rPr>
          <w:rFonts w:cs="宋体"/>
          <w:szCs w:val="21"/>
        </w:rPr>
      </w:pPr>
      <w:r>
        <w:rPr>
          <w:szCs w:val="21"/>
        </w:rPr>
        <w:t xml:space="preserve">GB/T 8170  </w:t>
      </w:r>
      <w:r>
        <w:rPr>
          <w:szCs w:val="21"/>
        </w:rPr>
        <w:tab/>
      </w:r>
      <w:r>
        <w:rPr>
          <w:rFonts w:hint="eastAsia"/>
          <w:szCs w:val="21"/>
        </w:rPr>
        <w:t>数值修约规则与极限数值的表示和判定</w:t>
      </w:r>
    </w:p>
    <w:p>
      <w:pPr>
        <w:ind w:firstLine="570"/>
        <w:rPr>
          <w:szCs w:val="21"/>
        </w:rPr>
      </w:pPr>
      <w:r>
        <w:rPr>
          <w:rFonts w:hint="eastAsia" w:cs="宋体"/>
          <w:szCs w:val="21"/>
        </w:rPr>
        <w:t xml:space="preserve">GB/T 10561  </w:t>
      </w:r>
      <w:r>
        <w:rPr>
          <w:rFonts w:cs="宋体"/>
          <w:szCs w:val="21"/>
        </w:rPr>
        <w:tab/>
      </w:r>
      <w:r>
        <w:rPr>
          <w:rFonts w:hint="eastAsia" w:cs="宋体"/>
          <w:szCs w:val="21"/>
        </w:rPr>
        <w:t>钢中非金属夹杂物含量的测定 标准评级图显微检验法</w:t>
      </w:r>
    </w:p>
    <w:p>
      <w:pPr>
        <w:ind w:firstLine="570"/>
        <w:rPr>
          <w:szCs w:val="21"/>
        </w:rPr>
      </w:pPr>
      <w:r>
        <w:rPr>
          <w:szCs w:val="21"/>
        </w:rPr>
        <w:t xml:space="preserve">GB/T 11170  </w:t>
      </w:r>
      <w:r>
        <w:rPr>
          <w:szCs w:val="21"/>
        </w:rPr>
        <w:tab/>
      </w:r>
      <w:r>
        <w:rPr>
          <w:rFonts w:hint="eastAsia"/>
          <w:szCs w:val="21"/>
        </w:rPr>
        <w:t>不锈钢 多元素含量的测定 火花放电原子发射光谱法(常规法)</w:t>
      </w:r>
    </w:p>
    <w:p>
      <w:pPr>
        <w:ind w:firstLine="570"/>
        <w:rPr>
          <w:szCs w:val="21"/>
        </w:rPr>
      </w:pPr>
      <w:r>
        <w:rPr>
          <w:szCs w:val="21"/>
        </w:rPr>
        <w:t xml:space="preserve">GB/T 11261  </w:t>
      </w:r>
      <w:r>
        <w:rPr>
          <w:szCs w:val="21"/>
        </w:rPr>
        <w:tab/>
      </w:r>
      <w:r>
        <w:fldChar w:fldCharType="begin"/>
      </w:r>
      <w:r>
        <w:instrText xml:space="preserve"> HYPERLINK "https://std.samr.gov.cn/gb/search/gbDetailed?id=71F772D7FE6BD3A7E05397BE0A0AB82A" \t "https://std.samr.gov.cn/search/stdPage?q=GB/_blank" </w:instrText>
      </w:r>
      <w:r>
        <w:fldChar w:fldCharType="separate"/>
      </w:r>
      <w:r>
        <w:rPr>
          <w:szCs w:val="21"/>
        </w:rPr>
        <w:t>钢铁 氧含量的测定 脉冲加热惰气熔融-红外线吸收法</w:t>
      </w:r>
      <w:r>
        <w:rPr>
          <w:szCs w:val="21"/>
        </w:rPr>
        <w:fldChar w:fldCharType="end"/>
      </w:r>
    </w:p>
    <w:p>
      <w:pPr>
        <w:ind w:firstLine="570"/>
        <w:rPr>
          <w:szCs w:val="21"/>
        </w:rPr>
      </w:pPr>
      <w:r>
        <w:rPr>
          <w:szCs w:val="21"/>
        </w:rPr>
        <w:t xml:space="preserve">GB/T 20066  </w:t>
      </w:r>
      <w:r>
        <w:rPr>
          <w:szCs w:val="21"/>
        </w:rPr>
        <w:tab/>
      </w:r>
      <w:r>
        <w:rPr>
          <w:rFonts w:hint="eastAsia"/>
          <w:szCs w:val="21"/>
        </w:rPr>
        <w:t>钢和铁 化学成分测定用试样的取样和制样方法</w:t>
      </w:r>
    </w:p>
    <w:p>
      <w:pPr>
        <w:ind w:firstLine="570"/>
        <w:rPr>
          <w:szCs w:val="21"/>
        </w:rPr>
      </w:pPr>
      <w:r>
        <w:rPr>
          <w:szCs w:val="21"/>
        </w:rPr>
        <w:t xml:space="preserve">GB/T 20123  </w:t>
      </w:r>
      <w:r>
        <w:rPr>
          <w:szCs w:val="21"/>
        </w:rPr>
        <w:tab/>
      </w:r>
      <w:r>
        <w:rPr>
          <w:rFonts w:hint="eastAsia"/>
          <w:szCs w:val="21"/>
        </w:rPr>
        <w:t>钢铁 总碳硫含量的测定 高频感应炉燃烧后红外吸收法（常规方法）</w:t>
      </w:r>
    </w:p>
    <w:p>
      <w:pPr>
        <w:ind w:firstLine="570"/>
        <w:rPr>
          <w:szCs w:val="21"/>
        </w:rPr>
      </w:pPr>
      <w:r>
        <w:rPr>
          <w:szCs w:val="21"/>
        </w:rPr>
        <w:t>GB/T 20124</w:t>
      </w:r>
      <w:r>
        <w:rPr>
          <w:rFonts w:hint="eastAsia"/>
          <w:szCs w:val="21"/>
        </w:rPr>
        <w:t xml:space="preserve">  </w:t>
      </w:r>
      <w:r>
        <w:rPr>
          <w:szCs w:val="21"/>
        </w:rPr>
        <w:tab/>
      </w:r>
      <w:r>
        <w:rPr>
          <w:rFonts w:hint="eastAsia"/>
          <w:szCs w:val="21"/>
        </w:rPr>
        <w:t>钢铁 氮含量的测定 惰性气体熔融热导法（常规方法）</w:t>
      </w:r>
    </w:p>
    <w:p>
      <w:pPr>
        <w:ind w:firstLine="570"/>
        <w:rPr>
          <w:szCs w:val="21"/>
        </w:rPr>
      </w:pPr>
      <w:r>
        <w:rPr>
          <w:rFonts w:hint="eastAsia"/>
          <w:szCs w:val="21"/>
        </w:rPr>
        <w:t xml:space="preserve">GB/T 30062  </w:t>
      </w:r>
      <w:r>
        <w:rPr>
          <w:szCs w:val="21"/>
        </w:rPr>
        <w:tab/>
      </w:r>
      <w:r>
        <w:fldChar w:fldCharType="begin"/>
      </w:r>
      <w:r>
        <w:instrText xml:space="preserve"> HYPERLINK "https://std.samr.gov.cn/gb/search/gbDetailed?id=71F772D7E99BD3A7E05397BE0A0AB82A" \t "https://std.samr.gov.cn/search/stdPage?q=GB/_blank" </w:instrText>
      </w:r>
      <w:r>
        <w:fldChar w:fldCharType="separate"/>
      </w:r>
      <w:r>
        <w:rPr>
          <w:szCs w:val="21"/>
        </w:rPr>
        <w:t>钢管术语</w:t>
      </w:r>
      <w:r>
        <w:rPr>
          <w:szCs w:val="21"/>
        </w:rPr>
        <w:fldChar w:fldCharType="end"/>
      </w:r>
    </w:p>
    <w:p>
      <w:pPr>
        <w:ind w:firstLine="570"/>
        <w:rPr>
          <w:szCs w:val="21"/>
        </w:rPr>
      </w:pPr>
      <w:r>
        <w:rPr>
          <w:rFonts w:hint="eastAsia"/>
          <w:szCs w:val="21"/>
        </w:rPr>
        <w:t>Y</w:t>
      </w:r>
      <w:r>
        <w:rPr>
          <w:szCs w:val="21"/>
        </w:rPr>
        <w:t>B/T 4307</w:t>
      </w:r>
      <w:r>
        <w:rPr>
          <w:rFonts w:hint="eastAsia"/>
          <w:szCs w:val="21"/>
        </w:rPr>
        <w:t xml:space="preserve">  </w:t>
      </w:r>
      <w:r>
        <w:rPr>
          <w:szCs w:val="21"/>
        </w:rPr>
        <w:tab/>
      </w:r>
      <w:r>
        <w:rPr>
          <w:rFonts w:hint="eastAsia"/>
          <w:szCs w:val="21"/>
        </w:rPr>
        <w:t>钢铁及合金 氧、氮和氢含量的测定 脉冲加热惰气熔融-飞行时间质谱法（常规法）</w:t>
      </w:r>
    </w:p>
    <w:p>
      <w:pPr>
        <w:pStyle w:val="19"/>
        <w:numPr>
          <w:ilvl w:val="0"/>
          <w:numId w:val="3"/>
        </w:numPr>
        <w:spacing w:before="312" w:after="312"/>
        <w:ind w:left="0" w:firstLine="0"/>
        <w:rPr>
          <w:rFonts w:ascii="Times New Roman"/>
        </w:rPr>
      </w:pPr>
      <w:r>
        <w:rPr>
          <w:rFonts w:hint="eastAsia" w:ascii="Times New Roman"/>
        </w:rPr>
        <w:t>术语和定义</w:t>
      </w:r>
    </w:p>
    <w:p>
      <w:pPr>
        <w:spacing w:line="360" w:lineRule="exact"/>
        <w:ind w:firstLine="420" w:firstLineChars="200"/>
      </w:pPr>
      <w:r>
        <w:rPr>
          <w:rFonts w:hint="eastAsia"/>
        </w:rPr>
        <w:t>GB/T 30062 界定的术语和定义适用于本文件。</w:t>
      </w:r>
    </w:p>
    <w:p>
      <w:pPr>
        <w:pStyle w:val="19"/>
        <w:numPr>
          <w:ilvl w:val="0"/>
          <w:numId w:val="3"/>
        </w:numPr>
        <w:tabs>
          <w:tab w:val="left" w:pos="1301"/>
        </w:tabs>
        <w:spacing w:before="312" w:after="312"/>
        <w:ind w:left="0" w:firstLine="0"/>
        <w:rPr>
          <w:rFonts w:ascii="Times New Roman"/>
        </w:rPr>
      </w:pPr>
      <w:r>
        <w:rPr>
          <w:rFonts w:hint="eastAsia" w:ascii="Times New Roman"/>
        </w:rPr>
        <w:t>分类和代号</w:t>
      </w:r>
    </w:p>
    <w:p>
      <w:pPr>
        <w:spacing w:line="360" w:lineRule="exact"/>
        <w:ind w:firstLine="420" w:firstLineChars="200"/>
      </w:pPr>
      <w:r>
        <w:rPr>
          <w:rFonts w:hint="eastAsia"/>
        </w:rPr>
        <w:t>钢管按交货状态分类和代号如下：</w:t>
      </w:r>
    </w:p>
    <w:p>
      <w:pPr>
        <w:pStyle w:val="44"/>
        <w:numPr>
          <w:ilvl w:val="0"/>
          <w:numId w:val="4"/>
        </w:numPr>
      </w:pPr>
      <w:r>
        <w:rPr>
          <w:rFonts w:hint="eastAsia"/>
        </w:rPr>
        <w:t xml:space="preserve">冷加工/硬状态；    </w:t>
      </w:r>
      <w:r>
        <w:t xml:space="preserve"> </w:t>
      </w:r>
      <w:r>
        <w:rPr>
          <w:rFonts w:hint="eastAsia"/>
        </w:rPr>
        <w:t xml:space="preserve"> </w:t>
      </w:r>
      <w:r>
        <w:tab/>
      </w:r>
      <w:r>
        <w:rPr>
          <w:rFonts w:hint="eastAsia"/>
        </w:rPr>
        <w:t>+C；</w:t>
      </w:r>
    </w:p>
    <w:p>
      <w:pPr>
        <w:pStyle w:val="44"/>
        <w:numPr>
          <w:ilvl w:val="0"/>
          <w:numId w:val="4"/>
        </w:numPr>
      </w:pPr>
      <w:r>
        <w:rPr>
          <w:rFonts w:hint="eastAsia"/>
        </w:rPr>
        <w:t xml:space="preserve">冷加工/软状态；  </w:t>
      </w:r>
      <w:r>
        <w:t xml:space="preserve"> </w:t>
      </w:r>
      <w:r>
        <w:rPr>
          <w:rFonts w:hint="eastAsia"/>
        </w:rPr>
        <w:t xml:space="preserve">   </w:t>
      </w:r>
      <w:r>
        <w:tab/>
      </w:r>
      <w:r>
        <w:rPr>
          <w:rFonts w:hint="eastAsia"/>
        </w:rPr>
        <w:t>+LC；</w:t>
      </w:r>
    </w:p>
    <w:p>
      <w:pPr>
        <w:pStyle w:val="44"/>
        <w:numPr>
          <w:ilvl w:val="0"/>
          <w:numId w:val="4"/>
        </w:numPr>
      </w:pPr>
      <w:r>
        <w:rPr>
          <w:rFonts w:hint="eastAsia"/>
        </w:rPr>
        <w:t xml:space="preserve">消除应力退火状态；     </w:t>
      </w:r>
      <w:r>
        <w:tab/>
      </w:r>
      <w:r>
        <w:rPr>
          <w:rFonts w:hint="eastAsia"/>
        </w:rPr>
        <w:t>+SR；</w:t>
      </w:r>
    </w:p>
    <w:p>
      <w:pPr>
        <w:pStyle w:val="44"/>
        <w:numPr>
          <w:ilvl w:val="0"/>
          <w:numId w:val="4"/>
        </w:numPr>
      </w:pPr>
      <w:r>
        <w:rPr>
          <w:rFonts w:hint="eastAsia"/>
        </w:rPr>
        <w:t xml:space="preserve">退火状态； </w:t>
      </w:r>
      <w:r>
        <w:t xml:space="preserve">    </w:t>
      </w:r>
      <w:r>
        <w:rPr>
          <w:rFonts w:hint="eastAsia"/>
        </w:rPr>
        <w:t xml:space="preserve"> </w:t>
      </w:r>
      <w:r>
        <w:t xml:space="preserve">  </w:t>
      </w:r>
      <w:r>
        <w:rPr>
          <w:rFonts w:hint="eastAsia"/>
        </w:rPr>
        <w:t xml:space="preserve">   </w:t>
      </w:r>
      <w:r>
        <w:tab/>
      </w:r>
      <w:r>
        <w:rPr>
          <w:rFonts w:hint="eastAsia"/>
        </w:rPr>
        <w:t>+A；</w:t>
      </w:r>
    </w:p>
    <w:p>
      <w:pPr>
        <w:pStyle w:val="44"/>
        <w:numPr>
          <w:ilvl w:val="0"/>
          <w:numId w:val="4"/>
        </w:numPr>
      </w:pPr>
      <w:r>
        <w:rPr>
          <w:rFonts w:hint="eastAsia"/>
        </w:rPr>
        <w:t xml:space="preserve">正火状态；    </w:t>
      </w:r>
      <w:r>
        <w:t xml:space="preserve">      </w:t>
      </w:r>
      <w:r>
        <w:rPr>
          <w:rFonts w:hint="eastAsia"/>
        </w:rPr>
        <w:t xml:space="preserve"> </w:t>
      </w:r>
      <w:r>
        <w:tab/>
      </w:r>
      <w:r>
        <w:rPr>
          <w:rFonts w:hint="eastAsia"/>
        </w:rPr>
        <w:t>+N。</w:t>
      </w:r>
    </w:p>
    <w:p>
      <w:pPr>
        <w:pStyle w:val="19"/>
        <w:numPr>
          <w:ilvl w:val="0"/>
          <w:numId w:val="3"/>
        </w:numPr>
        <w:spacing w:before="312" w:after="312"/>
        <w:ind w:left="0" w:firstLine="0"/>
        <w:rPr>
          <w:rFonts w:ascii="Times New Roman"/>
        </w:rPr>
      </w:pPr>
      <w:r>
        <w:rPr>
          <w:rFonts w:hint="eastAsia" w:ascii="Times New Roman"/>
        </w:rPr>
        <w:t>订货内容</w:t>
      </w:r>
    </w:p>
    <w:p>
      <w:pPr>
        <w:spacing w:line="360" w:lineRule="exact"/>
        <w:ind w:firstLine="420" w:firstLineChars="200"/>
        <w:rPr>
          <w:rFonts w:ascii="宋体" w:hAnsi="宋体"/>
        </w:rPr>
      </w:pPr>
      <w:r>
        <w:rPr>
          <w:rFonts w:hint="eastAsia" w:ascii="宋体" w:hAnsi="宋体"/>
        </w:rPr>
        <w:t>按本文件订货的合同或订单应包括下列内容：</w:t>
      </w:r>
    </w:p>
    <w:p>
      <w:pPr>
        <w:numPr>
          <w:ilvl w:val="0"/>
          <w:numId w:val="5"/>
        </w:numPr>
        <w:spacing w:line="360" w:lineRule="exact"/>
        <w:rPr>
          <w:rFonts w:ascii="宋体" w:hAnsi="宋体"/>
        </w:rPr>
      </w:pPr>
      <w:r>
        <w:rPr>
          <w:rFonts w:hint="eastAsia" w:ascii="宋体" w:hAnsi="宋体"/>
        </w:rPr>
        <w:t>产品名称；</w:t>
      </w:r>
    </w:p>
    <w:p>
      <w:pPr>
        <w:numPr>
          <w:ilvl w:val="0"/>
          <w:numId w:val="5"/>
        </w:numPr>
        <w:spacing w:line="360" w:lineRule="exact"/>
        <w:rPr>
          <w:rFonts w:ascii="宋体" w:hAnsi="宋体"/>
        </w:rPr>
      </w:pPr>
      <w:r>
        <w:rPr>
          <w:rFonts w:hint="eastAsia" w:ascii="宋体" w:hAnsi="宋体"/>
        </w:rPr>
        <w:t>本文件编号；</w:t>
      </w:r>
    </w:p>
    <w:p>
      <w:pPr>
        <w:numPr>
          <w:ilvl w:val="0"/>
          <w:numId w:val="5"/>
        </w:numPr>
        <w:spacing w:line="360" w:lineRule="exact"/>
        <w:rPr>
          <w:rFonts w:ascii="宋体" w:hAnsi="宋体"/>
        </w:rPr>
      </w:pPr>
      <w:r>
        <w:rPr>
          <w:rFonts w:hint="eastAsia" w:ascii="宋体" w:hAnsi="宋体"/>
        </w:rPr>
        <w:t>牌号；</w:t>
      </w:r>
    </w:p>
    <w:p>
      <w:pPr>
        <w:numPr>
          <w:ilvl w:val="0"/>
          <w:numId w:val="5"/>
        </w:numPr>
        <w:spacing w:line="360" w:lineRule="exact"/>
        <w:rPr>
          <w:rFonts w:ascii="宋体" w:hAnsi="宋体"/>
        </w:rPr>
      </w:pPr>
      <w:r>
        <w:rPr>
          <w:rFonts w:hint="eastAsia" w:ascii="宋体" w:hAnsi="宋体"/>
        </w:rPr>
        <w:t>尺寸规格；</w:t>
      </w:r>
    </w:p>
    <w:p>
      <w:pPr>
        <w:numPr>
          <w:ilvl w:val="0"/>
          <w:numId w:val="5"/>
        </w:numPr>
        <w:spacing w:line="360" w:lineRule="exact"/>
        <w:rPr>
          <w:rFonts w:ascii="宋体" w:hAnsi="宋体"/>
        </w:rPr>
      </w:pPr>
      <w:r>
        <w:rPr>
          <w:rFonts w:hint="eastAsia" w:ascii="宋体" w:hAnsi="宋体"/>
        </w:rPr>
        <w:t>订购的数量（总重量或总长度）；</w:t>
      </w:r>
    </w:p>
    <w:p>
      <w:pPr>
        <w:numPr>
          <w:ilvl w:val="0"/>
          <w:numId w:val="5"/>
        </w:numPr>
        <w:spacing w:line="360" w:lineRule="exact"/>
        <w:rPr>
          <w:rFonts w:ascii="宋体" w:hAnsi="宋体"/>
        </w:rPr>
      </w:pPr>
      <w:r>
        <w:rPr>
          <w:rFonts w:hint="eastAsia" w:ascii="宋体" w:hAnsi="宋体"/>
        </w:rPr>
        <w:t>交货状态；</w:t>
      </w:r>
    </w:p>
    <w:p>
      <w:pPr>
        <w:numPr>
          <w:ilvl w:val="0"/>
          <w:numId w:val="5"/>
        </w:numPr>
        <w:spacing w:line="360" w:lineRule="exact"/>
        <w:rPr>
          <w:rFonts w:ascii="宋体" w:hAnsi="宋体"/>
        </w:rPr>
      </w:pPr>
      <w:r>
        <w:rPr>
          <w:rFonts w:hint="eastAsia" w:ascii="宋体" w:hAnsi="宋体"/>
        </w:rPr>
        <w:t>其它特殊要求。</w:t>
      </w:r>
    </w:p>
    <w:p>
      <w:pPr>
        <w:pStyle w:val="19"/>
        <w:numPr>
          <w:ilvl w:val="0"/>
          <w:numId w:val="3"/>
        </w:numPr>
        <w:spacing w:before="312" w:after="312"/>
        <w:ind w:left="0" w:firstLine="0"/>
        <w:rPr>
          <w:rFonts w:ascii="Times New Roman"/>
        </w:rPr>
      </w:pPr>
      <w:r>
        <w:rPr>
          <w:rFonts w:hint="eastAsia" w:ascii="Times New Roman"/>
        </w:rPr>
        <w:t>尺寸、外形及重量</w:t>
      </w:r>
    </w:p>
    <w:p>
      <w:pPr>
        <w:pStyle w:val="22"/>
        <w:numPr>
          <w:ilvl w:val="1"/>
          <w:numId w:val="3"/>
        </w:numPr>
        <w:spacing w:before="156" w:after="156"/>
        <w:ind w:left="0" w:firstLine="0"/>
        <w:rPr>
          <w:rFonts w:ascii="Times New Roman"/>
          <w:lang w:val="zh-CN"/>
        </w:rPr>
      </w:pPr>
      <w:r>
        <w:rPr>
          <w:rFonts w:hint="eastAsia" w:ascii="Times New Roman"/>
        </w:rPr>
        <w:t>尺寸</w:t>
      </w:r>
      <w:r>
        <w:rPr>
          <w:rFonts w:hint="eastAsia" w:ascii="Times New Roman"/>
          <w:lang w:val="zh-CN"/>
        </w:rPr>
        <w:t>及允许偏差</w:t>
      </w:r>
    </w:p>
    <w:p>
      <w:pPr>
        <w:pStyle w:val="27"/>
        <w:numPr>
          <w:ilvl w:val="2"/>
          <w:numId w:val="3"/>
        </w:numPr>
        <w:spacing w:before="156" w:after="156"/>
        <w:ind w:left="0" w:firstLine="0"/>
        <w:rPr>
          <w:rFonts w:ascii="宋体" w:hAnsi="宋体" w:eastAsia="宋体" w:cs="宋体"/>
        </w:rPr>
      </w:pPr>
      <w:r>
        <w:rPr>
          <w:rFonts w:hint="eastAsia" w:ascii="宋体" w:hAnsi="宋体" w:eastAsia="宋体" w:cs="宋体"/>
        </w:rPr>
        <w:t>钢管通常按公称外径（</w:t>
      </w:r>
      <w:r>
        <w:rPr>
          <w:rFonts w:hint="eastAsia" w:ascii="宋体" w:hAnsi="宋体" w:eastAsia="宋体" w:cs="宋体"/>
          <w:i/>
        </w:rPr>
        <w:t>D</w:t>
      </w:r>
      <w:r>
        <w:rPr>
          <w:rFonts w:hint="eastAsia" w:ascii="宋体" w:hAnsi="宋体" w:eastAsia="宋体" w:cs="宋体"/>
        </w:rPr>
        <w:t>）和公称壁厚（</w:t>
      </w:r>
      <w:r>
        <w:rPr>
          <w:rFonts w:hint="eastAsia" w:ascii="宋体" w:hAnsi="宋体" w:eastAsia="宋体" w:cs="宋体"/>
          <w:i/>
        </w:rPr>
        <w:t>S</w:t>
      </w:r>
      <w:r>
        <w:rPr>
          <w:rFonts w:hint="eastAsia" w:ascii="宋体" w:hAnsi="宋体" w:eastAsia="宋体" w:cs="宋体"/>
        </w:rPr>
        <w:t>）交货。根据需方要求，经供需双方协商，钢管也可按公称外径和公称内径（</w:t>
      </w:r>
      <w:r>
        <w:rPr>
          <w:rFonts w:hint="eastAsia" w:ascii="宋体" w:hAnsi="宋体" w:eastAsia="宋体" w:cs="宋体"/>
          <w:i/>
        </w:rPr>
        <w:t>d</w:t>
      </w:r>
      <w:r>
        <w:rPr>
          <w:rFonts w:hint="eastAsia" w:ascii="宋体" w:hAnsi="宋体" w:eastAsia="宋体" w:cs="宋体"/>
        </w:rPr>
        <w:t>）或公称内径和公称壁厚交货。</w:t>
      </w:r>
    </w:p>
    <w:p>
      <w:pPr>
        <w:pStyle w:val="27"/>
        <w:numPr>
          <w:ilvl w:val="2"/>
          <w:numId w:val="3"/>
        </w:numPr>
        <w:spacing w:before="156" w:after="156"/>
        <w:ind w:left="0" w:firstLine="0"/>
        <w:rPr>
          <w:rFonts w:ascii="宋体" w:hAnsi="宋体" w:eastAsia="宋体" w:cs="宋体"/>
        </w:rPr>
      </w:pPr>
      <w:r>
        <w:rPr>
          <w:rFonts w:hint="eastAsia" w:ascii="宋体" w:hAnsi="宋体" w:eastAsia="宋体" w:cs="宋体"/>
        </w:rPr>
        <w:t>钢管的公称外径和公称壁厚的允许偏差应符合表1和表2的规定。</w:t>
      </w:r>
    </w:p>
    <w:p>
      <w:pPr>
        <w:pStyle w:val="2"/>
        <w:keepNext/>
        <w:jc w:val="center"/>
        <w:rPr>
          <w:rFonts w:ascii="黑体" w:hAnsi="Calibri" w:cs="Times New Roman"/>
          <w:sz w:val="21"/>
          <w:szCs w:val="21"/>
        </w:rPr>
      </w:pPr>
      <w:bookmarkStart w:id="7" w:name="_Ref153195362"/>
      <w:r>
        <w:rPr>
          <w:rFonts w:hint="eastAsia" w:ascii="黑体" w:hAnsi="Calibri" w:cs="Times New Roman"/>
          <w:sz w:val="21"/>
          <w:szCs w:val="21"/>
        </w:rPr>
        <w:t xml:space="preserve">表 </w:t>
      </w:r>
      <w:r>
        <w:rPr>
          <w:rFonts w:ascii="黑体" w:hAnsi="Calibri" w:cs="Times New Roman"/>
          <w:sz w:val="21"/>
          <w:szCs w:val="21"/>
        </w:rPr>
        <w:fldChar w:fldCharType="begin"/>
      </w:r>
      <w:r>
        <w:rPr>
          <w:rFonts w:ascii="黑体" w:hAnsi="Calibri" w:cs="Times New Roman"/>
          <w:sz w:val="21"/>
          <w:szCs w:val="21"/>
        </w:rPr>
        <w:instrText xml:space="preserve"> </w:instrText>
      </w:r>
      <w:r>
        <w:rPr>
          <w:rFonts w:hint="eastAsia" w:ascii="黑体" w:hAnsi="Calibri" w:cs="Times New Roman"/>
          <w:sz w:val="21"/>
          <w:szCs w:val="21"/>
        </w:rPr>
        <w:instrText xml:space="preserve">SEQ 表 \* ARABIC</w:instrText>
      </w:r>
      <w:r>
        <w:rPr>
          <w:rFonts w:ascii="黑体" w:hAnsi="Calibri" w:cs="Times New Roman"/>
          <w:sz w:val="21"/>
          <w:szCs w:val="21"/>
        </w:rPr>
        <w:instrText xml:space="preserve"> </w:instrText>
      </w:r>
      <w:r>
        <w:rPr>
          <w:rFonts w:ascii="黑体" w:hAnsi="Calibri" w:cs="Times New Roman"/>
          <w:sz w:val="21"/>
          <w:szCs w:val="21"/>
        </w:rPr>
        <w:fldChar w:fldCharType="separate"/>
      </w:r>
      <w:r>
        <w:rPr>
          <w:rFonts w:ascii="黑体" w:hAnsi="Calibri" w:cs="Times New Roman"/>
          <w:sz w:val="21"/>
          <w:szCs w:val="21"/>
        </w:rPr>
        <w:t>1</w:t>
      </w:r>
      <w:r>
        <w:rPr>
          <w:rFonts w:ascii="黑体" w:hAnsi="Calibri" w:cs="Times New Roman"/>
          <w:sz w:val="21"/>
          <w:szCs w:val="21"/>
        </w:rPr>
        <w:fldChar w:fldCharType="end"/>
      </w:r>
      <w:bookmarkEnd w:id="7"/>
      <w:r>
        <w:rPr>
          <w:rFonts w:ascii="黑体" w:hAnsi="Calibri" w:cs="Times New Roman"/>
          <w:sz w:val="21"/>
          <w:szCs w:val="21"/>
        </w:rPr>
        <w:t xml:space="preserve">  </w:t>
      </w:r>
      <w:r>
        <w:rPr>
          <w:rFonts w:hint="eastAsia" w:ascii="黑体" w:hAnsi="Calibri" w:cs="Times New Roman"/>
          <w:sz w:val="21"/>
          <w:szCs w:val="21"/>
        </w:rPr>
        <w:t>外径允许偏差</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2"/>
        <w:gridCol w:w="4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2499" w:type="pct"/>
            <w:vAlign w:val="center"/>
          </w:tcPr>
          <w:p>
            <w:pPr>
              <w:jc w:val="center"/>
              <w:rPr>
                <w:sz w:val="18"/>
                <w:szCs w:val="18"/>
              </w:rPr>
            </w:pPr>
            <w:r>
              <w:rPr>
                <w:sz w:val="18"/>
                <w:szCs w:val="18"/>
              </w:rPr>
              <w:t>外径</w:t>
            </w:r>
            <w:r>
              <w:rPr>
                <w:rFonts w:hint="eastAsia"/>
                <w:sz w:val="18"/>
                <w:szCs w:val="18"/>
              </w:rPr>
              <w:t>D</w:t>
            </w:r>
            <w:r>
              <w:rPr>
                <w:sz w:val="18"/>
                <w:szCs w:val="18"/>
              </w:rPr>
              <w:t>(mm)</w:t>
            </w:r>
          </w:p>
        </w:tc>
        <w:tc>
          <w:tcPr>
            <w:tcW w:w="2500" w:type="pct"/>
            <w:vAlign w:val="center"/>
          </w:tcPr>
          <w:p>
            <w:pPr>
              <w:jc w:val="center"/>
              <w:rPr>
                <w:sz w:val="18"/>
                <w:szCs w:val="18"/>
              </w:rPr>
            </w:pPr>
            <w:r>
              <w:rPr>
                <w:sz w:val="18"/>
                <w:szCs w:val="18"/>
              </w:rPr>
              <w:t>外径偏差(mm)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2499" w:type="pct"/>
            <w:vAlign w:val="center"/>
          </w:tcPr>
          <w:p>
            <w:pPr>
              <w:jc w:val="center"/>
              <w:rPr>
                <w:sz w:val="18"/>
                <w:szCs w:val="18"/>
              </w:rPr>
            </w:pPr>
            <w:r>
              <w:rPr>
                <w:sz w:val="18"/>
                <w:szCs w:val="18"/>
              </w:rPr>
              <w:t>6.0</w:t>
            </w:r>
            <w:r>
              <w:rPr>
                <w:rFonts w:hint="eastAsia"/>
                <w:sz w:val="18"/>
                <w:szCs w:val="18"/>
              </w:rPr>
              <w:t>≤</w:t>
            </w:r>
            <w:r>
              <w:rPr>
                <w:sz w:val="18"/>
                <w:szCs w:val="18"/>
              </w:rPr>
              <w:t>D</w:t>
            </w:r>
            <w:r>
              <w:rPr>
                <w:rFonts w:hint="eastAsia"/>
                <w:sz w:val="18"/>
                <w:szCs w:val="18"/>
              </w:rPr>
              <w:t>≤</w:t>
            </w:r>
            <w:r>
              <w:rPr>
                <w:sz w:val="18"/>
                <w:szCs w:val="18"/>
              </w:rPr>
              <w:t>10</w:t>
            </w:r>
          </w:p>
        </w:tc>
        <w:tc>
          <w:tcPr>
            <w:tcW w:w="2500" w:type="pct"/>
            <w:vAlign w:val="center"/>
          </w:tcPr>
          <w:p>
            <w:pPr>
              <w:jc w:val="center"/>
              <w:rPr>
                <w:sz w:val="18"/>
                <w:szCs w:val="18"/>
              </w:rPr>
            </w:pPr>
            <w:r>
              <w:rPr>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9" w:type="pct"/>
            <w:vAlign w:val="center"/>
          </w:tcPr>
          <w:p>
            <w:pPr>
              <w:jc w:val="center"/>
              <w:rPr>
                <w:rFonts w:hint="default" w:eastAsia="宋体"/>
                <w:sz w:val="18"/>
                <w:szCs w:val="18"/>
                <w:lang w:val="en-US" w:eastAsia="zh-CN"/>
              </w:rPr>
            </w:pPr>
            <w:r>
              <w:rPr>
                <w:sz w:val="18"/>
                <w:szCs w:val="18"/>
              </w:rPr>
              <w:t>10</w:t>
            </w:r>
            <w:r>
              <w:rPr>
                <w:rFonts w:hint="eastAsia"/>
                <w:sz w:val="18"/>
                <w:szCs w:val="18"/>
              </w:rPr>
              <w:t>＜</w:t>
            </w:r>
            <w:r>
              <w:rPr>
                <w:sz w:val="18"/>
                <w:szCs w:val="18"/>
              </w:rPr>
              <w:t>D</w:t>
            </w:r>
            <w:r>
              <w:rPr>
                <w:rFonts w:hint="eastAsia"/>
                <w:sz w:val="18"/>
                <w:szCs w:val="18"/>
              </w:rPr>
              <w:t>≤</w:t>
            </w:r>
            <w:r>
              <w:rPr>
                <w:rFonts w:hint="eastAsia"/>
                <w:sz w:val="18"/>
                <w:szCs w:val="18"/>
                <w:lang w:val="en-US" w:eastAsia="zh-CN"/>
              </w:rPr>
              <w:t>30</w:t>
            </w:r>
          </w:p>
        </w:tc>
        <w:tc>
          <w:tcPr>
            <w:tcW w:w="2500" w:type="pct"/>
            <w:vAlign w:val="center"/>
          </w:tcPr>
          <w:p>
            <w:pPr>
              <w:jc w:val="center"/>
              <w:rPr>
                <w:sz w:val="18"/>
                <w:szCs w:val="18"/>
              </w:rPr>
            </w:pPr>
            <w:r>
              <w:rPr>
                <w:sz w:val="18"/>
                <w:szCs w:val="18"/>
              </w:rPr>
              <w:t>±0.08</w:t>
            </w:r>
          </w:p>
        </w:tc>
      </w:tr>
    </w:tbl>
    <w:p>
      <w:pPr>
        <w:pStyle w:val="20"/>
        <w:ind w:firstLine="0" w:firstLineChars="0"/>
      </w:pPr>
    </w:p>
    <w:p>
      <w:pPr>
        <w:pStyle w:val="2"/>
        <w:keepNext/>
        <w:jc w:val="center"/>
        <w:rPr>
          <w:rFonts w:ascii="黑体" w:hAnsi="Calibri" w:cs="Times New Roman"/>
          <w:sz w:val="21"/>
          <w:szCs w:val="21"/>
        </w:rPr>
      </w:pPr>
      <w:bookmarkStart w:id="8" w:name="_Ref153195365"/>
      <w:r>
        <w:rPr>
          <w:rFonts w:hint="eastAsia" w:ascii="黑体" w:hAnsi="Calibri" w:cs="Times New Roman"/>
          <w:sz w:val="21"/>
          <w:szCs w:val="21"/>
        </w:rPr>
        <w:t xml:space="preserve">表 </w:t>
      </w:r>
      <w:r>
        <w:rPr>
          <w:rFonts w:ascii="黑体" w:hAnsi="Calibri" w:cs="Times New Roman"/>
          <w:sz w:val="21"/>
          <w:szCs w:val="21"/>
        </w:rPr>
        <w:fldChar w:fldCharType="begin"/>
      </w:r>
      <w:r>
        <w:rPr>
          <w:rFonts w:ascii="黑体" w:hAnsi="Calibri" w:cs="Times New Roman"/>
          <w:sz w:val="21"/>
          <w:szCs w:val="21"/>
        </w:rPr>
        <w:instrText xml:space="preserve"> </w:instrText>
      </w:r>
      <w:r>
        <w:rPr>
          <w:rFonts w:hint="eastAsia" w:ascii="黑体" w:hAnsi="Calibri" w:cs="Times New Roman"/>
          <w:sz w:val="21"/>
          <w:szCs w:val="21"/>
        </w:rPr>
        <w:instrText xml:space="preserve">SEQ 表 \* ARABIC</w:instrText>
      </w:r>
      <w:r>
        <w:rPr>
          <w:rFonts w:ascii="黑体" w:hAnsi="Calibri" w:cs="Times New Roman"/>
          <w:sz w:val="21"/>
          <w:szCs w:val="21"/>
        </w:rPr>
        <w:instrText xml:space="preserve"> </w:instrText>
      </w:r>
      <w:r>
        <w:rPr>
          <w:rFonts w:ascii="黑体" w:hAnsi="Calibri" w:cs="Times New Roman"/>
          <w:sz w:val="21"/>
          <w:szCs w:val="21"/>
        </w:rPr>
        <w:fldChar w:fldCharType="separate"/>
      </w:r>
      <w:r>
        <w:rPr>
          <w:rFonts w:ascii="黑体" w:hAnsi="Calibri" w:cs="Times New Roman"/>
          <w:sz w:val="21"/>
          <w:szCs w:val="21"/>
        </w:rPr>
        <w:t>2</w:t>
      </w:r>
      <w:r>
        <w:rPr>
          <w:rFonts w:ascii="黑体" w:hAnsi="Calibri" w:cs="Times New Roman"/>
          <w:sz w:val="21"/>
          <w:szCs w:val="21"/>
        </w:rPr>
        <w:fldChar w:fldCharType="end"/>
      </w:r>
      <w:bookmarkEnd w:id="8"/>
      <w:r>
        <w:rPr>
          <w:rFonts w:ascii="黑体" w:hAnsi="Calibri" w:cs="Times New Roman"/>
          <w:sz w:val="21"/>
          <w:szCs w:val="21"/>
        </w:rPr>
        <w:t xml:space="preserve">  </w:t>
      </w:r>
      <w:r>
        <w:rPr>
          <w:rFonts w:hint="eastAsia" w:ascii="黑体" w:hAnsi="Calibri" w:cs="Times New Roman"/>
          <w:sz w:val="21"/>
          <w:szCs w:val="21"/>
        </w:rPr>
        <w:t>壁厚允许偏差</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3"/>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2499" w:type="pct"/>
            <w:vAlign w:val="center"/>
          </w:tcPr>
          <w:p>
            <w:pPr>
              <w:jc w:val="center"/>
              <w:rPr>
                <w:sz w:val="18"/>
                <w:szCs w:val="18"/>
              </w:rPr>
            </w:pPr>
            <w:r>
              <w:rPr>
                <w:rFonts w:hint="eastAsia"/>
                <w:sz w:val="18"/>
                <w:szCs w:val="18"/>
              </w:rPr>
              <w:t>壁厚</w:t>
            </w:r>
            <w:r>
              <w:rPr>
                <w:sz w:val="18"/>
                <w:szCs w:val="18"/>
              </w:rPr>
              <w:t>S(mm)</w:t>
            </w:r>
          </w:p>
        </w:tc>
        <w:tc>
          <w:tcPr>
            <w:tcW w:w="2500" w:type="pct"/>
            <w:vAlign w:val="center"/>
          </w:tcPr>
          <w:p>
            <w:pPr>
              <w:jc w:val="center"/>
              <w:rPr>
                <w:sz w:val="18"/>
                <w:szCs w:val="18"/>
              </w:rPr>
            </w:pPr>
            <w:r>
              <w:rPr>
                <w:rFonts w:hint="eastAsia"/>
                <w:sz w:val="18"/>
                <w:szCs w:val="18"/>
              </w:rPr>
              <w:t>壁厚</w:t>
            </w:r>
            <w:r>
              <w:rPr>
                <w:sz w:val="18"/>
                <w:szCs w:val="18"/>
              </w:rPr>
              <w:t>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9" w:type="pct"/>
            <w:vAlign w:val="center"/>
          </w:tcPr>
          <w:p>
            <w:pPr>
              <w:jc w:val="center"/>
              <w:rPr>
                <w:sz w:val="18"/>
                <w:szCs w:val="18"/>
              </w:rPr>
            </w:pPr>
            <w:r>
              <w:rPr>
                <w:rFonts w:hint="eastAsia"/>
                <w:sz w:val="18"/>
                <w:szCs w:val="18"/>
              </w:rPr>
              <w:t>0.2≤S≤0.5</w:t>
            </w:r>
          </w:p>
        </w:tc>
        <w:tc>
          <w:tcPr>
            <w:tcW w:w="2500" w:type="pct"/>
            <w:vAlign w:val="center"/>
          </w:tcPr>
          <w:p>
            <w:pPr>
              <w:jc w:val="center"/>
              <w:rPr>
                <w:sz w:val="18"/>
                <w:szCs w:val="18"/>
              </w:rPr>
            </w:pPr>
            <w:r>
              <w:rPr>
                <w:rFonts w:hint="eastAsia"/>
                <w:sz w:val="18"/>
                <w:szCs w:val="18"/>
              </w:rPr>
              <w:t>±12.5%S或±0.05，取其较小值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2499" w:type="pct"/>
            <w:vAlign w:val="center"/>
          </w:tcPr>
          <w:p>
            <w:pPr>
              <w:jc w:val="center"/>
              <w:rPr>
                <w:sz w:val="18"/>
                <w:szCs w:val="18"/>
              </w:rPr>
            </w:pPr>
            <w:r>
              <w:rPr>
                <w:rFonts w:hint="eastAsia"/>
                <w:sz w:val="18"/>
                <w:szCs w:val="18"/>
              </w:rPr>
              <w:t>0.5＜S≤1.0</w:t>
            </w:r>
          </w:p>
        </w:tc>
        <w:tc>
          <w:tcPr>
            <w:tcW w:w="2500" w:type="pct"/>
            <w:vAlign w:val="center"/>
          </w:tcPr>
          <w:p>
            <w:pPr>
              <w:jc w:val="center"/>
              <w:rPr>
                <w:sz w:val="18"/>
                <w:szCs w:val="18"/>
              </w:rPr>
            </w:pPr>
            <w:r>
              <w:rPr>
                <w:rFonts w:hint="eastAsia"/>
                <w:sz w:val="18"/>
                <w:szCs w:val="18"/>
              </w:rPr>
              <w:t>±10%S或±0.07，取其较小值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499" w:type="pct"/>
            <w:vAlign w:val="center"/>
          </w:tcPr>
          <w:p>
            <w:pPr>
              <w:jc w:val="center"/>
              <w:rPr>
                <w:sz w:val="18"/>
                <w:szCs w:val="18"/>
              </w:rPr>
            </w:pPr>
            <w:r>
              <w:rPr>
                <w:rFonts w:hint="eastAsia"/>
                <w:sz w:val="18"/>
                <w:szCs w:val="18"/>
              </w:rPr>
              <w:t>1.0＜S≤5.0</w:t>
            </w:r>
          </w:p>
        </w:tc>
        <w:tc>
          <w:tcPr>
            <w:tcW w:w="2500" w:type="pct"/>
            <w:vAlign w:val="center"/>
          </w:tcPr>
          <w:p>
            <w:pPr>
              <w:jc w:val="center"/>
              <w:rPr>
                <w:sz w:val="18"/>
                <w:szCs w:val="18"/>
              </w:rPr>
            </w:pPr>
            <w:r>
              <w:rPr>
                <w:rFonts w:hint="eastAsia"/>
                <w:sz w:val="18"/>
                <w:szCs w:val="18"/>
              </w:rPr>
              <w:t>±7.5%S或±0.25，取其较小值</w:t>
            </w:r>
          </w:p>
        </w:tc>
      </w:tr>
    </w:tbl>
    <w:p>
      <w:pPr>
        <w:pStyle w:val="27"/>
        <w:numPr>
          <w:ilvl w:val="2"/>
          <w:numId w:val="3"/>
        </w:numPr>
        <w:spacing w:before="156" w:after="156"/>
        <w:ind w:left="0" w:firstLine="0"/>
        <w:rPr>
          <w:rFonts w:ascii="宋体" w:hAnsi="宋体" w:eastAsia="宋体" w:cs="宋体"/>
        </w:rPr>
      </w:pPr>
      <w:r>
        <w:rPr>
          <w:rFonts w:hint="eastAsia" w:ascii="宋体" w:hAnsi="宋体" w:eastAsia="宋体" w:cs="宋体"/>
        </w:rPr>
        <w:t>根据需方要求，经供需双方协商，并在合同中注明，可供表1和表2规定以外尺寸和/或允许偏差的钢管。</w:t>
      </w:r>
    </w:p>
    <w:p>
      <w:pPr>
        <w:pStyle w:val="22"/>
        <w:numPr>
          <w:ilvl w:val="1"/>
          <w:numId w:val="3"/>
        </w:numPr>
        <w:spacing w:before="156" w:after="156"/>
        <w:ind w:left="0" w:firstLine="0"/>
        <w:rPr>
          <w:rFonts w:ascii="Times New Roman"/>
          <w:lang w:val="zh-CN"/>
        </w:rPr>
      </w:pPr>
      <w:r>
        <w:rPr>
          <w:rFonts w:hint="eastAsia" w:ascii="Times New Roman"/>
          <w:lang w:val="zh-CN"/>
        </w:rPr>
        <w:t>长度及允许偏差</w:t>
      </w:r>
    </w:p>
    <w:p>
      <w:pPr>
        <w:pStyle w:val="27"/>
        <w:numPr>
          <w:ilvl w:val="2"/>
          <w:numId w:val="3"/>
        </w:numPr>
        <w:spacing w:before="156" w:after="156"/>
        <w:ind w:left="0" w:firstLine="0"/>
        <w:rPr>
          <w:rFonts w:hAnsi="黑体" w:cs="宋体"/>
        </w:rPr>
      </w:pPr>
      <w:r>
        <w:rPr>
          <w:rFonts w:hint="eastAsia" w:hAnsi="黑体" w:cs="宋体"/>
        </w:rPr>
        <w:t>通常长度</w:t>
      </w:r>
    </w:p>
    <w:p>
      <w:pPr>
        <w:spacing w:line="360" w:lineRule="exact"/>
        <w:ind w:firstLine="420" w:firstLineChars="200"/>
      </w:pPr>
      <w:r>
        <w:t>钢管的通常长度范围为3000 mm~8000 mm。</w:t>
      </w:r>
      <w:r>
        <w:rPr>
          <w:rFonts w:hint="eastAsia"/>
        </w:rPr>
        <w:t>经供需双方协商，并在合同中注明，可交付长度短于3000 mm 但不短于2000 mm的钢管，其数量应不超过该批交货总数量的5%。</w:t>
      </w:r>
    </w:p>
    <w:p>
      <w:pPr>
        <w:pStyle w:val="27"/>
        <w:numPr>
          <w:ilvl w:val="2"/>
          <w:numId w:val="3"/>
        </w:numPr>
        <w:spacing w:before="156" w:after="156"/>
        <w:ind w:left="0" w:firstLine="0"/>
        <w:rPr>
          <w:rFonts w:hAnsi="黑体" w:cs="宋体"/>
        </w:rPr>
      </w:pPr>
      <w:r>
        <w:rPr>
          <w:rFonts w:hint="eastAsia" w:hAnsi="黑体" w:cs="宋体"/>
        </w:rPr>
        <w:t>定尺、倍尺长度</w:t>
      </w:r>
    </w:p>
    <w:p>
      <w:pPr>
        <w:spacing w:line="360" w:lineRule="exact"/>
        <w:ind w:firstLine="420" w:firstLineChars="200"/>
      </w:pPr>
      <w:r>
        <w:rPr>
          <w:rFonts w:hint="eastAsia"/>
        </w:rPr>
        <w:t>根据需方要求，经供需双方协商，并在合同中注明，钢管可按定尺或倍尺长度交货。</w:t>
      </w:r>
      <w:r>
        <w:t>定尺长度和倍尺总长度在通常长度范围内，</w:t>
      </w:r>
      <w:r>
        <w:rPr>
          <w:rFonts w:hint="eastAsia"/>
        </w:rPr>
        <w:t>定尺</w:t>
      </w:r>
      <w:r>
        <w:t>全长（L）允许偏差应为</w:t>
      </w:r>
      <m:oMath>
        <m:sSubSup>
          <m:sSubSupPr>
            <m:ctrlPr>
              <w:rPr>
                <w:rFonts w:ascii="Cambria Math" w:hAnsi="Cambria Math"/>
                <w:i/>
              </w:rPr>
            </m:ctrlPr>
          </m:sSubSupPr>
          <m:e>
            <m:r>
              <m:rPr/>
              <w:rPr>
                <w:rFonts w:ascii="Cambria Math" w:hAnsi="Cambria Math"/>
              </w:rPr>
              <m:t>L</m:t>
            </m:r>
            <m:ctrlPr>
              <w:rPr>
                <w:rFonts w:ascii="Cambria Math" w:hAnsi="Cambria Math"/>
                <w:i/>
              </w:rPr>
            </m:ctrlPr>
          </m:e>
          <m:sub>
            <m:r>
              <m:rPr/>
              <w:rPr>
                <w:rFonts w:ascii="Cambria Math" w:hAnsi="Cambria Math"/>
              </w:rPr>
              <m:t>0</m:t>
            </m:r>
            <m:ctrlPr>
              <w:rPr>
                <w:rFonts w:ascii="Cambria Math" w:hAnsi="Cambria Math"/>
                <w:i/>
              </w:rPr>
            </m:ctrlPr>
          </m:sub>
          <m:sup>
            <m:r>
              <m:rPr/>
              <w:rPr>
                <w:rFonts w:hint="eastAsia" w:ascii="Cambria Math" w:hAnsi="Cambria Math"/>
              </w:rPr>
              <m:t>+</m:t>
            </m:r>
            <m:r>
              <m:rPr/>
              <w:rPr>
                <w:rFonts w:ascii="Cambria Math" w:hAnsi="Cambria Math"/>
              </w:rPr>
              <m:t>10</m:t>
            </m:r>
            <m:ctrlPr>
              <w:rPr>
                <w:rFonts w:ascii="Cambria Math" w:hAnsi="Cambria Math"/>
                <w:i/>
              </w:rPr>
            </m:ctrlPr>
          </m:sup>
        </m:sSubSup>
      </m:oMath>
      <w:r>
        <w:t xml:space="preserve"> mm；每个倍尺长度留出切口余量5 mm~10 mm。</w:t>
      </w:r>
    </w:p>
    <w:p>
      <w:pPr>
        <w:pStyle w:val="22"/>
        <w:numPr>
          <w:ilvl w:val="1"/>
          <w:numId w:val="3"/>
        </w:numPr>
        <w:spacing w:before="156" w:after="156"/>
        <w:ind w:left="0" w:firstLine="0"/>
        <w:rPr>
          <w:rFonts w:ascii="Times New Roman"/>
          <w:lang w:val="zh-CN"/>
        </w:rPr>
      </w:pPr>
      <w:r>
        <w:rPr>
          <w:rFonts w:hint="eastAsia" w:ascii="Times New Roman"/>
          <w:lang w:val="zh-CN"/>
        </w:rPr>
        <w:t>外形</w:t>
      </w:r>
    </w:p>
    <w:p>
      <w:pPr>
        <w:pStyle w:val="27"/>
        <w:numPr>
          <w:ilvl w:val="2"/>
          <w:numId w:val="3"/>
        </w:numPr>
        <w:spacing w:before="156" w:after="156"/>
        <w:ind w:left="0" w:firstLine="0"/>
        <w:rPr>
          <w:rFonts w:hAnsi="黑体" w:cs="宋体"/>
        </w:rPr>
      </w:pPr>
      <w:r>
        <w:rPr>
          <w:rFonts w:hint="eastAsia" w:hAnsi="黑体" w:cs="宋体"/>
        </w:rPr>
        <w:t>不</w:t>
      </w:r>
      <w:r>
        <w:rPr>
          <w:rFonts w:hAnsi="黑体" w:cs="宋体"/>
        </w:rPr>
        <w:t>圆度和壁厚不均</w:t>
      </w:r>
    </w:p>
    <w:p>
      <w:pPr>
        <w:spacing w:line="360" w:lineRule="exact"/>
        <w:ind w:firstLine="420" w:firstLineChars="200"/>
      </w:pPr>
      <w:r>
        <w:rPr>
          <w:rFonts w:hint="eastAsia"/>
        </w:rPr>
        <w:t>钢管</w:t>
      </w:r>
      <w:r>
        <w:t>椭圆度和壁厚不均应分别不超过外径公差和壁厚公差</w:t>
      </w:r>
      <w:r>
        <w:rPr>
          <w:rFonts w:hint="eastAsia"/>
        </w:rPr>
        <w:t>的</w:t>
      </w:r>
      <w:r>
        <w:t>80%。</w:t>
      </w:r>
    </w:p>
    <w:p>
      <w:pPr>
        <w:pStyle w:val="27"/>
        <w:numPr>
          <w:ilvl w:val="2"/>
          <w:numId w:val="3"/>
        </w:numPr>
        <w:spacing w:before="156" w:after="156"/>
        <w:ind w:left="0" w:firstLine="0"/>
        <w:rPr>
          <w:rFonts w:hAnsi="黑体" w:cs="宋体"/>
        </w:rPr>
      </w:pPr>
      <w:r>
        <w:rPr>
          <w:rFonts w:hAnsi="黑体" w:cs="宋体"/>
        </w:rPr>
        <w:t>弯曲度</w:t>
      </w:r>
    </w:p>
    <w:p>
      <w:pPr>
        <w:spacing w:line="360" w:lineRule="exact"/>
        <w:ind w:firstLine="420" w:firstLineChars="200"/>
      </w:pPr>
      <w:r>
        <w:rPr>
          <w:rFonts w:hint="eastAsia"/>
        </w:rPr>
        <w:t>钢管</w:t>
      </w:r>
      <w:r>
        <w:t>局部弯曲度应不大于1.5 mm/m，全长弯曲度应不大于总长的0</w:t>
      </w:r>
      <w:r>
        <w:rPr>
          <w:rFonts w:hint="eastAsia"/>
        </w:rPr>
        <w:t>.12</w:t>
      </w:r>
      <w:r>
        <w:t>%。其</w:t>
      </w:r>
      <w:r>
        <w:rPr>
          <w:rFonts w:hint="eastAsia"/>
        </w:rPr>
        <w:t>它</w:t>
      </w:r>
      <w:r>
        <w:t>特殊弯曲度要求应在合同中注明。</w:t>
      </w:r>
      <w:r>
        <w:rPr>
          <w:rFonts w:hint="eastAsia"/>
        </w:rPr>
        <w:t>根据需方要求，经供需双方协商，并在合同中注明，钢管的每米弯曲度和全长弯曲度可采用其它规定。</w:t>
      </w:r>
    </w:p>
    <w:p>
      <w:pPr>
        <w:pStyle w:val="27"/>
        <w:numPr>
          <w:ilvl w:val="2"/>
          <w:numId w:val="3"/>
        </w:numPr>
        <w:spacing w:before="156" w:after="156"/>
        <w:ind w:left="0" w:firstLine="0"/>
        <w:rPr>
          <w:rFonts w:hAnsi="黑体" w:cs="宋体"/>
        </w:rPr>
      </w:pPr>
      <w:r>
        <w:rPr>
          <w:rFonts w:hint="eastAsia" w:hAnsi="黑体" w:cs="宋体"/>
        </w:rPr>
        <w:t>端部</w:t>
      </w:r>
    </w:p>
    <w:p>
      <w:pPr>
        <w:spacing w:line="360" w:lineRule="exact"/>
        <w:ind w:firstLine="420" w:firstLineChars="200"/>
      </w:pPr>
      <w:r>
        <w:rPr>
          <w:rFonts w:hint="eastAsia"/>
        </w:rPr>
        <w:t>钢管</w:t>
      </w:r>
      <w:r>
        <w:t>两端端面应与</w:t>
      </w:r>
      <w:r>
        <w:rPr>
          <w:rFonts w:hint="eastAsia"/>
        </w:rPr>
        <w:t>钢管</w:t>
      </w:r>
      <w:r>
        <w:t>轴线垂直。管端不应有毛刺。</w:t>
      </w:r>
    </w:p>
    <w:p>
      <w:pPr>
        <w:pStyle w:val="22"/>
        <w:numPr>
          <w:ilvl w:val="1"/>
          <w:numId w:val="3"/>
        </w:numPr>
        <w:spacing w:before="156" w:after="156"/>
        <w:ind w:left="0" w:firstLine="0"/>
        <w:rPr>
          <w:rFonts w:ascii="Times New Roman"/>
          <w:lang w:val="zh-CN"/>
        </w:rPr>
      </w:pPr>
      <w:r>
        <w:rPr>
          <w:rFonts w:hint="eastAsia" w:ascii="Times New Roman"/>
          <w:lang w:val="zh-CN"/>
        </w:rPr>
        <w:t>重量</w:t>
      </w:r>
    </w:p>
    <w:p>
      <w:pPr>
        <w:pStyle w:val="27"/>
        <w:numPr>
          <w:ilvl w:val="2"/>
          <w:numId w:val="3"/>
        </w:numPr>
        <w:spacing w:before="156" w:after="156"/>
        <w:ind w:left="0" w:firstLine="0"/>
        <w:rPr>
          <w:rFonts w:ascii="Times New Roman" w:hAnsi="Times New Roman" w:eastAsia="宋体"/>
          <w:sz w:val="20"/>
          <w:szCs w:val="20"/>
          <w:lang w:val="zh-CN"/>
        </w:rPr>
      </w:pPr>
      <w:r>
        <w:rPr>
          <w:rFonts w:hint="eastAsia" w:ascii="宋体" w:hAnsi="宋体" w:eastAsia="宋体" w:cs="宋体"/>
          <w:lang w:val="zh-CN"/>
        </w:rPr>
        <w:t>钢管应按实际重量交货。经供需双方协商，并在合同中注明，钢管亦可按理论重量交货。钢管每米理论重量按式(1)计算：</w:t>
      </w:r>
    </w:p>
    <w:p>
      <w:pPr>
        <w:spacing w:before="156" w:beforeLines="50" w:after="156" w:afterLines="50" w:line="360" w:lineRule="exact"/>
        <w:ind w:firstLine="420" w:firstLineChars="200"/>
        <w:jc w:val="center"/>
        <w:rPr>
          <w:rFonts w:hint="eastAsia" w:ascii="宋体" w:hAnsi="宋体"/>
        </w:rPr>
      </w:pPr>
      <w:r>
        <w:rPr>
          <w:rFonts w:hint="eastAsia" w:ascii="宋体" w:hAnsi="宋体"/>
          <w:position w:val="-24"/>
        </w:rPr>
        <w:object>
          <v:shape id="_x0000_i1026" o:spt="75" type="#_x0000_t75" style="height:31.2pt;width:103.8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5" r:id="rId10">
            <o:LockedField>false</o:LockedField>
          </o:OLEObject>
        </w:object>
      </w:r>
      <w:r>
        <w:rPr>
          <w:rFonts w:ascii="宋体" w:hAnsi="宋体"/>
        </w:rPr>
        <w:t xml:space="preserve"> </w:t>
      </w:r>
      <w:r>
        <w:rPr>
          <w:rFonts w:hint="eastAsia" w:ascii="宋体" w:hAnsi="宋体"/>
        </w:rPr>
        <w:t xml:space="preserve">……………………(1) </w:t>
      </w:r>
      <w:r>
        <w:rPr>
          <w:rFonts w:hint="eastAsia"/>
        </w:rPr>
        <w:pict>
          <v:shape id="_x0000_s1041" o:spid="_x0000_s1041" o:spt="75" type="#_x0000_t75" style="position:absolute;left:0pt;margin-left:0pt;margin-top:0pt;height:4pt;width:1.15pt;mso-wrap-distance-bottom:0pt;mso-wrap-distance-top:0pt;z-index:251661312;mso-width-relative:page;mso-height-relative:page;" o:ole="t" filled="f" o:preferrelative="t" stroked="f" coordsize="21600,21600" o:allowincell="f">
            <v:path/>
            <v:fill on="f" focussize="0,0"/>
            <v:stroke on="f" joinstyle="miter"/>
            <v:imagedata r:id="rId13" o:title=""/>
            <o:lock v:ext="edit" aspectratio="t"/>
            <w10:wrap type="topAndBottom"/>
          </v:shape>
          <o:OLEObject Type="Embed" ProgID="Equation.3" ShapeID="_x0000_s1041" DrawAspect="Content" ObjectID="_1468075726" r:id="rId12">
            <o:LockedField>false</o:LockedField>
          </o:OLEObject>
        </w:pict>
      </w:r>
    </w:p>
    <w:p>
      <w:pPr>
        <w:spacing w:line="360" w:lineRule="exact"/>
        <w:ind w:firstLine="522"/>
        <w:rPr>
          <w:rFonts w:hint="eastAsia" w:ascii="宋体" w:hAnsi="宋体"/>
        </w:rPr>
      </w:pPr>
      <w:r>
        <w:rPr>
          <w:rFonts w:hint="eastAsia" w:ascii="宋体" w:hAnsi="宋体"/>
        </w:rPr>
        <w:t>式中：</w:t>
      </w:r>
    </w:p>
    <w:p>
      <w:pPr>
        <w:spacing w:line="360" w:lineRule="exact"/>
        <w:ind w:firstLine="1360" w:firstLineChars="648"/>
        <w:rPr>
          <w:rFonts w:hint="eastAsia" w:ascii="宋体" w:hAnsi="宋体"/>
        </w:rPr>
      </w:pPr>
      <w:r>
        <w:rPr>
          <w:rFonts w:hint="eastAsia" w:ascii="宋体" w:hAnsi="宋体"/>
          <w:i/>
        </w:rPr>
        <w:t>W</w:t>
      </w:r>
      <w:r>
        <w:rPr>
          <w:rFonts w:hint="eastAsia" w:ascii="宋体" w:hAnsi="宋体"/>
        </w:rPr>
        <w:t>——钢管每米理论重量，单位为千克每米（kg/m）；</w:t>
      </w:r>
    </w:p>
    <w:p>
      <w:pPr>
        <w:spacing w:line="360" w:lineRule="exact"/>
        <w:ind w:firstLine="1300"/>
        <w:rPr>
          <w:rFonts w:hint="eastAsia" w:ascii="宋体" w:hAnsi="宋体"/>
        </w:rPr>
      </w:pPr>
      <w:r>
        <w:rPr>
          <w:rFonts w:hint="eastAsia" w:ascii="宋体" w:hAnsi="宋体"/>
          <w:i/>
        </w:rPr>
        <w:t>π</w:t>
      </w:r>
      <w:r>
        <w:rPr>
          <w:rFonts w:hint="eastAsia" w:ascii="宋体" w:hAnsi="宋体"/>
        </w:rPr>
        <w:t>——3.141</w:t>
      </w:r>
      <w:r>
        <w:rPr>
          <w:rFonts w:ascii="宋体" w:hAnsi="宋体"/>
        </w:rPr>
        <w:t xml:space="preserve"> </w:t>
      </w:r>
      <w:r>
        <w:rPr>
          <w:rFonts w:hint="eastAsia" w:ascii="宋体" w:hAnsi="宋体"/>
        </w:rPr>
        <w:t>6；</w:t>
      </w:r>
    </w:p>
    <w:p>
      <w:pPr>
        <w:spacing w:line="360" w:lineRule="exact"/>
        <w:ind w:firstLine="1300"/>
        <w:rPr>
          <w:rFonts w:hint="eastAsia" w:ascii="宋体" w:hAnsi="宋体"/>
        </w:rPr>
      </w:pPr>
      <w:r>
        <w:rPr>
          <w:rFonts w:hint="eastAsia" w:ascii="宋体" w:hAnsi="宋体"/>
          <w:i/>
        </w:rPr>
        <w:t>ρ</w:t>
      </w:r>
      <w:r>
        <w:rPr>
          <w:rFonts w:hint="eastAsia" w:ascii="宋体" w:hAnsi="宋体"/>
        </w:rPr>
        <w:t>——钢的密度，单位为千克每立方分米（kg/dm</w:t>
      </w:r>
      <w:r>
        <w:rPr>
          <w:rFonts w:hint="eastAsia" w:ascii="宋体" w:hAnsi="宋体"/>
          <w:vertAlign w:val="superscript"/>
        </w:rPr>
        <w:t>3</w:t>
      </w:r>
      <w:r>
        <w:rPr>
          <w:rFonts w:hint="eastAsia" w:ascii="宋体" w:hAnsi="宋体"/>
        </w:rPr>
        <w:t>）,见表</w:t>
      </w:r>
      <w:r>
        <w:rPr>
          <w:rFonts w:ascii="宋体" w:hAnsi="宋体"/>
        </w:rPr>
        <w:t>3</w:t>
      </w:r>
      <w:r>
        <w:rPr>
          <w:rFonts w:hint="eastAsia" w:ascii="宋体" w:hAnsi="宋体"/>
        </w:rPr>
        <w:t>；</w:t>
      </w:r>
    </w:p>
    <w:p>
      <w:pPr>
        <w:spacing w:line="360" w:lineRule="exact"/>
        <w:ind w:firstLine="1300"/>
        <w:rPr>
          <w:rFonts w:hint="eastAsia" w:ascii="宋体" w:hAnsi="宋体"/>
        </w:rPr>
      </w:pPr>
      <w:r>
        <w:rPr>
          <w:rFonts w:hint="eastAsia" w:ascii="宋体" w:hAnsi="宋体"/>
          <w:i/>
        </w:rPr>
        <w:t>S</w:t>
      </w:r>
      <w:r>
        <w:rPr>
          <w:rFonts w:hint="eastAsia" w:ascii="宋体" w:hAnsi="宋体"/>
        </w:rPr>
        <w:t>——钢管的公称壁厚，单位为毫米（mm）；</w:t>
      </w:r>
    </w:p>
    <w:p>
      <w:pPr>
        <w:spacing w:line="360" w:lineRule="exact"/>
        <w:ind w:firstLine="1300"/>
        <w:rPr>
          <w:rFonts w:hint="eastAsia" w:ascii="宋体" w:hAnsi="宋体"/>
        </w:rPr>
      </w:pPr>
      <w:r>
        <w:rPr>
          <w:rFonts w:hint="eastAsia" w:ascii="宋体" w:hAnsi="宋体"/>
          <w:i/>
        </w:rPr>
        <w:t>D</w:t>
      </w:r>
      <w:r>
        <w:rPr>
          <w:rFonts w:hint="eastAsia" w:ascii="宋体" w:hAnsi="宋体"/>
        </w:rPr>
        <w:t>——钢管的公称外径，单位为毫米（mm）。</w:t>
      </w:r>
    </w:p>
    <w:p>
      <w:pPr>
        <w:pStyle w:val="27"/>
        <w:numPr>
          <w:ilvl w:val="2"/>
          <w:numId w:val="3"/>
        </w:numPr>
        <w:spacing w:before="156" w:after="156" w:line="360" w:lineRule="exact"/>
        <w:ind w:left="0" w:firstLine="0"/>
        <w:rPr>
          <w:rFonts w:ascii="宋体" w:hAnsi="宋体" w:eastAsia="宋体" w:cs="宋体"/>
        </w:rPr>
      </w:pPr>
      <w:r>
        <w:rPr>
          <w:rFonts w:hint="eastAsia" w:ascii="宋体" w:hAnsi="宋体" w:eastAsia="宋体" w:cs="宋体"/>
        </w:rPr>
        <w:t>按公称外径和最小壁厚交货钢管，应采用平均壁厚计算理论重量，平均壁厚按壁厚及其允许偏差计算得出的壁厚最大值与最小值的平均值。</w:t>
      </w:r>
    </w:p>
    <w:p>
      <w:pPr>
        <w:pStyle w:val="27"/>
        <w:numPr>
          <w:ilvl w:val="2"/>
          <w:numId w:val="3"/>
        </w:numPr>
        <w:spacing w:before="156" w:after="156"/>
        <w:ind w:left="0" w:firstLine="0"/>
        <w:rPr>
          <w:rFonts w:ascii="宋体" w:hAnsi="宋体" w:eastAsia="宋体" w:cs="宋体"/>
        </w:rPr>
      </w:pPr>
      <w:r>
        <w:rPr>
          <w:rFonts w:hint="eastAsia" w:ascii="宋体" w:hAnsi="宋体" w:eastAsia="宋体" w:cs="宋体"/>
        </w:rPr>
        <w:t>钢管按理论重量交货时，供需双方可协商重量允许偏差，并在合同中注明。</w:t>
      </w:r>
    </w:p>
    <w:p>
      <w:pPr>
        <w:pStyle w:val="19"/>
        <w:numPr>
          <w:ilvl w:val="0"/>
          <w:numId w:val="3"/>
        </w:numPr>
        <w:spacing w:before="312" w:after="312"/>
        <w:ind w:left="0" w:firstLine="0"/>
        <w:rPr>
          <w:rFonts w:ascii="Times New Roman"/>
        </w:rPr>
      </w:pPr>
      <w:r>
        <w:rPr>
          <w:rFonts w:hint="eastAsia" w:ascii="Times New Roman"/>
        </w:rPr>
        <w:t>技术要求</w:t>
      </w:r>
    </w:p>
    <w:p>
      <w:pPr>
        <w:pStyle w:val="22"/>
        <w:numPr>
          <w:ilvl w:val="1"/>
          <w:numId w:val="3"/>
        </w:numPr>
        <w:spacing w:before="156" w:after="156"/>
        <w:ind w:left="0" w:firstLine="0"/>
        <w:rPr>
          <w:rFonts w:ascii="Times New Roman"/>
        </w:rPr>
      </w:pPr>
      <w:r>
        <w:rPr>
          <w:rFonts w:hint="eastAsia" w:ascii="Times New Roman"/>
        </w:rPr>
        <w:t>牌号及化学成分</w:t>
      </w:r>
    </w:p>
    <w:p>
      <w:pPr>
        <w:pStyle w:val="27"/>
        <w:numPr>
          <w:ilvl w:val="2"/>
          <w:numId w:val="3"/>
        </w:numPr>
        <w:spacing w:before="156" w:after="156"/>
        <w:ind w:left="0" w:firstLine="0"/>
        <w:rPr>
          <w:rFonts w:ascii="宋体" w:hAnsi="宋体" w:eastAsia="宋体" w:cs="宋体"/>
        </w:rPr>
      </w:pPr>
      <w:r>
        <w:rPr>
          <w:rFonts w:hint="eastAsia" w:ascii="宋体" w:hAnsi="宋体" w:eastAsia="宋体" w:cs="宋体"/>
        </w:rPr>
        <w:t>钢的牌号及化学成分应符合表</w:t>
      </w:r>
      <w:r>
        <w:rPr>
          <w:rFonts w:ascii="宋体" w:hAnsi="宋体" w:eastAsia="宋体" w:cs="宋体"/>
        </w:rPr>
        <w:t>3的规定。牌号对照见附录A。</w:t>
      </w:r>
    </w:p>
    <w:p>
      <w:pPr>
        <w:pStyle w:val="27"/>
        <w:numPr>
          <w:ilvl w:val="255"/>
          <w:numId w:val="0"/>
        </w:numPr>
        <w:spacing w:before="156" w:after="156"/>
        <w:ind w:left="361" w:leftChars="-1"/>
        <w:jc w:val="cente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3</w:t>
      </w:r>
      <w:r>
        <w:fldChar w:fldCharType="end"/>
      </w:r>
      <w:r>
        <w:t xml:space="preserve">  </w:t>
      </w:r>
      <w:r>
        <w:rPr>
          <w:rFonts w:hint="eastAsia"/>
        </w:rPr>
        <w:t>钢的牌号</w:t>
      </w:r>
      <w:r>
        <w:rPr>
          <w:rFonts w:hint="eastAsia"/>
          <w:lang w:val="en-US" w:eastAsia="zh-CN"/>
        </w:rPr>
        <w:t>及</w:t>
      </w:r>
      <w:r>
        <w:rPr>
          <w:rFonts w:hint="eastAsia"/>
        </w:rPr>
        <w:t>化学成分</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870"/>
        <w:gridCol w:w="1651"/>
        <w:gridCol w:w="666"/>
        <w:gridCol w:w="660"/>
        <w:gridCol w:w="663"/>
        <w:gridCol w:w="667"/>
        <w:gridCol w:w="667"/>
        <w:gridCol w:w="667"/>
        <w:gridCol w:w="667"/>
        <w:gridCol w:w="667"/>
        <w:gridCol w:w="649"/>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83" w:type="pct"/>
            <w:vMerge w:val="restart"/>
            <w:vAlign w:val="center"/>
          </w:tcPr>
          <w:p>
            <w:pPr>
              <w:spacing w:line="260" w:lineRule="exact"/>
              <w:jc w:val="center"/>
              <w:rPr>
                <w:rFonts w:ascii="宋体" w:hAnsi="宋体" w:cstheme="minorEastAsia"/>
                <w:sz w:val="18"/>
                <w:szCs w:val="18"/>
              </w:rPr>
            </w:pPr>
            <w:r>
              <w:rPr>
                <w:rFonts w:hint="eastAsia" w:ascii="宋体" w:hAnsi="宋体" w:cstheme="minorEastAsia"/>
                <w:sz w:val="18"/>
                <w:szCs w:val="18"/>
              </w:rPr>
              <w:t>序号</w:t>
            </w:r>
          </w:p>
        </w:tc>
        <w:tc>
          <w:tcPr>
            <w:tcW w:w="462" w:type="pct"/>
            <w:vMerge w:val="restart"/>
            <w:vAlign w:val="center"/>
          </w:tcPr>
          <w:p>
            <w:pPr>
              <w:spacing w:line="260" w:lineRule="exact"/>
              <w:jc w:val="center"/>
              <w:rPr>
                <w:rFonts w:ascii="宋体" w:hAnsi="宋体" w:cstheme="minorEastAsia"/>
                <w:sz w:val="18"/>
                <w:szCs w:val="18"/>
              </w:rPr>
            </w:pPr>
            <w:r>
              <w:rPr>
                <w:rFonts w:hint="eastAsia" w:ascii="宋体" w:hAnsi="宋体" w:cstheme="minorEastAsia"/>
                <w:sz w:val="18"/>
                <w:szCs w:val="18"/>
              </w:rPr>
              <w:t>统一数字</w:t>
            </w:r>
          </w:p>
          <w:p>
            <w:pPr>
              <w:spacing w:line="260" w:lineRule="exact"/>
              <w:jc w:val="center"/>
              <w:rPr>
                <w:rFonts w:ascii="宋体" w:hAnsi="宋体" w:cstheme="minorEastAsia"/>
                <w:sz w:val="18"/>
                <w:szCs w:val="18"/>
              </w:rPr>
            </w:pPr>
            <w:r>
              <w:rPr>
                <w:rFonts w:hint="eastAsia" w:ascii="宋体" w:hAnsi="宋体" w:cstheme="minorEastAsia"/>
                <w:sz w:val="18"/>
                <w:szCs w:val="18"/>
              </w:rPr>
              <w:t>代号</w:t>
            </w:r>
          </w:p>
        </w:tc>
        <w:tc>
          <w:tcPr>
            <w:tcW w:w="808" w:type="pct"/>
            <w:vMerge w:val="restart"/>
            <w:vAlign w:val="center"/>
          </w:tcPr>
          <w:p>
            <w:pPr>
              <w:spacing w:before="156" w:beforeLines="50" w:line="260" w:lineRule="exact"/>
              <w:jc w:val="center"/>
              <w:rPr>
                <w:rFonts w:ascii="宋体" w:hAnsi="宋体" w:cstheme="minorEastAsia"/>
                <w:sz w:val="18"/>
                <w:szCs w:val="18"/>
              </w:rPr>
            </w:pPr>
            <w:r>
              <w:rPr>
                <w:rFonts w:hint="eastAsia" w:ascii="宋体" w:hAnsi="宋体" w:cstheme="minorEastAsia"/>
                <w:sz w:val="18"/>
                <w:szCs w:val="18"/>
              </w:rPr>
              <w:t>牌号</w:t>
            </w:r>
          </w:p>
        </w:tc>
        <w:tc>
          <w:tcPr>
            <w:tcW w:w="3546" w:type="pct"/>
            <w:gridSpan w:val="10"/>
            <w:vAlign w:val="center"/>
          </w:tcPr>
          <w:p>
            <w:pPr>
              <w:spacing w:line="260" w:lineRule="exact"/>
              <w:jc w:val="center"/>
              <w:rPr>
                <w:rFonts w:ascii="宋体" w:hAnsi="宋体" w:cstheme="minorEastAsia"/>
                <w:sz w:val="18"/>
                <w:szCs w:val="18"/>
              </w:rPr>
            </w:pPr>
            <w:r>
              <w:rPr>
                <w:rFonts w:hint="eastAsia" w:ascii="宋体" w:hAnsi="宋体" w:cstheme="minorEastAsia"/>
                <w:sz w:val="18"/>
                <w:szCs w:val="18"/>
              </w:rPr>
              <w:t>化学成分（质量百分比）%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183" w:type="pct"/>
            <w:vMerge w:val="continue"/>
            <w:vAlign w:val="center"/>
          </w:tcPr>
          <w:p>
            <w:pPr>
              <w:spacing w:line="260" w:lineRule="exact"/>
              <w:jc w:val="center"/>
              <w:rPr>
                <w:rFonts w:ascii="宋体" w:hAnsi="宋体" w:cstheme="minorEastAsia"/>
                <w:sz w:val="18"/>
                <w:szCs w:val="18"/>
              </w:rPr>
            </w:pPr>
          </w:p>
        </w:tc>
        <w:tc>
          <w:tcPr>
            <w:tcW w:w="462" w:type="pct"/>
            <w:vMerge w:val="continue"/>
            <w:vAlign w:val="center"/>
          </w:tcPr>
          <w:p>
            <w:pPr>
              <w:spacing w:line="260" w:lineRule="exact"/>
              <w:jc w:val="center"/>
              <w:rPr>
                <w:rFonts w:ascii="宋体" w:hAnsi="宋体" w:cstheme="minorEastAsia"/>
                <w:sz w:val="18"/>
                <w:szCs w:val="18"/>
              </w:rPr>
            </w:pPr>
          </w:p>
        </w:tc>
        <w:tc>
          <w:tcPr>
            <w:tcW w:w="808" w:type="pct"/>
            <w:vMerge w:val="continue"/>
            <w:vAlign w:val="center"/>
          </w:tcPr>
          <w:p>
            <w:pPr>
              <w:jc w:val="center"/>
              <w:rPr>
                <w:rFonts w:ascii="宋体" w:hAnsi="宋体" w:cstheme="minorEastAsia"/>
                <w:sz w:val="18"/>
                <w:szCs w:val="18"/>
              </w:rPr>
            </w:pP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C</w:t>
            </w:r>
          </w:p>
          <w:p>
            <w:pPr>
              <w:jc w:val="center"/>
              <w:rPr>
                <w:rFonts w:ascii="宋体" w:hAnsi="宋体" w:cstheme="minorEastAsia"/>
                <w:sz w:val="18"/>
                <w:szCs w:val="18"/>
              </w:rPr>
            </w:pPr>
            <w:r>
              <w:rPr>
                <w:rFonts w:hint="eastAsia" w:ascii="宋体" w:hAnsi="宋体" w:cstheme="minorEastAsia"/>
                <w:sz w:val="18"/>
                <w:szCs w:val="18"/>
              </w:rPr>
              <w:t>≤</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Si</w:t>
            </w:r>
          </w:p>
          <w:p>
            <w:pPr>
              <w:jc w:val="center"/>
              <w:rPr>
                <w:rFonts w:ascii="宋体" w:hAnsi="宋体" w:cstheme="minorEastAsia"/>
                <w:sz w:val="18"/>
                <w:szCs w:val="18"/>
              </w:rPr>
            </w:pPr>
            <w:r>
              <w:rPr>
                <w:rFonts w:hint="eastAsia" w:ascii="宋体" w:hAnsi="宋体" w:cstheme="minorEastAsia"/>
                <w:sz w:val="18"/>
                <w:szCs w:val="18"/>
              </w:rPr>
              <w:t>≤</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Mn</w:t>
            </w:r>
          </w:p>
          <w:p>
            <w:pPr>
              <w:jc w:val="center"/>
              <w:rPr>
                <w:rFonts w:ascii="宋体" w:hAnsi="宋体" w:cstheme="minorEastAsia"/>
                <w:sz w:val="18"/>
                <w:szCs w:val="18"/>
              </w:rPr>
            </w:pPr>
            <w:r>
              <w:rPr>
                <w:rFonts w:hint="eastAsia" w:ascii="宋体" w:hAnsi="宋体" w:cstheme="minorEastAsia"/>
                <w:sz w:val="18"/>
                <w:szCs w:val="18"/>
              </w:rPr>
              <w:t>≤</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P</w:t>
            </w:r>
          </w:p>
          <w:p>
            <w:pPr>
              <w:jc w:val="center"/>
              <w:rPr>
                <w:rFonts w:ascii="宋体" w:hAnsi="宋体" w:cstheme="minorEastAsia"/>
                <w:sz w:val="18"/>
                <w:szCs w:val="18"/>
              </w:rPr>
            </w:pPr>
            <w:r>
              <w:rPr>
                <w:rFonts w:hint="eastAsia" w:ascii="宋体" w:hAnsi="宋体" w:cstheme="minorEastAsia"/>
                <w:sz w:val="18"/>
                <w:szCs w:val="18"/>
              </w:rPr>
              <w:t>≤</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S</w:t>
            </w:r>
          </w:p>
          <w:p>
            <w:pPr>
              <w:jc w:val="center"/>
              <w:rPr>
                <w:rFonts w:ascii="宋体" w:hAnsi="宋体" w:cstheme="minorEastAsia"/>
                <w:sz w:val="18"/>
                <w:szCs w:val="18"/>
              </w:rPr>
            </w:pPr>
            <w:r>
              <w:rPr>
                <w:rFonts w:hint="eastAsia" w:ascii="宋体" w:hAnsi="宋体" w:cstheme="minorEastAsia"/>
                <w:sz w:val="18"/>
                <w:szCs w:val="18"/>
              </w:rPr>
              <w:t>≤</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Cr</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Ni</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Mo</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Cu</w:t>
            </w:r>
          </w:p>
          <w:p>
            <w:pPr>
              <w:jc w:val="center"/>
              <w:rPr>
                <w:rFonts w:ascii="宋体" w:hAnsi="宋体" w:cstheme="minorEastAsia"/>
                <w:sz w:val="18"/>
                <w:szCs w:val="18"/>
              </w:rPr>
            </w:pPr>
            <w:r>
              <w:rPr>
                <w:rFonts w:hint="eastAsia" w:ascii="宋体" w:hAnsi="宋体" w:cstheme="minorEastAsia"/>
                <w:sz w:val="18"/>
                <w:szCs w:val="18"/>
              </w:rPr>
              <w:t>≤</w:t>
            </w:r>
          </w:p>
        </w:tc>
        <w:tc>
          <w:tcPr>
            <w:tcW w:w="356" w:type="pct"/>
            <w:vAlign w:val="center"/>
          </w:tcPr>
          <w:p>
            <w:pPr>
              <w:jc w:val="center"/>
              <w:rPr>
                <w:rFonts w:ascii="宋体" w:hAnsi="宋体" w:cstheme="minorEastAsia"/>
                <w:sz w:val="18"/>
                <w:szCs w:val="18"/>
              </w:rPr>
            </w:pPr>
            <w:r>
              <w:rPr>
                <w:rFonts w:hint="eastAsia" w:ascii="宋体" w:hAnsi="宋体" w:cstheme="minorEastAsia"/>
                <w:sz w:val="18"/>
                <w:szCs w:val="18"/>
              </w:rPr>
              <w:t>N</w:t>
            </w:r>
          </w:p>
          <w:p>
            <w:pPr>
              <w:jc w:val="center"/>
              <w:rPr>
                <w:rFonts w:ascii="宋体" w:hAnsi="宋体" w:cstheme="minorEastAsia"/>
                <w:sz w:val="18"/>
                <w:szCs w:val="18"/>
              </w:rPr>
            </w:pPr>
            <w:r>
              <w:rPr>
                <w:rFonts w:hint="eastAsia" w:ascii="宋体" w:hAnsi="宋体" w:cs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3" w:type="pct"/>
            <w:vAlign w:val="center"/>
          </w:tcPr>
          <w:p>
            <w:pPr>
              <w:pStyle w:val="54"/>
              <w:spacing w:before="167" w:line="181" w:lineRule="auto"/>
              <w:jc w:val="center"/>
              <w:rPr>
                <w:rFonts w:cstheme="minorEastAsia"/>
                <w:lang w:eastAsia="zh-CN"/>
              </w:rPr>
            </w:pPr>
            <w:r>
              <w:rPr>
                <w:rFonts w:hint="eastAsia" w:cstheme="minorEastAsia"/>
                <w:lang w:eastAsia="zh-CN"/>
              </w:rPr>
              <w:t>1</w:t>
            </w:r>
          </w:p>
        </w:tc>
        <w:tc>
          <w:tcPr>
            <w:tcW w:w="462" w:type="pct"/>
            <w:vAlign w:val="center"/>
          </w:tcPr>
          <w:p>
            <w:pPr>
              <w:pStyle w:val="54"/>
              <w:spacing w:before="167" w:line="181" w:lineRule="auto"/>
              <w:ind w:left="85"/>
              <w:jc w:val="center"/>
              <w:rPr>
                <w:rFonts w:cstheme="minorEastAsia"/>
                <w:lang w:eastAsia="zh-CN"/>
              </w:rPr>
            </w:pPr>
            <w:r>
              <w:rPr>
                <w:rFonts w:hint="eastAsia" w:cstheme="minorEastAsia"/>
                <w:lang w:eastAsia="zh-CN"/>
              </w:rPr>
              <w:t>S30408</w:t>
            </w:r>
          </w:p>
        </w:tc>
        <w:tc>
          <w:tcPr>
            <w:tcW w:w="808" w:type="pct"/>
            <w:vAlign w:val="center"/>
          </w:tcPr>
          <w:p>
            <w:pPr>
              <w:pStyle w:val="54"/>
              <w:spacing w:before="167" w:line="181" w:lineRule="auto"/>
              <w:ind w:left="85"/>
              <w:jc w:val="center"/>
              <w:rPr>
                <w:rFonts w:cstheme="minorEastAsia"/>
                <w:lang w:eastAsia="zh-CN"/>
              </w:rPr>
            </w:pPr>
            <w:r>
              <w:rPr>
                <w:rFonts w:hint="eastAsia" w:cstheme="minorEastAsia"/>
                <w:lang w:eastAsia="zh-CN"/>
              </w:rPr>
              <w:t>06Cr19Ni10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0.080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0.75</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2.00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0.030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0.015</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18.0~</w:t>
            </w:r>
          </w:p>
          <w:p>
            <w:pPr>
              <w:jc w:val="center"/>
              <w:rPr>
                <w:rFonts w:ascii="宋体" w:hAnsi="宋体" w:cstheme="minorEastAsia"/>
                <w:sz w:val="18"/>
                <w:szCs w:val="18"/>
              </w:rPr>
            </w:pPr>
            <w:r>
              <w:rPr>
                <w:rFonts w:hint="eastAsia" w:ascii="宋体" w:hAnsi="宋体" w:cstheme="minorEastAsia"/>
                <w:sz w:val="18"/>
                <w:szCs w:val="18"/>
              </w:rPr>
              <w:t>20.0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8.0~</w:t>
            </w:r>
          </w:p>
          <w:p>
            <w:pPr>
              <w:jc w:val="center"/>
              <w:rPr>
                <w:rFonts w:ascii="宋体" w:hAnsi="宋体" w:cstheme="minorEastAsia"/>
                <w:sz w:val="18"/>
                <w:szCs w:val="18"/>
              </w:rPr>
            </w:pPr>
            <w:r>
              <w:rPr>
                <w:rFonts w:hint="eastAsia" w:ascii="宋体" w:hAnsi="宋体" w:cstheme="minorEastAsia"/>
                <w:sz w:val="18"/>
                <w:szCs w:val="18"/>
              </w:rPr>
              <w:t>11.0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w:t>
            </w:r>
          </w:p>
        </w:tc>
        <w:tc>
          <w:tcPr>
            <w:tcW w:w="356" w:type="pct"/>
            <w:vAlign w:val="center"/>
          </w:tcPr>
          <w:p>
            <w:pPr>
              <w:jc w:val="center"/>
              <w:rPr>
                <w:rFonts w:ascii="宋体" w:hAnsi="宋体" w:cstheme="minorEastAsia"/>
                <w:sz w:val="18"/>
                <w:szCs w:val="18"/>
              </w:rPr>
            </w:pPr>
            <w:r>
              <w:rPr>
                <w:rFonts w:hint="eastAsia" w:ascii="宋体" w:hAnsi="宋体" w:cs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3" w:type="pct"/>
            <w:vAlign w:val="center"/>
          </w:tcPr>
          <w:p>
            <w:pPr>
              <w:pStyle w:val="54"/>
              <w:spacing w:before="168" w:line="181" w:lineRule="auto"/>
              <w:jc w:val="center"/>
              <w:rPr>
                <w:rFonts w:cstheme="minorEastAsia"/>
                <w:lang w:eastAsia="zh-CN"/>
              </w:rPr>
            </w:pPr>
            <w:r>
              <w:rPr>
                <w:rFonts w:hint="eastAsia" w:cstheme="minorEastAsia"/>
                <w:lang w:eastAsia="zh-CN"/>
              </w:rPr>
              <w:t>2</w:t>
            </w:r>
          </w:p>
        </w:tc>
        <w:tc>
          <w:tcPr>
            <w:tcW w:w="462" w:type="pct"/>
            <w:vAlign w:val="center"/>
          </w:tcPr>
          <w:p>
            <w:pPr>
              <w:pStyle w:val="54"/>
              <w:spacing w:before="168" w:line="181" w:lineRule="auto"/>
              <w:ind w:left="85"/>
              <w:jc w:val="center"/>
              <w:rPr>
                <w:rFonts w:cstheme="minorEastAsia"/>
                <w:lang w:eastAsia="zh-CN"/>
              </w:rPr>
            </w:pPr>
            <w:r>
              <w:rPr>
                <w:rFonts w:hint="eastAsia" w:cstheme="minorEastAsia"/>
                <w:lang w:eastAsia="zh-CN"/>
              </w:rPr>
              <w:t>S30403</w:t>
            </w:r>
          </w:p>
        </w:tc>
        <w:tc>
          <w:tcPr>
            <w:tcW w:w="808" w:type="pct"/>
            <w:vAlign w:val="center"/>
          </w:tcPr>
          <w:p>
            <w:pPr>
              <w:pStyle w:val="54"/>
              <w:spacing w:before="168" w:line="181" w:lineRule="auto"/>
              <w:ind w:left="85"/>
              <w:jc w:val="center"/>
              <w:rPr>
                <w:rFonts w:cstheme="minorEastAsia"/>
                <w:lang w:eastAsia="zh-CN"/>
              </w:rPr>
            </w:pPr>
            <w:r>
              <w:rPr>
                <w:rFonts w:hint="eastAsia" w:cstheme="minorEastAsia"/>
                <w:lang w:eastAsia="zh-CN"/>
              </w:rPr>
              <w:t>022Cr19Ni10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0.030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0.75</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2.00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0.030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0.015</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18.0~</w:t>
            </w:r>
          </w:p>
          <w:p>
            <w:pPr>
              <w:jc w:val="center"/>
              <w:rPr>
                <w:rFonts w:ascii="宋体" w:hAnsi="宋体" w:cstheme="minorEastAsia"/>
                <w:sz w:val="18"/>
                <w:szCs w:val="18"/>
              </w:rPr>
            </w:pPr>
            <w:r>
              <w:rPr>
                <w:rFonts w:hint="eastAsia" w:ascii="宋体" w:hAnsi="宋体" w:cstheme="minorEastAsia"/>
                <w:sz w:val="18"/>
                <w:szCs w:val="18"/>
              </w:rPr>
              <w:t>20.0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9.0~</w:t>
            </w:r>
          </w:p>
          <w:p>
            <w:pPr>
              <w:jc w:val="center"/>
              <w:rPr>
                <w:rFonts w:ascii="宋体" w:hAnsi="宋体" w:cstheme="minorEastAsia"/>
                <w:sz w:val="18"/>
                <w:szCs w:val="18"/>
              </w:rPr>
            </w:pPr>
            <w:r>
              <w:rPr>
                <w:rFonts w:hint="eastAsia" w:ascii="宋体" w:hAnsi="宋体" w:cstheme="minorEastAsia"/>
                <w:sz w:val="18"/>
                <w:szCs w:val="18"/>
              </w:rPr>
              <w:t>12.0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1.00</w:t>
            </w:r>
          </w:p>
        </w:tc>
        <w:tc>
          <w:tcPr>
            <w:tcW w:w="356" w:type="pct"/>
            <w:vAlign w:val="center"/>
          </w:tcPr>
          <w:p>
            <w:pPr>
              <w:jc w:val="center"/>
              <w:rPr>
                <w:rFonts w:ascii="宋体" w:hAnsi="宋体" w:cstheme="minorEastAsia"/>
                <w:sz w:val="18"/>
                <w:szCs w:val="18"/>
              </w:rPr>
            </w:pPr>
            <w:r>
              <w:rPr>
                <w:rFonts w:hint="eastAsia" w:ascii="宋体" w:hAnsi="宋体" w:cs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3" w:type="pct"/>
            <w:vAlign w:val="center"/>
          </w:tcPr>
          <w:p>
            <w:pPr>
              <w:pStyle w:val="54"/>
              <w:spacing w:before="170" w:line="181" w:lineRule="auto"/>
              <w:jc w:val="center"/>
              <w:rPr>
                <w:rFonts w:cstheme="minorEastAsia"/>
                <w:lang w:eastAsia="zh-CN"/>
              </w:rPr>
            </w:pPr>
            <w:r>
              <w:rPr>
                <w:rFonts w:hint="eastAsia" w:cstheme="minorEastAsia"/>
                <w:lang w:eastAsia="zh-CN"/>
              </w:rPr>
              <w:t>3</w:t>
            </w:r>
          </w:p>
        </w:tc>
        <w:tc>
          <w:tcPr>
            <w:tcW w:w="462" w:type="pct"/>
            <w:vAlign w:val="center"/>
          </w:tcPr>
          <w:p>
            <w:pPr>
              <w:pStyle w:val="54"/>
              <w:spacing w:before="170" w:line="181" w:lineRule="auto"/>
              <w:ind w:left="85"/>
              <w:jc w:val="center"/>
              <w:rPr>
                <w:rFonts w:cstheme="minorEastAsia"/>
                <w:lang w:eastAsia="zh-CN"/>
              </w:rPr>
            </w:pPr>
            <w:r>
              <w:rPr>
                <w:rFonts w:hint="eastAsia" w:cstheme="minorEastAsia"/>
                <w:lang w:eastAsia="zh-CN"/>
              </w:rPr>
              <w:t>S30453</w:t>
            </w:r>
          </w:p>
        </w:tc>
        <w:tc>
          <w:tcPr>
            <w:tcW w:w="808" w:type="pct"/>
            <w:vAlign w:val="center"/>
          </w:tcPr>
          <w:p>
            <w:pPr>
              <w:pStyle w:val="54"/>
              <w:spacing w:before="170" w:line="181" w:lineRule="auto"/>
              <w:ind w:left="85"/>
              <w:jc w:val="center"/>
              <w:rPr>
                <w:rFonts w:cstheme="minorEastAsia"/>
                <w:lang w:eastAsia="zh-CN"/>
              </w:rPr>
            </w:pPr>
            <w:r>
              <w:rPr>
                <w:rFonts w:hint="eastAsia" w:cstheme="minorEastAsia"/>
                <w:lang w:eastAsia="zh-CN"/>
              </w:rPr>
              <w:t>022Cr19Ni10N</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0.035</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1.00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2.00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0.030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0.015</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18.5~</w:t>
            </w:r>
          </w:p>
          <w:p>
            <w:pPr>
              <w:jc w:val="center"/>
              <w:rPr>
                <w:rFonts w:ascii="宋体" w:hAnsi="宋体" w:cstheme="minorEastAsia"/>
                <w:sz w:val="18"/>
                <w:szCs w:val="18"/>
              </w:rPr>
            </w:pPr>
            <w:r>
              <w:rPr>
                <w:rFonts w:hint="eastAsia" w:ascii="宋体" w:hAnsi="宋体" w:cstheme="minorEastAsia"/>
                <w:sz w:val="18"/>
                <w:szCs w:val="18"/>
              </w:rPr>
              <w:t>20.0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9.0~</w:t>
            </w:r>
          </w:p>
          <w:p>
            <w:pPr>
              <w:jc w:val="center"/>
              <w:rPr>
                <w:rFonts w:ascii="宋体" w:hAnsi="宋体" w:cstheme="minorEastAsia"/>
                <w:sz w:val="18"/>
                <w:szCs w:val="18"/>
              </w:rPr>
            </w:pPr>
            <w:r>
              <w:rPr>
                <w:rFonts w:hint="eastAsia" w:ascii="宋体" w:hAnsi="宋体" w:cstheme="minorEastAsia"/>
                <w:sz w:val="18"/>
                <w:szCs w:val="18"/>
              </w:rPr>
              <w:t>10.0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1.00</w:t>
            </w:r>
          </w:p>
        </w:tc>
        <w:tc>
          <w:tcPr>
            <w:tcW w:w="356" w:type="pct"/>
            <w:vAlign w:val="center"/>
          </w:tcPr>
          <w:p>
            <w:pPr>
              <w:jc w:val="center"/>
              <w:rPr>
                <w:rFonts w:ascii="宋体" w:hAnsi="宋体" w:cstheme="minorEastAsia"/>
                <w:sz w:val="18"/>
                <w:szCs w:val="18"/>
              </w:rPr>
            </w:pPr>
            <w:r>
              <w:rPr>
                <w:rFonts w:hint="eastAsia" w:ascii="宋体" w:hAnsi="宋体" w:cstheme="minorEastAsia"/>
                <w:sz w:val="18"/>
                <w:szCs w:val="18"/>
              </w:rPr>
              <w:t>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3" w:type="pct"/>
            <w:vAlign w:val="center"/>
          </w:tcPr>
          <w:p>
            <w:pPr>
              <w:pStyle w:val="54"/>
              <w:spacing w:before="171" w:line="182" w:lineRule="auto"/>
              <w:jc w:val="center"/>
              <w:rPr>
                <w:rFonts w:cstheme="minorEastAsia"/>
                <w:lang w:eastAsia="zh-CN"/>
              </w:rPr>
            </w:pPr>
            <w:r>
              <w:rPr>
                <w:rFonts w:hint="eastAsia" w:cstheme="minorEastAsia"/>
                <w:lang w:eastAsia="zh-CN"/>
              </w:rPr>
              <w:t>4</w:t>
            </w:r>
          </w:p>
        </w:tc>
        <w:tc>
          <w:tcPr>
            <w:tcW w:w="462" w:type="pct"/>
            <w:vAlign w:val="center"/>
          </w:tcPr>
          <w:p>
            <w:pPr>
              <w:pStyle w:val="54"/>
              <w:spacing w:before="171" w:line="182" w:lineRule="auto"/>
              <w:ind w:left="85"/>
              <w:jc w:val="center"/>
              <w:rPr>
                <w:rFonts w:cstheme="minorEastAsia"/>
                <w:lang w:eastAsia="zh-CN"/>
              </w:rPr>
            </w:pPr>
            <w:r>
              <w:rPr>
                <w:rFonts w:hint="eastAsia" w:cstheme="minorEastAsia"/>
                <w:lang w:eastAsia="zh-CN"/>
              </w:rPr>
              <w:t>S31608</w:t>
            </w:r>
          </w:p>
        </w:tc>
        <w:tc>
          <w:tcPr>
            <w:tcW w:w="808" w:type="pct"/>
            <w:vAlign w:val="center"/>
          </w:tcPr>
          <w:p>
            <w:pPr>
              <w:pStyle w:val="54"/>
              <w:spacing w:before="171" w:line="182" w:lineRule="auto"/>
              <w:ind w:left="85"/>
              <w:jc w:val="center"/>
              <w:rPr>
                <w:rFonts w:cstheme="minorEastAsia"/>
                <w:lang w:eastAsia="zh-CN"/>
              </w:rPr>
            </w:pPr>
            <w:r>
              <w:rPr>
                <w:rFonts w:hint="eastAsia" w:cstheme="minorEastAsia"/>
                <w:lang w:eastAsia="zh-CN"/>
              </w:rPr>
              <w:t>06Cr17Ni12</w:t>
            </w:r>
            <w:r>
              <w:rPr>
                <w:rFonts w:cstheme="minorEastAsia"/>
                <w:lang w:eastAsia="zh-CN"/>
              </w:rPr>
              <w:t>Mo</w:t>
            </w:r>
            <w:r>
              <w:rPr>
                <w:rFonts w:hint="eastAsia" w:cstheme="minorEastAsia"/>
                <w:lang w:eastAsia="zh-CN"/>
              </w:rPr>
              <w:t>2</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0.080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0.75</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2.00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0.030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0.015</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16.0~</w:t>
            </w:r>
          </w:p>
          <w:p>
            <w:pPr>
              <w:jc w:val="center"/>
              <w:rPr>
                <w:rFonts w:ascii="宋体" w:hAnsi="宋体" w:cstheme="minorEastAsia"/>
                <w:sz w:val="18"/>
                <w:szCs w:val="18"/>
              </w:rPr>
            </w:pPr>
            <w:r>
              <w:rPr>
                <w:rFonts w:hint="eastAsia" w:ascii="宋体" w:hAnsi="宋体" w:cstheme="minorEastAsia"/>
                <w:sz w:val="18"/>
                <w:szCs w:val="18"/>
              </w:rPr>
              <w:t>19.0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11.0~</w:t>
            </w:r>
          </w:p>
          <w:p>
            <w:pPr>
              <w:jc w:val="center"/>
              <w:rPr>
                <w:rFonts w:ascii="宋体" w:hAnsi="宋体" w:cstheme="minorEastAsia"/>
                <w:sz w:val="18"/>
                <w:szCs w:val="18"/>
              </w:rPr>
            </w:pPr>
            <w:r>
              <w:rPr>
                <w:rFonts w:hint="eastAsia" w:ascii="宋体" w:hAnsi="宋体" w:cstheme="minorEastAsia"/>
                <w:sz w:val="18"/>
                <w:szCs w:val="18"/>
              </w:rPr>
              <w:t>14.0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2.0~</w:t>
            </w:r>
          </w:p>
          <w:p>
            <w:pPr>
              <w:jc w:val="center"/>
              <w:rPr>
                <w:rFonts w:ascii="宋体" w:hAnsi="宋体" w:cstheme="minorEastAsia"/>
                <w:sz w:val="18"/>
                <w:szCs w:val="18"/>
              </w:rPr>
            </w:pPr>
            <w:r>
              <w:rPr>
                <w:rFonts w:hint="eastAsia" w:ascii="宋体" w:hAnsi="宋体" w:cstheme="minorEastAsia"/>
                <w:sz w:val="18"/>
                <w:szCs w:val="18"/>
              </w:rPr>
              <w:t>2.50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w:t>
            </w:r>
          </w:p>
        </w:tc>
        <w:tc>
          <w:tcPr>
            <w:tcW w:w="356" w:type="pct"/>
            <w:vAlign w:val="center"/>
          </w:tcPr>
          <w:p>
            <w:pPr>
              <w:jc w:val="center"/>
              <w:rPr>
                <w:rFonts w:ascii="宋体" w:hAnsi="宋体" w:cstheme="minorEastAsia"/>
                <w:sz w:val="18"/>
                <w:szCs w:val="18"/>
              </w:rPr>
            </w:pPr>
            <w:r>
              <w:rPr>
                <w:rFonts w:hint="eastAsia" w:ascii="宋体" w:hAnsi="宋体" w:cs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3" w:type="pct"/>
            <w:vAlign w:val="center"/>
          </w:tcPr>
          <w:p>
            <w:pPr>
              <w:pStyle w:val="54"/>
              <w:spacing w:before="172" w:line="182" w:lineRule="auto"/>
              <w:jc w:val="center"/>
              <w:rPr>
                <w:rFonts w:cstheme="minorEastAsia"/>
                <w:lang w:eastAsia="zh-CN"/>
              </w:rPr>
            </w:pPr>
            <w:r>
              <w:rPr>
                <w:rFonts w:hint="eastAsia" w:cstheme="minorEastAsia"/>
                <w:lang w:eastAsia="zh-CN"/>
              </w:rPr>
              <w:t>5</w:t>
            </w:r>
          </w:p>
        </w:tc>
        <w:tc>
          <w:tcPr>
            <w:tcW w:w="462" w:type="pct"/>
            <w:vAlign w:val="center"/>
          </w:tcPr>
          <w:p>
            <w:pPr>
              <w:pStyle w:val="54"/>
              <w:spacing w:before="172" w:line="182" w:lineRule="auto"/>
              <w:ind w:left="85"/>
              <w:jc w:val="center"/>
              <w:rPr>
                <w:rFonts w:cstheme="minorEastAsia"/>
                <w:lang w:eastAsia="zh-CN"/>
              </w:rPr>
            </w:pPr>
            <w:r>
              <w:rPr>
                <w:rFonts w:hint="eastAsia" w:cstheme="minorEastAsia"/>
                <w:lang w:eastAsia="zh-CN"/>
              </w:rPr>
              <w:t>S31603</w:t>
            </w:r>
          </w:p>
        </w:tc>
        <w:tc>
          <w:tcPr>
            <w:tcW w:w="808" w:type="pct"/>
            <w:vAlign w:val="center"/>
          </w:tcPr>
          <w:p>
            <w:pPr>
              <w:pStyle w:val="54"/>
              <w:spacing w:before="172" w:line="182" w:lineRule="auto"/>
              <w:ind w:left="85"/>
              <w:jc w:val="center"/>
              <w:rPr>
                <w:rFonts w:cstheme="minorEastAsia"/>
                <w:lang w:eastAsia="zh-CN"/>
              </w:rPr>
            </w:pPr>
            <w:r>
              <w:rPr>
                <w:rFonts w:hint="eastAsia" w:cstheme="minorEastAsia"/>
                <w:lang w:eastAsia="zh-CN"/>
              </w:rPr>
              <w:t>022Cr17Ni12</w:t>
            </w:r>
            <w:r>
              <w:rPr>
                <w:rFonts w:cstheme="minorEastAsia"/>
                <w:lang w:eastAsia="zh-CN"/>
              </w:rPr>
              <w:t>Mo</w:t>
            </w:r>
            <w:r>
              <w:rPr>
                <w:rFonts w:hint="eastAsia" w:cstheme="minorEastAsia"/>
                <w:lang w:eastAsia="zh-CN"/>
              </w:rPr>
              <w:t>2</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0.030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0.75</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2.00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0.030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0.015</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16.0~</w:t>
            </w:r>
          </w:p>
          <w:p>
            <w:pPr>
              <w:jc w:val="center"/>
              <w:rPr>
                <w:rFonts w:ascii="宋体" w:hAnsi="宋体" w:cstheme="minorEastAsia"/>
                <w:sz w:val="18"/>
                <w:szCs w:val="18"/>
              </w:rPr>
            </w:pPr>
            <w:r>
              <w:rPr>
                <w:rFonts w:hint="eastAsia" w:ascii="宋体" w:hAnsi="宋体" w:cstheme="minorEastAsia"/>
                <w:sz w:val="18"/>
                <w:szCs w:val="18"/>
              </w:rPr>
              <w:t>19.0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10.0~</w:t>
            </w:r>
          </w:p>
          <w:p>
            <w:pPr>
              <w:jc w:val="center"/>
              <w:rPr>
                <w:rFonts w:ascii="宋体" w:hAnsi="宋体" w:cstheme="minorEastAsia"/>
                <w:sz w:val="18"/>
                <w:szCs w:val="18"/>
              </w:rPr>
            </w:pPr>
            <w:r>
              <w:rPr>
                <w:rFonts w:hint="eastAsia" w:ascii="宋体" w:hAnsi="宋体" w:cstheme="minorEastAsia"/>
                <w:sz w:val="18"/>
                <w:szCs w:val="18"/>
              </w:rPr>
              <w:t>14.0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2.0~</w:t>
            </w:r>
          </w:p>
          <w:p>
            <w:pPr>
              <w:jc w:val="center"/>
              <w:rPr>
                <w:rFonts w:ascii="宋体" w:hAnsi="宋体" w:cstheme="minorEastAsia"/>
                <w:sz w:val="18"/>
                <w:szCs w:val="18"/>
              </w:rPr>
            </w:pPr>
            <w:r>
              <w:rPr>
                <w:rFonts w:hint="eastAsia" w:ascii="宋体" w:hAnsi="宋体" w:cstheme="minorEastAsia"/>
                <w:sz w:val="18"/>
                <w:szCs w:val="18"/>
              </w:rPr>
              <w:t>2.50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1.00</w:t>
            </w:r>
          </w:p>
        </w:tc>
        <w:tc>
          <w:tcPr>
            <w:tcW w:w="356" w:type="pct"/>
            <w:vAlign w:val="center"/>
          </w:tcPr>
          <w:p>
            <w:pPr>
              <w:jc w:val="center"/>
              <w:rPr>
                <w:rFonts w:ascii="宋体" w:hAnsi="宋体" w:cstheme="minorEastAsia"/>
                <w:sz w:val="18"/>
                <w:szCs w:val="18"/>
              </w:rPr>
            </w:pPr>
            <w:r>
              <w:rPr>
                <w:rFonts w:hint="eastAsia" w:ascii="宋体" w:hAnsi="宋体" w:cs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3" w:type="pct"/>
            <w:vAlign w:val="center"/>
          </w:tcPr>
          <w:p>
            <w:pPr>
              <w:pStyle w:val="54"/>
              <w:spacing w:before="171" w:line="182" w:lineRule="auto"/>
              <w:jc w:val="center"/>
              <w:rPr>
                <w:rFonts w:cstheme="minorEastAsia"/>
                <w:lang w:eastAsia="zh-CN"/>
              </w:rPr>
            </w:pPr>
            <w:r>
              <w:rPr>
                <w:rFonts w:hint="eastAsia" w:cstheme="minorEastAsia"/>
                <w:lang w:eastAsia="zh-CN"/>
              </w:rPr>
              <w:t>6</w:t>
            </w:r>
          </w:p>
        </w:tc>
        <w:tc>
          <w:tcPr>
            <w:tcW w:w="462" w:type="pct"/>
            <w:vAlign w:val="center"/>
          </w:tcPr>
          <w:p>
            <w:pPr>
              <w:pStyle w:val="54"/>
              <w:spacing w:before="171" w:line="182" w:lineRule="auto"/>
              <w:ind w:left="85"/>
              <w:jc w:val="center"/>
              <w:rPr>
                <w:rFonts w:cstheme="minorEastAsia"/>
                <w:lang w:eastAsia="zh-CN"/>
              </w:rPr>
            </w:pPr>
            <w:r>
              <w:rPr>
                <w:rFonts w:hint="eastAsia" w:cstheme="minorEastAsia"/>
                <w:lang w:eastAsia="zh-CN"/>
              </w:rPr>
              <w:t>S31653</w:t>
            </w:r>
          </w:p>
        </w:tc>
        <w:tc>
          <w:tcPr>
            <w:tcW w:w="808" w:type="pct"/>
            <w:vAlign w:val="center"/>
          </w:tcPr>
          <w:p>
            <w:pPr>
              <w:pStyle w:val="54"/>
              <w:spacing w:before="171" w:line="182" w:lineRule="auto"/>
              <w:ind w:left="85"/>
              <w:jc w:val="center"/>
              <w:rPr>
                <w:rFonts w:cstheme="minorEastAsia"/>
                <w:lang w:eastAsia="zh-CN"/>
              </w:rPr>
            </w:pPr>
            <w:r>
              <w:rPr>
                <w:rFonts w:hint="eastAsia" w:cstheme="minorEastAsia"/>
                <w:lang w:eastAsia="zh-CN"/>
              </w:rPr>
              <w:t>022Cr17Ni12</w:t>
            </w:r>
            <w:r>
              <w:rPr>
                <w:rFonts w:cstheme="minorEastAsia"/>
                <w:lang w:eastAsia="zh-CN"/>
              </w:rPr>
              <w:t>Mo</w:t>
            </w:r>
            <w:r>
              <w:rPr>
                <w:rFonts w:hint="eastAsia" w:cstheme="minorEastAsia"/>
                <w:lang w:eastAsia="zh-CN"/>
              </w:rPr>
              <w:t>2N</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0.035</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1.00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2.00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0.030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0.015</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17.0~</w:t>
            </w:r>
          </w:p>
          <w:p>
            <w:pPr>
              <w:jc w:val="center"/>
              <w:rPr>
                <w:rFonts w:ascii="宋体" w:hAnsi="宋体" w:cstheme="minorEastAsia"/>
                <w:sz w:val="18"/>
                <w:szCs w:val="18"/>
              </w:rPr>
            </w:pPr>
            <w:r>
              <w:rPr>
                <w:rFonts w:hint="eastAsia" w:ascii="宋体" w:hAnsi="宋体" w:cstheme="minorEastAsia"/>
                <w:sz w:val="18"/>
                <w:szCs w:val="18"/>
              </w:rPr>
              <w:t>18.0</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11.5~</w:t>
            </w:r>
          </w:p>
          <w:p>
            <w:pPr>
              <w:jc w:val="center"/>
              <w:rPr>
                <w:rFonts w:ascii="宋体" w:hAnsi="宋体" w:cstheme="minorEastAsia"/>
                <w:sz w:val="18"/>
                <w:szCs w:val="18"/>
              </w:rPr>
            </w:pPr>
            <w:r>
              <w:rPr>
                <w:rFonts w:hint="eastAsia" w:ascii="宋体" w:hAnsi="宋体" w:cstheme="minorEastAsia"/>
                <w:sz w:val="18"/>
                <w:szCs w:val="18"/>
              </w:rPr>
              <w:t>12.5</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2.25~</w:t>
            </w:r>
          </w:p>
          <w:p>
            <w:pPr>
              <w:jc w:val="center"/>
              <w:rPr>
                <w:rFonts w:ascii="宋体" w:hAnsi="宋体" w:cstheme="minorEastAsia"/>
                <w:sz w:val="18"/>
                <w:szCs w:val="18"/>
              </w:rPr>
            </w:pPr>
            <w:r>
              <w:rPr>
                <w:rFonts w:hint="eastAsia" w:ascii="宋体" w:hAnsi="宋体" w:cstheme="minorEastAsia"/>
                <w:sz w:val="18"/>
                <w:szCs w:val="18"/>
              </w:rPr>
              <w:t>2.75</w:t>
            </w:r>
          </w:p>
        </w:tc>
        <w:tc>
          <w:tcPr>
            <w:tcW w:w="354" w:type="pct"/>
            <w:vAlign w:val="center"/>
          </w:tcPr>
          <w:p>
            <w:pPr>
              <w:jc w:val="center"/>
              <w:rPr>
                <w:rFonts w:ascii="宋体" w:hAnsi="宋体" w:cstheme="minorEastAsia"/>
                <w:sz w:val="18"/>
                <w:szCs w:val="18"/>
              </w:rPr>
            </w:pPr>
            <w:r>
              <w:rPr>
                <w:rFonts w:hint="eastAsia" w:ascii="宋体" w:hAnsi="宋体" w:cstheme="minorEastAsia"/>
                <w:sz w:val="18"/>
                <w:szCs w:val="18"/>
              </w:rPr>
              <w:t>1.00</w:t>
            </w:r>
          </w:p>
        </w:tc>
        <w:tc>
          <w:tcPr>
            <w:tcW w:w="356" w:type="pct"/>
            <w:vAlign w:val="center"/>
          </w:tcPr>
          <w:p>
            <w:pPr>
              <w:jc w:val="center"/>
              <w:rPr>
                <w:rFonts w:ascii="宋体" w:hAnsi="宋体" w:cstheme="minorEastAsia"/>
                <w:sz w:val="18"/>
                <w:szCs w:val="18"/>
              </w:rPr>
            </w:pPr>
            <w:r>
              <w:rPr>
                <w:rFonts w:hint="eastAsia" w:ascii="宋体" w:hAnsi="宋体" w:cstheme="minorEastAsia"/>
                <w:sz w:val="18"/>
                <w:szCs w:val="18"/>
              </w:rPr>
              <w:t>0.080</w:t>
            </w:r>
          </w:p>
        </w:tc>
      </w:tr>
    </w:tbl>
    <w:p>
      <w:pPr>
        <w:pStyle w:val="27"/>
        <w:numPr>
          <w:ilvl w:val="2"/>
          <w:numId w:val="3"/>
        </w:numPr>
        <w:spacing w:before="156" w:after="156"/>
        <w:ind w:left="0" w:firstLine="0"/>
        <w:rPr>
          <w:rFonts w:ascii="宋体" w:hAnsi="宋体" w:eastAsia="宋体" w:cs="宋体"/>
        </w:rPr>
      </w:pPr>
      <w:r>
        <w:rPr>
          <w:rFonts w:hint="eastAsia" w:ascii="宋体" w:hAnsi="宋体" w:eastAsia="宋体" w:cs="宋体"/>
        </w:rPr>
        <w:t>钢管应进行化学成分的成品分析，成品化学成分允许偏差应符合GB/T 222的规定。</w:t>
      </w:r>
    </w:p>
    <w:p>
      <w:pPr>
        <w:pStyle w:val="27"/>
        <w:numPr>
          <w:ilvl w:val="2"/>
          <w:numId w:val="3"/>
        </w:numPr>
        <w:spacing w:before="156" w:after="156"/>
        <w:ind w:left="0" w:firstLine="0"/>
        <w:rPr>
          <w:rFonts w:ascii="宋体" w:hAnsi="宋体" w:eastAsia="宋体" w:cs="宋体"/>
        </w:rPr>
      </w:pPr>
      <w:r>
        <w:rPr>
          <w:rFonts w:hint="eastAsia" w:ascii="宋体" w:hAnsi="宋体" w:eastAsia="宋体" w:cs="宋体"/>
        </w:rPr>
        <w:t>根据需方要求，经供需双方协商，并在合同中注明，供方可分析并报告钢中气体元素氢、氧的含量。</w:t>
      </w:r>
    </w:p>
    <w:p>
      <w:pPr>
        <w:pStyle w:val="22"/>
        <w:numPr>
          <w:ilvl w:val="1"/>
          <w:numId w:val="3"/>
        </w:numPr>
        <w:spacing w:before="156" w:after="156"/>
        <w:ind w:left="0" w:firstLine="0"/>
        <w:rPr>
          <w:rFonts w:ascii="Times New Roman"/>
        </w:rPr>
      </w:pPr>
      <w:r>
        <w:rPr>
          <w:rFonts w:hint="eastAsia" w:ascii="Times New Roman"/>
        </w:rPr>
        <w:t>制造方法</w:t>
      </w:r>
    </w:p>
    <w:p>
      <w:pPr>
        <w:pStyle w:val="27"/>
        <w:numPr>
          <w:ilvl w:val="2"/>
          <w:numId w:val="3"/>
        </w:numPr>
        <w:tabs>
          <w:tab w:val="left" w:pos="0"/>
        </w:tabs>
        <w:spacing w:before="156" w:after="156"/>
        <w:ind w:left="0" w:firstLine="0"/>
        <w:rPr>
          <w:rFonts w:ascii="宋体" w:hAnsi="宋体" w:eastAsia="宋体" w:cs="宋体"/>
          <w:lang w:val="zh-CN"/>
        </w:rPr>
      </w:pPr>
      <w:r>
        <w:rPr>
          <w:rFonts w:hint="eastAsia" w:ascii="宋体" w:hAnsi="宋体" w:eastAsia="宋体" w:cs="宋体"/>
          <w:lang w:val="zh-CN"/>
        </w:rPr>
        <w:t>冶炼方法</w:t>
      </w:r>
    </w:p>
    <w:p>
      <w:pPr>
        <w:spacing w:line="360" w:lineRule="exact"/>
        <w:ind w:firstLine="420" w:firstLineChars="200"/>
      </w:pPr>
      <w:r>
        <w:rPr>
          <w:rFonts w:hint="eastAsia"/>
        </w:rPr>
        <w:t>钢应采用电炉或转炉冶炼，并经炉外精炼，也可采用电渣重熔冶炼。经供需双方协商，并在合同中注明，也可采用其他更高要求的方法冶炼。</w:t>
      </w:r>
    </w:p>
    <w:p>
      <w:pPr>
        <w:pStyle w:val="27"/>
        <w:numPr>
          <w:ilvl w:val="2"/>
          <w:numId w:val="3"/>
        </w:numPr>
        <w:tabs>
          <w:tab w:val="left" w:pos="0"/>
        </w:tabs>
        <w:spacing w:before="156" w:after="156"/>
        <w:ind w:left="0" w:firstLine="0"/>
        <w:rPr>
          <w:rFonts w:ascii="宋体" w:hAnsi="宋体" w:eastAsia="宋体" w:cs="宋体"/>
          <w:lang w:val="zh-CN"/>
        </w:rPr>
      </w:pPr>
      <w:r>
        <w:rPr>
          <w:rFonts w:hint="eastAsia" w:ascii="宋体" w:hAnsi="宋体" w:eastAsia="宋体" w:cs="宋体"/>
          <w:lang w:val="zh-CN"/>
        </w:rPr>
        <w:t>管坯制造方法及要求</w:t>
      </w:r>
    </w:p>
    <w:p>
      <w:pPr>
        <w:spacing w:line="360" w:lineRule="exact"/>
        <w:ind w:firstLine="420" w:firstLineChars="200"/>
      </w:pPr>
      <w:r>
        <w:rPr>
          <w:rFonts w:hint="eastAsia"/>
        </w:rPr>
        <w:t>管坯应采用热轧（锻）方法制造，其加工变形总延伸系数应不小于4。</w:t>
      </w:r>
    </w:p>
    <w:p>
      <w:pPr>
        <w:spacing w:line="360" w:lineRule="exact"/>
        <w:ind w:firstLine="360" w:firstLineChars="200"/>
        <w:rPr>
          <w:sz w:val="18"/>
          <w:szCs w:val="18"/>
        </w:rPr>
      </w:pPr>
      <w:r>
        <w:rPr>
          <w:rFonts w:hint="eastAsia"/>
          <w:sz w:val="18"/>
          <w:szCs w:val="18"/>
        </w:rPr>
        <w:t>注：加工变形总延伸系数通常用变形前后的截面积比、长度比或高度比来表示。</w:t>
      </w:r>
    </w:p>
    <w:p>
      <w:pPr>
        <w:pStyle w:val="27"/>
        <w:numPr>
          <w:ilvl w:val="2"/>
          <w:numId w:val="3"/>
        </w:numPr>
        <w:tabs>
          <w:tab w:val="left" w:pos="0"/>
        </w:tabs>
        <w:spacing w:before="156" w:after="156"/>
        <w:ind w:left="0" w:firstLine="0"/>
        <w:rPr>
          <w:rFonts w:ascii="宋体" w:hAnsi="宋体" w:eastAsia="宋体" w:cs="宋体"/>
          <w:lang w:val="zh-CN"/>
        </w:rPr>
      </w:pPr>
      <w:r>
        <w:rPr>
          <w:rFonts w:hint="eastAsia" w:ascii="宋体" w:hAnsi="宋体" w:eastAsia="宋体" w:cs="宋体"/>
          <w:lang w:val="zh-CN"/>
        </w:rPr>
        <w:t>钢管制造方法</w:t>
      </w:r>
    </w:p>
    <w:p>
      <w:pPr>
        <w:spacing w:line="360" w:lineRule="exact"/>
        <w:ind w:firstLine="420" w:firstLineChars="200"/>
      </w:pPr>
      <w:r>
        <w:rPr>
          <w:rFonts w:hint="eastAsia"/>
        </w:rPr>
        <w:t>钢管应采用热挤压、冷轧（拔）无缝方法制造。需方指定某一种制造方法时，应在合同中注明。</w:t>
      </w:r>
    </w:p>
    <w:p>
      <w:pPr>
        <w:pStyle w:val="22"/>
        <w:numPr>
          <w:ilvl w:val="1"/>
          <w:numId w:val="3"/>
        </w:numPr>
        <w:spacing w:before="156" w:after="156"/>
        <w:ind w:left="0" w:firstLine="0"/>
        <w:rPr>
          <w:rFonts w:ascii="Times New Roman"/>
        </w:rPr>
      </w:pPr>
      <w:r>
        <w:rPr>
          <w:rFonts w:hint="eastAsia" w:ascii="Times New Roman"/>
        </w:rPr>
        <w:t>交货状态</w:t>
      </w:r>
    </w:p>
    <w:p>
      <w:pPr>
        <w:spacing w:line="360" w:lineRule="exact"/>
        <w:ind w:firstLine="420" w:firstLineChars="200"/>
      </w:pPr>
      <w:r>
        <w:rPr>
          <w:rFonts w:hint="eastAsia"/>
        </w:rPr>
        <w:t>钢管应以表4所列其中一种状态交货。</w:t>
      </w:r>
    </w:p>
    <w:p>
      <w:pPr>
        <w:pStyle w:val="25"/>
        <w:spacing w:before="156" w:after="156"/>
        <w:rPr>
          <w:rFonts w:hAnsi="Calibri"/>
          <w:kern w:val="2"/>
          <w:szCs w:val="21"/>
        </w:rPr>
      </w:pPr>
      <w:r>
        <w:rPr>
          <w:rFonts w:hint="eastAsia" w:hAnsi="Calibri"/>
          <w:kern w:val="2"/>
          <w:szCs w:val="21"/>
        </w:rPr>
        <w:t xml:space="preserve">表 </w:t>
      </w:r>
      <w:r>
        <w:rPr>
          <w:rFonts w:hAnsi="Calibri"/>
          <w:kern w:val="2"/>
          <w:szCs w:val="21"/>
        </w:rPr>
        <w:fldChar w:fldCharType="begin"/>
      </w:r>
      <w:r>
        <w:rPr>
          <w:rFonts w:hAnsi="Calibri"/>
          <w:kern w:val="2"/>
          <w:szCs w:val="21"/>
        </w:rPr>
        <w:instrText xml:space="preserve"> </w:instrText>
      </w:r>
      <w:r>
        <w:rPr>
          <w:rFonts w:hint="eastAsia" w:hAnsi="Calibri"/>
          <w:kern w:val="2"/>
          <w:szCs w:val="21"/>
        </w:rPr>
        <w:instrText xml:space="preserve">SEQ 表 \* ARABIC</w:instrText>
      </w:r>
      <w:r>
        <w:rPr>
          <w:rFonts w:hAnsi="Calibri"/>
          <w:kern w:val="2"/>
          <w:szCs w:val="21"/>
        </w:rPr>
        <w:instrText xml:space="preserve"> </w:instrText>
      </w:r>
      <w:r>
        <w:rPr>
          <w:rFonts w:hAnsi="Calibri"/>
          <w:kern w:val="2"/>
          <w:szCs w:val="21"/>
        </w:rPr>
        <w:fldChar w:fldCharType="separate"/>
      </w:r>
      <w:r>
        <w:rPr>
          <w:rFonts w:hAnsi="Calibri"/>
          <w:kern w:val="2"/>
          <w:szCs w:val="21"/>
        </w:rPr>
        <w:t>4</w:t>
      </w:r>
      <w:r>
        <w:rPr>
          <w:rFonts w:hAnsi="Calibri"/>
          <w:kern w:val="2"/>
          <w:szCs w:val="21"/>
        </w:rPr>
        <w:fldChar w:fldCharType="end"/>
      </w:r>
      <w:r>
        <w:rPr>
          <w:rFonts w:hAnsi="Calibri"/>
          <w:kern w:val="2"/>
          <w:szCs w:val="21"/>
        </w:rPr>
        <w:t xml:space="preserve">  </w:t>
      </w:r>
      <w:r>
        <w:rPr>
          <w:rFonts w:hint="eastAsia" w:hAnsi="Calibri"/>
          <w:kern w:val="2"/>
          <w:szCs w:val="21"/>
        </w:rPr>
        <w:t>钢管的交货状态</w:t>
      </w:r>
    </w:p>
    <w:tbl>
      <w:tblPr>
        <w:tblStyle w:val="53"/>
        <w:tblW w:w="922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8"/>
        <w:gridCol w:w="2162"/>
        <w:gridCol w:w="1081"/>
        <w:gridCol w:w="54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48" w:type="dxa"/>
            <w:tcBorders>
              <w:left w:val="single" w:color="000000" w:sz="6" w:space="0"/>
            </w:tcBorders>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序号</w:t>
            </w:r>
          </w:p>
        </w:tc>
        <w:tc>
          <w:tcPr>
            <w:tcW w:w="2162" w:type="dxa"/>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交货状态</w:t>
            </w:r>
          </w:p>
        </w:tc>
        <w:tc>
          <w:tcPr>
            <w:tcW w:w="1081" w:type="dxa"/>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代号</w:t>
            </w:r>
          </w:p>
        </w:tc>
        <w:tc>
          <w:tcPr>
            <w:tcW w:w="5431" w:type="dxa"/>
            <w:tcBorders>
              <w:right w:val="single" w:color="000000" w:sz="6" w:space="0"/>
            </w:tcBorders>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8" w:type="dxa"/>
            <w:tcBorders>
              <w:left w:val="single" w:color="000000" w:sz="6" w:space="0"/>
            </w:tcBorders>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1</w:t>
            </w:r>
          </w:p>
        </w:tc>
        <w:tc>
          <w:tcPr>
            <w:tcW w:w="2162" w:type="dxa"/>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冷加工／硬</w:t>
            </w:r>
          </w:p>
        </w:tc>
        <w:tc>
          <w:tcPr>
            <w:tcW w:w="1081" w:type="dxa"/>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+C</w:t>
            </w:r>
          </w:p>
        </w:tc>
        <w:tc>
          <w:tcPr>
            <w:tcW w:w="5431" w:type="dxa"/>
            <w:tcBorders>
              <w:right w:val="single" w:color="000000" w:sz="6" w:space="0"/>
            </w:tcBorders>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最终冷加工之后钢管不进行热处理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8" w:type="dxa"/>
            <w:tcBorders>
              <w:left w:val="single" w:color="000000" w:sz="6" w:space="0"/>
            </w:tcBorders>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2</w:t>
            </w:r>
          </w:p>
        </w:tc>
        <w:tc>
          <w:tcPr>
            <w:tcW w:w="2162" w:type="dxa"/>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冷加工／软</w:t>
            </w:r>
          </w:p>
        </w:tc>
        <w:tc>
          <w:tcPr>
            <w:tcW w:w="1081" w:type="dxa"/>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+LC</w:t>
            </w:r>
          </w:p>
        </w:tc>
        <w:tc>
          <w:tcPr>
            <w:tcW w:w="5431" w:type="dxa"/>
            <w:tcBorders>
              <w:right w:val="single" w:color="000000" w:sz="6" w:space="0"/>
            </w:tcBorders>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最终热处理之后进行适当的冷加工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8" w:type="dxa"/>
            <w:tcBorders>
              <w:left w:val="single" w:color="000000" w:sz="6" w:space="0"/>
            </w:tcBorders>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3</w:t>
            </w:r>
          </w:p>
        </w:tc>
        <w:tc>
          <w:tcPr>
            <w:tcW w:w="2162" w:type="dxa"/>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冷加工后消除应力退火</w:t>
            </w:r>
          </w:p>
        </w:tc>
        <w:tc>
          <w:tcPr>
            <w:tcW w:w="1081" w:type="dxa"/>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w:t>
            </w:r>
            <w:r>
              <w:rPr>
                <w:rFonts w:hint="eastAsia" w:ascii="宋体" w:hAnsi="宋体" w:cstheme="minorEastAsia"/>
                <w:sz w:val="18"/>
                <w:szCs w:val="18"/>
              </w:rPr>
              <w:t>S</w:t>
            </w:r>
            <w:r>
              <w:rPr>
                <w:rFonts w:hint="eastAsia" w:ascii="宋体" w:hAnsi="宋体" w:cstheme="minorEastAsia"/>
                <w:sz w:val="18"/>
                <w:szCs w:val="18"/>
                <w:lang w:val="zh-TW"/>
              </w:rPr>
              <w:t>R</w:t>
            </w:r>
          </w:p>
        </w:tc>
        <w:tc>
          <w:tcPr>
            <w:tcW w:w="5431" w:type="dxa"/>
            <w:tcBorders>
              <w:right w:val="single" w:color="000000" w:sz="6" w:space="0"/>
            </w:tcBorders>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最终冷加工后，钢管在控制气氛中进行去应力退火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8" w:type="dxa"/>
            <w:tcBorders>
              <w:left w:val="single" w:color="000000" w:sz="6" w:space="0"/>
            </w:tcBorders>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4</w:t>
            </w:r>
          </w:p>
        </w:tc>
        <w:tc>
          <w:tcPr>
            <w:tcW w:w="2162" w:type="dxa"/>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退火</w:t>
            </w:r>
          </w:p>
        </w:tc>
        <w:tc>
          <w:tcPr>
            <w:tcW w:w="1081" w:type="dxa"/>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+A</w:t>
            </w:r>
          </w:p>
        </w:tc>
        <w:tc>
          <w:tcPr>
            <w:tcW w:w="5431" w:type="dxa"/>
            <w:tcBorders>
              <w:right w:val="single" w:color="000000" w:sz="6" w:space="0"/>
            </w:tcBorders>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最终冷加工之后，钢管在控制气氛中进行完全退火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48" w:type="dxa"/>
            <w:tcBorders>
              <w:left w:val="single" w:color="000000" w:sz="6" w:space="0"/>
            </w:tcBorders>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5</w:t>
            </w:r>
          </w:p>
        </w:tc>
        <w:tc>
          <w:tcPr>
            <w:tcW w:w="2162" w:type="dxa"/>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正火</w:t>
            </w:r>
          </w:p>
        </w:tc>
        <w:tc>
          <w:tcPr>
            <w:tcW w:w="1081" w:type="dxa"/>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+N</w:t>
            </w:r>
          </w:p>
        </w:tc>
        <w:tc>
          <w:tcPr>
            <w:tcW w:w="5431" w:type="dxa"/>
            <w:tcBorders>
              <w:right w:val="single" w:color="000000" w:sz="6" w:space="0"/>
            </w:tcBorders>
          </w:tcPr>
          <w:p>
            <w:pPr>
              <w:spacing w:line="260" w:lineRule="exact"/>
              <w:jc w:val="center"/>
              <w:rPr>
                <w:rFonts w:ascii="宋体" w:hAnsi="宋体" w:cstheme="minorEastAsia"/>
                <w:sz w:val="18"/>
                <w:szCs w:val="18"/>
                <w:lang w:val="zh-TW"/>
              </w:rPr>
            </w:pPr>
            <w:r>
              <w:rPr>
                <w:rFonts w:hint="eastAsia" w:ascii="宋体" w:hAnsi="宋体" w:cstheme="minorEastAsia"/>
                <w:sz w:val="18"/>
                <w:szCs w:val="18"/>
                <w:lang w:val="zh-TW"/>
              </w:rPr>
              <w:t>最终冷加工之后，钢管在控制气氛中进行正火</w:t>
            </w:r>
          </w:p>
        </w:tc>
      </w:tr>
    </w:tbl>
    <w:p>
      <w:pPr>
        <w:pStyle w:val="22"/>
        <w:numPr>
          <w:ilvl w:val="1"/>
          <w:numId w:val="3"/>
        </w:numPr>
        <w:spacing w:before="156" w:after="156"/>
        <w:ind w:left="0" w:firstLine="0"/>
        <w:rPr>
          <w:rFonts w:ascii="Times New Roman"/>
        </w:rPr>
      </w:pPr>
      <w:r>
        <w:rPr>
          <w:rFonts w:hint="eastAsia" w:ascii="Times New Roman"/>
        </w:rPr>
        <w:t>力学性能</w:t>
      </w:r>
    </w:p>
    <w:p>
      <w:pPr>
        <w:spacing w:line="360" w:lineRule="exact"/>
        <w:ind w:firstLine="420" w:firstLineChars="200"/>
      </w:pPr>
      <w:r>
        <w:rPr>
          <w:rFonts w:hint="eastAsia"/>
        </w:rPr>
        <w:t>交货状态钢管的室温力学性能和高温力学性能应符合表5的规定。</w:t>
      </w:r>
    </w:p>
    <w:p>
      <w:pPr>
        <w:spacing w:before="156" w:beforeLines="50" w:after="156" w:afterLines="50" w:line="360" w:lineRule="exact"/>
        <w:jc w:val="center"/>
        <w:rPr>
          <w:rFonts w:ascii="黑体" w:hAnsi="Calibri" w:eastAsia="黑体"/>
          <w:szCs w:val="21"/>
        </w:rPr>
      </w:pPr>
      <w:r>
        <w:rPr>
          <w:rFonts w:hint="eastAsia" w:ascii="黑体" w:hAnsi="Calibri" w:eastAsia="黑体"/>
          <w:szCs w:val="21"/>
        </w:rPr>
        <w:t xml:space="preserve">表 </w:t>
      </w:r>
      <w:r>
        <w:rPr>
          <w:rFonts w:ascii="黑体" w:hAnsi="Calibri" w:eastAsia="黑体"/>
          <w:szCs w:val="21"/>
        </w:rPr>
        <w:fldChar w:fldCharType="begin"/>
      </w:r>
      <w:r>
        <w:rPr>
          <w:rFonts w:ascii="黑体" w:hAnsi="Calibri" w:eastAsia="黑体"/>
          <w:szCs w:val="21"/>
        </w:rPr>
        <w:instrText xml:space="preserve"> </w:instrText>
      </w:r>
      <w:r>
        <w:rPr>
          <w:rFonts w:hint="eastAsia" w:ascii="黑体" w:hAnsi="Calibri" w:eastAsia="黑体"/>
          <w:szCs w:val="21"/>
        </w:rPr>
        <w:instrText xml:space="preserve">SEQ 表 \* ARABIC</w:instrText>
      </w:r>
      <w:r>
        <w:rPr>
          <w:rFonts w:ascii="黑体" w:hAnsi="Calibri" w:eastAsia="黑体"/>
          <w:szCs w:val="21"/>
        </w:rPr>
        <w:instrText xml:space="preserve"> </w:instrText>
      </w:r>
      <w:r>
        <w:rPr>
          <w:rFonts w:ascii="黑体" w:hAnsi="Calibri" w:eastAsia="黑体"/>
          <w:szCs w:val="21"/>
        </w:rPr>
        <w:fldChar w:fldCharType="separate"/>
      </w:r>
      <w:r>
        <w:rPr>
          <w:rFonts w:ascii="黑体" w:hAnsi="Calibri" w:eastAsia="黑体"/>
          <w:szCs w:val="21"/>
        </w:rPr>
        <w:t>5</w:t>
      </w:r>
      <w:r>
        <w:rPr>
          <w:rFonts w:ascii="黑体" w:hAnsi="Calibri" w:eastAsia="黑体"/>
          <w:szCs w:val="21"/>
        </w:rPr>
        <w:fldChar w:fldCharType="end"/>
      </w:r>
      <w:r>
        <w:rPr>
          <w:rFonts w:ascii="黑体" w:hAnsi="Calibri" w:eastAsia="黑体"/>
          <w:szCs w:val="21"/>
        </w:rPr>
        <w:t xml:space="preserve">  </w:t>
      </w:r>
      <w:r>
        <w:rPr>
          <w:rFonts w:hint="eastAsia" w:ascii="黑体" w:hAnsi="Calibri" w:eastAsia="黑体"/>
          <w:szCs w:val="21"/>
        </w:rPr>
        <w:t>力学性能</w:t>
      </w:r>
    </w:p>
    <w:tbl>
      <w:tblPr>
        <w:tblStyle w:val="53"/>
        <w:tblW w:w="501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39"/>
        <w:gridCol w:w="671"/>
        <w:gridCol w:w="1287"/>
        <w:gridCol w:w="981"/>
        <w:gridCol w:w="981"/>
        <w:gridCol w:w="994"/>
        <w:gridCol w:w="981"/>
        <w:gridCol w:w="992"/>
        <w:gridCol w:w="1095"/>
        <w:gridCol w:w="10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81" w:type="pct"/>
            <w:vMerge w:val="restart"/>
            <w:tcBorders>
              <w:top w:val="single" w:color="000000" w:sz="6" w:space="0"/>
              <w:left w:val="single" w:color="000000" w:sz="6" w:space="0"/>
              <w:bottom w:val="nil"/>
            </w:tcBorders>
            <w:textDirection w:val="tbRlV"/>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序 号</w:t>
            </w:r>
          </w:p>
        </w:tc>
        <w:tc>
          <w:tcPr>
            <w:tcW w:w="357" w:type="pct"/>
            <w:vMerge w:val="restart"/>
            <w:tcBorders>
              <w:top w:val="single" w:color="000000" w:sz="6" w:space="0"/>
              <w:bottom w:val="nil"/>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统一数字</w:t>
            </w:r>
          </w:p>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代码</w:t>
            </w:r>
          </w:p>
        </w:tc>
        <w:tc>
          <w:tcPr>
            <w:tcW w:w="685" w:type="pct"/>
            <w:vMerge w:val="restart"/>
            <w:tcBorders>
              <w:top w:val="single" w:color="000000" w:sz="6" w:space="0"/>
              <w:bottom w:val="nil"/>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牌号</w:t>
            </w:r>
          </w:p>
        </w:tc>
        <w:tc>
          <w:tcPr>
            <w:tcW w:w="1573" w:type="pct"/>
            <w:gridSpan w:val="3"/>
            <w:tcBorders>
              <w:top w:val="single" w:color="000000" w:sz="6" w:space="0"/>
              <w:bottom w:val="single" w:color="000000" w:sz="6" w:space="0"/>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室温</w:t>
            </w:r>
          </w:p>
        </w:tc>
        <w:tc>
          <w:tcPr>
            <w:tcW w:w="1050" w:type="pct"/>
            <w:gridSpan w:val="2"/>
            <w:tcBorders>
              <w:top w:val="single" w:color="000000" w:sz="6" w:space="0"/>
              <w:bottom w:val="single" w:color="000000" w:sz="6" w:space="0"/>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350℃</w:t>
            </w:r>
          </w:p>
        </w:tc>
        <w:tc>
          <w:tcPr>
            <w:tcW w:w="583" w:type="pct"/>
            <w:tcBorders>
              <w:top w:val="single" w:color="000000" w:sz="6" w:space="0"/>
              <w:bottom w:val="single" w:color="000000" w:sz="6" w:space="0"/>
              <w:right w:val="single" w:color="000000" w:sz="6" w:space="0"/>
            </w:tcBorders>
            <w:vAlign w:val="center"/>
          </w:tcPr>
          <w:p>
            <w:pPr>
              <w:spacing w:line="260" w:lineRule="exact"/>
              <w:jc w:val="center"/>
              <w:rPr>
                <w:rFonts w:asciiTheme="minorEastAsia" w:hAnsiTheme="minorEastAsia" w:eastAsiaTheme="minorEastAsia" w:cstheme="minorEastAsia"/>
                <w:sz w:val="16"/>
                <w:szCs w:val="16"/>
                <w:vertAlign w:val="superscript"/>
                <w:lang w:val="zh-TW"/>
              </w:rPr>
            </w:pPr>
            <w:r>
              <w:rPr>
                <w:rFonts w:hint="eastAsia" w:asciiTheme="minorEastAsia" w:hAnsiTheme="minorEastAsia" w:eastAsiaTheme="minorEastAsia" w:cstheme="minorEastAsia"/>
                <w:sz w:val="16"/>
                <w:szCs w:val="16"/>
                <w:lang w:val="zh-TW"/>
              </w:rPr>
              <w:t>硬度</w:t>
            </w:r>
            <w:r>
              <w:rPr>
                <w:rFonts w:hint="eastAsia" w:asciiTheme="minorEastAsia" w:hAnsiTheme="minorEastAsia" w:eastAsiaTheme="minorEastAsia" w:cstheme="minorEastAsia"/>
                <w:sz w:val="16"/>
                <w:szCs w:val="16"/>
                <w:vertAlign w:val="superscript"/>
                <w:lang w:val="zh-TW"/>
              </w:rPr>
              <w:t>a）</w:t>
            </w:r>
          </w:p>
        </w:tc>
        <w:tc>
          <w:tcPr>
            <w:tcW w:w="569" w:type="pct"/>
            <w:vMerge w:val="restart"/>
            <w:tcBorders>
              <w:top w:val="single" w:color="000000" w:sz="6" w:space="0"/>
              <w:right w:val="single" w:color="000000" w:sz="6" w:space="0"/>
            </w:tcBorders>
            <w:vAlign w:val="center"/>
          </w:tcPr>
          <w:p>
            <w:pPr>
              <w:spacing w:line="260" w:lineRule="exact"/>
              <w:jc w:val="center"/>
              <w:rPr>
                <w:rFonts w:ascii="宋体" w:hAnsi="宋体" w:cstheme="minorEastAsia"/>
                <w:sz w:val="18"/>
                <w:szCs w:val="18"/>
              </w:rPr>
            </w:pPr>
            <w:r>
              <w:rPr>
                <w:rFonts w:hint="eastAsia" w:ascii="宋体" w:hAnsi="宋体" w:cstheme="minorEastAsia"/>
                <w:sz w:val="18"/>
                <w:szCs w:val="18"/>
              </w:rPr>
              <w:t>密度</w:t>
            </w:r>
          </w:p>
          <w:p>
            <w:pPr>
              <w:spacing w:line="260" w:lineRule="exact"/>
              <w:jc w:val="center"/>
              <w:rPr>
                <w:rFonts w:hint="eastAsia" w:asciiTheme="minorEastAsia" w:hAnsiTheme="minorEastAsia" w:eastAsiaTheme="minorEastAsia" w:cstheme="minorEastAsia"/>
                <w:sz w:val="16"/>
                <w:szCs w:val="16"/>
                <w:lang w:val="zh-TW"/>
              </w:rPr>
            </w:pPr>
            <w:r>
              <w:rPr>
                <w:rFonts w:hint="eastAsia" w:ascii="宋体" w:hAnsi="宋体" w:cstheme="minorEastAsia"/>
                <w:sz w:val="18"/>
                <w:szCs w:val="18"/>
              </w:rPr>
              <w:t>（kg/m</w:t>
            </w:r>
            <w:r>
              <w:rPr>
                <w:rFonts w:hint="eastAsia" w:ascii="宋体" w:hAnsi="宋体" w:cstheme="minorEastAsia"/>
                <w:sz w:val="18"/>
                <w:szCs w:val="18"/>
                <w:vertAlign w:val="superscript"/>
              </w:rPr>
              <w:t>3</w:t>
            </w:r>
            <w:r>
              <w:rPr>
                <w:rFonts w:hint="eastAsia" w:ascii="宋体" w:hAnsi="宋体" w:cstheme="minorEastAsia"/>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81" w:type="pct"/>
            <w:vMerge w:val="continue"/>
            <w:tcBorders>
              <w:top w:val="nil"/>
              <w:left w:val="single" w:color="000000" w:sz="6" w:space="0"/>
              <w:bottom w:val="nil"/>
            </w:tcBorders>
            <w:textDirection w:val="tbRlV"/>
            <w:vAlign w:val="center"/>
          </w:tcPr>
          <w:p>
            <w:pPr>
              <w:spacing w:line="260" w:lineRule="exact"/>
              <w:jc w:val="center"/>
              <w:rPr>
                <w:rFonts w:asciiTheme="minorEastAsia" w:hAnsiTheme="minorEastAsia" w:eastAsiaTheme="minorEastAsia" w:cstheme="minorEastAsia"/>
                <w:sz w:val="16"/>
                <w:szCs w:val="16"/>
                <w:lang w:val="zh-TW"/>
              </w:rPr>
            </w:pPr>
          </w:p>
        </w:tc>
        <w:tc>
          <w:tcPr>
            <w:tcW w:w="357" w:type="pct"/>
            <w:vMerge w:val="continue"/>
            <w:tcBorders>
              <w:top w:val="nil"/>
              <w:bottom w:val="nil"/>
            </w:tcBorders>
            <w:vAlign w:val="center"/>
          </w:tcPr>
          <w:p>
            <w:pPr>
              <w:spacing w:line="260" w:lineRule="exact"/>
              <w:jc w:val="center"/>
              <w:rPr>
                <w:rFonts w:asciiTheme="minorEastAsia" w:hAnsiTheme="minorEastAsia" w:eastAsiaTheme="minorEastAsia" w:cstheme="minorEastAsia"/>
                <w:sz w:val="16"/>
                <w:szCs w:val="16"/>
                <w:lang w:val="zh-TW"/>
              </w:rPr>
            </w:pPr>
          </w:p>
        </w:tc>
        <w:tc>
          <w:tcPr>
            <w:tcW w:w="685" w:type="pct"/>
            <w:vMerge w:val="continue"/>
            <w:tcBorders>
              <w:top w:val="nil"/>
              <w:bottom w:val="nil"/>
            </w:tcBorders>
            <w:vAlign w:val="center"/>
          </w:tcPr>
          <w:p>
            <w:pPr>
              <w:spacing w:line="260" w:lineRule="exact"/>
              <w:jc w:val="center"/>
              <w:rPr>
                <w:rFonts w:asciiTheme="minorEastAsia" w:hAnsiTheme="minorEastAsia" w:eastAsiaTheme="minorEastAsia" w:cstheme="minorEastAsia"/>
                <w:sz w:val="16"/>
                <w:szCs w:val="16"/>
                <w:lang w:val="zh-TW"/>
              </w:rPr>
            </w:pPr>
          </w:p>
        </w:tc>
        <w:tc>
          <w:tcPr>
            <w:tcW w:w="522" w:type="pct"/>
            <w:tcBorders>
              <w:top w:val="single" w:color="000000" w:sz="6" w:space="0"/>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抗拉强度 Rm</w:t>
            </w:r>
          </w:p>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MPa</w:t>
            </w:r>
          </w:p>
        </w:tc>
        <w:tc>
          <w:tcPr>
            <w:tcW w:w="522" w:type="pct"/>
            <w:tcBorders>
              <w:top w:val="single" w:color="000000" w:sz="6" w:space="0"/>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规定塑性延伸</w:t>
            </w:r>
          </w:p>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强度 Rp0.2</w:t>
            </w:r>
          </w:p>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MPa</w:t>
            </w:r>
          </w:p>
        </w:tc>
        <w:tc>
          <w:tcPr>
            <w:tcW w:w="527" w:type="pct"/>
            <w:tcBorders>
              <w:top w:val="single" w:color="000000" w:sz="6" w:space="0"/>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断后伸长率 A %</w:t>
            </w:r>
          </w:p>
        </w:tc>
        <w:tc>
          <w:tcPr>
            <w:tcW w:w="522" w:type="pct"/>
            <w:tcBorders>
              <w:top w:val="single" w:color="000000" w:sz="6" w:space="0"/>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抗拉强度 Rm</w:t>
            </w:r>
          </w:p>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MPa</w:t>
            </w:r>
          </w:p>
        </w:tc>
        <w:tc>
          <w:tcPr>
            <w:tcW w:w="527" w:type="pct"/>
            <w:tcBorders>
              <w:top w:val="single" w:color="000000" w:sz="6" w:space="0"/>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规定塑性延</w:t>
            </w:r>
          </w:p>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伸强度Rp0.2</w:t>
            </w:r>
          </w:p>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MPa</w:t>
            </w:r>
          </w:p>
        </w:tc>
        <w:tc>
          <w:tcPr>
            <w:tcW w:w="583" w:type="pct"/>
            <w:tcBorders>
              <w:top w:val="single" w:color="000000" w:sz="6" w:space="0"/>
              <w:right w:val="single" w:color="000000" w:sz="6" w:space="0"/>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HRB</w:t>
            </w:r>
          </w:p>
        </w:tc>
        <w:tc>
          <w:tcPr>
            <w:tcW w:w="569" w:type="pct"/>
            <w:vMerge w:val="continue"/>
            <w:tcBorders>
              <w:right w:val="single" w:color="000000" w:sz="6" w:space="0"/>
            </w:tcBorders>
            <w:vAlign w:val="center"/>
          </w:tcPr>
          <w:p>
            <w:pPr>
              <w:spacing w:line="260" w:lineRule="exact"/>
              <w:jc w:val="center"/>
              <w:rPr>
                <w:rFonts w:hint="eastAsia" w:asciiTheme="minorEastAsia" w:hAnsiTheme="minorEastAsia" w:eastAsiaTheme="minorEastAsia" w:cstheme="minorEastAsia"/>
                <w:sz w:val="16"/>
                <w:szCs w:val="16"/>
                <w:lang w:val="zh-T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81" w:type="pct"/>
            <w:vMerge w:val="continue"/>
            <w:tcBorders>
              <w:top w:val="nil"/>
              <w:left w:val="single" w:color="000000" w:sz="6" w:space="0"/>
            </w:tcBorders>
            <w:textDirection w:val="tbRlV"/>
            <w:vAlign w:val="center"/>
          </w:tcPr>
          <w:p>
            <w:pPr>
              <w:spacing w:line="260" w:lineRule="exact"/>
              <w:jc w:val="center"/>
              <w:rPr>
                <w:rFonts w:asciiTheme="minorEastAsia" w:hAnsiTheme="minorEastAsia" w:eastAsiaTheme="minorEastAsia" w:cstheme="minorEastAsia"/>
                <w:sz w:val="16"/>
                <w:szCs w:val="16"/>
                <w:lang w:val="zh-TW"/>
              </w:rPr>
            </w:pPr>
          </w:p>
        </w:tc>
        <w:tc>
          <w:tcPr>
            <w:tcW w:w="357" w:type="pct"/>
            <w:vMerge w:val="continue"/>
            <w:tcBorders>
              <w:top w:val="nil"/>
            </w:tcBorders>
            <w:vAlign w:val="center"/>
          </w:tcPr>
          <w:p>
            <w:pPr>
              <w:spacing w:line="260" w:lineRule="exact"/>
              <w:jc w:val="center"/>
              <w:rPr>
                <w:rFonts w:asciiTheme="minorEastAsia" w:hAnsiTheme="minorEastAsia" w:eastAsiaTheme="minorEastAsia" w:cstheme="minorEastAsia"/>
                <w:sz w:val="16"/>
                <w:szCs w:val="16"/>
                <w:lang w:val="zh-TW"/>
              </w:rPr>
            </w:pPr>
          </w:p>
        </w:tc>
        <w:tc>
          <w:tcPr>
            <w:tcW w:w="685" w:type="pct"/>
            <w:vMerge w:val="continue"/>
            <w:tcBorders>
              <w:top w:val="nil"/>
            </w:tcBorders>
            <w:vAlign w:val="center"/>
          </w:tcPr>
          <w:p>
            <w:pPr>
              <w:spacing w:line="260" w:lineRule="exact"/>
              <w:jc w:val="center"/>
              <w:rPr>
                <w:rFonts w:asciiTheme="minorEastAsia" w:hAnsiTheme="minorEastAsia" w:eastAsiaTheme="minorEastAsia" w:cstheme="minorEastAsia"/>
                <w:sz w:val="16"/>
                <w:szCs w:val="16"/>
                <w:lang w:val="zh-TW"/>
              </w:rPr>
            </w:pPr>
          </w:p>
        </w:tc>
        <w:tc>
          <w:tcPr>
            <w:tcW w:w="2623" w:type="pct"/>
            <w:gridSpan w:val="5"/>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不小于</w:t>
            </w:r>
          </w:p>
        </w:tc>
        <w:tc>
          <w:tcPr>
            <w:tcW w:w="583" w:type="pct"/>
            <w:tcBorders>
              <w:right w:val="single" w:color="000000" w:sz="6" w:space="0"/>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不大于</w:t>
            </w:r>
          </w:p>
        </w:tc>
        <w:tc>
          <w:tcPr>
            <w:tcW w:w="569" w:type="pct"/>
            <w:vMerge w:val="continue"/>
            <w:tcBorders>
              <w:right w:val="single" w:color="000000" w:sz="6" w:space="0"/>
            </w:tcBorders>
            <w:vAlign w:val="center"/>
          </w:tcPr>
          <w:p>
            <w:pPr>
              <w:spacing w:line="260" w:lineRule="exact"/>
              <w:jc w:val="center"/>
              <w:rPr>
                <w:rFonts w:hint="eastAsia" w:asciiTheme="minorEastAsia" w:hAnsiTheme="minorEastAsia" w:eastAsiaTheme="minorEastAsia" w:cstheme="minorEastAsia"/>
                <w:sz w:val="16"/>
                <w:szCs w:val="16"/>
                <w:lang w:val="zh-T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81" w:type="pct"/>
            <w:tcBorders>
              <w:left w:val="single" w:color="000000" w:sz="6" w:space="0"/>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1</w:t>
            </w:r>
          </w:p>
        </w:tc>
        <w:tc>
          <w:tcPr>
            <w:tcW w:w="35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S30408</w:t>
            </w:r>
          </w:p>
        </w:tc>
        <w:tc>
          <w:tcPr>
            <w:tcW w:w="685"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06Cr19Ni10</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520</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210</w:t>
            </w:r>
          </w:p>
        </w:tc>
        <w:tc>
          <w:tcPr>
            <w:tcW w:w="52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45</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125</w:t>
            </w:r>
          </w:p>
        </w:tc>
        <w:tc>
          <w:tcPr>
            <w:tcW w:w="52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394</w:t>
            </w:r>
          </w:p>
        </w:tc>
        <w:tc>
          <w:tcPr>
            <w:tcW w:w="583" w:type="pct"/>
            <w:tcBorders>
              <w:right w:val="single" w:color="000000" w:sz="6" w:space="0"/>
            </w:tcBorders>
            <w:vAlign w:val="center"/>
          </w:tcPr>
          <w:p>
            <w:pPr>
              <w:spacing w:line="260" w:lineRule="exact"/>
              <w:jc w:val="center"/>
              <w:rPr>
                <w:rFonts w:eastAsia="PMingLiU" w:asciiTheme="minorEastAsia" w:hAnsiTheme="minorEastAsia" w:cstheme="minorEastAsia"/>
                <w:sz w:val="16"/>
                <w:szCs w:val="16"/>
                <w:lang w:val="zh-TW" w:eastAsia="zh-TW"/>
              </w:rPr>
            </w:pPr>
            <w:r>
              <w:rPr>
                <w:rFonts w:hint="eastAsia" w:asciiTheme="minorEastAsia" w:hAnsiTheme="minorEastAsia" w:eastAsiaTheme="minorEastAsia" w:cstheme="minorEastAsia"/>
                <w:sz w:val="16"/>
                <w:szCs w:val="16"/>
                <w:lang w:val="zh-TW"/>
              </w:rPr>
              <w:t>9</w:t>
            </w:r>
            <w:r>
              <w:rPr>
                <w:rFonts w:eastAsia="PMingLiU" w:asciiTheme="minorEastAsia" w:hAnsiTheme="minorEastAsia" w:cstheme="minorEastAsia"/>
                <w:sz w:val="16"/>
                <w:szCs w:val="16"/>
                <w:lang w:val="zh-TW" w:eastAsia="zh-TW"/>
              </w:rPr>
              <w:t>0</w:t>
            </w:r>
          </w:p>
        </w:tc>
        <w:tc>
          <w:tcPr>
            <w:tcW w:w="569" w:type="pct"/>
            <w:tcBorders>
              <w:right w:val="single" w:color="000000" w:sz="6" w:space="0"/>
            </w:tcBorders>
            <w:vAlign w:val="center"/>
          </w:tcPr>
          <w:p>
            <w:pPr>
              <w:jc w:val="center"/>
              <w:rPr>
                <w:rFonts w:hint="eastAsia" w:asciiTheme="minorEastAsia" w:hAnsiTheme="minorEastAsia" w:eastAsiaTheme="minorEastAsia" w:cstheme="minorEastAsia"/>
                <w:sz w:val="16"/>
                <w:szCs w:val="16"/>
                <w:lang w:val="zh-TW"/>
              </w:rPr>
            </w:pPr>
            <w:r>
              <w:rPr>
                <w:rFonts w:hint="eastAsia" w:ascii="宋体" w:hAnsi="宋体" w:cstheme="minorEastAsia"/>
                <w:sz w:val="18"/>
                <w:szCs w:val="18"/>
              </w:rPr>
              <w:t>7</w:t>
            </w:r>
            <w:r>
              <w:rPr>
                <w:rFonts w:ascii="宋体" w:hAnsi="宋体" w:cstheme="minorEastAsia"/>
                <w:sz w:val="18"/>
                <w:szCs w:val="18"/>
              </w:rPr>
              <w:t>.93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81" w:type="pct"/>
            <w:tcBorders>
              <w:left w:val="single" w:color="000000" w:sz="6" w:space="0"/>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2</w:t>
            </w:r>
          </w:p>
        </w:tc>
        <w:tc>
          <w:tcPr>
            <w:tcW w:w="35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S30403</w:t>
            </w:r>
          </w:p>
        </w:tc>
        <w:tc>
          <w:tcPr>
            <w:tcW w:w="685"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022Cr19Ni10</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490</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175</w:t>
            </w:r>
          </w:p>
        </w:tc>
        <w:tc>
          <w:tcPr>
            <w:tcW w:w="52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45</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105</w:t>
            </w:r>
          </w:p>
        </w:tc>
        <w:tc>
          <w:tcPr>
            <w:tcW w:w="52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350</w:t>
            </w:r>
          </w:p>
        </w:tc>
        <w:tc>
          <w:tcPr>
            <w:tcW w:w="583" w:type="pct"/>
            <w:tcBorders>
              <w:right w:val="single" w:color="000000" w:sz="6" w:space="0"/>
            </w:tcBorders>
            <w:vAlign w:val="center"/>
          </w:tcPr>
          <w:p>
            <w:pPr>
              <w:spacing w:line="260" w:lineRule="exact"/>
              <w:jc w:val="center"/>
              <w:rPr>
                <w:rFonts w:eastAsia="PMingLiU" w:asciiTheme="minorEastAsia" w:hAnsiTheme="minorEastAsia" w:cstheme="minorEastAsia"/>
                <w:sz w:val="16"/>
                <w:szCs w:val="16"/>
                <w:lang w:val="zh-TW" w:eastAsia="zh-TW"/>
              </w:rPr>
            </w:pPr>
            <w:r>
              <w:rPr>
                <w:rFonts w:hint="eastAsia" w:asciiTheme="minorEastAsia" w:hAnsiTheme="minorEastAsia" w:eastAsiaTheme="minorEastAsia" w:cstheme="minorEastAsia"/>
                <w:sz w:val="16"/>
                <w:szCs w:val="16"/>
                <w:lang w:val="zh-TW"/>
              </w:rPr>
              <w:t>9</w:t>
            </w:r>
            <w:r>
              <w:rPr>
                <w:rFonts w:eastAsia="PMingLiU" w:asciiTheme="minorEastAsia" w:hAnsiTheme="minorEastAsia" w:cstheme="minorEastAsia"/>
                <w:sz w:val="16"/>
                <w:szCs w:val="16"/>
                <w:lang w:val="zh-TW" w:eastAsia="zh-TW"/>
              </w:rPr>
              <w:t>0</w:t>
            </w:r>
          </w:p>
        </w:tc>
        <w:tc>
          <w:tcPr>
            <w:tcW w:w="569" w:type="pct"/>
            <w:tcBorders>
              <w:right w:val="single" w:color="000000" w:sz="6" w:space="0"/>
            </w:tcBorders>
            <w:vAlign w:val="center"/>
          </w:tcPr>
          <w:p>
            <w:pPr>
              <w:jc w:val="center"/>
              <w:rPr>
                <w:rFonts w:hint="eastAsia" w:asciiTheme="minorEastAsia" w:hAnsiTheme="minorEastAsia" w:eastAsiaTheme="minorEastAsia" w:cstheme="minorEastAsia"/>
                <w:sz w:val="16"/>
                <w:szCs w:val="16"/>
                <w:lang w:val="zh-TW"/>
              </w:rPr>
            </w:pPr>
            <w:r>
              <w:rPr>
                <w:rFonts w:hint="eastAsia" w:ascii="宋体" w:hAnsi="宋体" w:cstheme="minorEastAsia"/>
                <w:sz w:val="18"/>
                <w:szCs w:val="18"/>
              </w:rPr>
              <w:t>7</w:t>
            </w:r>
            <w:r>
              <w:rPr>
                <w:rFonts w:ascii="宋体" w:hAnsi="宋体" w:cstheme="minorEastAsia"/>
                <w:sz w:val="18"/>
                <w:szCs w:val="18"/>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81" w:type="pct"/>
            <w:tcBorders>
              <w:left w:val="single" w:color="000000" w:sz="6" w:space="0"/>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3</w:t>
            </w:r>
          </w:p>
        </w:tc>
        <w:tc>
          <w:tcPr>
            <w:tcW w:w="35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S30453</w:t>
            </w:r>
          </w:p>
        </w:tc>
        <w:tc>
          <w:tcPr>
            <w:tcW w:w="685"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022Cr19Ni10N</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520</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210</w:t>
            </w:r>
          </w:p>
        </w:tc>
        <w:tc>
          <w:tcPr>
            <w:tcW w:w="52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45</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125</w:t>
            </w:r>
          </w:p>
        </w:tc>
        <w:tc>
          <w:tcPr>
            <w:tcW w:w="52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394</w:t>
            </w:r>
          </w:p>
        </w:tc>
        <w:tc>
          <w:tcPr>
            <w:tcW w:w="583" w:type="pct"/>
            <w:tcBorders>
              <w:right w:val="single" w:color="000000" w:sz="6" w:space="0"/>
            </w:tcBorders>
            <w:vAlign w:val="center"/>
          </w:tcPr>
          <w:p>
            <w:pPr>
              <w:spacing w:line="260" w:lineRule="exact"/>
              <w:jc w:val="center"/>
              <w:rPr>
                <w:rFonts w:eastAsia="PMingLiU" w:asciiTheme="minorEastAsia" w:hAnsiTheme="minorEastAsia" w:cstheme="minorEastAsia"/>
                <w:sz w:val="16"/>
                <w:szCs w:val="16"/>
                <w:lang w:val="zh-TW" w:eastAsia="zh-TW"/>
              </w:rPr>
            </w:pPr>
            <w:r>
              <w:rPr>
                <w:rFonts w:hint="eastAsia" w:asciiTheme="minorEastAsia" w:hAnsiTheme="minorEastAsia" w:eastAsiaTheme="minorEastAsia" w:cstheme="minorEastAsia"/>
                <w:sz w:val="16"/>
                <w:szCs w:val="16"/>
                <w:lang w:val="zh-TW"/>
              </w:rPr>
              <w:t>9</w:t>
            </w:r>
            <w:r>
              <w:rPr>
                <w:rFonts w:eastAsia="PMingLiU" w:asciiTheme="minorEastAsia" w:hAnsiTheme="minorEastAsia" w:cstheme="minorEastAsia"/>
                <w:sz w:val="16"/>
                <w:szCs w:val="16"/>
                <w:lang w:val="zh-TW" w:eastAsia="zh-TW"/>
              </w:rPr>
              <w:t>0</w:t>
            </w:r>
          </w:p>
        </w:tc>
        <w:tc>
          <w:tcPr>
            <w:tcW w:w="569" w:type="pct"/>
            <w:tcBorders>
              <w:right w:val="single" w:color="000000" w:sz="6" w:space="0"/>
            </w:tcBorders>
            <w:vAlign w:val="center"/>
          </w:tcPr>
          <w:p>
            <w:pPr>
              <w:jc w:val="center"/>
              <w:rPr>
                <w:rFonts w:hint="eastAsia" w:asciiTheme="minorEastAsia" w:hAnsiTheme="minorEastAsia" w:eastAsiaTheme="minorEastAsia" w:cstheme="minorEastAsia"/>
                <w:sz w:val="16"/>
                <w:szCs w:val="16"/>
                <w:lang w:val="zh-TW"/>
              </w:rPr>
            </w:pPr>
            <w:r>
              <w:rPr>
                <w:rFonts w:hint="eastAsia" w:ascii="宋体" w:hAnsi="宋体" w:cstheme="minorEastAsia"/>
                <w:sz w:val="18"/>
                <w:szCs w:val="18"/>
              </w:rPr>
              <w:t>7</w:t>
            </w:r>
            <w:r>
              <w:rPr>
                <w:rFonts w:ascii="宋体" w:hAnsi="宋体" w:cstheme="minorEastAsia"/>
                <w:sz w:val="18"/>
                <w:szCs w:val="18"/>
              </w:rPr>
              <w:t>.93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81" w:type="pct"/>
            <w:tcBorders>
              <w:left w:val="single" w:color="000000" w:sz="6" w:space="0"/>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4</w:t>
            </w:r>
          </w:p>
        </w:tc>
        <w:tc>
          <w:tcPr>
            <w:tcW w:w="35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S31608</w:t>
            </w:r>
          </w:p>
        </w:tc>
        <w:tc>
          <w:tcPr>
            <w:tcW w:w="685"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06Cr17Ni12Mo2</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520</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210</w:t>
            </w:r>
          </w:p>
        </w:tc>
        <w:tc>
          <w:tcPr>
            <w:tcW w:w="52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45</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130</w:t>
            </w:r>
          </w:p>
        </w:tc>
        <w:tc>
          <w:tcPr>
            <w:tcW w:w="52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445</w:t>
            </w:r>
          </w:p>
        </w:tc>
        <w:tc>
          <w:tcPr>
            <w:tcW w:w="583" w:type="pct"/>
            <w:tcBorders>
              <w:right w:val="single" w:color="000000" w:sz="6" w:space="0"/>
            </w:tcBorders>
            <w:vAlign w:val="center"/>
          </w:tcPr>
          <w:p>
            <w:pPr>
              <w:spacing w:line="260" w:lineRule="exact"/>
              <w:jc w:val="center"/>
              <w:rPr>
                <w:rFonts w:eastAsia="PMingLiU" w:asciiTheme="minorEastAsia" w:hAnsiTheme="minorEastAsia" w:cstheme="minorEastAsia"/>
                <w:sz w:val="16"/>
                <w:szCs w:val="16"/>
                <w:lang w:val="zh-TW" w:eastAsia="zh-TW"/>
              </w:rPr>
            </w:pPr>
            <w:r>
              <w:rPr>
                <w:rFonts w:hint="eastAsia" w:asciiTheme="minorEastAsia" w:hAnsiTheme="minorEastAsia" w:eastAsiaTheme="minorEastAsia" w:cstheme="minorEastAsia"/>
                <w:sz w:val="16"/>
                <w:szCs w:val="16"/>
                <w:lang w:val="zh-TW"/>
              </w:rPr>
              <w:t>9</w:t>
            </w:r>
            <w:r>
              <w:rPr>
                <w:rFonts w:eastAsia="PMingLiU" w:asciiTheme="minorEastAsia" w:hAnsiTheme="minorEastAsia" w:cstheme="minorEastAsia"/>
                <w:sz w:val="16"/>
                <w:szCs w:val="16"/>
                <w:lang w:val="zh-TW" w:eastAsia="zh-TW"/>
              </w:rPr>
              <w:t>0</w:t>
            </w:r>
          </w:p>
        </w:tc>
        <w:tc>
          <w:tcPr>
            <w:tcW w:w="569" w:type="pct"/>
            <w:tcBorders>
              <w:right w:val="single" w:color="000000" w:sz="6" w:space="0"/>
            </w:tcBorders>
            <w:vAlign w:val="center"/>
          </w:tcPr>
          <w:p>
            <w:pPr>
              <w:jc w:val="center"/>
              <w:rPr>
                <w:rFonts w:hint="eastAsia" w:asciiTheme="minorEastAsia" w:hAnsiTheme="minorEastAsia" w:eastAsiaTheme="minorEastAsia" w:cstheme="minorEastAsia"/>
                <w:sz w:val="16"/>
                <w:szCs w:val="16"/>
                <w:lang w:val="zh-TW"/>
              </w:rPr>
            </w:pPr>
            <w:r>
              <w:rPr>
                <w:rFonts w:hint="eastAsia" w:ascii="宋体" w:hAnsi="宋体" w:cstheme="minorEastAsia"/>
                <w:sz w:val="18"/>
                <w:szCs w:val="18"/>
              </w:rPr>
              <w:t>8</w:t>
            </w:r>
            <w:r>
              <w:rPr>
                <w:rFonts w:ascii="宋体" w:hAnsi="宋体" w:cstheme="minorEastAsia"/>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81" w:type="pct"/>
            <w:tcBorders>
              <w:left w:val="single" w:color="000000" w:sz="6" w:space="0"/>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5</w:t>
            </w:r>
          </w:p>
        </w:tc>
        <w:tc>
          <w:tcPr>
            <w:tcW w:w="35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S31603</w:t>
            </w:r>
          </w:p>
        </w:tc>
        <w:tc>
          <w:tcPr>
            <w:tcW w:w="685"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022Cr17Ni12Mo2</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490</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175</w:t>
            </w:r>
          </w:p>
        </w:tc>
        <w:tc>
          <w:tcPr>
            <w:tcW w:w="52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45</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105</w:t>
            </w:r>
          </w:p>
        </w:tc>
        <w:tc>
          <w:tcPr>
            <w:tcW w:w="52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335</w:t>
            </w:r>
          </w:p>
        </w:tc>
        <w:tc>
          <w:tcPr>
            <w:tcW w:w="583" w:type="pct"/>
            <w:tcBorders>
              <w:right w:val="single" w:color="000000" w:sz="6" w:space="0"/>
            </w:tcBorders>
            <w:vAlign w:val="center"/>
          </w:tcPr>
          <w:p>
            <w:pPr>
              <w:spacing w:line="260" w:lineRule="exact"/>
              <w:jc w:val="center"/>
              <w:rPr>
                <w:rFonts w:eastAsia="PMingLiU" w:asciiTheme="minorEastAsia" w:hAnsiTheme="minorEastAsia" w:cstheme="minorEastAsia"/>
                <w:sz w:val="16"/>
                <w:szCs w:val="16"/>
                <w:lang w:val="zh-TW" w:eastAsia="zh-TW"/>
              </w:rPr>
            </w:pPr>
            <w:r>
              <w:rPr>
                <w:rFonts w:hint="eastAsia" w:asciiTheme="minorEastAsia" w:hAnsiTheme="minorEastAsia" w:eastAsiaTheme="minorEastAsia" w:cstheme="minorEastAsia"/>
                <w:sz w:val="16"/>
                <w:szCs w:val="16"/>
                <w:lang w:val="zh-TW"/>
              </w:rPr>
              <w:t>9</w:t>
            </w:r>
            <w:r>
              <w:rPr>
                <w:rFonts w:eastAsia="PMingLiU" w:asciiTheme="minorEastAsia" w:hAnsiTheme="minorEastAsia" w:cstheme="minorEastAsia"/>
                <w:sz w:val="16"/>
                <w:szCs w:val="16"/>
                <w:lang w:val="zh-TW" w:eastAsia="zh-TW"/>
              </w:rPr>
              <w:t>0</w:t>
            </w:r>
          </w:p>
        </w:tc>
        <w:tc>
          <w:tcPr>
            <w:tcW w:w="569" w:type="pct"/>
            <w:tcBorders>
              <w:right w:val="single" w:color="000000" w:sz="6" w:space="0"/>
            </w:tcBorders>
            <w:vAlign w:val="center"/>
          </w:tcPr>
          <w:p>
            <w:pPr>
              <w:jc w:val="center"/>
              <w:rPr>
                <w:rFonts w:hint="eastAsia" w:asciiTheme="minorEastAsia" w:hAnsiTheme="minorEastAsia" w:eastAsiaTheme="minorEastAsia" w:cstheme="minorEastAsia"/>
                <w:sz w:val="16"/>
                <w:szCs w:val="16"/>
                <w:lang w:val="zh-TW"/>
              </w:rPr>
            </w:pPr>
            <w:r>
              <w:rPr>
                <w:rFonts w:hint="eastAsia" w:ascii="宋体" w:hAnsi="宋体" w:cstheme="minorEastAsia"/>
                <w:sz w:val="18"/>
                <w:szCs w:val="18"/>
              </w:rPr>
              <w:t>8</w:t>
            </w:r>
            <w:r>
              <w:rPr>
                <w:rFonts w:ascii="宋体" w:hAnsi="宋体" w:cstheme="minorEastAsia"/>
                <w:sz w:val="18"/>
                <w:szCs w:val="18"/>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81" w:type="pct"/>
            <w:tcBorders>
              <w:left w:val="single" w:color="000000" w:sz="6" w:space="0"/>
            </w:tcBorders>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6</w:t>
            </w:r>
          </w:p>
        </w:tc>
        <w:tc>
          <w:tcPr>
            <w:tcW w:w="35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S31653</w:t>
            </w:r>
          </w:p>
        </w:tc>
        <w:tc>
          <w:tcPr>
            <w:tcW w:w="685"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022Cr17Ni12Mo2N</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520</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220</w:t>
            </w:r>
          </w:p>
        </w:tc>
        <w:tc>
          <w:tcPr>
            <w:tcW w:w="52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45</w:t>
            </w:r>
          </w:p>
        </w:tc>
        <w:tc>
          <w:tcPr>
            <w:tcW w:w="522"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135</w:t>
            </w:r>
          </w:p>
        </w:tc>
        <w:tc>
          <w:tcPr>
            <w:tcW w:w="527" w:type="pct"/>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445</w:t>
            </w:r>
          </w:p>
        </w:tc>
        <w:tc>
          <w:tcPr>
            <w:tcW w:w="583" w:type="pct"/>
            <w:tcBorders>
              <w:right w:val="single" w:color="000000" w:sz="6" w:space="0"/>
            </w:tcBorders>
            <w:vAlign w:val="center"/>
          </w:tcPr>
          <w:p>
            <w:pPr>
              <w:spacing w:line="260" w:lineRule="exact"/>
              <w:jc w:val="center"/>
              <w:rPr>
                <w:rFonts w:eastAsia="PMingLiU" w:asciiTheme="minorEastAsia" w:hAnsiTheme="minorEastAsia" w:cstheme="minorEastAsia"/>
                <w:sz w:val="16"/>
                <w:szCs w:val="16"/>
                <w:lang w:val="zh-TW" w:eastAsia="zh-TW"/>
              </w:rPr>
            </w:pPr>
            <w:r>
              <w:rPr>
                <w:rFonts w:hint="eastAsia" w:asciiTheme="minorEastAsia" w:hAnsiTheme="minorEastAsia" w:eastAsiaTheme="minorEastAsia" w:cstheme="minorEastAsia"/>
                <w:sz w:val="16"/>
                <w:szCs w:val="16"/>
                <w:lang w:val="zh-TW"/>
              </w:rPr>
              <w:t>9</w:t>
            </w:r>
            <w:r>
              <w:rPr>
                <w:rFonts w:eastAsia="PMingLiU" w:asciiTheme="minorEastAsia" w:hAnsiTheme="minorEastAsia" w:cstheme="minorEastAsia"/>
                <w:sz w:val="16"/>
                <w:szCs w:val="16"/>
                <w:lang w:val="zh-TW" w:eastAsia="zh-TW"/>
              </w:rPr>
              <w:t>0</w:t>
            </w:r>
          </w:p>
        </w:tc>
        <w:tc>
          <w:tcPr>
            <w:tcW w:w="569" w:type="pct"/>
            <w:tcBorders>
              <w:right w:val="single" w:color="000000" w:sz="6" w:space="0"/>
            </w:tcBorders>
            <w:vAlign w:val="center"/>
          </w:tcPr>
          <w:p>
            <w:pPr>
              <w:jc w:val="center"/>
              <w:rPr>
                <w:rFonts w:hint="eastAsia" w:asciiTheme="minorEastAsia" w:hAnsiTheme="minorEastAsia" w:eastAsiaTheme="minorEastAsia" w:cstheme="minorEastAsia"/>
                <w:sz w:val="16"/>
                <w:szCs w:val="16"/>
                <w:lang w:val="zh-TW"/>
              </w:rPr>
            </w:pPr>
            <w:r>
              <w:rPr>
                <w:rFonts w:hint="eastAsia" w:ascii="宋体" w:hAnsi="宋体" w:cstheme="minorEastAsia"/>
                <w:sz w:val="18"/>
                <w:szCs w:val="18"/>
              </w:rPr>
              <w:t>8</w:t>
            </w:r>
            <w:r>
              <w:rPr>
                <w:rFonts w:ascii="宋体" w:hAnsi="宋体" w:cstheme="minorEastAsia"/>
                <w:sz w:val="18"/>
                <w:szCs w:val="18"/>
              </w:rPr>
              <w:t>.04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5000" w:type="pct"/>
            <w:gridSpan w:val="10"/>
            <w:tcBorders>
              <w:left w:val="single" w:color="000000" w:sz="6" w:space="0"/>
              <w:bottom w:val="single" w:color="000000" w:sz="6" w:space="0"/>
              <w:right w:val="single" w:color="000000" w:sz="6" w:space="0"/>
            </w:tcBorders>
            <w:vAlign w:val="center"/>
          </w:tcPr>
          <w:p>
            <w:pPr>
              <w:spacing w:line="260" w:lineRule="exact"/>
              <w:rPr>
                <w:rFonts w:hint="eastAsia"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注：a）如由于管子的壁厚原因无法按照</w:t>
            </w:r>
            <w:r>
              <w:rPr>
                <w:rFonts w:asciiTheme="minorEastAsia" w:hAnsiTheme="minorEastAsia" w:eastAsiaTheme="minorEastAsia" w:cstheme="minorEastAsia"/>
                <w:sz w:val="16"/>
                <w:szCs w:val="16"/>
                <w:lang w:val="zh-TW"/>
              </w:rPr>
              <w:t>GB/T 230.1</w:t>
            </w:r>
            <w:r>
              <w:rPr>
                <w:rFonts w:hint="eastAsia" w:asciiTheme="minorEastAsia" w:hAnsiTheme="minorEastAsia" w:eastAsiaTheme="minorEastAsia" w:cstheme="minorEastAsia"/>
                <w:sz w:val="16"/>
                <w:szCs w:val="16"/>
                <w:lang w:val="zh-TW"/>
              </w:rPr>
              <w:t>的规定方法进行洛氏硬度试验，则可按照</w:t>
            </w:r>
            <w:r>
              <w:rPr>
                <w:rFonts w:asciiTheme="minorEastAsia" w:hAnsiTheme="minorEastAsia" w:eastAsiaTheme="minorEastAsia" w:cstheme="minorEastAsia"/>
                <w:sz w:val="16"/>
                <w:szCs w:val="16"/>
                <w:lang w:val="zh-TW"/>
              </w:rPr>
              <w:t>GB/T 4340.1</w:t>
            </w:r>
            <w:r>
              <w:rPr>
                <w:rFonts w:hint="eastAsia" w:asciiTheme="minorEastAsia" w:hAnsiTheme="minorEastAsia" w:eastAsiaTheme="minorEastAsia" w:cstheme="minorEastAsia"/>
                <w:sz w:val="16"/>
                <w:szCs w:val="16"/>
                <w:lang w:val="zh-TW"/>
              </w:rPr>
              <w:t>的规定测量表面维氏硬度，并将结果按转换成洛氏硬度值。</w:t>
            </w:r>
          </w:p>
        </w:tc>
      </w:tr>
    </w:tbl>
    <w:p>
      <w:pPr>
        <w:pStyle w:val="22"/>
        <w:numPr>
          <w:ilvl w:val="1"/>
          <w:numId w:val="3"/>
        </w:numPr>
        <w:spacing w:before="156" w:after="156"/>
        <w:ind w:left="0" w:firstLine="0"/>
        <w:rPr>
          <w:rFonts w:ascii="Times New Roman"/>
          <w:lang w:val="zh-CN"/>
        </w:rPr>
      </w:pPr>
      <w:r>
        <w:rPr>
          <w:rFonts w:hint="eastAsia" w:ascii="Times New Roman"/>
          <w:lang w:val="zh-CN"/>
        </w:rPr>
        <w:t>工艺性能</w:t>
      </w:r>
    </w:p>
    <w:p>
      <w:pPr>
        <w:pStyle w:val="27"/>
        <w:numPr>
          <w:ilvl w:val="2"/>
          <w:numId w:val="3"/>
        </w:numPr>
        <w:spacing w:before="156" w:after="156"/>
        <w:ind w:left="0" w:firstLine="0"/>
        <w:rPr>
          <w:rFonts w:hAnsi="黑体" w:cs="宋体"/>
          <w:lang w:val="zh-CN"/>
        </w:rPr>
      </w:pPr>
      <w:r>
        <w:rPr>
          <w:rFonts w:hint="eastAsia" w:hAnsi="黑体" w:cs="宋体"/>
          <w:lang w:val="zh-TW" w:eastAsia="zh-TW"/>
        </w:rPr>
        <w:t>压扁</w:t>
      </w:r>
      <w:r>
        <w:rPr>
          <w:rFonts w:hint="eastAsia" w:hAnsi="黑体" w:cs="宋体"/>
          <w:lang w:val="zh-TW"/>
        </w:rPr>
        <w:t>试验</w:t>
      </w:r>
    </w:p>
    <w:p>
      <w:pPr>
        <w:spacing w:line="360" w:lineRule="exact"/>
        <w:ind w:firstLine="420" w:firstLineChars="200"/>
      </w:pPr>
      <w:r>
        <w:rPr>
          <w:rFonts w:hint="eastAsia"/>
        </w:rPr>
        <w:t>钢管应按G</w:t>
      </w:r>
      <w:r>
        <w:t>B/T 246</w:t>
      </w:r>
      <w:r>
        <w:rPr>
          <w:rFonts w:hint="eastAsia"/>
        </w:rPr>
        <w:t>规定进行压扁试验。压扁按以下两步进行。</w:t>
      </w:r>
    </w:p>
    <w:p>
      <w:pPr>
        <w:spacing w:line="360" w:lineRule="exact"/>
        <w:ind w:firstLine="420" w:firstLineChars="200"/>
        <w:rPr>
          <w:rFonts w:hint="eastAsia"/>
        </w:rPr>
      </w:pPr>
      <w:r>
        <w:rPr>
          <w:rFonts w:hint="eastAsia"/>
        </w:rPr>
        <w:t>第一步是延性试验，试样压至两平板间距离</w:t>
      </w:r>
      <w:r>
        <w:rPr>
          <w:rFonts w:hint="eastAsia"/>
          <w:i/>
        </w:rPr>
        <w:t>H</w:t>
      </w:r>
      <w:r>
        <w:rPr>
          <w:rFonts w:hint="eastAsia"/>
        </w:rPr>
        <w:t>，不应岀现裂缝或裂口，</w:t>
      </w:r>
      <w:r>
        <w:rPr>
          <w:rFonts w:hint="eastAsia"/>
          <w:i/>
        </w:rPr>
        <w:t>H</w:t>
      </w:r>
      <w:r>
        <w:rPr>
          <w:rFonts w:hint="eastAsia"/>
        </w:rPr>
        <w:t>按式（</w:t>
      </w:r>
      <w:r>
        <w:t>2</w:t>
      </w:r>
      <w:r>
        <w:rPr>
          <w:rFonts w:hint="eastAsia"/>
        </w:rPr>
        <w:t>）计算。</w:t>
      </w:r>
    </w:p>
    <w:p>
      <w:pPr>
        <w:spacing w:line="1000" w:lineRule="exact"/>
        <w:ind w:firstLine="522"/>
        <w:jc w:val="center"/>
        <w:rPr>
          <w:rFonts w:hint="eastAsia" w:ascii="宋体" w:hAnsi="宋体"/>
        </w:rPr>
      </w:pPr>
      <w:r>
        <w:rPr>
          <w:rFonts w:hint="eastAsia" w:ascii="宋体" w:hAnsi="宋体"/>
        </w:rPr>
        <w:t xml:space="preserve"> </w:t>
      </w:r>
      <w:r>
        <w:rPr>
          <w:rFonts w:ascii="宋体" w:hAnsi="宋体"/>
        </w:rPr>
        <w:t xml:space="preserve">             </w:t>
      </w:r>
      <w:r>
        <w:rPr>
          <w:rFonts w:hint="eastAsia" w:ascii="宋体" w:hAnsi="宋体"/>
          <w:position w:val="-24"/>
        </w:rPr>
        <w:object>
          <v:shape id="_x0000_i1027" o:spt="75" type="#_x0000_t75" style="height:31.2pt;width:72pt;" o:ole="t" fillcolor="#FFFFFF"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ascii="宋体" w:hAnsi="宋体"/>
        </w:rPr>
        <w:t xml:space="preserve">         ……………………………（3）</w:t>
      </w:r>
    </w:p>
    <w:p>
      <w:pPr>
        <w:pStyle w:val="45"/>
        <w:shd w:val="clear" w:color="auto" w:fill="auto"/>
        <w:tabs>
          <w:tab w:val="left" w:pos="2606"/>
          <w:tab w:val="left" w:leader="dot" w:pos="4661"/>
        </w:tabs>
        <w:spacing w:after="0" w:line="326" w:lineRule="exact"/>
        <w:jc w:val="right"/>
        <w:rPr>
          <w:rFonts w:eastAsiaTheme="minorEastAsia"/>
          <w:sz w:val="34"/>
          <w:szCs w:val="34"/>
        </w:rPr>
      </w:pPr>
    </w:p>
    <w:p>
      <w:pPr>
        <w:spacing w:line="360" w:lineRule="exact"/>
        <w:ind w:left="420" w:leftChars="200" w:firstLine="420" w:firstLineChars="200"/>
      </w:pPr>
      <w:r>
        <w:rPr>
          <w:rFonts w:hint="eastAsia"/>
        </w:rPr>
        <w:t>式中：</w:t>
      </w:r>
    </w:p>
    <w:p>
      <w:pPr>
        <w:spacing w:line="360" w:lineRule="exact"/>
        <w:ind w:left="1680" w:leftChars="600" w:hanging="420" w:hangingChars="200"/>
      </w:pPr>
      <w:r>
        <w:rPr>
          <w:rFonts w:hint="eastAsia"/>
          <w:i/>
        </w:rPr>
        <w:t>H</w:t>
      </w:r>
      <w:r>
        <w:rPr>
          <w:rFonts w:hint="eastAsia"/>
        </w:rPr>
        <w:t xml:space="preserve"> ——两平板间的距离，单位为毫米（mm）；</w:t>
      </w:r>
    </w:p>
    <w:p>
      <w:pPr>
        <w:spacing w:line="360" w:lineRule="exact"/>
        <w:ind w:left="1680" w:leftChars="600" w:hanging="420" w:hangingChars="200"/>
      </w:pPr>
      <w:r>
        <w:rPr>
          <w:rFonts w:hint="eastAsia"/>
          <w:i/>
        </w:rPr>
        <w:t>a</w:t>
      </w:r>
      <w:r>
        <w:rPr>
          <w:rFonts w:hint="eastAsia"/>
        </w:rPr>
        <w:t xml:space="preserve"> ——单位长度变形系数，取0.13；</w:t>
      </w:r>
    </w:p>
    <w:p>
      <w:pPr>
        <w:spacing w:line="360" w:lineRule="exact"/>
        <w:ind w:left="1680" w:leftChars="600" w:hanging="420" w:hangingChars="200"/>
      </w:pPr>
      <w:r>
        <w:rPr>
          <w:rFonts w:hint="eastAsia"/>
          <w:i/>
        </w:rPr>
        <w:t>S</w:t>
      </w:r>
      <w:r>
        <w:rPr>
          <w:rFonts w:hint="eastAsia"/>
        </w:rPr>
        <w:t xml:space="preserve"> ——钢管的公称壁厚，单位为毫米（mm）；</w:t>
      </w:r>
    </w:p>
    <w:p>
      <w:pPr>
        <w:spacing w:line="360" w:lineRule="exact"/>
        <w:ind w:left="1680" w:leftChars="600" w:hanging="420" w:hangingChars="200"/>
      </w:pPr>
      <w:r>
        <w:rPr>
          <w:rFonts w:hint="eastAsia"/>
          <w:i/>
        </w:rPr>
        <w:t>D</w:t>
      </w:r>
      <w:r>
        <w:rPr>
          <w:rFonts w:hint="eastAsia"/>
        </w:rPr>
        <w:t xml:space="preserve"> ——钢管的公称外径，单位为毫米（mm）。</w:t>
      </w:r>
    </w:p>
    <w:p>
      <w:pPr>
        <w:spacing w:line="360" w:lineRule="exact"/>
        <w:ind w:firstLine="420" w:firstLineChars="200"/>
      </w:pPr>
      <w:r>
        <w:rPr>
          <w:rFonts w:hint="eastAsia"/>
        </w:rPr>
        <w:t>第二步是完整性试验（闭合压扁），压扁继续进行，直到试样破裂或试样相对两壁相碰；在整个压扁试验期间，试样不应岀现目视可见的分层、白点和夹杂。</w:t>
      </w:r>
    </w:p>
    <w:p>
      <w:pPr>
        <w:pStyle w:val="27"/>
        <w:numPr>
          <w:ilvl w:val="2"/>
          <w:numId w:val="3"/>
        </w:numPr>
        <w:tabs>
          <w:tab w:val="left" w:pos="0"/>
        </w:tabs>
        <w:spacing w:before="156" w:after="156"/>
        <w:ind w:left="0" w:firstLine="0"/>
        <w:rPr>
          <w:rFonts w:hAnsi="黑体" w:cs="宋体"/>
          <w:lang w:val="zh-TW" w:eastAsia="zh-TW"/>
        </w:rPr>
      </w:pPr>
      <w:r>
        <w:rPr>
          <w:rFonts w:hint="eastAsia" w:hAnsi="黑体" w:cs="宋体"/>
          <w:lang w:val="zh-TW" w:eastAsia="zh-TW"/>
        </w:rPr>
        <w:t>扩口</w:t>
      </w:r>
      <w:r>
        <w:rPr>
          <w:rFonts w:hint="eastAsia" w:hAnsi="黑体" w:cs="宋体"/>
        </w:rPr>
        <w:t>试验</w:t>
      </w:r>
    </w:p>
    <w:p>
      <w:pPr>
        <w:spacing w:line="360" w:lineRule="exact"/>
        <w:ind w:firstLine="420" w:firstLineChars="200"/>
      </w:pPr>
      <w:r>
        <w:rPr>
          <w:rFonts w:hint="eastAsia"/>
        </w:rPr>
        <w:t>钢管应按G</w:t>
      </w:r>
      <w:r>
        <w:t>B/T 242</w:t>
      </w:r>
      <w:r>
        <w:rPr>
          <w:rFonts w:hint="eastAsia"/>
        </w:rPr>
        <w:t>规定进行扩口试验。扩口试验的顶芯锥度为60°扩口后外径的扩口率应不小于1</w:t>
      </w:r>
      <w:r>
        <w:t>8</w:t>
      </w:r>
      <w:r>
        <w:rPr>
          <w:rFonts w:hint="eastAsia"/>
        </w:rPr>
        <w:t>%，扩口后试样不应岀现裂缝或裂口。</w:t>
      </w:r>
    </w:p>
    <w:p>
      <w:pPr>
        <w:pStyle w:val="22"/>
        <w:numPr>
          <w:ilvl w:val="1"/>
          <w:numId w:val="3"/>
        </w:numPr>
        <w:spacing w:before="156" w:after="156"/>
        <w:ind w:left="0" w:firstLine="0"/>
        <w:rPr>
          <w:rFonts w:ascii="Times New Roman"/>
          <w:lang w:val="zh-CN"/>
        </w:rPr>
      </w:pPr>
      <w:r>
        <w:rPr>
          <w:rFonts w:hint="eastAsia" w:ascii="Times New Roman"/>
          <w:lang w:val="zh-CN"/>
        </w:rPr>
        <w:t>气密性试验</w:t>
      </w:r>
    </w:p>
    <w:p>
      <w:pPr>
        <w:spacing w:line="360" w:lineRule="exact"/>
        <w:ind w:firstLine="420" w:firstLineChars="200"/>
        <w:rPr>
          <w:rFonts w:ascii="宋体" w:hAnsi="宋体"/>
        </w:rPr>
      </w:pPr>
      <w:r>
        <w:rPr>
          <w:rFonts w:hint="eastAsia" w:ascii="宋体" w:hAnsi="宋体"/>
        </w:rPr>
        <w:t>根据需方要求，经供需双方协商，并在合同中注明，钢管可进行气密性试验，气密性试验推荐压力值为</w:t>
      </w:r>
      <w:r>
        <w:rPr>
          <w:rFonts w:ascii="宋体" w:hAnsi="宋体"/>
        </w:rPr>
        <w:t>0.1MPa</w:t>
      </w:r>
      <w:r>
        <w:rPr>
          <w:rFonts w:hint="eastAsia" w:ascii="宋体" w:hAnsi="宋体"/>
        </w:rPr>
        <w:t>～</w:t>
      </w:r>
      <w:r>
        <w:rPr>
          <w:rFonts w:ascii="宋体" w:hAnsi="宋体"/>
        </w:rPr>
        <w:t>1.0MPa</w:t>
      </w:r>
      <w:r>
        <w:rPr>
          <w:rFonts w:hint="eastAsia" w:ascii="宋体" w:hAnsi="宋体"/>
        </w:rPr>
        <w:t>。</w:t>
      </w:r>
    </w:p>
    <w:p>
      <w:pPr>
        <w:pStyle w:val="22"/>
        <w:numPr>
          <w:ilvl w:val="1"/>
          <w:numId w:val="3"/>
        </w:numPr>
        <w:spacing w:before="156" w:after="156"/>
        <w:ind w:left="0" w:firstLine="0"/>
        <w:rPr>
          <w:rFonts w:ascii="Times New Roman"/>
          <w:lang w:val="zh-CN"/>
        </w:rPr>
      </w:pPr>
      <w:r>
        <w:rPr>
          <w:rFonts w:hint="eastAsia" w:ascii="Times New Roman"/>
          <w:lang w:val="zh-CN"/>
        </w:rPr>
        <w:t>液压</w:t>
      </w:r>
    </w:p>
    <w:p>
      <w:pPr>
        <w:pStyle w:val="27"/>
        <w:numPr>
          <w:ilvl w:val="2"/>
          <w:numId w:val="3"/>
        </w:numPr>
        <w:spacing w:before="156" w:after="156"/>
        <w:ind w:left="0" w:firstLine="0"/>
        <w:rPr>
          <w:rFonts w:ascii="宋体" w:hAnsi="宋体" w:eastAsia="宋体" w:cs="宋体"/>
        </w:rPr>
      </w:pPr>
      <w:r>
        <w:rPr>
          <w:rFonts w:hint="eastAsia" w:ascii="宋体" w:hAnsi="宋体" w:eastAsia="宋体" w:cs="宋体"/>
        </w:rPr>
        <w:t>钢管应按G</w:t>
      </w:r>
      <w:r>
        <w:rPr>
          <w:rFonts w:ascii="宋体" w:hAnsi="宋体" w:eastAsia="宋体" w:cs="宋体"/>
        </w:rPr>
        <w:t>B/T 241</w:t>
      </w:r>
      <w:r>
        <w:rPr>
          <w:rFonts w:hint="eastAsia" w:ascii="宋体" w:hAnsi="宋体" w:eastAsia="宋体" w:cs="宋体"/>
        </w:rPr>
        <w:t>规定进行液压试验，液压试验压力按式（</w:t>
      </w:r>
      <w:r>
        <w:rPr>
          <w:rFonts w:ascii="宋体" w:hAnsi="宋体" w:eastAsia="宋体" w:cs="宋体"/>
        </w:rPr>
        <w:t>3</w:t>
      </w:r>
      <w:r>
        <w:rPr>
          <w:rFonts w:hint="eastAsia" w:ascii="宋体" w:hAnsi="宋体" w:eastAsia="宋体" w:cs="宋体"/>
        </w:rPr>
        <w:t>）计算，最大试验压力为50MPa。在试验压力下，稳压时间应不少于l</w:t>
      </w:r>
      <w:r>
        <w:rPr>
          <w:rFonts w:ascii="宋体" w:hAnsi="宋体" w:eastAsia="宋体" w:cs="宋体"/>
        </w:rPr>
        <w:t>0</w:t>
      </w:r>
      <w:r>
        <w:rPr>
          <w:rFonts w:hint="eastAsia" w:ascii="宋体" w:hAnsi="宋体" w:eastAsia="宋体" w:cs="宋体"/>
        </w:rPr>
        <w:t>s，钢管不应岀现渗漏现象。</w:t>
      </w:r>
    </w:p>
    <w:p>
      <w:pPr>
        <w:pStyle w:val="45"/>
        <w:shd w:val="clear" w:color="auto" w:fill="auto"/>
        <w:tabs>
          <w:tab w:val="left" w:pos="2606"/>
          <w:tab w:val="left" w:leader="dot" w:pos="4661"/>
        </w:tabs>
        <w:spacing w:after="0" w:line="326" w:lineRule="exact"/>
        <w:jc w:val="right"/>
        <w:rPr>
          <w:color w:val="000000"/>
          <w:spacing w:val="0"/>
          <w:lang w:val="zh-TW" w:eastAsia="zh-TW" w:bidi="zh-TW"/>
        </w:rPr>
      </w:pPr>
      <w:r>
        <w:rPr>
          <w:rFonts w:hint="eastAsia" w:ascii="宋体" w:hAnsi="宋体"/>
        </w:rPr>
        <w:pict>
          <v:shape id="_x0000_s1042" o:spid="_x0000_s1042" o:spt="75" type="#_x0000_t75" style="position:absolute;left:0pt;margin-left:210.45pt;margin-top:8.25pt;height:31.2pt;width:46.2pt;z-index:251662336;mso-width-relative:page;mso-height-relative:page;" o:ole="t" fillcolor="#FFFFFF" filled="f" o:preferrelative="t" stroked="f" coordsize="21600,21600">
            <v:path/>
            <v:fill on="f" focussize="0,0"/>
            <v:stroke on="f" joinstyle="miter"/>
            <v:imagedata r:id="rId17" o:title=""/>
            <o:lock v:ext="edit" aspectratio="t"/>
          </v:shape>
          <o:OLEObject Type="Embed" ProgID="Equation.3" ShapeID="_x0000_s1042" DrawAspect="Content" ObjectID="_1468075728" r:id="rId16">
            <o:LockedField>false</o:LockedField>
          </o:OLEObject>
        </w:pict>
      </w:r>
    </w:p>
    <w:p>
      <w:pPr>
        <w:pStyle w:val="45"/>
        <w:shd w:val="clear" w:color="auto" w:fill="auto"/>
        <w:tabs>
          <w:tab w:val="left" w:pos="2606"/>
          <w:tab w:val="left" w:leader="dot" w:pos="4661"/>
        </w:tabs>
        <w:spacing w:after="0" w:line="326" w:lineRule="exact"/>
        <w:ind w:right="1680"/>
        <w:jc w:val="center"/>
        <w:rPr>
          <w:rFonts w:hint="eastAsia"/>
          <w:sz w:val="34"/>
          <w:szCs w:val="34"/>
          <w:lang w:eastAsia="zh-TW"/>
        </w:rPr>
      </w:pPr>
      <w:r>
        <w:rPr>
          <w:rFonts w:hint="eastAsia" w:ascii="宋体" w:hAnsi="宋体" w:eastAsiaTheme="minorEastAsia"/>
          <w:lang w:eastAsia="zh-TW"/>
        </w:rPr>
        <w:t xml:space="preserve"> </w:t>
      </w:r>
      <w:r>
        <w:rPr>
          <w:rFonts w:ascii="宋体" w:hAnsi="宋体" w:eastAsiaTheme="minorEastAsia"/>
          <w:lang w:eastAsia="zh-TW"/>
        </w:rPr>
        <w:t xml:space="preserve">                                              </w:t>
      </w:r>
      <w:r>
        <w:rPr>
          <w:rFonts w:hint="eastAsia" w:ascii="宋体" w:hAnsi="宋体"/>
          <w:lang w:eastAsia="zh-TW"/>
        </w:rPr>
        <w:t>………………………（</w:t>
      </w:r>
      <w:r>
        <w:rPr>
          <w:rFonts w:ascii="宋体" w:hAnsi="宋体"/>
          <w:lang w:eastAsia="zh-TW"/>
        </w:rPr>
        <w:t>3</w:t>
      </w:r>
      <w:r>
        <w:rPr>
          <w:rFonts w:hint="eastAsia" w:ascii="宋体" w:hAnsi="宋体"/>
          <w:lang w:eastAsia="zh-TW"/>
        </w:rPr>
        <w:t xml:space="preserve">）   </w:t>
      </w:r>
    </w:p>
    <w:p>
      <w:pPr>
        <w:spacing w:line="360" w:lineRule="exact"/>
        <w:ind w:left="420" w:leftChars="200" w:firstLine="420" w:firstLineChars="200"/>
      </w:pPr>
      <w:r>
        <w:rPr>
          <w:rFonts w:hint="eastAsia"/>
        </w:rPr>
        <w:t>式中：</w:t>
      </w:r>
    </w:p>
    <w:p>
      <w:pPr>
        <w:spacing w:line="360" w:lineRule="exact"/>
        <w:ind w:left="1680" w:leftChars="600" w:hanging="420" w:hangingChars="200"/>
        <w:rPr>
          <w:rFonts w:asciiTheme="minorEastAsia" w:hAnsiTheme="minorEastAsia" w:eastAsiaTheme="minorEastAsia"/>
        </w:rPr>
      </w:pPr>
      <w:r>
        <w:rPr>
          <w:rFonts w:hint="eastAsia" w:asciiTheme="minorEastAsia" w:hAnsiTheme="minorEastAsia" w:eastAsiaTheme="minorEastAsia"/>
          <w:i/>
        </w:rPr>
        <w:t>p</w:t>
      </w:r>
      <w:r>
        <w:rPr>
          <w:rFonts w:hint="eastAsia" w:asciiTheme="minorEastAsia" w:hAnsiTheme="minorEastAsia" w:eastAsiaTheme="minorEastAsia"/>
        </w:rPr>
        <w:t xml:space="preserve"> ——试验压力，单位为兆帕（MPa），当p&lt;7 MPa时，修约到最接近的0.5 MPa，当p≥7 MPa时，修约到最接近的l MPa；</w:t>
      </w:r>
    </w:p>
    <w:p>
      <w:pPr>
        <w:spacing w:line="360" w:lineRule="exact"/>
        <w:ind w:left="1680" w:leftChars="600" w:hanging="420" w:hangingChars="200"/>
        <w:rPr>
          <w:rFonts w:asciiTheme="minorEastAsia" w:hAnsiTheme="minorEastAsia" w:eastAsiaTheme="minorEastAsia"/>
        </w:rPr>
      </w:pPr>
      <w:r>
        <w:rPr>
          <w:rFonts w:hint="eastAsia" w:asciiTheme="minorEastAsia" w:hAnsiTheme="minorEastAsia" w:eastAsiaTheme="minorEastAsia"/>
          <w:i/>
        </w:rPr>
        <w:t>S</w:t>
      </w:r>
      <w:r>
        <w:rPr>
          <w:rFonts w:hint="eastAsia" w:asciiTheme="minorEastAsia" w:hAnsiTheme="minorEastAsia" w:eastAsiaTheme="minorEastAsia"/>
        </w:rPr>
        <w:t xml:space="preserve"> ——钢管的壁厚，单位为毫米（mm）；</w:t>
      </w:r>
    </w:p>
    <w:p>
      <w:pPr>
        <w:spacing w:line="360" w:lineRule="exact"/>
        <w:ind w:left="1680" w:leftChars="600" w:hanging="420" w:hangingChars="200"/>
        <w:rPr>
          <w:rFonts w:asciiTheme="minorEastAsia" w:hAnsiTheme="minorEastAsia" w:eastAsiaTheme="minorEastAsia"/>
        </w:rPr>
      </w:pPr>
      <w:r>
        <w:rPr>
          <w:rFonts w:hint="eastAsia" w:asciiTheme="minorEastAsia" w:hAnsiTheme="minorEastAsia" w:eastAsiaTheme="minorEastAsia"/>
          <w:i/>
        </w:rPr>
        <w:t>R</w:t>
      </w:r>
      <w:r>
        <w:rPr>
          <w:rFonts w:hint="eastAsia" w:asciiTheme="minorEastAsia" w:hAnsiTheme="minorEastAsia" w:eastAsiaTheme="minorEastAsia"/>
        </w:rPr>
        <w:t xml:space="preserve"> ——允许应力，按表</w:t>
      </w:r>
      <w:r>
        <w:rPr>
          <w:rFonts w:asciiTheme="minorEastAsia" w:hAnsiTheme="minorEastAsia" w:eastAsiaTheme="minorEastAsia"/>
        </w:rPr>
        <w:t>5</w:t>
      </w:r>
      <w:r>
        <w:rPr>
          <w:rFonts w:hint="eastAsia" w:asciiTheme="minorEastAsia" w:hAnsiTheme="minorEastAsia" w:eastAsiaTheme="minorEastAsia"/>
        </w:rPr>
        <w:t>中规定塑性延伸强度最小值的</w:t>
      </w:r>
      <w:r>
        <w:rPr>
          <w:rFonts w:asciiTheme="minorEastAsia" w:hAnsiTheme="minorEastAsia" w:eastAsiaTheme="minorEastAsia"/>
        </w:rPr>
        <w:t>7</w:t>
      </w:r>
      <w:r>
        <w:rPr>
          <w:rFonts w:hint="eastAsia" w:asciiTheme="minorEastAsia" w:hAnsiTheme="minorEastAsia" w:eastAsiaTheme="minorEastAsia"/>
        </w:rPr>
        <w:t>0%，单位为兆帕（MPa）；</w:t>
      </w:r>
    </w:p>
    <w:p>
      <w:pPr>
        <w:spacing w:line="360" w:lineRule="exact"/>
        <w:ind w:left="1680" w:leftChars="600" w:hanging="420" w:hangingChars="200"/>
        <w:rPr>
          <w:rFonts w:asciiTheme="minorEastAsia" w:hAnsiTheme="minorEastAsia" w:eastAsiaTheme="minorEastAsia"/>
        </w:rPr>
      </w:pPr>
      <w:r>
        <w:rPr>
          <w:rFonts w:hint="eastAsia" w:asciiTheme="minorEastAsia" w:hAnsiTheme="minorEastAsia" w:eastAsiaTheme="minorEastAsia"/>
          <w:i/>
        </w:rPr>
        <w:t>D</w:t>
      </w:r>
      <w:r>
        <w:rPr>
          <w:rFonts w:hint="eastAsia" w:asciiTheme="minorEastAsia" w:hAnsiTheme="minorEastAsia" w:eastAsiaTheme="minorEastAsia"/>
        </w:rPr>
        <w:t xml:space="preserve"> ——钢管的公称外径，单位为毫米（mm）。</w:t>
      </w:r>
    </w:p>
    <w:p>
      <w:pPr>
        <w:pStyle w:val="27"/>
        <w:numPr>
          <w:ilvl w:val="2"/>
          <w:numId w:val="3"/>
        </w:numPr>
        <w:spacing w:before="156" w:after="156"/>
        <w:ind w:left="0" w:firstLine="0"/>
        <w:rPr>
          <w:rFonts w:ascii="宋体" w:hAnsi="宋体" w:eastAsia="宋体" w:cs="宋体"/>
        </w:rPr>
      </w:pPr>
      <w:r>
        <w:rPr>
          <w:rFonts w:hint="eastAsia" w:ascii="宋体" w:hAnsi="宋体" w:eastAsia="宋体" w:cs="宋体"/>
        </w:rPr>
        <w:t>经供需双方同意，供方可用涡流探伤检验代液压试验。用涡流探伤时对比样管人工缺陷应符合 GB/T 7735中验收等级B的规定。</w:t>
      </w:r>
    </w:p>
    <w:p>
      <w:pPr>
        <w:pStyle w:val="22"/>
        <w:numPr>
          <w:ilvl w:val="1"/>
          <w:numId w:val="3"/>
        </w:numPr>
        <w:spacing w:before="156" w:after="156"/>
        <w:ind w:left="0" w:firstLine="0"/>
        <w:rPr>
          <w:rFonts w:ascii="Times New Roman"/>
          <w:lang w:val="zh-CN"/>
        </w:rPr>
      </w:pPr>
      <w:r>
        <w:rPr>
          <w:rFonts w:hint="eastAsia" w:ascii="Times New Roman"/>
          <w:lang w:val="zh-CN"/>
        </w:rPr>
        <w:t>低倍组织</w:t>
      </w:r>
    </w:p>
    <w:p>
      <w:pPr>
        <w:pStyle w:val="27"/>
        <w:numPr>
          <w:ilvl w:val="2"/>
          <w:numId w:val="3"/>
        </w:numPr>
        <w:spacing w:before="156" w:after="156"/>
        <w:ind w:left="0" w:firstLine="0"/>
        <w:rPr>
          <w:rFonts w:ascii="宋体" w:hAnsi="宋体" w:eastAsia="宋体" w:cs="宋体"/>
        </w:rPr>
      </w:pPr>
      <w:r>
        <w:rPr>
          <w:rFonts w:hint="eastAsia" w:ascii="宋体" w:hAnsi="宋体" w:eastAsia="宋体" w:cs="宋体"/>
        </w:rPr>
        <w:t>管坯（棒材）的横截面按</w:t>
      </w:r>
      <w:r>
        <w:rPr>
          <w:rFonts w:ascii="宋体" w:hAnsi="宋体" w:eastAsia="宋体" w:cs="宋体"/>
        </w:rPr>
        <w:t>GB/T 226</w:t>
      </w:r>
      <w:r>
        <w:rPr>
          <w:rFonts w:hint="eastAsia" w:ascii="宋体" w:hAnsi="宋体" w:eastAsia="宋体" w:cs="宋体"/>
        </w:rPr>
        <w:t>进行酸浸检验，按</w:t>
      </w:r>
      <w:r>
        <w:rPr>
          <w:rFonts w:ascii="宋体" w:hAnsi="宋体" w:eastAsia="宋体" w:cs="宋体"/>
        </w:rPr>
        <w:t>GB/T 1979</w:t>
      </w:r>
      <w:r>
        <w:rPr>
          <w:rFonts w:hint="eastAsia" w:ascii="宋体" w:hAnsi="宋体" w:eastAsia="宋体" w:cs="宋体"/>
        </w:rPr>
        <w:t>进行评级，低倍试片上不允许有目视可见的缩孔、气泡、裂纹、翻皮、夹杂、夹渣、白点、分层等，一般疏松、中心疏松、偏析应符合表6的规定。</w:t>
      </w:r>
    </w:p>
    <w:p>
      <w:pPr>
        <w:pStyle w:val="27"/>
        <w:numPr>
          <w:ilvl w:val="2"/>
          <w:numId w:val="3"/>
        </w:numPr>
        <w:spacing w:before="156" w:after="156"/>
        <w:ind w:left="0" w:firstLine="0"/>
        <w:rPr>
          <w:rFonts w:ascii="宋体" w:hAnsi="宋体" w:eastAsia="宋体" w:cs="宋体"/>
        </w:rPr>
      </w:pPr>
      <w:r>
        <w:rPr>
          <w:rFonts w:hint="eastAsia" w:ascii="宋体" w:hAnsi="宋体" w:eastAsia="宋体" w:cs="宋体"/>
        </w:rPr>
        <w:t>经供需双方协商，并在合同中注明，允许按照GB/T</w:t>
      </w:r>
      <w:r>
        <w:rPr>
          <w:rFonts w:ascii="宋体" w:hAnsi="宋体" w:eastAsia="宋体" w:cs="宋体"/>
        </w:rPr>
        <w:t xml:space="preserve"> 4162</w:t>
      </w:r>
      <w:r>
        <w:rPr>
          <w:rFonts w:hint="eastAsia" w:ascii="宋体" w:hAnsi="宋体" w:eastAsia="宋体" w:cs="宋体"/>
        </w:rPr>
        <w:t>的规定采用超声波探伤法或其它无损探伤法代替低倍检验。</w:t>
      </w:r>
    </w:p>
    <w:p>
      <w:pPr>
        <w:pStyle w:val="25"/>
        <w:spacing w:before="156" w:after="156"/>
        <w:rPr>
          <w:rFonts w:hAnsi="Calibri"/>
          <w:kern w:val="2"/>
          <w:szCs w:val="21"/>
        </w:rPr>
      </w:pPr>
      <w:r>
        <w:rPr>
          <w:rFonts w:hint="eastAsia" w:hAnsi="Calibri"/>
          <w:kern w:val="2"/>
          <w:szCs w:val="21"/>
        </w:rPr>
        <w:t xml:space="preserve">表 </w:t>
      </w:r>
      <w:r>
        <w:rPr>
          <w:rFonts w:hAnsi="Calibri"/>
          <w:kern w:val="2"/>
          <w:szCs w:val="21"/>
        </w:rPr>
        <w:fldChar w:fldCharType="begin"/>
      </w:r>
      <w:r>
        <w:rPr>
          <w:rFonts w:hAnsi="Calibri"/>
          <w:kern w:val="2"/>
          <w:szCs w:val="21"/>
        </w:rPr>
        <w:instrText xml:space="preserve"> </w:instrText>
      </w:r>
      <w:r>
        <w:rPr>
          <w:rFonts w:hint="eastAsia" w:hAnsi="Calibri"/>
          <w:kern w:val="2"/>
          <w:szCs w:val="21"/>
        </w:rPr>
        <w:instrText xml:space="preserve">SEQ 表 \* ARABIC</w:instrText>
      </w:r>
      <w:r>
        <w:rPr>
          <w:rFonts w:hAnsi="Calibri"/>
          <w:kern w:val="2"/>
          <w:szCs w:val="21"/>
        </w:rPr>
        <w:instrText xml:space="preserve"> </w:instrText>
      </w:r>
      <w:r>
        <w:rPr>
          <w:rFonts w:hAnsi="Calibri"/>
          <w:kern w:val="2"/>
          <w:szCs w:val="21"/>
        </w:rPr>
        <w:fldChar w:fldCharType="separate"/>
      </w:r>
      <w:r>
        <w:rPr>
          <w:rFonts w:hAnsi="Calibri"/>
          <w:kern w:val="2"/>
          <w:szCs w:val="21"/>
        </w:rPr>
        <w:t>6</w:t>
      </w:r>
      <w:r>
        <w:rPr>
          <w:rFonts w:hAnsi="Calibri"/>
          <w:kern w:val="2"/>
          <w:szCs w:val="21"/>
        </w:rPr>
        <w:fldChar w:fldCharType="end"/>
      </w:r>
      <w:r>
        <w:rPr>
          <w:rFonts w:hAnsi="Calibri"/>
          <w:kern w:val="2"/>
          <w:szCs w:val="21"/>
        </w:rPr>
        <w:t xml:space="preserve">  </w:t>
      </w:r>
      <w:r>
        <w:rPr>
          <w:rFonts w:hint="eastAsia" w:hAnsi="Calibri"/>
          <w:kern w:val="2"/>
          <w:szCs w:val="21"/>
        </w:rPr>
        <w:t>低倍组织合格级别</w:t>
      </w:r>
    </w:p>
    <w:tbl>
      <w:tblPr>
        <w:tblStyle w:val="8"/>
        <w:tblW w:w="9374"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3102"/>
        <w:gridCol w:w="3013"/>
        <w:gridCol w:w="325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jc w:val="center"/>
        </w:trPr>
        <w:tc>
          <w:tcPr>
            <w:tcW w:w="3102" w:type="dxa"/>
            <w:tcBorders>
              <w:top w:val="single" w:color="auto" w:sz="4" w:space="0"/>
            </w:tcBorders>
            <w:vAlign w:val="center"/>
          </w:tcPr>
          <w:p>
            <w:pPr>
              <w:pStyle w:val="20"/>
              <w:ind w:firstLine="360"/>
              <w:jc w:val="center"/>
              <w:rPr>
                <w:rFonts w:hAnsi="Calibri"/>
                <w:kern w:val="2"/>
                <w:sz w:val="18"/>
                <w:szCs w:val="18"/>
              </w:rPr>
            </w:pPr>
            <w:r>
              <w:rPr>
                <w:rFonts w:hint="eastAsia" w:hAnsi="Calibri"/>
                <w:kern w:val="2"/>
                <w:sz w:val="18"/>
                <w:szCs w:val="18"/>
              </w:rPr>
              <w:t>一般疏松</w:t>
            </w:r>
          </w:p>
        </w:tc>
        <w:tc>
          <w:tcPr>
            <w:tcW w:w="3013" w:type="dxa"/>
            <w:tcBorders>
              <w:top w:val="single" w:color="auto" w:sz="4" w:space="0"/>
              <w:left w:val="single" w:color="auto" w:sz="4" w:space="0"/>
            </w:tcBorders>
            <w:vAlign w:val="center"/>
          </w:tcPr>
          <w:p>
            <w:pPr>
              <w:pStyle w:val="20"/>
              <w:ind w:firstLine="360"/>
              <w:jc w:val="center"/>
              <w:rPr>
                <w:rFonts w:hAnsi="Calibri"/>
                <w:kern w:val="2"/>
                <w:sz w:val="18"/>
                <w:szCs w:val="18"/>
              </w:rPr>
            </w:pPr>
            <w:r>
              <w:rPr>
                <w:rFonts w:hint="eastAsia" w:hAnsi="Calibri"/>
                <w:kern w:val="2"/>
                <w:sz w:val="18"/>
                <w:szCs w:val="18"/>
              </w:rPr>
              <w:t>中心疏松</w:t>
            </w:r>
          </w:p>
        </w:tc>
        <w:tc>
          <w:tcPr>
            <w:tcW w:w="3259" w:type="dxa"/>
            <w:tcBorders>
              <w:top w:val="single" w:color="auto" w:sz="4" w:space="0"/>
              <w:left w:val="single" w:color="auto" w:sz="4" w:space="0"/>
            </w:tcBorders>
            <w:vAlign w:val="center"/>
          </w:tcPr>
          <w:p>
            <w:pPr>
              <w:pStyle w:val="20"/>
              <w:ind w:firstLine="360"/>
              <w:jc w:val="center"/>
              <w:rPr>
                <w:rFonts w:hAnsi="Calibri"/>
                <w:kern w:val="2"/>
                <w:sz w:val="18"/>
                <w:szCs w:val="18"/>
              </w:rPr>
            </w:pPr>
            <w:r>
              <w:rPr>
                <w:rFonts w:hint="eastAsia" w:hAnsi="Calibri"/>
                <w:kern w:val="2"/>
                <w:sz w:val="18"/>
                <w:szCs w:val="18"/>
              </w:rPr>
              <w:t>偏析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2" w:hRule="exact"/>
          <w:jc w:val="center"/>
        </w:trPr>
        <w:tc>
          <w:tcPr>
            <w:tcW w:w="3102" w:type="dxa"/>
            <w:tcBorders>
              <w:top w:val="single" w:color="auto" w:sz="4" w:space="0"/>
              <w:bottom w:val="single" w:color="auto" w:sz="4" w:space="0"/>
            </w:tcBorders>
            <w:vAlign w:val="center"/>
          </w:tcPr>
          <w:p>
            <w:pPr>
              <w:pStyle w:val="20"/>
              <w:ind w:firstLine="360"/>
              <w:jc w:val="center"/>
              <w:rPr>
                <w:rFonts w:hAnsi="Calibri"/>
                <w:kern w:val="2"/>
                <w:sz w:val="18"/>
                <w:szCs w:val="18"/>
              </w:rPr>
            </w:pPr>
            <w:r>
              <w:rPr>
                <w:rFonts w:hint="eastAsia" w:hAnsi="Calibri"/>
                <w:kern w:val="2"/>
                <w:sz w:val="18"/>
                <w:szCs w:val="18"/>
                <w:lang w:val="zh-TW"/>
              </w:rPr>
              <w:t>≤</w:t>
            </w:r>
            <w:r>
              <w:rPr>
                <w:rFonts w:hAnsi="Calibri"/>
                <w:kern w:val="2"/>
                <w:sz w:val="18"/>
                <w:szCs w:val="18"/>
                <w:lang w:val="zh-TW" w:eastAsia="zh-TW"/>
              </w:rPr>
              <w:t>1</w:t>
            </w:r>
            <w:r>
              <w:rPr>
                <w:rFonts w:hAnsi="Calibri"/>
                <w:kern w:val="2"/>
                <w:sz w:val="18"/>
                <w:szCs w:val="18"/>
              </w:rPr>
              <w:t>.</w:t>
            </w:r>
            <w:r>
              <w:rPr>
                <w:rFonts w:hAnsi="Calibri"/>
                <w:kern w:val="2"/>
                <w:sz w:val="18"/>
                <w:szCs w:val="18"/>
                <w:lang w:val="zh-TW" w:eastAsia="zh-TW"/>
              </w:rPr>
              <w:t>5</w:t>
            </w:r>
            <w:r>
              <w:rPr>
                <w:rFonts w:hint="eastAsia" w:hAnsi="Calibri"/>
                <w:kern w:val="2"/>
                <w:sz w:val="18"/>
                <w:szCs w:val="18"/>
                <w:lang w:val="zh-TW"/>
              </w:rPr>
              <w:t>级</w:t>
            </w:r>
          </w:p>
        </w:tc>
        <w:tc>
          <w:tcPr>
            <w:tcW w:w="3013" w:type="dxa"/>
            <w:tcBorders>
              <w:top w:val="single" w:color="auto" w:sz="4" w:space="0"/>
              <w:left w:val="single" w:color="auto" w:sz="4" w:space="0"/>
              <w:bottom w:val="single" w:color="auto" w:sz="4" w:space="0"/>
            </w:tcBorders>
            <w:vAlign w:val="center"/>
          </w:tcPr>
          <w:p>
            <w:pPr>
              <w:pStyle w:val="20"/>
              <w:ind w:firstLine="360"/>
              <w:jc w:val="center"/>
              <w:rPr>
                <w:rFonts w:hAnsi="Calibri"/>
                <w:kern w:val="2"/>
                <w:sz w:val="18"/>
                <w:szCs w:val="18"/>
              </w:rPr>
            </w:pPr>
            <w:r>
              <w:rPr>
                <w:rFonts w:hint="eastAsia" w:hAnsi="Calibri"/>
                <w:kern w:val="2"/>
                <w:sz w:val="18"/>
                <w:szCs w:val="18"/>
                <w:lang w:val="zh-TW"/>
              </w:rPr>
              <w:t>≤</w:t>
            </w:r>
            <w:r>
              <w:rPr>
                <w:rFonts w:hAnsi="Calibri"/>
                <w:kern w:val="2"/>
                <w:sz w:val="18"/>
                <w:szCs w:val="18"/>
                <w:lang w:val="zh-TW" w:eastAsia="zh-TW"/>
              </w:rPr>
              <w:t>1</w:t>
            </w:r>
            <w:r>
              <w:rPr>
                <w:rFonts w:hAnsi="Calibri"/>
                <w:kern w:val="2"/>
                <w:sz w:val="18"/>
                <w:szCs w:val="18"/>
              </w:rPr>
              <w:t>.</w:t>
            </w:r>
            <w:r>
              <w:rPr>
                <w:rFonts w:hAnsi="Calibri"/>
                <w:kern w:val="2"/>
                <w:sz w:val="18"/>
                <w:szCs w:val="18"/>
                <w:lang w:val="zh-TW" w:eastAsia="zh-TW"/>
              </w:rPr>
              <w:t>5</w:t>
            </w:r>
            <w:r>
              <w:rPr>
                <w:rFonts w:hint="eastAsia" w:hAnsi="Calibri"/>
                <w:kern w:val="2"/>
                <w:sz w:val="18"/>
                <w:szCs w:val="18"/>
                <w:lang w:val="zh-TW"/>
              </w:rPr>
              <w:t>级</w:t>
            </w:r>
          </w:p>
        </w:tc>
        <w:tc>
          <w:tcPr>
            <w:tcW w:w="3259" w:type="dxa"/>
            <w:tcBorders>
              <w:top w:val="single" w:color="auto" w:sz="4" w:space="0"/>
              <w:left w:val="single" w:color="auto" w:sz="4" w:space="0"/>
              <w:bottom w:val="single" w:color="auto" w:sz="4" w:space="0"/>
            </w:tcBorders>
            <w:vAlign w:val="center"/>
          </w:tcPr>
          <w:p>
            <w:pPr>
              <w:pStyle w:val="20"/>
              <w:ind w:firstLine="360"/>
              <w:jc w:val="center"/>
              <w:rPr>
                <w:rFonts w:hAnsi="Calibri"/>
                <w:kern w:val="2"/>
                <w:sz w:val="18"/>
                <w:szCs w:val="18"/>
              </w:rPr>
            </w:pPr>
            <w:r>
              <w:rPr>
                <w:rFonts w:hint="eastAsia" w:hAnsi="Calibri"/>
                <w:kern w:val="2"/>
                <w:sz w:val="18"/>
                <w:szCs w:val="18"/>
                <w:lang w:val="zh-TW"/>
              </w:rPr>
              <w:t>≤</w:t>
            </w:r>
            <w:r>
              <w:rPr>
                <w:rFonts w:hAnsi="Calibri"/>
                <w:kern w:val="2"/>
                <w:sz w:val="18"/>
                <w:szCs w:val="18"/>
                <w:lang w:val="zh-TW" w:eastAsia="zh-TW"/>
              </w:rPr>
              <w:t>1</w:t>
            </w:r>
            <w:r>
              <w:rPr>
                <w:rFonts w:hAnsi="Calibri"/>
                <w:kern w:val="2"/>
                <w:sz w:val="18"/>
                <w:szCs w:val="18"/>
              </w:rPr>
              <w:t>.</w:t>
            </w:r>
            <w:r>
              <w:rPr>
                <w:rFonts w:hAnsi="Calibri"/>
                <w:kern w:val="2"/>
                <w:sz w:val="18"/>
                <w:szCs w:val="18"/>
                <w:lang w:val="zh-TW" w:eastAsia="zh-TW"/>
              </w:rPr>
              <w:t>5</w:t>
            </w:r>
            <w:r>
              <w:rPr>
                <w:rFonts w:hint="eastAsia" w:hAnsi="Calibri"/>
                <w:kern w:val="2"/>
                <w:sz w:val="18"/>
                <w:szCs w:val="18"/>
                <w:lang w:val="zh-TW"/>
              </w:rPr>
              <w:t>级</w:t>
            </w:r>
          </w:p>
        </w:tc>
      </w:tr>
    </w:tbl>
    <w:p>
      <w:pPr>
        <w:pStyle w:val="22"/>
        <w:numPr>
          <w:ilvl w:val="1"/>
          <w:numId w:val="3"/>
        </w:numPr>
        <w:spacing w:before="156" w:after="156"/>
        <w:ind w:left="0" w:firstLine="0"/>
        <w:rPr>
          <w:rFonts w:ascii="Times New Roman"/>
          <w:lang w:val="zh-CN"/>
        </w:rPr>
      </w:pPr>
      <w:r>
        <w:rPr>
          <w:rFonts w:hint="eastAsia" w:ascii="Times New Roman"/>
          <w:lang w:val="zh-CN"/>
        </w:rPr>
        <w:t>晶粒度</w:t>
      </w:r>
    </w:p>
    <w:p>
      <w:pPr>
        <w:pStyle w:val="27"/>
        <w:numPr>
          <w:numId w:val="0"/>
        </w:numPr>
        <w:spacing w:before="156" w:after="156"/>
        <w:ind w:leftChars="0" w:firstLine="420" w:firstLineChars="200"/>
        <w:rPr>
          <w:rFonts w:ascii="宋体" w:hAnsi="宋体" w:eastAsia="宋体" w:cs="宋体"/>
        </w:rPr>
      </w:pPr>
      <w:r>
        <w:rPr>
          <w:rFonts w:hint="eastAsia" w:ascii="宋体" w:hAnsi="宋体" w:eastAsia="宋体" w:cs="宋体"/>
        </w:rPr>
        <w:t>钢管</w:t>
      </w:r>
      <w:r>
        <w:rPr>
          <w:rFonts w:ascii="宋体" w:hAnsi="宋体" w:eastAsia="宋体" w:cs="宋体"/>
        </w:rPr>
        <w:t>的平均晶粒度应为5级或更</w:t>
      </w:r>
      <w:r>
        <w:rPr>
          <w:rFonts w:hint="eastAsia" w:ascii="宋体" w:hAnsi="宋体" w:eastAsia="宋体" w:cs="宋体"/>
        </w:rPr>
        <w:t>细。</w:t>
      </w:r>
    </w:p>
    <w:p>
      <w:pPr>
        <w:pStyle w:val="22"/>
        <w:numPr>
          <w:ilvl w:val="1"/>
          <w:numId w:val="3"/>
        </w:numPr>
        <w:spacing w:before="156" w:after="156"/>
        <w:ind w:left="0" w:firstLine="0"/>
        <w:rPr>
          <w:rFonts w:ascii="Times New Roman"/>
          <w:lang w:val="zh-CN"/>
        </w:rPr>
      </w:pPr>
      <w:r>
        <w:rPr>
          <w:rFonts w:hint="eastAsia" w:ascii="Times New Roman"/>
        </w:rPr>
        <w:t>非金属夹杂物</w:t>
      </w:r>
    </w:p>
    <w:p>
      <w:pPr>
        <w:pStyle w:val="27"/>
        <w:numPr>
          <w:ilvl w:val="2"/>
          <w:numId w:val="3"/>
        </w:numPr>
        <w:spacing w:before="156" w:after="156"/>
        <w:ind w:left="0" w:firstLine="0"/>
      </w:pPr>
      <w:r>
        <w:rPr>
          <w:rFonts w:hint="eastAsia" w:ascii="宋体" w:hAnsi="宋体" w:eastAsia="宋体" w:cs="宋体"/>
        </w:rPr>
        <w:t>管坯（棒材）应按</w:t>
      </w:r>
      <w:r>
        <w:rPr>
          <w:rFonts w:ascii="宋体" w:hAnsi="宋体" w:eastAsia="宋体" w:cs="宋体"/>
        </w:rPr>
        <w:t xml:space="preserve"> GB/T 10561</w:t>
      </w:r>
      <w:r>
        <w:rPr>
          <w:rFonts w:hint="eastAsia" w:ascii="宋体" w:hAnsi="宋体" w:eastAsia="宋体" w:cs="宋体"/>
        </w:rPr>
        <w:t>的</w:t>
      </w:r>
      <w:r>
        <w:rPr>
          <w:rFonts w:ascii="宋体" w:hAnsi="宋体" w:eastAsia="宋体" w:cs="宋体"/>
        </w:rPr>
        <w:t xml:space="preserve"> A </w:t>
      </w:r>
      <w:r>
        <w:rPr>
          <w:rFonts w:hint="eastAsia" w:ascii="宋体" w:hAnsi="宋体" w:eastAsia="宋体" w:cs="宋体"/>
        </w:rPr>
        <w:t>法进行非金属夹杂物检测，其合格级别应符合表</w:t>
      </w:r>
      <w:r>
        <w:rPr>
          <w:rFonts w:ascii="宋体" w:hAnsi="宋体" w:eastAsia="宋体" w:cs="宋体"/>
        </w:rPr>
        <w:t>7</w:t>
      </w:r>
      <w:r>
        <w:rPr>
          <w:rFonts w:hint="eastAsia" w:ascii="宋体" w:hAnsi="宋体" w:eastAsia="宋体" w:cs="宋体"/>
        </w:rPr>
        <w:t>的规定。</w:t>
      </w:r>
    </w:p>
    <w:p>
      <w:pPr>
        <w:pStyle w:val="20"/>
        <w:spacing w:before="156" w:beforeLines="50" w:after="156" w:afterLines="50"/>
        <w:ind w:firstLine="0" w:firstLineChars="0"/>
        <w:jc w:val="center"/>
        <w:rPr>
          <w:rFonts w:ascii="黑体" w:hAnsi="Calibri" w:eastAsia="黑体"/>
          <w:kern w:val="2"/>
          <w:sz w:val="21"/>
          <w:szCs w:val="21"/>
        </w:rPr>
      </w:pPr>
      <w:r>
        <w:rPr>
          <w:rFonts w:hint="eastAsia" w:ascii="黑体" w:hAnsi="Calibri" w:eastAsia="黑体"/>
          <w:kern w:val="2"/>
          <w:sz w:val="21"/>
          <w:szCs w:val="21"/>
        </w:rPr>
        <w:t xml:space="preserve">表 </w:t>
      </w:r>
      <w:r>
        <w:rPr>
          <w:rFonts w:ascii="黑体" w:hAnsi="Calibri" w:eastAsia="黑体"/>
          <w:kern w:val="2"/>
          <w:sz w:val="21"/>
          <w:szCs w:val="21"/>
        </w:rPr>
        <w:fldChar w:fldCharType="begin"/>
      </w:r>
      <w:r>
        <w:rPr>
          <w:rFonts w:ascii="黑体" w:hAnsi="Calibri" w:eastAsia="黑体"/>
          <w:kern w:val="2"/>
          <w:sz w:val="21"/>
          <w:szCs w:val="21"/>
        </w:rPr>
        <w:instrText xml:space="preserve"> </w:instrText>
      </w:r>
      <w:r>
        <w:rPr>
          <w:rFonts w:hint="eastAsia" w:ascii="黑体" w:hAnsi="Calibri" w:eastAsia="黑体"/>
          <w:kern w:val="2"/>
          <w:sz w:val="21"/>
          <w:szCs w:val="21"/>
        </w:rPr>
        <w:instrText xml:space="preserve">SEQ 表 \* ARABIC</w:instrText>
      </w:r>
      <w:r>
        <w:rPr>
          <w:rFonts w:ascii="黑体" w:hAnsi="Calibri" w:eastAsia="黑体"/>
          <w:kern w:val="2"/>
          <w:sz w:val="21"/>
          <w:szCs w:val="21"/>
        </w:rPr>
        <w:instrText xml:space="preserve"> </w:instrText>
      </w:r>
      <w:r>
        <w:rPr>
          <w:rFonts w:ascii="黑体" w:hAnsi="Calibri" w:eastAsia="黑体"/>
          <w:kern w:val="2"/>
          <w:sz w:val="21"/>
          <w:szCs w:val="21"/>
        </w:rPr>
        <w:fldChar w:fldCharType="separate"/>
      </w:r>
      <w:r>
        <w:rPr>
          <w:rFonts w:ascii="黑体" w:hAnsi="Calibri" w:eastAsia="黑体"/>
          <w:kern w:val="2"/>
          <w:sz w:val="21"/>
          <w:szCs w:val="21"/>
        </w:rPr>
        <w:t>7</w:t>
      </w:r>
      <w:r>
        <w:rPr>
          <w:rFonts w:ascii="黑体" w:hAnsi="Calibri" w:eastAsia="黑体"/>
          <w:kern w:val="2"/>
          <w:sz w:val="21"/>
          <w:szCs w:val="21"/>
        </w:rPr>
        <w:fldChar w:fldCharType="end"/>
      </w:r>
      <w:r>
        <w:rPr>
          <w:rFonts w:ascii="黑体" w:hAnsi="Calibri" w:eastAsia="黑体"/>
          <w:kern w:val="2"/>
          <w:sz w:val="21"/>
          <w:szCs w:val="21"/>
        </w:rPr>
        <w:t xml:space="preserve">  </w:t>
      </w:r>
      <w:r>
        <w:rPr>
          <w:rFonts w:hint="eastAsia" w:ascii="黑体" w:hAnsi="Calibri" w:eastAsia="黑体"/>
          <w:kern w:val="2"/>
          <w:sz w:val="21"/>
          <w:szCs w:val="21"/>
        </w:rPr>
        <w:t>非金属夹杂物要求</w:t>
      </w:r>
    </w:p>
    <w:tbl>
      <w:tblPr>
        <w:tblStyle w:val="8"/>
        <w:tblW w:w="91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9"/>
        <w:gridCol w:w="711"/>
        <w:gridCol w:w="711"/>
        <w:gridCol w:w="711"/>
        <w:gridCol w:w="711"/>
        <w:gridCol w:w="711"/>
        <w:gridCol w:w="711"/>
        <w:gridCol w:w="711"/>
        <w:gridCol w:w="711"/>
        <w:gridCol w:w="711"/>
        <w:gridCol w:w="712"/>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1319" w:type="dxa"/>
            <w:vMerge w:val="restart"/>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夹杂物类型</w:t>
            </w:r>
          </w:p>
        </w:tc>
        <w:tc>
          <w:tcPr>
            <w:tcW w:w="1422" w:type="dxa"/>
            <w:gridSpan w:val="2"/>
            <w:tcBorders>
              <w:bottom w:val="single" w:color="auto" w:sz="4" w:space="0"/>
            </w:tcBorders>
            <w:vAlign w:val="center"/>
          </w:tcPr>
          <w:p>
            <w:pPr>
              <w:widowControl/>
              <w:autoSpaceDE w:val="0"/>
              <w:autoSpaceDN w:val="0"/>
              <w:jc w:val="center"/>
              <w:rPr>
                <w:rFonts w:ascii="宋体" w:hAnsi="宋体"/>
                <w:kern w:val="0"/>
                <w:sz w:val="18"/>
                <w:szCs w:val="18"/>
              </w:rPr>
            </w:pPr>
            <w:r>
              <w:rPr>
                <w:rFonts w:ascii="宋体" w:hAnsi="宋体"/>
                <w:kern w:val="0"/>
                <w:sz w:val="18"/>
                <w:szCs w:val="18"/>
              </w:rPr>
              <w:t>A</w:t>
            </w:r>
            <w:r>
              <w:rPr>
                <w:rFonts w:hint="eastAsia" w:ascii="宋体" w:hAnsi="宋体"/>
                <w:kern w:val="0"/>
                <w:sz w:val="18"/>
                <w:szCs w:val="18"/>
              </w:rPr>
              <w:t>类（级）</w:t>
            </w:r>
          </w:p>
        </w:tc>
        <w:tc>
          <w:tcPr>
            <w:tcW w:w="1422" w:type="dxa"/>
            <w:gridSpan w:val="2"/>
            <w:tcBorders>
              <w:bottom w:val="single" w:color="auto" w:sz="4" w:space="0"/>
            </w:tcBorders>
            <w:vAlign w:val="center"/>
          </w:tcPr>
          <w:p>
            <w:pPr>
              <w:widowControl/>
              <w:autoSpaceDE w:val="0"/>
              <w:autoSpaceDN w:val="0"/>
              <w:jc w:val="center"/>
              <w:rPr>
                <w:rFonts w:ascii="宋体" w:hAnsi="宋体"/>
                <w:kern w:val="0"/>
                <w:sz w:val="18"/>
                <w:szCs w:val="18"/>
              </w:rPr>
            </w:pPr>
            <w:r>
              <w:rPr>
                <w:rFonts w:ascii="宋体" w:hAnsi="宋体"/>
                <w:kern w:val="0"/>
                <w:sz w:val="18"/>
                <w:szCs w:val="18"/>
              </w:rPr>
              <w:t>B</w:t>
            </w:r>
            <w:r>
              <w:rPr>
                <w:rFonts w:hint="eastAsia" w:ascii="宋体" w:hAnsi="宋体"/>
                <w:kern w:val="0"/>
                <w:sz w:val="18"/>
                <w:szCs w:val="18"/>
              </w:rPr>
              <w:t>类（级）</w:t>
            </w:r>
          </w:p>
        </w:tc>
        <w:tc>
          <w:tcPr>
            <w:tcW w:w="1422" w:type="dxa"/>
            <w:gridSpan w:val="2"/>
            <w:tcBorders>
              <w:bottom w:val="single" w:color="auto" w:sz="4" w:space="0"/>
            </w:tcBorders>
            <w:vAlign w:val="center"/>
          </w:tcPr>
          <w:p>
            <w:pPr>
              <w:widowControl/>
              <w:autoSpaceDE w:val="0"/>
              <w:autoSpaceDN w:val="0"/>
              <w:jc w:val="center"/>
              <w:rPr>
                <w:rFonts w:ascii="宋体" w:hAnsi="宋体"/>
                <w:kern w:val="0"/>
                <w:sz w:val="18"/>
                <w:szCs w:val="18"/>
              </w:rPr>
            </w:pPr>
            <w:r>
              <w:rPr>
                <w:rFonts w:ascii="宋体" w:hAnsi="宋体"/>
                <w:kern w:val="0"/>
                <w:sz w:val="18"/>
                <w:szCs w:val="18"/>
              </w:rPr>
              <w:t>C</w:t>
            </w:r>
            <w:r>
              <w:rPr>
                <w:rFonts w:hint="eastAsia" w:ascii="宋体" w:hAnsi="宋体"/>
                <w:kern w:val="0"/>
                <w:sz w:val="18"/>
                <w:szCs w:val="18"/>
              </w:rPr>
              <w:t>类（级）</w:t>
            </w:r>
          </w:p>
        </w:tc>
        <w:tc>
          <w:tcPr>
            <w:tcW w:w="1422" w:type="dxa"/>
            <w:gridSpan w:val="2"/>
            <w:tcBorders>
              <w:bottom w:val="single" w:color="auto" w:sz="4" w:space="0"/>
              <w:right w:val="single" w:color="auto" w:sz="4" w:space="0"/>
            </w:tcBorders>
            <w:vAlign w:val="center"/>
          </w:tcPr>
          <w:p>
            <w:pPr>
              <w:widowControl/>
              <w:autoSpaceDE w:val="0"/>
              <w:autoSpaceDN w:val="0"/>
              <w:jc w:val="center"/>
              <w:rPr>
                <w:rFonts w:ascii="宋体" w:hAnsi="宋体"/>
                <w:kern w:val="0"/>
                <w:sz w:val="18"/>
                <w:szCs w:val="18"/>
              </w:rPr>
            </w:pPr>
            <w:r>
              <w:rPr>
                <w:rFonts w:ascii="宋体" w:hAnsi="宋体"/>
                <w:kern w:val="0"/>
                <w:sz w:val="18"/>
                <w:szCs w:val="18"/>
              </w:rPr>
              <w:t>D</w:t>
            </w:r>
            <w:r>
              <w:rPr>
                <w:rFonts w:hint="eastAsia" w:ascii="宋体" w:hAnsi="宋体"/>
                <w:kern w:val="0"/>
                <w:sz w:val="18"/>
                <w:szCs w:val="18"/>
              </w:rPr>
              <w:t>类（级）</w:t>
            </w:r>
          </w:p>
        </w:tc>
        <w:tc>
          <w:tcPr>
            <w:tcW w:w="1423" w:type="dxa"/>
            <w:gridSpan w:val="2"/>
            <w:tcBorders>
              <w:left w:val="single" w:color="auto" w:sz="4" w:space="0"/>
            </w:tcBorders>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A+B+C+D</w:t>
            </w:r>
          </w:p>
        </w:tc>
        <w:tc>
          <w:tcPr>
            <w:tcW w:w="726" w:type="dxa"/>
            <w:vMerge w:val="restart"/>
            <w:tcBorders>
              <w:left w:val="single" w:color="auto" w:sz="4" w:space="0"/>
            </w:tcBorders>
            <w:vAlign w:val="center"/>
          </w:tcPr>
          <w:p>
            <w:pPr>
              <w:widowControl/>
              <w:autoSpaceDE w:val="0"/>
              <w:autoSpaceDN w:val="0"/>
              <w:jc w:val="center"/>
              <w:rPr>
                <w:rFonts w:ascii="宋体" w:hAnsi="宋体"/>
                <w:kern w:val="0"/>
                <w:sz w:val="18"/>
                <w:szCs w:val="18"/>
              </w:rPr>
            </w:pPr>
            <w:r>
              <w:rPr>
                <w:rFonts w:ascii="宋体" w:hAnsi="宋体"/>
                <w:kern w:val="0"/>
                <w:sz w:val="18"/>
                <w:szCs w:val="18"/>
              </w:rPr>
              <w:t>DS</w:t>
            </w:r>
            <w:r>
              <w:rPr>
                <w:rFonts w:hint="eastAsia" w:ascii="宋体" w:hAnsi="宋体"/>
                <w:kern w:val="0"/>
                <w:sz w:val="18"/>
                <w:szCs w:val="18"/>
              </w:rPr>
              <w:t>类（级）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 w:hRule="atLeast"/>
          <w:jc w:val="center"/>
        </w:trPr>
        <w:tc>
          <w:tcPr>
            <w:tcW w:w="1319" w:type="dxa"/>
            <w:vMerge w:val="continue"/>
            <w:vAlign w:val="center"/>
          </w:tcPr>
          <w:p>
            <w:pPr>
              <w:widowControl/>
              <w:autoSpaceDE w:val="0"/>
              <w:autoSpaceDN w:val="0"/>
              <w:jc w:val="center"/>
              <w:rPr>
                <w:rFonts w:ascii="宋体" w:hAnsi="宋体"/>
                <w:kern w:val="0"/>
                <w:sz w:val="18"/>
                <w:szCs w:val="18"/>
              </w:rPr>
            </w:pPr>
          </w:p>
        </w:tc>
        <w:tc>
          <w:tcPr>
            <w:tcW w:w="711" w:type="dxa"/>
            <w:tcBorders>
              <w:top w:val="single" w:color="auto" w:sz="4" w:space="0"/>
              <w:right w:val="single" w:color="auto" w:sz="4"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细系</w:t>
            </w:r>
          </w:p>
        </w:tc>
        <w:tc>
          <w:tcPr>
            <w:tcW w:w="711" w:type="dxa"/>
            <w:tcBorders>
              <w:top w:val="single" w:color="auto" w:sz="4" w:space="0"/>
              <w:left w:val="single" w:color="auto" w:sz="4"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粗系</w:t>
            </w:r>
          </w:p>
        </w:tc>
        <w:tc>
          <w:tcPr>
            <w:tcW w:w="711" w:type="dxa"/>
            <w:tcBorders>
              <w:top w:val="single" w:color="auto" w:sz="4" w:space="0"/>
              <w:right w:val="single" w:color="auto" w:sz="4"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细系</w:t>
            </w:r>
          </w:p>
        </w:tc>
        <w:tc>
          <w:tcPr>
            <w:tcW w:w="711" w:type="dxa"/>
            <w:tcBorders>
              <w:top w:val="single" w:color="auto" w:sz="4" w:space="0"/>
              <w:left w:val="single" w:color="auto" w:sz="4"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粗系</w:t>
            </w:r>
          </w:p>
        </w:tc>
        <w:tc>
          <w:tcPr>
            <w:tcW w:w="711" w:type="dxa"/>
            <w:tcBorders>
              <w:top w:val="single" w:color="auto" w:sz="4" w:space="0"/>
              <w:right w:val="single" w:color="auto" w:sz="4"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细系</w:t>
            </w:r>
          </w:p>
        </w:tc>
        <w:tc>
          <w:tcPr>
            <w:tcW w:w="711" w:type="dxa"/>
            <w:tcBorders>
              <w:top w:val="single" w:color="auto" w:sz="4" w:space="0"/>
              <w:left w:val="single" w:color="auto" w:sz="4"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粗系</w:t>
            </w:r>
          </w:p>
        </w:tc>
        <w:tc>
          <w:tcPr>
            <w:tcW w:w="711" w:type="dxa"/>
            <w:tcBorders>
              <w:top w:val="single" w:color="auto" w:sz="4" w:space="0"/>
              <w:right w:val="single" w:color="auto" w:sz="4"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细系</w:t>
            </w:r>
          </w:p>
        </w:tc>
        <w:tc>
          <w:tcPr>
            <w:tcW w:w="711" w:type="dxa"/>
            <w:tcBorders>
              <w:top w:val="single" w:color="auto" w:sz="4" w:space="0"/>
              <w:right w:val="single" w:color="auto" w:sz="4"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粗系</w:t>
            </w:r>
          </w:p>
        </w:tc>
        <w:tc>
          <w:tcPr>
            <w:tcW w:w="711" w:type="dxa"/>
            <w:tcBorders>
              <w:left w:val="single" w:color="auto" w:sz="4" w:space="0"/>
              <w:right w:val="single" w:color="auto" w:sz="4"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细系</w:t>
            </w:r>
          </w:p>
        </w:tc>
        <w:tc>
          <w:tcPr>
            <w:tcW w:w="712" w:type="dxa"/>
            <w:tcBorders>
              <w:left w:val="single" w:color="auto" w:sz="4" w:space="0"/>
            </w:tcBorders>
            <w:vAlign w:val="center"/>
          </w:tcPr>
          <w:p>
            <w:pPr>
              <w:autoSpaceDE w:val="0"/>
              <w:autoSpaceDN w:val="0"/>
              <w:jc w:val="center"/>
              <w:rPr>
                <w:rFonts w:ascii="宋体" w:hAnsi="宋体"/>
                <w:kern w:val="0"/>
                <w:sz w:val="18"/>
                <w:szCs w:val="18"/>
              </w:rPr>
            </w:pPr>
            <w:r>
              <w:rPr>
                <w:rFonts w:hint="eastAsia" w:ascii="宋体" w:hAnsi="宋体"/>
                <w:kern w:val="0"/>
                <w:sz w:val="18"/>
                <w:szCs w:val="18"/>
              </w:rPr>
              <w:t>粗系</w:t>
            </w:r>
          </w:p>
        </w:tc>
        <w:tc>
          <w:tcPr>
            <w:tcW w:w="726" w:type="dxa"/>
            <w:vMerge w:val="continue"/>
            <w:tcBorders>
              <w:left w:val="single" w:color="auto" w:sz="4" w:space="0"/>
            </w:tcBorders>
            <w:vAlign w:val="center"/>
          </w:tcPr>
          <w:p>
            <w:pPr>
              <w:widowControl/>
              <w:autoSpaceDE w:val="0"/>
              <w:autoSpaceDN w:val="0"/>
              <w:jc w:val="center"/>
              <w:rPr>
                <w:rFonts w:ascii="宋体" w:hAns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9" w:type="dxa"/>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合格级别</w:t>
            </w:r>
          </w:p>
          <w:p>
            <w:pPr>
              <w:widowControl/>
              <w:autoSpaceDE w:val="0"/>
              <w:autoSpaceDN w:val="0"/>
              <w:jc w:val="center"/>
              <w:rPr>
                <w:rFonts w:ascii="宋体" w:hAnsi="宋体"/>
                <w:kern w:val="0"/>
                <w:sz w:val="18"/>
                <w:szCs w:val="18"/>
              </w:rPr>
            </w:pPr>
            <w:r>
              <w:rPr>
                <w:rFonts w:hint="eastAsia" w:ascii="宋体" w:hAnsi="宋体"/>
                <w:kern w:val="0"/>
                <w:sz w:val="18"/>
                <w:szCs w:val="18"/>
              </w:rPr>
              <w:t>（不大于）</w:t>
            </w:r>
          </w:p>
        </w:tc>
        <w:tc>
          <w:tcPr>
            <w:tcW w:w="711" w:type="dxa"/>
            <w:tcBorders>
              <w:right w:val="single" w:color="auto" w:sz="4" w:space="0"/>
            </w:tcBorders>
            <w:vAlign w:val="center"/>
          </w:tcPr>
          <w:p>
            <w:pPr>
              <w:widowControl/>
              <w:jc w:val="center"/>
              <w:rPr>
                <w:rFonts w:ascii="宋体" w:hAnsi="宋体"/>
                <w:kern w:val="0"/>
                <w:sz w:val="18"/>
                <w:szCs w:val="18"/>
              </w:rPr>
            </w:pPr>
            <w:r>
              <w:rPr>
                <w:rFonts w:ascii="宋体" w:hAnsi="宋体"/>
                <w:kern w:val="0"/>
                <w:sz w:val="18"/>
                <w:szCs w:val="18"/>
              </w:rPr>
              <w:t xml:space="preserve">1.0 </w:t>
            </w:r>
          </w:p>
        </w:tc>
        <w:tc>
          <w:tcPr>
            <w:tcW w:w="711" w:type="dxa"/>
            <w:tcBorders>
              <w:left w:val="single" w:color="auto" w:sz="4" w:space="0"/>
            </w:tcBorders>
            <w:vAlign w:val="center"/>
          </w:tcPr>
          <w:p>
            <w:pPr>
              <w:widowControl/>
              <w:autoSpaceDE w:val="0"/>
              <w:autoSpaceDN w:val="0"/>
              <w:jc w:val="center"/>
              <w:rPr>
                <w:rFonts w:ascii="宋体" w:hAnsi="宋体"/>
                <w:kern w:val="0"/>
                <w:sz w:val="18"/>
                <w:szCs w:val="18"/>
              </w:rPr>
            </w:pPr>
            <w:r>
              <w:rPr>
                <w:rFonts w:ascii="宋体" w:hAnsi="宋体"/>
                <w:kern w:val="0"/>
                <w:sz w:val="18"/>
                <w:szCs w:val="18"/>
              </w:rPr>
              <w:t>1.0</w:t>
            </w:r>
          </w:p>
        </w:tc>
        <w:tc>
          <w:tcPr>
            <w:tcW w:w="711" w:type="dxa"/>
            <w:tcBorders>
              <w:right w:val="single" w:color="auto" w:sz="4" w:space="0"/>
            </w:tcBorders>
            <w:vAlign w:val="center"/>
          </w:tcPr>
          <w:p>
            <w:pPr>
              <w:widowControl/>
              <w:autoSpaceDE w:val="0"/>
              <w:autoSpaceDN w:val="0"/>
              <w:jc w:val="center"/>
              <w:rPr>
                <w:rFonts w:ascii="宋体" w:hAnsi="宋体"/>
                <w:kern w:val="0"/>
                <w:sz w:val="18"/>
                <w:szCs w:val="18"/>
              </w:rPr>
            </w:pPr>
            <w:r>
              <w:rPr>
                <w:rFonts w:ascii="宋体" w:hAnsi="宋体"/>
                <w:kern w:val="0"/>
                <w:sz w:val="18"/>
                <w:szCs w:val="18"/>
              </w:rPr>
              <w:t>1.0</w:t>
            </w:r>
          </w:p>
        </w:tc>
        <w:tc>
          <w:tcPr>
            <w:tcW w:w="711" w:type="dxa"/>
            <w:tcBorders>
              <w:left w:val="single" w:color="auto" w:sz="4" w:space="0"/>
            </w:tcBorders>
            <w:vAlign w:val="center"/>
          </w:tcPr>
          <w:p>
            <w:pPr>
              <w:widowControl/>
              <w:autoSpaceDE w:val="0"/>
              <w:autoSpaceDN w:val="0"/>
              <w:jc w:val="center"/>
              <w:rPr>
                <w:rFonts w:ascii="宋体" w:hAnsi="宋体"/>
                <w:kern w:val="0"/>
                <w:sz w:val="18"/>
                <w:szCs w:val="18"/>
              </w:rPr>
            </w:pPr>
            <w:r>
              <w:rPr>
                <w:rFonts w:ascii="宋体" w:hAnsi="宋体"/>
                <w:kern w:val="0"/>
                <w:sz w:val="18"/>
                <w:szCs w:val="18"/>
              </w:rPr>
              <w:t>1.0</w:t>
            </w:r>
          </w:p>
        </w:tc>
        <w:tc>
          <w:tcPr>
            <w:tcW w:w="711" w:type="dxa"/>
            <w:tcBorders>
              <w:right w:val="single" w:color="auto" w:sz="4" w:space="0"/>
            </w:tcBorders>
            <w:vAlign w:val="center"/>
          </w:tcPr>
          <w:p>
            <w:pPr>
              <w:widowControl/>
              <w:autoSpaceDE w:val="0"/>
              <w:autoSpaceDN w:val="0"/>
              <w:jc w:val="center"/>
              <w:rPr>
                <w:rFonts w:ascii="宋体" w:hAnsi="宋体"/>
                <w:kern w:val="0"/>
                <w:sz w:val="18"/>
                <w:szCs w:val="18"/>
              </w:rPr>
            </w:pPr>
            <w:r>
              <w:rPr>
                <w:rFonts w:ascii="宋体" w:hAnsi="宋体"/>
                <w:kern w:val="0"/>
                <w:sz w:val="18"/>
                <w:szCs w:val="18"/>
              </w:rPr>
              <w:t>1.0</w:t>
            </w:r>
          </w:p>
        </w:tc>
        <w:tc>
          <w:tcPr>
            <w:tcW w:w="711" w:type="dxa"/>
            <w:tcBorders>
              <w:left w:val="single" w:color="auto" w:sz="4" w:space="0"/>
            </w:tcBorders>
            <w:vAlign w:val="center"/>
          </w:tcPr>
          <w:p>
            <w:pPr>
              <w:widowControl/>
              <w:autoSpaceDE w:val="0"/>
              <w:autoSpaceDN w:val="0"/>
              <w:jc w:val="center"/>
              <w:rPr>
                <w:rFonts w:ascii="宋体" w:hAnsi="宋体"/>
                <w:kern w:val="0"/>
                <w:sz w:val="18"/>
                <w:szCs w:val="18"/>
              </w:rPr>
            </w:pPr>
            <w:r>
              <w:rPr>
                <w:rFonts w:ascii="宋体" w:hAnsi="宋体"/>
                <w:kern w:val="0"/>
                <w:sz w:val="18"/>
                <w:szCs w:val="18"/>
              </w:rPr>
              <w:t>1.0</w:t>
            </w:r>
          </w:p>
        </w:tc>
        <w:tc>
          <w:tcPr>
            <w:tcW w:w="711" w:type="dxa"/>
            <w:tcBorders>
              <w:right w:val="single" w:color="auto" w:sz="4" w:space="0"/>
            </w:tcBorders>
            <w:vAlign w:val="center"/>
          </w:tcPr>
          <w:p>
            <w:pPr>
              <w:widowControl/>
              <w:autoSpaceDE w:val="0"/>
              <w:autoSpaceDN w:val="0"/>
              <w:jc w:val="center"/>
              <w:rPr>
                <w:rFonts w:ascii="宋体" w:hAnsi="宋体"/>
                <w:kern w:val="0"/>
                <w:sz w:val="18"/>
                <w:szCs w:val="18"/>
              </w:rPr>
            </w:pPr>
            <w:r>
              <w:rPr>
                <w:rFonts w:ascii="宋体" w:hAnsi="宋体"/>
                <w:kern w:val="0"/>
                <w:sz w:val="18"/>
                <w:szCs w:val="18"/>
              </w:rPr>
              <w:t>1.0</w:t>
            </w:r>
          </w:p>
        </w:tc>
        <w:tc>
          <w:tcPr>
            <w:tcW w:w="711" w:type="dxa"/>
            <w:tcBorders>
              <w:right w:val="single" w:color="auto" w:sz="4" w:space="0"/>
            </w:tcBorders>
            <w:vAlign w:val="center"/>
          </w:tcPr>
          <w:p>
            <w:pPr>
              <w:widowControl/>
              <w:autoSpaceDE w:val="0"/>
              <w:autoSpaceDN w:val="0"/>
              <w:jc w:val="center"/>
              <w:rPr>
                <w:rFonts w:ascii="宋体" w:hAnsi="宋体"/>
                <w:kern w:val="0"/>
                <w:sz w:val="18"/>
                <w:szCs w:val="18"/>
              </w:rPr>
            </w:pPr>
            <w:r>
              <w:rPr>
                <w:rFonts w:ascii="宋体" w:hAnsi="宋体"/>
                <w:kern w:val="0"/>
                <w:sz w:val="18"/>
                <w:szCs w:val="18"/>
              </w:rPr>
              <w:t>1.0</w:t>
            </w:r>
          </w:p>
        </w:tc>
        <w:tc>
          <w:tcPr>
            <w:tcW w:w="711" w:type="dxa"/>
            <w:tcBorders>
              <w:left w:val="single" w:color="auto" w:sz="4" w:space="0"/>
              <w:right w:val="single" w:color="auto" w:sz="4" w:space="0"/>
            </w:tcBorders>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4.0</w:t>
            </w:r>
          </w:p>
        </w:tc>
        <w:tc>
          <w:tcPr>
            <w:tcW w:w="712" w:type="dxa"/>
            <w:tcBorders>
              <w:left w:val="single" w:color="auto" w:sz="4" w:space="0"/>
            </w:tcBorders>
            <w:vAlign w:val="center"/>
          </w:tcPr>
          <w:p>
            <w:pPr>
              <w:widowControl/>
              <w:autoSpaceDE w:val="0"/>
              <w:autoSpaceDN w:val="0"/>
              <w:jc w:val="center"/>
              <w:rPr>
                <w:rFonts w:ascii="宋体" w:hAnsi="宋体"/>
                <w:kern w:val="0"/>
                <w:sz w:val="18"/>
                <w:szCs w:val="18"/>
              </w:rPr>
            </w:pPr>
            <w:r>
              <w:rPr>
                <w:rFonts w:hint="eastAsia" w:ascii="宋体" w:hAnsi="宋体"/>
                <w:kern w:val="0"/>
                <w:sz w:val="18"/>
                <w:szCs w:val="18"/>
              </w:rPr>
              <w:t>4.0</w:t>
            </w:r>
          </w:p>
        </w:tc>
        <w:tc>
          <w:tcPr>
            <w:tcW w:w="726" w:type="dxa"/>
            <w:tcBorders>
              <w:left w:val="single" w:color="auto" w:sz="4" w:space="0"/>
            </w:tcBorders>
            <w:vAlign w:val="center"/>
          </w:tcPr>
          <w:p>
            <w:pPr>
              <w:widowControl/>
              <w:autoSpaceDE w:val="0"/>
              <w:autoSpaceDN w:val="0"/>
              <w:jc w:val="center"/>
              <w:rPr>
                <w:rFonts w:ascii="宋体" w:hAnsi="宋体"/>
                <w:kern w:val="0"/>
                <w:sz w:val="18"/>
                <w:szCs w:val="18"/>
              </w:rPr>
            </w:pPr>
            <w:r>
              <w:rPr>
                <w:rFonts w:ascii="宋体" w:hAnsi="宋体"/>
                <w:kern w:val="0"/>
                <w:sz w:val="18"/>
                <w:szCs w:val="18"/>
              </w:rPr>
              <w:t>1.</w:t>
            </w:r>
            <w:r>
              <w:rPr>
                <w:rFonts w:hint="eastAsia" w:ascii="宋体" w:hAnsi="宋体"/>
                <w:kern w:val="0"/>
                <w:sz w:val="18"/>
                <w:szCs w:val="18"/>
              </w:rPr>
              <w:t>0</w:t>
            </w:r>
          </w:p>
        </w:tc>
      </w:tr>
    </w:tbl>
    <w:p>
      <w:pPr>
        <w:pStyle w:val="22"/>
        <w:numPr>
          <w:ilvl w:val="1"/>
          <w:numId w:val="3"/>
        </w:numPr>
        <w:spacing w:before="156" w:after="156"/>
        <w:ind w:left="0" w:firstLine="0"/>
        <w:rPr>
          <w:rFonts w:ascii="Times New Roman"/>
        </w:rPr>
      </w:pPr>
      <w:r>
        <w:rPr>
          <w:rFonts w:hint="eastAsia" w:ascii="Times New Roman"/>
        </w:rPr>
        <w:t>无损检测</w:t>
      </w:r>
    </w:p>
    <w:p>
      <w:pPr>
        <w:pStyle w:val="27"/>
        <w:numPr>
          <w:ilvl w:val="2"/>
          <w:numId w:val="3"/>
        </w:numPr>
        <w:tabs>
          <w:tab w:val="left" w:pos="0"/>
        </w:tabs>
        <w:spacing w:before="156" w:after="156"/>
        <w:ind w:left="0" w:firstLine="0"/>
        <w:rPr>
          <w:rFonts w:ascii="Times New Roman"/>
        </w:rPr>
      </w:pPr>
      <w:r>
        <w:rPr>
          <w:rFonts w:hint="eastAsia" w:ascii="Times New Roman"/>
        </w:rPr>
        <w:t>超声检测</w:t>
      </w:r>
    </w:p>
    <w:p>
      <w:pPr>
        <w:pStyle w:val="27"/>
        <w:tabs>
          <w:tab w:val="left" w:pos="0"/>
        </w:tabs>
        <w:spacing w:before="0" w:beforeLines="0" w:after="0" w:afterLines="0" w:line="360" w:lineRule="exact"/>
        <w:ind w:left="0" w:firstLine="0"/>
        <w:rPr>
          <w:rFonts w:ascii="宋体" w:hAnsi="宋体" w:eastAsia="宋体" w:cs="宋体"/>
          <w:lang w:val="zh-CN"/>
        </w:rPr>
      </w:pPr>
      <w:r>
        <w:rPr>
          <w:rFonts w:hint="eastAsia" w:ascii="宋体" w:hAnsi="宋体" w:eastAsia="宋体" w:cs="宋体"/>
          <w:lang w:val="zh-CN"/>
        </w:rPr>
        <w:t>7</w:t>
      </w:r>
      <w:r>
        <w:rPr>
          <w:rFonts w:ascii="宋体" w:hAnsi="宋体" w:eastAsia="宋体" w:cs="宋体"/>
          <w:lang w:val="zh-CN"/>
        </w:rPr>
        <w:t xml:space="preserve">.11.1.1  </w:t>
      </w:r>
      <w:r>
        <w:rPr>
          <w:rFonts w:hint="eastAsia" w:ascii="宋体" w:hAnsi="宋体" w:eastAsia="宋体" w:cs="宋体"/>
          <w:lang w:val="zh-CN"/>
        </w:rPr>
        <w:t>钢管应按</w:t>
      </w:r>
      <w:bookmarkStart w:id="9" w:name="_Hlk153195059"/>
      <w:r>
        <w:rPr>
          <w:rFonts w:hint="eastAsia" w:ascii="宋体" w:hAnsi="宋体" w:eastAsia="宋体" w:cs="宋体"/>
          <w:lang w:val="zh-CN"/>
        </w:rPr>
        <w:t>GB/T 5777</w:t>
      </w:r>
      <w:bookmarkEnd w:id="9"/>
      <w:r>
        <w:rPr>
          <w:rFonts w:hint="eastAsia" w:ascii="宋体" w:hAnsi="宋体" w:eastAsia="宋体" w:cs="宋体"/>
          <w:lang w:val="zh-CN"/>
        </w:rPr>
        <w:t>的规定进行纵向和横向超声检测。超声检测对比试样人工缺陷刻槽深度等级应为U2，最小刻槽深度应为0.2 mm，且当壁厚不大于40 mm时，最大刻槽深度应为1.0 mm</w:t>
      </w:r>
      <w:r>
        <w:rPr>
          <w:rFonts w:ascii="宋体" w:hAnsi="宋体" w:eastAsia="宋体" w:cs="宋体"/>
          <w:lang w:val="zh-CN"/>
        </w:rPr>
        <w:t>;</w:t>
      </w:r>
      <w:r>
        <w:rPr>
          <w:rFonts w:hint="eastAsia" w:ascii="宋体" w:hAnsi="宋体" w:eastAsia="宋体" w:cs="宋体"/>
          <w:lang w:val="zh-CN"/>
        </w:rPr>
        <w:t>当壁厚大于40 mm时，最大刻槽深度应为1.5 mm。</w:t>
      </w:r>
    </w:p>
    <w:p>
      <w:pPr>
        <w:pStyle w:val="27"/>
        <w:tabs>
          <w:tab w:val="left" w:pos="0"/>
        </w:tabs>
        <w:spacing w:before="0" w:beforeLines="0" w:after="0" w:afterLines="0" w:line="360" w:lineRule="exact"/>
        <w:ind w:left="0" w:firstLine="0"/>
        <w:rPr>
          <w:rFonts w:ascii="宋体" w:hAnsi="宋体" w:eastAsia="宋体" w:cs="宋体"/>
          <w:lang w:val="zh-CN"/>
        </w:rPr>
      </w:pPr>
      <w:r>
        <w:rPr>
          <w:rFonts w:hint="eastAsia" w:ascii="宋体" w:hAnsi="宋体" w:eastAsia="宋体" w:cs="宋体"/>
          <w:lang w:val="zh-CN"/>
        </w:rPr>
        <w:t>7</w:t>
      </w:r>
      <w:r>
        <w:rPr>
          <w:rFonts w:ascii="宋体" w:hAnsi="宋体" w:eastAsia="宋体" w:cs="宋体"/>
          <w:lang w:val="zh-CN"/>
        </w:rPr>
        <w:t xml:space="preserve">.11.1.2  </w:t>
      </w:r>
      <w:r>
        <w:rPr>
          <w:rFonts w:hint="eastAsia" w:ascii="宋体" w:hAnsi="宋体" w:eastAsia="宋体" w:cs="宋体"/>
          <w:lang w:val="zh-CN"/>
        </w:rPr>
        <w:t>当钢管按最小壁厚交货时，对比样管刻槽深度按钢管平均壁厚计算。</w:t>
      </w:r>
    </w:p>
    <w:p>
      <w:pPr>
        <w:pStyle w:val="27"/>
        <w:tabs>
          <w:tab w:val="left" w:pos="0"/>
        </w:tabs>
        <w:spacing w:before="0" w:beforeLines="0" w:after="0" w:afterLines="0" w:line="360" w:lineRule="exact"/>
        <w:ind w:left="0" w:firstLine="0"/>
        <w:rPr>
          <w:rFonts w:ascii="宋体" w:hAnsi="宋体" w:eastAsia="宋体" w:cs="宋体"/>
          <w:lang w:val="zh-CN"/>
        </w:rPr>
      </w:pPr>
      <w:r>
        <w:rPr>
          <w:rFonts w:hint="eastAsia" w:ascii="宋体" w:hAnsi="宋体" w:eastAsia="宋体" w:cs="宋体"/>
          <w:lang w:val="zh-CN"/>
        </w:rPr>
        <w:t>7</w:t>
      </w:r>
      <w:r>
        <w:rPr>
          <w:rFonts w:ascii="宋体" w:hAnsi="宋体" w:eastAsia="宋体" w:cs="宋体"/>
          <w:lang w:val="zh-CN"/>
        </w:rPr>
        <w:t xml:space="preserve">.11.1.3  </w:t>
      </w:r>
      <w:r>
        <w:rPr>
          <w:rFonts w:hint="eastAsia" w:ascii="宋体" w:hAnsi="宋体" w:eastAsia="宋体" w:cs="宋体"/>
          <w:lang w:val="zh-CN"/>
        </w:rPr>
        <w:t>自动检测不能完全检测的钢管端部应切除或进行手工超声检测。手工检测方法的灵敏度应 至少与自动检测方法一致，用作校正灵敏度的钢管应是用于自动检测的钢管。</w:t>
      </w:r>
    </w:p>
    <w:p>
      <w:pPr>
        <w:pStyle w:val="27"/>
        <w:tabs>
          <w:tab w:val="left" w:pos="0"/>
        </w:tabs>
        <w:spacing w:before="0" w:beforeLines="0" w:after="0" w:afterLines="0" w:line="360" w:lineRule="exact"/>
        <w:ind w:left="0" w:firstLine="0"/>
        <w:rPr>
          <w:rFonts w:ascii="宋体" w:hAnsi="宋体" w:eastAsia="宋体" w:cs="宋体"/>
          <w:lang w:val="zh-CN"/>
        </w:rPr>
      </w:pPr>
      <w:r>
        <w:rPr>
          <w:rFonts w:hint="eastAsia" w:ascii="宋体" w:hAnsi="宋体" w:eastAsia="宋体" w:cs="宋体"/>
          <w:lang w:val="zh-CN"/>
        </w:rPr>
        <w:t>7</w:t>
      </w:r>
      <w:r>
        <w:rPr>
          <w:rFonts w:ascii="宋体" w:hAnsi="宋体" w:eastAsia="宋体" w:cs="宋体"/>
          <w:lang w:val="zh-CN"/>
        </w:rPr>
        <w:t xml:space="preserve">.11.1.4  </w:t>
      </w:r>
      <w:r>
        <w:rPr>
          <w:rFonts w:hint="eastAsia" w:ascii="宋体" w:hAnsi="宋体" w:eastAsia="宋体" w:cs="宋体"/>
          <w:lang w:val="zh-CN"/>
        </w:rPr>
        <w:t>根据需方要求，经供需双方协商，并在合同中注明，钢管可采用其他标准规定的方法进行超声检测。</w:t>
      </w:r>
    </w:p>
    <w:p>
      <w:pPr>
        <w:pStyle w:val="27"/>
        <w:numPr>
          <w:ilvl w:val="2"/>
          <w:numId w:val="3"/>
        </w:numPr>
        <w:tabs>
          <w:tab w:val="left" w:pos="0"/>
        </w:tabs>
        <w:spacing w:before="156" w:after="156"/>
        <w:ind w:left="0" w:firstLine="0"/>
        <w:rPr>
          <w:rFonts w:ascii="Times New Roman"/>
        </w:rPr>
      </w:pPr>
      <w:r>
        <w:rPr>
          <w:rFonts w:hint="eastAsia" w:ascii="Times New Roman"/>
        </w:rPr>
        <w:t>分层检测</w:t>
      </w:r>
    </w:p>
    <w:p>
      <w:pPr>
        <w:pStyle w:val="27"/>
        <w:tabs>
          <w:tab w:val="left" w:pos="0"/>
        </w:tabs>
        <w:spacing w:before="156" w:after="156"/>
        <w:ind w:left="0" w:firstLine="420" w:firstLineChars="200"/>
        <w:rPr>
          <w:rFonts w:ascii="宋体" w:hAnsi="宋体" w:eastAsia="宋体" w:cs="宋体"/>
          <w:lang w:val="zh-CN"/>
        </w:rPr>
      </w:pPr>
      <w:r>
        <w:rPr>
          <w:rFonts w:hint="eastAsia" w:ascii="宋体" w:hAnsi="宋体" w:eastAsia="宋体" w:cs="宋体"/>
          <w:lang w:val="zh-CN"/>
        </w:rPr>
        <w:t>根据需方要求，经供需双方协商，并在合同中注明，钢管可进行分层缺欠的超声检测。</w:t>
      </w:r>
    </w:p>
    <w:p>
      <w:pPr>
        <w:pStyle w:val="22"/>
        <w:numPr>
          <w:ilvl w:val="1"/>
          <w:numId w:val="3"/>
        </w:numPr>
        <w:spacing w:before="156" w:after="156"/>
        <w:ind w:left="0" w:firstLine="0"/>
        <w:rPr>
          <w:rFonts w:ascii="Times New Roman"/>
        </w:rPr>
      </w:pPr>
      <w:r>
        <w:rPr>
          <w:rFonts w:hint="eastAsia" w:ascii="Times New Roman"/>
        </w:rPr>
        <w:t>表面质量</w:t>
      </w:r>
    </w:p>
    <w:p>
      <w:pPr>
        <w:pStyle w:val="27"/>
        <w:numPr>
          <w:ilvl w:val="2"/>
          <w:numId w:val="3"/>
        </w:numPr>
        <w:spacing w:before="0" w:beforeLines="0" w:after="0" w:afterLines="0" w:line="360" w:lineRule="exact"/>
        <w:ind w:left="0" w:firstLine="0"/>
        <w:rPr>
          <w:rFonts w:ascii="宋体" w:hAnsi="宋体" w:eastAsia="宋体" w:cs="宋体"/>
        </w:rPr>
      </w:pPr>
      <w:r>
        <w:rPr>
          <w:rFonts w:hint="eastAsia" w:ascii="宋体" w:hAnsi="宋体" w:eastAsia="宋体" w:cs="宋体"/>
        </w:rPr>
        <w:t>钢管外表面以抛光态交货。交货时表面应洁净，不应有油污、灰尘和碎屑等异物，不应有残留的酸液或碱液等腐蚀性介质。</w:t>
      </w:r>
    </w:p>
    <w:p>
      <w:pPr>
        <w:pStyle w:val="27"/>
        <w:numPr>
          <w:ilvl w:val="2"/>
          <w:numId w:val="3"/>
        </w:numPr>
        <w:spacing w:before="0" w:beforeLines="0" w:after="0" w:afterLines="0" w:line="360" w:lineRule="exact"/>
        <w:ind w:left="0" w:firstLine="0"/>
        <w:rPr>
          <w:rFonts w:ascii="宋体" w:hAnsi="宋体" w:eastAsia="宋体" w:cs="宋体"/>
        </w:rPr>
      </w:pPr>
      <w:r>
        <w:rPr>
          <w:rFonts w:hint="eastAsia" w:ascii="宋体" w:hAnsi="宋体" w:eastAsia="宋体" w:cs="宋体"/>
        </w:rPr>
        <w:t>钢管内外表面不得有裂纹、折叠、轧折、离层、结疤等缺陷存在。如有缺陷，</w:t>
      </w:r>
      <w:r>
        <w:rPr>
          <w:rFonts w:ascii="宋体" w:hAnsi="宋体" w:eastAsia="宋体" w:cs="宋体"/>
        </w:rPr>
        <w:t>应</w:t>
      </w:r>
      <w:r>
        <w:rPr>
          <w:rFonts w:hint="eastAsia" w:ascii="宋体" w:hAnsi="宋体" w:eastAsia="宋体" w:cs="宋体"/>
        </w:rPr>
        <w:t>予以</w:t>
      </w:r>
      <w:r>
        <w:rPr>
          <w:rFonts w:ascii="宋体" w:hAnsi="宋体" w:eastAsia="宋体" w:cs="宋体"/>
        </w:rPr>
        <w:t>清除，清除处</w:t>
      </w:r>
      <w:r>
        <w:rPr>
          <w:rFonts w:hint="eastAsia" w:ascii="宋体" w:hAnsi="宋体" w:eastAsia="宋体" w:cs="宋体"/>
        </w:rPr>
        <w:t>钢</w:t>
      </w:r>
      <w:r>
        <w:rPr>
          <w:rFonts w:ascii="宋体" w:hAnsi="宋体" w:eastAsia="宋体" w:cs="宋体"/>
        </w:rPr>
        <w:t>管表面应圆滑无棱角，且清除处</w:t>
      </w:r>
      <w:r>
        <w:rPr>
          <w:rFonts w:hint="eastAsia" w:ascii="宋体" w:hAnsi="宋体" w:eastAsia="宋体" w:cs="宋体"/>
        </w:rPr>
        <w:t>的</w:t>
      </w:r>
      <w:r>
        <w:rPr>
          <w:rFonts w:ascii="宋体" w:hAnsi="宋体" w:eastAsia="宋体" w:cs="宋体"/>
        </w:rPr>
        <w:t>实际</w:t>
      </w:r>
      <w:r>
        <w:rPr>
          <w:rFonts w:hint="eastAsia" w:ascii="宋体" w:hAnsi="宋体" w:eastAsia="宋体" w:cs="宋体"/>
        </w:rPr>
        <w:t>外径和</w:t>
      </w:r>
      <w:r>
        <w:rPr>
          <w:rFonts w:ascii="宋体" w:hAnsi="宋体" w:eastAsia="宋体" w:cs="宋体"/>
        </w:rPr>
        <w:t>壁厚</w:t>
      </w:r>
      <w:r>
        <w:rPr>
          <w:rFonts w:hint="eastAsia" w:ascii="宋体" w:hAnsi="宋体" w:eastAsia="宋体" w:cs="宋体"/>
        </w:rPr>
        <w:t>均应</w:t>
      </w:r>
      <w:r>
        <w:rPr>
          <w:rFonts w:ascii="宋体" w:hAnsi="宋体" w:eastAsia="宋体" w:cs="宋体"/>
        </w:rPr>
        <w:t>不小于</w:t>
      </w:r>
      <w:r>
        <w:rPr>
          <w:rFonts w:hint="eastAsia" w:ascii="宋体" w:hAnsi="宋体" w:eastAsia="宋体" w:cs="宋体"/>
        </w:rPr>
        <w:t>本标准中</w:t>
      </w:r>
      <w:r>
        <w:rPr>
          <w:rFonts w:ascii="宋体" w:hAnsi="宋体" w:eastAsia="宋体" w:cs="宋体"/>
        </w:rPr>
        <w:t>所允许的最小值。</w:t>
      </w:r>
    </w:p>
    <w:p>
      <w:pPr>
        <w:pStyle w:val="27"/>
        <w:numPr>
          <w:ilvl w:val="2"/>
          <w:numId w:val="3"/>
        </w:numPr>
        <w:spacing w:before="0" w:beforeLines="0" w:after="0" w:afterLines="0" w:line="360" w:lineRule="exact"/>
        <w:ind w:left="0" w:firstLine="0"/>
        <w:rPr>
          <w:rFonts w:ascii="宋体" w:hAnsi="宋体" w:eastAsia="宋体" w:cs="宋体"/>
        </w:rPr>
      </w:pPr>
      <w:r>
        <w:rPr>
          <w:rFonts w:hint="eastAsia" w:ascii="宋体" w:hAnsi="宋体" w:eastAsia="宋体" w:cs="宋体"/>
        </w:rPr>
        <w:t>钢管外表面粗糙度Ra不超过0.8μm；若内表面有粗糙度特殊要求的，应在合同中注明。</w:t>
      </w:r>
    </w:p>
    <w:p>
      <w:pPr>
        <w:pStyle w:val="22"/>
        <w:numPr>
          <w:ilvl w:val="1"/>
          <w:numId w:val="3"/>
        </w:numPr>
        <w:spacing w:before="156" w:after="156"/>
        <w:ind w:left="0" w:firstLine="0"/>
        <w:rPr>
          <w:rFonts w:ascii="Times New Roman"/>
          <w:lang w:val="zh-CN"/>
        </w:rPr>
      </w:pPr>
      <w:r>
        <w:rPr>
          <w:rFonts w:hint="eastAsia" w:ascii="Times New Roman"/>
          <w:lang w:val="zh-CN"/>
        </w:rPr>
        <w:t>清洁度</w:t>
      </w:r>
    </w:p>
    <w:p>
      <w:pPr>
        <w:pStyle w:val="22"/>
        <w:spacing w:before="156" w:after="156"/>
        <w:ind w:left="0" w:firstLine="420" w:firstLineChars="200"/>
        <w:rPr>
          <w:rFonts w:ascii="Times New Roman"/>
          <w:lang w:val="zh-CN"/>
        </w:rPr>
      </w:pPr>
      <w:r>
        <w:rPr>
          <w:rFonts w:hint="eastAsia" w:ascii="宋体" w:hAnsi="宋体" w:eastAsia="宋体" w:cs="宋体"/>
        </w:rPr>
        <w:t>钢管内外表面应保持洁净，不得有油污、灰尘、锈斑、氧化皮及其它异物等现象存在。</w:t>
      </w:r>
    </w:p>
    <w:p>
      <w:pPr>
        <w:pStyle w:val="22"/>
        <w:numPr>
          <w:ilvl w:val="1"/>
          <w:numId w:val="3"/>
        </w:numPr>
        <w:spacing w:before="156" w:after="156"/>
        <w:ind w:left="0" w:firstLine="0"/>
        <w:rPr>
          <w:rFonts w:ascii="Times New Roman"/>
        </w:rPr>
      </w:pPr>
      <w:r>
        <w:rPr>
          <w:rFonts w:hint="eastAsia" w:ascii="Times New Roman"/>
        </w:rPr>
        <w:t>特殊要求</w:t>
      </w:r>
    </w:p>
    <w:p>
      <w:pPr>
        <w:pStyle w:val="27"/>
        <w:spacing w:before="156" w:after="156"/>
        <w:ind w:left="0" w:firstLine="420" w:firstLineChars="200"/>
        <w:rPr>
          <w:rFonts w:ascii="宋体" w:hAnsi="宋体" w:eastAsia="宋体" w:cs="宋体"/>
        </w:rPr>
      </w:pPr>
      <w:r>
        <w:rPr>
          <w:rFonts w:hint="eastAsia" w:ascii="宋体" w:hAnsi="宋体" w:eastAsia="宋体" w:cs="宋体"/>
        </w:rPr>
        <w:t>根据需方要求，可增加其它温度低温冲击等检验项目，其试验方法、试验数量、评级标准及合格级别由供需双方协议并在合同中注明。</w:t>
      </w:r>
    </w:p>
    <w:bookmarkEnd w:id="6"/>
    <w:p>
      <w:pPr>
        <w:pStyle w:val="19"/>
        <w:numPr>
          <w:ilvl w:val="0"/>
          <w:numId w:val="3"/>
        </w:numPr>
        <w:tabs>
          <w:tab w:val="left" w:pos="1301"/>
        </w:tabs>
        <w:spacing w:before="312" w:after="312"/>
        <w:ind w:left="0" w:firstLine="0"/>
        <w:rPr>
          <w:rFonts w:ascii="Times New Roman"/>
        </w:rPr>
      </w:pPr>
      <w:bookmarkStart w:id="10" w:name="bookmark74"/>
      <w:bookmarkEnd w:id="10"/>
      <w:bookmarkStart w:id="11" w:name="bookmark75"/>
      <w:bookmarkEnd w:id="11"/>
      <w:bookmarkStart w:id="12" w:name="_Toc42201680"/>
      <w:r>
        <w:rPr>
          <w:rFonts w:hint="eastAsia" w:ascii="Times New Roman"/>
        </w:rPr>
        <w:t>试验</w:t>
      </w:r>
      <w:bookmarkEnd w:id="12"/>
      <w:r>
        <w:rPr>
          <w:rFonts w:hint="eastAsia" w:ascii="Times New Roman"/>
          <w:lang w:val="en-US" w:eastAsia="zh-CN"/>
        </w:rPr>
        <w:t>方法</w:t>
      </w:r>
    </w:p>
    <w:p>
      <w:pPr>
        <w:pStyle w:val="22"/>
        <w:numPr>
          <w:ilvl w:val="1"/>
          <w:numId w:val="3"/>
        </w:numPr>
        <w:spacing w:beforeLines="0" w:afterLines="0" w:line="360" w:lineRule="exact"/>
        <w:ind w:left="0" w:firstLine="0"/>
        <w:rPr>
          <w:rFonts w:asciiTheme="minorEastAsia" w:hAnsiTheme="minorEastAsia" w:eastAsiaTheme="minorEastAsia"/>
        </w:rPr>
      </w:pPr>
      <w:bookmarkStart w:id="13" w:name="_Toc42201681"/>
      <w:r>
        <w:rPr>
          <w:rFonts w:hint="eastAsia" w:asciiTheme="minorEastAsia" w:hAnsiTheme="minorEastAsia" w:eastAsiaTheme="minorEastAsia"/>
          <w:lang w:val="zh-CN"/>
        </w:rPr>
        <w:t>钢的化学成分试验方法应按</w:t>
      </w:r>
      <w:r>
        <w:rPr>
          <w:rFonts w:hint="eastAsia" w:asciiTheme="minorEastAsia" w:hAnsiTheme="minorEastAsia" w:eastAsiaTheme="minorEastAsia"/>
        </w:rPr>
        <w:t>GB/T 11170</w:t>
      </w:r>
      <w:r>
        <w:rPr>
          <w:rFonts w:hint="eastAsia" w:asciiTheme="minorEastAsia" w:hAnsiTheme="minorEastAsia" w:eastAsiaTheme="minorEastAsia"/>
          <w:lang w:val="zh-CN"/>
        </w:rPr>
        <w:t>、</w:t>
      </w:r>
      <w:r>
        <w:rPr>
          <w:rFonts w:hint="eastAsia" w:asciiTheme="minorEastAsia" w:hAnsiTheme="minorEastAsia" w:eastAsiaTheme="minorEastAsia"/>
        </w:rPr>
        <w:t>GB/T 11261</w:t>
      </w:r>
      <w:r>
        <w:rPr>
          <w:rFonts w:hint="eastAsia" w:asciiTheme="minorEastAsia" w:hAnsiTheme="minorEastAsia" w:eastAsiaTheme="minorEastAsia"/>
          <w:lang w:val="zh-CN"/>
        </w:rPr>
        <w:t>、</w:t>
      </w:r>
      <w:r>
        <w:rPr>
          <w:rFonts w:hint="eastAsia" w:asciiTheme="minorEastAsia" w:hAnsiTheme="minorEastAsia" w:eastAsiaTheme="minorEastAsia"/>
        </w:rPr>
        <w:t>GB/T 20123</w:t>
      </w:r>
      <w:r>
        <w:rPr>
          <w:rFonts w:hint="eastAsia" w:asciiTheme="minorEastAsia" w:hAnsiTheme="minorEastAsia" w:eastAsiaTheme="minorEastAsia"/>
          <w:lang w:val="zh-CN"/>
        </w:rPr>
        <w:t>、</w:t>
      </w:r>
      <w:r>
        <w:rPr>
          <w:rFonts w:hint="eastAsia" w:asciiTheme="minorEastAsia" w:hAnsiTheme="minorEastAsia" w:eastAsiaTheme="minorEastAsia"/>
        </w:rPr>
        <w:t>GB/T 20124</w:t>
      </w:r>
      <w:r>
        <w:rPr>
          <w:rFonts w:hint="eastAsia" w:asciiTheme="minorEastAsia" w:hAnsiTheme="minorEastAsia" w:eastAsiaTheme="minorEastAsia"/>
          <w:lang w:val="zh-CN"/>
        </w:rPr>
        <w:t>、</w:t>
      </w:r>
      <w:r>
        <w:rPr>
          <w:rFonts w:hint="eastAsia" w:asciiTheme="minorEastAsia" w:hAnsiTheme="minorEastAsia" w:eastAsiaTheme="minorEastAsia"/>
        </w:rPr>
        <w:t xml:space="preserve">YB/T 4307 </w:t>
      </w:r>
      <w:r>
        <w:rPr>
          <w:rFonts w:hint="eastAsia" w:asciiTheme="minorEastAsia" w:hAnsiTheme="minorEastAsia" w:eastAsiaTheme="minorEastAsia"/>
          <w:lang w:val="zh-CN"/>
        </w:rPr>
        <w:t>或通用方法的规定进行</w:t>
      </w:r>
      <w:r>
        <w:rPr>
          <w:rFonts w:hint="eastAsia" w:asciiTheme="minorEastAsia" w:hAnsiTheme="minorEastAsia" w:eastAsiaTheme="minorEastAsia"/>
        </w:rPr>
        <w:t>，</w:t>
      </w:r>
      <w:r>
        <w:rPr>
          <w:rFonts w:hint="eastAsia" w:asciiTheme="minorEastAsia" w:hAnsiTheme="minorEastAsia" w:eastAsiaTheme="minorEastAsia"/>
          <w:lang w:val="zh-CN"/>
        </w:rPr>
        <w:t>但仲裁时应按</w:t>
      </w:r>
      <w:r>
        <w:rPr>
          <w:rFonts w:hint="eastAsia" w:asciiTheme="minorEastAsia" w:hAnsiTheme="minorEastAsia" w:eastAsiaTheme="minorEastAsia"/>
        </w:rPr>
        <w:t>GB/T 223.11</w:t>
      </w:r>
      <w:r>
        <w:rPr>
          <w:rFonts w:hint="eastAsia" w:asciiTheme="minorEastAsia" w:hAnsiTheme="minorEastAsia" w:eastAsiaTheme="minorEastAsia"/>
          <w:lang w:val="zh-CN"/>
        </w:rPr>
        <w:t>、</w:t>
      </w:r>
      <w:r>
        <w:rPr>
          <w:rFonts w:hint="eastAsia" w:asciiTheme="minorEastAsia" w:hAnsiTheme="minorEastAsia" w:eastAsiaTheme="minorEastAsia"/>
        </w:rPr>
        <w:t>GB/T 223.25</w:t>
      </w:r>
      <w:r>
        <w:rPr>
          <w:rFonts w:hint="eastAsia" w:asciiTheme="minorEastAsia" w:hAnsiTheme="minorEastAsia" w:eastAsiaTheme="minorEastAsia"/>
          <w:lang w:val="zh-CN"/>
        </w:rPr>
        <w:t>、</w:t>
      </w:r>
      <w:r>
        <w:rPr>
          <w:rFonts w:hint="eastAsia" w:asciiTheme="minorEastAsia" w:hAnsiTheme="minorEastAsia" w:eastAsiaTheme="minorEastAsia"/>
        </w:rPr>
        <w:t>GB/T 223.28</w:t>
      </w:r>
      <w:r>
        <w:rPr>
          <w:rFonts w:hint="eastAsia" w:asciiTheme="minorEastAsia" w:hAnsiTheme="minorEastAsia" w:eastAsiaTheme="minorEastAsia"/>
          <w:lang w:val="zh-CN"/>
        </w:rPr>
        <w:t>、</w:t>
      </w:r>
      <w:r>
        <w:rPr>
          <w:rFonts w:hint="eastAsia" w:asciiTheme="minorEastAsia" w:hAnsiTheme="minorEastAsia" w:eastAsiaTheme="minorEastAsia"/>
        </w:rPr>
        <w:t>GB/T 223.36</w:t>
      </w:r>
      <w:r>
        <w:rPr>
          <w:rFonts w:hint="eastAsia" w:asciiTheme="minorEastAsia" w:hAnsiTheme="minorEastAsia" w:eastAsiaTheme="minorEastAsia"/>
          <w:lang w:val="zh-CN"/>
        </w:rPr>
        <w:t>、</w:t>
      </w:r>
      <w:r>
        <w:rPr>
          <w:rFonts w:hint="eastAsia" w:asciiTheme="minorEastAsia" w:hAnsiTheme="minorEastAsia" w:eastAsiaTheme="minorEastAsia"/>
        </w:rPr>
        <w:t>GB/T 223.59</w:t>
      </w:r>
      <w:r>
        <w:rPr>
          <w:rFonts w:hint="eastAsia" w:asciiTheme="minorEastAsia" w:hAnsiTheme="minorEastAsia" w:eastAsiaTheme="minorEastAsia"/>
          <w:lang w:val="zh-CN"/>
        </w:rPr>
        <w:t>、</w:t>
      </w:r>
      <w:r>
        <w:rPr>
          <w:rFonts w:hint="eastAsia" w:asciiTheme="minorEastAsia" w:hAnsiTheme="minorEastAsia" w:eastAsiaTheme="minorEastAsia"/>
        </w:rPr>
        <w:t>GB/T 223.60</w:t>
      </w:r>
      <w:r>
        <w:rPr>
          <w:rFonts w:hint="eastAsia" w:asciiTheme="minorEastAsia" w:hAnsiTheme="minorEastAsia" w:eastAsiaTheme="minorEastAsia"/>
          <w:lang w:val="zh-CN"/>
        </w:rPr>
        <w:t>、</w:t>
      </w:r>
      <w:r>
        <w:rPr>
          <w:rFonts w:hint="eastAsia" w:asciiTheme="minorEastAsia" w:hAnsiTheme="minorEastAsia" w:eastAsiaTheme="minorEastAsia"/>
        </w:rPr>
        <w:t>GB/T 223.63</w:t>
      </w:r>
      <w:r>
        <w:rPr>
          <w:rFonts w:hint="eastAsia" w:asciiTheme="minorEastAsia" w:hAnsiTheme="minorEastAsia" w:eastAsiaTheme="minorEastAsia"/>
          <w:lang w:val="zh-CN"/>
        </w:rPr>
        <w:t>、</w:t>
      </w:r>
      <w:r>
        <w:rPr>
          <w:rFonts w:hint="eastAsia" w:asciiTheme="minorEastAsia" w:hAnsiTheme="minorEastAsia" w:eastAsiaTheme="minorEastAsia"/>
        </w:rPr>
        <w:t>GB/T 223.82</w:t>
      </w:r>
      <w:r>
        <w:rPr>
          <w:rFonts w:hint="eastAsia" w:asciiTheme="minorEastAsia" w:hAnsiTheme="minorEastAsia" w:eastAsiaTheme="minorEastAsia"/>
          <w:lang w:val="zh-CN"/>
        </w:rPr>
        <w:t>、</w:t>
      </w:r>
      <w:r>
        <w:rPr>
          <w:rFonts w:hint="eastAsia" w:asciiTheme="minorEastAsia" w:hAnsiTheme="minorEastAsia" w:eastAsiaTheme="minorEastAsia"/>
        </w:rPr>
        <w:t>GB/T 223.85</w:t>
      </w:r>
      <w:r>
        <w:rPr>
          <w:rFonts w:hint="eastAsia" w:asciiTheme="minorEastAsia" w:hAnsiTheme="minorEastAsia" w:eastAsiaTheme="minorEastAsia"/>
          <w:lang w:val="zh-CN"/>
        </w:rPr>
        <w:t>、</w:t>
      </w:r>
      <w:r>
        <w:rPr>
          <w:rFonts w:hint="eastAsia" w:asciiTheme="minorEastAsia" w:hAnsiTheme="minorEastAsia" w:eastAsiaTheme="minorEastAsia"/>
        </w:rPr>
        <w:t>GB/T 223.86</w:t>
      </w:r>
      <w:r>
        <w:rPr>
          <w:rFonts w:hint="eastAsia" w:asciiTheme="minorEastAsia" w:hAnsiTheme="minorEastAsia" w:eastAsiaTheme="minorEastAsia"/>
          <w:lang w:val="zh-CN"/>
        </w:rPr>
        <w:t>的规定进行。</w:t>
      </w:r>
    </w:p>
    <w:bookmarkEnd w:id="13"/>
    <w:p>
      <w:pPr>
        <w:pStyle w:val="22"/>
        <w:numPr>
          <w:ilvl w:val="1"/>
          <w:numId w:val="3"/>
        </w:numPr>
        <w:spacing w:beforeLines="0" w:afterLines="0" w:line="360" w:lineRule="exact"/>
        <w:ind w:left="0" w:firstLine="0"/>
        <w:rPr>
          <w:rFonts w:ascii="Times New Roman" w:eastAsia="宋体"/>
        </w:rPr>
      </w:pPr>
      <w:r>
        <w:rPr>
          <w:rFonts w:hint="eastAsia" w:ascii="Times New Roman" w:eastAsia="宋体"/>
        </w:rPr>
        <w:t>钢管的检验项目、取样方法及试验方法应符合表</w:t>
      </w:r>
      <w:r>
        <w:rPr>
          <w:rFonts w:ascii="Times New Roman" w:eastAsia="宋体"/>
        </w:rPr>
        <w:t>8</w:t>
      </w:r>
      <w:r>
        <w:rPr>
          <w:rFonts w:hint="eastAsia" w:ascii="Times New Roman" w:eastAsia="宋体"/>
        </w:rPr>
        <w:t>的规定。</w:t>
      </w:r>
    </w:p>
    <w:p>
      <w:pPr>
        <w:spacing w:before="156" w:beforeLines="50" w:after="156" w:afterLines="50"/>
        <w:jc w:val="center"/>
        <w:rPr>
          <w:rFonts w:ascii="黑体" w:hAnsi="Calibri" w:eastAsia="黑体"/>
          <w:szCs w:val="21"/>
        </w:rPr>
      </w:pPr>
      <w:bookmarkStart w:id="14" w:name="_Toc520380396"/>
      <w:r>
        <w:rPr>
          <w:rFonts w:hint="eastAsia" w:ascii="黑体" w:hAnsi="Calibri" w:eastAsia="黑体"/>
          <w:szCs w:val="21"/>
        </w:rPr>
        <w:t xml:space="preserve">表 </w:t>
      </w:r>
      <w:r>
        <w:rPr>
          <w:rFonts w:ascii="黑体" w:hAnsi="Calibri" w:eastAsia="黑体"/>
          <w:szCs w:val="21"/>
        </w:rPr>
        <w:fldChar w:fldCharType="begin"/>
      </w:r>
      <w:r>
        <w:rPr>
          <w:rFonts w:ascii="黑体" w:hAnsi="Calibri" w:eastAsia="黑体"/>
          <w:szCs w:val="21"/>
        </w:rPr>
        <w:instrText xml:space="preserve"> </w:instrText>
      </w:r>
      <w:r>
        <w:rPr>
          <w:rFonts w:hint="eastAsia" w:ascii="黑体" w:hAnsi="Calibri" w:eastAsia="黑体"/>
          <w:szCs w:val="21"/>
        </w:rPr>
        <w:instrText xml:space="preserve">SEQ 表 \* ARABIC</w:instrText>
      </w:r>
      <w:r>
        <w:rPr>
          <w:rFonts w:ascii="黑体" w:hAnsi="Calibri" w:eastAsia="黑体"/>
          <w:szCs w:val="21"/>
        </w:rPr>
        <w:instrText xml:space="preserve"> </w:instrText>
      </w:r>
      <w:r>
        <w:rPr>
          <w:rFonts w:ascii="黑体" w:hAnsi="Calibri" w:eastAsia="黑体"/>
          <w:szCs w:val="21"/>
        </w:rPr>
        <w:fldChar w:fldCharType="separate"/>
      </w:r>
      <w:r>
        <w:rPr>
          <w:rFonts w:ascii="黑体" w:hAnsi="Calibri" w:eastAsia="黑体"/>
          <w:szCs w:val="21"/>
        </w:rPr>
        <w:t>8</w:t>
      </w:r>
      <w:r>
        <w:rPr>
          <w:rFonts w:ascii="黑体" w:hAnsi="Calibri" w:eastAsia="黑体"/>
          <w:szCs w:val="21"/>
        </w:rPr>
        <w:fldChar w:fldCharType="end"/>
      </w:r>
      <w:r>
        <w:rPr>
          <w:rFonts w:ascii="黑体" w:hAnsi="Calibri" w:eastAsia="黑体"/>
          <w:szCs w:val="21"/>
        </w:rPr>
        <w:t xml:space="preserve">  </w:t>
      </w:r>
      <w:r>
        <w:rPr>
          <w:rFonts w:hint="eastAsia" w:ascii="黑体" w:hAnsi="Calibri" w:eastAsia="黑体"/>
          <w:szCs w:val="21"/>
        </w:rPr>
        <w:t>钢</w:t>
      </w:r>
      <w:r>
        <w:rPr>
          <w:rFonts w:ascii="黑体" w:hAnsi="Calibri" w:eastAsia="黑体"/>
          <w:szCs w:val="21"/>
        </w:rPr>
        <w:t>管检验项目、取样数量、取样方法和试验方法</w:t>
      </w:r>
    </w:p>
    <w:tbl>
      <w:tblPr>
        <w:tblStyle w:val="8"/>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476"/>
        <w:gridCol w:w="1045"/>
        <w:gridCol w:w="3524"/>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56" w:type="dxa"/>
            <w:vAlign w:val="center"/>
          </w:tcPr>
          <w:p>
            <w:pPr>
              <w:jc w:val="center"/>
              <w:rPr>
                <w:rFonts w:ascii="宋体" w:hAnsi="宋体"/>
                <w:sz w:val="18"/>
                <w:szCs w:val="18"/>
              </w:rPr>
            </w:pPr>
            <w:r>
              <w:rPr>
                <w:rFonts w:ascii="宋体" w:hAnsi="宋体"/>
                <w:sz w:val="18"/>
                <w:szCs w:val="18"/>
              </w:rPr>
              <w:t>序号</w:t>
            </w:r>
          </w:p>
        </w:tc>
        <w:tc>
          <w:tcPr>
            <w:tcW w:w="1476" w:type="dxa"/>
            <w:vAlign w:val="center"/>
          </w:tcPr>
          <w:p>
            <w:pPr>
              <w:jc w:val="center"/>
              <w:rPr>
                <w:rFonts w:ascii="宋体" w:hAnsi="宋体"/>
                <w:sz w:val="18"/>
                <w:szCs w:val="18"/>
              </w:rPr>
            </w:pPr>
            <w:r>
              <w:rPr>
                <w:rFonts w:ascii="宋体" w:hAnsi="宋体"/>
                <w:sz w:val="18"/>
                <w:szCs w:val="18"/>
              </w:rPr>
              <w:t>检验项目</w:t>
            </w:r>
          </w:p>
        </w:tc>
        <w:tc>
          <w:tcPr>
            <w:tcW w:w="1045" w:type="dxa"/>
            <w:vAlign w:val="center"/>
          </w:tcPr>
          <w:p>
            <w:pPr>
              <w:jc w:val="center"/>
              <w:rPr>
                <w:rFonts w:ascii="宋体" w:hAnsi="宋体"/>
                <w:sz w:val="18"/>
                <w:szCs w:val="18"/>
              </w:rPr>
            </w:pPr>
            <w:r>
              <w:rPr>
                <w:rFonts w:ascii="宋体" w:hAnsi="宋体"/>
                <w:sz w:val="18"/>
                <w:szCs w:val="18"/>
              </w:rPr>
              <w:t>取样数量</w:t>
            </w:r>
          </w:p>
        </w:tc>
        <w:tc>
          <w:tcPr>
            <w:tcW w:w="3524" w:type="dxa"/>
            <w:vAlign w:val="center"/>
          </w:tcPr>
          <w:p>
            <w:pPr>
              <w:jc w:val="center"/>
              <w:rPr>
                <w:rFonts w:ascii="宋体" w:hAnsi="宋体"/>
                <w:sz w:val="18"/>
                <w:szCs w:val="18"/>
              </w:rPr>
            </w:pPr>
            <w:r>
              <w:rPr>
                <w:rFonts w:ascii="宋体" w:hAnsi="宋体"/>
                <w:sz w:val="18"/>
                <w:szCs w:val="18"/>
              </w:rPr>
              <w:t>取样部位及方法</w:t>
            </w:r>
          </w:p>
        </w:tc>
        <w:tc>
          <w:tcPr>
            <w:tcW w:w="3016" w:type="dxa"/>
            <w:vAlign w:val="center"/>
          </w:tcPr>
          <w:p>
            <w:pPr>
              <w:jc w:val="center"/>
              <w:rPr>
                <w:rFonts w:ascii="宋体" w:hAnsi="宋体"/>
                <w:sz w:val="18"/>
                <w:szCs w:val="18"/>
              </w:rPr>
            </w:pPr>
            <w:r>
              <w:rPr>
                <w:rFonts w:ascii="宋体" w:hAnsi="宋体"/>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56" w:type="dxa"/>
            <w:vAlign w:val="center"/>
          </w:tcPr>
          <w:p>
            <w:pPr>
              <w:jc w:val="center"/>
              <w:rPr>
                <w:rFonts w:ascii="宋体" w:hAnsi="宋体"/>
                <w:sz w:val="18"/>
                <w:szCs w:val="18"/>
              </w:rPr>
            </w:pPr>
            <w:r>
              <w:rPr>
                <w:rFonts w:ascii="宋体" w:hAnsi="宋体"/>
                <w:sz w:val="18"/>
                <w:szCs w:val="18"/>
              </w:rPr>
              <w:t>1</w:t>
            </w:r>
          </w:p>
        </w:tc>
        <w:tc>
          <w:tcPr>
            <w:tcW w:w="1476" w:type="dxa"/>
            <w:vAlign w:val="center"/>
          </w:tcPr>
          <w:p>
            <w:pPr>
              <w:jc w:val="center"/>
              <w:rPr>
                <w:rFonts w:ascii="宋体" w:hAnsi="宋体"/>
                <w:sz w:val="18"/>
                <w:szCs w:val="18"/>
              </w:rPr>
            </w:pPr>
            <w:r>
              <w:rPr>
                <w:rFonts w:ascii="宋体" w:hAnsi="宋体"/>
                <w:sz w:val="18"/>
                <w:szCs w:val="18"/>
              </w:rPr>
              <w:t>化学成分</w:t>
            </w:r>
          </w:p>
        </w:tc>
        <w:tc>
          <w:tcPr>
            <w:tcW w:w="1045" w:type="dxa"/>
            <w:vAlign w:val="center"/>
          </w:tcPr>
          <w:p>
            <w:pPr>
              <w:jc w:val="center"/>
              <w:rPr>
                <w:rFonts w:ascii="宋体" w:hAnsi="宋体"/>
                <w:sz w:val="18"/>
                <w:szCs w:val="18"/>
              </w:rPr>
            </w:pPr>
            <w:r>
              <w:rPr>
                <w:rFonts w:ascii="宋体" w:hAnsi="宋体"/>
                <w:sz w:val="18"/>
                <w:szCs w:val="18"/>
              </w:rPr>
              <w:t>1个/批</w:t>
            </w:r>
          </w:p>
        </w:tc>
        <w:tc>
          <w:tcPr>
            <w:tcW w:w="3524" w:type="dxa"/>
            <w:vAlign w:val="center"/>
          </w:tcPr>
          <w:p>
            <w:pPr>
              <w:jc w:val="center"/>
              <w:rPr>
                <w:rFonts w:ascii="宋体" w:hAnsi="宋体"/>
                <w:sz w:val="18"/>
                <w:szCs w:val="18"/>
                <w:lang w:val="fr-FR"/>
              </w:rPr>
            </w:pPr>
            <w:r>
              <w:rPr>
                <w:rFonts w:ascii="宋体" w:hAnsi="宋体"/>
                <w:sz w:val="18"/>
                <w:szCs w:val="18"/>
              </w:rPr>
              <w:t>GB/T 20066</w:t>
            </w:r>
          </w:p>
        </w:tc>
        <w:tc>
          <w:tcPr>
            <w:tcW w:w="3016" w:type="dxa"/>
            <w:vAlign w:val="center"/>
          </w:tcPr>
          <w:p>
            <w:pPr>
              <w:jc w:val="center"/>
              <w:rPr>
                <w:rFonts w:ascii="宋体" w:hAnsi="宋体"/>
                <w:sz w:val="18"/>
                <w:szCs w:val="18"/>
                <w:lang w:val="fr-FR"/>
              </w:rPr>
            </w:pPr>
            <w:r>
              <w:rPr>
                <w:rFonts w:hint="eastAsia" w:ascii="宋体" w:hAnsi="宋体"/>
                <w:sz w:val="18"/>
                <w:szCs w:val="18"/>
                <w:lang w:val="fr-FR"/>
              </w:rPr>
              <w:t>GB/T 11170、GB/T 11261、GB/T 20123、GB/T 20124、YB/T 4307、</w:t>
            </w:r>
            <w:r>
              <w:rPr>
                <w:rFonts w:ascii="宋体" w:hAnsi="宋体"/>
                <w:sz w:val="18"/>
                <w:szCs w:val="18"/>
                <w:lang w:val="fr-FR"/>
              </w:rPr>
              <w:t>GB/T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56" w:type="dxa"/>
            <w:vAlign w:val="center"/>
          </w:tcPr>
          <w:p>
            <w:pPr>
              <w:jc w:val="center"/>
              <w:rPr>
                <w:rFonts w:ascii="宋体" w:hAnsi="宋体"/>
                <w:sz w:val="18"/>
                <w:szCs w:val="18"/>
              </w:rPr>
            </w:pPr>
            <w:r>
              <w:rPr>
                <w:rFonts w:ascii="宋体" w:hAnsi="宋体"/>
                <w:sz w:val="18"/>
                <w:szCs w:val="18"/>
              </w:rPr>
              <w:t>2</w:t>
            </w:r>
          </w:p>
        </w:tc>
        <w:tc>
          <w:tcPr>
            <w:tcW w:w="1476" w:type="dxa"/>
            <w:vAlign w:val="center"/>
          </w:tcPr>
          <w:p>
            <w:pPr>
              <w:jc w:val="center"/>
              <w:rPr>
                <w:rFonts w:ascii="宋体" w:hAnsi="宋体"/>
                <w:sz w:val="18"/>
                <w:szCs w:val="18"/>
              </w:rPr>
            </w:pPr>
            <w:r>
              <w:rPr>
                <w:rFonts w:ascii="宋体" w:hAnsi="宋体"/>
                <w:sz w:val="18"/>
                <w:szCs w:val="18"/>
              </w:rPr>
              <w:t>非金属夹杂物</w:t>
            </w:r>
          </w:p>
        </w:tc>
        <w:tc>
          <w:tcPr>
            <w:tcW w:w="1045" w:type="dxa"/>
            <w:vAlign w:val="center"/>
          </w:tcPr>
          <w:p>
            <w:pPr>
              <w:jc w:val="center"/>
              <w:rPr>
                <w:rFonts w:ascii="宋体" w:hAnsi="宋体"/>
                <w:sz w:val="18"/>
                <w:szCs w:val="18"/>
              </w:rPr>
            </w:pPr>
            <w:r>
              <w:rPr>
                <w:rFonts w:ascii="宋体" w:hAnsi="宋体"/>
                <w:sz w:val="18"/>
                <w:szCs w:val="18"/>
              </w:rPr>
              <w:t>2个/炉</w:t>
            </w:r>
          </w:p>
        </w:tc>
        <w:tc>
          <w:tcPr>
            <w:tcW w:w="3524" w:type="dxa"/>
            <w:vAlign w:val="center"/>
          </w:tcPr>
          <w:p>
            <w:pPr>
              <w:jc w:val="center"/>
              <w:rPr>
                <w:rFonts w:ascii="宋体" w:hAnsi="宋体"/>
                <w:sz w:val="18"/>
                <w:szCs w:val="18"/>
              </w:rPr>
            </w:pPr>
            <w:r>
              <w:rPr>
                <w:rFonts w:ascii="宋体" w:hAnsi="宋体"/>
                <w:sz w:val="18"/>
                <w:szCs w:val="18"/>
              </w:rPr>
              <w:t>在相当于合金锭端部的棒材上取纵向试样</w:t>
            </w:r>
          </w:p>
        </w:tc>
        <w:tc>
          <w:tcPr>
            <w:tcW w:w="3016" w:type="dxa"/>
            <w:vAlign w:val="center"/>
          </w:tcPr>
          <w:p>
            <w:pPr>
              <w:jc w:val="center"/>
              <w:rPr>
                <w:rFonts w:ascii="宋体" w:hAnsi="宋体"/>
                <w:sz w:val="18"/>
                <w:szCs w:val="18"/>
              </w:rPr>
            </w:pPr>
            <w:r>
              <w:rPr>
                <w:rFonts w:ascii="宋体" w:hAnsi="宋体"/>
                <w:sz w:val="18"/>
                <w:szCs w:val="18"/>
              </w:rPr>
              <w:t>GB/T 10561 A法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56" w:type="dxa"/>
            <w:vAlign w:val="center"/>
          </w:tcPr>
          <w:p>
            <w:pPr>
              <w:jc w:val="center"/>
              <w:rPr>
                <w:rFonts w:ascii="宋体" w:hAnsi="宋体"/>
                <w:sz w:val="18"/>
                <w:szCs w:val="18"/>
              </w:rPr>
            </w:pPr>
            <w:r>
              <w:rPr>
                <w:rFonts w:ascii="宋体" w:hAnsi="宋体"/>
                <w:sz w:val="18"/>
                <w:szCs w:val="18"/>
              </w:rPr>
              <w:t>3</w:t>
            </w:r>
          </w:p>
        </w:tc>
        <w:tc>
          <w:tcPr>
            <w:tcW w:w="1476" w:type="dxa"/>
            <w:vAlign w:val="center"/>
          </w:tcPr>
          <w:p>
            <w:pPr>
              <w:jc w:val="center"/>
              <w:rPr>
                <w:rFonts w:ascii="宋体" w:hAnsi="宋体"/>
                <w:sz w:val="18"/>
                <w:szCs w:val="18"/>
              </w:rPr>
            </w:pPr>
            <w:r>
              <w:rPr>
                <w:rFonts w:hint="eastAsia" w:ascii="宋体" w:hAnsi="宋体"/>
                <w:sz w:val="18"/>
                <w:szCs w:val="18"/>
              </w:rPr>
              <w:t>低倍组织</w:t>
            </w:r>
          </w:p>
        </w:tc>
        <w:tc>
          <w:tcPr>
            <w:tcW w:w="1045" w:type="dxa"/>
            <w:vAlign w:val="center"/>
          </w:tcPr>
          <w:p>
            <w:pPr>
              <w:jc w:val="center"/>
              <w:rPr>
                <w:rFonts w:ascii="宋体" w:hAnsi="宋体"/>
                <w:sz w:val="18"/>
                <w:szCs w:val="18"/>
              </w:rPr>
            </w:pPr>
            <w:r>
              <w:rPr>
                <w:rFonts w:ascii="宋体" w:hAnsi="宋体"/>
                <w:sz w:val="18"/>
                <w:szCs w:val="18"/>
              </w:rPr>
              <w:t>2个/炉</w:t>
            </w:r>
          </w:p>
        </w:tc>
        <w:tc>
          <w:tcPr>
            <w:tcW w:w="3524" w:type="dxa"/>
            <w:vAlign w:val="center"/>
          </w:tcPr>
          <w:p>
            <w:pPr>
              <w:jc w:val="center"/>
              <w:rPr>
                <w:rFonts w:ascii="宋体" w:hAnsi="宋体"/>
                <w:sz w:val="18"/>
                <w:szCs w:val="18"/>
              </w:rPr>
            </w:pPr>
            <w:r>
              <w:rPr>
                <w:rFonts w:ascii="宋体" w:hAnsi="宋体"/>
                <w:sz w:val="18"/>
                <w:szCs w:val="18"/>
              </w:rPr>
              <w:t>在相当于合金锭端部的棒材上</w:t>
            </w:r>
            <w:r>
              <w:rPr>
                <w:rFonts w:hint="eastAsia" w:ascii="宋体" w:hAnsi="宋体"/>
                <w:sz w:val="18"/>
                <w:szCs w:val="18"/>
              </w:rPr>
              <w:t>截取片样</w:t>
            </w:r>
          </w:p>
        </w:tc>
        <w:tc>
          <w:tcPr>
            <w:tcW w:w="3016" w:type="dxa"/>
            <w:vAlign w:val="center"/>
          </w:tcPr>
          <w:p>
            <w:pPr>
              <w:jc w:val="center"/>
              <w:rPr>
                <w:rFonts w:ascii="宋体" w:hAnsi="宋体"/>
                <w:sz w:val="18"/>
                <w:szCs w:val="18"/>
              </w:rPr>
            </w:pPr>
            <w:r>
              <w:rPr>
                <w:rFonts w:hint="eastAsia" w:ascii="宋体" w:hAnsi="宋体"/>
                <w:sz w:val="18"/>
                <w:szCs w:val="18"/>
              </w:rPr>
              <w:t>GB/T 226、GB/T 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jc w:val="center"/>
              <w:rPr>
                <w:rFonts w:ascii="宋体" w:hAnsi="宋体"/>
                <w:sz w:val="18"/>
                <w:szCs w:val="18"/>
              </w:rPr>
            </w:pPr>
            <w:r>
              <w:rPr>
                <w:rFonts w:ascii="宋体" w:hAnsi="宋体"/>
                <w:sz w:val="18"/>
                <w:szCs w:val="18"/>
              </w:rPr>
              <w:t>4</w:t>
            </w:r>
          </w:p>
        </w:tc>
        <w:tc>
          <w:tcPr>
            <w:tcW w:w="1476" w:type="dxa"/>
            <w:vAlign w:val="center"/>
          </w:tcPr>
          <w:p>
            <w:pPr>
              <w:jc w:val="center"/>
              <w:rPr>
                <w:rFonts w:ascii="宋体" w:hAnsi="宋体"/>
                <w:sz w:val="18"/>
                <w:szCs w:val="18"/>
              </w:rPr>
            </w:pPr>
            <w:r>
              <w:rPr>
                <w:rFonts w:ascii="宋体" w:hAnsi="宋体"/>
                <w:sz w:val="18"/>
                <w:szCs w:val="18"/>
              </w:rPr>
              <w:t>室温拉伸</w:t>
            </w:r>
          </w:p>
        </w:tc>
        <w:tc>
          <w:tcPr>
            <w:tcW w:w="1045" w:type="dxa"/>
            <w:vAlign w:val="center"/>
          </w:tcPr>
          <w:p>
            <w:pPr>
              <w:jc w:val="center"/>
              <w:rPr>
                <w:rFonts w:ascii="宋体" w:hAnsi="宋体"/>
                <w:sz w:val="18"/>
                <w:szCs w:val="18"/>
              </w:rPr>
            </w:pPr>
            <w:r>
              <w:rPr>
                <w:rFonts w:ascii="宋体" w:hAnsi="宋体"/>
                <w:snapToGrid w:val="0"/>
                <w:kern w:val="0"/>
                <w:sz w:val="18"/>
                <w:szCs w:val="18"/>
              </w:rPr>
              <w:t>2个/批</w:t>
            </w:r>
          </w:p>
        </w:tc>
        <w:tc>
          <w:tcPr>
            <w:tcW w:w="3524" w:type="dxa"/>
            <w:vAlign w:val="center"/>
          </w:tcPr>
          <w:p>
            <w:pPr>
              <w:jc w:val="center"/>
              <w:rPr>
                <w:rFonts w:ascii="宋体" w:hAnsi="宋体"/>
                <w:sz w:val="18"/>
                <w:szCs w:val="18"/>
              </w:rPr>
            </w:pPr>
            <w:r>
              <w:rPr>
                <w:rFonts w:ascii="宋体" w:hAnsi="宋体"/>
                <w:sz w:val="18"/>
                <w:szCs w:val="18"/>
              </w:rPr>
              <w:t>取不同支钢管上纵向全截面试样</w:t>
            </w:r>
          </w:p>
        </w:tc>
        <w:tc>
          <w:tcPr>
            <w:tcW w:w="3016" w:type="dxa"/>
            <w:vAlign w:val="center"/>
          </w:tcPr>
          <w:p>
            <w:pPr>
              <w:jc w:val="center"/>
              <w:rPr>
                <w:rFonts w:ascii="宋体" w:hAnsi="宋体"/>
                <w:sz w:val="18"/>
                <w:szCs w:val="18"/>
              </w:rPr>
            </w:pPr>
            <w:r>
              <w:rPr>
                <w:rFonts w:ascii="宋体" w:hAnsi="宋体"/>
                <w:sz w:val="18"/>
                <w:szCs w:val="18"/>
              </w:rPr>
              <w:t>GB/T 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56" w:type="dxa"/>
            <w:vAlign w:val="center"/>
          </w:tcPr>
          <w:p>
            <w:pPr>
              <w:jc w:val="center"/>
              <w:rPr>
                <w:rFonts w:ascii="宋体" w:hAnsi="宋体"/>
                <w:sz w:val="18"/>
                <w:szCs w:val="18"/>
              </w:rPr>
            </w:pPr>
            <w:r>
              <w:rPr>
                <w:rFonts w:ascii="宋体" w:hAnsi="宋体"/>
                <w:sz w:val="18"/>
                <w:szCs w:val="18"/>
              </w:rPr>
              <w:t>5</w:t>
            </w:r>
          </w:p>
        </w:tc>
        <w:tc>
          <w:tcPr>
            <w:tcW w:w="1476" w:type="dxa"/>
            <w:vAlign w:val="center"/>
          </w:tcPr>
          <w:p>
            <w:pPr>
              <w:jc w:val="center"/>
              <w:rPr>
                <w:rFonts w:ascii="宋体" w:hAnsi="宋体"/>
                <w:sz w:val="18"/>
                <w:szCs w:val="18"/>
              </w:rPr>
            </w:pPr>
            <w:r>
              <w:rPr>
                <w:rFonts w:ascii="宋体" w:hAnsi="宋体"/>
                <w:sz w:val="18"/>
                <w:szCs w:val="18"/>
              </w:rPr>
              <w:t>高温拉伸</w:t>
            </w:r>
          </w:p>
        </w:tc>
        <w:tc>
          <w:tcPr>
            <w:tcW w:w="1045" w:type="dxa"/>
            <w:vAlign w:val="center"/>
          </w:tcPr>
          <w:p>
            <w:pPr>
              <w:jc w:val="center"/>
              <w:rPr>
                <w:rFonts w:ascii="宋体" w:hAnsi="宋体"/>
                <w:sz w:val="18"/>
                <w:szCs w:val="18"/>
              </w:rPr>
            </w:pPr>
            <w:r>
              <w:rPr>
                <w:rFonts w:ascii="宋体" w:hAnsi="宋体"/>
                <w:snapToGrid w:val="0"/>
                <w:kern w:val="0"/>
                <w:sz w:val="18"/>
                <w:szCs w:val="18"/>
              </w:rPr>
              <w:t>2个/批</w:t>
            </w:r>
          </w:p>
        </w:tc>
        <w:tc>
          <w:tcPr>
            <w:tcW w:w="3524" w:type="dxa"/>
            <w:vAlign w:val="center"/>
          </w:tcPr>
          <w:p>
            <w:pPr>
              <w:jc w:val="center"/>
              <w:rPr>
                <w:rFonts w:ascii="宋体" w:hAnsi="宋体"/>
                <w:sz w:val="18"/>
                <w:szCs w:val="18"/>
              </w:rPr>
            </w:pPr>
            <w:r>
              <w:rPr>
                <w:rFonts w:ascii="宋体" w:hAnsi="宋体"/>
                <w:sz w:val="18"/>
                <w:szCs w:val="18"/>
              </w:rPr>
              <w:t>取不同支钢管上纵向全截面试样</w:t>
            </w:r>
          </w:p>
        </w:tc>
        <w:tc>
          <w:tcPr>
            <w:tcW w:w="3016" w:type="dxa"/>
            <w:vAlign w:val="center"/>
          </w:tcPr>
          <w:p>
            <w:pPr>
              <w:jc w:val="center"/>
              <w:rPr>
                <w:rFonts w:ascii="宋体" w:hAnsi="宋体"/>
                <w:sz w:val="18"/>
                <w:szCs w:val="18"/>
              </w:rPr>
            </w:pPr>
            <w:r>
              <w:rPr>
                <w:rFonts w:ascii="宋体" w:hAnsi="宋体"/>
                <w:sz w:val="18"/>
                <w:szCs w:val="18"/>
              </w:rPr>
              <w:t>GB/T 228.2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jc w:val="center"/>
              <w:rPr>
                <w:rFonts w:ascii="宋体" w:hAnsi="宋体"/>
                <w:sz w:val="18"/>
                <w:szCs w:val="18"/>
              </w:rPr>
            </w:pPr>
            <w:r>
              <w:rPr>
                <w:rFonts w:ascii="宋体" w:hAnsi="宋体"/>
                <w:sz w:val="18"/>
                <w:szCs w:val="18"/>
              </w:rPr>
              <w:t>6</w:t>
            </w:r>
          </w:p>
        </w:tc>
        <w:tc>
          <w:tcPr>
            <w:tcW w:w="1476" w:type="dxa"/>
            <w:vAlign w:val="center"/>
          </w:tcPr>
          <w:p>
            <w:pPr>
              <w:jc w:val="center"/>
              <w:rPr>
                <w:rFonts w:ascii="宋体" w:hAnsi="宋体"/>
                <w:sz w:val="18"/>
                <w:szCs w:val="18"/>
              </w:rPr>
            </w:pPr>
            <w:r>
              <w:rPr>
                <w:rFonts w:ascii="宋体" w:hAnsi="宋体"/>
                <w:sz w:val="18"/>
                <w:szCs w:val="18"/>
              </w:rPr>
              <w:t>硬度</w:t>
            </w:r>
          </w:p>
        </w:tc>
        <w:tc>
          <w:tcPr>
            <w:tcW w:w="1045" w:type="dxa"/>
            <w:vAlign w:val="center"/>
          </w:tcPr>
          <w:p>
            <w:pPr>
              <w:jc w:val="center"/>
              <w:rPr>
                <w:rFonts w:ascii="宋体" w:hAnsi="宋体"/>
                <w:snapToGrid w:val="0"/>
                <w:kern w:val="0"/>
                <w:sz w:val="18"/>
                <w:szCs w:val="18"/>
              </w:rPr>
            </w:pPr>
            <w:r>
              <w:rPr>
                <w:rFonts w:ascii="宋体" w:hAnsi="宋体"/>
                <w:snapToGrid w:val="0"/>
                <w:kern w:val="0"/>
                <w:sz w:val="18"/>
                <w:szCs w:val="18"/>
              </w:rPr>
              <w:t>2个/批</w:t>
            </w:r>
          </w:p>
        </w:tc>
        <w:tc>
          <w:tcPr>
            <w:tcW w:w="3524" w:type="dxa"/>
            <w:vAlign w:val="center"/>
          </w:tcPr>
          <w:p>
            <w:pPr>
              <w:jc w:val="center"/>
              <w:rPr>
                <w:rFonts w:ascii="宋体" w:hAnsi="宋体"/>
                <w:sz w:val="18"/>
                <w:szCs w:val="18"/>
              </w:rPr>
            </w:pPr>
            <w:r>
              <w:rPr>
                <w:rFonts w:ascii="宋体" w:hAnsi="宋体"/>
                <w:sz w:val="18"/>
                <w:szCs w:val="18"/>
              </w:rPr>
              <w:t>取不同支钢管上横截面试样</w:t>
            </w:r>
          </w:p>
        </w:tc>
        <w:tc>
          <w:tcPr>
            <w:tcW w:w="3016" w:type="dxa"/>
            <w:vAlign w:val="center"/>
          </w:tcPr>
          <w:p>
            <w:pPr>
              <w:jc w:val="center"/>
              <w:rPr>
                <w:rFonts w:ascii="宋体" w:hAnsi="宋体"/>
                <w:sz w:val="18"/>
                <w:szCs w:val="18"/>
              </w:rPr>
            </w:pPr>
            <w:r>
              <w:rPr>
                <w:rFonts w:ascii="宋体" w:hAnsi="宋体"/>
                <w:sz w:val="18"/>
                <w:szCs w:val="18"/>
              </w:rPr>
              <w:t>GB/T 230.1</w:t>
            </w:r>
            <w:r>
              <w:rPr>
                <w:rFonts w:hint="eastAsia" w:ascii="宋体" w:hAnsi="宋体"/>
                <w:sz w:val="18"/>
                <w:szCs w:val="18"/>
              </w:rPr>
              <w:t>、</w:t>
            </w:r>
            <w:r>
              <w:rPr>
                <w:rFonts w:ascii="宋体" w:hAnsi="宋体"/>
                <w:sz w:val="18"/>
                <w:szCs w:val="18"/>
              </w:rPr>
              <w:t>GB/T 4340.1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56" w:type="dxa"/>
            <w:vAlign w:val="center"/>
          </w:tcPr>
          <w:p>
            <w:pPr>
              <w:jc w:val="center"/>
              <w:rPr>
                <w:rFonts w:ascii="宋体" w:hAnsi="宋体"/>
                <w:sz w:val="18"/>
                <w:szCs w:val="18"/>
              </w:rPr>
            </w:pPr>
            <w:r>
              <w:rPr>
                <w:rFonts w:ascii="宋体" w:hAnsi="宋体"/>
                <w:sz w:val="18"/>
                <w:szCs w:val="18"/>
              </w:rPr>
              <w:t>7</w:t>
            </w:r>
          </w:p>
        </w:tc>
        <w:tc>
          <w:tcPr>
            <w:tcW w:w="1476" w:type="dxa"/>
            <w:vAlign w:val="center"/>
          </w:tcPr>
          <w:p>
            <w:pPr>
              <w:jc w:val="center"/>
              <w:rPr>
                <w:rFonts w:ascii="宋体" w:hAnsi="宋体"/>
                <w:sz w:val="18"/>
                <w:szCs w:val="18"/>
              </w:rPr>
            </w:pPr>
            <w:r>
              <w:rPr>
                <w:rFonts w:ascii="宋体" w:hAnsi="宋体"/>
                <w:sz w:val="18"/>
                <w:szCs w:val="18"/>
              </w:rPr>
              <w:t>晶粒度</w:t>
            </w:r>
          </w:p>
        </w:tc>
        <w:tc>
          <w:tcPr>
            <w:tcW w:w="1045" w:type="dxa"/>
            <w:vAlign w:val="center"/>
          </w:tcPr>
          <w:p>
            <w:pPr>
              <w:jc w:val="center"/>
              <w:rPr>
                <w:rFonts w:ascii="宋体" w:hAnsi="宋体"/>
                <w:sz w:val="18"/>
                <w:szCs w:val="18"/>
              </w:rPr>
            </w:pPr>
            <w:r>
              <w:rPr>
                <w:rFonts w:ascii="宋体" w:hAnsi="宋体"/>
                <w:snapToGrid w:val="0"/>
                <w:kern w:val="0"/>
                <w:sz w:val="18"/>
                <w:szCs w:val="18"/>
              </w:rPr>
              <w:t>1个/批</w:t>
            </w:r>
          </w:p>
        </w:tc>
        <w:tc>
          <w:tcPr>
            <w:tcW w:w="3524" w:type="dxa"/>
            <w:vAlign w:val="center"/>
          </w:tcPr>
          <w:p>
            <w:pPr>
              <w:jc w:val="center"/>
              <w:rPr>
                <w:rFonts w:ascii="宋体" w:hAnsi="宋体"/>
                <w:sz w:val="18"/>
                <w:szCs w:val="18"/>
              </w:rPr>
            </w:pPr>
            <w:r>
              <w:rPr>
                <w:rFonts w:ascii="宋体" w:hAnsi="宋体"/>
                <w:sz w:val="18"/>
                <w:szCs w:val="18"/>
              </w:rPr>
              <w:t>取任一支钢管上横截面试样</w:t>
            </w:r>
          </w:p>
        </w:tc>
        <w:tc>
          <w:tcPr>
            <w:tcW w:w="3016" w:type="dxa"/>
            <w:vAlign w:val="center"/>
          </w:tcPr>
          <w:p>
            <w:pPr>
              <w:jc w:val="center"/>
              <w:rPr>
                <w:rFonts w:ascii="宋体" w:hAnsi="宋体"/>
                <w:sz w:val="18"/>
                <w:szCs w:val="18"/>
              </w:rPr>
            </w:pPr>
            <w:r>
              <w:rPr>
                <w:rFonts w:ascii="宋体" w:hAnsi="宋体"/>
                <w:sz w:val="18"/>
                <w:szCs w:val="18"/>
              </w:rPr>
              <w:t>GB/T 6394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6" w:type="dxa"/>
            <w:vAlign w:val="center"/>
          </w:tcPr>
          <w:p>
            <w:pPr>
              <w:jc w:val="center"/>
              <w:rPr>
                <w:rFonts w:ascii="宋体" w:hAnsi="宋体"/>
                <w:sz w:val="18"/>
                <w:szCs w:val="18"/>
              </w:rPr>
            </w:pPr>
            <w:r>
              <w:rPr>
                <w:rFonts w:ascii="宋体" w:hAnsi="宋体"/>
                <w:sz w:val="18"/>
                <w:szCs w:val="18"/>
              </w:rPr>
              <w:t>8</w:t>
            </w:r>
          </w:p>
        </w:tc>
        <w:tc>
          <w:tcPr>
            <w:tcW w:w="1476" w:type="dxa"/>
            <w:vAlign w:val="center"/>
          </w:tcPr>
          <w:p>
            <w:pPr>
              <w:jc w:val="center"/>
              <w:rPr>
                <w:rFonts w:ascii="宋体" w:hAnsi="宋体"/>
                <w:sz w:val="18"/>
                <w:szCs w:val="18"/>
              </w:rPr>
            </w:pPr>
            <w:r>
              <w:rPr>
                <w:rFonts w:ascii="宋体" w:hAnsi="宋体"/>
                <w:sz w:val="18"/>
                <w:szCs w:val="18"/>
              </w:rPr>
              <w:t>扩口试验</w:t>
            </w:r>
          </w:p>
        </w:tc>
        <w:tc>
          <w:tcPr>
            <w:tcW w:w="1045" w:type="dxa"/>
            <w:vAlign w:val="center"/>
          </w:tcPr>
          <w:p>
            <w:pPr>
              <w:jc w:val="center"/>
              <w:rPr>
                <w:rFonts w:ascii="宋体" w:hAnsi="宋体"/>
                <w:sz w:val="18"/>
                <w:szCs w:val="18"/>
              </w:rPr>
            </w:pPr>
            <w:r>
              <w:rPr>
                <w:rFonts w:ascii="宋体" w:hAnsi="宋体"/>
                <w:snapToGrid w:val="0"/>
                <w:kern w:val="0"/>
                <w:sz w:val="18"/>
                <w:szCs w:val="18"/>
              </w:rPr>
              <w:t>2个/批</w:t>
            </w:r>
          </w:p>
        </w:tc>
        <w:tc>
          <w:tcPr>
            <w:tcW w:w="3524" w:type="dxa"/>
            <w:vAlign w:val="center"/>
          </w:tcPr>
          <w:p>
            <w:pPr>
              <w:jc w:val="center"/>
              <w:rPr>
                <w:rFonts w:ascii="宋体" w:hAnsi="宋体"/>
                <w:sz w:val="18"/>
                <w:szCs w:val="18"/>
              </w:rPr>
            </w:pPr>
            <w:r>
              <w:rPr>
                <w:rFonts w:ascii="宋体" w:hAnsi="宋体"/>
                <w:sz w:val="18"/>
                <w:szCs w:val="18"/>
              </w:rPr>
              <w:t>在任2支不同钢管上取样</w:t>
            </w:r>
          </w:p>
        </w:tc>
        <w:tc>
          <w:tcPr>
            <w:tcW w:w="3016" w:type="dxa"/>
            <w:vAlign w:val="center"/>
          </w:tcPr>
          <w:p>
            <w:pPr>
              <w:jc w:val="center"/>
              <w:rPr>
                <w:rFonts w:ascii="宋体" w:hAnsi="宋体"/>
                <w:sz w:val="18"/>
                <w:szCs w:val="18"/>
              </w:rPr>
            </w:pPr>
            <w:r>
              <w:rPr>
                <w:rFonts w:ascii="宋体" w:hAnsi="宋体"/>
                <w:sz w:val="18"/>
                <w:szCs w:val="18"/>
              </w:rPr>
              <w:t>GB/T 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56" w:type="dxa"/>
            <w:vAlign w:val="center"/>
          </w:tcPr>
          <w:p>
            <w:pPr>
              <w:jc w:val="center"/>
              <w:rPr>
                <w:rFonts w:ascii="宋体" w:hAnsi="宋体"/>
                <w:sz w:val="18"/>
                <w:szCs w:val="18"/>
              </w:rPr>
            </w:pPr>
            <w:r>
              <w:rPr>
                <w:rFonts w:ascii="宋体" w:hAnsi="宋体"/>
                <w:sz w:val="18"/>
                <w:szCs w:val="18"/>
              </w:rPr>
              <w:t>9</w:t>
            </w:r>
          </w:p>
        </w:tc>
        <w:tc>
          <w:tcPr>
            <w:tcW w:w="1476" w:type="dxa"/>
            <w:vAlign w:val="center"/>
          </w:tcPr>
          <w:p>
            <w:pPr>
              <w:jc w:val="center"/>
              <w:rPr>
                <w:rFonts w:ascii="宋体" w:hAnsi="宋体"/>
                <w:sz w:val="18"/>
                <w:szCs w:val="18"/>
              </w:rPr>
            </w:pPr>
            <w:r>
              <w:rPr>
                <w:rFonts w:ascii="宋体" w:hAnsi="宋体"/>
                <w:sz w:val="18"/>
                <w:szCs w:val="18"/>
              </w:rPr>
              <w:t>压扁试验</w:t>
            </w:r>
          </w:p>
        </w:tc>
        <w:tc>
          <w:tcPr>
            <w:tcW w:w="1045" w:type="dxa"/>
            <w:vAlign w:val="center"/>
          </w:tcPr>
          <w:p>
            <w:pPr>
              <w:jc w:val="center"/>
              <w:rPr>
                <w:rFonts w:ascii="宋体" w:hAnsi="宋体"/>
                <w:sz w:val="18"/>
                <w:szCs w:val="18"/>
              </w:rPr>
            </w:pPr>
            <w:r>
              <w:rPr>
                <w:rFonts w:ascii="宋体" w:hAnsi="宋体"/>
                <w:snapToGrid w:val="0"/>
                <w:kern w:val="0"/>
                <w:sz w:val="18"/>
                <w:szCs w:val="18"/>
              </w:rPr>
              <w:t>2个/批</w:t>
            </w:r>
          </w:p>
        </w:tc>
        <w:tc>
          <w:tcPr>
            <w:tcW w:w="3524" w:type="dxa"/>
            <w:vAlign w:val="center"/>
          </w:tcPr>
          <w:p>
            <w:pPr>
              <w:jc w:val="center"/>
              <w:rPr>
                <w:rFonts w:ascii="宋体" w:hAnsi="宋体"/>
                <w:sz w:val="18"/>
                <w:szCs w:val="18"/>
              </w:rPr>
            </w:pPr>
            <w:r>
              <w:rPr>
                <w:rFonts w:ascii="宋体" w:hAnsi="宋体"/>
                <w:sz w:val="18"/>
                <w:szCs w:val="18"/>
              </w:rPr>
              <w:t>在任2支不同钢管上取样</w:t>
            </w:r>
          </w:p>
        </w:tc>
        <w:tc>
          <w:tcPr>
            <w:tcW w:w="3016" w:type="dxa"/>
            <w:vAlign w:val="center"/>
          </w:tcPr>
          <w:p>
            <w:pPr>
              <w:jc w:val="center"/>
              <w:rPr>
                <w:rFonts w:ascii="宋体" w:hAnsi="宋体"/>
                <w:sz w:val="18"/>
                <w:szCs w:val="18"/>
              </w:rPr>
            </w:pPr>
            <w:r>
              <w:rPr>
                <w:rFonts w:ascii="宋体" w:hAnsi="宋体"/>
                <w:sz w:val="18"/>
                <w:szCs w:val="18"/>
              </w:rPr>
              <w:t>GB/T 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56" w:type="dxa"/>
            <w:vAlign w:val="center"/>
          </w:tcPr>
          <w:p>
            <w:pPr>
              <w:jc w:val="center"/>
              <w:rPr>
                <w:rFonts w:ascii="宋体" w:hAnsi="宋体"/>
                <w:sz w:val="18"/>
                <w:szCs w:val="18"/>
              </w:rPr>
            </w:pPr>
            <w:r>
              <w:rPr>
                <w:rFonts w:ascii="宋体" w:hAnsi="宋体"/>
                <w:sz w:val="18"/>
                <w:szCs w:val="18"/>
              </w:rPr>
              <w:t>10</w:t>
            </w:r>
          </w:p>
        </w:tc>
        <w:tc>
          <w:tcPr>
            <w:tcW w:w="1476" w:type="dxa"/>
            <w:vAlign w:val="center"/>
          </w:tcPr>
          <w:p>
            <w:pPr>
              <w:jc w:val="center"/>
              <w:rPr>
                <w:rFonts w:ascii="宋体" w:hAnsi="宋体"/>
                <w:sz w:val="18"/>
                <w:szCs w:val="18"/>
              </w:rPr>
            </w:pPr>
            <w:r>
              <w:rPr>
                <w:rFonts w:ascii="宋体" w:hAnsi="宋体"/>
                <w:sz w:val="18"/>
                <w:szCs w:val="18"/>
              </w:rPr>
              <w:t>超声检测</w:t>
            </w:r>
          </w:p>
        </w:tc>
        <w:tc>
          <w:tcPr>
            <w:tcW w:w="1045" w:type="dxa"/>
            <w:vAlign w:val="center"/>
          </w:tcPr>
          <w:p>
            <w:pPr>
              <w:jc w:val="center"/>
              <w:rPr>
                <w:rFonts w:ascii="宋体" w:hAnsi="宋体"/>
                <w:snapToGrid w:val="0"/>
                <w:kern w:val="0"/>
                <w:sz w:val="18"/>
                <w:szCs w:val="18"/>
              </w:rPr>
            </w:pPr>
            <w:r>
              <w:rPr>
                <w:rFonts w:ascii="宋体" w:hAnsi="宋体"/>
                <w:sz w:val="18"/>
                <w:szCs w:val="18"/>
              </w:rPr>
              <w:t>逐支</w:t>
            </w:r>
          </w:p>
        </w:tc>
        <w:tc>
          <w:tcPr>
            <w:tcW w:w="3524" w:type="dxa"/>
            <w:vAlign w:val="center"/>
          </w:tcPr>
          <w:p>
            <w:pPr>
              <w:jc w:val="center"/>
              <w:rPr>
                <w:rFonts w:ascii="宋体" w:hAnsi="宋体"/>
                <w:sz w:val="18"/>
                <w:szCs w:val="18"/>
              </w:rPr>
            </w:pPr>
            <w:r>
              <w:rPr>
                <w:rFonts w:ascii="宋体" w:hAnsi="宋体"/>
                <w:sz w:val="18"/>
                <w:szCs w:val="18"/>
              </w:rPr>
              <w:t>—</w:t>
            </w:r>
          </w:p>
        </w:tc>
        <w:tc>
          <w:tcPr>
            <w:tcW w:w="3016" w:type="dxa"/>
            <w:vAlign w:val="center"/>
          </w:tcPr>
          <w:p>
            <w:pPr>
              <w:jc w:val="center"/>
              <w:rPr>
                <w:rFonts w:ascii="宋体" w:hAnsi="宋体"/>
                <w:sz w:val="18"/>
                <w:szCs w:val="18"/>
              </w:rPr>
            </w:pPr>
            <w:r>
              <w:rPr>
                <w:rFonts w:ascii="宋体" w:hAnsi="宋体"/>
                <w:sz w:val="18"/>
                <w:szCs w:val="18"/>
              </w:rPr>
              <w:t>GB/T 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56" w:type="dxa"/>
            <w:vAlign w:val="center"/>
          </w:tcPr>
          <w:p>
            <w:pPr>
              <w:jc w:val="center"/>
              <w:rPr>
                <w:rFonts w:ascii="宋体" w:hAnsi="宋体"/>
                <w:sz w:val="18"/>
                <w:szCs w:val="18"/>
              </w:rPr>
            </w:pPr>
            <w:r>
              <w:rPr>
                <w:rFonts w:ascii="宋体" w:hAnsi="宋体"/>
                <w:sz w:val="18"/>
                <w:szCs w:val="18"/>
              </w:rPr>
              <w:t>11</w:t>
            </w:r>
          </w:p>
        </w:tc>
        <w:tc>
          <w:tcPr>
            <w:tcW w:w="1476" w:type="dxa"/>
            <w:vAlign w:val="center"/>
          </w:tcPr>
          <w:p>
            <w:pPr>
              <w:jc w:val="center"/>
              <w:rPr>
                <w:rFonts w:ascii="宋体" w:hAnsi="宋体"/>
                <w:sz w:val="18"/>
                <w:szCs w:val="18"/>
              </w:rPr>
            </w:pPr>
            <w:r>
              <w:rPr>
                <w:rFonts w:hint="eastAsia" w:ascii="宋体" w:hAnsi="宋体"/>
                <w:sz w:val="18"/>
                <w:szCs w:val="18"/>
              </w:rPr>
              <w:t>气密性试验</w:t>
            </w:r>
          </w:p>
        </w:tc>
        <w:tc>
          <w:tcPr>
            <w:tcW w:w="1045" w:type="dxa"/>
            <w:vAlign w:val="center"/>
          </w:tcPr>
          <w:p>
            <w:pPr>
              <w:jc w:val="center"/>
              <w:rPr>
                <w:rFonts w:ascii="宋体" w:hAnsi="宋体"/>
                <w:sz w:val="18"/>
                <w:szCs w:val="18"/>
              </w:rPr>
            </w:pPr>
            <w:r>
              <w:rPr>
                <w:rFonts w:ascii="宋体" w:hAnsi="宋体"/>
                <w:sz w:val="18"/>
                <w:szCs w:val="18"/>
              </w:rPr>
              <w:t>逐支</w:t>
            </w:r>
          </w:p>
        </w:tc>
        <w:tc>
          <w:tcPr>
            <w:tcW w:w="3524" w:type="dxa"/>
            <w:vAlign w:val="center"/>
          </w:tcPr>
          <w:p>
            <w:pPr>
              <w:jc w:val="center"/>
              <w:rPr>
                <w:rFonts w:ascii="宋体" w:hAnsi="宋体"/>
                <w:sz w:val="18"/>
                <w:szCs w:val="18"/>
              </w:rPr>
            </w:pPr>
            <w:r>
              <w:rPr>
                <w:rFonts w:ascii="宋体" w:hAnsi="宋体"/>
                <w:sz w:val="18"/>
                <w:szCs w:val="18"/>
              </w:rPr>
              <w:t>—</w:t>
            </w:r>
          </w:p>
        </w:tc>
        <w:tc>
          <w:tcPr>
            <w:tcW w:w="3016" w:type="dxa"/>
            <w:vAlign w:val="center"/>
          </w:tcPr>
          <w:p>
            <w:pPr>
              <w:jc w:val="center"/>
              <w:rPr>
                <w:rFonts w:ascii="宋体" w:hAnsi="宋体"/>
                <w:sz w:val="18"/>
                <w:szCs w:val="18"/>
              </w:rPr>
            </w:pPr>
            <w:r>
              <w:rPr>
                <w:rFonts w:hint="eastAsia" w:ascii="宋体" w:hAnsi="宋体"/>
                <w:sz w:val="18"/>
                <w:szCs w:val="18"/>
              </w:rPr>
              <w:t>见第</w:t>
            </w:r>
            <w:r>
              <w:rPr>
                <w:rFonts w:ascii="宋体" w:hAnsi="宋体"/>
                <w:sz w:val="18"/>
                <w:szCs w:val="18"/>
              </w:rPr>
              <w:t>7.6</w:t>
            </w:r>
            <w:r>
              <w:rPr>
                <w:rFonts w:hint="eastAsia" w:ascii="宋体" w:hAnsi="宋体"/>
                <w:sz w:val="18"/>
                <w:szCs w:val="18"/>
              </w:rPr>
              <w:t>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56" w:type="dxa"/>
            <w:vAlign w:val="center"/>
          </w:tcPr>
          <w:p>
            <w:pPr>
              <w:jc w:val="center"/>
              <w:rPr>
                <w:rFonts w:ascii="宋体" w:hAnsi="宋体"/>
                <w:sz w:val="18"/>
                <w:szCs w:val="18"/>
              </w:rPr>
            </w:pPr>
            <w:r>
              <w:rPr>
                <w:rFonts w:ascii="宋体" w:hAnsi="宋体"/>
                <w:sz w:val="18"/>
                <w:szCs w:val="18"/>
              </w:rPr>
              <w:t>12</w:t>
            </w:r>
          </w:p>
        </w:tc>
        <w:tc>
          <w:tcPr>
            <w:tcW w:w="1476" w:type="dxa"/>
            <w:vAlign w:val="center"/>
          </w:tcPr>
          <w:p>
            <w:pPr>
              <w:jc w:val="center"/>
              <w:rPr>
                <w:rFonts w:ascii="宋体" w:hAnsi="宋体"/>
                <w:sz w:val="18"/>
                <w:szCs w:val="18"/>
              </w:rPr>
            </w:pPr>
            <w:r>
              <w:rPr>
                <w:rFonts w:hint="eastAsia" w:ascii="宋体" w:hAnsi="宋体"/>
                <w:sz w:val="18"/>
                <w:szCs w:val="18"/>
              </w:rPr>
              <w:t>液压</w:t>
            </w:r>
            <w:r>
              <w:rPr>
                <w:rFonts w:ascii="宋体" w:hAnsi="宋体"/>
                <w:sz w:val="18"/>
                <w:szCs w:val="18"/>
              </w:rPr>
              <w:t>试验</w:t>
            </w:r>
          </w:p>
        </w:tc>
        <w:tc>
          <w:tcPr>
            <w:tcW w:w="1045" w:type="dxa"/>
            <w:vAlign w:val="center"/>
          </w:tcPr>
          <w:p>
            <w:pPr>
              <w:jc w:val="center"/>
              <w:rPr>
                <w:rFonts w:ascii="宋体" w:hAnsi="宋体"/>
                <w:sz w:val="18"/>
                <w:szCs w:val="18"/>
              </w:rPr>
            </w:pPr>
            <w:r>
              <w:rPr>
                <w:rFonts w:ascii="宋体" w:hAnsi="宋体"/>
                <w:sz w:val="18"/>
                <w:szCs w:val="18"/>
              </w:rPr>
              <w:t>逐支</w:t>
            </w:r>
          </w:p>
        </w:tc>
        <w:tc>
          <w:tcPr>
            <w:tcW w:w="3524" w:type="dxa"/>
            <w:vAlign w:val="center"/>
          </w:tcPr>
          <w:p>
            <w:pPr>
              <w:jc w:val="center"/>
              <w:rPr>
                <w:rFonts w:ascii="宋体" w:hAnsi="宋体"/>
                <w:sz w:val="18"/>
                <w:szCs w:val="18"/>
              </w:rPr>
            </w:pPr>
            <w:r>
              <w:rPr>
                <w:rFonts w:ascii="宋体" w:hAnsi="宋体"/>
                <w:sz w:val="18"/>
                <w:szCs w:val="18"/>
              </w:rPr>
              <w:t>—</w:t>
            </w:r>
          </w:p>
        </w:tc>
        <w:tc>
          <w:tcPr>
            <w:tcW w:w="3016" w:type="dxa"/>
            <w:vAlign w:val="center"/>
          </w:tcPr>
          <w:p>
            <w:pPr>
              <w:jc w:val="center"/>
              <w:rPr>
                <w:rFonts w:ascii="宋体" w:hAnsi="宋体"/>
                <w:sz w:val="18"/>
                <w:szCs w:val="18"/>
              </w:rPr>
            </w:pPr>
            <w:r>
              <w:rPr>
                <w:rFonts w:ascii="宋体" w:hAnsi="宋体"/>
                <w:sz w:val="18"/>
                <w:szCs w:val="18"/>
              </w:rPr>
              <w:t>见第7.7章节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vAlign w:val="center"/>
          </w:tcPr>
          <w:p>
            <w:pPr>
              <w:jc w:val="center"/>
              <w:rPr>
                <w:rFonts w:ascii="宋体" w:hAnsi="宋体"/>
                <w:sz w:val="18"/>
                <w:szCs w:val="18"/>
              </w:rPr>
            </w:pPr>
            <w:r>
              <w:rPr>
                <w:rFonts w:ascii="宋体" w:hAnsi="宋体"/>
                <w:sz w:val="18"/>
                <w:szCs w:val="18"/>
              </w:rPr>
              <w:t>13</w:t>
            </w:r>
          </w:p>
        </w:tc>
        <w:tc>
          <w:tcPr>
            <w:tcW w:w="1476" w:type="dxa"/>
            <w:vAlign w:val="center"/>
          </w:tcPr>
          <w:p>
            <w:pPr>
              <w:jc w:val="center"/>
              <w:rPr>
                <w:rFonts w:ascii="宋体" w:hAnsi="宋体"/>
                <w:sz w:val="18"/>
                <w:szCs w:val="18"/>
              </w:rPr>
            </w:pPr>
            <w:r>
              <w:rPr>
                <w:rFonts w:ascii="宋体" w:hAnsi="宋体"/>
                <w:sz w:val="18"/>
                <w:szCs w:val="18"/>
              </w:rPr>
              <w:t>表面质量</w:t>
            </w:r>
          </w:p>
        </w:tc>
        <w:tc>
          <w:tcPr>
            <w:tcW w:w="1045" w:type="dxa"/>
            <w:vAlign w:val="center"/>
          </w:tcPr>
          <w:p>
            <w:pPr>
              <w:jc w:val="center"/>
              <w:rPr>
                <w:rFonts w:ascii="宋体" w:hAnsi="宋体"/>
                <w:sz w:val="18"/>
                <w:szCs w:val="18"/>
              </w:rPr>
            </w:pPr>
            <w:r>
              <w:rPr>
                <w:rFonts w:ascii="宋体" w:hAnsi="宋体"/>
                <w:sz w:val="18"/>
                <w:szCs w:val="18"/>
              </w:rPr>
              <w:t>逐支</w:t>
            </w:r>
          </w:p>
        </w:tc>
        <w:tc>
          <w:tcPr>
            <w:tcW w:w="3524" w:type="dxa"/>
            <w:vAlign w:val="center"/>
          </w:tcPr>
          <w:p>
            <w:pPr>
              <w:jc w:val="center"/>
              <w:rPr>
                <w:rFonts w:ascii="宋体" w:hAnsi="宋体"/>
                <w:sz w:val="18"/>
                <w:szCs w:val="18"/>
              </w:rPr>
            </w:pPr>
            <w:r>
              <w:rPr>
                <w:rFonts w:ascii="宋体" w:hAnsi="宋体"/>
                <w:sz w:val="18"/>
                <w:szCs w:val="18"/>
              </w:rPr>
              <w:t>—</w:t>
            </w:r>
          </w:p>
        </w:tc>
        <w:tc>
          <w:tcPr>
            <w:tcW w:w="3016" w:type="dxa"/>
            <w:vAlign w:val="center"/>
          </w:tcPr>
          <w:p>
            <w:pPr>
              <w:jc w:val="center"/>
              <w:rPr>
                <w:rFonts w:ascii="宋体" w:hAnsi="宋体"/>
                <w:sz w:val="18"/>
                <w:szCs w:val="18"/>
              </w:rPr>
            </w:pPr>
            <w:r>
              <w:rPr>
                <w:rFonts w:ascii="宋体" w:hAnsi="宋体"/>
                <w:sz w:val="18"/>
                <w:szCs w:val="18"/>
              </w:rPr>
              <w:t>见第7.12章节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4</w:t>
            </w:r>
          </w:p>
        </w:tc>
        <w:tc>
          <w:tcPr>
            <w:tcW w:w="1476" w:type="dxa"/>
            <w:vAlign w:val="center"/>
          </w:tcPr>
          <w:p>
            <w:pPr>
              <w:jc w:val="center"/>
              <w:rPr>
                <w:rFonts w:ascii="宋体" w:hAnsi="宋体"/>
                <w:sz w:val="18"/>
                <w:szCs w:val="18"/>
              </w:rPr>
            </w:pPr>
            <w:r>
              <w:rPr>
                <w:rFonts w:ascii="宋体" w:hAnsi="宋体"/>
                <w:sz w:val="18"/>
                <w:szCs w:val="18"/>
              </w:rPr>
              <w:t>清洁度</w:t>
            </w:r>
          </w:p>
        </w:tc>
        <w:tc>
          <w:tcPr>
            <w:tcW w:w="1045" w:type="dxa"/>
            <w:vAlign w:val="center"/>
          </w:tcPr>
          <w:p>
            <w:pPr>
              <w:jc w:val="center"/>
              <w:rPr>
                <w:rFonts w:ascii="宋体" w:hAnsi="宋体"/>
                <w:sz w:val="18"/>
                <w:szCs w:val="18"/>
              </w:rPr>
            </w:pPr>
            <w:r>
              <w:rPr>
                <w:rFonts w:ascii="宋体" w:hAnsi="宋体"/>
                <w:sz w:val="18"/>
                <w:szCs w:val="18"/>
              </w:rPr>
              <w:t>逐支</w:t>
            </w:r>
          </w:p>
        </w:tc>
        <w:tc>
          <w:tcPr>
            <w:tcW w:w="3524" w:type="dxa"/>
            <w:vAlign w:val="center"/>
          </w:tcPr>
          <w:p>
            <w:pPr>
              <w:jc w:val="center"/>
              <w:rPr>
                <w:rFonts w:ascii="宋体" w:hAnsi="宋体"/>
                <w:sz w:val="18"/>
                <w:szCs w:val="18"/>
              </w:rPr>
            </w:pPr>
            <w:r>
              <w:rPr>
                <w:rFonts w:ascii="宋体" w:hAnsi="宋体"/>
                <w:sz w:val="18"/>
                <w:szCs w:val="18"/>
              </w:rPr>
              <w:t>—</w:t>
            </w:r>
          </w:p>
        </w:tc>
        <w:tc>
          <w:tcPr>
            <w:tcW w:w="3016" w:type="dxa"/>
            <w:vAlign w:val="center"/>
          </w:tcPr>
          <w:p>
            <w:pPr>
              <w:jc w:val="center"/>
              <w:rPr>
                <w:rFonts w:ascii="宋体" w:hAnsi="宋体"/>
                <w:sz w:val="18"/>
                <w:szCs w:val="18"/>
              </w:rPr>
            </w:pPr>
            <w:r>
              <w:rPr>
                <w:rFonts w:ascii="宋体" w:hAnsi="宋体"/>
                <w:sz w:val="18"/>
                <w:szCs w:val="18"/>
              </w:rPr>
              <w:t>见第7.13章节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56" w:type="dxa"/>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5</w:t>
            </w:r>
          </w:p>
        </w:tc>
        <w:tc>
          <w:tcPr>
            <w:tcW w:w="1476" w:type="dxa"/>
            <w:vAlign w:val="center"/>
          </w:tcPr>
          <w:p>
            <w:pPr>
              <w:jc w:val="center"/>
              <w:rPr>
                <w:rFonts w:ascii="宋体" w:hAnsi="宋体"/>
                <w:sz w:val="18"/>
                <w:szCs w:val="18"/>
              </w:rPr>
            </w:pPr>
            <w:r>
              <w:rPr>
                <w:rFonts w:ascii="宋体" w:hAnsi="宋体"/>
                <w:sz w:val="18"/>
                <w:szCs w:val="18"/>
              </w:rPr>
              <w:t>尺寸、外形</w:t>
            </w:r>
          </w:p>
        </w:tc>
        <w:tc>
          <w:tcPr>
            <w:tcW w:w="1045" w:type="dxa"/>
            <w:vAlign w:val="center"/>
          </w:tcPr>
          <w:p>
            <w:pPr>
              <w:jc w:val="center"/>
              <w:rPr>
                <w:rFonts w:ascii="宋体" w:hAnsi="宋体"/>
                <w:sz w:val="18"/>
                <w:szCs w:val="18"/>
              </w:rPr>
            </w:pPr>
            <w:r>
              <w:rPr>
                <w:rFonts w:ascii="宋体" w:hAnsi="宋体"/>
                <w:sz w:val="18"/>
                <w:szCs w:val="18"/>
              </w:rPr>
              <w:t>逐支</w:t>
            </w:r>
          </w:p>
        </w:tc>
        <w:tc>
          <w:tcPr>
            <w:tcW w:w="3524" w:type="dxa"/>
            <w:vAlign w:val="center"/>
          </w:tcPr>
          <w:p>
            <w:pPr>
              <w:jc w:val="center"/>
              <w:rPr>
                <w:rFonts w:ascii="宋体" w:hAnsi="宋体"/>
                <w:sz w:val="18"/>
                <w:szCs w:val="18"/>
              </w:rPr>
            </w:pPr>
            <w:r>
              <w:rPr>
                <w:rFonts w:ascii="宋体" w:hAnsi="宋体"/>
                <w:sz w:val="18"/>
                <w:szCs w:val="18"/>
              </w:rPr>
              <w:t>—</w:t>
            </w:r>
          </w:p>
        </w:tc>
        <w:tc>
          <w:tcPr>
            <w:tcW w:w="3016" w:type="dxa"/>
            <w:vAlign w:val="center"/>
          </w:tcPr>
          <w:p>
            <w:pPr>
              <w:jc w:val="center"/>
              <w:rPr>
                <w:rFonts w:ascii="宋体" w:hAnsi="宋体"/>
                <w:sz w:val="18"/>
                <w:szCs w:val="18"/>
              </w:rPr>
            </w:pPr>
            <w:r>
              <w:rPr>
                <w:rFonts w:ascii="宋体" w:hAnsi="宋体"/>
                <w:sz w:val="18"/>
                <w:szCs w:val="18"/>
              </w:rPr>
              <w:t>见第6章节</w:t>
            </w:r>
          </w:p>
        </w:tc>
      </w:tr>
      <w:bookmarkEnd w:id="14"/>
    </w:tbl>
    <w:p>
      <w:pPr>
        <w:pStyle w:val="19"/>
        <w:numPr>
          <w:ilvl w:val="0"/>
          <w:numId w:val="3"/>
        </w:numPr>
        <w:spacing w:before="312" w:after="312"/>
        <w:ind w:left="0" w:firstLine="0"/>
        <w:rPr>
          <w:rFonts w:ascii="Times New Roman"/>
        </w:rPr>
      </w:pPr>
      <w:r>
        <w:rPr>
          <w:rFonts w:hint="eastAsia" w:ascii="Times New Roman"/>
        </w:rPr>
        <w:t>检验规则</w:t>
      </w:r>
    </w:p>
    <w:p>
      <w:pPr>
        <w:pStyle w:val="22"/>
        <w:numPr>
          <w:ilvl w:val="1"/>
          <w:numId w:val="3"/>
        </w:numPr>
        <w:spacing w:before="156" w:after="156"/>
        <w:ind w:left="0" w:firstLine="0"/>
        <w:rPr>
          <w:rFonts w:ascii="Times New Roman"/>
        </w:rPr>
      </w:pPr>
      <w:r>
        <w:rPr>
          <w:rFonts w:hint="eastAsia" w:ascii="Times New Roman"/>
        </w:rPr>
        <w:t>检查和验收</w:t>
      </w:r>
    </w:p>
    <w:p>
      <w:pPr>
        <w:pStyle w:val="27"/>
        <w:tabs>
          <w:tab w:val="left" w:pos="0"/>
        </w:tabs>
        <w:spacing w:before="156" w:after="156"/>
        <w:ind w:left="0" w:firstLine="420" w:firstLineChars="200"/>
        <w:rPr>
          <w:rFonts w:ascii="宋体" w:hAnsi="宋体" w:eastAsia="宋体" w:cs="宋体"/>
          <w:lang w:val="zh-TW" w:eastAsia="zh-TW"/>
        </w:rPr>
      </w:pPr>
      <w:r>
        <w:rPr>
          <w:rFonts w:hint="eastAsia" w:ascii="宋体" w:hAnsi="宋体" w:eastAsia="宋体" w:cs="宋体"/>
          <w:lang w:val="zh-TW" w:eastAsia="zh-TW"/>
        </w:rPr>
        <w:t>钢管的检查和验收由供方质量检验部门进行。</w:t>
      </w:r>
    </w:p>
    <w:p>
      <w:pPr>
        <w:pStyle w:val="22"/>
        <w:numPr>
          <w:ilvl w:val="1"/>
          <w:numId w:val="3"/>
        </w:numPr>
        <w:spacing w:before="156" w:after="156"/>
        <w:ind w:left="0" w:firstLine="0"/>
        <w:rPr>
          <w:rFonts w:ascii="Times New Roman"/>
        </w:rPr>
      </w:pPr>
      <w:r>
        <w:rPr>
          <w:rFonts w:hint="eastAsia" w:ascii="Times New Roman"/>
        </w:rPr>
        <w:t>组批规则</w:t>
      </w:r>
    </w:p>
    <w:p>
      <w:pPr>
        <w:pStyle w:val="27"/>
        <w:tabs>
          <w:tab w:val="left" w:pos="0"/>
        </w:tabs>
        <w:spacing w:before="156" w:after="156"/>
        <w:ind w:left="0" w:firstLine="420" w:firstLineChars="200"/>
        <w:rPr>
          <w:rFonts w:ascii="宋体" w:hAnsi="宋体" w:eastAsia="宋体" w:cs="宋体"/>
          <w:lang w:val="zh-TW" w:eastAsia="zh-TW"/>
        </w:rPr>
      </w:pPr>
      <w:r>
        <w:rPr>
          <w:rFonts w:hint="eastAsia" w:ascii="宋体" w:hAnsi="宋体" w:eastAsia="宋体" w:cs="宋体"/>
          <w:lang w:val="zh-TW" w:eastAsia="zh-TW"/>
        </w:rPr>
        <w:t>钢管应按批进行检查和验收。每批应由同一牌号、同一炉号、同一规格和同一热处理制度（炉次）的钢管组成，采用电渣重熔冶炼的钢管，在工艺稳定且能保证本标准各项要求的条件下，允许以自耗电极的熔炼母炉号组批交货。每批钢管支数不得超过200支，其总长度不超过2000米。</w:t>
      </w:r>
    </w:p>
    <w:p>
      <w:pPr>
        <w:pStyle w:val="22"/>
        <w:numPr>
          <w:ilvl w:val="1"/>
          <w:numId w:val="3"/>
        </w:numPr>
        <w:spacing w:before="156" w:after="156"/>
        <w:ind w:left="0" w:firstLine="0"/>
        <w:rPr>
          <w:rFonts w:ascii="Times New Roman"/>
        </w:rPr>
      </w:pPr>
      <w:r>
        <w:rPr>
          <w:rFonts w:hint="eastAsia" w:ascii="Times New Roman"/>
        </w:rPr>
        <w:t>取样数量</w:t>
      </w:r>
    </w:p>
    <w:p>
      <w:pPr>
        <w:pStyle w:val="27"/>
        <w:tabs>
          <w:tab w:val="left" w:pos="0"/>
        </w:tabs>
        <w:spacing w:before="156" w:after="156"/>
        <w:ind w:left="0" w:firstLine="420" w:firstLineChars="200"/>
        <w:rPr>
          <w:rFonts w:ascii="宋体" w:hAnsi="宋体" w:eastAsia="宋体" w:cs="宋体"/>
          <w:lang w:val="zh-TW" w:eastAsia="zh-TW"/>
        </w:rPr>
      </w:pPr>
      <w:r>
        <w:rPr>
          <w:rFonts w:hint="eastAsia" w:ascii="宋体" w:hAnsi="宋体" w:eastAsia="宋体" w:cs="宋体"/>
          <w:lang w:val="zh-TW" w:eastAsia="zh-TW"/>
        </w:rPr>
        <w:t>管坯的取样数量应符合表8的规定。</w:t>
      </w:r>
    </w:p>
    <w:p>
      <w:pPr>
        <w:pStyle w:val="22"/>
        <w:numPr>
          <w:ilvl w:val="1"/>
          <w:numId w:val="3"/>
        </w:numPr>
        <w:spacing w:before="156" w:after="156"/>
        <w:ind w:left="0" w:firstLine="0"/>
        <w:rPr>
          <w:rFonts w:ascii="Times New Roman"/>
        </w:rPr>
      </w:pPr>
      <w:r>
        <w:rPr>
          <w:rFonts w:hint="eastAsia" w:ascii="Times New Roman"/>
        </w:rPr>
        <w:t>复验和判定规则</w:t>
      </w:r>
    </w:p>
    <w:p>
      <w:pPr>
        <w:pStyle w:val="27"/>
        <w:numPr>
          <w:ilvl w:val="2"/>
          <w:numId w:val="3"/>
        </w:numPr>
        <w:tabs>
          <w:tab w:val="left" w:pos="0"/>
        </w:tabs>
        <w:spacing w:before="156" w:after="156"/>
        <w:ind w:left="0" w:firstLine="0"/>
        <w:rPr>
          <w:rFonts w:ascii="宋体" w:hAnsi="宋体" w:eastAsia="宋体" w:cs="宋体"/>
          <w:lang w:val="zh-TW" w:eastAsia="zh-TW"/>
        </w:rPr>
      </w:pPr>
      <w:r>
        <w:rPr>
          <w:rFonts w:hint="eastAsia" w:ascii="宋体" w:hAnsi="宋体" w:eastAsia="宋体" w:cs="宋体"/>
          <w:lang w:val="zh-TW" w:eastAsia="zh-TW"/>
        </w:rPr>
        <w:t>室温拉伸、350℃高温拉伸、硬度不合格，应其相邻位置取双倍试样复试。若双倍复试合格，该批</w:t>
      </w:r>
      <w:r>
        <w:rPr>
          <w:rFonts w:hint="eastAsia" w:ascii="宋体" w:hAnsi="宋体" w:eastAsia="宋体" w:cs="宋体"/>
          <w:lang w:val="zh-TW"/>
        </w:rPr>
        <w:t>钢</w:t>
      </w:r>
      <w:r>
        <w:rPr>
          <w:rFonts w:hint="eastAsia" w:ascii="宋体" w:hAnsi="宋体" w:eastAsia="宋体" w:cs="宋体"/>
          <w:lang w:val="zh-TW" w:eastAsia="zh-TW"/>
        </w:rPr>
        <w:t>管相应复试项目为合格，否则应判定为不合格。</w:t>
      </w:r>
    </w:p>
    <w:p>
      <w:pPr>
        <w:pStyle w:val="27"/>
        <w:numPr>
          <w:ilvl w:val="2"/>
          <w:numId w:val="3"/>
        </w:numPr>
        <w:tabs>
          <w:tab w:val="left" w:pos="0"/>
        </w:tabs>
        <w:spacing w:before="156" w:after="156"/>
        <w:ind w:left="0" w:firstLine="0"/>
        <w:rPr>
          <w:rFonts w:ascii="宋体" w:hAnsi="宋体" w:eastAsia="宋体" w:cs="宋体"/>
          <w:lang w:val="zh-TW" w:eastAsia="zh-TW"/>
        </w:rPr>
      </w:pPr>
      <w:r>
        <w:rPr>
          <w:rFonts w:hint="eastAsia" w:ascii="宋体" w:hAnsi="宋体" w:eastAsia="宋体" w:cs="宋体"/>
          <w:lang w:val="zh-TW" w:eastAsia="zh-TW"/>
        </w:rPr>
        <w:t>若某支</w:t>
      </w:r>
      <w:r>
        <w:rPr>
          <w:rFonts w:hint="eastAsia" w:ascii="宋体" w:hAnsi="宋体" w:eastAsia="宋体" w:cs="宋体"/>
          <w:lang w:val="zh-TW"/>
        </w:rPr>
        <w:t>钢</w:t>
      </w:r>
      <w:r>
        <w:rPr>
          <w:rFonts w:hint="eastAsia" w:ascii="宋体" w:hAnsi="宋体" w:eastAsia="宋体" w:cs="宋体"/>
          <w:lang w:val="zh-TW" w:eastAsia="zh-TW"/>
        </w:rPr>
        <w:t>管扩口试验或压扁试验的其中一个不合格，除该支</w:t>
      </w:r>
      <w:r>
        <w:rPr>
          <w:rFonts w:hint="eastAsia" w:ascii="宋体" w:hAnsi="宋体" w:eastAsia="宋体" w:cs="宋体"/>
          <w:lang w:val="zh-TW"/>
        </w:rPr>
        <w:t>钢</w:t>
      </w:r>
      <w:r>
        <w:rPr>
          <w:rFonts w:hint="eastAsia" w:ascii="宋体" w:hAnsi="宋体" w:eastAsia="宋体" w:cs="宋体"/>
          <w:lang w:val="zh-TW" w:eastAsia="zh-TW"/>
        </w:rPr>
        <w:t>管重新取一个样进行试验外，还应另取2支</w:t>
      </w:r>
      <w:r>
        <w:rPr>
          <w:rFonts w:hint="eastAsia" w:ascii="宋体" w:hAnsi="宋体" w:eastAsia="宋体" w:cs="宋体"/>
          <w:lang w:val="zh-TW"/>
        </w:rPr>
        <w:t>钢</w:t>
      </w:r>
      <w:r>
        <w:rPr>
          <w:rFonts w:hint="eastAsia" w:ascii="宋体" w:hAnsi="宋体" w:eastAsia="宋体" w:cs="宋体"/>
          <w:lang w:val="zh-TW" w:eastAsia="zh-TW"/>
        </w:rPr>
        <w:t>管进行试验。若复试有不合格的，则逐支取样进行相应试验，剔除所有不合格</w:t>
      </w:r>
      <w:r>
        <w:rPr>
          <w:rFonts w:hint="eastAsia" w:ascii="宋体" w:hAnsi="宋体" w:eastAsia="宋体" w:cs="宋体"/>
          <w:lang w:val="zh-TW"/>
        </w:rPr>
        <w:t>钢</w:t>
      </w:r>
      <w:r>
        <w:rPr>
          <w:rFonts w:hint="eastAsia" w:ascii="宋体" w:hAnsi="宋体" w:eastAsia="宋体" w:cs="宋体"/>
          <w:lang w:val="zh-TW" w:eastAsia="zh-TW"/>
        </w:rPr>
        <w:t>管。如果不合格比例超过该批次的10%，则判定该整批</w:t>
      </w:r>
      <w:r>
        <w:rPr>
          <w:rFonts w:hint="eastAsia" w:ascii="宋体" w:hAnsi="宋体" w:eastAsia="宋体" w:cs="宋体"/>
          <w:lang w:val="zh-TW"/>
        </w:rPr>
        <w:t>钢</w:t>
      </w:r>
      <w:r>
        <w:rPr>
          <w:rFonts w:hint="eastAsia" w:ascii="宋体" w:hAnsi="宋体" w:eastAsia="宋体" w:cs="宋体"/>
          <w:lang w:val="zh-TW" w:eastAsia="zh-TW"/>
        </w:rPr>
        <w:t>管不合格。</w:t>
      </w:r>
    </w:p>
    <w:p>
      <w:pPr>
        <w:pStyle w:val="27"/>
        <w:numPr>
          <w:ilvl w:val="2"/>
          <w:numId w:val="3"/>
        </w:numPr>
        <w:tabs>
          <w:tab w:val="left" w:pos="0"/>
        </w:tabs>
        <w:spacing w:before="156" w:after="156"/>
        <w:ind w:left="0" w:firstLine="0"/>
        <w:rPr>
          <w:rFonts w:ascii="宋体" w:hAnsi="宋体" w:eastAsia="宋体" w:cs="宋体"/>
          <w:lang w:val="zh-TW"/>
        </w:rPr>
      </w:pPr>
      <w:r>
        <w:rPr>
          <w:rFonts w:hint="eastAsia" w:ascii="宋体" w:hAnsi="宋体" w:eastAsia="宋体" w:cs="宋体"/>
          <w:lang w:val="zh-TW" w:eastAsia="zh-TW"/>
        </w:rPr>
        <w:t>晶间腐蚀性能不合格，如确定不是由于制样或试验误差造成的，则不允许进行复试和重新热处理。</w:t>
      </w:r>
    </w:p>
    <w:p>
      <w:pPr>
        <w:pStyle w:val="22"/>
        <w:numPr>
          <w:ilvl w:val="1"/>
          <w:numId w:val="3"/>
        </w:numPr>
        <w:spacing w:before="156" w:after="156"/>
        <w:ind w:left="0" w:firstLine="0"/>
        <w:rPr>
          <w:rFonts w:ascii="Times New Roman"/>
        </w:rPr>
      </w:pPr>
      <w:r>
        <w:rPr>
          <w:rFonts w:hint="eastAsia" w:ascii="Times New Roman"/>
        </w:rPr>
        <w:t>重新热处理</w:t>
      </w:r>
    </w:p>
    <w:p>
      <w:pPr>
        <w:pStyle w:val="27"/>
        <w:numPr>
          <w:ilvl w:val="2"/>
          <w:numId w:val="3"/>
        </w:numPr>
        <w:tabs>
          <w:tab w:val="left" w:pos="0"/>
        </w:tabs>
        <w:spacing w:before="156" w:after="156"/>
        <w:ind w:left="0" w:firstLine="0"/>
        <w:rPr>
          <w:rFonts w:ascii="宋体" w:hAnsi="宋体" w:eastAsia="宋体" w:cs="宋体"/>
          <w:lang w:val="zh-TW" w:eastAsia="zh-TW"/>
        </w:rPr>
      </w:pPr>
      <w:r>
        <w:rPr>
          <w:rFonts w:hint="eastAsia" w:ascii="宋体" w:hAnsi="宋体" w:eastAsia="宋体" w:cs="宋体"/>
          <w:lang w:val="zh-TW" w:eastAsia="zh-TW"/>
        </w:rPr>
        <w:t>如果一批</w:t>
      </w:r>
      <w:r>
        <w:rPr>
          <w:rFonts w:hint="eastAsia" w:ascii="宋体" w:hAnsi="宋体" w:eastAsia="宋体" w:cs="宋体"/>
          <w:lang w:val="zh-TW"/>
        </w:rPr>
        <w:t>钢</w:t>
      </w:r>
      <w:r>
        <w:rPr>
          <w:rFonts w:hint="eastAsia" w:ascii="宋体" w:hAnsi="宋体" w:eastAsia="宋体" w:cs="宋体"/>
          <w:lang w:val="zh-TW" w:eastAsia="zh-TW"/>
        </w:rPr>
        <w:t>管由于一项或几项力学性能、工艺性能不合格时，则该批</w:t>
      </w:r>
      <w:r>
        <w:rPr>
          <w:rFonts w:hint="eastAsia" w:ascii="宋体" w:hAnsi="宋体" w:eastAsia="宋体" w:cs="宋体"/>
          <w:lang w:val="zh-TW"/>
        </w:rPr>
        <w:t>钢</w:t>
      </w:r>
      <w:r>
        <w:rPr>
          <w:rFonts w:hint="eastAsia" w:ascii="宋体" w:hAnsi="宋体" w:eastAsia="宋体" w:cs="宋体"/>
          <w:lang w:val="zh-TW" w:eastAsia="zh-TW"/>
        </w:rPr>
        <w:t>管可进行重新热处理。</w:t>
      </w:r>
    </w:p>
    <w:p>
      <w:pPr>
        <w:pStyle w:val="27"/>
        <w:numPr>
          <w:ilvl w:val="2"/>
          <w:numId w:val="3"/>
        </w:numPr>
        <w:tabs>
          <w:tab w:val="left" w:pos="0"/>
        </w:tabs>
        <w:spacing w:before="156" w:after="156"/>
        <w:ind w:left="0" w:firstLine="0"/>
        <w:rPr>
          <w:rFonts w:ascii="宋体" w:hAnsi="宋体"/>
          <w:kern w:val="0"/>
        </w:rPr>
      </w:pPr>
      <w:r>
        <w:rPr>
          <w:rFonts w:hint="eastAsia" w:ascii="宋体" w:hAnsi="宋体" w:eastAsia="宋体" w:cs="宋体"/>
          <w:lang w:val="zh-TW" w:eastAsia="zh-TW"/>
        </w:rPr>
        <w:t>重新热处理后应重新进行除化学成分和非金属夹杂物检验外的所有检验和试验。</w:t>
      </w:r>
    </w:p>
    <w:p>
      <w:pPr>
        <w:pStyle w:val="27"/>
        <w:numPr>
          <w:ilvl w:val="2"/>
          <w:numId w:val="3"/>
        </w:numPr>
        <w:tabs>
          <w:tab w:val="left" w:pos="0"/>
        </w:tabs>
        <w:spacing w:before="156" w:after="156"/>
        <w:ind w:left="0" w:firstLine="0"/>
        <w:rPr>
          <w:rFonts w:ascii="宋体" w:hAnsi="宋体" w:eastAsia="宋体" w:cs="宋体"/>
          <w:lang w:val="zh-TW" w:eastAsia="zh-TW"/>
        </w:rPr>
      </w:pPr>
      <w:r>
        <w:rPr>
          <w:rFonts w:ascii="宋体" w:hAnsi="宋体" w:eastAsia="宋体" w:cs="宋体"/>
          <w:lang w:val="zh-TW" w:eastAsia="zh-TW"/>
        </w:rPr>
        <w:t>重新热处理应在质量证明</w:t>
      </w:r>
      <w:r>
        <w:rPr>
          <w:rFonts w:hint="eastAsia" w:ascii="宋体" w:hAnsi="宋体" w:eastAsia="宋体" w:cs="宋体"/>
          <w:lang w:val="zh-TW" w:eastAsia="zh-TW"/>
        </w:rPr>
        <w:t>文件</w:t>
      </w:r>
      <w:r>
        <w:rPr>
          <w:rFonts w:ascii="宋体" w:hAnsi="宋体" w:eastAsia="宋体" w:cs="宋体"/>
          <w:lang w:val="zh-TW" w:eastAsia="zh-TW"/>
        </w:rPr>
        <w:t>中注明。</w:t>
      </w:r>
    </w:p>
    <w:p>
      <w:pPr>
        <w:pStyle w:val="27"/>
        <w:numPr>
          <w:ilvl w:val="2"/>
          <w:numId w:val="3"/>
        </w:numPr>
        <w:tabs>
          <w:tab w:val="left" w:pos="0"/>
        </w:tabs>
        <w:spacing w:before="156" w:after="156"/>
        <w:ind w:left="0" w:firstLine="0"/>
        <w:rPr>
          <w:rFonts w:ascii="宋体" w:hAnsi="宋体" w:eastAsia="宋体" w:cs="宋体"/>
          <w:lang w:val="zh-TW" w:eastAsia="zh-TW"/>
        </w:rPr>
      </w:pPr>
      <w:r>
        <w:rPr>
          <w:rFonts w:hint="eastAsia" w:ascii="宋体" w:hAnsi="宋体" w:eastAsia="宋体" w:cs="宋体"/>
          <w:lang w:val="zh-TW" w:eastAsia="zh-TW"/>
        </w:rPr>
        <w:t>重新热处理只允许进行一次。</w:t>
      </w:r>
    </w:p>
    <w:p>
      <w:pPr>
        <w:pStyle w:val="22"/>
        <w:numPr>
          <w:ilvl w:val="1"/>
          <w:numId w:val="3"/>
        </w:numPr>
        <w:spacing w:before="156" w:after="156"/>
        <w:ind w:left="0" w:firstLine="0"/>
        <w:rPr>
          <w:rFonts w:ascii="Times New Roman"/>
        </w:rPr>
      </w:pPr>
      <w:r>
        <w:rPr>
          <w:rFonts w:hint="eastAsia" w:ascii="Times New Roman"/>
        </w:rPr>
        <w:t>数值修约</w:t>
      </w:r>
    </w:p>
    <w:p>
      <w:pPr>
        <w:pStyle w:val="27"/>
        <w:tabs>
          <w:tab w:val="left" w:pos="0"/>
        </w:tabs>
        <w:spacing w:before="156" w:after="156"/>
        <w:ind w:left="0" w:firstLine="420" w:firstLineChars="200"/>
        <w:rPr>
          <w:rFonts w:ascii="宋体" w:hAnsi="宋体" w:eastAsia="宋体" w:cs="宋体"/>
          <w:lang w:val="zh-TW" w:eastAsia="zh-TW"/>
        </w:rPr>
      </w:pPr>
      <w:r>
        <w:rPr>
          <w:rFonts w:hint="eastAsia" w:ascii="宋体" w:hAnsi="宋体" w:eastAsia="宋体" w:cs="宋体"/>
          <w:lang w:val="zh-TW" w:eastAsia="zh-TW"/>
        </w:rPr>
        <w:t>数值判定采用修约值比较法，数值修约按</w:t>
      </w:r>
      <w:r>
        <w:rPr>
          <w:rFonts w:ascii="宋体" w:hAnsi="宋体" w:eastAsia="宋体" w:cs="宋体"/>
          <w:lang w:val="zh-TW" w:eastAsia="zh-TW"/>
        </w:rPr>
        <w:t>GB/T 8170</w:t>
      </w:r>
      <w:r>
        <w:rPr>
          <w:rFonts w:hint="eastAsia" w:ascii="宋体" w:hAnsi="宋体" w:eastAsia="宋体" w:cs="宋体"/>
          <w:lang w:val="zh-TW" w:eastAsia="zh-TW"/>
        </w:rPr>
        <w:t>规定执行。</w:t>
      </w:r>
    </w:p>
    <w:p>
      <w:pPr>
        <w:pStyle w:val="19"/>
        <w:numPr>
          <w:ilvl w:val="0"/>
          <w:numId w:val="3"/>
        </w:numPr>
        <w:spacing w:before="312" w:after="312"/>
        <w:ind w:left="0" w:firstLine="0"/>
        <w:rPr>
          <w:rFonts w:ascii="Times New Roman"/>
          <w:szCs w:val="21"/>
        </w:rPr>
      </w:pPr>
      <w:r>
        <w:rPr>
          <w:rFonts w:hint="eastAsia" w:ascii="Times New Roman"/>
          <w:szCs w:val="21"/>
        </w:rPr>
        <w:t>包装、标志和质量证明书</w:t>
      </w:r>
    </w:p>
    <w:p>
      <w:pPr>
        <w:pStyle w:val="22"/>
        <w:tabs>
          <w:tab w:val="left" w:pos="2554"/>
        </w:tabs>
        <w:spacing w:before="156" w:after="156"/>
        <w:ind w:left="0" w:firstLine="420" w:firstLineChars="200"/>
        <w:rPr>
          <w:rFonts w:asciiTheme="minorEastAsia" w:hAnsiTheme="minorEastAsia" w:eastAsiaTheme="minorEastAsia"/>
        </w:rPr>
      </w:pPr>
      <w:r>
        <w:rPr>
          <w:rFonts w:hint="eastAsia" w:asciiTheme="minorEastAsia" w:hAnsiTheme="minorEastAsia" w:eastAsiaTheme="minorEastAsia"/>
        </w:rPr>
        <w:t>钢管的包装、标志和质量证明书应符合</w:t>
      </w:r>
      <w:r>
        <w:rPr>
          <w:rFonts w:asciiTheme="minorEastAsia" w:hAnsiTheme="minorEastAsia" w:eastAsiaTheme="minorEastAsia"/>
        </w:rPr>
        <w:t>GB/T 210</w:t>
      </w:r>
      <w:r>
        <w:rPr>
          <w:rFonts w:hint="eastAsia" w:asciiTheme="minorEastAsia" w:hAnsiTheme="minorEastAsia" w:eastAsiaTheme="minorEastAsia"/>
        </w:rPr>
        <w:t>2的规定。</w:t>
      </w:r>
    </w:p>
    <w:p>
      <w:pPr>
        <w:spacing w:line="360" w:lineRule="exact"/>
        <w:ind w:firstLine="420" w:firstLineChars="200"/>
      </w:pPr>
    </w:p>
    <w:p>
      <w:pPr>
        <w:spacing w:line="360" w:lineRule="exact"/>
        <w:ind w:firstLine="420" w:firstLineChars="200"/>
        <w:sectPr>
          <w:headerReference r:id="rId6" w:type="default"/>
          <w:footerReference r:id="rId7" w:type="default"/>
          <w:pgSz w:w="11906" w:h="16838"/>
          <w:pgMar w:top="567" w:right="1134" w:bottom="1134" w:left="1418" w:header="1418" w:footer="1134" w:gutter="0"/>
          <w:pgNumType w:start="1"/>
          <w:cols w:space="720" w:num="1"/>
          <w:formProt w:val="0"/>
          <w:docGrid w:type="lines" w:linePitch="312" w:charSpace="0"/>
        </w:sectPr>
      </w:pPr>
    </w:p>
    <w:p>
      <w:pPr>
        <w:pStyle w:val="20"/>
        <w:ind w:firstLine="0" w:firstLineChars="0"/>
        <w:jc w:val="center"/>
        <w:rPr>
          <w:b/>
          <w:bCs/>
        </w:rPr>
      </w:pPr>
      <w:r>
        <w:rPr>
          <w:rFonts w:hint="eastAsia"/>
          <w:b/>
          <w:bCs/>
        </w:rPr>
        <w:t>附  录 A</w:t>
      </w:r>
    </w:p>
    <w:p>
      <w:pPr>
        <w:pStyle w:val="20"/>
        <w:tabs>
          <w:tab w:val="center" w:pos="4738"/>
          <w:tab w:val="left" w:pos="8168"/>
        </w:tabs>
        <w:ind w:firstLine="0" w:firstLineChars="0"/>
        <w:jc w:val="left"/>
        <w:rPr>
          <w:b/>
          <w:bCs/>
        </w:rPr>
      </w:pPr>
      <w:r>
        <w:rPr>
          <w:rFonts w:hint="eastAsia"/>
          <w:b/>
          <w:bCs/>
        </w:rPr>
        <w:tab/>
      </w:r>
      <w:r>
        <w:rPr>
          <w:rFonts w:hint="eastAsia"/>
          <w:b/>
          <w:bCs/>
        </w:rPr>
        <w:tab/>
      </w:r>
      <w:r>
        <w:rPr>
          <w:rFonts w:hint="eastAsia"/>
          <w:b/>
          <w:bCs/>
        </w:rPr>
        <w:t>(资料性)</w:t>
      </w:r>
      <w:r>
        <w:rPr>
          <w:rFonts w:hint="eastAsia"/>
          <w:b/>
          <w:bCs/>
        </w:rPr>
        <w:tab/>
      </w:r>
    </w:p>
    <w:p>
      <w:pPr>
        <w:jc w:val="center"/>
        <w:rPr>
          <w:b/>
        </w:rPr>
      </w:pPr>
      <w:r>
        <w:rPr>
          <w:rFonts w:hint="eastAsia"/>
          <w:b/>
        </w:rPr>
        <w:t>本文件牌号与其它文件牌号对照</w:t>
      </w:r>
    </w:p>
    <w:p>
      <w:pPr>
        <w:widowControl/>
        <w:spacing w:before="156" w:beforeLines="50" w:after="156" w:afterLines="50"/>
        <w:rPr>
          <w:rFonts w:eastAsia="黑体"/>
          <w:kern w:val="0"/>
          <w:szCs w:val="20"/>
        </w:rPr>
      </w:pPr>
    </w:p>
    <w:p>
      <w:pPr>
        <w:jc w:val="center"/>
        <w:rPr>
          <w:b/>
        </w:rPr>
      </w:pPr>
      <w:r>
        <w:rPr>
          <w:rFonts w:hint="eastAsia"/>
          <w:b/>
          <w:bCs/>
        </w:rPr>
        <w:t xml:space="preserve">表A.1  </w:t>
      </w:r>
      <w:r>
        <w:rPr>
          <w:rFonts w:hint="eastAsia"/>
          <w:b/>
        </w:rPr>
        <w:t>本文件牌号与其它文件牌号对照</w:t>
      </w:r>
    </w:p>
    <w:tbl>
      <w:tblPr>
        <w:tblStyle w:val="8"/>
        <w:tblW w:w="10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10"/>
        <w:gridCol w:w="1842"/>
        <w:gridCol w:w="1849"/>
        <w:gridCol w:w="2262"/>
        <w:gridCol w:w="114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0" w:type="dxa"/>
            <w:vAlign w:val="center"/>
          </w:tcPr>
          <w:p>
            <w:pPr>
              <w:spacing w:line="260" w:lineRule="exact"/>
              <w:jc w:val="center"/>
              <w:rPr>
                <w:b/>
                <w:bCs/>
                <w:sz w:val="18"/>
                <w:szCs w:val="18"/>
                <w:lang w:val="zh-TW"/>
              </w:rPr>
            </w:pPr>
            <w:r>
              <w:rPr>
                <w:rFonts w:hint="eastAsia"/>
                <w:b/>
                <w:bCs/>
                <w:sz w:val="18"/>
                <w:szCs w:val="18"/>
                <w:lang w:val="zh-TW"/>
              </w:rPr>
              <w:t>序号</w:t>
            </w:r>
          </w:p>
        </w:tc>
        <w:tc>
          <w:tcPr>
            <w:tcW w:w="1310" w:type="dxa"/>
            <w:vAlign w:val="center"/>
          </w:tcPr>
          <w:p>
            <w:pPr>
              <w:spacing w:line="260" w:lineRule="exact"/>
              <w:jc w:val="center"/>
              <w:rPr>
                <w:b/>
                <w:bCs/>
                <w:sz w:val="18"/>
                <w:szCs w:val="18"/>
                <w:lang w:val="zh-TW"/>
              </w:rPr>
            </w:pPr>
            <w:r>
              <w:rPr>
                <w:rFonts w:hint="eastAsia"/>
                <w:b/>
                <w:bCs/>
                <w:sz w:val="18"/>
                <w:szCs w:val="18"/>
                <w:lang w:val="zh-TW"/>
              </w:rPr>
              <w:t>统一数字代号</w:t>
            </w:r>
          </w:p>
        </w:tc>
        <w:tc>
          <w:tcPr>
            <w:tcW w:w="1842" w:type="dxa"/>
            <w:vAlign w:val="center"/>
          </w:tcPr>
          <w:p>
            <w:pPr>
              <w:spacing w:line="260" w:lineRule="exact"/>
              <w:jc w:val="center"/>
              <w:rPr>
                <w:b/>
                <w:bCs/>
                <w:sz w:val="18"/>
                <w:szCs w:val="18"/>
                <w:lang w:val="zh-TW"/>
              </w:rPr>
            </w:pPr>
            <w:r>
              <w:rPr>
                <w:rFonts w:hint="eastAsia"/>
                <w:b/>
                <w:bCs/>
                <w:sz w:val="18"/>
                <w:szCs w:val="18"/>
                <w:lang w:val="zh-TW"/>
              </w:rPr>
              <w:t>牌号</w:t>
            </w:r>
          </w:p>
        </w:tc>
        <w:tc>
          <w:tcPr>
            <w:tcW w:w="1849" w:type="dxa"/>
            <w:vAlign w:val="center"/>
          </w:tcPr>
          <w:p>
            <w:pPr>
              <w:spacing w:line="260" w:lineRule="exact"/>
              <w:jc w:val="center"/>
              <w:rPr>
                <w:b/>
                <w:bCs/>
                <w:sz w:val="18"/>
                <w:szCs w:val="18"/>
                <w:lang w:val="zh-TW"/>
              </w:rPr>
            </w:pPr>
            <w:r>
              <w:rPr>
                <w:rFonts w:hint="eastAsia"/>
                <w:b/>
                <w:bCs/>
                <w:sz w:val="18"/>
                <w:szCs w:val="18"/>
                <w:lang w:val="zh-TW"/>
              </w:rPr>
              <w:t>美国</w:t>
            </w:r>
          </w:p>
        </w:tc>
        <w:tc>
          <w:tcPr>
            <w:tcW w:w="2262" w:type="dxa"/>
            <w:vAlign w:val="center"/>
          </w:tcPr>
          <w:p>
            <w:pPr>
              <w:spacing w:line="260" w:lineRule="exact"/>
              <w:jc w:val="center"/>
              <w:rPr>
                <w:b/>
                <w:bCs/>
                <w:sz w:val="18"/>
                <w:szCs w:val="18"/>
                <w:lang w:val="zh-TW"/>
              </w:rPr>
            </w:pPr>
            <w:r>
              <w:rPr>
                <w:rFonts w:hint="eastAsia"/>
                <w:b/>
                <w:bCs/>
                <w:sz w:val="18"/>
                <w:szCs w:val="18"/>
                <w:lang w:val="zh-TW"/>
              </w:rPr>
              <w:t>欧洲</w:t>
            </w:r>
          </w:p>
        </w:tc>
        <w:tc>
          <w:tcPr>
            <w:tcW w:w="1146" w:type="dxa"/>
            <w:vAlign w:val="center"/>
          </w:tcPr>
          <w:p>
            <w:pPr>
              <w:spacing w:line="260" w:lineRule="exact"/>
              <w:jc w:val="center"/>
              <w:rPr>
                <w:b/>
                <w:bCs/>
                <w:sz w:val="18"/>
                <w:szCs w:val="18"/>
                <w:lang w:val="zh-TW"/>
              </w:rPr>
            </w:pPr>
            <w:r>
              <w:rPr>
                <w:rFonts w:hint="eastAsia"/>
                <w:b/>
                <w:bCs/>
                <w:sz w:val="18"/>
                <w:szCs w:val="18"/>
                <w:lang w:val="zh-TW"/>
              </w:rPr>
              <w:t>日本</w:t>
            </w:r>
          </w:p>
        </w:tc>
        <w:tc>
          <w:tcPr>
            <w:tcW w:w="1146" w:type="dxa"/>
            <w:vAlign w:val="center"/>
          </w:tcPr>
          <w:p>
            <w:pPr>
              <w:spacing w:line="260" w:lineRule="exact"/>
              <w:jc w:val="center"/>
              <w:rPr>
                <w:b/>
                <w:bCs/>
                <w:sz w:val="18"/>
                <w:szCs w:val="18"/>
                <w:lang w:val="zh-TW"/>
              </w:rPr>
            </w:pPr>
            <w:r>
              <w:rPr>
                <w:rFonts w:hint="eastAsia"/>
                <w:b/>
                <w:bCs/>
                <w:sz w:val="18"/>
                <w:szCs w:val="18"/>
                <w:lang w:val="zh-TW"/>
              </w:rPr>
              <w:t>法国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0" w:type="dxa"/>
            <w:vAlign w:val="center"/>
          </w:tcPr>
          <w:p>
            <w:pPr>
              <w:spacing w:line="260" w:lineRule="exact"/>
              <w:jc w:val="center"/>
              <w:rPr>
                <w:sz w:val="18"/>
                <w:szCs w:val="18"/>
              </w:rPr>
            </w:pPr>
            <w:r>
              <w:rPr>
                <w:rFonts w:hint="eastAsia" w:asciiTheme="minorEastAsia" w:hAnsiTheme="minorEastAsia" w:eastAsiaTheme="minorEastAsia" w:cstheme="minorEastAsia"/>
                <w:sz w:val="16"/>
                <w:szCs w:val="16"/>
                <w:lang w:val="zh-TW"/>
              </w:rPr>
              <w:t>1</w:t>
            </w:r>
          </w:p>
        </w:tc>
        <w:tc>
          <w:tcPr>
            <w:tcW w:w="1310" w:type="dxa"/>
            <w:vAlign w:val="center"/>
          </w:tcPr>
          <w:p>
            <w:pPr>
              <w:spacing w:line="260" w:lineRule="exact"/>
              <w:jc w:val="center"/>
              <w:rPr>
                <w:sz w:val="18"/>
                <w:szCs w:val="18"/>
                <w:lang w:val="zh-TW"/>
              </w:rPr>
            </w:pPr>
            <w:r>
              <w:rPr>
                <w:rFonts w:hint="eastAsia" w:asciiTheme="minorEastAsia" w:hAnsiTheme="minorEastAsia" w:eastAsiaTheme="minorEastAsia" w:cstheme="minorEastAsia"/>
                <w:sz w:val="16"/>
                <w:szCs w:val="16"/>
                <w:lang w:val="zh-TW"/>
              </w:rPr>
              <w:t>S30408</w:t>
            </w:r>
          </w:p>
        </w:tc>
        <w:tc>
          <w:tcPr>
            <w:tcW w:w="1842" w:type="dxa"/>
            <w:vAlign w:val="center"/>
          </w:tcPr>
          <w:p>
            <w:pPr>
              <w:spacing w:line="260" w:lineRule="exact"/>
              <w:jc w:val="center"/>
              <w:rPr>
                <w:sz w:val="18"/>
                <w:szCs w:val="18"/>
                <w:lang w:val="zh-TW"/>
              </w:rPr>
            </w:pPr>
            <w:r>
              <w:rPr>
                <w:rFonts w:hint="eastAsia" w:asciiTheme="minorEastAsia" w:hAnsiTheme="minorEastAsia" w:eastAsiaTheme="minorEastAsia" w:cstheme="minorEastAsia"/>
                <w:sz w:val="16"/>
                <w:szCs w:val="16"/>
                <w:lang w:val="zh-TW"/>
              </w:rPr>
              <w:t>06Cr19Ni10</w:t>
            </w:r>
          </w:p>
        </w:tc>
        <w:tc>
          <w:tcPr>
            <w:tcW w:w="1849"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TP</w:t>
            </w:r>
            <w:r>
              <w:rPr>
                <w:rFonts w:asciiTheme="minorEastAsia" w:hAnsiTheme="minorEastAsia" w:eastAsiaTheme="minorEastAsia" w:cstheme="minorEastAsia"/>
                <w:sz w:val="16"/>
                <w:szCs w:val="16"/>
                <w:lang w:val="zh-TW"/>
              </w:rPr>
              <w:t>304</w:t>
            </w:r>
            <w:r>
              <w:rPr>
                <w:rFonts w:hint="eastAsia" w:asciiTheme="minorEastAsia" w:hAnsiTheme="minorEastAsia" w:eastAsiaTheme="minorEastAsia" w:cstheme="minorEastAsia"/>
                <w:sz w:val="16"/>
                <w:szCs w:val="16"/>
                <w:lang w:val="zh-TW"/>
              </w:rPr>
              <w:t>(</w:t>
            </w:r>
            <w:r>
              <w:rPr>
                <w:rFonts w:asciiTheme="minorEastAsia" w:hAnsiTheme="minorEastAsia" w:eastAsiaTheme="minorEastAsia" w:cstheme="minorEastAsia"/>
                <w:sz w:val="16"/>
                <w:szCs w:val="16"/>
                <w:lang w:val="zh-TW"/>
              </w:rPr>
              <w:t>S30400</w:t>
            </w:r>
            <w:r>
              <w:rPr>
                <w:rFonts w:hint="eastAsia" w:asciiTheme="minorEastAsia" w:hAnsiTheme="minorEastAsia" w:eastAsiaTheme="minorEastAsia" w:cstheme="minorEastAsia"/>
                <w:sz w:val="16"/>
                <w:szCs w:val="16"/>
                <w:lang w:val="zh-TW"/>
              </w:rPr>
              <w:t>)</w:t>
            </w:r>
          </w:p>
        </w:tc>
        <w:tc>
          <w:tcPr>
            <w:tcW w:w="2262" w:type="dxa"/>
            <w:vAlign w:val="center"/>
          </w:tcPr>
          <w:p>
            <w:pPr>
              <w:spacing w:line="260" w:lineRule="exact"/>
              <w:jc w:val="center"/>
              <w:rPr>
                <w:rFonts w:asciiTheme="minorEastAsia" w:hAnsiTheme="minorEastAsia" w:eastAsiaTheme="minorEastAsia" w:cstheme="minorEastAsia"/>
                <w:sz w:val="16"/>
                <w:szCs w:val="16"/>
                <w:lang w:val="zh-TW"/>
              </w:rPr>
            </w:pPr>
            <w:r>
              <w:rPr>
                <w:rFonts w:asciiTheme="minorEastAsia" w:hAnsiTheme="minorEastAsia" w:eastAsiaTheme="minorEastAsia" w:cstheme="minorEastAsia"/>
                <w:sz w:val="16"/>
                <w:szCs w:val="16"/>
                <w:lang w:val="zh-TW"/>
              </w:rPr>
              <w:t>X5CrNi18-10</w:t>
            </w:r>
            <w:r>
              <w:rPr>
                <w:rFonts w:hint="eastAsia" w:asciiTheme="minorEastAsia" w:hAnsiTheme="minorEastAsia" w:eastAsiaTheme="minorEastAsia" w:cstheme="minorEastAsia"/>
                <w:sz w:val="16"/>
                <w:szCs w:val="16"/>
                <w:lang w:val="zh-TW"/>
              </w:rPr>
              <w:t>(</w:t>
            </w:r>
            <w:r>
              <w:rPr>
                <w:rFonts w:asciiTheme="minorEastAsia" w:hAnsiTheme="minorEastAsia" w:eastAsiaTheme="minorEastAsia" w:cstheme="minorEastAsia"/>
                <w:sz w:val="16"/>
                <w:szCs w:val="16"/>
                <w:lang w:val="zh-TW"/>
              </w:rPr>
              <w:t>1.4301</w:t>
            </w:r>
            <w:r>
              <w:rPr>
                <w:rFonts w:hint="eastAsia" w:asciiTheme="minorEastAsia" w:hAnsiTheme="minorEastAsia" w:eastAsiaTheme="minorEastAsia" w:cstheme="minorEastAsia"/>
                <w:sz w:val="16"/>
                <w:szCs w:val="16"/>
                <w:lang w:val="zh-TW"/>
              </w:rPr>
              <w:t>)</w:t>
            </w:r>
          </w:p>
        </w:tc>
        <w:tc>
          <w:tcPr>
            <w:tcW w:w="1146"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SUS304</w:t>
            </w:r>
          </w:p>
        </w:tc>
        <w:tc>
          <w:tcPr>
            <w:tcW w:w="1146"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Z5CN18-10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0" w:type="dxa"/>
            <w:vAlign w:val="center"/>
          </w:tcPr>
          <w:p>
            <w:pPr>
              <w:spacing w:line="260" w:lineRule="exact"/>
              <w:jc w:val="center"/>
              <w:rPr>
                <w:sz w:val="18"/>
                <w:szCs w:val="18"/>
              </w:rPr>
            </w:pPr>
            <w:r>
              <w:rPr>
                <w:rFonts w:hint="eastAsia" w:asciiTheme="minorEastAsia" w:hAnsiTheme="minorEastAsia" w:eastAsiaTheme="minorEastAsia" w:cstheme="minorEastAsia"/>
                <w:sz w:val="16"/>
                <w:szCs w:val="16"/>
                <w:lang w:val="zh-TW"/>
              </w:rPr>
              <w:t>2</w:t>
            </w:r>
          </w:p>
        </w:tc>
        <w:tc>
          <w:tcPr>
            <w:tcW w:w="1310" w:type="dxa"/>
            <w:vAlign w:val="center"/>
          </w:tcPr>
          <w:p>
            <w:pPr>
              <w:spacing w:line="260" w:lineRule="exact"/>
              <w:jc w:val="center"/>
              <w:rPr>
                <w:sz w:val="18"/>
                <w:szCs w:val="18"/>
                <w:lang w:val="zh-TW"/>
              </w:rPr>
            </w:pPr>
            <w:r>
              <w:rPr>
                <w:rFonts w:hint="eastAsia" w:asciiTheme="minorEastAsia" w:hAnsiTheme="minorEastAsia" w:eastAsiaTheme="minorEastAsia" w:cstheme="minorEastAsia"/>
                <w:sz w:val="16"/>
                <w:szCs w:val="16"/>
                <w:lang w:val="zh-TW"/>
              </w:rPr>
              <w:t>S30403</w:t>
            </w:r>
          </w:p>
        </w:tc>
        <w:tc>
          <w:tcPr>
            <w:tcW w:w="1842" w:type="dxa"/>
            <w:vAlign w:val="center"/>
          </w:tcPr>
          <w:p>
            <w:pPr>
              <w:spacing w:line="260" w:lineRule="exact"/>
              <w:jc w:val="center"/>
              <w:rPr>
                <w:sz w:val="18"/>
                <w:szCs w:val="18"/>
                <w:lang w:val="zh-TW"/>
              </w:rPr>
            </w:pPr>
            <w:r>
              <w:rPr>
                <w:rFonts w:hint="eastAsia" w:asciiTheme="minorEastAsia" w:hAnsiTheme="minorEastAsia" w:eastAsiaTheme="minorEastAsia" w:cstheme="minorEastAsia"/>
                <w:sz w:val="16"/>
                <w:szCs w:val="16"/>
                <w:lang w:val="zh-TW"/>
              </w:rPr>
              <w:t>022Cr19Ni10</w:t>
            </w:r>
          </w:p>
        </w:tc>
        <w:tc>
          <w:tcPr>
            <w:tcW w:w="1849"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TP</w:t>
            </w:r>
            <w:r>
              <w:rPr>
                <w:rFonts w:asciiTheme="minorEastAsia" w:hAnsiTheme="minorEastAsia" w:eastAsiaTheme="minorEastAsia" w:cstheme="minorEastAsia"/>
                <w:sz w:val="16"/>
                <w:szCs w:val="16"/>
                <w:lang w:val="zh-TW"/>
              </w:rPr>
              <w:t>304L</w:t>
            </w:r>
            <w:r>
              <w:rPr>
                <w:rFonts w:hint="eastAsia" w:asciiTheme="minorEastAsia" w:hAnsiTheme="minorEastAsia" w:eastAsiaTheme="minorEastAsia" w:cstheme="minorEastAsia"/>
                <w:sz w:val="16"/>
                <w:szCs w:val="16"/>
                <w:lang w:val="zh-TW"/>
              </w:rPr>
              <w:t>(</w:t>
            </w:r>
            <w:r>
              <w:rPr>
                <w:rFonts w:asciiTheme="minorEastAsia" w:hAnsiTheme="minorEastAsia" w:eastAsiaTheme="minorEastAsia" w:cstheme="minorEastAsia"/>
                <w:sz w:val="16"/>
                <w:szCs w:val="16"/>
                <w:lang w:val="zh-TW"/>
              </w:rPr>
              <w:t>S30403</w:t>
            </w:r>
            <w:r>
              <w:rPr>
                <w:rFonts w:hint="eastAsia" w:asciiTheme="minorEastAsia" w:hAnsiTheme="minorEastAsia" w:eastAsiaTheme="minorEastAsia" w:cstheme="minorEastAsia"/>
                <w:sz w:val="16"/>
                <w:szCs w:val="16"/>
                <w:lang w:val="zh-TW"/>
              </w:rPr>
              <w:t>)</w:t>
            </w:r>
          </w:p>
        </w:tc>
        <w:tc>
          <w:tcPr>
            <w:tcW w:w="2262" w:type="dxa"/>
            <w:vAlign w:val="center"/>
          </w:tcPr>
          <w:p>
            <w:pPr>
              <w:spacing w:line="260" w:lineRule="exact"/>
              <w:jc w:val="center"/>
              <w:rPr>
                <w:rFonts w:asciiTheme="minorEastAsia" w:hAnsiTheme="minorEastAsia" w:eastAsiaTheme="minorEastAsia" w:cstheme="minorEastAsia"/>
                <w:sz w:val="16"/>
                <w:szCs w:val="16"/>
                <w:lang w:val="zh-TW"/>
              </w:rPr>
            </w:pPr>
            <w:r>
              <w:rPr>
                <w:rFonts w:asciiTheme="minorEastAsia" w:hAnsiTheme="minorEastAsia" w:eastAsiaTheme="minorEastAsia" w:cstheme="minorEastAsia"/>
                <w:sz w:val="16"/>
                <w:szCs w:val="16"/>
                <w:lang w:val="zh-TW"/>
              </w:rPr>
              <w:t>X2CrNi19-11</w:t>
            </w:r>
            <w:r>
              <w:rPr>
                <w:rFonts w:hint="eastAsia" w:asciiTheme="minorEastAsia" w:hAnsiTheme="minorEastAsia" w:eastAsiaTheme="minorEastAsia" w:cstheme="minorEastAsia"/>
                <w:sz w:val="16"/>
                <w:szCs w:val="16"/>
                <w:lang w:val="zh-TW"/>
              </w:rPr>
              <w:t>(</w:t>
            </w:r>
            <w:r>
              <w:rPr>
                <w:rFonts w:asciiTheme="minorEastAsia" w:hAnsiTheme="minorEastAsia" w:eastAsiaTheme="minorEastAsia" w:cstheme="minorEastAsia"/>
                <w:sz w:val="16"/>
                <w:szCs w:val="16"/>
                <w:lang w:val="zh-TW"/>
              </w:rPr>
              <w:t>1.4306</w:t>
            </w:r>
            <w:r>
              <w:rPr>
                <w:rFonts w:hint="eastAsia" w:asciiTheme="minorEastAsia" w:hAnsiTheme="minorEastAsia" w:eastAsiaTheme="minorEastAsia" w:cstheme="minorEastAsia"/>
                <w:sz w:val="16"/>
                <w:szCs w:val="16"/>
                <w:lang w:val="zh-TW"/>
              </w:rPr>
              <w:t>)</w:t>
            </w:r>
          </w:p>
          <w:p>
            <w:pPr>
              <w:spacing w:line="260" w:lineRule="exact"/>
              <w:jc w:val="center"/>
              <w:rPr>
                <w:rFonts w:asciiTheme="minorEastAsia" w:hAnsiTheme="minorEastAsia" w:eastAsiaTheme="minorEastAsia" w:cstheme="minorEastAsia"/>
                <w:sz w:val="16"/>
                <w:szCs w:val="16"/>
                <w:lang w:val="zh-TW"/>
              </w:rPr>
            </w:pPr>
            <w:r>
              <w:rPr>
                <w:rFonts w:asciiTheme="minorEastAsia" w:hAnsiTheme="minorEastAsia" w:eastAsiaTheme="minorEastAsia" w:cstheme="minorEastAsia"/>
                <w:sz w:val="16"/>
                <w:szCs w:val="16"/>
                <w:lang w:val="zh-TW"/>
              </w:rPr>
              <w:t>X2CrNi18-9</w:t>
            </w:r>
            <w:r>
              <w:rPr>
                <w:rFonts w:hint="eastAsia" w:asciiTheme="minorEastAsia" w:hAnsiTheme="minorEastAsia" w:eastAsiaTheme="minorEastAsia" w:cstheme="minorEastAsia"/>
                <w:sz w:val="16"/>
                <w:szCs w:val="16"/>
                <w:lang w:val="zh-TW"/>
              </w:rPr>
              <w:t>(</w:t>
            </w:r>
            <w:r>
              <w:rPr>
                <w:rFonts w:asciiTheme="minorEastAsia" w:hAnsiTheme="minorEastAsia" w:eastAsiaTheme="minorEastAsia" w:cstheme="minorEastAsia"/>
                <w:sz w:val="16"/>
                <w:szCs w:val="16"/>
                <w:lang w:val="zh-TW"/>
              </w:rPr>
              <w:t>1.4307</w:t>
            </w:r>
            <w:r>
              <w:rPr>
                <w:rFonts w:hint="eastAsia" w:asciiTheme="minorEastAsia" w:hAnsiTheme="minorEastAsia" w:eastAsiaTheme="minorEastAsia" w:cstheme="minorEastAsia"/>
                <w:sz w:val="16"/>
                <w:szCs w:val="16"/>
                <w:lang w:val="zh-TW"/>
              </w:rPr>
              <w:t>)</w:t>
            </w:r>
          </w:p>
        </w:tc>
        <w:tc>
          <w:tcPr>
            <w:tcW w:w="1146"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SUS304L</w:t>
            </w:r>
          </w:p>
        </w:tc>
        <w:tc>
          <w:tcPr>
            <w:tcW w:w="1146"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Z2CN18-10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0" w:type="dxa"/>
            <w:vAlign w:val="center"/>
          </w:tcPr>
          <w:p>
            <w:pPr>
              <w:spacing w:line="260" w:lineRule="exact"/>
              <w:jc w:val="center"/>
              <w:rPr>
                <w:sz w:val="18"/>
                <w:szCs w:val="18"/>
              </w:rPr>
            </w:pPr>
            <w:r>
              <w:rPr>
                <w:rFonts w:hint="eastAsia" w:asciiTheme="minorEastAsia" w:hAnsiTheme="minorEastAsia" w:eastAsiaTheme="minorEastAsia" w:cstheme="minorEastAsia"/>
                <w:sz w:val="16"/>
                <w:szCs w:val="16"/>
                <w:lang w:val="zh-TW"/>
              </w:rPr>
              <w:t>3</w:t>
            </w:r>
          </w:p>
        </w:tc>
        <w:tc>
          <w:tcPr>
            <w:tcW w:w="1310" w:type="dxa"/>
            <w:vAlign w:val="center"/>
          </w:tcPr>
          <w:p>
            <w:pPr>
              <w:spacing w:line="260" w:lineRule="exact"/>
              <w:jc w:val="center"/>
              <w:rPr>
                <w:sz w:val="18"/>
                <w:szCs w:val="18"/>
                <w:lang w:val="zh-TW"/>
              </w:rPr>
            </w:pPr>
            <w:r>
              <w:rPr>
                <w:rFonts w:hint="eastAsia" w:asciiTheme="minorEastAsia" w:hAnsiTheme="minorEastAsia" w:eastAsiaTheme="minorEastAsia" w:cstheme="minorEastAsia"/>
                <w:sz w:val="16"/>
                <w:szCs w:val="16"/>
                <w:lang w:val="zh-TW"/>
              </w:rPr>
              <w:t>S30453</w:t>
            </w:r>
          </w:p>
        </w:tc>
        <w:tc>
          <w:tcPr>
            <w:tcW w:w="1842" w:type="dxa"/>
            <w:vAlign w:val="center"/>
          </w:tcPr>
          <w:p>
            <w:pPr>
              <w:spacing w:line="260" w:lineRule="exact"/>
              <w:jc w:val="center"/>
              <w:rPr>
                <w:sz w:val="18"/>
                <w:szCs w:val="18"/>
                <w:lang w:val="zh-TW"/>
              </w:rPr>
            </w:pPr>
            <w:r>
              <w:rPr>
                <w:rFonts w:hint="eastAsia" w:asciiTheme="minorEastAsia" w:hAnsiTheme="minorEastAsia" w:eastAsiaTheme="minorEastAsia" w:cstheme="minorEastAsia"/>
                <w:sz w:val="16"/>
                <w:szCs w:val="16"/>
                <w:lang w:val="zh-TW"/>
              </w:rPr>
              <w:t>022Cr19Ni10N</w:t>
            </w:r>
          </w:p>
        </w:tc>
        <w:tc>
          <w:tcPr>
            <w:tcW w:w="1849" w:type="dxa"/>
            <w:vAlign w:val="center"/>
          </w:tcPr>
          <w:p>
            <w:pPr>
              <w:spacing w:line="260" w:lineRule="exact"/>
              <w:jc w:val="center"/>
              <w:rPr>
                <w:rFonts w:asciiTheme="minorEastAsia" w:hAnsiTheme="minorEastAsia" w:eastAsiaTheme="minorEastAsia" w:cstheme="minorEastAsia"/>
                <w:sz w:val="16"/>
                <w:szCs w:val="16"/>
                <w:lang w:val="zh-TW"/>
              </w:rPr>
            </w:pPr>
            <w:r>
              <w:rPr>
                <w:rFonts w:asciiTheme="minorEastAsia" w:hAnsiTheme="minorEastAsia" w:eastAsiaTheme="minorEastAsia" w:cstheme="minorEastAsia"/>
                <w:sz w:val="16"/>
                <w:szCs w:val="16"/>
                <w:lang w:val="zh-TW"/>
              </w:rPr>
              <w:t>TP304</w:t>
            </w:r>
            <w:r>
              <w:rPr>
                <w:rFonts w:hint="eastAsia" w:asciiTheme="minorEastAsia" w:hAnsiTheme="minorEastAsia" w:eastAsiaTheme="minorEastAsia" w:cstheme="minorEastAsia"/>
                <w:sz w:val="16"/>
                <w:szCs w:val="16"/>
                <w:lang w:val="zh-TW"/>
              </w:rPr>
              <w:t>LN(S30453)</w:t>
            </w:r>
          </w:p>
        </w:tc>
        <w:tc>
          <w:tcPr>
            <w:tcW w:w="2262" w:type="dxa"/>
            <w:vAlign w:val="center"/>
          </w:tcPr>
          <w:p>
            <w:pPr>
              <w:spacing w:line="260" w:lineRule="exact"/>
              <w:jc w:val="center"/>
              <w:rPr>
                <w:rFonts w:asciiTheme="minorEastAsia" w:hAnsiTheme="minorEastAsia" w:eastAsiaTheme="minorEastAsia" w:cstheme="minorEastAsia"/>
                <w:sz w:val="16"/>
                <w:szCs w:val="16"/>
                <w:lang w:val="zh-TW"/>
              </w:rPr>
            </w:pPr>
            <w:r>
              <w:rPr>
                <w:rFonts w:asciiTheme="minorEastAsia" w:hAnsiTheme="minorEastAsia" w:eastAsiaTheme="minorEastAsia" w:cstheme="minorEastAsia"/>
                <w:sz w:val="16"/>
                <w:szCs w:val="16"/>
                <w:lang w:val="zh-TW"/>
              </w:rPr>
              <w:t>X2CrNiN18-10</w:t>
            </w:r>
            <w:r>
              <w:rPr>
                <w:rFonts w:hint="eastAsia" w:asciiTheme="minorEastAsia" w:hAnsiTheme="minorEastAsia" w:eastAsiaTheme="minorEastAsia" w:cstheme="minorEastAsia"/>
                <w:sz w:val="16"/>
                <w:szCs w:val="16"/>
                <w:lang w:val="zh-TW"/>
              </w:rPr>
              <w:t>(</w:t>
            </w:r>
            <w:r>
              <w:rPr>
                <w:rFonts w:asciiTheme="minorEastAsia" w:hAnsiTheme="minorEastAsia" w:eastAsiaTheme="minorEastAsia" w:cstheme="minorEastAsia"/>
                <w:sz w:val="16"/>
                <w:szCs w:val="16"/>
                <w:lang w:val="zh-TW"/>
              </w:rPr>
              <w:t>1.4311</w:t>
            </w:r>
            <w:r>
              <w:rPr>
                <w:rFonts w:hint="eastAsia" w:asciiTheme="minorEastAsia" w:hAnsiTheme="minorEastAsia" w:eastAsiaTheme="minorEastAsia" w:cstheme="minorEastAsia"/>
                <w:sz w:val="16"/>
                <w:szCs w:val="16"/>
                <w:lang w:val="zh-TW"/>
              </w:rPr>
              <w:t>)</w:t>
            </w:r>
          </w:p>
        </w:tc>
        <w:tc>
          <w:tcPr>
            <w:tcW w:w="1146"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SUS304LN</w:t>
            </w:r>
          </w:p>
        </w:tc>
        <w:tc>
          <w:tcPr>
            <w:tcW w:w="1146"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Z2CN19-10（控氮）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0" w:type="dxa"/>
            <w:vAlign w:val="center"/>
          </w:tcPr>
          <w:p>
            <w:pPr>
              <w:spacing w:line="260" w:lineRule="exact"/>
              <w:jc w:val="center"/>
              <w:rPr>
                <w:sz w:val="18"/>
                <w:szCs w:val="18"/>
              </w:rPr>
            </w:pPr>
            <w:r>
              <w:rPr>
                <w:rFonts w:hint="eastAsia" w:asciiTheme="minorEastAsia" w:hAnsiTheme="minorEastAsia" w:eastAsiaTheme="minorEastAsia" w:cstheme="minorEastAsia"/>
                <w:sz w:val="16"/>
                <w:szCs w:val="16"/>
                <w:lang w:val="zh-TW"/>
              </w:rPr>
              <w:t>4</w:t>
            </w:r>
          </w:p>
        </w:tc>
        <w:tc>
          <w:tcPr>
            <w:tcW w:w="1310" w:type="dxa"/>
            <w:vAlign w:val="center"/>
          </w:tcPr>
          <w:p>
            <w:pPr>
              <w:spacing w:line="260" w:lineRule="exact"/>
              <w:jc w:val="center"/>
              <w:rPr>
                <w:sz w:val="18"/>
                <w:szCs w:val="18"/>
                <w:lang w:val="zh-TW"/>
              </w:rPr>
            </w:pPr>
            <w:r>
              <w:rPr>
                <w:rFonts w:hint="eastAsia" w:asciiTheme="minorEastAsia" w:hAnsiTheme="minorEastAsia" w:eastAsiaTheme="minorEastAsia" w:cstheme="minorEastAsia"/>
                <w:sz w:val="16"/>
                <w:szCs w:val="16"/>
                <w:lang w:val="zh-TW"/>
              </w:rPr>
              <w:t>S31608</w:t>
            </w:r>
          </w:p>
        </w:tc>
        <w:tc>
          <w:tcPr>
            <w:tcW w:w="1842" w:type="dxa"/>
            <w:vAlign w:val="center"/>
          </w:tcPr>
          <w:p>
            <w:pPr>
              <w:spacing w:line="260" w:lineRule="exact"/>
              <w:jc w:val="center"/>
              <w:rPr>
                <w:sz w:val="18"/>
                <w:szCs w:val="18"/>
                <w:lang w:val="zh-TW"/>
              </w:rPr>
            </w:pPr>
            <w:r>
              <w:rPr>
                <w:rFonts w:hint="eastAsia" w:asciiTheme="minorEastAsia" w:hAnsiTheme="minorEastAsia" w:eastAsiaTheme="minorEastAsia" w:cstheme="minorEastAsia"/>
                <w:sz w:val="16"/>
                <w:szCs w:val="16"/>
                <w:lang w:val="zh-TW"/>
              </w:rPr>
              <w:t>06Cr17Ni12Mo2</w:t>
            </w:r>
          </w:p>
        </w:tc>
        <w:tc>
          <w:tcPr>
            <w:tcW w:w="1849"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TP316(S31600)</w:t>
            </w:r>
          </w:p>
        </w:tc>
        <w:tc>
          <w:tcPr>
            <w:tcW w:w="2262" w:type="dxa"/>
            <w:vAlign w:val="center"/>
          </w:tcPr>
          <w:p>
            <w:pPr>
              <w:spacing w:line="260" w:lineRule="exact"/>
              <w:jc w:val="center"/>
              <w:rPr>
                <w:rFonts w:asciiTheme="minorEastAsia" w:hAnsiTheme="minorEastAsia" w:eastAsiaTheme="minorEastAsia" w:cstheme="minorEastAsia"/>
                <w:sz w:val="16"/>
                <w:szCs w:val="16"/>
                <w:lang w:val="zh-TW"/>
              </w:rPr>
            </w:pPr>
            <w:r>
              <w:rPr>
                <w:rFonts w:asciiTheme="minorEastAsia" w:hAnsiTheme="minorEastAsia" w:eastAsiaTheme="minorEastAsia" w:cstheme="minorEastAsia"/>
                <w:sz w:val="16"/>
                <w:szCs w:val="16"/>
                <w:lang w:val="zh-TW"/>
              </w:rPr>
              <w:t>X5CrNiMo17-12-2</w:t>
            </w:r>
            <w:r>
              <w:rPr>
                <w:rFonts w:hint="eastAsia" w:asciiTheme="minorEastAsia" w:hAnsiTheme="minorEastAsia" w:eastAsiaTheme="minorEastAsia" w:cstheme="minorEastAsia"/>
                <w:sz w:val="16"/>
                <w:szCs w:val="16"/>
                <w:lang w:val="zh-TW"/>
              </w:rPr>
              <w:t>(</w:t>
            </w:r>
            <w:r>
              <w:rPr>
                <w:rFonts w:asciiTheme="minorEastAsia" w:hAnsiTheme="minorEastAsia" w:eastAsiaTheme="minorEastAsia" w:cstheme="minorEastAsia"/>
                <w:sz w:val="16"/>
                <w:szCs w:val="16"/>
                <w:lang w:val="zh-TW"/>
              </w:rPr>
              <w:t>1.4401</w:t>
            </w:r>
            <w:r>
              <w:rPr>
                <w:rFonts w:hint="eastAsia" w:asciiTheme="minorEastAsia" w:hAnsiTheme="minorEastAsia" w:eastAsiaTheme="minorEastAsia" w:cstheme="minorEastAsia"/>
                <w:sz w:val="16"/>
                <w:szCs w:val="16"/>
                <w:lang w:val="zh-TW"/>
              </w:rPr>
              <w:t>)</w:t>
            </w:r>
          </w:p>
        </w:tc>
        <w:tc>
          <w:tcPr>
            <w:tcW w:w="1146"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SUS316</w:t>
            </w:r>
          </w:p>
        </w:tc>
        <w:tc>
          <w:tcPr>
            <w:tcW w:w="1146"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Z5CND17-12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0" w:type="dxa"/>
            <w:vAlign w:val="center"/>
          </w:tcPr>
          <w:p>
            <w:pPr>
              <w:spacing w:line="260" w:lineRule="exact"/>
              <w:jc w:val="center"/>
              <w:rPr>
                <w:sz w:val="18"/>
                <w:szCs w:val="18"/>
              </w:rPr>
            </w:pPr>
            <w:r>
              <w:rPr>
                <w:rFonts w:hint="eastAsia" w:asciiTheme="minorEastAsia" w:hAnsiTheme="minorEastAsia" w:eastAsiaTheme="minorEastAsia" w:cstheme="minorEastAsia"/>
                <w:sz w:val="16"/>
                <w:szCs w:val="16"/>
                <w:lang w:val="zh-TW"/>
              </w:rPr>
              <w:t>5</w:t>
            </w:r>
          </w:p>
        </w:tc>
        <w:tc>
          <w:tcPr>
            <w:tcW w:w="1310" w:type="dxa"/>
            <w:vAlign w:val="center"/>
          </w:tcPr>
          <w:p>
            <w:pPr>
              <w:spacing w:line="260" w:lineRule="exact"/>
              <w:jc w:val="center"/>
              <w:rPr>
                <w:sz w:val="18"/>
                <w:szCs w:val="18"/>
                <w:lang w:val="zh-TW"/>
              </w:rPr>
            </w:pPr>
            <w:r>
              <w:rPr>
                <w:rFonts w:hint="eastAsia" w:asciiTheme="minorEastAsia" w:hAnsiTheme="minorEastAsia" w:eastAsiaTheme="minorEastAsia" w:cstheme="minorEastAsia"/>
                <w:sz w:val="16"/>
                <w:szCs w:val="16"/>
                <w:lang w:val="zh-TW"/>
              </w:rPr>
              <w:t>S31603</w:t>
            </w:r>
          </w:p>
        </w:tc>
        <w:tc>
          <w:tcPr>
            <w:tcW w:w="1842" w:type="dxa"/>
            <w:vAlign w:val="center"/>
          </w:tcPr>
          <w:p>
            <w:pPr>
              <w:spacing w:line="260" w:lineRule="exact"/>
              <w:jc w:val="center"/>
              <w:rPr>
                <w:sz w:val="18"/>
                <w:szCs w:val="18"/>
                <w:lang w:val="zh-TW"/>
              </w:rPr>
            </w:pPr>
            <w:r>
              <w:rPr>
                <w:rFonts w:hint="eastAsia" w:asciiTheme="minorEastAsia" w:hAnsiTheme="minorEastAsia" w:eastAsiaTheme="minorEastAsia" w:cstheme="minorEastAsia"/>
                <w:sz w:val="16"/>
                <w:szCs w:val="16"/>
                <w:lang w:val="zh-TW"/>
              </w:rPr>
              <w:t>022Cr17Ni12Mo2</w:t>
            </w:r>
          </w:p>
        </w:tc>
        <w:tc>
          <w:tcPr>
            <w:tcW w:w="1849"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TP316L(S31603)</w:t>
            </w:r>
          </w:p>
        </w:tc>
        <w:tc>
          <w:tcPr>
            <w:tcW w:w="2262" w:type="dxa"/>
            <w:vAlign w:val="center"/>
          </w:tcPr>
          <w:p>
            <w:pPr>
              <w:spacing w:line="260" w:lineRule="exact"/>
              <w:jc w:val="center"/>
              <w:rPr>
                <w:rFonts w:asciiTheme="minorEastAsia" w:hAnsiTheme="minorEastAsia" w:eastAsiaTheme="minorEastAsia" w:cstheme="minorEastAsia"/>
                <w:sz w:val="16"/>
                <w:szCs w:val="16"/>
                <w:lang w:val="zh-TW"/>
              </w:rPr>
            </w:pPr>
            <w:r>
              <w:rPr>
                <w:rFonts w:asciiTheme="minorEastAsia" w:hAnsiTheme="minorEastAsia" w:eastAsiaTheme="minorEastAsia" w:cstheme="minorEastAsia"/>
                <w:sz w:val="16"/>
                <w:szCs w:val="16"/>
                <w:lang w:val="zh-TW"/>
              </w:rPr>
              <w:t>X2CrNiMo17-12-2</w:t>
            </w:r>
            <w:r>
              <w:rPr>
                <w:rFonts w:hint="eastAsia" w:asciiTheme="minorEastAsia" w:hAnsiTheme="minorEastAsia" w:eastAsiaTheme="minorEastAsia" w:cstheme="minorEastAsia"/>
                <w:sz w:val="16"/>
                <w:szCs w:val="16"/>
                <w:lang w:val="zh-TW"/>
              </w:rPr>
              <w:t>(</w:t>
            </w:r>
            <w:r>
              <w:rPr>
                <w:rFonts w:asciiTheme="minorEastAsia" w:hAnsiTheme="minorEastAsia" w:eastAsiaTheme="minorEastAsia" w:cstheme="minorEastAsia"/>
                <w:sz w:val="16"/>
                <w:szCs w:val="16"/>
                <w:lang w:val="zh-TW"/>
              </w:rPr>
              <w:t>1.4404</w:t>
            </w:r>
            <w:r>
              <w:rPr>
                <w:rFonts w:hint="eastAsia" w:asciiTheme="minorEastAsia" w:hAnsiTheme="minorEastAsia" w:eastAsiaTheme="minorEastAsia" w:cstheme="minorEastAsia"/>
                <w:sz w:val="16"/>
                <w:szCs w:val="16"/>
                <w:lang w:val="zh-TW"/>
              </w:rPr>
              <w:t>)</w:t>
            </w:r>
          </w:p>
        </w:tc>
        <w:tc>
          <w:tcPr>
            <w:tcW w:w="1146"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SUS316L</w:t>
            </w:r>
          </w:p>
        </w:tc>
        <w:tc>
          <w:tcPr>
            <w:tcW w:w="1146"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Z2CND17-12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90" w:type="dxa"/>
            <w:vAlign w:val="center"/>
          </w:tcPr>
          <w:p>
            <w:pPr>
              <w:spacing w:line="260" w:lineRule="exact"/>
              <w:jc w:val="center"/>
              <w:rPr>
                <w:sz w:val="18"/>
                <w:szCs w:val="18"/>
              </w:rPr>
            </w:pPr>
            <w:r>
              <w:rPr>
                <w:rFonts w:hint="eastAsia" w:asciiTheme="minorEastAsia" w:hAnsiTheme="minorEastAsia" w:eastAsiaTheme="minorEastAsia" w:cstheme="minorEastAsia"/>
                <w:sz w:val="16"/>
                <w:szCs w:val="16"/>
                <w:lang w:val="zh-TW"/>
              </w:rPr>
              <w:t>6</w:t>
            </w:r>
          </w:p>
        </w:tc>
        <w:tc>
          <w:tcPr>
            <w:tcW w:w="1310" w:type="dxa"/>
            <w:vAlign w:val="center"/>
          </w:tcPr>
          <w:p>
            <w:pPr>
              <w:spacing w:line="260" w:lineRule="exact"/>
              <w:jc w:val="center"/>
              <w:rPr>
                <w:sz w:val="18"/>
                <w:szCs w:val="18"/>
                <w:lang w:val="zh-TW"/>
              </w:rPr>
            </w:pPr>
            <w:r>
              <w:rPr>
                <w:rFonts w:hint="eastAsia" w:asciiTheme="minorEastAsia" w:hAnsiTheme="minorEastAsia" w:eastAsiaTheme="minorEastAsia" w:cstheme="minorEastAsia"/>
                <w:sz w:val="16"/>
                <w:szCs w:val="16"/>
                <w:lang w:val="zh-TW"/>
              </w:rPr>
              <w:t>S31653</w:t>
            </w:r>
          </w:p>
        </w:tc>
        <w:tc>
          <w:tcPr>
            <w:tcW w:w="1842" w:type="dxa"/>
            <w:vAlign w:val="center"/>
          </w:tcPr>
          <w:p>
            <w:pPr>
              <w:spacing w:line="260" w:lineRule="exact"/>
              <w:jc w:val="center"/>
              <w:rPr>
                <w:sz w:val="18"/>
                <w:szCs w:val="18"/>
                <w:lang w:val="zh-TW"/>
              </w:rPr>
            </w:pPr>
            <w:r>
              <w:rPr>
                <w:rFonts w:hint="eastAsia" w:asciiTheme="minorEastAsia" w:hAnsiTheme="minorEastAsia" w:eastAsiaTheme="minorEastAsia" w:cstheme="minorEastAsia"/>
                <w:sz w:val="16"/>
                <w:szCs w:val="16"/>
                <w:lang w:val="zh-TW"/>
              </w:rPr>
              <w:t>022Cr17Ni12Mo2N</w:t>
            </w:r>
          </w:p>
        </w:tc>
        <w:tc>
          <w:tcPr>
            <w:tcW w:w="1849"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TP316N(S31651)</w:t>
            </w:r>
          </w:p>
        </w:tc>
        <w:tc>
          <w:tcPr>
            <w:tcW w:w="2262"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X2CrNiMoN17-11-2(1.4406)</w:t>
            </w:r>
          </w:p>
        </w:tc>
        <w:tc>
          <w:tcPr>
            <w:tcW w:w="1146"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SUS316N</w:t>
            </w:r>
          </w:p>
        </w:tc>
        <w:tc>
          <w:tcPr>
            <w:tcW w:w="1146" w:type="dxa"/>
            <w:vAlign w:val="center"/>
          </w:tcPr>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Z2CND18-12</w:t>
            </w:r>
          </w:p>
          <w:p>
            <w:pPr>
              <w:spacing w:line="260" w:lineRule="exact"/>
              <w:jc w:val="center"/>
              <w:rPr>
                <w:rFonts w:asciiTheme="minorEastAsia" w:hAnsiTheme="minorEastAsia" w:eastAsiaTheme="minorEastAsia" w:cstheme="minorEastAsia"/>
                <w:sz w:val="16"/>
                <w:szCs w:val="16"/>
                <w:lang w:val="zh-TW"/>
              </w:rPr>
            </w:pPr>
            <w:r>
              <w:rPr>
                <w:rFonts w:hint="eastAsia" w:asciiTheme="minorEastAsia" w:hAnsiTheme="minorEastAsia" w:eastAsiaTheme="minorEastAsia" w:cstheme="minorEastAsia"/>
                <w:sz w:val="16"/>
                <w:szCs w:val="16"/>
                <w:lang w:val="zh-TW"/>
              </w:rPr>
              <w:t>（控氮）</w:t>
            </w:r>
          </w:p>
        </w:tc>
      </w:tr>
    </w:tbl>
    <w:p>
      <w:pPr>
        <w:widowControl/>
        <w:jc w:val="left"/>
      </w:pPr>
    </w:p>
    <w:sectPr>
      <w:pgSz w:w="11906" w:h="16838"/>
      <w:pgMar w:top="567" w:right="1134" w:bottom="1134" w:left="1418"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2054" o:spid="_x0000_s2054" o:spt="202" type="#_x0000_t202" style="position:absolute;left:0pt;margin-left:465.35pt;margin-top:2.55pt;height:20pt;width:29.85pt;mso-wrap-distance-bottom:3.6pt;mso-wrap-distance-left:9pt;mso-wrap-distance-right:9pt;mso-wrap-distance-top:3.6pt;z-index:251660288;mso-width-relative:margin;mso-height-relative:margin;mso-height-percent:200;" stroked="f" coordsize="21600,21600">
          <v:path/>
          <v:fill focussize="0,0"/>
          <v:stroke on="f" joinstyle="miter"/>
          <v:imagedata o:title=""/>
          <o:lock v:ext="edit"/>
          <v:textbox style="mso-fit-shape-to-text:t;">
            <w:txbxContent>
              <w:p>
                <w:r>
                  <w:fldChar w:fldCharType="begin"/>
                </w:r>
                <w:r>
                  <w:instrText xml:space="preserve">PAGE   \* MERGEFORMAT</w:instrText>
                </w:r>
                <w:r>
                  <w:fldChar w:fldCharType="separate"/>
                </w:r>
                <w:r>
                  <w:rPr>
                    <w:lang w:val="zh-CN"/>
                  </w:rPr>
                  <w:t>II</w:t>
                </w:r>
                <w:r>
                  <w:fldChar w:fldCharType="end"/>
                </w:r>
              </w:p>
            </w:txbxContent>
          </v:textbox>
          <w10:wrap type="squar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文本框 2" o:spid="_x0000_s2053" o:spt="202" type="#_x0000_t202" style="position:absolute;left:0pt;margin-left:465.35pt;margin-top:-0.65pt;height:20pt;width:29.85pt;mso-wrap-distance-bottom:3.6pt;mso-wrap-distance-left:9pt;mso-wrap-distance-right:9pt;mso-wrap-distance-top:3.6pt;z-index:251659264;mso-width-relative:margin;mso-height-relative:margin;mso-height-percent:200;" stroked="f" coordsize="21600,21600">
          <v:path/>
          <v:fill focussize="0,0"/>
          <v:stroke on="f" joinstyle="miter"/>
          <v:imagedata o:title=""/>
          <o:lock v:ext="edit"/>
          <v:textbox style="mso-fit-shape-to-text:t;">
            <w:txbxContent>
              <w:p>
                <w:r>
                  <w:fldChar w:fldCharType="begin"/>
                </w:r>
                <w:r>
                  <w:instrText xml:space="preserve">PAGE   \* MERGEFORMAT</w:instrText>
                </w:r>
                <w:r>
                  <w:fldChar w:fldCharType="separate"/>
                </w:r>
                <w:r>
                  <w:rPr>
                    <w:lang w:val="zh-CN"/>
                  </w:rPr>
                  <w:t>11</w:t>
                </w:r>
                <w:r>
                  <w:fldChar w:fldCharType="end"/>
                </w: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6224E"/>
    <w:multiLevelType w:val="multilevel"/>
    <w:tmpl w:val="CC36224E"/>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pPr>
        <w:tabs>
          <w:tab w:val="left" w:pos="2554"/>
        </w:tabs>
      </w:pP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rPr>
        <w:rFonts w:hint="default" w:ascii="黑体" w:hAnsi="黑体" w:eastAsia="黑体" w:cs="宋体"/>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EBCC8ABA"/>
    <w:multiLevelType w:val="multilevel"/>
    <w:tmpl w:val="EBCC8ABA"/>
    <w:lvl w:ilvl="0" w:tentative="0">
      <w:start w:val="1"/>
      <w:numFmt w:val="lowerLetter"/>
      <w:pStyle w:val="44"/>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2">
    <w:nsid w:val="2C8D7AAC"/>
    <w:multiLevelType w:val="multilevel"/>
    <w:tmpl w:val="2C8D7AAC"/>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3">
    <w:nsid w:val="4FFD60E7"/>
    <w:multiLevelType w:val="multilevel"/>
    <w:tmpl w:val="4FFD60E7"/>
    <w:lvl w:ilvl="0" w:tentative="0">
      <w:start w:val="1"/>
      <w:numFmt w:val="decimal"/>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4">
    <w:nsid w:val="7F76253A"/>
    <w:multiLevelType w:val="multilevel"/>
    <w:tmpl w:val="7F76253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lkM2VmYjQwZGQ2YWRkZTg4NjhiMDRlODRiYWM4ZjAifQ=="/>
  </w:docVars>
  <w:rsids>
    <w:rsidRoot w:val="00B11EAB"/>
    <w:rsid w:val="000000BA"/>
    <w:rsid w:val="000002F3"/>
    <w:rsid w:val="000004A8"/>
    <w:rsid w:val="00000693"/>
    <w:rsid w:val="00000ED7"/>
    <w:rsid w:val="00001628"/>
    <w:rsid w:val="0000206B"/>
    <w:rsid w:val="000026F6"/>
    <w:rsid w:val="000027D5"/>
    <w:rsid w:val="00002AE5"/>
    <w:rsid w:val="000036AB"/>
    <w:rsid w:val="00004402"/>
    <w:rsid w:val="000063FF"/>
    <w:rsid w:val="00006521"/>
    <w:rsid w:val="00006719"/>
    <w:rsid w:val="000067D7"/>
    <w:rsid w:val="0001172F"/>
    <w:rsid w:val="00014336"/>
    <w:rsid w:val="0001458D"/>
    <w:rsid w:val="000155E7"/>
    <w:rsid w:val="00015689"/>
    <w:rsid w:val="00015FAE"/>
    <w:rsid w:val="00016EA4"/>
    <w:rsid w:val="00017C16"/>
    <w:rsid w:val="00017E56"/>
    <w:rsid w:val="000214C6"/>
    <w:rsid w:val="00022972"/>
    <w:rsid w:val="00022D9B"/>
    <w:rsid w:val="0002354E"/>
    <w:rsid w:val="0002443D"/>
    <w:rsid w:val="00026B98"/>
    <w:rsid w:val="0002763E"/>
    <w:rsid w:val="00030785"/>
    <w:rsid w:val="00031319"/>
    <w:rsid w:val="0003166E"/>
    <w:rsid w:val="0003257D"/>
    <w:rsid w:val="00032EE6"/>
    <w:rsid w:val="00033E78"/>
    <w:rsid w:val="000340BE"/>
    <w:rsid w:val="0003460C"/>
    <w:rsid w:val="000349DF"/>
    <w:rsid w:val="00036757"/>
    <w:rsid w:val="00037D50"/>
    <w:rsid w:val="00040112"/>
    <w:rsid w:val="00041DCA"/>
    <w:rsid w:val="00041FC3"/>
    <w:rsid w:val="0004346D"/>
    <w:rsid w:val="00044575"/>
    <w:rsid w:val="00044D58"/>
    <w:rsid w:val="000457E1"/>
    <w:rsid w:val="00045EE1"/>
    <w:rsid w:val="000465AD"/>
    <w:rsid w:val="00046737"/>
    <w:rsid w:val="0004755E"/>
    <w:rsid w:val="00050C65"/>
    <w:rsid w:val="00050CB1"/>
    <w:rsid w:val="000529A5"/>
    <w:rsid w:val="000535E8"/>
    <w:rsid w:val="00054E4A"/>
    <w:rsid w:val="00056914"/>
    <w:rsid w:val="0006047B"/>
    <w:rsid w:val="00060630"/>
    <w:rsid w:val="00061652"/>
    <w:rsid w:val="00062F28"/>
    <w:rsid w:val="0006374C"/>
    <w:rsid w:val="00063C2C"/>
    <w:rsid w:val="00064376"/>
    <w:rsid w:val="0006471A"/>
    <w:rsid w:val="000653AC"/>
    <w:rsid w:val="000659C5"/>
    <w:rsid w:val="00066F92"/>
    <w:rsid w:val="00067E86"/>
    <w:rsid w:val="00067F5E"/>
    <w:rsid w:val="00070D77"/>
    <w:rsid w:val="00070F4F"/>
    <w:rsid w:val="0007256D"/>
    <w:rsid w:val="00072F1F"/>
    <w:rsid w:val="00072FF3"/>
    <w:rsid w:val="000739F4"/>
    <w:rsid w:val="000742BF"/>
    <w:rsid w:val="00074C62"/>
    <w:rsid w:val="000758B0"/>
    <w:rsid w:val="00075ABE"/>
    <w:rsid w:val="000766F5"/>
    <w:rsid w:val="000769DD"/>
    <w:rsid w:val="00076CF3"/>
    <w:rsid w:val="00080929"/>
    <w:rsid w:val="00080A64"/>
    <w:rsid w:val="00081C6D"/>
    <w:rsid w:val="00081DDE"/>
    <w:rsid w:val="00081E94"/>
    <w:rsid w:val="0008203E"/>
    <w:rsid w:val="00082E2C"/>
    <w:rsid w:val="000834D1"/>
    <w:rsid w:val="00083FAD"/>
    <w:rsid w:val="00085968"/>
    <w:rsid w:val="0009157D"/>
    <w:rsid w:val="00092B89"/>
    <w:rsid w:val="000942E6"/>
    <w:rsid w:val="00094395"/>
    <w:rsid w:val="00094730"/>
    <w:rsid w:val="00096006"/>
    <w:rsid w:val="000A1CD2"/>
    <w:rsid w:val="000A2551"/>
    <w:rsid w:val="000A2C9B"/>
    <w:rsid w:val="000A6388"/>
    <w:rsid w:val="000A73EC"/>
    <w:rsid w:val="000A7A04"/>
    <w:rsid w:val="000B02D4"/>
    <w:rsid w:val="000B150D"/>
    <w:rsid w:val="000B1A9B"/>
    <w:rsid w:val="000B1DF7"/>
    <w:rsid w:val="000B1E7B"/>
    <w:rsid w:val="000B21CF"/>
    <w:rsid w:val="000B31D3"/>
    <w:rsid w:val="000B49E8"/>
    <w:rsid w:val="000B584D"/>
    <w:rsid w:val="000B5D2E"/>
    <w:rsid w:val="000B7906"/>
    <w:rsid w:val="000C25F0"/>
    <w:rsid w:val="000C3099"/>
    <w:rsid w:val="000C413D"/>
    <w:rsid w:val="000C45E8"/>
    <w:rsid w:val="000C577C"/>
    <w:rsid w:val="000C7178"/>
    <w:rsid w:val="000C7646"/>
    <w:rsid w:val="000D089C"/>
    <w:rsid w:val="000D14D7"/>
    <w:rsid w:val="000D36D3"/>
    <w:rsid w:val="000D3756"/>
    <w:rsid w:val="000D5E51"/>
    <w:rsid w:val="000D7487"/>
    <w:rsid w:val="000D7609"/>
    <w:rsid w:val="000D7669"/>
    <w:rsid w:val="000E0105"/>
    <w:rsid w:val="000E0AB4"/>
    <w:rsid w:val="000E10D3"/>
    <w:rsid w:val="000E1BFA"/>
    <w:rsid w:val="000E2247"/>
    <w:rsid w:val="000E294F"/>
    <w:rsid w:val="000E39A2"/>
    <w:rsid w:val="000E3D91"/>
    <w:rsid w:val="000E5146"/>
    <w:rsid w:val="000E5AF0"/>
    <w:rsid w:val="000E5C51"/>
    <w:rsid w:val="000E60A2"/>
    <w:rsid w:val="000E6E36"/>
    <w:rsid w:val="000E7A45"/>
    <w:rsid w:val="000F050E"/>
    <w:rsid w:val="000F099B"/>
    <w:rsid w:val="000F1275"/>
    <w:rsid w:val="000F1683"/>
    <w:rsid w:val="000F355E"/>
    <w:rsid w:val="000F3A7B"/>
    <w:rsid w:val="000F4DBC"/>
    <w:rsid w:val="000F6BD0"/>
    <w:rsid w:val="000F7224"/>
    <w:rsid w:val="000F75A8"/>
    <w:rsid w:val="0010085E"/>
    <w:rsid w:val="001011ED"/>
    <w:rsid w:val="00101AFA"/>
    <w:rsid w:val="00103100"/>
    <w:rsid w:val="00103A0F"/>
    <w:rsid w:val="001064C4"/>
    <w:rsid w:val="00106B32"/>
    <w:rsid w:val="00107F7F"/>
    <w:rsid w:val="001100F7"/>
    <w:rsid w:val="00110401"/>
    <w:rsid w:val="00110460"/>
    <w:rsid w:val="001110E9"/>
    <w:rsid w:val="0011533A"/>
    <w:rsid w:val="0011735C"/>
    <w:rsid w:val="001209B0"/>
    <w:rsid w:val="001210EF"/>
    <w:rsid w:val="00121491"/>
    <w:rsid w:val="00121513"/>
    <w:rsid w:val="00122710"/>
    <w:rsid w:val="00123DFC"/>
    <w:rsid w:val="00124903"/>
    <w:rsid w:val="001250F9"/>
    <w:rsid w:val="001251EB"/>
    <w:rsid w:val="00125D4A"/>
    <w:rsid w:val="001260B0"/>
    <w:rsid w:val="00126888"/>
    <w:rsid w:val="00130056"/>
    <w:rsid w:val="001301BF"/>
    <w:rsid w:val="00130516"/>
    <w:rsid w:val="00130FF8"/>
    <w:rsid w:val="00131AE4"/>
    <w:rsid w:val="001329A5"/>
    <w:rsid w:val="00133089"/>
    <w:rsid w:val="00133A27"/>
    <w:rsid w:val="00133F97"/>
    <w:rsid w:val="00135964"/>
    <w:rsid w:val="00141FE3"/>
    <w:rsid w:val="00142EDB"/>
    <w:rsid w:val="001431A6"/>
    <w:rsid w:val="00143D4F"/>
    <w:rsid w:val="001440DA"/>
    <w:rsid w:val="00144B3D"/>
    <w:rsid w:val="00144C72"/>
    <w:rsid w:val="00145966"/>
    <w:rsid w:val="00146EE6"/>
    <w:rsid w:val="00147946"/>
    <w:rsid w:val="00147FCC"/>
    <w:rsid w:val="001515FA"/>
    <w:rsid w:val="001519BC"/>
    <w:rsid w:val="00154C73"/>
    <w:rsid w:val="0015501C"/>
    <w:rsid w:val="0015518E"/>
    <w:rsid w:val="0015552F"/>
    <w:rsid w:val="00155C47"/>
    <w:rsid w:val="00155EE5"/>
    <w:rsid w:val="00156F53"/>
    <w:rsid w:val="0016100C"/>
    <w:rsid w:val="001620EF"/>
    <w:rsid w:val="00162B0B"/>
    <w:rsid w:val="00163694"/>
    <w:rsid w:val="0016374F"/>
    <w:rsid w:val="001646B5"/>
    <w:rsid w:val="001652E8"/>
    <w:rsid w:val="00165BF9"/>
    <w:rsid w:val="00165C48"/>
    <w:rsid w:val="00165CDA"/>
    <w:rsid w:val="00167066"/>
    <w:rsid w:val="00167493"/>
    <w:rsid w:val="001677AC"/>
    <w:rsid w:val="00167AB8"/>
    <w:rsid w:val="00167CDE"/>
    <w:rsid w:val="0017104C"/>
    <w:rsid w:val="00172CEA"/>
    <w:rsid w:val="00172EF0"/>
    <w:rsid w:val="001750AF"/>
    <w:rsid w:val="00176822"/>
    <w:rsid w:val="00176B46"/>
    <w:rsid w:val="00177686"/>
    <w:rsid w:val="00177DE8"/>
    <w:rsid w:val="00180964"/>
    <w:rsid w:val="00182523"/>
    <w:rsid w:val="00182B64"/>
    <w:rsid w:val="00182D22"/>
    <w:rsid w:val="00183E61"/>
    <w:rsid w:val="00183F94"/>
    <w:rsid w:val="001853FF"/>
    <w:rsid w:val="0018553E"/>
    <w:rsid w:val="0018651A"/>
    <w:rsid w:val="0018685F"/>
    <w:rsid w:val="00186B63"/>
    <w:rsid w:val="00186BA8"/>
    <w:rsid w:val="0018729E"/>
    <w:rsid w:val="00187742"/>
    <w:rsid w:val="00187984"/>
    <w:rsid w:val="00191451"/>
    <w:rsid w:val="0019224C"/>
    <w:rsid w:val="0019300E"/>
    <w:rsid w:val="001937D5"/>
    <w:rsid w:val="00194606"/>
    <w:rsid w:val="0019635F"/>
    <w:rsid w:val="00197284"/>
    <w:rsid w:val="00197689"/>
    <w:rsid w:val="00197C89"/>
    <w:rsid w:val="001A0303"/>
    <w:rsid w:val="001A2318"/>
    <w:rsid w:val="001A2EBA"/>
    <w:rsid w:val="001A3EC2"/>
    <w:rsid w:val="001A4426"/>
    <w:rsid w:val="001A4622"/>
    <w:rsid w:val="001A7F96"/>
    <w:rsid w:val="001B1A00"/>
    <w:rsid w:val="001B205A"/>
    <w:rsid w:val="001B227A"/>
    <w:rsid w:val="001B2397"/>
    <w:rsid w:val="001B2878"/>
    <w:rsid w:val="001B3187"/>
    <w:rsid w:val="001B34FB"/>
    <w:rsid w:val="001B3790"/>
    <w:rsid w:val="001B3DDA"/>
    <w:rsid w:val="001B4F2C"/>
    <w:rsid w:val="001B5630"/>
    <w:rsid w:val="001B5BB7"/>
    <w:rsid w:val="001B66B2"/>
    <w:rsid w:val="001B6E3A"/>
    <w:rsid w:val="001B725F"/>
    <w:rsid w:val="001B7273"/>
    <w:rsid w:val="001B79D5"/>
    <w:rsid w:val="001B7CB6"/>
    <w:rsid w:val="001C1EE1"/>
    <w:rsid w:val="001C2495"/>
    <w:rsid w:val="001C2C71"/>
    <w:rsid w:val="001C2F52"/>
    <w:rsid w:val="001C369A"/>
    <w:rsid w:val="001C3CA6"/>
    <w:rsid w:val="001C4EC8"/>
    <w:rsid w:val="001C5EBC"/>
    <w:rsid w:val="001C6459"/>
    <w:rsid w:val="001C663D"/>
    <w:rsid w:val="001C74AC"/>
    <w:rsid w:val="001D0E4D"/>
    <w:rsid w:val="001D0F6C"/>
    <w:rsid w:val="001D1152"/>
    <w:rsid w:val="001D2865"/>
    <w:rsid w:val="001D3557"/>
    <w:rsid w:val="001D38FD"/>
    <w:rsid w:val="001D529E"/>
    <w:rsid w:val="001D5B28"/>
    <w:rsid w:val="001D6260"/>
    <w:rsid w:val="001D6791"/>
    <w:rsid w:val="001D6BF4"/>
    <w:rsid w:val="001D77CF"/>
    <w:rsid w:val="001E0076"/>
    <w:rsid w:val="001E1BDE"/>
    <w:rsid w:val="001E24E9"/>
    <w:rsid w:val="001E271E"/>
    <w:rsid w:val="001E2D49"/>
    <w:rsid w:val="001E3114"/>
    <w:rsid w:val="001E3445"/>
    <w:rsid w:val="001E39B1"/>
    <w:rsid w:val="001E3F0A"/>
    <w:rsid w:val="001E5C31"/>
    <w:rsid w:val="001E67FA"/>
    <w:rsid w:val="001E6E2C"/>
    <w:rsid w:val="001F00D6"/>
    <w:rsid w:val="001F1877"/>
    <w:rsid w:val="001F19E3"/>
    <w:rsid w:val="001F24C0"/>
    <w:rsid w:val="001F5FA8"/>
    <w:rsid w:val="001F7D1C"/>
    <w:rsid w:val="00204406"/>
    <w:rsid w:val="00204946"/>
    <w:rsid w:val="00205678"/>
    <w:rsid w:val="00205DA4"/>
    <w:rsid w:val="00206C0E"/>
    <w:rsid w:val="00207A08"/>
    <w:rsid w:val="002121E7"/>
    <w:rsid w:val="00212AEA"/>
    <w:rsid w:val="00213356"/>
    <w:rsid w:val="00214A71"/>
    <w:rsid w:val="00214F97"/>
    <w:rsid w:val="002150EB"/>
    <w:rsid w:val="002164F8"/>
    <w:rsid w:val="00216A8E"/>
    <w:rsid w:val="00216B23"/>
    <w:rsid w:val="0021702F"/>
    <w:rsid w:val="00220B86"/>
    <w:rsid w:val="00220CA4"/>
    <w:rsid w:val="00220DF0"/>
    <w:rsid w:val="00221E5F"/>
    <w:rsid w:val="00222097"/>
    <w:rsid w:val="0022350B"/>
    <w:rsid w:val="00224079"/>
    <w:rsid w:val="00224BBF"/>
    <w:rsid w:val="00224C16"/>
    <w:rsid w:val="00224DB5"/>
    <w:rsid w:val="00226304"/>
    <w:rsid w:val="00226A57"/>
    <w:rsid w:val="002273D1"/>
    <w:rsid w:val="00227566"/>
    <w:rsid w:val="002304DB"/>
    <w:rsid w:val="002319F9"/>
    <w:rsid w:val="00231B7F"/>
    <w:rsid w:val="00231E89"/>
    <w:rsid w:val="00231FD9"/>
    <w:rsid w:val="00232FB4"/>
    <w:rsid w:val="0023411D"/>
    <w:rsid w:val="00235E6B"/>
    <w:rsid w:val="002363AD"/>
    <w:rsid w:val="00236794"/>
    <w:rsid w:val="0023681E"/>
    <w:rsid w:val="00237D6C"/>
    <w:rsid w:val="00240054"/>
    <w:rsid w:val="00240112"/>
    <w:rsid w:val="0024312D"/>
    <w:rsid w:val="0024366D"/>
    <w:rsid w:val="00243C8E"/>
    <w:rsid w:val="00244044"/>
    <w:rsid w:val="002444CE"/>
    <w:rsid w:val="00244C24"/>
    <w:rsid w:val="0024582C"/>
    <w:rsid w:val="0024637B"/>
    <w:rsid w:val="002469E0"/>
    <w:rsid w:val="00246F24"/>
    <w:rsid w:val="00251ABC"/>
    <w:rsid w:val="00252683"/>
    <w:rsid w:val="00253475"/>
    <w:rsid w:val="0025475C"/>
    <w:rsid w:val="00254D69"/>
    <w:rsid w:val="002550B2"/>
    <w:rsid w:val="0025521B"/>
    <w:rsid w:val="0025639A"/>
    <w:rsid w:val="00256D64"/>
    <w:rsid w:val="002571E1"/>
    <w:rsid w:val="0026237D"/>
    <w:rsid w:val="002629CA"/>
    <w:rsid w:val="0026495B"/>
    <w:rsid w:val="00264E94"/>
    <w:rsid w:val="00265DD6"/>
    <w:rsid w:val="00265E97"/>
    <w:rsid w:val="00267034"/>
    <w:rsid w:val="0026715A"/>
    <w:rsid w:val="002676AE"/>
    <w:rsid w:val="00270649"/>
    <w:rsid w:val="00270FAC"/>
    <w:rsid w:val="00271950"/>
    <w:rsid w:val="0027208A"/>
    <w:rsid w:val="00272BCF"/>
    <w:rsid w:val="00272C1E"/>
    <w:rsid w:val="00272EC2"/>
    <w:rsid w:val="002734D1"/>
    <w:rsid w:val="00273F1A"/>
    <w:rsid w:val="00276760"/>
    <w:rsid w:val="00276ED7"/>
    <w:rsid w:val="002770C8"/>
    <w:rsid w:val="002778A0"/>
    <w:rsid w:val="00277EBF"/>
    <w:rsid w:val="00280E24"/>
    <w:rsid w:val="00281232"/>
    <w:rsid w:val="00281D46"/>
    <w:rsid w:val="00281E64"/>
    <w:rsid w:val="00283583"/>
    <w:rsid w:val="00283912"/>
    <w:rsid w:val="00285C58"/>
    <w:rsid w:val="002876E3"/>
    <w:rsid w:val="00287E1C"/>
    <w:rsid w:val="00287E4E"/>
    <w:rsid w:val="002925EB"/>
    <w:rsid w:val="0029263E"/>
    <w:rsid w:val="002929E9"/>
    <w:rsid w:val="00293B22"/>
    <w:rsid w:val="00293EB8"/>
    <w:rsid w:val="00295116"/>
    <w:rsid w:val="00295308"/>
    <w:rsid w:val="00295C63"/>
    <w:rsid w:val="00296EB9"/>
    <w:rsid w:val="00297023"/>
    <w:rsid w:val="00297530"/>
    <w:rsid w:val="00297E2E"/>
    <w:rsid w:val="002A2F5E"/>
    <w:rsid w:val="002A36DE"/>
    <w:rsid w:val="002A38E1"/>
    <w:rsid w:val="002A3997"/>
    <w:rsid w:val="002A462C"/>
    <w:rsid w:val="002A517D"/>
    <w:rsid w:val="002A5CEE"/>
    <w:rsid w:val="002A5D87"/>
    <w:rsid w:val="002A7B8D"/>
    <w:rsid w:val="002B0253"/>
    <w:rsid w:val="002B0ECA"/>
    <w:rsid w:val="002B27E3"/>
    <w:rsid w:val="002B2B17"/>
    <w:rsid w:val="002B2B9C"/>
    <w:rsid w:val="002B3576"/>
    <w:rsid w:val="002B4161"/>
    <w:rsid w:val="002B4228"/>
    <w:rsid w:val="002B45CE"/>
    <w:rsid w:val="002B4BFD"/>
    <w:rsid w:val="002B5523"/>
    <w:rsid w:val="002B65DB"/>
    <w:rsid w:val="002B6CAA"/>
    <w:rsid w:val="002B6F3A"/>
    <w:rsid w:val="002B71AB"/>
    <w:rsid w:val="002B75F7"/>
    <w:rsid w:val="002B7839"/>
    <w:rsid w:val="002C037F"/>
    <w:rsid w:val="002C1A07"/>
    <w:rsid w:val="002C2D36"/>
    <w:rsid w:val="002C4AA5"/>
    <w:rsid w:val="002C69DF"/>
    <w:rsid w:val="002C7289"/>
    <w:rsid w:val="002D0444"/>
    <w:rsid w:val="002D0593"/>
    <w:rsid w:val="002D0898"/>
    <w:rsid w:val="002D0B72"/>
    <w:rsid w:val="002D126A"/>
    <w:rsid w:val="002D206A"/>
    <w:rsid w:val="002D23FB"/>
    <w:rsid w:val="002D2E63"/>
    <w:rsid w:val="002D32B2"/>
    <w:rsid w:val="002D3AE0"/>
    <w:rsid w:val="002D5C05"/>
    <w:rsid w:val="002D5E91"/>
    <w:rsid w:val="002D69CF"/>
    <w:rsid w:val="002D7357"/>
    <w:rsid w:val="002E04D2"/>
    <w:rsid w:val="002E056C"/>
    <w:rsid w:val="002E057B"/>
    <w:rsid w:val="002E0623"/>
    <w:rsid w:val="002E072F"/>
    <w:rsid w:val="002E136C"/>
    <w:rsid w:val="002E3435"/>
    <w:rsid w:val="002E3B7F"/>
    <w:rsid w:val="002E3F80"/>
    <w:rsid w:val="002E46CB"/>
    <w:rsid w:val="002E58D3"/>
    <w:rsid w:val="002E640C"/>
    <w:rsid w:val="002E7933"/>
    <w:rsid w:val="002E7F39"/>
    <w:rsid w:val="002F000B"/>
    <w:rsid w:val="002F2A60"/>
    <w:rsid w:val="002F2C6F"/>
    <w:rsid w:val="002F423C"/>
    <w:rsid w:val="002F43E2"/>
    <w:rsid w:val="002F5CC1"/>
    <w:rsid w:val="002F5CDB"/>
    <w:rsid w:val="002F5EDB"/>
    <w:rsid w:val="002F60C8"/>
    <w:rsid w:val="002F66B1"/>
    <w:rsid w:val="002F72E2"/>
    <w:rsid w:val="002F7B3A"/>
    <w:rsid w:val="002F7EE2"/>
    <w:rsid w:val="0030015B"/>
    <w:rsid w:val="00300F7D"/>
    <w:rsid w:val="00303589"/>
    <w:rsid w:val="00307299"/>
    <w:rsid w:val="00307697"/>
    <w:rsid w:val="00310109"/>
    <w:rsid w:val="00310C9E"/>
    <w:rsid w:val="0031121D"/>
    <w:rsid w:val="00311A3F"/>
    <w:rsid w:val="003124AD"/>
    <w:rsid w:val="0031285F"/>
    <w:rsid w:val="003132AF"/>
    <w:rsid w:val="00313476"/>
    <w:rsid w:val="0031397F"/>
    <w:rsid w:val="003140A0"/>
    <w:rsid w:val="003147B7"/>
    <w:rsid w:val="00316E61"/>
    <w:rsid w:val="00317142"/>
    <w:rsid w:val="00317469"/>
    <w:rsid w:val="00322C6B"/>
    <w:rsid w:val="00322EE8"/>
    <w:rsid w:val="00323F50"/>
    <w:rsid w:val="00323F88"/>
    <w:rsid w:val="0032407C"/>
    <w:rsid w:val="003263EA"/>
    <w:rsid w:val="00326E00"/>
    <w:rsid w:val="00330260"/>
    <w:rsid w:val="0033092B"/>
    <w:rsid w:val="00330ED4"/>
    <w:rsid w:val="00331363"/>
    <w:rsid w:val="00332608"/>
    <w:rsid w:val="003331B2"/>
    <w:rsid w:val="0033422D"/>
    <w:rsid w:val="0033436D"/>
    <w:rsid w:val="00337147"/>
    <w:rsid w:val="00337E64"/>
    <w:rsid w:val="00340114"/>
    <w:rsid w:val="0034059F"/>
    <w:rsid w:val="00344008"/>
    <w:rsid w:val="0034442E"/>
    <w:rsid w:val="003453C6"/>
    <w:rsid w:val="00346BA3"/>
    <w:rsid w:val="00346FD4"/>
    <w:rsid w:val="003479AC"/>
    <w:rsid w:val="00347DC1"/>
    <w:rsid w:val="00351C65"/>
    <w:rsid w:val="003531B5"/>
    <w:rsid w:val="00353FC3"/>
    <w:rsid w:val="0035414D"/>
    <w:rsid w:val="00355A2D"/>
    <w:rsid w:val="00355C90"/>
    <w:rsid w:val="0035637D"/>
    <w:rsid w:val="00360255"/>
    <w:rsid w:val="003606E6"/>
    <w:rsid w:val="00361163"/>
    <w:rsid w:val="003614D6"/>
    <w:rsid w:val="00362621"/>
    <w:rsid w:val="003629AD"/>
    <w:rsid w:val="00363B66"/>
    <w:rsid w:val="00365B67"/>
    <w:rsid w:val="00365D1C"/>
    <w:rsid w:val="00366830"/>
    <w:rsid w:val="00366C35"/>
    <w:rsid w:val="00366E7B"/>
    <w:rsid w:val="003702BC"/>
    <w:rsid w:val="00370851"/>
    <w:rsid w:val="00371B65"/>
    <w:rsid w:val="003726CC"/>
    <w:rsid w:val="00372A45"/>
    <w:rsid w:val="00373622"/>
    <w:rsid w:val="00375CBE"/>
    <w:rsid w:val="00375F14"/>
    <w:rsid w:val="003767D7"/>
    <w:rsid w:val="0037751E"/>
    <w:rsid w:val="003776C8"/>
    <w:rsid w:val="00380F14"/>
    <w:rsid w:val="003828CB"/>
    <w:rsid w:val="003832EB"/>
    <w:rsid w:val="003847BB"/>
    <w:rsid w:val="00385A94"/>
    <w:rsid w:val="00386FCC"/>
    <w:rsid w:val="0038755D"/>
    <w:rsid w:val="00387A63"/>
    <w:rsid w:val="003901A9"/>
    <w:rsid w:val="00390FA4"/>
    <w:rsid w:val="00391917"/>
    <w:rsid w:val="00391CA6"/>
    <w:rsid w:val="00391EC6"/>
    <w:rsid w:val="00392017"/>
    <w:rsid w:val="00392935"/>
    <w:rsid w:val="003937D9"/>
    <w:rsid w:val="003940F4"/>
    <w:rsid w:val="003948E8"/>
    <w:rsid w:val="00394946"/>
    <w:rsid w:val="00395615"/>
    <w:rsid w:val="00395B57"/>
    <w:rsid w:val="00396CF6"/>
    <w:rsid w:val="003974E5"/>
    <w:rsid w:val="00397A58"/>
    <w:rsid w:val="00397A61"/>
    <w:rsid w:val="00397E85"/>
    <w:rsid w:val="003A05DB"/>
    <w:rsid w:val="003A11F6"/>
    <w:rsid w:val="003A15EB"/>
    <w:rsid w:val="003A2ACB"/>
    <w:rsid w:val="003A2C57"/>
    <w:rsid w:val="003A3024"/>
    <w:rsid w:val="003A308F"/>
    <w:rsid w:val="003A39F3"/>
    <w:rsid w:val="003A3B34"/>
    <w:rsid w:val="003A3BC3"/>
    <w:rsid w:val="003A405D"/>
    <w:rsid w:val="003A43BC"/>
    <w:rsid w:val="003A4920"/>
    <w:rsid w:val="003A4AEB"/>
    <w:rsid w:val="003A4D1A"/>
    <w:rsid w:val="003A4F20"/>
    <w:rsid w:val="003A6328"/>
    <w:rsid w:val="003A6DD0"/>
    <w:rsid w:val="003A7FE7"/>
    <w:rsid w:val="003B005A"/>
    <w:rsid w:val="003B06FB"/>
    <w:rsid w:val="003B08B7"/>
    <w:rsid w:val="003B08D7"/>
    <w:rsid w:val="003B0D22"/>
    <w:rsid w:val="003B0FB7"/>
    <w:rsid w:val="003B1543"/>
    <w:rsid w:val="003B1564"/>
    <w:rsid w:val="003B15BA"/>
    <w:rsid w:val="003B444E"/>
    <w:rsid w:val="003B4A48"/>
    <w:rsid w:val="003B4F35"/>
    <w:rsid w:val="003B4FCE"/>
    <w:rsid w:val="003B6899"/>
    <w:rsid w:val="003B6A8D"/>
    <w:rsid w:val="003B78AD"/>
    <w:rsid w:val="003B791F"/>
    <w:rsid w:val="003C012F"/>
    <w:rsid w:val="003C078C"/>
    <w:rsid w:val="003C2210"/>
    <w:rsid w:val="003C2428"/>
    <w:rsid w:val="003C2445"/>
    <w:rsid w:val="003C27B3"/>
    <w:rsid w:val="003C302B"/>
    <w:rsid w:val="003C3FBE"/>
    <w:rsid w:val="003C4EC7"/>
    <w:rsid w:val="003C59C9"/>
    <w:rsid w:val="003C6CFE"/>
    <w:rsid w:val="003C70CB"/>
    <w:rsid w:val="003D0A87"/>
    <w:rsid w:val="003D3186"/>
    <w:rsid w:val="003D3368"/>
    <w:rsid w:val="003D3BF8"/>
    <w:rsid w:val="003D3F79"/>
    <w:rsid w:val="003D6902"/>
    <w:rsid w:val="003E02D0"/>
    <w:rsid w:val="003E1FD9"/>
    <w:rsid w:val="003E36F2"/>
    <w:rsid w:val="003E3E89"/>
    <w:rsid w:val="003E3EE1"/>
    <w:rsid w:val="003E5760"/>
    <w:rsid w:val="003E5D13"/>
    <w:rsid w:val="003E5F52"/>
    <w:rsid w:val="003E6227"/>
    <w:rsid w:val="003F01B6"/>
    <w:rsid w:val="003F0234"/>
    <w:rsid w:val="003F0325"/>
    <w:rsid w:val="003F0D5C"/>
    <w:rsid w:val="003F0E3B"/>
    <w:rsid w:val="003F247D"/>
    <w:rsid w:val="003F2AA9"/>
    <w:rsid w:val="003F3E71"/>
    <w:rsid w:val="003F5C71"/>
    <w:rsid w:val="003F6350"/>
    <w:rsid w:val="003F683C"/>
    <w:rsid w:val="003F70F1"/>
    <w:rsid w:val="004038FF"/>
    <w:rsid w:val="00403A51"/>
    <w:rsid w:val="00404D2D"/>
    <w:rsid w:val="00404E75"/>
    <w:rsid w:val="004102CE"/>
    <w:rsid w:val="004105F4"/>
    <w:rsid w:val="00410AF6"/>
    <w:rsid w:val="00410F09"/>
    <w:rsid w:val="004114CA"/>
    <w:rsid w:val="00411722"/>
    <w:rsid w:val="00411728"/>
    <w:rsid w:val="00412C13"/>
    <w:rsid w:val="004143B3"/>
    <w:rsid w:val="00415122"/>
    <w:rsid w:val="004151B2"/>
    <w:rsid w:val="00415E25"/>
    <w:rsid w:val="004165E7"/>
    <w:rsid w:val="00416627"/>
    <w:rsid w:val="00420A0A"/>
    <w:rsid w:val="00422620"/>
    <w:rsid w:val="0042337D"/>
    <w:rsid w:val="00423801"/>
    <w:rsid w:val="004239A2"/>
    <w:rsid w:val="004242E9"/>
    <w:rsid w:val="00425201"/>
    <w:rsid w:val="00426946"/>
    <w:rsid w:val="00426D10"/>
    <w:rsid w:val="00427704"/>
    <w:rsid w:val="00427A50"/>
    <w:rsid w:val="004303E5"/>
    <w:rsid w:val="00430CCA"/>
    <w:rsid w:val="004310C2"/>
    <w:rsid w:val="004321CB"/>
    <w:rsid w:val="00433B88"/>
    <w:rsid w:val="00433FB2"/>
    <w:rsid w:val="004341F7"/>
    <w:rsid w:val="004344CF"/>
    <w:rsid w:val="00435090"/>
    <w:rsid w:val="004361CC"/>
    <w:rsid w:val="00437B39"/>
    <w:rsid w:val="00441735"/>
    <w:rsid w:val="00445069"/>
    <w:rsid w:val="00445476"/>
    <w:rsid w:val="00446BD4"/>
    <w:rsid w:val="00447F4B"/>
    <w:rsid w:val="004523E0"/>
    <w:rsid w:val="00453E46"/>
    <w:rsid w:val="004542F5"/>
    <w:rsid w:val="00454550"/>
    <w:rsid w:val="00456653"/>
    <w:rsid w:val="00457236"/>
    <w:rsid w:val="004572DF"/>
    <w:rsid w:val="004578E3"/>
    <w:rsid w:val="00457B71"/>
    <w:rsid w:val="00460B12"/>
    <w:rsid w:val="00461D3E"/>
    <w:rsid w:val="00462720"/>
    <w:rsid w:val="004639D5"/>
    <w:rsid w:val="00463F10"/>
    <w:rsid w:val="0046630A"/>
    <w:rsid w:val="00467E6F"/>
    <w:rsid w:val="00470291"/>
    <w:rsid w:val="00470D9C"/>
    <w:rsid w:val="004715E5"/>
    <w:rsid w:val="00471879"/>
    <w:rsid w:val="004746CD"/>
    <w:rsid w:val="00474A66"/>
    <w:rsid w:val="004752F0"/>
    <w:rsid w:val="00475D48"/>
    <w:rsid w:val="00476162"/>
    <w:rsid w:val="004770E6"/>
    <w:rsid w:val="0048099B"/>
    <w:rsid w:val="00480CF2"/>
    <w:rsid w:val="0048201E"/>
    <w:rsid w:val="004839EF"/>
    <w:rsid w:val="004840B1"/>
    <w:rsid w:val="00484846"/>
    <w:rsid w:val="00485429"/>
    <w:rsid w:val="00486D8E"/>
    <w:rsid w:val="00486F9A"/>
    <w:rsid w:val="0048732E"/>
    <w:rsid w:val="0048768F"/>
    <w:rsid w:val="00487788"/>
    <w:rsid w:val="00487C09"/>
    <w:rsid w:val="004900DE"/>
    <w:rsid w:val="00491475"/>
    <w:rsid w:val="004924E1"/>
    <w:rsid w:val="004938E6"/>
    <w:rsid w:val="0049399C"/>
    <w:rsid w:val="00493BD7"/>
    <w:rsid w:val="00493C4D"/>
    <w:rsid w:val="00494B9D"/>
    <w:rsid w:val="004952F0"/>
    <w:rsid w:val="00495981"/>
    <w:rsid w:val="00495E5E"/>
    <w:rsid w:val="00495F64"/>
    <w:rsid w:val="00495FFF"/>
    <w:rsid w:val="0049611E"/>
    <w:rsid w:val="00496B13"/>
    <w:rsid w:val="004A05E8"/>
    <w:rsid w:val="004A1FBA"/>
    <w:rsid w:val="004A3CD9"/>
    <w:rsid w:val="004A531B"/>
    <w:rsid w:val="004A563D"/>
    <w:rsid w:val="004A5FAF"/>
    <w:rsid w:val="004A60F2"/>
    <w:rsid w:val="004A6E31"/>
    <w:rsid w:val="004B00F9"/>
    <w:rsid w:val="004B0112"/>
    <w:rsid w:val="004B0345"/>
    <w:rsid w:val="004B0F69"/>
    <w:rsid w:val="004B1CD3"/>
    <w:rsid w:val="004B1F7B"/>
    <w:rsid w:val="004B1FB5"/>
    <w:rsid w:val="004B2046"/>
    <w:rsid w:val="004B238F"/>
    <w:rsid w:val="004B3E79"/>
    <w:rsid w:val="004B4363"/>
    <w:rsid w:val="004B4A22"/>
    <w:rsid w:val="004B4E2E"/>
    <w:rsid w:val="004B6EC7"/>
    <w:rsid w:val="004B7EBF"/>
    <w:rsid w:val="004C0128"/>
    <w:rsid w:val="004C02E4"/>
    <w:rsid w:val="004C087C"/>
    <w:rsid w:val="004C0D59"/>
    <w:rsid w:val="004C0E27"/>
    <w:rsid w:val="004C1EB4"/>
    <w:rsid w:val="004C2224"/>
    <w:rsid w:val="004C28E7"/>
    <w:rsid w:val="004C3983"/>
    <w:rsid w:val="004C5A91"/>
    <w:rsid w:val="004C71A8"/>
    <w:rsid w:val="004C7DFF"/>
    <w:rsid w:val="004D009B"/>
    <w:rsid w:val="004D04E0"/>
    <w:rsid w:val="004D1655"/>
    <w:rsid w:val="004D2476"/>
    <w:rsid w:val="004D2A02"/>
    <w:rsid w:val="004D2B1A"/>
    <w:rsid w:val="004D2C5F"/>
    <w:rsid w:val="004D2E96"/>
    <w:rsid w:val="004D3B53"/>
    <w:rsid w:val="004D3DA2"/>
    <w:rsid w:val="004D458F"/>
    <w:rsid w:val="004D4DBB"/>
    <w:rsid w:val="004D5050"/>
    <w:rsid w:val="004D652E"/>
    <w:rsid w:val="004D6C69"/>
    <w:rsid w:val="004D6D7E"/>
    <w:rsid w:val="004D7922"/>
    <w:rsid w:val="004E01B6"/>
    <w:rsid w:val="004E119E"/>
    <w:rsid w:val="004E12C2"/>
    <w:rsid w:val="004E1EE1"/>
    <w:rsid w:val="004E3D92"/>
    <w:rsid w:val="004E40DF"/>
    <w:rsid w:val="004E4372"/>
    <w:rsid w:val="004E4B67"/>
    <w:rsid w:val="004E62A2"/>
    <w:rsid w:val="004E6420"/>
    <w:rsid w:val="004F01A8"/>
    <w:rsid w:val="004F0883"/>
    <w:rsid w:val="004F38DD"/>
    <w:rsid w:val="004F701E"/>
    <w:rsid w:val="005009C6"/>
    <w:rsid w:val="00501448"/>
    <w:rsid w:val="005019D0"/>
    <w:rsid w:val="00502B54"/>
    <w:rsid w:val="00503A6D"/>
    <w:rsid w:val="00505F72"/>
    <w:rsid w:val="00505FB9"/>
    <w:rsid w:val="005063B2"/>
    <w:rsid w:val="00507424"/>
    <w:rsid w:val="00507FCB"/>
    <w:rsid w:val="0051092A"/>
    <w:rsid w:val="00510ED6"/>
    <w:rsid w:val="00511467"/>
    <w:rsid w:val="0051165F"/>
    <w:rsid w:val="00511842"/>
    <w:rsid w:val="005141BC"/>
    <w:rsid w:val="00514622"/>
    <w:rsid w:val="00514AA0"/>
    <w:rsid w:val="005160E5"/>
    <w:rsid w:val="005179DE"/>
    <w:rsid w:val="0052011B"/>
    <w:rsid w:val="00520408"/>
    <w:rsid w:val="00520BC7"/>
    <w:rsid w:val="00520E0E"/>
    <w:rsid w:val="0052157B"/>
    <w:rsid w:val="00522A16"/>
    <w:rsid w:val="00522A78"/>
    <w:rsid w:val="00522E48"/>
    <w:rsid w:val="00523516"/>
    <w:rsid w:val="005257DE"/>
    <w:rsid w:val="00526FC1"/>
    <w:rsid w:val="0052777F"/>
    <w:rsid w:val="00527ABF"/>
    <w:rsid w:val="00527CBE"/>
    <w:rsid w:val="005310E6"/>
    <w:rsid w:val="00532C6F"/>
    <w:rsid w:val="0053360C"/>
    <w:rsid w:val="00533749"/>
    <w:rsid w:val="00533AE7"/>
    <w:rsid w:val="00534DEF"/>
    <w:rsid w:val="00535E07"/>
    <w:rsid w:val="0053609F"/>
    <w:rsid w:val="00536408"/>
    <w:rsid w:val="00536A3A"/>
    <w:rsid w:val="00537C60"/>
    <w:rsid w:val="00540125"/>
    <w:rsid w:val="00540B53"/>
    <w:rsid w:val="00540CFB"/>
    <w:rsid w:val="00541071"/>
    <w:rsid w:val="0054133F"/>
    <w:rsid w:val="00541D98"/>
    <w:rsid w:val="005427CE"/>
    <w:rsid w:val="00544465"/>
    <w:rsid w:val="00544DBE"/>
    <w:rsid w:val="005451BB"/>
    <w:rsid w:val="00547134"/>
    <w:rsid w:val="00547393"/>
    <w:rsid w:val="00547499"/>
    <w:rsid w:val="005478AB"/>
    <w:rsid w:val="00547C10"/>
    <w:rsid w:val="005506A7"/>
    <w:rsid w:val="00550B2C"/>
    <w:rsid w:val="0055492C"/>
    <w:rsid w:val="00555218"/>
    <w:rsid w:val="00555997"/>
    <w:rsid w:val="00555BBE"/>
    <w:rsid w:val="00557A5B"/>
    <w:rsid w:val="00557AC6"/>
    <w:rsid w:val="00560002"/>
    <w:rsid w:val="00560415"/>
    <w:rsid w:val="0056092D"/>
    <w:rsid w:val="00560D05"/>
    <w:rsid w:val="00560E15"/>
    <w:rsid w:val="00561602"/>
    <w:rsid w:val="005618AE"/>
    <w:rsid w:val="00561A72"/>
    <w:rsid w:val="00563AFB"/>
    <w:rsid w:val="005642DA"/>
    <w:rsid w:val="00567048"/>
    <w:rsid w:val="00567A17"/>
    <w:rsid w:val="00573EE8"/>
    <w:rsid w:val="00574399"/>
    <w:rsid w:val="00574D14"/>
    <w:rsid w:val="005755E4"/>
    <w:rsid w:val="00575CB8"/>
    <w:rsid w:val="0058014D"/>
    <w:rsid w:val="00581530"/>
    <w:rsid w:val="00582A2E"/>
    <w:rsid w:val="00585456"/>
    <w:rsid w:val="0058585A"/>
    <w:rsid w:val="00591BB8"/>
    <w:rsid w:val="00592663"/>
    <w:rsid w:val="00592D9B"/>
    <w:rsid w:val="00592DF4"/>
    <w:rsid w:val="005936A5"/>
    <w:rsid w:val="00593F73"/>
    <w:rsid w:val="00595EBA"/>
    <w:rsid w:val="00595F52"/>
    <w:rsid w:val="00595FB7"/>
    <w:rsid w:val="00596255"/>
    <w:rsid w:val="00597088"/>
    <w:rsid w:val="00597101"/>
    <w:rsid w:val="00597799"/>
    <w:rsid w:val="005A077D"/>
    <w:rsid w:val="005A255B"/>
    <w:rsid w:val="005A2FE9"/>
    <w:rsid w:val="005A3586"/>
    <w:rsid w:val="005A3B98"/>
    <w:rsid w:val="005A4E6C"/>
    <w:rsid w:val="005A6601"/>
    <w:rsid w:val="005A6B01"/>
    <w:rsid w:val="005A6F5D"/>
    <w:rsid w:val="005A7772"/>
    <w:rsid w:val="005A7C7E"/>
    <w:rsid w:val="005B0922"/>
    <w:rsid w:val="005B2089"/>
    <w:rsid w:val="005B3496"/>
    <w:rsid w:val="005B34A4"/>
    <w:rsid w:val="005B34E3"/>
    <w:rsid w:val="005B48BA"/>
    <w:rsid w:val="005B5221"/>
    <w:rsid w:val="005B57BB"/>
    <w:rsid w:val="005B60D3"/>
    <w:rsid w:val="005B6C16"/>
    <w:rsid w:val="005C25DF"/>
    <w:rsid w:val="005C2743"/>
    <w:rsid w:val="005C277A"/>
    <w:rsid w:val="005C3698"/>
    <w:rsid w:val="005C3BB0"/>
    <w:rsid w:val="005C61E1"/>
    <w:rsid w:val="005C642E"/>
    <w:rsid w:val="005C6A13"/>
    <w:rsid w:val="005D186F"/>
    <w:rsid w:val="005D1F6B"/>
    <w:rsid w:val="005D3379"/>
    <w:rsid w:val="005D617F"/>
    <w:rsid w:val="005E0B26"/>
    <w:rsid w:val="005E2347"/>
    <w:rsid w:val="005E4311"/>
    <w:rsid w:val="005E4593"/>
    <w:rsid w:val="005E5E78"/>
    <w:rsid w:val="005E6052"/>
    <w:rsid w:val="005E6219"/>
    <w:rsid w:val="005E6306"/>
    <w:rsid w:val="005E64F2"/>
    <w:rsid w:val="005E726F"/>
    <w:rsid w:val="005F1173"/>
    <w:rsid w:val="005F1EF2"/>
    <w:rsid w:val="005F2558"/>
    <w:rsid w:val="005F396F"/>
    <w:rsid w:val="005F3D03"/>
    <w:rsid w:val="005F3DC8"/>
    <w:rsid w:val="005F5A9C"/>
    <w:rsid w:val="005F5F9D"/>
    <w:rsid w:val="005F6815"/>
    <w:rsid w:val="00600419"/>
    <w:rsid w:val="00600FED"/>
    <w:rsid w:val="00602A2F"/>
    <w:rsid w:val="00603BB7"/>
    <w:rsid w:val="006040DA"/>
    <w:rsid w:val="006066EC"/>
    <w:rsid w:val="00607D88"/>
    <w:rsid w:val="006111F2"/>
    <w:rsid w:val="00611787"/>
    <w:rsid w:val="00611AD9"/>
    <w:rsid w:val="00612193"/>
    <w:rsid w:val="00612C36"/>
    <w:rsid w:val="00614311"/>
    <w:rsid w:val="0061497D"/>
    <w:rsid w:val="00620E61"/>
    <w:rsid w:val="00620EE9"/>
    <w:rsid w:val="00621B61"/>
    <w:rsid w:val="00622293"/>
    <w:rsid w:val="00624325"/>
    <w:rsid w:val="00624787"/>
    <w:rsid w:val="00624941"/>
    <w:rsid w:val="006268EA"/>
    <w:rsid w:val="006271BE"/>
    <w:rsid w:val="00627318"/>
    <w:rsid w:val="00630401"/>
    <w:rsid w:val="0063087B"/>
    <w:rsid w:val="00630A74"/>
    <w:rsid w:val="00630DF2"/>
    <w:rsid w:val="00631331"/>
    <w:rsid w:val="00631906"/>
    <w:rsid w:val="0063262E"/>
    <w:rsid w:val="00633259"/>
    <w:rsid w:val="006336F0"/>
    <w:rsid w:val="00634FAF"/>
    <w:rsid w:val="00635C24"/>
    <w:rsid w:val="006379D3"/>
    <w:rsid w:val="00641E28"/>
    <w:rsid w:val="00642A4C"/>
    <w:rsid w:val="00642D85"/>
    <w:rsid w:val="00643101"/>
    <w:rsid w:val="006436BE"/>
    <w:rsid w:val="006438A3"/>
    <w:rsid w:val="006440D8"/>
    <w:rsid w:val="00644EA1"/>
    <w:rsid w:val="00645974"/>
    <w:rsid w:val="00645DEA"/>
    <w:rsid w:val="0064629C"/>
    <w:rsid w:val="00646D87"/>
    <w:rsid w:val="00646DF7"/>
    <w:rsid w:val="00647B88"/>
    <w:rsid w:val="00650958"/>
    <w:rsid w:val="00650D0B"/>
    <w:rsid w:val="0065236F"/>
    <w:rsid w:val="006527E7"/>
    <w:rsid w:val="00653483"/>
    <w:rsid w:val="00653C81"/>
    <w:rsid w:val="00654A36"/>
    <w:rsid w:val="00654C51"/>
    <w:rsid w:val="00656632"/>
    <w:rsid w:val="006570FB"/>
    <w:rsid w:val="0065783A"/>
    <w:rsid w:val="00660049"/>
    <w:rsid w:val="00663985"/>
    <w:rsid w:val="00663BF5"/>
    <w:rsid w:val="00663EF9"/>
    <w:rsid w:val="006643C6"/>
    <w:rsid w:val="006655AE"/>
    <w:rsid w:val="00665C9A"/>
    <w:rsid w:val="00671137"/>
    <w:rsid w:val="006715E4"/>
    <w:rsid w:val="00671E88"/>
    <w:rsid w:val="00672501"/>
    <w:rsid w:val="00672641"/>
    <w:rsid w:val="00672CDF"/>
    <w:rsid w:val="00673300"/>
    <w:rsid w:val="00673486"/>
    <w:rsid w:val="006737B2"/>
    <w:rsid w:val="0067411B"/>
    <w:rsid w:val="00675346"/>
    <w:rsid w:val="00677339"/>
    <w:rsid w:val="00677FEF"/>
    <w:rsid w:val="00680535"/>
    <w:rsid w:val="006838E4"/>
    <w:rsid w:val="00683DC2"/>
    <w:rsid w:val="00683E6A"/>
    <w:rsid w:val="006846B5"/>
    <w:rsid w:val="0068655C"/>
    <w:rsid w:val="00686BC3"/>
    <w:rsid w:val="0068716E"/>
    <w:rsid w:val="0068740F"/>
    <w:rsid w:val="00687996"/>
    <w:rsid w:val="00690385"/>
    <w:rsid w:val="006907D8"/>
    <w:rsid w:val="0069167A"/>
    <w:rsid w:val="00692302"/>
    <w:rsid w:val="00692C03"/>
    <w:rsid w:val="00692FE4"/>
    <w:rsid w:val="006932E3"/>
    <w:rsid w:val="0069386A"/>
    <w:rsid w:val="00694637"/>
    <w:rsid w:val="00696A9F"/>
    <w:rsid w:val="006975D2"/>
    <w:rsid w:val="00697EB3"/>
    <w:rsid w:val="006A03D8"/>
    <w:rsid w:val="006A07A6"/>
    <w:rsid w:val="006A11E8"/>
    <w:rsid w:val="006A2003"/>
    <w:rsid w:val="006A2387"/>
    <w:rsid w:val="006A456A"/>
    <w:rsid w:val="006A49FC"/>
    <w:rsid w:val="006A4A1B"/>
    <w:rsid w:val="006A53A9"/>
    <w:rsid w:val="006A57FF"/>
    <w:rsid w:val="006A681C"/>
    <w:rsid w:val="006A6E2F"/>
    <w:rsid w:val="006B0851"/>
    <w:rsid w:val="006B184B"/>
    <w:rsid w:val="006B3F8F"/>
    <w:rsid w:val="006B4299"/>
    <w:rsid w:val="006B5158"/>
    <w:rsid w:val="006B5696"/>
    <w:rsid w:val="006B7743"/>
    <w:rsid w:val="006C1298"/>
    <w:rsid w:val="006C18F9"/>
    <w:rsid w:val="006C19CF"/>
    <w:rsid w:val="006C1E11"/>
    <w:rsid w:val="006C249E"/>
    <w:rsid w:val="006C5CFC"/>
    <w:rsid w:val="006C62D1"/>
    <w:rsid w:val="006C6667"/>
    <w:rsid w:val="006C7BA6"/>
    <w:rsid w:val="006D09E3"/>
    <w:rsid w:val="006D1681"/>
    <w:rsid w:val="006D1D33"/>
    <w:rsid w:val="006D29EE"/>
    <w:rsid w:val="006D2E3C"/>
    <w:rsid w:val="006D3410"/>
    <w:rsid w:val="006D5E4B"/>
    <w:rsid w:val="006D60D8"/>
    <w:rsid w:val="006D6C5D"/>
    <w:rsid w:val="006D7731"/>
    <w:rsid w:val="006D7C2F"/>
    <w:rsid w:val="006E00A0"/>
    <w:rsid w:val="006E036E"/>
    <w:rsid w:val="006E2B73"/>
    <w:rsid w:val="006E31E4"/>
    <w:rsid w:val="006E3571"/>
    <w:rsid w:val="006E3A51"/>
    <w:rsid w:val="006E4299"/>
    <w:rsid w:val="006E5C5E"/>
    <w:rsid w:val="006E5D25"/>
    <w:rsid w:val="006E602E"/>
    <w:rsid w:val="006E6C3D"/>
    <w:rsid w:val="006E7A41"/>
    <w:rsid w:val="006F00FD"/>
    <w:rsid w:val="006F09DA"/>
    <w:rsid w:val="006F0D21"/>
    <w:rsid w:val="006F1C43"/>
    <w:rsid w:val="006F279C"/>
    <w:rsid w:val="006F3537"/>
    <w:rsid w:val="006F5A66"/>
    <w:rsid w:val="006F6E51"/>
    <w:rsid w:val="006F7389"/>
    <w:rsid w:val="00701A46"/>
    <w:rsid w:val="00701BAD"/>
    <w:rsid w:val="00701DDD"/>
    <w:rsid w:val="007034A2"/>
    <w:rsid w:val="00703C41"/>
    <w:rsid w:val="0070402E"/>
    <w:rsid w:val="007048B4"/>
    <w:rsid w:val="00704CD1"/>
    <w:rsid w:val="007057A9"/>
    <w:rsid w:val="00705A31"/>
    <w:rsid w:val="0070653E"/>
    <w:rsid w:val="00706746"/>
    <w:rsid w:val="00706F87"/>
    <w:rsid w:val="00707FAC"/>
    <w:rsid w:val="00710882"/>
    <w:rsid w:val="00711020"/>
    <w:rsid w:val="007122AC"/>
    <w:rsid w:val="007139B1"/>
    <w:rsid w:val="0071583E"/>
    <w:rsid w:val="00715F1C"/>
    <w:rsid w:val="00716016"/>
    <w:rsid w:val="00716E6F"/>
    <w:rsid w:val="00717549"/>
    <w:rsid w:val="007177A7"/>
    <w:rsid w:val="00720767"/>
    <w:rsid w:val="0072094A"/>
    <w:rsid w:val="007216A9"/>
    <w:rsid w:val="00721E53"/>
    <w:rsid w:val="00722491"/>
    <w:rsid w:val="00722E93"/>
    <w:rsid w:val="0072444F"/>
    <w:rsid w:val="007248A7"/>
    <w:rsid w:val="00730134"/>
    <w:rsid w:val="007308EE"/>
    <w:rsid w:val="007309BE"/>
    <w:rsid w:val="00730CF5"/>
    <w:rsid w:val="007323B8"/>
    <w:rsid w:val="00734D2B"/>
    <w:rsid w:val="0073560D"/>
    <w:rsid w:val="007357CB"/>
    <w:rsid w:val="00736728"/>
    <w:rsid w:val="0073734A"/>
    <w:rsid w:val="0073759A"/>
    <w:rsid w:val="007406A1"/>
    <w:rsid w:val="00740F59"/>
    <w:rsid w:val="007422EE"/>
    <w:rsid w:val="0074264B"/>
    <w:rsid w:val="00742B60"/>
    <w:rsid w:val="00742B6F"/>
    <w:rsid w:val="00742E62"/>
    <w:rsid w:val="007440A0"/>
    <w:rsid w:val="00744351"/>
    <w:rsid w:val="0074435A"/>
    <w:rsid w:val="007443A0"/>
    <w:rsid w:val="00744CE8"/>
    <w:rsid w:val="00744D93"/>
    <w:rsid w:val="00744F8A"/>
    <w:rsid w:val="007457FD"/>
    <w:rsid w:val="00745B42"/>
    <w:rsid w:val="00746C75"/>
    <w:rsid w:val="007472FE"/>
    <w:rsid w:val="007508C5"/>
    <w:rsid w:val="00750B82"/>
    <w:rsid w:val="00750DDA"/>
    <w:rsid w:val="0075195D"/>
    <w:rsid w:val="00751AC2"/>
    <w:rsid w:val="00751C2D"/>
    <w:rsid w:val="00752259"/>
    <w:rsid w:val="00752605"/>
    <w:rsid w:val="0075262F"/>
    <w:rsid w:val="00753516"/>
    <w:rsid w:val="0075382F"/>
    <w:rsid w:val="00756484"/>
    <w:rsid w:val="00757509"/>
    <w:rsid w:val="00757EC1"/>
    <w:rsid w:val="00757FC4"/>
    <w:rsid w:val="00760B3B"/>
    <w:rsid w:val="00761607"/>
    <w:rsid w:val="00762480"/>
    <w:rsid w:val="00763AEC"/>
    <w:rsid w:val="00763D1F"/>
    <w:rsid w:val="00765CBF"/>
    <w:rsid w:val="007662AD"/>
    <w:rsid w:val="00767644"/>
    <w:rsid w:val="00767DD8"/>
    <w:rsid w:val="00771B47"/>
    <w:rsid w:val="00771BB0"/>
    <w:rsid w:val="007726B2"/>
    <w:rsid w:val="0077403B"/>
    <w:rsid w:val="0077450D"/>
    <w:rsid w:val="00774691"/>
    <w:rsid w:val="00775521"/>
    <w:rsid w:val="007770BB"/>
    <w:rsid w:val="00781BA1"/>
    <w:rsid w:val="0078308B"/>
    <w:rsid w:val="007842D7"/>
    <w:rsid w:val="00784876"/>
    <w:rsid w:val="00784CF4"/>
    <w:rsid w:val="0078500D"/>
    <w:rsid w:val="00787072"/>
    <w:rsid w:val="007903FF"/>
    <w:rsid w:val="007905B2"/>
    <w:rsid w:val="0079165B"/>
    <w:rsid w:val="00791EAF"/>
    <w:rsid w:val="0079228C"/>
    <w:rsid w:val="00794A5A"/>
    <w:rsid w:val="007951F5"/>
    <w:rsid w:val="00795996"/>
    <w:rsid w:val="00796984"/>
    <w:rsid w:val="007A24D3"/>
    <w:rsid w:val="007A25AA"/>
    <w:rsid w:val="007A38A3"/>
    <w:rsid w:val="007A4137"/>
    <w:rsid w:val="007A47EC"/>
    <w:rsid w:val="007A4F72"/>
    <w:rsid w:val="007A5007"/>
    <w:rsid w:val="007A58A8"/>
    <w:rsid w:val="007A596D"/>
    <w:rsid w:val="007A6079"/>
    <w:rsid w:val="007A60D1"/>
    <w:rsid w:val="007A6641"/>
    <w:rsid w:val="007A7AED"/>
    <w:rsid w:val="007A7F42"/>
    <w:rsid w:val="007B01E9"/>
    <w:rsid w:val="007B1B24"/>
    <w:rsid w:val="007B32AC"/>
    <w:rsid w:val="007B57A5"/>
    <w:rsid w:val="007B5980"/>
    <w:rsid w:val="007B60A9"/>
    <w:rsid w:val="007B660D"/>
    <w:rsid w:val="007B6A38"/>
    <w:rsid w:val="007B6F2B"/>
    <w:rsid w:val="007B759C"/>
    <w:rsid w:val="007C26AE"/>
    <w:rsid w:val="007C3D01"/>
    <w:rsid w:val="007C4D6A"/>
    <w:rsid w:val="007C62CA"/>
    <w:rsid w:val="007C63BB"/>
    <w:rsid w:val="007C773F"/>
    <w:rsid w:val="007C7A53"/>
    <w:rsid w:val="007D0B81"/>
    <w:rsid w:val="007D1003"/>
    <w:rsid w:val="007D1B48"/>
    <w:rsid w:val="007D359D"/>
    <w:rsid w:val="007D40FD"/>
    <w:rsid w:val="007D4CFF"/>
    <w:rsid w:val="007D585B"/>
    <w:rsid w:val="007D7334"/>
    <w:rsid w:val="007D74BE"/>
    <w:rsid w:val="007D788C"/>
    <w:rsid w:val="007D7CA9"/>
    <w:rsid w:val="007E0CB3"/>
    <w:rsid w:val="007E0D93"/>
    <w:rsid w:val="007E1955"/>
    <w:rsid w:val="007E195E"/>
    <w:rsid w:val="007E3364"/>
    <w:rsid w:val="007E3DF4"/>
    <w:rsid w:val="007E4DC4"/>
    <w:rsid w:val="007E5201"/>
    <w:rsid w:val="007E5205"/>
    <w:rsid w:val="007E66AF"/>
    <w:rsid w:val="007F05C5"/>
    <w:rsid w:val="007F1951"/>
    <w:rsid w:val="007F1E2B"/>
    <w:rsid w:val="007F2CBD"/>
    <w:rsid w:val="007F34CA"/>
    <w:rsid w:val="007F440A"/>
    <w:rsid w:val="007F47D6"/>
    <w:rsid w:val="007F4C91"/>
    <w:rsid w:val="007F5864"/>
    <w:rsid w:val="007F5D44"/>
    <w:rsid w:val="007F5F1D"/>
    <w:rsid w:val="007F698A"/>
    <w:rsid w:val="007F706B"/>
    <w:rsid w:val="007F7097"/>
    <w:rsid w:val="00800778"/>
    <w:rsid w:val="0080153D"/>
    <w:rsid w:val="00802062"/>
    <w:rsid w:val="00802065"/>
    <w:rsid w:val="00802168"/>
    <w:rsid w:val="00803C22"/>
    <w:rsid w:val="00806055"/>
    <w:rsid w:val="008066B0"/>
    <w:rsid w:val="0080793D"/>
    <w:rsid w:val="00807F12"/>
    <w:rsid w:val="008115AC"/>
    <w:rsid w:val="00812011"/>
    <w:rsid w:val="00815DFC"/>
    <w:rsid w:val="00816B83"/>
    <w:rsid w:val="00816FCE"/>
    <w:rsid w:val="00817D1C"/>
    <w:rsid w:val="00817F86"/>
    <w:rsid w:val="0082100C"/>
    <w:rsid w:val="00821C76"/>
    <w:rsid w:val="008230D9"/>
    <w:rsid w:val="00823FF7"/>
    <w:rsid w:val="008251C5"/>
    <w:rsid w:val="008268F7"/>
    <w:rsid w:val="008269A9"/>
    <w:rsid w:val="008274BA"/>
    <w:rsid w:val="00827BF3"/>
    <w:rsid w:val="0083042A"/>
    <w:rsid w:val="00831602"/>
    <w:rsid w:val="00832178"/>
    <w:rsid w:val="0083467E"/>
    <w:rsid w:val="0083496B"/>
    <w:rsid w:val="008349E5"/>
    <w:rsid w:val="00835323"/>
    <w:rsid w:val="0083676A"/>
    <w:rsid w:val="00840358"/>
    <w:rsid w:val="0084121B"/>
    <w:rsid w:val="00841686"/>
    <w:rsid w:val="00841846"/>
    <w:rsid w:val="00842444"/>
    <w:rsid w:val="008427A4"/>
    <w:rsid w:val="00843744"/>
    <w:rsid w:val="00845021"/>
    <w:rsid w:val="008459E6"/>
    <w:rsid w:val="0084787B"/>
    <w:rsid w:val="00847B19"/>
    <w:rsid w:val="008501F9"/>
    <w:rsid w:val="00850E5F"/>
    <w:rsid w:val="008538A4"/>
    <w:rsid w:val="00854133"/>
    <w:rsid w:val="00854683"/>
    <w:rsid w:val="0085498E"/>
    <w:rsid w:val="00854E13"/>
    <w:rsid w:val="00855154"/>
    <w:rsid w:val="008553F9"/>
    <w:rsid w:val="00856742"/>
    <w:rsid w:val="00856E29"/>
    <w:rsid w:val="00856E32"/>
    <w:rsid w:val="00857F67"/>
    <w:rsid w:val="0086049A"/>
    <w:rsid w:val="00860B5F"/>
    <w:rsid w:val="00861722"/>
    <w:rsid w:val="00862B63"/>
    <w:rsid w:val="00863D13"/>
    <w:rsid w:val="00863F68"/>
    <w:rsid w:val="008652B3"/>
    <w:rsid w:val="008660FF"/>
    <w:rsid w:val="0086736E"/>
    <w:rsid w:val="00870D0A"/>
    <w:rsid w:val="00871074"/>
    <w:rsid w:val="008718AE"/>
    <w:rsid w:val="008720DB"/>
    <w:rsid w:val="00872395"/>
    <w:rsid w:val="00874BB8"/>
    <w:rsid w:val="00874F00"/>
    <w:rsid w:val="00875022"/>
    <w:rsid w:val="00876190"/>
    <w:rsid w:val="00876382"/>
    <w:rsid w:val="0088000C"/>
    <w:rsid w:val="0088019A"/>
    <w:rsid w:val="0088019C"/>
    <w:rsid w:val="0088057B"/>
    <w:rsid w:val="008806F6"/>
    <w:rsid w:val="00880B6C"/>
    <w:rsid w:val="00881D31"/>
    <w:rsid w:val="008824CF"/>
    <w:rsid w:val="00883ADD"/>
    <w:rsid w:val="008840FD"/>
    <w:rsid w:val="00884D5C"/>
    <w:rsid w:val="0088516C"/>
    <w:rsid w:val="00885D91"/>
    <w:rsid w:val="00886265"/>
    <w:rsid w:val="0088657D"/>
    <w:rsid w:val="00886C47"/>
    <w:rsid w:val="008877CD"/>
    <w:rsid w:val="00887800"/>
    <w:rsid w:val="00891228"/>
    <w:rsid w:val="00891C27"/>
    <w:rsid w:val="00894963"/>
    <w:rsid w:val="00894AC7"/>
    <w:rsid w:val="00895230"/>
    <w:rsid w:val="008955EA"/>
    <w:rsid w:val="00896B9B"/>
    <w:rsid w:val="00897D33"/>
    <w:rsid w:val="008A19AC"/>
    <w:rsid w:val="008A1AAC"/>
    <w:rsid w:val="008A285E"/>
    <w:rsid w:val="008A3549"/>
    <w:rsid w:val="008A3E31"/>
    <w:rsid w:val="008A418E"/>
    <w:rsid w:val="008A4ADF"/>
    <w:rsid w:val="008A607A"/>
    <w:rsid w:val="008A7C17"/>
    <w:rsid w:val="008B0FF2"/>
    <w:rsid w:val="008B1D37"/>
    <w:rsid w:val="008B2522"/>
    <w:rsid w:val="008B2CCB"/>
    <w:rsid w:val="008B4DBE"/>
    <w:rsid w:val="008B5CDB"/>
    <w:rsid w:val="008B7E84"/>
    <w:rsid w:val="008C0A3E"/>
    <w:rsid w:val="008C0CDE"/>
    <w:rsid w:val="008C0DB0"/>
    <w:rsid w:val="008C3C11"/>
    <w:rsid w:val="008C4DDD"/>
    <w:rsid w:val="008C6453"/>
    <w:rsid w:val="008C6C04"/>
    <w:rsid w:val="008C79E4"/>
    <w:rsid w:val="008D0968"/>
    <w:rsid w:val="008D21D0"/>
    <w:rsid w:val="008D239B"/>
    <w:rsid w:val="008D26EB"/>
    <w:rsid w:val="008D3881"/>
    <w:rsid w:val="008D7E1D"/>
    <w:rsid w:val="008E0421"/>
    <w:rsid w:val="008E0ED6"/>
    <w:rsid w:val="008E0FF4"/>
    <w:rsid w:val="008E15C9"/>
    <w:rsid w:val="008E1EF8"/>
    <w:rsid w:val="008E2063"/>
    <w:rsid w:val="008E3ED0"/>
    <w:rsid w:val="008E4EFA"/>
    <w:rsid w:val="008E5848"/>
    <w:rsid w:val="008E7046"/>
    <w:rsid w:val="008E7251"/>
    <w:rsid w:val="008E7418"/>
    <w:rsid w:val="008E7816"/>
    <w:rsid w:val="008F1C3E"/>
    <w:rsid w:val="008F25C8"/>
    <w:rsid w:val="008F3DDF"/>
    <w:rsid w:val="008F3FE2"/>
    <w:rsid w:val="008F42DF"/>
    <w:rsid w:val="008F5685"/>
    <w:rsid w:val="008F5771"/>
    <w:rsid w:val="008F66DA"/>
    <w:rsid w:val="008F73EA"/>
    <w:rsid w:val="009005A9"/>
    <w:rsid w:val="0090078A"/>
    <w:rsid w:val="00900A17"/>
    <w:rsid w:val="00900DEC"/>
    <w:rsid w:val="00900FAD"/>
    <w:rsid w:val="00902D42"/>
    <w:rsid w:val="00905265"/>
    <w:rsid w:val="009054CF"/>
    <w:rsid w:val="00906864"/>
    <w:rsid w:val="00906A2D"/>
    <w:rsid w:val="009074BB"/>
    <w:rsid w:val="00910A2F"/>
    <w:rsid w:val="00911191"/>
    <w:rsid w:val="009118E5"/>
    <w:rsid w:val="00912FFA"/>
    <w:rsid w:val="0091304E"/>
    <w:rsid w:val="00915842"/>
    <w:rsid w:val="00915CF8"/>
    <w:rsid w:val="00917FC7"/>
    <w:rsid w:val="00921A1E"/>
    <w:rsid w:val="00922087"/>
    <w:rsid w:val="00922C53"/>
    <w:rsid w:val="00922E19"/>
    <w:rsid w:val="0092436D"/>
    <w:rsid w:val="009250FC"/>
    <w:rsid w:val="00925C38"/>
    <w:rsid w:val="00925C9F"/>
    <w:rsid w:val="00925CF6"/>
    <w:rsid w:val="00927517"/>
    <w:rsid w:val="00927A70"/>
    <w:rsid w:val="00930AEA"/>
    <w:rsid w:val="009312CB"/>
    <w:rsid w:val="00933134"/>
    <w:rsid w:val="00933A16"/>
    <w:rsid w:val="009340E9"/>
    <w:rsid w:val="0093412B"/>
    <w:rsid w:val="00934421"/>
    <w:rsid w:val="00935C33"/>
    <w:rsid w:val="00935EBF"/>
    <w:rsid w:val="00936345"/>
    <w:rsid w:val="0093730F"/>
    <w:rsid w:val="009403E1"/>
    <w:rsid w:val="00940A71"/>
    <w:rsid w:val="00941355"/>
    <w:rsid w:val="009423E7"/>
    <w:rsid w:val="00945E75"/>
    <w:rsid w:val="0094718D"/>
    <w:rsid w:val="00951EC5"/>
    <w:rsid w:val="00953295"/>
    <w:rsid w:val="009532C2"/>
    <w:rsid w:val="0095333C"/>
    <w:rsid w:val="009533D2"/>
    <w:rsid w:val="00953A2B"/>
    <w:rsid w:val="0095420D"/>
    <w:rsid w:val="009547DD"/>
    <w:rsid w:val="00957024"/>
    <w:rsid w:val="00957A1B"/>
    <w:rsid w:val="00957F66"/>
    <w:rsid w:val="0096022D"/>
    <w:rsid w:val="009614FE"/>
    <w:rsid w:val="00962A0A"/>
    <w:rsid w:val="00962AA8"/>
    <w:rsid w:val="00962CD0"/>
    <w:rsid w:val="00963404"/>
    <w:rsid w:val="00964DD2"/>
    <w:rsid w:val="009652F3"/>
    <w:rsid w:val="009654FC"/>
    <w:rsid w:val="00966B90"/>
    <w:rsid w:val="00967069"/>
    <w:rsid w:val="00967099"/>
    <w:rsid w:val="00967D2B"/>
    <w:rsid w:val="00971F80"/>
    <w:rsid w:val="009735E3"/>
    <w:rsid w:val="009737A8"/>
    <w:rsid w:val="00975A7F"/>
    <w:rsid w:val="00976B28"/>
    <w:rsid w:val="00976E6B"/>
    <w:rsid w:val="00977037"/>
    <w:rsid w:val="00977690"/>
    <w:rsid w:val="00977A65"/>
    <w:rsid w:val="00980280"/>
    <w:rsid w:val="00980305"/>
    <w:rsid w:val="00981583"/>
    <w:rsid w:val="00982CAC"/>
    <w:rsid w:val="00982D27"/>
    <w:rsid w:val="00982F60"/>
    <w:rsid w:val="00983081"/>
    <w:rsid w:val="00983B5D"/>
    <w:rsid w:val="00984D93"/>
    <w:rsid w:val="009851DD"/>
    <w:rsid w:val="00985A8E"/>
    <w:rsid w:val="00986633"/>
    <w:rsid w:val="00986C8C"/>
    <w:rsid w:val="0098712E"/>
    <w:rsid w:val="009872D8"/>
    <w:rsid w:val="009877FE"/>
    <w:rsid w:val="009905C6"/>
    <w:rsid w:val="0099136C"/>
    <w:rsid w:val="00991702"/>
    <w:rsid w:val="00991E17"/>
    <w:rsid w:val="00994FE2"/>
    <w:rsid w:val="0099562F"/>
    <w:rsid w:val="00995851"/>
    <w:rsid w:val="009A1018"/>
    <w:rsid w:val="009A17D5"/>
    <w:rsid w:val="009A1856"/>
    <w:rsid w:val="009A25A9"/>
    <w:rsid w:val="009A3154"/>
    <w:rsid w:val="009A49E8"/>
    <w:rsid w:val="009A4E46"/>
    <w:rsid w:val="009A6A68"/>
    <w:rsid w:val="009A6F68"/>
    <w:rsid w:val="009A705D"/>
    <w:rsid w:val="009B0972"/>
    <w:rsid w:val="009B142B"/>
    <w:rsid w:val="009B2021"/>
    <w:rsid w:val="009B28DB"/>
    <w:rsid w:val="009B32BD"/>
    <w:rsid w:val="009B47B3"/>
    <w:rsid w:val="009B75EB"/>
    <w:rsid w:val="009B7B34"/>
    <w:rsid w:val="009C062B"/>
    <w:rsid w:val="009C1C13"/>
    <w:rsid w:val="009C217B"/>
    <w:rsid w:val="009C40B8"/>
    <w:rsid w:val="009C4E61"/>
    <w:rsid w:val="009C545B"/>
    <w:rsid w:val="009C5598"/>
    <w:rsid w:val="009C5DC8"/>
    <w:rsid w:val="009C6E90"/>
    <w:rsid w:val="009C7C75"/>
    <w:rsid w:val="009D0B19"/>
    <w:rsid w:val="009D118C"/>
    <w:rsid w:val="009D2D87"/>
    <w:rsid w:val="009D4060"/>
    <w:rsid w:val="009D449A"/>
    <w:rsid w:val="009D44DE"/>
    <w:rsid w:val="009D55AB"/>
    <w:rsid w:val="009D6239"/>
    <w:rsid w:val="009D7F49"/>
    <w:rsid w:val="009E10CE"/>
    <w:rsid w:val="009E176B"/>
    <w:rsid w:val="009E5C95"/>
    <w:rsid w:val="009E63F3"/>
    <w:rsid w:val="009F02E2"/>
    <w:rsid w:val="009F083D"/>
    <w:rsid w:val="009F16DE"/>
    <w:rsid w:val="009F278F"/>
    <w:rsid w:val="009F2C75"/>
    <w:rsid w:val="009F312B"/>
    <w:rsid w:val="009F4C5E"/>
    <w:rsid w:val="009F5628"/>
    <w:rsid w:val="009F5F10"/>
    <w:rsid w:val="009F64BA"/>
    <w:rsid w:val="009F6DEC"/>
    <w:rsid w:val="009F736F"/>
    <w:rsid w:val="009F7B1C"/>
    <w:rsid w:val="00A00381"/>
    <w:rsid w:val="00A00F78"/>
    <w:rsid w:val="00A01598"/>
    <w:rsid w:val="00A016D9"/>
    <w:rsid w:val="00A021ED"/>
    <w:rsid w:val="00A03D30"/>
    <w:rsid w:val="00A042FC"/>
    <w:rsid w:val="00A046D3"/>
    <w:rsid w:val="00A04AE9"/>
    <w:rsid w:val="00A04D8D"/>
    <w:rsid w:val="00A065ED"/>
    <w:rsid w:val="00A066C6"/>
    <w:rsid w:val="00A101EA"/>
    <w:rsid w:val="00A10A0A"/>
    <w:rsid w:val="00A114BB"/>
    <w:rsid w:val="00A12551"/>
    <w:rsid w:val="00A1299B"/>
    <w:rsid w:val="00A12FE8"/>
    <w:rsid w:val="00A14341"/>
    <w:rsid w:val="00A1487D"/>
    <w:rsid w:val="00A1501A"/>
    <w:rsid w:val="00A17AEC"/>
    <w:rsid w:val="00A17EDC"/>
    <w:rsid w:val="00A2061E"/>
    <w:rsid w:val="00A2081A"/>
    <w:rsid w:val="00A20BB0"/>
    <w:rsid w:val="00A20BF4"/>
    <w:rsid w:val="00A2146D"/>
    <w:rsid w:val="00A214D2"/>
    <w:rsid w:val="00A23529"/>
    <w:rsid w:val="00A2382C"/>
    <w:rsid w:val="00A25989"/>
    <w:rsid w:val="00A25EAD"/>
    <w:rsid w:val="00A27AAE"/>
    <w:rsid w:val="00A300B9"/>
    <w:rsid w:val="00A3014E"/>
    <w:rsid w:val="00A30537"/>
    <w:rsid w:val="00A308A9"/>
    <w:rsid w:val="00A34778"/>
    <w:rsid w:val="00A353A9"/>
    <w:rsid w:val="00A35513"/>
    <w:rsid w:val="00A3596E"/>
    <w:rsid w:val="00A36605"/>
    <w:rsid w:val="00A3742E"/>
    <w:rsid w:val="00A37BBA"/>
    <w:rsid w:val="00A41C1D"/>
    <w:rsid w:val="00A42162"/>
    <w:rsid w:val="00A429B3"/>
    <w:rsid w:val="00A4336C"/>
    <w:rsid w:val="00A43388"/>
    <w:rsid w:val="00A45514"/>
    <w:rsid w:val="00A45DDB"/>
    <w:rsid w:val="00A46445"/>
    <w:rsid w:val="00A47385"/>
    <w:rsid w:val="00A50607"/>
    <w:rsid w:val="00A52926"/>
    <w:rsid w:val="00A55C41"/>
    <w:rsid w:val="00A56022"/>
    <w:rsid w:val="00A57430"/>
    <w:rsid w:val="00A6080E"/>
    <w:rsid w:val="00A61F37"/>
    <w:rsid w:val="00A62131"/>
    <w:rsid w:val="00A6307E"/>
    <w:rsid w:val="00A641C6"/>
    <w:rsid w:val="00A6428F"/>
    <w:rsid w:val="00A6611A"/>
    <w:rsid w:val="00A6667C"/>
    <w:rsid w:val="00A66F0A"/>
    <w:rsid w:val="00A720F7"/>
    <w:rsid w:val="00A72DAA"/>
    <w:rsid w:val="00A74931"/>
    <w:rsid w:val="00A75341"/>
    <w:rsid w:val="00A75E03"/>
    <w:rsid w:val="00A765CA"/>
    <w:rsid w:val="00A7699B"/>
    <w:rsid w:val="00A76D6B"/>
    <w:rsid w:val="00A777BB"/>
    <w:rsid w:val="00A77919"/>
    <w:rsid w:val="00A803E8"/>
    <w:rsid w:val="00A8172C"/>
    <w:rsid w:val="00A8234C"/>
    <w:rsid w:val="00A824C7"/>
    <w:rsid w:val="00A8251E"/>
    <w:rsid w:val="00A82E9E"/>
    <w:rsid w:val="00A83034"/>
    <w:rsid w:val="00A84DA0"/>
    <w:rsid w:val="00A84EFD"/>
    <w:rsid w:val="00A85F38"/>
    <w:rsid w:val="00A86001"/>
    <w:rsid w:val="00A90439"/>
    <w:rsid w:val="00A9046A"/>
    <w:rsid w:val="00A90E17"/>
    <w:rsid w:val="00A9131C"/>
    <w:rsid w:val="00A922C1"/>
    <w:rsid w:val="00A923E2"/>
    <w:rsid w:val="00A92FD6"/>
    <w:rsid w:val="00A93057"/>
    <w:rsid w:val="00A933DE"/>
    <w:rsid w:val="00A957CB"/>
    <w:rsid w:val="00A95E67"/>
    <w:rsid w:val="00A96689"/>
    <w:rsid w:val="00A9717D"/>
    <w:rsid w:val="00A97D37"/>
    <w:rsid w:val="00AA0A75"/>
    <w:rsid w:val="00AA0E34"/>
    <w:rsid w:val="00AA19BD"/>
    <w:rsid w:val="00AA22D7"/>
    <w:rsid w:val="00AA2C7C"/>
    <w:rsid w:val="00AA411F"/>
    <w:rsid w:val="00AA4462"/>
    <w:rsid w:val="00AA4FC1"/>
    <w:rsid w:val="00AA556A"/>
    <w:rsid w:val="00AA641A"/>
    <w:rsid w:val="00AA7155"/>
    <w:rsid w:val="00AA77DA"/>
    <w:rsid w:val="00AB02F6"/>
    <w:rsid w:val="00AB06BB"/>
    <w:rsid w:val="00AB12C0"/>
    <w:rsid w:val="00AB43AD"/>
    <w:rsid w:val="00AB6276"/>
    <w:rsid w:val="00AB6507"/>
    <w:rsid w:val="00AB7560"/>
    <w:rsid w:val="00AB7DAC"/>
    <w:rsid w:val="00AC0DA5"/>
    <w:rsid w:val="00AC14D5"/>
    <w:rsid w:val="00AC19D9"/>
    <w:rsid w:val="00AC3C19"/>
    <w:rsid w:val="00AC46AB"/>
    <w:rsid w:val="00AC53D5"/>
    <w:rsid w:val="00AC6D12"/>
    <w:rsid w:val="00AC733C"/>
    <w:rsid w:val="00AC7861"/>
    <w:rsid w:val="00AD119F"/>
    <w:rsid w:val="00AD1492"/>
    <w:rsid w:val="00AD3039"/>
    <w:rsid w:val="00AD4802"/>
    <w:rsid w:val="00AD4A34"/>
    <w:rsid w:val="00AD56D1"/>
    <w:rsid w:val="00AD5980"/>
    <w:rsid w:val="00AD649D"/>
    <w:rsid w:val="00AD69FE"/>
    <w:rsid w:val="00AD6D9D"/>
    <w:rsid w:val="00AD7165"/>
    <w:rsid w:val="00AD76A8"/>
    <w:rsid w:val="00AE0242"/>
    <w:rsid w:val="00AE0372"/>
    <w:rsid w:val="00AE07A7"/>
    <w:rsid w:val="00AE0E81"/>
    <w:rsid w:val="00AE137A"/>
    <w:rsid w:val="00AE365C"/>
    <w:rsid w:val="00AE380A"/>
    <w:rsid w:val="00AE3957"/>
    <w:rsid w:val="00AE3D96"/>
    <w:rsid w:val="00AE4A36"/>
    <w:rsid w:val="00AE530E"/>
    <w:rsid w:val="00AE557A"/>
    <w:rsid w:val="00AE61F2"/>
    <w:rsid w:val="00AE6C2B"/>
    <w:rsid w:val="00AE6F80"/>
    <w:rsid w:val="00AE7B58"/>
    <w:rsid w:val="00AE7D29"/>
    <w:rsid w:val="00AF2422"/>
    <w:rsid w:val="00AF24AD"/>
    <w:rsid w:val="00AF2523"/>
    <w:rsid w:val="00AF2BEB"/>
    <w:rsid w:val="00AF2F00"/>
    <w:rsid w:val="00AF5A38"/>
    <w:rsid w:val="00AF6241"/>
    <w:rsid w:val="00AF7074"/>
    <w:rsid w:val="00AF75A2"/>
    <w:rsid w:val="00AF799A"/>
    <w:rsid w:val="00B000D5"/>
    <w:rsid w:val="00B01D59"/>
    <w:rsid w:val="00B01FAA"/>
    <w:rsid w:val="00B02172"/>
    <w:rsid w:val="00B038D0"/>
    <w:rsid w:val="00B04689"/>
    <w:rsid w:val="00B04A93"/>
    <w:rsid w:val="00B056B6"/>
    <w:rsid w:val="00B0581E"/>
    <w:rsid w:val="00B07C5F"/>
    <w:rsid w:val="00B10329"/>
    <w:rsid w:val="00B109D2"/>
    <w:rsid w:val="00B11EAB"/>
    <w:rsid w:val="00B12A06"/>
    <w:rsid w:val="00B12DBC"/>
    <w:rsid w:val="00B12F37"/>
    <w:rsid w:val="00B14353"/>
    <w:rsid w:val="00B1456B"/>
    <w:rsid w:val="00B17573"/>
    <w:rsid w:val="00B17D3E"/>
    <w:rsid w:val="00B201FC"/>
    <w:rsid w:val="00B21188"/>
    <w:rsid w:val="00B22C0D"/>
    <w:rsid w:val="00B242FD"/>
    <w:rsid w:val="00B25AAC"/>
    <w:rsid w:val="00B25DE9"/>
    <w:rsid w:val="00B260A8"/>
    <w:rsid w:val="00B27A01"/>
    <w:rsid w:val="00B27FCE"/>
    <w:rsid w:val="00B31076"/>
    <w:rsid w:val="00B311D3"/>
    <w:rsid w:val="00B32715"/>
    <w:rsid w:val="00B32FA9"/>
    <w:rsid w:val="00B34D19"/>
    <w:rsid w:val="00B35136"/>
    <w:rsid w:val="00B35240"/>
    <w:rsid w:val="00B355F2"/>
    <w:rsid w:val="00B35A35"/>
    <w:rsid w:val="00B35F2F"/>
    <w:rsid w:val="00B36A06"/>
    <w:rsid w:val="00B36DB4"/>
    <w:rsid w:val="00B36DB5"/>
    <w:rsid w:val="00B37B26"/>
    <w:rsid w:val="00B4297B"/>
    <w:rsid w:val="00B43BE3"/>
    <w:rsid w:val="00B4506F"/>
    <w:rsid w:val="00B45544"/>
    <w:rsid w:val="00B4584C"/>
    <w:rsid w:val="00B46308"/>
    <w:rsid w:val="00B46FD5"/>
    <w:rsid w:val="00B476F0"/>
    <w:rsid w:val="00B5113C"/>
    <w:rsid w:val="00B521E4"/>
    <w:rsid w:val="00B52946"/>
    <w:rsid w:val="00B52F6E"/>
    <w:rsid w:val="00B53F48"/>
    <w:rsid w:val="00B54234"/>
    <w:rsid w:val="00B551AB"/>
    <w:rsid w:val="00B5648E"/>
    <w:rsid w:val="00B568B6"/>
    <w:rsid w:val="00B57088"/>
    <w:rsid w:val="00B57534"/>
    <w:rsid w:val="00B6128C"/>
    <w:rsid w:val="00B616E4"/>
    <w:rsid w:val="00B61CB4"/>
    <w:rsid w:val="00B61DA2"/>
    <w:rsid w:val="00B6202E"/>
    <w:rsid w:val="00B64AB2"/>
    <w:rsid w:val="00B6546A"/>
    <w:rsid w:val="00B6562F"/>
    <w:rsid w:val="00B65F5F"/>
    <w:rsid w:val="00B67968"/>
    <w:rsid w:val="00B67D3B"/>
    <w:rsid w:val="00B700E1"/>
    <w:rsid w:val="00B7050E"/>
    <w:rsid w:val="00B716AF"/>
    <w:rsid w:val="00B719CD"/>
    <w:rsid w:val="00B71AA5"/>
    <w:rsid w:val="00B73C68"/>
    <w:rsid w:val="00B740A2"/>
    <w:rsid w:val="00B74B0B"/>
    <w:rsid w:val="00B751B3"/>
    <w:rsid w:val="00B77E8D"/>
    <w:rsid w:val="00B81A80"/>
    <w:rsid w:val="00B82FEF"/>
    <w:rsid w:val="00B83F47"/>
    <w:rsid w:val="00B842AF"/>
    <w:rsid w:val="00B843BE"/>
    <w:rsid w:val="00B84646"/>
    <w:rsid w:val="00B84AF9"/>
    <w:rsid w:val="00B851BA"/>
    <w:rsid w:val="00B86216"/>
    <w:rsid w:val="00B8676C"/>
    <w:rsid w:val="00B86FA9"/>
    <w:rsid w:val="00B87E39"/>
    <w:rsid w:val="00B90F87"/>
    <w:rsid w:val="00BA0167"/>
    <w:rsid w:val="00BA0490"/>
    <w:rsid w:val="00BA3D37"/>
    <w:rsid w:val="00BA4899"/>
    <w:rsid w:val="00BA5158"/>
    <w:rsid w:val="00BA5A4E"/>
    <w:rsid w:val="00BA60A6"/>
    <w:rsid w:val="00BA7779"/>
    <w:rsid w:val="00BB1CBB"/>
    <w:rsid w:val="00BB1F40"/>
    <w:rsid w:val="00BB2C3A"/>
    <w:rsid w:val="00BB3301"/>
    <w:rsid w:val="00BB51F8"/>
    <w:rsid w:val="00BB52C8"/>
    <w:rsid w:val="00BB69F7"/>
    <w:rsid w:val="00BB7F3E"/>
    <w:rsid w:val="00BC0A90"/>
    <w:rsid w:val="00BC0CC9"/>
    <w:rsid w:val="00BC149C"/>
    <w:rsid w:val="00BC189C"/>
    <w:rsid w:val="00BC1EE3"/>
    <w:rsid w:val="00BC266A"/>
    <w:rsid w:val="00BC3764"/>
    <w:rsid w:val="00BC4F3D"/>
    <w:rsid w:val="00BC50FC"/>
    <w:rsid w:val="00BC558D"/>
    <w:rsid w:val="00BC635A"/>
    <w:rsid w:val="00BC7419"/>
    <w:rsid w:val="00BC7CA4"/>
    <w:rsid w:val="00BD039D"/>
    <w:rsid w:val="00BD0435"/>
    <w:rsid w:val="00BD1D31"/>
    <w:rsid w:val="00BD235F"/>
    <w:rsid w:val="00BD261F"/>
    <w:rsid w:val="00BD30FB"/>
    <w:rsid w:val="00BD4AE2"/>
    <w:rsid w:val="00BD4DCD"/>
    <w:rsid w:val="00BD5BB4"/>
    <w:rsid w:val="00BD661B"/>
    <w:rsid w:val="00BD6956"/>
    <w:rsid w:val="00BD6F67"/>
    <w:rsid w:val="00BE1733"/>
    <w:rsid w:val="00BE24B4"/>
    <w:rsid w:val="00BE3483"/>
    <w:rsid w:val="00BE3611"/>
    <w:rsid w:val="00BE3C2F"/>
    <w:rsid w:val="00BE452E"/>
    <w:rsid w:val="00BE49B5"/>
    <w:rsid w:val="00BE654A"/>
    <w:rsid w:val="00BE798A"/>
    <w:rsid w:val="00BF05DD"/>
    <w:rsid w:val="00BF1D8E"/>
    <w:rsid w:val="00BF2C5B"/>
    <w:rsid w:val="00BF3819"/>
    <w:rsid w:val="00BF6E1F"/>
    <w:rsid w:val="00C000EA"/>
    <w:rsid w:val="00C00B32"/>
    <w:rsid w:val="00C01561"/>
    <w:rsid w:val="00C019FD"/>
    <w:rsid w:val="00C02A16"/>
    <w:rsid w:val="00C030FB"/>
    <w:rsid w:val="00C03354"/>
    <w:rsid w:val="00C03CB7"/>
    <w:rsid w:val="00C04798"/>
    <w:rsid w:val="00C0527D"/>
    <w:rsid w:val="00C0558E"/>
    <w:rsid w:val="00C05F5B"/>
    <w:rsid w:val="00C06AB8"/>
    <w:rsid w:val="00C07F32"/>
    <w:rsid w:val="00C1018A"/>
    <w:rsid w:val="00C1023B"/>
    <w:rsid w:val="00C11400"/>
    <w:rsid w:val="00C12BDE"/>
    <w:rsid w:val="00C12DF4"/>
    <w:rsid w:val="00C131FC"/>
    <w:rsid w:val="00C13827"/>
    <w:rsid w:val="00C13A5A"/>
    <w:rsid w:val="00C15EAD"/>
    <w:rsid w:val="00C17AC5"/>
    <w:rsid w:val="00C20BB5"/>
    <w:rsid w:val="00C20BF3"/>
    <w:rsid w:val="00C21891"/>
    <w:rsid w:val="00C22C22"/>
    <w:rsid w:val="00C2313E"/>
    <w:rsid w:val="00C23DBE"/>
    <w:rsid w:val="00C2546B"/>
    <w:rsid w:val="00C25751"/>
    <w:rsid w:val="00C26458"/>
    <w:rsid w:val="00C26864"/>
    <w:rsid w:val="00C27056"/>
    <w:rsid w:val="00C27269"/>
    <w:rsid w:val="00C278A8"/>
    <w:rsid w:val="00C27919"/>
    <w:rsid w:val="00C30563"/>
    <w:rsid w:val="00C31F90"/>
    <w:rsid w:val="00C3208A"/>
    <w:rsid w:val="00C3241E"/>
    <w:rsid w:val="00C34479"/>
    <w:rsid w:val="00C34846"/>
    <w:rsid w:val="00C36140"/>
    <w:rsid w:val="00C37BDA"/>
    <w:rsid w:val="00C37F74"/>
    <w:rsid w:val="00C40631"/>
    <w:rsid w:val="00C41C4A"/>
    <w:rsid w:val="00C41F24"/>
    <w:rsid w:val="00C41F8D"/>
    <w:rsid w:val="00C428EB"/>
    <w:rsid w:val="00C4451C"/>
    <w:rsid w:val="00C44EF8"/>
    <w:rsid w:val="00C4568A"/>
    <w:rsid w:val="00C45DEA"/>
    <w:rsid w:val="00C47A40"/>
    <w:rsid w:val="00C51B6B"/>
    <w:rsid w:val="00C54818"/>
    <w:rsid w:val="00C54A0E"/>
    <w:rsid w:val="00C54A10"/>
    <w:rsid w:val="00C54E96"/>
    <w:rsid w:val="00C552D0"/>
    <w:rsid w:val="00C55D17"/>
    <w:rsid w:val="00C55F5B"/>
    <w:rsid w:val="00C567A4"/>
    <w:rsid w:val="00C57AB7"/>
    <w:rsid w:val="00C60F59"/>
    <w:rsid w:val="00C6149D"/>
    <w:rsid w:val="00C61D81"/>
    <w:rsid w:val="00C62299"/>
    <w:rsid w:val="00C62B93"/>
    <w:rsid w:val="00C63546"/>
    <w:rsid w:val="00C63735"/>
    <w:rsid w:val="00C63AF2"/>
    <w:rsid w:val="00C65400"/>
    <w:rsid w:val="00C6547B"/>
    <w:rsid w:val="00C65C39"/>
    <w:rsid w:val="00C66E84"/>
    <w:rsid w:val="00C66F23"/>
    <w:rsid w:val="00C670FE"/>
    <w:rsid w:val="00C675C1"/>
    <w:rsid w:val="00C701CE"/>
    <w:rsid w:val="00C70C19"/>
    <w:rsid w:val="00C71F52"/>
    <w:rsid w:val="00C7219F"/>
    <w:rsid w:val="00C725E2"/>
    <w:rsid w:val="00C735DA"/>
    <w:rsid w:val="00C73942"/>
    <w:rsid w:val="00C746A7"/>
    <w:rsid w:val="00C76292"/>
    <w:rsid w:val="00C76404"/>
    <w:rsid w:val="00C76E59"/>
    <w:rsid w:val="00C775FA"/>
    <w:rsid w:val="00C77F03"/>
    <w:rsid w:val="00C804DC"/>
    <w:rsid w:val="00C81DA6"/>
    <w:rsid w:val="00C81DAD"/>
    <w:rsid w:val="00C824C6"/>
    <w:rsid w:val="00C82603"/>
    <w:rsid w:val="00C82BD4"/>
    <w:rsid w:val="00C83291"/>
    <w:rsid w:val="00C846D1"/>
    <w:rsid w:val="00C8551B"/>
    <w:rsid w:val="00C85716"/>
    <w:rsid w:val="00C85C7B"/>
    <w:rsid w:val="00C85CFD"/>
    <w:rsid w:val="00C873B0"/>
    <w:rsid w:val="00C90140"/>
    <w:rsid w:val="00C90465"/>
    <w:rsid w:val="00C93220"/>
    <w:rsid w:val="00C93383"/>
    <w:rsid w:val="00C94036"/>
    <w:rsid w:val="00C94632"/>
    <w:rsid w:val="00C951A9"/>
    <w:rsid w:val="00C95953"/>
    <w:rsid w:val="00C96836"/>
    <w:rsid w:val="00C976F0"/>
    <w:rsid w:val="00C97B70"/>
    <w:rsid w:val="00CA01D8"/>
    <w:rsid w:val="00CA094C"/>
    <w:rsid w:val="00CA19AA"/>
    <w:rsid w:val="00CA2798"/>
    <w:rsid w:val="00CA2E57"/>
    <w:rsid w:val="00CA354B"/>
    <w:rsid w:val="00CA431B"/>
    <w:rsid w:val="00CA649E"/>
    <w:rsid w:val="00CA6D64"/>
    <w:rsid w:val="00CA73D4"/>
    <w:rsid w:val="00CB01D8"/>
    <w:rsid w:val="00CB09BF"/>
    <w:rsid w:val="00CB0E4E"/>
    <w:rsid w:val="00CB143F"/>
    <w:rsid w:val="00CB2684"/>
    <w:rsid w:val="00CB40B0"/>
    <w:rsid w:val="00CB46F0"/>
    <w:rsid w:val="00CB58A5"/>
    <w:rsid w:val="00CC0D01"/>
    <w:rsid w:val="00CC0FC3"/>
    <w:rsid w:val="00CC119D"/>
    <w:rsid w:val="00CC12D3"/>
    <w:rsid w:val="00CC1B51"/>
    <w:rsid w:val="00CC1B54"/>
    <w:rsid w:val="00CC1CF8"/>
    <w:rsid w:val="00CC294B"/>
    <w:rsid w:val="00CC4716"/>
    <w:rsid w:val="00CC4ED6"/>
    <w:rsid w:val="00CC568E"/>
    <w:rsid w:val="00CC5A21"/>
    <w:rsid w:val="00CC5B9F"/>
    <w:rsid w:val="00CC7030"/>
    <w:rsid w:val="00CC7BE5"/>
    <w:rsid w:val="00CD0D99"/>
    <w:rsid w:val="00CD103C"/>
    <w:rsid w:val="00CD4045"/>
    <w:rsid w:val="00CD4341"/>
    <w:rsid w:val="00CD49B4"/>
    <w:rsid w:val="00CD50FF"/>
    <w:rsid w:val="00CD5267"/>
    <w:rsid w:val="00CD5E01"/>
    <w:rsid w:val="00CD6793"/>
    <w:rsid w:val="00CD7D89"/>
    <w:rsid w:val="00CE0660"/>
    <w:rsid w:val="00CE2318"/>
    <w:rsid w:val="00CE327A"/>
    <w:rsid w:val="00CE3FFD"/>
    <w:rsid w:val="00CE4DDC"/>
    <w:rsid w:val="00CE502F"/>
    <w:rsid w:val="00CE55C8"/>
    <w:rsid w:val="00CE6CB4"/>
    <w:rsid w:val="00CE6FB6"/>
    <w:rsid w:val="00CE7B49"/>
    <w:rsid w:val="00CF0F2F"/>
    <w:rsid w:val="00CF205F"/>
    <w:rsid w:val="00CF2408"/>
    <w:rsid w:val="00CF24C6"/>
    <w:rsid w:val="00CF36F0"/>
    <w:rsid w:val="00CF40D9"/>
    <w:rsid w:val="00CF4A8D"/>
    <w:rsid w:val="00CF51F2"/>
    <w:rsid w:val="00CF5943"/>
    <w:rsid w:val="00CF5ED2"/>
    <w:rsid w:val="00CF6242"/>
    <w:rsid w:val="00CF6FAF"/>
    <w:rsid w:val="00D0088C"/>
    <w:rsid w:val="00D00CB0"/>
    <w:rsid w:val="00D0129F"/>
    <w:rsid w:val="00D0165B"/>
    <w:rsid w:val="00D01758"/>
    <w:rsid w:val="00D0558D"/>
    <w:rsid w:val="00D055CC"/>
    <w:rsid w:val="00D0582C"/>
    <w:rsid w:val="00D059DF"/>
    <w:rsid w:val="00D05C96"/>
    <w:rsid w:val="00D05F34"/>
    <w:rsid w:val="00D05FC1"/>
    <w:rsid w:val="00D0655C"/>
    <w:rsid w:val="00D1114D"/>
    <w:rsid w:val="00D111C2"/>
    <w:rsid w:val="00D119B3"/>
    <w:rsid w:val="00D12C08"/>
    <w:rsid w:val="00D135F3"/>
    <w:rsid w:val="00D13CF6"/>
    <w:rsid w:val="00D161B0"/>
    <w:rsid w:val="00D1680A"/>
    <w:rsid w:val="00D16E5C"/>
    <w:rsid w:val="00D17B28"/>
    <w:rsid w:val="00D20B13"/>
    <w:rsid w:val="00D2184E"/>
    <w:rsid w:val="00D21897"/>
    <w:rsid w:val="00D231C1"/>
    <w:rsid w:val="00D23DC0"/>
    <w:rsid w:val="00D25AEA"/>
    <w:rsid w:val="00D262B4"/>
    <w:rsid w:val="00D26BD4"/>
    <w:rsid w:val="00D27394"/>
    <w:rsid w:val="00D27CA4"/>
    <w:rsid w:val="00D30076"/>
    <w:rsid w:val="00D314B8"/>
    <w:rsid w:val="00D315EC"/>
    <w:rsid w:val="00D32123"/>
    <w:rsid w:val="00D34568"/>
    <w:rsid w:val="00D3465F"/>
    <w:rsid w:val="00D34E50"/>
    <w:rsid w:val="00D36BE2"/>
    <w:rsid w:val="00D37D14"/>
    <w:rsid w:val="00D40012"/>
    <w:rsid w:val="00D40C64"/>
    <w:rsid w:val="00D4140F"/>
    <w:rsid w:val="00D416B6"/>
    <w:rsid w:val="00D4192B"/>
    <w:rsid w:val="00D41EA7"/>
    <w:rsid w:val="00D4217E"/>
    <w:rsid w:val="00D42746"/>
    <w:rsid w:val="00D428FA"/>
    <w:rsid w:val="00D445C8"/>
    <w:rsid w:val="00D45621"/>
    <w:rsid w:val="00D4583A"/>
    <w:rsid w:val="00D46899"/>
    <w:rsid w:val="00D46926"/>
    <w:rsid w:val="00D5247F"/>
    <w:rsid w:val="00D54249"/>
    <w:rsid w:val="00D54327"/>
    <w:rsid w:val="00D547C9"/>
    <w:rsid w:val="00D549A5"/>
    <w:rsid w:val="00D5501F"/>
    <w:rsid w:val="00D55BD5"/>
    <w:rsid w:val="00D56D06"/>
    <w:rsid w:val="00D56FEF"/>
    <w:rsid w:val="00D57F82"/>
    <w:rsid w:val="00D6010E"/>
    <w:rsid w:val="00D60673"/>
    <w:rsid w:val="00D60843"/>
    <w:rsid w:val="00D6205E"/>
    <w:rsid w:val="00D62328"/>
    <w:rsid w:val="00D63FAD"/>
    <w:rsid w:val="00D64CD8"/>
    <w:rsid w:val="00D64D8B"/>
    <w:rsid w:val="00D66B8D"/>
    <w:rsid w:val="00D7154F"/>
    <w:rsid w:val="00D71654"/>
    <w:rsid w:val="00D71746"/>
    <w:rsid w:val="00D71FCE"/>
    <w:rsid w:val="00D72A6D"/>
    <w:rsid w:val="00D738BE"/>
    <w:rsid w:val="00D73911"/>
    <w:rsid w:val="00D73F34"/>
    <w:rsid w:val="00D750C9"/>
    <w:rsid w:val="00D75261"/>
    <w:rsid w:val="00D7533B"/>
    <w:rsid w:val="00D75DD4"/>
    <w:rsid w:val="00D76F0E"/>
    <w:rsid w:val="00D8136D"/>
    <w:rsid w:val="00D81590"/>
    <w:rsid w:val="00D816E2"/>
    <w:rsid w:val="00D81E1F"/>
    <w:rsid w:val="00D81F6B"/>
    <w:rsid w:val="00D837D4"/>
    <w:rsid w:val="00D83FEF"/>
    <w:rsid w:val="00D84541"/>
    <w:rsid w:val="00D85417"/>
    <w:rsid w:val="00D86F61"/>
    <w:rsid w:val="00D873FF"/>
    <w:rsid w:val="00D90A55"/>
    <w:rsid w:val="00D91E91"/>
    <w:rsid w:val="00D9239B"/>
    <w:rsid w:val="00D923B4"/>
    <w:rsid w:val="00D927B6"/>
    <w:rsid w:val="00D92C74"/>
    <w:rsid w:val="00D93364"/>
    <w:rsid w:val="00D933A6"/>
    <w:rsid w:val="00D948C8"/>
    <w:rsid w:val="00D94F6A"/>
    <w:rsid w:val="00D97413"/>
    <w:rsid w:val="00D97EBF"/>
    <w:rsid w:val="00D97F90"/>
    <w:rsid w:val="00DA02B5"/>
    <w:rsid w:val="00DA0E47"/>
    <w:rsid w:val="00DA185C"/>
    <w:rsid w:val="00DA2234"/>
    <w:rsid w:val="00DA266F"/>
    <w:rsid w:val="00DA3011"/>
    <w:rsid w:val="00DA3876"/>
    <w:rsid w:val="00DA3B3F"/>
    <w:rsid w:val="00DA3BAE"/>
    <w:rsid w:val="00DA3D07"/>
    <w:rsid w:val="00DA52CA"/>
    <w:rsid w:val="00DA56AC"/>
    <w:rsid w:val="00DA6E7E"/>
    <w:rsid w:val="00DA7CB2"/>
    <w:rsid w:val="00DB0BDF"/>
    <w:rsid w:val="00DB0D54"/>
    <w:rsid w:val="00DB21C0"/>
    <w:rsid w:val="00DB3331"/>
    <w:rsid w:val="00DB3BD9"/>
    <w:rsid w:val="00DB3F68"/>
    <w:rsid w:val="00DB4087"/>
    <w:rsid w:val="00DB4ADD"/>
    <w:rsid w:val="00DB5784"/>
    <w:rsid w:val="00DB5826"/>
    <w:rsid w:val="00DB5A3D"/>
    <w:rsid w:val="00DB5CD4"/>
    <w:rsid w:val="00DB5E31"/>
    <w:rsid w:val="00DB6059"/>
    <w:rsid w:val="00DB60D2"/>
    <w:rsid w:val="00DC08DE"/>
    <w:rsid w:val="00DC196D"/>
    <w:rsid w:val="00DC214C"/>
    <w:rsid w:val="00DC2E4E"/>
    <w:rsid w:val="00DC2EAD"/>
    <w:rsid w:val="00DC7819"/>
    <w:rsid w:val="00DC7FA1"/>
    <w:rsid w:val="00DD0232"/>
    <w:rsid w:val="00DD0525"/>
    <w:rsid w:val="00DD1401"/>
    <w:rsid w:val="00DD1D6B"/>
    <w:rsid w:val="00DD2030"/>
    <w:rsid w:val="00DD2EBF"/>
    <w:rsid w:val="00DD372E"/>
    <w:rsid w:val="00DD62B0"/>
    <w:rsid w:val="00DD6C3D"/>
    <w:rsid w:val="00DE1FA1"/>
    <w:rsid w:val="00DE2ADE"/>
    <w:rsid w:val="00DE2B56"/>
    <w:rsid w:val="00DE3540"/>
    <w:rsid w:val="00DE431B"/>
    <w:rsid w:val="00DE58E8"/>
    <w:rsid w:val="00DE5FDC"/>
    <w:rsid w:val="00DE6DA4"/>
    <w:rsid w:val="00DE6EDD"/>
    <w:rsid w:val="00DE725E"/>
    <w:rsid w:val="00DF04BA"/>
    <w:rsid w:val="00DF04FA"/>
    <w:rsid w:val="00DF2A86"/>
    <w:rsid w:val="00DF5E22"/>
    <w:rsid w:val="00DF7933"/>
    <w:rsid w:val="00DF7A00"/>
    <w:rsid w:val="00E022AA"/>
    <w:rsid w:val="00E02914"/>
    <w:rsid w:val="00E0363E"/>
    <w:rsid w:val="00E04C93"/>
    <w:rsid w:val="00E06DE4"/>
    <w:rsid w:val="00E10668"/>
    <w:rsid w:val="00E10962"/>
    <w:rsid w:val="00E113BE"/>
    <w:rsid w:val="00E12085"/>
    <w:rsid w:val="00E127F3"/>
    <w:rsid w:val="00E13531"/>
    <w:rsid w:val="00E149B1"/>
    <w:rsid w:val="00E14D46"/>
    <w:rsid w:val="00E158F9"/>
    <w:rsid w:val="00E169A0"/>
    <w:rsid w:val="00E20401"/>
    <w:rsid w:val="00E219EC"/>
    <w:rsid w:val="00E21FEB"/>
    <w:rsid w:val="00E22EB4"/>
    <w:rsid w:val="00E25769"/>
    <w:rsid w:val="00E27B09"/>
    <w:rsid w:val="00E302D9"/>
    <w:rsid w:val="00E3163B"/>
    <w:rsid w:val="00E32A8F"/>
    <w:rsid w:val="00E3434C"/>
    <w:rsid w:val="00E34CF1"/>
    <w:rsid w:val="00E356B8"/>
    <w:rsid w:val="00E357FF"/>
    <w:rsid w:val="00E3659A"/>
    <w:rsid w:val="00E37302"/>
    <w:rsid w:val="00E37438"/>
    <w:rsid w:val="00E4037D"/>
    <w:rsid w:val="00E410AC"/>
    <w:rsid w:val="00E41980"/>
    <w:rsid w:val="00E41A0B"/>
    <w:rsid w:val="00E41DD3"/>
    <w:rsid w:val="00E42241"/>
    <w:rsid w:val="00E426D7"/>
    <w:rsid w:val="00E42985"/>
    <w:rsid w:val="00E43E1B"/>
    <w:rsid w:val="00E46248"/>
    <w:rsid w:val="00E46A6C"/>
    <w:rsid w:val="00E47838"/>
    <w:rsid w:val="00E50674"/>
    <w:rsid w:val="00E51B03"/>
    <w:rsid w:val="00E51B0C"/>
    <w:rsid w:val="00E51FB9"/>
    <w:rsid w:val="00E534BE"/>
    <w:rsid w:val="00E53789"/>
    <w:rsid w:val="00E54D65"/>
    <w:rsid w:val="00E54E20"/>
    <w:rsid w:val="00E54E4A"/>
    <w:rsid w:val="00E55B99"/>
    <w:rsid w:val="00E5613B"/>
    <w:rsid w:val="00E56E86"/>
    <w:rsid w:val="00E5719D"/>
    <w:rsid w:val="00E609A9"/>
    <w:rsid w:val="00E62E16"/>
    <w:rsid w:val="00E62F13"/>
    <w:rsid w:val="00E633EA"/>
    <w:rsid w:val="00E650C2"/>
    <w:rsid w:val="00E65D07"/>
    <w:rsid w:val="00E673A4"/>
    <w:rsid w:val="00E6760B"/>
    <w:rsid w:val="00E71123"/>
    <w:rsid w:val="00E7185E"/>
    <w:rsid w:val="00E71AD5"/>
    <w:rsid w:val="00E72234"/>
    <w:rsid w:val="00E724FB"/>
    <w:rsid w:val="00E72FDF"/>
    <w:rsid w:val="00E74B47"/>
    <w:rsid w:val="00E74C4A"/>
    <w:rsid w:val="00E74C99"/>
    <w:rsid w:val="00E80606"/>
    <w:rsid w:val="00E82634"/>
    <w:rsid w:val="00E82F45"/>
    <w:rsid w:val="00E8371F"/>
    <w:rsid w:val="00E837A8"/>
    <w:rsid w:val="00E84BE6"/>
    <w:rsid w:val="00E85707"/>
    <w:rsid w:val="00E87B47"/>
    <w:rsid w:val="00E9033A"/>
    <w:rsid w:val="00E908F0"/>
    <w:rsid w:val="00E9094F"/>
    <w:rsid w:val="00E90EB1"/>
    <w:rsid w:val="00E92D0A"/>
    <w:rsid w:val="00E9481E"/>
    <w:rsid w:val="00E95264"/>
    <w:rsid w:val="00E9540D"/>
    <w:rsid w:val="00E95578"/>
    <w:rsid w:val="00E964C1"/>
    <w:rsid w:val="00E96AD6"/>
    <w:rsid w:val="00E96CD6"/>
    <w:rsid w:val="00E97012"/>
    <w:rsid w:val="00E97984"/>
    <w:rsid w:val="00EA0773"/>
    <w:rsid w:val="00EA0B12"/>
    <w:rsid w:val="00EA0DD5"/>
    <w:rsid w:val="00EA349C"/>
    <w:rsid w:val="00EA408B"/>
    <w:rsid w:val="00EA4978"/>
    <w:rsid w:val="00EA51F7"/>
    <w:rsid w:val="00EA6F19"/>
    <w:rsid w:val="00EA705E"/>
    <w:rsid w:val="00EA73A4"/>
    <w:rsid w:val="00EA73A8"/>
    <w:rsid w:val="00EA75AF"/>
    <w:rsid w:val="00EA7EB9"/>
    <w:rsid w:val="00EB0377"/>
    <w:rsid w:val="00EB03BE"/>
    <w:rsid w:val="00EB0AAD"/>
    <w:rsid w:val="00EB0B98"/>
    <w:rsid w:val="00EB0CF2"/>
    <w:rsid w:val="00EB1298"/>
    <w:rsid w:val="00EB2B72"/>
    <w:rsid w:val="00EB2ED5"/>
    <w:rsid w:val="00EB3389"/>
    <w:rsid w:val="00EB41DC"/>
    <w:rsid w:val="00EB49F7"/>
    <w:rsid w:val="00EB628A"/>
    <w:rsid w:val="00EB6861"/>
    <w:rsid w:val="00EB70BF"/>
    <w:rsid w:val="00EC09CB"/>
    <w:rsid w:val="00EC0C09"/>
    <w:rsid w:val="00EC1CD2"/>
    <w:rsid w:val="00EC1DCF"/>
    <w:rsid w:val="00EC31DF"/>
    <w:rsid w:val="00EC4078"/>
    <w:rsid w:val="00EC4E3D"/>
    <w:rsid w:val="00EC60AB"/>
    <w:rsid w:val="00EC74CD"/>
    <w:rsid w:val="00ED0AC1"/>
    <w:rsid w:val="00ED16B3"/>
    <w:rsid w:val="00ED1CA5"/>
    <w:rsid w:val="00ED31D3"/>
    <w:rsid w:val="00ED3406"/>
    <w:rsid w:val="00ED3735"/>
    <w:rsid w:val="00ED37D8"/>
    <w:rsid w:val="00ED6B6E"/>
    <w:rsid w:val="00ED7B15"/>
    <w:rsid w:val="00EE0137"/>
    <w:rsid w:val="00EE01BD"/>
    <w:rsid w:val="00EE0216"/>
    <w:rsid w:val="00EE0364"/>
    <w:rsid w:val="00EE05B4"/>
    <w:rsid w:val="00EE0814"/>
    <w:rsid w:val="00EE0EF2"/>
    <w:rsid w:val="00EE110F"/>
    <w:rsid w:val="00EE1995"/>
    <w:rsid w:val="00EE28BA"/>
    <w:rsid w:val="00EE34EB"/>
    <w:rsid w:val="00EE3554"/>
    <w:rsid w:val="00EE61FD"/>
    <w:rsid w:val="00EE6D3B"/>
    <w:rsid w:val="00EF000F"/>
    <w:rsid w:val="00EF0143"/>
    <w:rsid w:val="00EF0975"/>
    <w:rsid w:val="00EF0B18"/>
    <w:rsid w:val="00EF10EB"/>
    <w:rsid w:val="00EF1ADC"/>
    <w:rsid w:val="00EF270C"/>
    <w:rsid w:val="00EF2BCE"/>
    <w:rsid w:val="00EF2F3B"/>
    <w:rsid w:val="00EF43CD"/>
    <w:rsid w:val="00EF474E"/>
    <w:rsid w:val="00EF5CA6"/>
    <w:rsid w:val="00EF5D30"/>
    <w:rsid w:val="00EF69CE"/>
    <w:rsid w:val="00EF6DA9"/>
    <w:rsid w:val="00EF7929"/>
    <w:rsid w:val="00EF7E77"/>
    <w:rsid w:val="00F000F1"/>
    <w:rsid w:val="00F0124F"/>
    <w:rsid w:val="00F0131C"/>
    <w:rsid w:val="00F02255"/>
    <w:rsid w:val="00F03EEC"/>
    <w:rsid w:val="00F042D6"/>
    <w:rsid w:val="00F04439"/>
    <w:rsid w:val="00F0515B"/>
    <w:rsid w:val="00F052DA"/>
    <w:rsid w:val="00F0536C"/>
    <w:rsid w:val="00F05922"/>
    <w:rsid w:val="00F06862"/>
    <w:rsid w:val="00F07109"/>
    <w:rsid w:val="00F0789D"/>
    <w:rsid w:val="00F11791"/>
    <w:rsid w:val="00F11E5C"/>
    <w:rsid w:val="00F1264C"/>
    <w:rsid w:val="00F127AB"/>
    <w:rsid w:val="00F12A7E"/>
    <w:rsid w:val="00F13242"/>
    <w:rsid w:val="00F1329F"/>
    <w:rsid w:val="00F133EF"/>
    <w:rsid w:val="00F13A4C"/>
    <w:rsid w:val="00F15C66"/>
    <w:rsid w:val="00F15FD7"/>
    <w:rsid w:val="00F1666D"/>
    <w:rsid w:val="00F16808"/>
    <w:rsid w:val="00F175E3"/>
    <w:rsid w:val="00F17E34"/>
    <w:rsid w:val="00F204E2"/>
    <w:rsid w:val="00F2062F"/>
    <w:rsid w:val="00F209E4"/>
    <w:rsid w:val="00F21C54"/>
    <w:rsid w:val="00F220B4"/>
    <w:rsid w:val="00F22AC6"/>
    <w:rsid w:val="00F2347C"/>
    <w:rsid w:val="00F23C53"/>
    <w:rsid w:val="00F24D0A"/>
    <w:rsid w:val="00F24D4A"/>
    <w:rsid w:val="00F256F0"/>
    <w:rsid w:val="00F259F1"/>
    <w:rsid w:val="00F261EB"/>
    <w:rsid w:val="00F26AF1"/>
    <w:rsid w:val="00F3047B"/>
    <w:rsid w:val="00F31073"/>
    <w:rsid w:val="00F3170C"/>
    <w:rsid w:val="00F31AE5"/>
    <w:rsid w:val="00F32D9A"/>
    <w:rsid w:val="00F3320B"/>
    <w:rsid w:val="00F3528E"/>
    <w:rsid w:val="00F35F18"/>
    <w:rsid w:val="00F36A45"/>
    <w:rsid w:val="00F36F61"/>
    <w:rsid w:val="00F40DAD"/>
    <w:rsid w:val="00F4101D"/>
    <w:rsid w:val="00F41422"/>
    <w:rsid w:val="00F4206E"/>
    <w:rsid w:val="00F43188"/>
    <w:rsid w:val="00F45F0F"/>
    <w:rsid w:val="00F46C10"/>
    <w:rsid w:val="00F4724F"/>
    <w:rsid w:val="00F47BD0"/>
    <w:rsid w:val="00F50912"/>
    <w:rsid w:val="00F50AD2"/>
    <w:rsid w:val="00F50DB1"/>
    <w:rsid w:val="00F52F1D"/>
    <w:rsid w:val="00F53E6A"/>
    <w:rsid w:val="00F5437D"/>
    <w:rsid w:val="00F54960"/>
    <w:rsid w:val="00F55DC4"/>
    <w:rsid w:val="00F565E9"/>
    <w:rsid w:val="00F57ACD"/>
    <w:rsid w:val="00F6054E"/>
    <w:rsid w:val="00F636E7"/>
    <w:rsid w:val="00F638B7"/>
    <w:rsid w:val="00F63E92"/>
    <w:rsid w:val="00F66107"/>
    <w:rsid w:val="00F66A93"/>
    <w:rsid w:val="00F712BB"/>
    <w:rsid w:val="00F7131F"/>
    <w:rsid w:val="00F71A0F"/>
    <w:rsid w:val="00F73911"/>
    <w:rsid w:val="00F74CB3"/>
    <w:rsid w:val="00F7592D"/>
    <w:rsid w:val="00F770EA"/>
    <w:rsid w:val="00F80EBA"/>
    <w:rsid w:val="00F80F48"/>
    <w:rsid w:val="00F8169A"/>
    <w:rsid w:val="00F818B3"/>
    <w:rsid w:val="00F84027"/>
    <w:rsid w:val="00F851E0"/>
    <w:rsid w:val="00F871E4"/>
    <w:rsid w:val="00F877AD"/>
    <w:rsid w:val="00F87C5F"/>
    <w:rsid w:val="00F90A05"/>
    <w:rsid w:val="00F91217"/>
    <w:rsid w:val="00F9211C"/>
    <w:rsid w:val="00F92920"/>
    <w:rsid w:val="00F9298C"/>
    <w:rsid w:val="00F92C6E"/>
    <w:rsid w:val="00F92D31"/>
    <w:rsid w:val="00F933A2"/>
    <w:rsid w:val="00F93ED5"/>
    <w:rsid w:val="00F9459F"/>
    <w:rsid w:val="00F94EC5"/>
    <w:rsid w:val="00F955A5"/>
    <w:rsid w:val="00F9615D"/>
    <w:rsid w:val="00F96396"/>
    <w:rsid w:val="00F96C91"/>
    <w:rsid w:val="00F97E0F"/>
    <w:rsid w:val="00F97F6B"/>
    <w:rsid w:val="00FA0234"/>
    <w:rsid w:val="00FA0AF8"/>
    <w:rsid w:val="00FA0FAA"/>
    <w:rsid w:val="00FA188A"/>
    <w:rsid w:val="00FA2C0A"/>
    <w:rsid w:val="00FA462A"/>
    <w:rsid w:val="00FA5649"/>
    <w:rsid w:val="00FA5E14"/>
    <w:rsid w:val="00FA64C2"/>
    <w:rsid w:val="00FA670A"/>
    <w:rsid w:val="00FB1826"/>
    <w:rsid w:val="00FB198D"/>
    <w:rsid w:val="00FB3A21"/>
    <w:rsid w:val="00FB54D8"/>
    <w:rsid w:val="00FB552C"/>
    <w:rsid w:val="00FB61A4"/>
    <w:rsid w:val="00FB6ACB"/>
    <w:rsid w:val="00FC0337"/>
    <w:rsid w:val="00FC2A48"/>
    <w:rsid w:val="00FC2A89"/>
    <w:rsid w:val="00FC2C32"/>
    <w:rsid w:val="00FC2D20"/>
    <w:rsid w:val="00FC32AA"/>
    <w:rsid w:val="00FC3D78"/>
    <w:rsid w:val="00FC46AA"/>
    <w:rsid w:val="00FC4ECE"/>
    <w:rsid w:val="00FC7477"/>
    <w:rsid w:val="00FD04A5"/>
    <w:rsid w:val="00FD31C0"/>
    <w:rsid w:val="00FD3BD7"/>
    <w:rsid w:val="00FD3C47"/>
    <w:rsid w:val="00FD4CA5"/>
    <w:rsid w:val="00FD6285"/>
    <w:rsid w:val="00FD67EA"/>
    <w:rsid w:val="00FD6B7E"/>
    <w:rsid w:val="00FD7809"/>
    <w:rsid w:val="00FD7882"/>
    <w:rsid w:val="00FD7894"/>
    <w:rsid w:val="00FD7C31"/>
    <w:rsid w:val="00FE06A1"/>
    <w:rsid w:val="00FE13DC"/>
    <w:rsid w:val="00FE2D33"/>
    <w:rsid w:val="00FE36B6"/>
    <w:rsid w:val="00FE4F2F"/>
    <w:rsid w:val="00FE51B9"/>
    <w:rsid w:val="00FE547A"/>
    <w:rsid w:val="00FE58EA"/>
    <w:rsid w:val="00FE6257"/>
    <w:rsid w:val="00FE6929"/>
    <w:rsid w:val="00FE72AE"/>
    <w:rsid w:val="00FE7C65"/>
    <w:rsid w:val="00FF0F2F"/>
    <w:rsid w:val="00FF1327"/>
    <w:rsid w:val="00FF14CD"/>
    <w:rsid w:val="00FF165E"/>
    <w:rsid w:val="00FF241F"/>
    <w:rsid w:val="00FF2F83"/>
    <w:rsid w:val="00FF3954"/>
    <w:rsid w:val="00FF3D97"/>
    <w:rsid w:val="00FF4061"/>
    <w:rsid w:val="00FF4AB8"/>
    <w:rsid w:val="00FF53E0"/>
    <w:rsid w:val="00FF66D0"/>
    <w:rsid w:val="00FF7ADF"/>
    <w:rsid w:val="01111726"/>
    <w:rsid w:val="067A4160"/>
    <w:rsid w:val="067B1C86"/>
    <w:rsid w:val="069A65B0"/>
    <w:rsid w:val="076630BE"/>
    <w:rsid w:val="0A640C38"/>
    <w:rsid w:val="0B2B5E74"/>
    <w:rsid w:val="0DB029DC"/>
    <w:rsid w:val="0DBE4CFD"/>
    <w:rsid w:val="0DFB2AC7"/>
    <w:rsid w:val="105B34A4"/>
    <w:rsid w:val="118E62B7"/>
    <w:rsid w:val="119F42F8"/>
    <w:rsid w:val="127914CA"/>
    <w:rsid w:val="13B02591"/>
    <w:rsid w:val="145A4D13"/>
    <w:rsid w:val="14832717"/>
    <w:rsid w:val="15A16A42"/>
    <w:rsid w:val="16314110"/>
    <w:rsid w:val="16446462"/>
    <w:rsid w:val="17233E12"/>
    <w:rsid w:val="17AE315E"/>
    <w:rsid w:val="18B5509C"/>
    <w:rsid w:val="18F67F49"/>
    <w:rsid w:val="19425964"/>
    <w:rsid w:val="1A52003E"/>
    <w:rsid w:val="1C933E06"/>
    <w:rsid w:val="1D202B8E"/>
    <w:rsid w:val="1D4C28C7"/>
    <w:rsid w:val="201A443C"/>
    <w:rsid w:val="20610953"/>
    <w:rsid w:val="20EB0D06"/>
    <w:rsid w:val="21620019"/>
    <w:rsid w:val="22A22D88"/>
    <w:rsid w:val="22D6268E"/>
    <w:rsid w:val="22FA4903"/>
    <w:rsid w:val="2400522D"/>
    <w:rsid w:val="2448650B"/>
    <w:rsid w:val="2512058A"/>
    <w:rsid w:val="25BA58F7"/>
    <w:rsid w:val="25FC3D90"/>
    <w:rsid w:val="27AA0205"/>
    <w:rsid w:val="27AC295A"/>
    <w:rsid w:val="27C85B20"/>
    <w:rsid w:val="27C9125C"/>
    <w:rsid w:val="28F46D15"/>
    <w:rsid w:val="298930A9"/>
    <w:rsid w:val="29FF28CE"/>
    <w:rsid w:val="2A014C5C"/>
    <w:rsid w:val="2B6A734B"/>
    <w:rsid w:val="2C397BFC"/>
    <w:rsid w:val="2F612423"/>
    <w:rsid w:val="2F7C443D"/>
    <w:rsid w:val="30377531"/>
    <w:rsid w:val="3064511F"/>
    <w:rsid w:val="30EF69E4"/>
    <w:rsid w:val="31D9717A"/>
    <w:rsid w:val="325C578F"/>
    <w:rsid w:val="32627267"/>
    <w:rsid w:val="330A1DA7"/>
    <w:rsid w:val="34746B25"/>
    <w:rsid w:val="349C4471"/>
    <w:rsid w:val="35714885"/>
    <w:rsid w:val="35E8178F"/>
    <w:rsid w:val="37743E6D"/>
    <w:rsid w:val="37762799"/>
    <w:rsid w:val="3D8C1AA8"/>
    <w:rsid w:val="3E480B27"/>
    <w:rsid w:val="401C1DE6"/>
    <w:rsid w:val="42AC06A4"/>
    <w:rsid w:val="43CF7AFF"/>
    <w:rsid w:val="45227A3E"/>
    <w:rsid w:val="461B4724"/>
    <w:rsid w:val="468D0A42"/>
    <w:rsid w:val="46AA3009"/>
    <w:rsid w:val="48075EF0"/>
    <w:rsid w:val="480A7168"/>
    <w:rsid w:val="48BB2849"/>
    <w:rsid w:val="49184B37"/>
    <w:rsid w:val="496909C8"/>
    <w:rsid w:val="49790F7D"/>
    <w:rsid w:val="4B4D781C"/>
    <w:rsid w:val="4BFF4671"/>
    <w:rsid w:val="4D296C8B"/>
    <w:rsid w:val="4DBB3FD0"/>
    <w:rsid w:val="4E324E83"/>
    <w:rsid w:val="4E33178D"/>
    <w:rsid w:val="4E7166CD"/>
    <w:rsid w:val="4E945218"/>
    <w:rsid w:val="4EA25810"/>
    <w:rsid w:val="50055E16"/>
    <w:rsid w:val="50F62B3E"/>
    <w:rsid w:val="51697B42"/>
    <w:rsid w:val="52233443"/>
    <w:rsid w:val="5238307B"/>
    <w:rsid w:val="53143EDC"/>
    <w:rsid w:val="553B2D66"/>
    <w:rsid w:val="56F20776"/>
    <w:rsid w:val="589F37F6"/>
    <w:rsid w:val="590A1CC9"/>
    <w:rsid w:val="593939B9"/>
    <w:rsid w:val="59BD2F05"/>
    <w:rsid w:val="5A19511C"/>
    <w:rsid w:val="5B0745DE"/>
    <w:rsid w:val="5B7D65EA"/>
    <w:rsid w:val="5BBF25B6"/>
    <w:rsid w:val="5D8A315F"/>
    <w:rsid w:val="5EC54DC0"/>
    <w:rsid w:val="5F4347F9"/>
    <w:rsid w:val="5F6467AB"/>
    <w:rsid w:val="61237A5D"/>
    <w:rsid w:val="61DC19A6"/>
    <w:rsid w:val="626D6DF8"/>
    <w:rsid w:val="63B73A22"/>
    <w:rsid w:val="645B74CF"/>
    <w:rsid w:val="6688576E"/>
    <w:rsid w:val="669960A7"/>
    <w:rsid w:val="680B5C12"/>
    <w:rsid w:val="684C5BFF"/>
    <w:rsid w:val="6AA64D62"/>
    <w:rsid w:val="6B890C65"/>
    <w:rsid w:val="6C885E32"/>
    <w:rsid w:val="6D755A9B"/>
    <w:rsid w:val="6E767C7B"/>
    <w:rsid w:val="6FD6235B"/>
    <w:rsid w:val="70F07506"/>
    <w:rsid w:val="70F620B9"/>
    <w:rsid w:val="723C0683"/>
    <w:rsid w:val="73566908"/>
    <w:rsid w:val="757C0ECA"/>
    <w:rsid w:val="762C7A95"/>
    <w:rsid w:val="76EC2CB1"/>
    <w:rsid w:val="783D11E9"/>
    <w:rsid w:val="787A1759"/>
    <w:rsid w:val="78B63AF9"/>
    <w:rsid w:val="78BA644D"/>
    <w:rsid w:val="78FF1E03"/>
    <w:rsid w:val="7C2606A1"/>
    <w:rsid w:val="7C724F58"/>
    <w:rsid w:val="7CDF21EC"/>
    <w:rsid w:val="7F345680"/>
    <w:rsid w:val="7F9F25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caption"/>
    <w:basedOn w:val="1"/>
    <w:next w:val="1"/>
    <w:autoRedefine/>
    <w:unhideWhenUsed/>
    <w:qFormat/>
    <w:locked/>
    <w:uiPriority w:val="0"/>
    <w:rPr>
      <w:rFonts w:eastAsia="黑体" w:asciiTheme="majorHAnsi" w:hAnsiTheme="majorHAnsi" w:cstheme="majorBidi"/>
      <w:sz w:val="20"/>
      <w:szCs w:val="20"/>
    </w:rPr>
  </w:style>
  <w:style w:type="paragraph" w:styleId="3">
    <w:name w:val="annotation text"/>
    <w:basedOn w:val="1"/>
    <w:link w:val="13"/>
    <w:qFormat/>
    <w:uiPriority w:val="99"/>
    <w:pPr>
      <w:jc w:val="left"/>
    </w:pPr>
  </w:style>
  <w:style w:type="paragraph" w:styleId="4">
    <w:name w:val="Balloon Text"/>
    <w:basedOn w:val="1"/>
    <w:link w:val="14"/>
    <w:semiHidden/>
    <w:qFormat/>
    <w:uiPriority w:val="99"/>
    <w:rPr>
      <w:sz w:val="18"/>
      <w:szCs w:val="18"/>
    </w:rPr>
  </w:style>
  <w:style w:type="paragraph" w:styleId="5">
    <w:name w:val="footer"/>
    <w:basedOn w:val="1"/>
    <w:link w:val="15"/>
    <w:autoRedefine/>
    <w:qFormat/>
    <w:uiPriority w:val="99"/>
    <w:pPr>
      <w:tabs>
        <w:tab w:val="center" w:pos="4153"/>
        <w:tab w:val="right" w:pos="8306"/>
      </w:tabs>
      <w:snapToGrid w:val="0"/>
      <w:jc w:val="left"/>
    </w:pPr>
    <w:rPr>
      <w:sz w:val="18"/>
      <w:szCs w:val="18"/>
    </w:rPr>
  </w:style>
  <w:style w:type="paragraph" w:styleId="6">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autoRedefine/>
    <w:semiHidden/>
    <w:qFormat/>
    <w:uiPriority w:val="99"/>
    <w:rPr>
      <w:b/>
      <w:bCs/>
    </w:rPr>
  </w:style>
  <w:style w:type="table" w:styleId="9">
    <w:name w:val="Table Grid"/>
    <w:basedOn w:val="8"/>
    <w:autoRedefine/>
    <w:qFormat/>
    <w:uiPriority w:val="99"/>
    <w:pPr>
      <w:numPr>
        <w:numId w:val="1"/>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autoRedefine/>
    <w:semiHidden/>
    <w:unhideWhenUsed/>
    <w:qFormat/>
    <w:uiPriority w:val="99"/>
    <w:rPr>
      <w:color w:val="0000FF"/>
      <w:u w:val="single"/>
    </w:rPr>
  </w:style>
  <w:style w:type="character" w:styleId="12">
    <w:name w:val="annotation reference"/>
    <w:autoRedefine/>
    <w:semiHidden/>
    <w:qFormat/>
    <w:uiPriority w:val="99"/>
    <w:rPr>
      <w:rFonts w:cs="Times New Roman"/>
      <w:sz w:val="21"/>
      <w:szCs w:val="21"/>
    </w:rPr>
  </w:style>
  <w:style w:type="character" w:customStyle="1" w:styleId="13">
    <w:name w:val="批注文字 字符"/>
    <w:link w:val="3"/>
    <w:autoRedefine/>
    <w:qFormat/>
    <w:locked/>
    <w:uiPriority w:val="99"/>
    <w:rPr>
      <w:rFonts w:ascii="Times New Roman" w:hAnsi="Times New Roman" w:eastAsia="宋体" w:cs="Times New Roman"/>
      <w:sz w:val="24"/>
      <w:szCs w:val="24"/>
    </w:rPr>
  </w:style>
  <w:style w:type="character" w:customStyle="1" w:styleId="14">
    <w:name w:val="批注框文本 字符"/>
    <w:link w:val="4"/>
    <w:autoRedefine/>
    <w:semiHidden/>
    <w:qFormat/>
    <w:locked/>
    <w:uiPriority w:val="99"/>
    <w:rPr>
      <w:rFonts w:ascii="Times New Roman" w:hAnsi="Times New Roman" w:eastAsia="宋体" w:cs="Times New Roman"/>
      <w:sz w:val="18"/>
      <w:szCs w:val="18"/>
    </w:rPr>
  </w:style>
  <w:style w:type="character" w:customStyle="1" w:styleId="15">
    <w:name w:val="页脚 字符"/>
    <w:link w:val="5"/>
    <w:autoRedefine/>
    <w:qFormat/>
    <w:locked/>
    <w:uiPriority w:val="99"/>
    <w:rPr>
      <w:rFonts w:cs="Times New Roman"/>
      <w:sz w:val="18"/>
      <w:szCs w:val="18"/>
    </w:rPr>
  </w:style>
  <w:style w:type="character" w:customStyle="1" w:styleId="16">
    <w:name w:val="页眉 字符"/>
    <w:link w:val="6"/>
    <w:autoRedefine/>
    <w:qFormat/>
    <w:locked/>
    <w:uiPriority w:val="99"/>
    <w:rPr>
      <w:rFonts w:cs="Times New Roman"/>
      <w:sz w:val="18"/>
      <w:szCs w:val="18"/>
    </w:rPr>
  </w:style>
  <w:style w:type="character" w:customStyle="1" w:styleId="17">
    <w:name w:val="批注主题 字符"/>
    <w:link w:val="7"/>
    <w:autoRedefine/>
    <w:semiHidden/>
    <w:qFormat/>
    <w:locked/>
    <w:uiPriority w:val="99"/>
    <w:rPr>
      <w:rFonts w:ascii="Times New Roman" w:hAnsi="Times New Roman" w:eastAsia="宋体" w:cs="Times New Roman"/>
      <w:b/>
      <w:bCs/>
      <w:kern w:val="2"/>
      <w:sz w:val="24"/>
      <w:szCs w:val="24"/>
    </w:rPr>
  </w:style>
  <w:style w:type="character" w:customStyle="1" w:styleId="18">
    <w:name w:val="章标题 Char"/>
    <w:link w:val="19"/>
    <w:autoRedefine/>
    <w:qFormat/>
    <w:locked/>
    <w:uiPriority w:val="99"/>
    <w:rPr>
      <w:rFonts w:ascii="黑体" w:hAnsi="Calibri" w:eastAsia="黑体"/>
      <w:kern w:val="2"/>
      <w:sz w:val="21"/>
      <w:szCs w:val="22"/>
      <w:lang w:val="en-US" w:eastAsia="zh-CN" w:bidi="ar-SA"/>
    </w:rPr>
  </w:style>
  <w:style w:type="paragraph" w:customStyle="1" w:styleId="19">
    <w:name w:val="章标题"/>
    <w:next w:val="20"/>
    <w:link w:val="18"/>
    <w:autoRedefine/>
    <w:qFormat/>
    <w:uiPriority w:val="99"/>
    <w:pPr>
      <w:spacing w:beforeLines="100" w:afterLines="100"/>
      <w:ind w:left="544" w:hanging="181"/>
      <w:jc w:val="both"/>
      <w:outlineLvl w:val="1"/>
    </w:pPr>
    <w:rPr>
      <w:rFonts w:ascii="黑体" w:hAnsi="Calibri" w:eastAsia="黑体" w:cs="Times New Roman"/>
      <w:kern w:val="2"/>
      <w:sz w:val="21"/>
      <w:szCs w:val="22"/>
      <w:lang w:val="en-US" w:eastAsia="zh-CN" w:bidi="ar-SA"/>
    </w:rPr>
  </w:style>
  <w:style w:type="paragraph" w:customStyle="1" w:styleId="20">
    <w:name w:val="段"/>
    <w:link w:val="2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21">
    <w:name w:val="一级条标题 Char"/>
    <w:link w:val="22"/>
    <w:autoRedefine/>
    <w:qFormat/>
    <w:locked/>
    <w:uiPriority w:val="99"/>
    <w:rPr>
      <w:rFonts w:ascii="黑体" w:hAnsi="Calibri" w:eastAsia="黑体"/>
      <w:kern w:val="2"/>
      <w:sz w:val="21"/>
      <w:szCs w:val="21"/>
      <w:lang w:val="en-US" w:eastAsia="zh-CN" w:bidi="ar-SA"/>
    </w:rPr>
  </w:style>
  <w:style w:type="paragraph" w:customStyle="1" w:styleId="22">
    <w:name w:val="一级条标题"/>
    <w:next w:val="20"/>
    <w:link w:val="21"/>
    <w:autoRedefine/>
    <w:qFormat/>
    <w:uiPriority w:val="99"/>
    <w:pPr>
      <w:tabs>
        <w:tab w:val="left" w:pos="57"/>
      </w:tabs>
      <w:spacing w:beforeLines="50" w:afterLines="50"/>
      <w:ind w:left="363" w:hanging="363"/>
      <w:outlineLvl w:val="2"/>
    </w:pPr>
    <w:rPr>
      <w:rFonts w:ascii="黑体" w:hAnsi="Calibri" w:eastAsia="黑体" w:cs="Times New Roman"/>
      <w:kern w:val="2"/>
      <w:sz w:val="21"/>
      <w:szCs w:val="21"/>
      <w:lang w:val="en-US" w:eastAsia="zh-CN" w:bidi="ar-SA"/>
    </w:rPr>
  </w:style>
  <w:style w:type="character" w:customStyle="1" w:styleId="23">
    <w:name w:val="段 Char"/>
    <w:link w:val="20"/>
    <w:autoRedefine/>
    <w:qFormat/>
    <w:locked/>
    <w:uiPriority w:val="0"/>
    <w:rPr>
      <w:rFonts w:ascii="宋体"/>
      <w:lang w:val="en-US" w:eastAsia="zh-CN" w:bidi="ar-SA"/>
    </w:rPr>
  </w:style>
  <w:style w:type="paragraph" w:customStyle="1" w:styleId="24">
    <w:name w:val="前言、引言标题"/>
    <w:next w:val="20"/>
    <w:autoRedefine/>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
    <w:name w:val="正文表标题"/>
    <w:next w:val="20"/>
    <w:autoRedefine/>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6">
    <w:name w:val="标准书眉_奇数页"/>
    <w:next w:val="1"/>
    <w:autoRedefine/>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
    <w:name w:val="二级条标题"/>
    <w:basedOn w:val="22"/>
    <w:next w:val="20"/>
    <w:autoRedefine/>
    <w:qFormat/>
    <w:uiPriority w:val="99"/>
    <w:pPr>
      <w:spacing w:before="50" w:after="50"/>
      <w:outlineLvl w:val="3"/>
    </w:pPr>
  </w:style>
  <w:style w:type="paragraph" w:customStyle="1" w:styleId="2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9">
    <w:name w:val="封面标准英文名称"/>
    <w:basedOn w:val="30"/>
    <w:autoRedefine/>
    <w:qFormat/>
    <w:uiPriority w:val="99"/>
    <w:pPr>
      <w:framePr w:wrap="around"/>
      <w:spacing w:before="370" w:line="400" w:lineRule="exact"/>
    </w:pPr>
    <w:rPr>
      <w:rFonts w:ascii="Times New Roman"/>
      <w:sz w:val="28"/>
      <w:szCs w:val="28"/>
    </w:rPr>
  </w:style>
  <w:style w:type="paragraph" w:customStyle="1" w:styleId="30">
    <w:name w:val="封面标准名称"/>
    <w:autoRedefine/>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目次、标准名称标题"/>
    <w:basedOn w:val="1"/>
    <w:next w:val="20"/>
    <w:autoRedefine/>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2">
    <w:name w:val="封面一致性程度标识"/>
    <w:basedOn w:val="29"/>
    <w:autoRedefine/>
    <w:qFormat/>
    <w:uiPriority w:val="99"/>
    <w:pPr>
      <w:framePr w:wrap="around"/>
      <w:spacing w:before="440"/>
    </w:pPr>
    <w:rPr>
      <w:rFonts w:ascii="宋体" w:eastAsia="宋体"/>
    </w:rPr>
  </w:style>
  <w:style w:type="paragraph" w:customStyle="1" w:styleId="33">
    <w:name w:val="标准称谓"/>
    <w:next w:val="1"/>
    <w:autoRedefine/>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34">
    <w:name w:val="标准书脚_奇数页"/>
    <w:autoRedefine/>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35">
    <w:name w:val="其他发布日期"/>
    <w:basedOn w:val="1"/>
    <w:autoRedefine/>
    <w:qFormat/>
    <w:uiPriority w:val="99"/>
    <w:pPr>
      <w:framePr w:w="3997" w:h="471" w:hRule="exact" w:vSpace="181" w:wrap="around" w:vAnchor="page" w:hAnchor="page" w:x="1419" w:y="14097" w:anchorLock="1"/>
      <w:widowControl/>
      <w:jc w:val="left"/>
    </w:pPr>
    <w:rPr>
      <w:rFonts w:eastAsia="黑体"/>
      <w:kern w:val="0"/>
      <w:sz w:val="28"/>
      <w:szCs w:val="20"/>
    </w:rPr>
  </w:style>
  <w:style w:type="paragraph" w:customStyle="1" w:styleId="36">
    <w:name w:val="列出段落1"/>
    <w:basedOn w:val="1"/>
    <w:autoRedefine/>
    <w:qFormat/>
    <w:uiPriority w:val="99"/>
    <w:pPr>
      <w:ind w:firstLine="420" w:firstLineChars="200"/>
    </w:pPr>
    <w:rPr>
      <w:rFonts w:ascii="Calibri" w:hAnsi="Calibri"/>
      <w:szCs w:val="22"/>
    </w:rPr>
  </w:style>
  <w:style w:type="paragraph" w:customStyle="1" w:styleId="37">
    <w:name w:val="发布部门"/>
    <w:next w:val="20"/>
    <w:autoRedefine/>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8">
    <w:name w:val="其他实施日期"/>
    <w:basedOn w:val="1"/>
    <w:autoRedefine/>
    <w:qFormat/>
    <w:uiPriority w:val="99"/>
    <w:pPr>
      <w:framePr w:w="3997" w:h="471" w:hRule="exact" w:vSpace="181" w:wrap="around" w:vAnchor="page" w:hAnchor="page" w:x="7089" w:y="14097" w:anchorLock="1"/>
      <w:widowControl/>
      <w:jc w:val="right"/>
    </w:pPr>
    <w:rPr>
      <w:rFonts w:eastAsia="黑体"/>
      <w:kern w:val="0"/>
      <w:sz w:val="28"/>
      <w:szCs w:val="20"/>
    </w:rPr>
  </w:style>
  <w:style w:type="paragraph" w:customStyle="1" w:styleId="39">
    <w:name w:val="Body text|1"/>
    <w:basedOn w:val="1"/>
    <w:autoRedefine/>
    <w:qFormat/>
    <w:uiPriority w:val="99"/>
    <w:pPr>
      <w:spacing w:line="346" w:lineRule="auto"/>
    </w:pPr>
    <w:rPr>
      <w:rFonts w:ascii="宋体" w:hAnsi="宋体" w:cs="宋体"/>
      <w:sz w:val="18"/>
      <w:szCs w:val="18"/>
      <w:lang w:val="zh-TW" w:eastAsia="zh-TW"/>
    </w:rPr>
  </w:style>
  <w:style w:type="paragraph" w:customStyle="1" w:styleId="40">
    <w:name w:val="Body text|3"/>
    <w:basedOn w:val="1"/>
    <w:autoRedefine/>
    <w:qFormat/>
    <w:uiPriority w:val="99"/>
    <w:pPr>
      <w:spacing w:line="326" w:lineRule="auto"/>
      <w:ind w:firstLine="420"/>
    </w:pPr>
    <w:rPr>
      <w:sz w:val="20"/>
      <w:szCs w:val="20"/>
    </w:rPr>
  </w:style>
  <w:style w:type="paragraph" w:customStyle="1" w:styleId="41">
    <w:name w:val="Other|1"/>
    <w:basedOn w:val="1"/>
    <w:autoRedefine/>
    <w:qFormat/>
    <w:uiPriority w:val="99"/>
    <w:rPr>
      <w:sz w:val="18"/>
      <w:szCs w:val="18"/>
    </w:rPr>
  </w:style>
  <w:style w:type="paragraph" w:customStyle="1" w:styleId="42">
    <w:name w:val="Other|2"/>
    <w:basedOn w:val="1"/>
    <w:autoRedefine/>
    <w:qFormat/>
    <w:uiPriority w:val="99"/>
    <w:pPr>
      <w:spacing w:line="215" w:lineRule="exact"/>
      <w:jc w:val="center"/>
    </w:pPr>
    <w:rPr>
      <w:rFonts w:ascii="宋体" w:hAnsi="宋体" w:cs="宋体"/>
      <w:sz w:val="20"/>
      <w:szCs w:val="20"/>
      <w:lang w:val="zh-TW" w:eastAsia="zh-TW"/>
    </w:rPr>
  </w:style>
  <w:style w:type="paragraph" w:customStyle="1" w:styleId="43">
    <w:name w:val="Header or footer|2"/>
    <w:basedOn w:val="1"/>
    <w:autoRedefine/>
    <w:qFormat/>
    <w:uiPriority w:val="99"/>
    <w:rPr>
      <w:sz w:val="20"/>
      <w:szCs w:val="20"/>
    </w:rPr>
  </w:style>
  <w:style w:type="paragraph" w:customStyle="1" w:styleId="44">
    <w:name w:val="字母编号列项（一级）"/>
    <w:autoRedefine/>
    <w:qFormat/>
    <w:uiPriority w:val="0"/>
    <w:pPr>
      <w:numPr>
        <w:ilvl w:val="0"/>
        <w:numId w:val="2"/>
      </w:numPr>
      <w:jc w:val="both"/>
    </w:pPr>
    <w:rPr>
      <w:rFonts w:ascii="Times New Roman" w:hAnsi="Times New Roman" w:eastAsia="宋体" w:cs="Times New Roman"/>
      <w:sz w:val="21"/>
      <w:lang w:val="en-US" w:eastAsia="zh-CN" w:bidi="ar-SA"/>
    </w:rPr>
  </w:style>
  <w:style w:type="paragraph" w:customStyle="1" w:styleId="45">
    <w:name w:val="Body text|2"/>
    <w:basedOn w:val="1"/>
    <w:autoRedefine/>
    <w:qFormat/>
    <w:uiPriority w:val="99"/>
    <w:pPr>
      <w:shd w:val="clear" w:color="auto" w:fill="FFFFFF"/>
      <w:spacing w:after="2880" w:line="232" w:lineRule="exact"/>
    </w:pPr>
    <w:rPr>
      <w:rFonts w:ascii="PMingLiU" w:hAnsi="PMingLiU" w:eastAsia="PMingLiU"/>
      <w:spacing w:val="10"/>
      <w:kern w:val="0"/>
      <w:sz w:val="19"/>
      <w:szCs w:val="19"/>
    </w:rPr>
  </w:style>
  <w:style w:type="character" w:customStyle="1" w:styleId="46">
    <w:name w:val="Body text|2 + 8.5 pt"/>
    <w:autoRedefine/>
    <w:qFormat/>
    <w:uiPriority w:val="99"/>
    <w:rPr>
      <w:rFonts w:ascii="PMingLiU" w:hAnsi="PMingLiU" w:eastAsia="PMingLiU"/>
      <w:color w:val="000000"/>
      <w:spacing w:val="0"/>
      <w:w w:val="100"/>
      <w:position w:val="0"/>
      <w:sz w:val="17"/>
      <w:u w:val="none"/>
      <w:lang w:val="zh-CN" w:eastAsia="zh-CN"/>
    </w:rPr>
  </w:style>
  <w:style w:type="paragraph" w:customStyle="1" w:styleId="47">
    <w:name w:val="Body text|4"/>
    <w:basedOn w:val="1"/>
    <w:autoRedefine/>
    <w:qFormat/>
    <w:uiPriority w:val="0"/>
    <w:pPr>
      <w:spacing w:after="60" w:line="139" w:lineRule="exact"/>
      <w:jc w:val="right"/>
    </w:pPr>
    <w:rPr>
      <w:rFonts w:ascii="宋体" w:hAnsi="宋体" w:cs="宋体"/>
      <w:i/>
      <w:iCs/>
    </w:rPr>
  </w:style>
  <w:style w:type="paragraph" w:customStyle="1" w:styleId="48">
    <w:name w:val="Heading #2|1"/>
    <w:basedOn w:val="1"/>
    <w:autoRedefine/>
    <w:qFormat/>
    <w:uiPriority w:val="0"/>
    <w:pPr>
      <w:spacing w:after="60"/>
      <w:ind w:firstLine="400"/>
      <w:outlineLvl w:val="1"/>
    </w:pPr>
    <w:rPr>
      <w:rFonts w:ascii="宋体" w:hAnsi="宋体" w:cs="宋体"/>
      <w:sz w:val="19"/>
      <w:szCs w:val="19"/>
      <w:lang w:val="zh-TW" w:eastAsia="zh-TW" w:bidi="zh-TW"/>
    </w:rPr>
  </w:style>
  <w:style w:type="paragraph" w:customStyle="1" w:styleId="49">
    <w:name w:val="Header or footer|1"/>
    <w:basedOn w:val="1"/>
    <w:autoRedefine/>
    <w:qFormat/>
    <w:uiPriority w:val="0"/>
    <w:rPr>
      <w:sz w:val="20"/>
      <w:szCs w:val="20"/>
    </w:rPr>
  </w:style>
  <w:style w:type="character" w:customStyle="1" w:styleId="50">
    <w:name w:val="发布"/>
    <w:autoRedefine/>
    <w:qFormat/>
    <w:uiPriority w:val="0"/>
    <w:rPr>
      <w:rFonts w:ascii="黑体" w:eastAsia="黑体"/>
      <w:spacing w:val="85"/>
      <w:w w:val="100"/>
      <w:position w:val="3"/>
      <w:sz w:val="28"/>
      <w:szCs w:val="28"/>
    </w:rPr>
  </w:style>
  <w:style w:type="paragraph" w:customStyle="1" w:styleId="51">
    <w:name w:val="其他发布部门"/>
    <w:basedOn w:val="37"/>
    <w:autoRedefine/>
    <w:qFormat/>
    <w:uiPriority w:val="0"/>
    <w:pPr>
      <w:framePr w:wrap="around" w:y="15310"/>
      <w:spacing w:line="0" w:lineRule="atLeast"/>
    </w:pPr>
    <w:rPr>
      <w:rFonts w:ascii="黑体" w:eastAsia="黑体"/>
      <w:b w:val="0"/>
    </w:rPr>
  </w:style>
  <w:style w:type="paragraph" w:styleId="52">
    <w:name w:val="List Paragraph"/>
    <w:basedOn w:val="1"/>
    <w:autoRedefine/>
    <w:qFormat/>
    <w:uiPriority w:val="34"/>
    <w:pPr>
      <w:ind w:firstLine="420"/>
    </w:pPr>
  </w:style>
  <w:style w:type="table" w:customStyle="1" w:styleId="53">
    <w:name w:val="Table Normal"/>
    <w:autoRedefine/>
    <w:semiHidden/>
    <w:unhideWhenUsed/>
    <w:qFormat/>
    <w:uiPriority w:val="0"/>
    <w:tblPr>
      <w:tblCellMar>
        <w:top w:w="0" w:type="dxa"/>
        <w:left w:w="0" w:type="dxa"/>
        <w:bottom w:w="0" w:type="dxa"/>
        <w:right w:w="0" w:type="dxa"/>
      </w:tblCellMar>
    </w:tblPr>
  </w:style>
  <w:style w:type="paragraph" w:customStyle="1" w:styleId="54">
    <w:name w:val="Table Text"/>
    <w:basedOn w:val="1"/>
    <w:semiHidden/>
    <w:qFormat/>
    <w:uiPriority w:val="0"/>
    <w:rPr>
      <w:rFonts w:ascii="宋体" w:hAnsi="宋体" w:cs="宋体"/>
      <w:sz w:val="18"/>
      <w:szCs w:val="18"/>
      <w:lang w:eastAsia="en-US"/>
    </w:rPr>
  </w:style>
  <w:style w:type="paragraph" w:customStyle="1" w:styleId="55">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styleId="56">
    <w:name w:val="Placeholder Text"/>
    <w:basedOn w:val="10"/>
    <w:autoRedefine/>
    <w:unhideWhenUsed/>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3"/>
    <customShpInfo spid="_x0000_s1026"/>
    <customShpInfo spid="_x0000_s1041"/>
    <customShpInfo spid="_x0000_s104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A170C-8431-4DBF-97FB-8BE97A807F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1409</Words>
  <Characters>8034</Characters>
  <Lines>66</Lines>
  <Paragraphs>18</Paragraphs>
  <TotalTime>2</TotalTime>
  <ScaleCrop>false</ScaleCrop>
  <LinksUpToDate>false</LinksUpToDate>
  <CharactersWithSpaces>9425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2021-01-14T07:13:00Z</dcterms:created>
  <dc:creator>王然</dc:creator>
  <cp:lastModifiedBy>Feeling</cp:lastModifiedBy>
  <cp:lastPrinted>2024-01-18T01:41:00Z</cp:lastPrinted>
  <dcterms:modified xsi:type="dcterms:W3CDTF">2024-02-02T08:59:00Z</dcterms:modified>
  <dc:title>团体标准</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51EBAEBC4EE64BFA9F72C0A2B172F7C7</vt:lpwstr>
  </property>
</Properties>
</file>