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0"/>
        <w:framePr w:wrap="around"/>
        <w:rPr>
          <w:rFonts w:ascii="Times New Roman" w:cs="Times New Roman"/>
        </w:rPr>
      </w:pPr>
      <w:r>
        <w:rPr>
          <w:rFonts w:ascii="Times New Roman" w:cs="Times New Roman"/>
        </w:rPr>
        <w:t>ICS 77.140.60</w:t>
      </w:r>
    </w:p>
    <w:p>
      <w:pPr>
        <w:pStyle w:val="130"/>
        <w:framePr w:wrap="around"/>
        <w:rPr>
          <w:rFonts w:ascii="Times New Roman" w:cs="Times New Roman"/>
        </w:rPr>
      </w:pPr>
      <w:r>
        <w:rPr>
          <w:rFonts w:ascii="Times New Roman" w:cs="Times New Roman"/>
        </w:rPr>
        <w:t>H 44</w:t>
      </w:r>
    </w:p>
    <w:p>
      <w:pPr>
        <w:pStyle w:val="74"/>
        <w:framePr w:w="0" w:hRule="auto" w:wrap="around" w:x="1368" w:y="2365"/>
        <w:rPr>
          <w:rFonts w:ascii="Times New Roman" w:cs="Times New Roman"/>
        </w:rPr>
      </w:pPr>
      <w:r>
        <w:rPr>
          <w:rFonts w:ascii="Times New Roman" w:cs="Times New Roman"/>
        </w:rPr>
        <w:t>团体标准</w:t>
      </w:r>
    </w:p>
    <w:p>
      <w:pPr>
        <w:pStyle w:val="54"/>
        <w:framePr w:h="1689" w:hRule="exact" w:wrap="around" w:x="1802" w:y="2866"/>
        <w:rPr>
          <w:rFonts w:ascii="Times New Roman" w:cs="Times New Roman"/>
        </w:rPr>
      </w:pPr>
    </w:p>
    <w:tbl>
      <w:tblPr>
        <w:tblStyle w:val="31"/>
        <w:tblW w:w="91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40" w:type="dxa"/>
            <w:tcBorders>
              <w:top w:val="nil"/>
              <w:left w:val="nil"/>
              <w:bottom w:val="nil"/>
              <w:right w:val="nil"/>
            </w:tcBorders>
          </w:tcPr>
          <w:p>
            <w:pPr>
              <w:pStyle w:val="83"/>
              <w:framePr w:h="1689" w:hRule="exact" w:wrap="around" w:x="1802" w:y="2866"/>
              <w:rPr>
                <w:rFonts w:ascii="Times New Roman" w:cs="Times New Roman"/>
                <w:kern w:val="2"/>
              </w:rPr>
            </w:pPr>
          </w:p>
        </w:tc>
      </w:tr>
    </w:tbl>
    <w:p>
      <w:pPr>
        <w:pStyle w:val="118"/>
        <w:framePr w:w="9140" w:h="1689" w:hRule="exact" w:hSpace="284" w:vSpace="0" w:wrap="around" w:x="1802" w:y="2866"/>
        <w:jc w:val="right"/>
        <w:rPr>
          <w:rFonts w:ascii="Times New Roman" w:cs="Times New Roman"/>
          <w:spacing w:val="0"/>
          <w:w w:val="100"/>
        </w:rPr>
      </w:pPr>
      <w:r>
        <w:rPr>
          <w:rFonts w:ascii="Times New Roman" w:cs="Times New Roman"/>
          <w:spacing w:val="0"/>
          <w:w w:val="100"/>
        </w:rPr>
        <w:t xml:space="preserve">T/SSEA </w:t>
      </w:r>
      <w:r>
        <w:rPr>
          <w:rFonts w:hint="eastAsia" w:ascii="Times New Roman" w:cs="Times New Roman"/>
          <w:spacing w:val="0"/>
          <w:w w:val="100"/>
        </w:rPr>
        <w:t>XXXX</w:t>
      </w:r>
      <w:r>
        <w:rPr>
          <w:rFonts w:ascii="Times New Roman" w:cs="Times New Roman"/>
          <w:spacing w:val="0"/>
          <w:w w:val="100"/>
        </w:rPr>
        <w:t>—</w:t>
      </w:r>
      <w:r>
        <w:rPr>
          <w:rFonts w:hint="eastAsia" w:ascii="Times New Roman" w:cs="Times New Roman"/>
          <w:spacing w:val="0"/>
          <w:w w:val="100"/>
        </w:rPr>
        <w:t>2022</w:t>
      </w:r>
    </w:p>
    <w:p>
      <w:pPr>
        <w:pStyle w:val="54"/>
        <w:framePr w:h="1689" w:hRule="exact" w:wrap="around" w:x="1802" w:y="2866"/>
        <w:rPr>
          <w:rFonts w:ascii="Times New Roman" w:cs="Times New Roman"/>
        </w:rPr>
      </w:pPr>
    </w:p>
    <w:p>
      <w:pPr>
        <w:pStyle w:val="54"/>
        <w:framePr w:h="1689" w:hRule="exact" w:wrap="around" w:x="1802" w:y="2866"/>
        <w:rPr>
          <w:rFonts w:ascii="Times New Roman" w:cs="Times New Roman"/>
        </w:rPr>
      </w:pPr>
    </w:p>
    <w:p>
      <w:pPr>
        <w:pStyle w:val="85"/>
        <w:framePr w:wrap="around" w:x="1351" w:y="7456"/>
        <w:rPr>
          <w:rFonts w:ascii="Times New Roman" w:cs="Times New Roman"/>
        </w:rPr>
      </w:pPr>
      <w:r>
        <w:rPr>
          <w:rFonts w:hint="eastAsia" w:ascii="Times New Roman" w:cs="Times New Roman"/>
        </w:rPr>
        <w:t>海洋系泊链钢丝绳用热轧盘条</w:t>
      </w:r>
    </w:p>
    <w:p>
      <w:pPr>
        <w:pStyle w:val="85"/>
        <w:framePr w:wrap="around" w:x="1351" w:y="7456"/>
        <w:rPr>
          <w:rFonts w:ascii="Times New Roman" w:cs="Times New Roman"/>
          <w:sz w:val="28"/>
          <w:szCs w:val="28"/>
        </w:rPr>
      </w:pPr>
      <w:r>
        <w:rPr>
          <w:rFonts w:hint="eastAsia" w:ascii="Times New Roman" w:cs="Times New Roman"/>
          <w:sz w:val="28"/>
          <w:szCs w:val="28"/>
        </w:rPr>
        <w:t>Hot rolled wire rods for offshore mooring ropes</w:t>
      </w:r>
    </w:p>
    <w:p>
      <w:pPr>
        <w:pStyle w:val="87"/>
        <w:framePr w:wrap="around" w:x="1351" w:y="7456"/>
        <w:rPr>
          <w:rFonts w:ascii="Times New Roman" w:cs="Times New Roman"/>
        </w:rPr>
      </w:pPr>
    </w:p>
    <w:tbl>
      <w:tblPr>
        <w:tblStyle w:val="31"/>
        <w:tblW w:w="96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9" w:type="dxa"/>
            <w:tcBorders>
              <w:top w:val="nil"/>
              <w:left w:val="nil"/>
              <w:bottom w:val="nil"/>
              <w:right w:val="nil"/>
            </w:tcBorders>
          </w:tcPr>
          <w:p>
            <w:pPr>
              <w:pStyle w:val="88"/>
              <w:framePr w:wrap="around" w:x="1351" w:y="7456"/>
              <w:rPr>
                <w:rFonts w:ascii="Times New Roman" w:cs="Times New Roman"/>
              </w:rPr>
            </w:pPr>
            <w:r>
              <w:rPr>
                <w:rFonts w:hint="eastAsia"/>
              </w:rPr>
              <w:t>(</w:t>
            </w:r>
            <w:r>
              <w:rPr>
                <w:rFonts w:hint="eastAsia"/>
                <w:lang w:val="en-US" w:eastAsia="zh-CN"/>
              </w:rPr>
              <w:t>征求意见</w:t>
            </w:r>
            <w:r>
              <w:rPr>
                <w:rFonts w:hint="eastAsia"/>
              </w:rPr>
              <w:t>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9" w:type="dxa"/>
            <w:tcBorders>
              <w:top w:val="nil"/>
              <w:left w:val="nil"/>
              <w:bottom w:val="nil"/>
              <w:right w:val="nil"/>
            </w:tcBorders>
          </w:tcPr>
          <w:p>
            <w:pPr>
              <w:pStyle w:val="89"/>
              <w:framePr w:wrap="around" w:x="1351" w:y="7456"/>
              <w:rPr>
                <w:rFonts w:ascii="Times New Roman" w:cs="Times New Roman"/>
              </w:rPr>
            </w:pPr>
          </w:p>
        </w:tc>
      </w:tr>
    </w:tbl>
    <w:p>
      <w:pPr>
        <w:pStyle w:val="137"/>
        <w:framePr w:wrap="around" w:hAnchor="page" w:x="1486" w:y="14041"/>
      </w:pPr>
      <w:r>
        <w:rPr>
          <w:rFonts w:hint="eastAsia"/>
        </w:rPr>
        <w:t>XXXX</w:t>
      </w:r>
      <w:r>
        <w:t xml:space="preserve"> - </w:t>
      </w:r>
      <w:r>
        <w:rPr>
          <w:rFonts w:hint="eastAsia"/>
        </w:rPr>
        <w:t>XX</w:t>
      </w:r>
      <w:r>
        <w:t xml:space="preserve">- </w:t>
      </w:r>
      <w:r>
        <w:rPr>
          <w:rFonts w:hint="eastAsia"/>
        </w:rPr>
        <w:t>XX</w:t>
      </w:r>
      <w:r>
        <w:t>发布</w:t>
      </w:r>
      <w:r>
        <w:pict>
          <v:line id="Line 10" o:spid="_x0000_s1029" o:spt="20" style="position:absolute;left:0pt;margin-left:-3.45pt;margin-top:728.5pt;height:0pt;width:481.9pt;mso-position-vertical-relative:page;z-index:251659264;mso-width-relative:page;mso-height-relative:page;" coordsize="21600,21600" o:gfxdata="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lChmJ1gAAAAwBAAAPAAAAAAAAAAEAIAAAACIAAABkcnMvZG93bnJldi54bWxQ&#10;SwECFAAUAAAACACHTuJAIHyrAcABAACNAwAADgAAAAAAAAABACAAAAAlAQAAZHJzL2Uyb0RvYy54&#10;bWxQSwUGAAAAAAYABgBZAQAAVwUAAAAA&#10;">
            <v:path arrowok="t"/>
            <v:fill focussize="0,0"/>
            <v:stroke/>
            <v:imagedata o:title=""/>
            <o:lock v:ext="edit"/>
            <w10:anchorlock/>
          </v:line>
        </w:pict>
      </w:r>
    </w:p>
    <w:p>
      <w:pPr>
        <w:pStyle w:val="138"/>
        <w:framePr w:wrap="around" w:hAnchor="page" w:x="7201" w:y="14026"/>
      </w:pPr>
      <w:r>
        <w:t>XXXX -XX - XX实施</w:t>
      </w:r>
    </w:p>
    <w:p>
      <w:pPr>
        <w:pStyle w:val="81"/>
        <w:framePr w:wrap="around" w:y="15310"/>
        <w:rPr>
          <w:rFonts w:ascii="Times New Roman" w:cs="Times New Roman"/>
        </w:rPr>
      </w:pPr>
      <w:r>
        <w:rPr>
          <w:rFonts w:ascii="Times New Roman" w:cs="Times New Roman"/>
          <w:sz w:val="36"/>
          <w:szCs w:val="36"/>
        </w:rPr>
        <w:t>中国特钢企业协会</w:t>
      </w:r>
      <w:r>
        <w:rPr>
          <w:rFonts w:hint="eastAsia" w:ascii="Times New Roman" w:cs="Times New Roman"/>
          <w:sz w:val="36"/>
          <w:szCs w:val="36"/>
        </w:rPr>
        <w:t xml:space="preserve"> </w:t>
      </w:r>
      <w:r>
        <w:rPr>
          <w:rFonts w:ascii="Times New Roman" w:cs="Times New Roman"/>
          <w:sz w:val="36"/>
          <w:szCs w:val="36"/>
        </w:rPr>
        <w:t xml:space="preserve"> </w:t>
      </w:r>
      <w:r>
        <w:rPr>
          <w:rFonts w:ascii="Times New Roman" w:eastAsia="黑体" w:cs="Times New Roman"/>
        </w:rPr>
        <w:t>发布</w:t>
      </w:r>
    </w:p>
    <w:p>
      <w:pPr>
        <w:pStyle w:val="118"/>
        <w:framePr w:wrap="around"/>
        <w:jc w:val="both"/>
        <w:rPr>
          <w:rFonts w:ascii="Times New Roman" w:cs="Times New Roman"/>
        </w:rPr>
      </w:pPr>
    </w:p>
    <w:p>
      <w:pPr>
        <w:pStyle w:val="22"/>
        <w:rPr>
          <w:rFonts w:ascii="Times New Roman" w:cs="Times New Roman"/>
        </w:rPr>
        <w:sectPr>
          <w:pgSz w:w="11906" w:h="16838"/>
          <w:pgMar w:top="567" w:right="1134" w:bottom="1134" w:left="1417" w:header="0" w:footer="0" w:gutter="0"/>
          <w:pgNumType w:start="1"/>
          <w:cols w:space="425" w:num="1"/>
          <w:docGrid w:type="lines" w:linePitch="312" w:charSpace="0"/>
        </w:sectPr>
      </w:pPr>
      <w:r>
        <w:rPr>
          <w:rFonts w:ascii="Times New Roman" w:cs="Times New Roman"/>
        </w:rPr>
        <w:pict>
          <v:line id="Line 11" o:spid="_x0000_s1028" o:spt="20" style="position:absolute;left:0pt;margin-left:-6.9pt;margin-top:199.65pt;height:0pt;width:481.9pt;z-index:251660288;mso-width-relative:page;mso-height-relative:page;" coordsize="21600,21600" o:gfxdata="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qWYBGtcAAAALAQAADwAAAAAAAAABACAAAAAiAAAAZHJzL2Rvd25yZXYueG1s&#10;UEsBAhQAFAAAAAgAh07iQNXiUDnAAQAAjQMAAA4AAAAAAAAAAQAgAAAAJgEAAGRycy9lMm9Eb2Mu&#10;eG1sUEsFBgAAAAAGAAYAWQEAAFgFAAAAAA==&#10;">
            <v:path arrowok="t"/>
            <v:fill focussize="0,0"/>
            <v:stroke/>
            <v:imagedata o:title=""/>
            <o:lock v:ext="edit"/>
            <w10:anchorlock/>
          </v:line>
        </w:pict>
      </w:r>
    </w:p>
    <w:p>
      <w:pPr>
        <w:pStyle w:val="57"/>
        <w:rPr>
          <w:rFonts w:ascii="Times New Roman" w:cs="Times New Roman"/>
        </w:rPr>
      </w:pPr>
      <w:bookmarkStart w:id="0" w:name="_Toc30479"/>
      <w:bookmarkStart w:id="1" w:name="_Toc1337"/>
      <w:bookmarkStart w:id="2" w:name="_Toc27148088"/>
      <w:bookmarkStart w:id="3" w:name="_Toc23767"/>
      <w:bookmarkStart w:id="4" w:name="_Toc534127476"/>
      <w:bookmarkStart w:id="5" w:name="_Toc3529"/>
      <w:bookmarkStart w:id="6" w:name="_Toc499735461"/>
      <w:bookmarkStart w:id="7" w:name="_Toc33108940"/>
      <w:bookmarkStart w:id="8" w:name="_Toc512093858"/>
      <w:bookmarkStart w:id="9" w:name="_Toc499733965"/>
      <w:r>
        <w:rPr>
          <w:rFonts w:ascii="Times New Roman" w:cs="Times New Roman"/>
        </w:rPr>
        <w:t>目</w:t>
      </w:r>
      <w:bookmarkStart w:id="10" w:name="BKML"/>
      <w:r>
        <w:rPr>
          <w:rFonts w:ascii="Times New Roman" w:cs="Times New Roman"/>
        </w:rPr>
        <w:t>  次</w:t>
      </w:r>
      <w:bookmarkEnd w:id="0"/>
      <w:bookmarkEnd w:id="1"/>
      <w:bookmarkEnd w:id="2"/>
      <w:bookmarkEnd w:id="3"/>
      <w:bookmarkEnd w:id="4"/>
      <w:bookmarkEnd w:id="10"/>
    </w:p>
    <w:p>
      <w:pPr>
        <w:pStyle w:val="18"/>
        <w:tabs>
          <w:tab w:val="right" w:leader="dot" w:pos="9355"/>
          <w:tab w:val="clear" w:pos="9241"/>
        </w:tabs>
        <w:spacing w:before="78" w:after="78"/>
      </w:pPr>
      <w:r>
        <w:rPr>
          <w:rFonts w:ascii="Times New Roman" w:cs="Times New Roman"/>
        </w:rPr>
        <w:fldChar w:fldCharType="begin"/>
      </w:r>
      <w:r>
        <w:rPr>
          <w:rFonts w:ascii="Times New Roman" w:cs="Times New Roman"/>
        </w:rPr>
        <w:instrText xml:space="preserve"> TOC \o "1-2" \h \z \u </w:instrText>
      </w:r>
      <w:r>
        <w:rPr>
          <w:rFonts w:ascii="Times New Roman" w:cs="Times New Roman"/>
        </w:rPr>
        <w:fldChar w:fldCharType="separate"/>
      </w:r>
      <w:r>
        <w:fldChar w:fldCharType="begin"/>
      </w:r>
      <w:r>
        <w:instrText xml:space="preserve"> HYPERLINK \l "_Toc26699" </w:instrText>
      </w:r>
      <w:r>
        <w:fldChar w:fldCharType="separate"/>
      </w:r>
      <w:r>
        <w:rPr>
          <w:rFonts w:ascii="Times New Roman" w:cs="Times New Roman"/>
        </w:rPr>
        <w:t>前  言</w:t>
      </w:r>
      <w:r>
        <w:tab/>
      </w:r>
      <w:r>
        <w:fldChar w:fldCharType="begin"/>
      </w:r>
      <w:r>
        <w:instrText xml:space="preserve"> PAGEREF _Toc26699 </w:instrText>
      </w:r>
      <w:r>
        <w:fldChar w:fldCharType="separate"/>
      </w:r>
      <w:r>
        <w:t>II</w:t>
      </w:r>
      <w:r>
        <w:fldChar w:fldCharType="end"/>
      </w:r>
      <w:r>
        <w:fldChar w:fldCharType="end"/>
      </w:r>
    </w:p>
    <w:p>
      <w:pPr>
        <w:pStyle w:val="27"/>
        <w:tabs>
          <w:tab w:val="right" w:leader="dot" w:pos="9355"/>
          <w:tab w:val="clear" w:pos="9241"/>
        </w:tabs>
      </w:pPr>
      <w:r>
        <w:fldChar w:fldCharType="begin"/>
      </w:r>
      <w:r>
        <w:instrText xml:space="preserve"> HYPERLINK \l "_Toc5150" </w:instrText>
      </w:r>
      <w:r>
        <w:fldChar w:fldCharType="separate"/>
      </w:r>
      <w:r>
        <w:rPr>
          <w:rFonts w:hint="eastAsia" w:ascii="黑体" w:eastAsia="黑体" w:cs="Times New Roman"/>
        </w:rPr>
        <w:t xml:space="preserve">1 </w:t>
      </w:r>
      <w:r>
        <w:rPr>
          <w:rFonts w:ascii="Times New Roman"/>
        </w:rPr>
        <w:t>范围</w:t>
      </w:r>
      <w:r>
        <w:tab/>
      </w:r>
      <w:r>
        <w:fldChar w:fldCharType="begin"/>
      </w:r>
      <w:r>
        <w:instrText xml:space="preserve"> PAGEREF _Toc5150 </w:instrText>
      </w:r>
      <w:r>
        <w:fldChar w:fldCharType="separate"/>
      </w:r>
      <w:r>
        <w:t>4</w:t>
      </w:r>
      <w:r>
        <w:fldChar w:fldCharType="end"/>
      </w:r>
      <w:r>
        <w:fldChar w:fldCharType="end"/>
      </w:r>
    </w:p>
    <w:p>
      <w:pPr>
        <w:pStyle w:val="27"/>
        <w:tabs>
          <w:tab w:val="right" w:leader="dot" w:pos="9355"/>
          <w:tab w:val="clear" w:pos="9241"/>
        </w:tabs>
      </w:pPr>
      <w:r>
        <w:fldChar w:fldCharType="begin"/>
      </w:r>
      <w:r>
        <w:instrText xml:space="preserve"> HYPERLINK \l "_Toc9773" </w:instrText>
      </w:r>
      <w:r>
        <w:fldChar w:fldCharType="separate"/>
      </w:r>
      <w:r>
        <w:rPr>
          <w:rFonts w:hint="eastAsia" w:ascii="黑体" w:eastAsia="黑体" w:cs="Times New Roman"/>
        </w:rPr>
        <w:t xml:space="preserve">2 </w:t>
      </w:r>
      <w:r>
        <w:rPr>
          <w:rFonts w:ascii="Times New Roman"/>
        </w:rPr>
        <w:t>规范性引用文件</w:t>
      </w:r>
      <w:r>
        <w:tab/>
      </w:r>
      <w:r>
        <w:fldChar w:fldCharType="begin"/>
      </w:r>
      <w:r>
        <w:instrText xml:space="preserve"> PAGEREF _Toc9773 </w:instrText>
      </w:r>
      <w:r>
        <w:fldChar w:fldCharType="separate"/>
      </w:r>
      <w:r>
        <w:t>4</w:t>
      </w:r>
      <w:r>
        <w:fldChar w:fldCharType="end"/>
      </w:r>
      <w:r>
        <w:fldChar w:fldCharType="end"/>
      </w:r>
    </w:p>
    <w:p>
      <w:pPr>
        <w:pStyle w:val="27"/>
        <w:tabs>
          <w:tab w:val="right" w:leader="dot" w:pos="9355"/>
          <w:tab w:val="clear" w:pos="9241"/>
        </w:tabs>
      </w:pPr>
      <w:r>
        <w:fldChar w:fldCharType="begin"/>
      </w:r>
      <w:r>
        <w:instrText xml:space="preserve"> HYPERLINK \l "_Toc9326" </w:instrText>
      </w:r>
      <w:r>
        <w:fldChar w:fldCharType="separate"/>
      </w:r>
      <w:r>
        <w:rPr>
          <w:rFonts w:hint="eastAsia" w:ascii="黑体" w:eastAsia="黑体" w:cs="Times New Roman"/>
        </w:rPr>
        <w:t xml:space="preserve">3 </w:t>
      </w:r>
      <w:r>
        <w:rPr>
          <w:rFonts w:hint="eastAsia" w:ascii="Times New Roman"/>
        </w:rPr>
        <w:t>术语和定义</w:t>
      </w:r>
      <w:r>
        <w:tab/>
      </w:r>
      <w:r>
        <w:fldChar w:fldCharType="begin"/>
      </w:r>
      <w:r>
        <w:instrText xml:space="preserve"> PAGEREF _Toc9326 </w:instrText>
      </w:r>
      <w:r>
        <w:fldChar w:fldCharType="separate"/>
      </w:r>
      <w:r>
        <w:t>5</w:t>
      </w:r>
      <w:r>
        <w:fldChar w:fldCharType="end"/>
      </w:r>
      <w:r>
        <w:fldChar w:fldCharType="end"/>
      </w:r>
    </w:p>
    <w:p>
      <w:pPr>
        <w:pStyle w:val="27"/>
        <w:tabs>
          <w:tab w:val="right" w:leader="dot" w:pos="9355"/>
          <w:tab w:val="clear" w:pos="9241"/>
        </w:tabs>
      </w:pPr>
      <w:r>
        <w:fldChar w:fldCharType="begin"/>
      </w:r>
      <w:r>
        <w:instrText xml:space="preserve"> HYPERLINK \l "_Toc30867" </w:instrText>
      </w:r>
      <w:r>
        <w:fldChar w:fldCharType="separate"/>
      </w:r>
      <w:r>
        <w:rPr>
          <w:rFonts w:hint="eastAsia" w:ascii="黑体" w:eastAsia="黑体" w:cs="Times New Roman"/>
        </w:rPr>
        <w:t xml:space="preserve">4 </w:t>
      </w:r>
      <w:r>
        <w:rPr>
          <w:rFonts w:hint="eastAsia" w:ascii="Times New Roman"/>
        </w:rPr>
        <w:t>牌号表示方法</w:t>
      </w:r>
      <w:r>
        <w:tab/>
      </w:r>
      <w:r>
        <w:fldChar w:fldCharType="begin"/>
      </w:r>
      <w:r>
        <w:instrText xml:space="preserve"> PAGEREF _Toc30867 </w:instrText>
      </w:r>
      <w:r>
        <w:fldChar w:fldCharType="separate"/>
      </w:r>
      <w:r>
        <w:rPr>
          <w:b/>
        </w:rPr>
        <w:t>错误！未定义书签。</w:t>
      </w:r>
      <w:r>
        <w:fldChar w:fldCharType="end"/>
      </w:r>
      <w:r>
        <w:fldChar w:fldCharType="end"/>
      </w:r>
    </w:p>
    <w:p>
      <w:pPr>
        <w:pStyle w:val="27"/>
        <w:tabs>
          <w:tab w:val="right" w:leader="dot" w:pos="9355"/>
          <w:tab w:val="clear" w:pos="9241"/>
        </w:tabs>
      </w:pPr>
      <w:r>
        <w:fldChar w:fldCharType="begin"/>
      </w:r>
      <w:r>
        <w:instrText xml:space="preserve"> HYPERLINK \l "_Toc2779" </w:instrText>
      </w:r>
      <w:r>
        <w:fldChar w:fldCharType="separate"/>
      </w:r>
      <w:r>
        <w:rPr>
          <w:rFonts w:hint="eastAsia" w:ascii="黑体" w:eastAsia="黑体" w:cs="Times New Roman"/>
        </w:rPr>
        <w:t xml:space="preserve">5 </w:t>
      </w:r>
      <w:r>
        <w:rPr>
          <w:rFonts w:ascii="Times New Roman"/>
        </w:rPr>
        <w:t>订货内容</w:t>
      </w:r>
      <w:r>
        <w:tab/>
      </w:r>
      <w:r>
        <w:fldChar w:fldCharType="begin"/>
      </w:r>
      <w:r>
        <w:instrText xml:space="preserve"> PAGEREF _Toc2779 </w:instrText>
      </w:r>
      <w:r>
        <w:fldChar w:fldCharType="separate"/>
      </w:r>
      <w:r>
        <w:t>5</w:t>
      </w:r>
      <w:r>
        <w:fldChar w:fldCharType="end"/>
      </w:r>
      <w:r>
        <w:fldChar w:fldCharType="end"/>
      </w:r>
    </w:p>
    <w:p>
      <w:pPr>
        <w:pStyle w:val="27"/>
        <w:tabs>
          <w:tab w:val="right" w:leader="dot" w:pos="9355"/>
          <w:tab w:val="clear" w:pos="9241"/>
        </w:tabs>
      </w:pPr>
      <w:r>
        <w:fldChar w:fldCharType="begin"/>
      </w:r>
      <w:r>
        <w:instrText xml:space="preserve"> HYPERLINK \l "_Toc30091" </w:instrText>
      </w:r>
      <w:r>
        <w:fldChar w:fldCharType="separate"/>
      </w:r>
      <w:r>
        <w:rPr>
          <w:rFonts w:hint="eastAsia" w:ascii="黑体" w:eastAsia="黑体" w:cs="Times New Roman"/>
        </w:rPr>
        <w:t xml:space="preserve">6 </w:t>
      </w:r>
      <w:r>
        <w:rPr>
          <w:rFonts w:ascii="Times New Roman"/>
        </w:rPr>
        <w:t>尺寸、外形、重量及允许偏差</w:t>
      </w:r>
      <w:r>
        <w:tab/>
      </w:r>
      <w:r>
        <w:fldChar w:fldCharType="begin"/>
      </w:r>
      <w:r>
        <w:instrText xml:space="preserve"> PAGEREF _Toc30091 </w:instrText>
      </w:r>
      <w:r>
        <w:fldChar w:fldCharType="separate"/>
      </w:r>
      <w:r>
        <w:t>5</w:t>
      </w:r>
      <w:r>
        <w:fldChar w:fldCharType="end"/>
      </w:r>
      <w:r>
        <w:fldChar w:fldCharType="end"/>
      </w:r>
    </w:p>
    <w:p>
      <w:pPr>
        <w:pStyle w:val="27"/>
        <w:tabs>
          <w:tab w:val="right" w:leader="dot" w:pos="9355"/>
          <w:tab w:val="clear" w:pos="9241"/>
        </w:tabs>
      </w:pPr>
      <w:r>
        <w:fldChar w:fldCharType="begin"/>
      </w:r>
      <w:r>
        <w:instrText xml:space="preserve"> HYPERLINK \l "_Toc10193" </w:instrText>
      </w:r>
      <w:r>
        <w:fldChar w:fldCharType="separate"/>
      </w:r>
      <w:r>
        <w:rPr>
          <w:rFonts w:hint="eastAsia" w:ascii="黑体" w:eastAsia="黑体" w:cs="Times New Roman"/>
        </w:rPr>
        <w:t xml:space="preserve">7 </w:t>
      </w:r>
      <w:r>
        <w:rPr>
          <w:rFonts w:ascii="Times New Roman"/>
          <w:szCs w:val="22"/>
        </w:rPr>
        <w:t>技术要求</w:t>
      </w:r>
      <w:r>
        <w:tab/>
      </w:r>
      <w:r>
        <w:fldChar w:fldCharType="begin"/>
      </w:r>
      <w:r>
        <w:instrText xml:space="preserve"> PAGEREF _Toc10193 </w:instrText>
      </w:r>
      <w:r>
        <w:fldChar w:fldCharType="separate"/>
      </w:r>
      <w:r>
        <w:t>5</w:t>
      </w:r>
      <w:r>
        <w:fldChar w:fldCharType="end"/>
      </w:r>
      <w:r>
        <w:fldChar w:fldCharType="end"/>
      </w:r>
    </w:p>
    <w:p>
      <w:pPr>
        <w:pStyle w:val="27"/>
        <w:tabs>
          <w:tab w:val="right" w:leader="dot" w:pos="9355"/>
          <w:tab w:val="clear" w:pos="9241"/>
        </w:tabs>
      </w:pPr>
      <w:r>
        <w:fldChar w:fldCharType="begin"/>
      </w:r>
      <w:r>
        <w:instrText xml:space="preserve"> HYPERLINK \l "_Toc29999" </w:instrText>
      </w:r>
      <w:r>
        <w:fldChar w:fldCharType="separate"/>
      </w:r>
      <w:r>
        <w:rPr>
          <w:rFonts w:hint="eastAsia" w:ascii="黑体" w:eastAsia="黑体" w:cs="Times New Roman"/>
        </w:rPr>
        <w:t xml:space="preserve">8 </w:t>
      </w:r>
      <w:r>
        <w:rPr>
          <w:rFonts w:ascii="Times New Roman"/>
        </w:rPr>
        <w:t>试验方法</w:t>
      </w:r>
      <w:r>
        <w:tab/>
      </w:r>
      <w:r>
        <w:fldChar w:fldCharType="begin"/>
      </w:r>
      <w:r>
        <w:instrText xml:space="preserve"> PAGEREF _Toc29999 </w:instrText>
      </w:r>
      <w:r>
        <w:fldChar w:fldCharType="separate"/>
      </w:r>
      <w:r>
        <w:t>7</w:t>
      </w:r>
      <w:r>
        <w:fldChar w:fldCharType="end"/>
      </w:r>
      <w:r>
        <w:fldChar w:fldCharType="end"/>
      </w:r>
    </w:p>
    <w:p>
      <w:pPr>
        <w:pStyle w:val="27"/>
        <w:tabs>
          <w:tab w:val="right" w:leader="dot" w:pos="9355"/>
          <w:tab w:val="clear" w:pos="9241"/>
        </w:tabs>
      </w:pPr>
      <w:r>
        <w:fldChar w:fldCharType="begin"/>
      </w:r>
      <w:r>
        <w:instrText xml:space="preserve"> HYPERLINK \l "_Toc28402" </w:instrText>
      </w:r>
      <w:r>
        <w:fldChar w:fldCharType="separate"/>
      </w:r>
      <w:r>
        <w:rPr>
          <w:rFonts w:hint="eastAsia" w:ascii="黑体" w:eastAsia="黑体" w:cs="Times New Roman"/>
        </w:rPr>
        <w:t xml:space="preserve">9 </w:t>
      </w:r>
      <w:r>
        <w:rPr>
          <w:rFonts w:ascii="Times New Roman"/>
        </w:rPr>
        <w:t>检验规则</w:t>
      </w:r>
      <w:r>
        <w:tab/>
      </w:r>
      <w:r>
        <w:fldChar w:fldCharType="begin"/>
      </w:r>
      <w:r>
        <w:instrText xml:space="preserve"> PAGEREF _Toc28402 </w:instrText>
      </w:r>
      <w:r>
        <w:fldChar w:fldCharType="separate"/>
      </w:r>
      <w:r>
        <w:t>8</w:t>
      </w:r>
      <w:r>
        <w:fldChar w:fldCharType="end"/>
      </w:r>
      <w:r>
        <w:fldChar w:fldCharType="end"/>
      </w:r>
    </w:p>
    <w:p>
      <w:pPr>
        <w:pStyle w:val="27"/>
        <w:tabs>
          <w:tab w:val="right" w:leader="dot" w:pos="9355"/>
          <w:tab w:val="clear" w:pos="9241"/>
        </w:tabs>
      </w:pPr>
      <w:r>
        <w:fldChar w:fldCharType="begin"/>
      </w:r>
      <w:r>
        <w:instrText xml:space="preserve"> HYPERLINK \l "_Toc28865" </w:instrText>
      </w:r>
      <w:r>
        <w:fldChar w:fldCharType="separate"/>
      </w:r>
      <w:r>
        <w:rPr>
          <w:rFonts w:hint="eastAsia" w:ascii="黑体" w:eastAsia="黑体" w:cs="Times New Roman"/>
        </w:rPr>
        <w:t xml:space="preserve">10 </w:t>
      </w:r>
      <w:r>
        <w:rPr>
          <w:rFonts w:ascii="Times New Roman"/>
        </w:rPr>
        <w:t>包装、标志</w:t>
      </w:r>
      <w:r>
        <w:rPr>
          <w:rFonts w:hint="eastAsia" w:ascii="Times New Roman"/>
        </w:rPr>
        <w:t>和</w:t>
      </w:r>
      <w:r>
        <w:rPr>
          <w:rFonts w:ascii="Times New Roman"/>
        </w:rPr>
        <w:t>质量证明书</w:t>
      </w:r>
      <w:r>
        <w:tab/>
      </w:r>
      <w:r>
        <w:fldChar w:fldCharType="begin"/>
      </w:r>
      <w:r>
        <w:instrText xml:space="preserve"> PAGEREF _Toc28865 </w:instrText>
      </w:r>
      <w:r>
        <w:fldChar w:fldCharType="separate"/>
      </w:r>
      <w:r>
        <w:t>9</w:t>
      </w:r>
      <w:r>
        <w:fldChar w:fldCharType="end"/>
      </w:r>
      <w:r>
        <w:fldChar w:fldCharType="end"/>
      </w:r>
    </w:p>
    <w:p>
      <w:pPr>
        <w:pStyle w:val="119"/>
        <w:rPr>
          <w:rFonts w:ascii="Times New Roman" w:cs="Times New Roman"/>
        </w:rPr>
      </w:pPr>
      <w:r>
        <w:rPr>
          <w:rFonts w:ascii="Times New Roman" w:cs="Times New Roman"/>
        </w:rPr>
        <w:fldChar w:fldCharType="end"/>
      </w:r>
      <w:bookmarkStart w:id="11" w:name="_Toc26699"/>
    </w:p>
    <w:p>
      <w:pPr>
        <w:pStyle w:val="22"/>
        <w:rPr>
          <w:rFonts w:ascii="Times New Roman" w:cs="Times New Roman"/>
        </w:rPr>
      </w:pPr>
    </w:p>
    <w:p>
      <w:pPr>
        <w:pStyle w:val="22"/>
        <w:rPr>
          <w:rFonts w:ascii="Times New Roman" w:cs="Times New Roman"/>
        </w:rPr>
      </w:pPr>
    </w:p>
    <w:p>
      <w:pPr>
        <w:pStyle w:val="22"/>
        <w:rPr>
          <w:rFonts w:ascii="Times New Roman" w:cs="Times New Roman"/>
        </w:rPr>
      </w:pPr>
    </w:p>
    <w:p>
      <w:pPr>
        <w:pStyle w:val="22"/>
        <w:rPr>
          <w:rFonts w:ascii="Times New Roman" w:cs="Times New Roman"/>
        </w:rPr>
      </w:pPr>
    </w:p>
    <w:p>
      <w:pPr>
        <w:pStyle w:val="22"/>
        <w:rPr>
          <w:rFonts w:ascii="Times New Roman" w:cs="Times New Roman"/>
        </w:rPr>
      </w:pPr>
    </w:p>
    <w:p>
      <w:pPr>
        <w:pStyle w:val="22"/>
        <w:rPr>
          <w:rFonts w:ascii="Times New Roman" w:cs="Times New Roman"/>
        </w:rPr>
      </w:pPr>
    </w:p>
    <w:p>
      <w:pPr>
        <w:pStyle w:val="22"/>
        <w:rPr>
          <w:rFonts w:ascii="Times New Roman" w:cs="Times New Roman"/>
        </w:rPr>
      </w:pPr>
    </w:p>
    <w:p>
      <w:pPr>
        <w:pStyle w:val="22"/>
        <w:rPr>
          <w:rFonts w:ascii="Times New Roman" w:cs="Times New Roman"/>
        </w:rPr>
      </w:pPr>
    </w:p>
    <w:p>
      <w:pPr>
        <w:pStyle w:val="22"/>
        <w:rPr>
          <w:rFonts w:ascii="Times New Roman" w:cs="Times New Roman"/>
        </w:rPr>
      </w:pPr>
    </w:p>
    <w:p>
      <w:pPr>
        <w:pStyle w:val="22"/>
        <w:rPr>
          <w:rFonts w:ascii="Times New Roman" w:cs="Times New Roman"/>
        </w:rPr>
      </w:pPr>
    </w:p>
    <w:p>
      <w:pPr>
        <w:pStyle w:val="22"/>
        <w:rPr>
          <w:rFonts w:ascii="Times New Roman" w:cs="Times New Roman"/>
        </w:rPr>
      </w:pPr>
    </w:p>
    <w:p>
      <w:pPr>
        <w:pStyle w:val="22"/>
        <w:rPr>
          <w:rFonts w:ascii="Times New Roman" w:cs="Times New Roman"/>
        </w:rPr>
      </w:pPr>
    </w:p>
    <w:p>
      <w:pPr>
        <w:pStyle w:val="22"/>
        <w:rPr>
          <w:rFonts w:ascii="Times New Roman" w:cs="Times New Roman"/>
        </w:rPr>
      </w:pPr>
    </w:p>
    <w:p>
      <w:pPr>
        <w:pStyle w:val="22"/>
        <w:rPr>
          <w:rFonts w:ascii="Times New Roman" w:cs="Times New Roman"/>
        </w:rPr>
      </w:pPr>
    </w:p>
    <w:p>
      <w:pPr>
        <w:pStyle w:val="22"/>
        <w:rPr>
          <w:rFonts w:ascii="Times New Roman" w:cs="Times New Roman"/>
        </w:rPr>
      </w:pPr>
    </w:p>
    <w:p>
      <w:pPr>
        <w:pStyle w:val="22"/>
        <w:rPr>
          <w:rFonts w:ascii="Times New Roman" w:cs="Times New Roman"/>
        </w:rPr>
      </w:pPr>
    </w:p>
    <w:p>
      <w:pPr>
        <w:pStyle w:val="22"/>
        <w:rPr>
          <w:rFonts w:ascii="Times New Roman" w:cs="Times New Roman"/>
        </w:rPr>
      </w:pPr>
    </w:p>
    <w:p>
      <w:pPr>
        <w:pStyle w:val="22"/>
        <w:rPr>
          <w:rFonts w:ascii="Times New Roman" w:cs="Times New Roman"/>
        </w:rPr>
      </w:pPr>
    </w:p>
    <w:p>
      <w:pPr>
        <w:pStyle w:val="22"/>
        <w:rPr>
          <w:rFonts w:ascii="Times New Roman" w:cs="Times New Roman"/>
        </w:rPr>
      </w:pPr>
    </w:p>
    <w:p>
      <w:pPr>
        <w:pStyle w:val="22"/>
        <w:rPr>
          <w:rFonts w:ascii="Times New Roman" w:cs="Times New Roman"/>
        </w:rPr>
      </w:pPr>
    </w:p>
    <w:p>
      <w:pPr>
        <w:pStyle w:val="22"/>
        <w:rPr>
          <w:rFonts w:ascii="Times New Roman" w:cs="Times New Roman"/>
        </w:rPr>
      </w:pPr>
    </w:p>
    <w:p>
      <w:pPr>
        <w:pStyle w:val="22"/>
        <w:rPr>
          <w:rFonts w:ascii="Times New Roman" w:cs="Times New Roman"/>
        </w:rPr>
      </w:pPr>
    </w:p>
    <w:p>
      <w:pPr>
        <w:pStyle w:val="22"/>
        <w:rPr>
          <w:rFonts w:ascii="Times New Roman" w:cs="Times New Roman"/>
        </w:rPr>
      </w:pPr>
    </w:p>
    <w:p>
      <w:pPr>
        <w:pStyle w:val="22"/>
        <w:rPr>
          <w:rFonts w:ascii="Times New Roman" w:cs="Times New Roman"/>
        </w:rPr>
      </w:pPr>
    </w:p>
    <w:p>
      <w:pPr>
        <w:pStyle w:val="22"/>
        <w:rPr>
          <w:rFonts w:ascii="Times New Roman" w:cs="Times New Roman"/>
        </w:rPr>
      </w:pPr>
    </w:p>
    <w:p>
      <w:pPr>
        <w:pStyle w:val="22"/>
        <w:rPr>
          <w:rFonts w:ascii="Times New Roman" w:cs="Times New Roman"/>
        </w:rPr>
      </w:pPr>
    </w:p>
    <w:p>
      <w:pPr>
        <w:pStyle w:val="22"/>
        <w:rPr>
          <w:rFonts w:ascii="Times New Roman" w:cs="Times New Roman"/>
        </w:rPr>
      </w:pPr>
    </w:p>
    <w:p>
      <w:pPr>
        <w:pStyle w:val="22"/>
        <w:rPr>
          <w:rFonts w:ascii="Times New Roman" w:cs="Times New Roman"/>
        </w:rPr>
      </w:pPr>
    </w:p>
    <w:p>
      <w:pPr>
        <w:pStyle w:val="22"/>
        <w:rPr>
          <w:rFonts w:ascii="Times New Roman" w:cs="Times New Roman"/>
        </w:rPr>
      </w:pPr>
    </w:p>
    <w:p>
      <w:pPr>
        <w:rPr>
          <w:rFonts w:hint="default" w:ascii="Times New Roman" w:hAnsi="Times New Roman" w:cs="Times New Roman"/>
        </w:rPr>
      </w:pPr>
      <w:r>
        <w:rPr>
          <w:rFonts w:hint="default" w:ascii="Times New Roman" w:hAnsi="Times New Roman" w:cs="Times New Roman"/>
        </w:rPr>
        <w:drawing>
          <wp:inline distT="0" distB="0" distL="114300" distR="114300">
            <wp:extent cx="808990" cy="765175"/>
            <wp:effectExtent l="0" t="0" r="13970" b="1206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808990" cy="765175"/>
                    </a:xfrm>
                    <a:prstGeom prst="rect">
                      <a:avLst/>
                    </a:prstGeom>
                    <a:noFill/>
                    <a:ln>
                      <a:noFill/>
                    </a:ln>
                  </pic:spPr>
                </pic:pic>
              </a:graphicData>
            </a:graphic>
          </wp:inline>
        </w:drawing>
      </w:r>
      <w:r>
        <w:rPr>
          <w:rFonts w:hint="default" w:ascii="Times New Roman" w:hAnsi="Times New Roman" w:cs="Times New Roman"/>
        </w:rPr>
        <w:t>版权保护文件</w:t>
      </w:r>
    </w:p>
    <w:p>
      <w:pPr>
        <w:spacing w:before="156" w:beforeLines="50" w:after="156" w:afterLines="50"/>
      </w:pPr>
      <w:r>
        <w:rPr>
          <w:rFonts w:hint="default" w:ascii="Times New Roman" w:hAnsi="Times New Roman" w:cs="Times New Roman"/>
        </w:rPr>
        <w:t>版权所有归属于该标准的发布机构。除非有其他规定，否则未经许可，此发行物及其章节不得以其他形式或任何手段进行复制、再版或使用，包括电子版，影印件，或发布在互联网及内部网络等。使用许可可于发布机构获取。</w:t>
      </w:r>
    </w:p>
    <w:p>
      <w:pPr>
        <w:pStyle w:val="119"/>
        <w:rPr>
          <w:rFonts w:ascii="Times New Roman" w:cs="Times New Roman"/>
        </w:rPr>
      </w:pPr>
      <w:r>
        <w:rPr>
          <w:rFonts w:ascii="Times New Roman" w:cs="Times New Roman"/>
        </w:rPr>
        <w:t>前</w:t>
      </w:r>
      <w:bookmarkStart w:id="12" w:name="BKQY"/>
      <w:r>
        <w:rPr>
          <w:rFonts w:ascii="Times New Roman" w:cs="Times New Roman"/>
        </w:rPr>
        <w:t>  言</w:t>
      </w:r>
      <w:bookmarkEnd w:id="5"/>
      <w:bookmarkEnd w:id="6"/>
      <w:bookmarkEnd w:id="7"/>
      <w:bookmarkEnd w:id="8"/>
      <w:bookmarkEnd w:id="9"/>
      <w:bookmarkEnd w:id="11"/>
      <w:bookmarkEnd w:id="12"/>
    </w:p>
    <w:p>
      <w:pPr>
        <w:pStyle w:val="22"/>
        <w:rPr>
          <w:rFonts w:hint="default" w:hAnsi="Times New Roman" w:cs="Times New Roman"/>
          <w:szCs w:val="20"/>
        </w:rPr>
      </w:pPr>
      <w:r>
        <w:rPr>
          <w:rFonts w:hint="eastAsia" w:hAnsi="Times New Roman" w:cs="Times New Roman"/>
          <w:szCs w:val="20"/>
        </w:rPr>
        <w:t>本文件按照GB/T 1.1-2020《标准化工作导则 第 1 部分：标准的结构和编写》</w:t>
      </w:r>
      <w:r>
        <w:rPr>
          <w:rFonts w:hint="default" w:hAnsi="Times New Roman" w:cs="Times New Roman"/>
          <w:szCs w:val="20"/>
        </w:rPr>
        <w:t>的</w:t>
      </w:r>
      <w:r>
        <w:rPr>
          <w:rFonts w:hint="eastAsia" w:hAnsi="Times New Roman" w:cs="Times New Roman"/>
          <w:szCs w:val="20"/>
          <w:lang w:val="en-US" w:eastAsia="zh-CN"/>
        </w:rPr>
        <w:t>规定</w:t>
      </w:r>
      <w:r>
        <w:rPr>
          <w:rFonts w:hint="default" w:hAnsi="Times New Roman" w:cs="Times New Roman"/>
          <w:szCs w:val="20"/>
        </w:rPr>
        <w:t>起草。</w:t>
      </w:r>
    </w:p>
    <w:p>
      <w:pPr>
        <w:pStyle w:val="22"/>
        <w:rPr>
          <w:rFonts w:hint="default" w:hAnsi="Times New Roman" w:cs="Times New Roman"/>
          <w:szCs w:val="20"/>
        </w:rPr>
      </w:pPr>
      <w:r>
        <w:rPr>
          <w:rFonts w:hint="default" w:hAnsi="Times New Roman" w:cs="Times New Roman"/>
          <w:szCs w:val="20"/>
        </w:rPr>
        <w:t>请注意本文件的某些内容可能涉及专利。本文件的发布机构不承担识别专利的责任。</w:t>
      </w:r>
    </w:p>
    <w:p>
      <w:pPr>
        <w:pStyle w:val="22"/>
        <w:rPr>
          <w:rFonts w:hint="eastAsia" w:hAnsi="Times New Roman" w:cs="Times New Roman"/>
          <w:szCs w:val="20"/>
        </w:rPr>
      </w:pPr>
      <w:r>
        <w:rPr>
          <w:rFonts w:hint="eastAsia" w:hAnsi="Times New Roman" w:cs="Times New Roman"/>
          <w:szCs w:val="20"/>
        </w:rPr>
        <w:t>本文件由中国特钢企业协会团体标准化工作委员会提出并归口。</w:t>
      </w:r>
    </w:p>
    <w:p>
      <w:pPr>
        <w:pStyle w:val="22"/>
        <w:rPr>
          <w:rFonts w:hint="eastAsia" w:hAnsi="Times New Roman" w:cs="Times New Roman"/>
          <w:szCs w:val="20"/>
        </w:rPr>
      </w:pPr>
      <w:r>
        <w:rPr>
          <w:rFonts w:hint="eastAsia" w:hAnsi="Times New Roman" w:cs="Times New Roman"/>
          <w:szCs w:val="20"/>
        </w:rPr>
        <w:t xml:space="preserve">本文件主要起草单位： </w:t>
      </w:r>
    </w:p>
    <w:p>
      <w:pPr>
        <w:pStyle w:val="22"/>
        <w:rPr>
          <w:rFonts w:hint="eastAsia" w:hAnsi="Times New Roman" w:cs="Times New Roman"/>
          <w:szCs w:val="20"/>
        </w:rPr>
      </w:pPr>
      <w:r>
        <w:rPr>
          <w:rFonts w:hint="eastAsia" w:hAnsi="Times New Roman" w:cs="Times New Roman"/>
          <w:szCs w:val="20"/>
        </w:rPr>
        <w:t>本文件主要起草人：</w:t>
      </w:r>
    </w:p>
    <w:p>
      <w:pPr>
        <w:ind w:firstLine="420" w:firstLineChars="200"/>
      </w:pPr>
    </w:p>
    <w:p>
      <w:pPr>
        <w:pStyle w:val="22"/>
        <w:rPr>
          <w:rFonts w:ascii="Times New Roman" w:cs="Times New Roman"/>
        </w:rPr>
      </w:pPr>
    </w:p>
    <w:p>
      <w:pPr>
        <w:pStyle w:val="22"/>
        <w:ind w:firstLine="0" w:firstLineChars="0"/>
        <w:rPr>
          <w:rFonts w:ascii="Times New Roman" w:cs="Times New Roman"/>
        </w:rPr>
      </w:pPr>
    </w:p>
    <w:p>
      <w:pPr>
        <w:pStyle w:val="22"/>
        <w:ind w:firstLine="0" w:firstLineChars="0"/>
        <w:rPr>
          <w:rFonts w:ascii="Times New Roman" w:cs="Times New Roman"/>
        </w:rPr>
      </w:pPr>
    </w:p>
    <w:p>
      <w:pPr>
        <w:pStyle w:val="22"/>
        <w:ind w:firstLine="0" w:firstLineChars="0"/>
        <w:rPr>
          <w:rFonts w:ascii="Times New Roman" w:cs="Times New Roman"/>
        </w:rPr>
      </w:pPr>
    </w:p>
    <w:p>
      <w:pPr>
        <w:pStyle w:val="22"/>
        <w:ind w:firstLine="0" w:firstLineChars="0"/>
        <w:rPr>
          <w:rFonts w:ascii="Times New Roman" w:cs="Times New Roman"/>
        </w:rPr>
      </w:pPr>
    </w:p>
    <w:p>
      <w:pPr>
        <w:pStyle w:val="22"/>
        <w:ind w:firstLine="0" w:firstLineChars="0"/>
        <w:rPr>
          <w:rFonts w:ascii="Times New Roman" w:cs="Times New Roman"/>
        </w:rPr>
        <w:sectPr>
          <w:headerReference r:id="rId3" w:type="default"/>
          <w:footerReference r:id="rId4" w:type="default"/>
          <w:pgSz w:w="11906" w:h="16838"/>
          <w:pgMar w:top="567" w:right="1134" w:bottom="1134" w:left="1417" w:header="1418" w:footer="1134" w:gutter="0"/>
          <w:pgNumType w:fmt="upperRoman" w:start="1"/>
          <w:cols w:space="425" w:num="1"/>
          <w:formProt w:val="0"/>
          <w:docGrid w:type="lines" w:linePitch="312" w:charSpace="0"/>
        </w:sectPr>
      </w:pPr>
    </w:p>
    <w:p>
      <w:pPr>
        <w:pStyle w:val="57"/>
        <w:outlineLvl w:val="9"/>
        <w:rPr>
          <w:rFonts w:ascii="Times New Roman" w:cs="Times New Roman"/>
        </w:rPr>
      </w:pPr>
      <w:r>
        <w:rPr>
          <w:rFonts w:hint="eastAsia" w:ascii="Times New Roman" w:cs="Times New Roman"/>
        </w:rPr>
        <w:t>海洋系泊链钢丝绳用热轧盘条</w:t>
      </w:r>
    </w:p>
    <w:p>
      <w:pPr>
        <w:pStyle w:val="52"/>
        <w:spacing w:before="312" w:after="312"/>
        <w:rPr>
          <w:rFonts w:ascii="Times New Roman"/>
        </w:rPr>
      </w:pPr>
      <w:bookmarkStart w:id="13" w:name="_Toc499730568"/>
      <w:bookmarkStart w:id="14" w:name="_Toc33108941"/>
      <w:bookmarkStart w:id="15" w:name="_Toc16171"/>
      <w:bookmarkStart w:id="16" w:name="_Toc499735462"/>
      <w:bookmarkStart w:id="17" w:name="_Toc499733966"/>
      <w:bookmarkStart w:id="18" w:name="_Toc5150"/>
      <w:bookmarkStart w:id="19" w:name="_Toc512093859"/>
      <w:r>
        <w:rPr>
          <w:rFonts w:ascii="Times New Roman"/>
        </w:rPr>
        <w:t>范围</w:t>
      </w:r>
      <w:bookmarkEnd w:id="13"/>
      <w:bookmarkEnd w:id="14"/>
      <w:bookmarkEnd w:id="15"/>
      <w:bookmarkEnd w:id="16"/>
      <w:bookmarkEnd w:id="17"/>
      <w:bookmarkEnd w:id="18"/>
      <w:bookmarkEnd w:id="19"/>
    </w:p>
    <w:p>
      <w:pPr>
        <w:pStyle w:val="22"/>
        <w:rPr>
          <w:rFonts w:ascii="Times New Roman" w:cs="Times New Roman"/>
        </w:rPr>
      </w:pPr>
      <w:r>
        <w:rPr>
          <w:rFonts w:hint="eastAsia" w:ascii="Times New Roman" w:cs="Times New Roman"/>
        </w:rPr>
        <w:t>本文件规定了海洋系泊链钢丝绳用热轧盘条的订货内容、尺寸、外形、重量、技术要求、试验方法、检验规则、包装标志和质量证明书等内容。</w:t>
      </w:r>
    </w:p>
    <w:p>
      <w:pPr>
        <w:pStyle w:val="22"/>
        <w:rPr>
          <w:rFonts w:ascii="Times New Roman" w:cs="Times New Roman"/>
        </w:rPr>
      </w:pPr>
      <w:r>
        <w:rPr>
          <w:rFonts w:hint="eastAsia" w:ascii="Times New Roman" w:cs="Times New Roman"/>
        </w:rPr>
        <w:t>本文件适用于制造海洋系泊链钢丝绳用直径</w:t>
      </w:r>
      <w:r>
        <w:rPr>
          <w:rFonts w:ascii="Times New Roman" w:cs="Times New Roman"/>
        </w:rPr>
        <w:t>5.5</w:t>
      </w:r>
      <w:r>
        <w:rPr>
          <w:rFonts w:hint="eastAsia" w:ascii="Times New Roman" w:cs="Times New Roman"/>
        </w:rPr>
        <w:t>mm~14mm的热轧盘条（以下简称盘条）。</w:t>
      </w:r>
    </w:p>
    <w:p>
      <w:pPr>
        <w:pStyle w:val="52"/>
        <w:spacing w:before="312" w:after="312"/>
        <w:rPr>
          <w:rFonts w:ascii="Times New Roman"/>
        </w:rPr>
      </w:pPr>
      <w:bookmarkStart w:id="20" w:name="_Toc499733967"/>
      <w:bookmarkStart w:id="21" w:name="_Toc499730569"/>
      <w:bookmarkStart w:id="22" w:name="_Toc7349"/>
      <w:bookmarkStart w:id="23" w:name="_Toc499735463"/>
      <w:bookmarkStart w:id="24" w:name="_Toc33108942"/>
      <w:bookmarkStart w:id="25" w:name="_Toc9773"/>
      <w:bookmarkStart w:id="26" w:name="_Toc512093860"/>
      <w:r>
        <w:rPr>
          <w:rFonts w:ascii="Times New Roman"/>
        </w:rPr>
        <w:t>规范性引用文件</w:t>
      </w:r>
      <w:bookmarkEnd w:id="20"/>
      <w:bookmarkEnd w:id="21"/>
      <w:bookmarkEnd w:id="22"/>
      <w:bookmarkEnd w:id="23"/>
      <w:bookmarkEnd w:id="24"/>
      <w:bookmarkEnd w:id="25"/>
      <w:bookmarkEnd w:id="26"/>
    </w:p>
    <w:p>
      <w:pPr>
        <w:ind w:firstLine="420" w:firstLineChars="200"/>
        <w:rPr>
          <w:rFonts w:hAnsi="宋体"/>
        </w:rPr>
      </w:pPr>
      <w:r>
        <w:rPr>
          <w:rFonts w:hint="eastAsia" w:hAnsi="宋体"/>
        </w:rPr>
        <w:t>下列文件中的内容通过文中规范性引用而构成本文件必不可少的条款。其中，注日期的引用文件，仅该日期对应的版本适用于本文件；不注日期的引用文件，其最新版本（包括所有的修改单）适用于本文件。</w:t>
      </w:r>
    </w:p>
    <w:p>
      <w:pPr>
        <w:pStyle w:val="22"/>
        <w:rPr>
          <w:rFonts w:cs="Times New Roman" w:asciiTheme="minorEastAsia" w:hAnsiTheme="minorEastAsia" w:eastAsiaTheme="minorEastAsia"/>
          <w:highlight w:val="none"/>
        </w:rPr>
      </w:pPr>
      <w:r>
        <w:rPr>
          <w:rFonts w:cs="Times New Roman" w:asciiTheme="minorEastAsia" w:hAnsiTheme="minorEastAsia" w:eastAsiaTheme="minorEastAsia"/>
          <w:highlight w:val="none"/>
        </w:rPr>
        <w:t>GB/T 222  钢的成品化学成分允许偏差</w:t>
      </w:r>
    </w:p>
    <w:p>
      <w:pPr>
        <w:pStyle w:val="22"/>
        <w:rPr>
          <w:rFonts w:cs="Times New Roman" w:asciiTheme="minorEastAsia" w:hAnsiTheme="minorEastAsia" w:eastAsiaTheme="minorEastAsia"/>
          <w:highlight w:val="none"/>
        </w:rPr>
      </w:pPr>
      <w:r>
        <w:rPr>
          <w:rFonts w:cs="Times New Roman" w:asciiTheme="minorEastAsia" w:hAnsiTheme="minorEastAsia" w:eastAsiaTheme="minorEastAsia"/>
          <w:highlight w:val="none"/>
        </w:rPr>
        <w:t xml:space="preserve">GB/T 223.5 </w:t>
      </w:r>
      <w:r>
        <w:rPr>
          <w:rFonts w:hint="eastAsia" w:cs="Times New Roman" w:asciiTheme="minorEastAsia" w:hAnsiTheme="minorEastAsia" w:eastAsiaTheme="minorEastAsia"/>
          <w:highlight w:val="none"/>
        </w:rPr>
        <w:t xml:space="preserve"> </w:t>
      </w:r>
      <w:r>
        <w:rPr>
          <w:rFonts w:cs="Times New Roman" w:asciiTheme="minorEastAsia" w:hAnsiTheme="minorEastAsia" w:eastAsiaTheme="minorEastAsia"/>
          <w:highlight w:val="none"/>
        </w:rPr>
        <w:t xml:space="preserve"> 钢铁 酸溶硅和全硅含量的测定还原型硅钼酸盐分光光度法</w:t>
      </w:r>
    </w:p>
    <w:p>
      <w:pPr>
        <w:pStyle w:val="22"/>
        <w:rPr>
          <w:rFonts w:cs="Times New Roman" w:asciiTheme="minorEastAsia" w:hAnsiTheme="minorEastAsia" w:eastAsiaTheme="minorEastAsia"/>
          <w:highlight w:val="none"/>
        </w:rPr>
      </w:pPr>
      <w:r>
        <w:rPr>
          <w:rFonts w:cs="Times New Roman" w:asciiTheme="minorEastAsia" w:hAnsiTheme="minorEastAsia" w:eastAsiaTheme="minorEastAsia"/>
          <w:highlight w:val="none"/>
        </w:rPr>
        <w:t>GB/T 223.1</w:t>
      </w:r>
      <w:r>
        <w:rPr>
          <w:rFonts w:hint="eastAsia" w:cs="Times New Roman" w:asciiTheme="minorEastAsia" w:hAnsiTheme="minorEastAsia" w:eastAsiaTheme="minorEastAsia"/>
          <w:highlight w:val="none"/>
        </w:rPr>
        <w:t>2  钢铁及合金化学分析方法  碳酸钠分离-二苯碳酰二肼光度法测定铬量</w:t>
      </w:r>
    </w:p>
    <w:p>
      <w:pPr>
        <w:pStyle w:val="22"/>
        <w:rPr>
          <w:rFonts w:eastAsiaTheme="minorEastAsia"/>
          <w:highlight w:val="none"/>
        </w:rPr>
      </w:pPr>
      <w:r>
        <w:rPr>
          <w:rFonts w:cs="Times New Roman" w:asciiTheme="minorEastAsia" w:hAnsiTheme="minorEastAsia" w:eastAsiaTheme="minorEastAsia"/>
          <w:highlight w:val="none"/>
        </w:rPr>
        <w:t>GB/T 223.1</w:t>
      </w:r>
      <w:r>
        <w:rPr>
          <w:rFonts w:hint="eastAsia" w:cs="Times New Roman" w:asciiTheme="minorEastAsia" w:hAnsiTheme="minorEastAsia" w:eastAsiaTheme="minorEastAsia"/>
          <w:highlight w:val="none"/>
        </w:rPr>
        <w:t>9  钢铁及合金化学分析方法  新亚铜灵-三氯甲烷萃取光度法测定铜量</w:t>
      </w:r>
    </w:p>
    <w:p>
      <w:pPr>
        <w:pStyle w:val="22"/>
        <w:rPr>
          <w:rFonts w:cs="Times New Roman" w:asciiTheme="minorEastAsia" w:hAnsiTheme="minorEastAsia" w:eastAsiaTheme="minorEastAsia"/>
          <w:highlight w:val="none"/>
        </w:rPr>
      </w:pPr>
      <w:r>
        <w:rPr>
          <w:rFonts w:hint="eastAsia" w:cs="Times New Roman" w:asciiTheme="minorEastAsia" w:hAnsiTheme="minorEastAsia" w:eastAsiaTheme="minorEastAsia"/>
          <w:highlight w:val="none"/>
        </w:rPr>
        <w:t>GB</w:t>
      </w:r>
      <w:r>
        <w:rPr>
          <w:rFonts w:cs="Times New Roman" w:asciiTheme="minorEastAsia" w:hAnsiTheme="minorEastAsia" w:eastAsiaTheme="minorEastAsia"/>
          <w:highlight w:val="none"/>
        </w:rPr>
        <w:t>/</w:t>
      </w:r>
      <w:r>
        <w:rPr>
          <w:rFonts w:hint="eastAsia" w:cs="Times New Roman" w:asciiTheme="minorEastAsia" w:hAnsiTheme="minorEastAsia" w:eastAsiaTheme="minorEastAsia"/>
          <w:highlight w:val="none"/>
        </w:rPr>
        <w:t>T 223.26  钢铁及合金  钼含量的测定  硫氰酸盐分光光度法</w:t>
      </w:r>
    </w:p>
    <w:p>
      <w:pPr>
        <w:pStyle w:val="22"/>
        <w:rPr>
          <w:rFonts w:cs="Times New Roman" w:asciiTheme="minorEastAsia" w:hAnsiTheme="minorEastAsia" w:eastAsiaTheme="minorEastAsia"/>
          <w:highlight w:val="none"/>
        </w:rPr>
      </w:pPr>
      <w:r>
        <w:rPr>
          <w:rFonts w:hint="eastAsia" w:cs="Times New Roman" w:asciiTheme="minorEastAsia" w:hAnsiTheme="minorEastAsia" w:eastAsiaTheme="minorEastAsia"/>
          <w:highlight w:val="none"/>
        </w:rPr>
        <w:t>GB</w:t>
      </w:r>
      <w:r>
        <w:rPr>
          <w:rFonts w:cs="Times New Roman" w:asciiTheme="minorEastAsia" w:hAnsiTheme="minorEastAsia" w:eastAsiaTheme="minorEastAsia"/>
          <w:highlight w:val="none"/>
        </w:rPr>
        <w:t>/</w:t>
      </w:r>
      <w:r>
        <w:rPr>
          <w:rFonts w:hint="eastAsia" w:cs="Times New Roman" w:asciiTheme="minorEastAsia" w:hAnsiTheme="minorEastAsia" w:eastAsiaTheme="minorEastAsia"/>
          <w:highlight w:val="none"/>
        </w:rPr>
        <w:t>T 223.37  钢铁及合金 氮含量的测定 蒸馏分离靛酚蓝分光光度法</w:t>
      </w:r>
    </w:p>
    <w:p>
      <w:pPr>
        <w:pStyle w:val="22"/>
        <w:rPr>
          <w:rFonts w:cs="Times New Roman" w:asciiTheme="minorEastAsia" w:hAnsiTheme="minorEastAsia" w:eastAsiaTheme="minorEastAsia"/>
          <w:highlight w:val="none"/>
        </w:rPr>
      </w:pPr>
      <w:r>
        <w:rPr>
          <w:rFonts w:cs="Times New Roman" w:asciiTheme="minorEastAsia" w:hAnsiTheme="minorEastAsia" w:eastAsiaTheme="minorEastAsia"/>
          <w:highlight w:val="none"/>
        </w:rPr>
        <w:t>GB/T 223.</w:t>
      </w:r>
      <w:r>
        <w:rPr>
          <w:rFonts w:hint="eastAsia" w:cs="Times New Roman" w:asciiTheme="minorEastAsia" w:hAnsiTheme="minorEastAsia" w:eastAsiaTheme="minorEastAsia"/>
          <w:highlight w:val="none"/>
        </w:rPr>
        <w:t>53  钢铁及合金化学分析方法  火焰原子吸收分光光度法测定铜量</w:t>
      </w:r>
    </w:p>
    <w:p>
      <w:pPr>
        <w:pStyle w:val="22"/>
        <w:rPr>
          <w:rFonts w:cs="Times New Roman" w:asciiTheme="minorEastAsia" w:hAnsiTheme="minorEastAsia" w:eastAsiaTheme="minorEastAsia"/>
          <w:highlight w:val="none"/>
        </w:rPr>
      </w:pPr>
      <w:r>
        <w:rPr>
          <w:rFonts w:cs="Times New Roman" w:asciiTheme="minorEastAsia" w:hAnsiTheme="minorEastAsia" w:eastAsiaTheme="minorEastAsia"/>
          <w:highlight w:val="none"/>
        </w:rPr>
        <w:t>GB/T 223.</w:t>
      </w:r>
      <w:r>
        <w:rPr>
          <w:rFonts w:hint="eastAsia" w:cs="Times New Roman" w:asciiTheme="minorEastAsia" w:hAnsiTheme="minorEastAsia" w:eastAsiaTheme="minorEastAsia"/>
          <w:highlight w:val="none"/>
        </w:rPr>
        <w:t>54  钢铁及合金化学分析方法  火焰原子吸收分光光度法测定镍量</w:t>
      </w:r>
    </w:p>
    <w:p>
      <w:pPr>
        <w:pStyle w:val="22"/>
        <w:rPr>
          <w:rFonts w:cs="Times New Roman" w:asciiTheme="minorEastAsia" w:hAnsiTheme="minorEastAsia" w:eastAsiaTheme="minorEastAsia"/>
          <w:highlight w:val="none"/>
        </w:rPr>
      </w:pPr>
      <w:r>
        <w:rPr>
          <w:rFonts w:cs="Times New Roman" w:asciiTheme="minorEastAsia" w:hAnsiTheme="minorEastAsia" w:eastAsiaTheme="minorEastAsia"/>
          <w:highlight w:val="none"/>
        </w:rPr>
        <w:t>GB/T 223.</w:t>
      </w:r>
      <w:r>
        <w:rPr>
          <w:rFonts w:hint="eastAsia" w:cs="Times New Roman" w:asciiTheme="minorEastAsia" w:hAnsiTheme="minorEastAsia" w:eastAsiaTheme="minorEastAsia"/>
          <w:highlight w:val="none"/>
        </w:rPr>
        <w:t>62  钢铁及合金化学分析方法  乙酸丁酯萃取光度法测定磷量</w:t>
      </w:r>
    </w:p>
    <w:p>
      <w:pPr>
        <w:pStyle w:val="22"/>
        <w:rPr>
          <w:rFonts w:cs="Times New Roman" w:asciiTheme="minorEastAsia" w:hAnsiTheme="minorEastAsia" w:eastAsiaTheme="minorEastAsia"/>
          <w:highlight w:val="none"/>
        </w:rPr>
      </w:pPr>
      <w:r>
        <w:rPr>
          <w:rFonts w:cs="Times New Roman" w:asciiTheme="minorEastAsia" w:hAnsiTheme="minorEastAsia" w:eastAsiaTheme="minorEastAsia"/>
          <w:highlight w:val="none"/>
        </w:rPr>
        <w:t>GB/T 223.</w:t>
      </w:r>
      <w:r>
        <w:rPr>
          <w:rFonts w:hint="eastAsia" w:cs="Times New Roman" w:asciiTheme="minorEastAsia" w:hAnsiTheme="minorEastAsia" w:eastAsiaTheme="minorEastAsia"/>
          <w:highlight w:val="none"/>
        </w:rPr>
        <w:t>63  钢铁及合金化学分析方法  高碘酸钠（钾）光度法测定锰量</w:t>
      </w:r>
    </w:p>
    <w:p>
      <w:pPr>
        <w:pStyle w:val="22"/>
        <w:rPr>
          <w:rFonts w:cs="Times New Roman" w:asciiTheme="minorEastAsia" w:hAnsiTheme="minorEastAsia" w:eastAsiaTheme="minorEastAsia"/>
          <w:highlight w:val="none"/>
        </w:rPr>
      </w:pPr>
      <w:r>
        <w:rPr>
          <w:rFonts w:cs="Times New Roman" w:asciiTheme="minorEastAsia" w:hAnsiTheme="minorEastAsia" w:eastAsiaTheme="minorEastAsia"/>
          <w:highlight w:val="none"/>
        </w:rPr>
        <w:t>GB/T 223.6</w:t>
      </w:r>
      <w:r>
        <w:rPr>
          <w:rFonts w:hint="eastAsia" w:cs="Times New Roman" w:asciiTheme="minorEastAsia" w:hAnsiTheme="minorEastAsia" w:eastAsiaTheme="minorEastAsia"/>
          <w:highlight w:val="none"/>
        </w:rPr>
        <w:t>8  钢铁及合金化学分析方法  管式炉内燃烧后碘酸钾滴定法测定硫含量</w:t>
      </w:r>
    </w:p>
    <w:p>
      <w:pPr>
        <w:pStyle w:val="22"/>
        <w:rPr>
          <w:rFonts w:cs="Times New Roman" w:asciiTheme="minorEastAsia" w:hAnsiTheme="minorEastAsia" w:eastAsiaTheme="minorEastAsia"/>
          <w:highlight w:val="none"/>
        </w:rPr>
      </w:pPr>
      <w:r>
        <w:rPr>
          <w:rFonts w:cs="Times New Roman" w:asciiTheme="minorEastAsia" w:hAnsiTheme="minorEastAsia" w:eastAsiaTheme="minorEastAsia"/>
          <w:highlight w:val="none"/>
        </w:rPr>
        <w:t>GB/T 223.6</w:t>
      </w:r>
      <w:r>
        <w:rPr>
          <w:rFonts w:hint="eastAsia" w:cs="Times New Roman" w:asciiTheme="minorEastAsia" w:hAnsiTheme="minorEastAsia" w:eastAsiaTheme="minorEastAsia"/>
          <w:highlight w:val="none"/>
        </w:rPr>
        <w:t>9  钢铁及合金 碳含量的测定  管式炉内燃烧后气体容量法</w:t>
      </w:r>
    </w:p>
    <w:p>
      <w:pPr>
        <w:pStyle w:val="22"/>
        <w:rPr>
          <w:rFonts w:cs="Times New Roman" w:asciiTheme="minorEastAsia" w:hAnsiTheme="minorEastAsia" w:eastAsiaTheme="minorEastAsia"/>
          <w:highlight w:val="none"/>
        </w:rPr>
      </w:pPr>
      <w:r>
        <w:rPr>
          <w:rFonts w:hint="eastAsia" w:cs="Times New Roman" w:asciiTheme="minorEastAsia" w:hAnsiTheme="minorEastAsia" w:eastAsiaTheme="minorEastAsia"/>
          <w:highlight w:val="none"/>
        </w:rPr>
        <w:t>GB</w:t>
      </w:r>
      <w:r>
        <w:rPr>
          <w:rFonts w:cs="Times New Roman" w:asciiTheme="minorEastAsia" w:hAnsiTheme="minorEastAsia" w:eastAsiaTheme="minorEastAsia"/>
          <w:highlight w:val="none"/>
        </w:rPr>
        <w:t>/</w:t>
      </w:r>
      <w:r>
        <w:rPr>
          <w:rFonts w:hint="eastAsia" w:cs="Times New Roman" w:asciiTheme="minorEastAsia" w:hAnsiTheme="minorEastAsia" w:eastAsiaTheme="minorEastAsia"/>
          <w:highlight w:val="none"/>
        </w:rPr>
        <w:t>T 223.81  钢铁及合金 总铝和总硼含量的测定 微波消解-电感耦合等离子体质谱法</w:t>
      </w:r>
    </w:p>
    <w:p>
      <w:pPr>
        <w:pStyle w:val="22"/>
        <w:rPr>
          <w:rFonts w:cs="Times New Roman" w:asciiTheme="minorEastAsia" w:hAnsiTheme="minorEastAsia" w:eastAsiaTheme="minorEastAsia"/>
          <w:highlight w:val="none"/>
        </w:rPr>
      </w:pPr>
      <w:r>
        <w:rPr>
          <w:rFonts w:cs="Times New Roman" w:asciiTheme="minorEastAsia" w:hAnsiTheme="minorEastAsia" w:eastAsiaTheme="minorEastAsia"/>
          <w:highlight w:val="none"/>
        </w:rPr>
        <w:t>GB/T 22</w:t>
      </w:r>
      <w:r>
        <w:rPr>
          <w:rFonts w:hint="eastAsia" w:cs="Times New Roman" w:asciiTheme="minorEastAsia" w:hAnsiTheme="minorEastAsia" w:eastAsiaTheme="minorEastAsia"/>
          <w:highlight w:val="none"/>
        </w:rPr>
        <w:t>4</w:t>
      </w:r>
      <w:r>
        <w:rPr>
          <w:rFonts w:cs="Times New Roman" w:asciiTheme="minorEastAsia" w:hAnsiTheme="minorEastAsia" w:eastAsiaTheme="minorEastAsia"/>
          <w:highlight w:val="none"/>
        </w:rPr>
        <w:t xml:space="preserve">  </w:t>
      </w:r>
      <w:r>
        <w:rPr>
          <w:rFonts w:hint="eastAsia" w:cs="Times New Roman" w:asciiTheme="minorEastAsia" w:hAnsiTheme="minorEastAsia" w:eastAsiaTheme="minorEastAsia"/>
          <w:highlight w:val="none"/>
        </w:rPr>
        <w:t>钢的脱碳层深度测定法</w:t>
      </w:r>
    </w:p>
    <w:p>
      <w:pPr>
        <w:pStyle w:val="22"/>
        <w:rPr>
          <w:rFonts w:cs="Times New Roman" w:asciiTheme="minorEastAsia" w:hAnsiTheme="minorEastAsia" w:eastAsiaTheme="minorEastAsia"/>
          <w:highlight w:val="none"/>
        </w:rPr>
      </w:pPr>
      <w:r>
        <w:rPr>
          <w:rFonts w:cs="Times New Roman" w:asciiTheme="minorEastAsia" w:hAnsiTheme="minorEastAsia" w:eastAsiaTheme="minorEastAsia"/>
          <w:highlight w:val="none"/>
        </w:rPr>
        <w:t xml:space="preserve">GB/T 228.1 </w:t>
      </w:r>
      <w:r>
        <w:rPr>
          <w:rFonts w:hint="eastAsia" w:cs="Times New Roman" w:asciiTheme="minorEastAsia" w:hAnsiTheme="minorEastAsia" w:eastAsiaTheme="minorEastAsia"/>
          <w:highlight w:val="none"/>
        </w:rPr>
        <w:t xml:space="preserve"> </w:t>
      </w:r>
      <w:r>
        <w:rPr>
          <w:rFonts w:cs="Times New Roman" w:asciiTheme="minorEastAsia" w:hAnsiTheme="minorEastAsia" w:eastAsiaTheme="minorEastAsia"/>
          <w:highlight w:val="none"/>
        </w:rPr>
        <w:t>金属材料拉伸试验</w:t>
      </w:r>
      <w:r>
        <w:rPr>
          <w:rFonts w:hint="eastAsia" w:cs="Times New Roman" w:asciiTheme="minorEastAsia" w:hAnsiTheme="minorEastAsia" w:eastAsiaTheme="minorEastAsia"/>
          <w:highlight w:val="none"/>
        </w:rPr>
        <w:t xml:space="preserve"> </w:t>
      </w:r>
      <w:r>
        <w:rPr>
          <w:rFonts w:cs="Times New Roman" w:asciiTheme="minorEastAsia" w:hAnsiTheme="minorEastAsia" w:eastAsiaTheme="minorEastAsia"/>
          <w:highlight w:val="none"/>
        </w:rPr>
        <w:t>第1部分：室温试验方法</w:t>
      </w:r>
    </w:p>
    <w:p>
      <w:pPr>
        <w:pStyle w:val="22"/>
        <w:rPr>
          <w:rFonts w:cs="Times New Roman" w:asciiTheme="minorEastAsia" w:hAnsiTheme="minorEastAsia" w:eastAsiaTheme="minorEastAsia"/>
          <w:highlight w:val="none"/>
        </w:rPr>
      </w:pPr>
      <w:r>
        <w:rPr>
          <w:rFonts w:hint="eastAsia" w:cs="Times New Roman" w:asciiTheme="minorEastAsia" w:hAnsiTheme="minorEastAsia" w:eastAsiaTheme="minorEastAsia"/>
          <w:highlight w:val="none"/>
        </w:rPr>
        <w:t>GB/T 1979</w:t>
      </w:r>
      <w:r>
        <w:rPr>
          <w:rFonts w:cs="Times New Roman" w:asciiTheme="minorEastAsia" w:hAnsiTheme="minorEastAsia" w:eastAsiaTheme="minorEastAsia"/>
          <w:highlight w:val="none"/>
        </w:rPr>
        <w:t xml:space="preserve">  </w:t>
      </w:r>
      <w:r>
        <w:rPr>
          <w:rFonts w:hint="eastAsia" w:cs="Times New Roman" w:asciiTheme="minorEastAsia" w:hAnsiTheme="minorEastAsia" w:eastAsiaTheme="minorEastAsia"/>
          <w:highlight w:val="none"/>
        </w:rPr>
        <w:t>结构钢低倍组织缺陷评级图</w:t>
      </w:r>
    </w:p>
    <w:p>
      <w:pPr>
        <w:pStyle w:val="22"/>
        <w:rPr>
          <w:rFonts w:cs="Times New Roman" w:asciiTheme="minorEastAsia" w:hAnsiTheme="minorEastAsia" w:eastAsiaTheme="minorEastAsia"/>
        </w:rPr>
      </w:pPr>
      <w:r>
        <w:rPr>
          <w:rFonts w:cs="Times New Roman" w:asciiTheme="minorEastAsia" w:hAnsiTheme="minorEastAsia" w:eastAsiaTheme="minorEastAsia"/>
        </w:rPr>
        <w:t xml:space="preserve">GB/T </w:t>
      </w:r>
      <w:r>
        <w:rPr>
          <w:rFonts w:hint="eastAsia" w:cs="Times New Roman" w:asciiTheme="minorEastAsia" w:hAnsiTheme="minorEastAsia" w:eastAsiaTheme="minorEastAsia"/>
        </w:rPr>
        <w:t xml:space="preserve">2101  </w:t>
      </w:r>
      <w:r>
        <w:rPr>
          <w:rFonts w:cs="Times New Roman" w:asciiTheme="minorEastAsia" w:hAnsiTheme="minorEastAsia" w:eastAsiaTheme="minorEastAsia"/>
        </w:rPr>
        <w:t>型钢验收、包装、标志及质量证明书的一般规定</w:t>
      </w:r>
    </w:p>
    <w:p>
      <w:pPr>
        <w:pStyle w:val="22"/>
        <w:rPr>
          <w:rFonts w:cs="Times New Roman" w:asciiTheme="minorEastAsia" w:hAnsiTheme="minorEastAsia" w:eastAsiaTheme="minorEastAsia"/>
        </w:rPr>
      </w:pPr>
      <w:r>
        <w:rPr>
          <w:rFonts w:cs="Times New Roman" w:asciiTheme="minorEastAsia" w:hAnsiTheme="minorEastAsia" w:eastAsiaTheme="minorEastAsia"/>
        </w:rPr>
        <w:t xml:space="preserve">GB/T 2975 </w:t>
      </w:r>
      <w:r>
        <w:rPr>
          <w:rFonts w:hint="eastAsia" w:cs="Times New Roman" w:asciiTheme="minorEastAsia" w:hAnsiTheme="minorEastAsia" w:eastAsiaTheme="minorEastAsia"/>
        </w:rPr>
        <w:t xml:space="preserve"> </w:t>
      </w:r>
      <w:r>
        <w:rPr>
          <w:rFonts w:cs="Times New Roman" w:asciiTheme="minorEastAsia" w:hAnsiTheme="minorEastAsia" w:eastAsiaTheme="minorEastAsia"/>
        </w:rPr>
        <w:t>钢及钢产品 力学性能试验取样位置及试样制备</w:t>
      </w:r>
    </w:p>
    <w:p>
      <w:pPr>
        <w:tabs>
          <w:tab w:val="left" w:pos="210"/>
        </w:tabs>
        <w:ind w:firstLine="425"/>
        <w:rPr>
          <w:rFonts w:ascii="宋体"/>
          <w:color w:val="000000"/>
        </w:rPr>
      </w:pPr>
      <w:r>
        <w:rPr>
          <w:rFonts w:ascii="宋体" w:hAnsi="宋体"/>
          <w:color w:val="000000"/>
        </w:rPr>
        <w:t xml:space="preserve">GB/T </w:t>
      </w:r>
      <w:r>
        <w:rPr>
          <w:rFonts w:hint="eastAsia" w:ascii="宋体" w:hAnsi="宋体"/>
          <w:color w:val="000000"/>
        </w:rPr>
        <w:t xml:space="preserve">4336  </w:t>
      </w:r>
      <w:r>
        <w:rPr>
          <w:rFonts w:hint="eastAsia" w:ascii="宋体"/>
          <w:color w:val="000000"/>
        </w:rPr>
        <w:t>碳素钢和中低合金钢 多元素含量的测定 火花放电原子发射光谱法（常规法）</w:t>
      </w:r>
    </w:p>
    <w:p>
      <w:pPr>
        <w:pStyle w:val="22"/>
        <w:rPr>
          <w:rFonts w:cs="Times New Roman" w:asciiTheme="minorEastAsia" w:hAnsiTheme="minorEastAsia" w:eastAsiaTheme="minorEastAsia"/>
        </w:rPr>
      </w:pPr>
      <w:r>
        <w:rPr>
          <w:rFonts w:hint="eastAsia" w:cs="Times New Roman" w:asciiTheme="minorEastAsia" w:hAnsiTheme="minorEastAsia" w:eastAsiaTheme="minorEastAsia"/>
        </w:rPr>
        <w:t>GB/T</w:t>
      </w:r>
      <w:r>
        <w:rPr>
          <w:rFonts w:cs="Times New Roman" w:asciiTheme="minorEastAsia" w:hAnsiTheme="minorEastAsia" w:eastAsiaTheme="minorEastAsia"/>
        </w:rPr>
        <w:t xml:space="preserve"> 8170  </w:t>
      </w:r>
      <w:r>
        <w:rPr>
          <w:rFonts w:hint="eastAsia" w:cs="Times New Roman" w:asciiTheme="minorEastAsia" w:hAnsiTheme="minorEastAsia" w:eastAsiaTheme="minorEastAsia"/>
        </w:rPr>
        <w:t>数值修约规则与极限数值的表示和判定</w:t>
      </w:r>
    </w:p>
    <w:p>
      <w:pPr>
        <w:pStyle w:val="22"/>
        <w:rPr>
          <w:rFonts w:cs="Times New Roman" w:asciiTheme="minorEastAsia" w:hAnsiTheme="minorEastAsia" w:eastAsiaTheme="minorEastAsia"/>
        </w:rPr>
      </w:pPr>
      <w:r>
        <w:rPr>
          <w:rFonts w:hint="eastAsia" w:cs="Times New Roman" w:asciiTheme="minorEastAsia" w:hAnsiTheme="minorEastAsia" w:eastAsiaTheme="minorEastAsia"/>
        </w:rPr>
        <w:t>GB/T 10561</w:t>
      </w:r>
      <w:r>
        <w:rPr>
          <w:rFonts w:cs="Times New Roman" w:asciiTheme="minorEastAsia" w:hAnsiTheme="minorEastAsia" w:eastAsiaTheme="minorEastAsia"/>
        </w:rPr>
        <w:t>-2005</w:t>
      </w:r>
      <w:r>
        <w:rPr>
          <w:rFonts w:hint="eastAsia" w:cs="Times New Roman" w:asciiTheme="minorEastAsia" w:hAnsiTheme="minorEastAsia" w:eastAsiaTheme="minorEastAsia"/>
        </w:rPr>
        <w:t xml:space="preserve"> </w:t>
      </w:r>
      <w:r>
        <w:rPr>
          <w:rFonts w:cs="Times New Roman" w:asciiTheme="minorEastAsia" w:hAnsiTheme="minorEastAsia" w:eastAsiaTheme="minorEastAsia"/>
        </w:rPr>
        <w:t xml:space="preserve"> </w:t>
      </w:r>
      <w:r>
        <w:rPr>
          <w:rFonts w:hint="eastAsia" w:cs="Times New Roman" w:asciiTheme="minorEastAsia" w:hAnsiTheme="minorEastAsia" w:eastAsiaTheme="minorEastAsia"/>
        </w:rPr>
        <w:t>钢中非金属夹杂物含量的测定方法</w:t>
      </w:r>
    </w:p>
    <w:p>
      <w:pPr>
        <w:pStyle w:val="22"/>
        <w:rPr>
          <w:rFonts w:cs="Times New Roman" w:asciiTheme="minorEastAsia" w:hAnsiTheme="minorEastAsia" w:eastAsiaTheme="minorEastAsia"/>
        </w:rPr>
      </w:pPr>
      <w:r>
        <w:rPr>
          <w:rFonts w:hint="eastAsia" w:cs="Times New Roman" w:asciiTheme="minorEastAsia" w:hAnsiTheme="minorEastAsia" w:eastAsiaTheme="minorEastAsia"/>
        </w:rPr>
        <w:t>GB/T</w:t>
      </w:r>
      <w:r>
        <w:rPr>
          <w:rFonts w:cs="Times New Roman" w:asciiTheme="minorEastAsia" w:hAnsiTheme="minorEastAsia" w:eastAsiaTheme="minorEastAsia"/>
        </w:rPr>
        <w:t xml:space="preserve"> 14981</w:t>
      </w:r>
      <w:r>
        <w:rPr>
          <w:rFonts w:hint="eastAsia" w:cs="Times New Roman" w:asciiTheme="minorEastAsia" w:hAnsiTheme="minorEastAsia" w:eastAsiaTheme="minorEastAsia"/>
        </w:rPr>
        <w:t>-2009  热轧圆盘条尺寸、外形、重量及允许偏差</w:t>
      </w:r>
    </w:p>
    <w:p>
      <w:pPr>
        <w:pStyle w:val="22"/>
        <w:rPr>
          <w:rFonts w:cs="Times New Roman" w:asciiTheme="minorEastAsia" w:hAnsiTheme="minorEastAsia" w:eastAsiaTheme="minorEastAsia"/>
        </w:rPr>
      </w:pPr>
      <w:r>
        <w:rPr>
          <w:rFonts w:hint="eastAsia" w:cs="Times New Roman" w:asciiTheme="minorEastAsia" w:hAnsiTheme="minorEastAsia" w:eastAsiaTheme="minorEastAsia"/>
        </w:rPr>
        <w:t>GB/T 175</w:t>
      </w:r>
      <w:r>
        <w:rPr>
          <w:rFonts w:cs="Times New Roman" w:asciiTheme="minorEastAsia" w:hAnsiTheme="minorEastAsia" w:eastAsiaTheme="minorEastAsia"/>
        </w:rPr>
        <w:t>0</w:t>
      </w:r>
      <w:r>
        <w:rPr>
          <w:rFonts w:hint="eastAsia" w:cs="Times New Roman" w:asciiTheme="minorEastAsia" w:hAnsiTheme="minorEastAsia" w:eastAsiaTheme="minorEastAsia"/>
        </w:rPr>
        <w:t>5  钢及钢产品交货一般技术要求</w:t>
      </w:r>
    </w:p>
    <w:p>
      <w:pPr>
        <w:pStyle w:val="22"/>
        <w:rPr>
          <w:rFonts w:cs="Times New Roman" w:asciiTheme="minorEastAsia" w:hAnsiTheme="minorEastAsia" w:eastAsiaTheme="minorEastAsia"/>
        </w:rPr>
      </w:pPr>
      <w:r>
        <w:rPr>
          <w:rFonts w:cs="Times New Roman" w:asciiTheme="minorEastAsia" w:hAnsiTheme="minorEastAsia" w:eastAsiaTheme="minorEastAsia"/>
        </w:rPr>
        <w:t xml:space="preserve">GB/T 20066 </w:t>
      </w:r>
      <w:r>
        <w:rPr>
          <w:rFonts w:hint="eastAsia" w:cs="Times New Roman" w:asciiTheme="minorEastAsia" w:hAnsiTheme="minorEastAsia" w:eastAsiaTheme="minorEastAsia"/>
        </w:rPr>
        <w:t xml:space="preserve"> </w:t>
      </w:r>
      <w:r>
        <w:rPr>
          <w:rFonts w:cs="Times New Roman" w:asciiTheme="minorEastAsia" w:hAnsiTheme="minorEastAsia" w:eastAsiaTheme="minorEastAsia"/>
        </w:rPr>
        <w:t>钢和铁化学成分测定用试样的取样和制样方法</w:t>
      </w:r>
    </w:p>
    <w:p>
      <w:pPr>
        <w:pStyle w:val="22"/>
        <w:rPr>
          <w:rFonts w:cs="Times New Roman" w:asciiTheme="minorEastAsia" w:hAnsiTheme="minorEastAsia" w:eastAsiaTheme="minorEastAsia"/>
        </w:rPr>
      </w:pPr>
      <w:r>
        <w:rPr>
          <w:rFonts w:cs="Times New Roman" w:asciiTheme="minorEastAsia" w:hAnsiTheme="minorEastAsia" w:eastAsiaTheme="minorEastAsia"/>
        </w:rPr>
        <w:t>GB/T 20123  钢铁 总碳硫含量的测定高频感应炉燃烧后红外吸收法(常规方法)</w:t>
      </w:r>
    </w:p>
    <w:p>
      <w:pPr>
        <w:pStyle w:val="22"/>
        <w:rPr>
          <w:rFonts w:cs="Times New Roman" w:asciiTheme="minorEastAsia" w:hAnsiTheme="minorEastAsia" w:eastAsiaTheme="minorEastAsia"/>
        </w:rPr>
      </w:pPr>
      <w:r>
        <w:rPr>
          <w:rFonts w:hint="eastAsia" w:cs="Times New Roman" w:asciiTheme="minorEastAsia" w:hAnsiTheme="minorEastAsia" w:eastAsiaTheme="minorEastAsia"/>
        </w:rPr>
        <w:t>GB/T 20126  非合金钢  低碳含量的测定  第2部分：感应炉（经预加热）内燃烧后红外吸收法</w:t>
      </w:r>
    </w:p>
    <w:p>
      <w:pPr>
        <w:pStyle w:val="22"/>
        <w:rPr>
          <w:color w:val="000000" w:themeColor="text1"/>
        </w:rPr>
      </w:pPr>
      <w:r>
        <w:rPr>
          <w:color w:val="000000" w:themeColor="text1"/>
        </w:rPr>
        <w:t>GB/T 20</w:t>
      </w:r>
      <w:r>
        <w:rPr>
          <w:rFonts w:hint="eastAsia"/>
          <w:color w:val="000000" w:themeColor="text1"/>
        </w:rPr>
        <w:t>12</w:t>
      </w:r>
      <w:r>
        <w:rPr>
          <w:color w:val="000000" w:themeColor="text1"/>
        </w:rPr>
        <w:t xml:space="preserve">4 </w:t>
      </w:r>
      <w:r>
        <w:rPr>
          <w:rFonts w:hint="eastAsia"/>
          <w:color w:val="000000" w:themeColor="text1"/>
        </w:rPr>
        <w:t xml:space="preserve"> 钢铁 氮含量的测定 惰性气体熔融热导法（常规方法）</w:t>
      </w:r>
    </w:p>
    <w:p>
      <w:pPr>
        <w:pStyle w:val="22"/>
        <w:rPr>
          <w:rFonts w:hint="eastAsia" w:hAnsi="Times New Roman"/>
          <w:color w:val="000000" w:themeColor="text1"/>
          <w:lang w:val="en-US" w:eastAsia="zh-CN"/>
        </w:rPr>
      </w:pPr>
      <w:r>
        <w:rPr>
          <w:rFonts w:hint="eastAsia" w:hAnsi="Times New Roman"/>
          <w:color w:val="000000" w:themeColor="text1"/>
        </w:rPr>
        <w:t>GB/T 24242.1</w:t>
      </w:r>
      <w:r>
        <w:rPr>
          <w:rFonts w:hint="eastAsia" w:hAnsi="Times New Roman"/>
          <w:color w:val="000000" w:themeColor="text1"/>
          <w:lang w:val="en-US" w:eastAsia="zh-CN"/>
        </w:rPr>
        <w:t>-</w:t>
      </w:r>
      <w:r>
        <w:rPr>
          <w:rFonts w:hint="eastAsia" w:hAnsi="Times New Roman"/>
          <w:color w:val="000000" w:themeColor="text1"/>
        </w:rPr>
        <w:t>202</w:t>
      </w:r>
      <w:r>
        <w:rPr>
          <w:rFonts w:hint="eastAsia" w:hAnsi="Times New Roman"/>
          <w:color w:val="000000" w:themeColor="text1"/>
          <w:lang w:val="en-US" w:eastAsia="zh-CN"/>
        </w:rPr>
        <w:t>0</w:t>
      </w:r>
    </w:p>
    <w:p>
      <w:pPr>
        <w:pStyle w:val="22"/>
        <w:rPr>
          <w:color w:val="000000" w:themeColor="text1"/>
        </w:rPr>
      </w:pPr>
      <w:r>
        <w:rPr>
          <w:rFonts w:hint="eastAsia"/>
          <w:color w:val="000000" w:themeColor="text1"/>
        </w:rPr>
        <w:t>YB/T 169</w:t>
      </w:r>
      <w:r>
        <w:rPr>
          <w:color w:val="000000" w:themeColor="text1"/>
        </w:rPr>
        <w:t xml:space="preserve"> </w:t>
      </w:r>
      <w:r>
        <w:rPr>
          <w:rFonts w:hint="eastAsia"/>
          <w:color w:val="000000" w:themeColor="text1"/>
        </w:rPr>
        <w:t xml:space="preserve"> 高碳钢盘条索氏体含量金相检测方法</w:t>
      </w:r>
    </w:p>
    <w:p>
      <w:pPr>
        <w:pStyle w:val="22"/>
        <w:rPr>
          <w:color w:val="000000" w:themeColor="text1"/>
        </w:rPr>
      </w:pPr>
      <w:r>
        <w:rPr>
          <w:rFonts w:hint="eastAsia"/>
          <w:color w:val="000000" w:themeColor="text1"/>
        </w:rPr>
        <w:t>YB</w:t>
      </w:r>
      <w:r>
        <w:rPr>
          <w:color w:val="000000" w:themeColor="text1"/>
        </w:rPr>
        <w:t>/</w:t>
      </w:r>
      <w:r>
        <w:rPr>
          <w:rFonts w:hint="eastAsia"/>
          <w:color w:val="000000" w:themeColor="text1"/>
        </w:rPr>
        <w:t>T 4411</w:t>
      </w:r>
      <w:r>
        <w:rPr>
          <w:color w:val="000000" w:themeColor="text1"/>
        </w:rPr>
        <w:t xml:space="preserve"> </w:t>
      </w:r>
      <w:r>
        <w:rPr>
          <w:rFonts w:hint="eastAsia"/>
          <w:color w:val="000000" w:themeColor="text1"/>
        </w:rPr>
        <w:t xml:space="preserve"> 高碳钢盘条中心马氏体评定方法</w:t>
      </w:r>
    </w:p>
    <w:p>
      <w:pPr>
        <w:pStyle w:val="22"/>
        <w:rPr>
          <w:color w:val="000000" w:themeColor="text1"/>
        </w:rPr>
      </w:pPr>
      <w:r>
        <w:rPr>
          <w:rFonts w:hint="eastAsia"/>
          <w:color w:val="000000" w:themeColor="text1"/>
        </w:rPr>
        <w:t>YB</w:t>
      </w:r>
      <w:r>
        <w:rPr>
          <w:color w:val="000000" w:themeColor="text1"/>
        </w:rPr>
        <w:t>/</w:t>
      </w:r>
      <w:r>
        <w:rPr>
          <w:rFonts w:hint="eastAsia"/>
          <w:color w:val="000000" w:themeColor="text1"/>
        </w:rPr>
        <w:t>T 4412</w:t>
      </w:r>
      <w:r>
        <w:rPr>
          <w:color w:val="000000" w:themeColor="text1"/>
        </w:rPr>
        <w:t xml:space="preserve"> </w:t>
      </w:r>
      <w:r>
        <w:rPr>
          <w:rFonts w:hint="eastAsia"/>
          <w:color w:val="000000" w:themeColor="text1"/>
        </w:rPr>
        <w:t xml:space="preserve"> 高碳钢盘条网状渗碳体评定方法</w:t>
      </w:r>
    </w:p>
    <w:p>
      <w:pPr>
        <w:pStyle w:val="22"/>
        <w:rPr>
          <w:color w:val="000000" w:themeColor="text1"/>
        </w:rPr>
      </w:pPr>
      <w:r>
        <w:rPr>
          <w:rFonts w:hint="eastAsia"/>
          <w:color w:val="000000" w:themeColor="text1"/>
        </w:rPr>
        <w:t>YB</w:t>
      </w:r>
      <w:r>
        <w:rPr>
          <w:color w:val="000000" w:themeColor="text1"/>
        </w:rPr>
        <w:t>/</w:t>
      </w:r>
      <w:r>
        <w:rPr>
          <w:rFonts w:hint="eastAsia"/>
          <w:color w:val="000000" w:themeColor="text1"/>
        </w:rPr>
        <w:t>T 4413</w:t>
      </w:r>
      <w:r>
        <w:rPr>
          <w:color w:val="000000" w:themeColor="text1"/>
        </w:rPr>
        <w:t xml:space="preserve"> </w:t>
      </w:r>
      <w:r>
        <w:rPr>
          <w:rFonts w:hint="eastAsia"/>
          <w:color w:val="000000" w:themeColor="text1"/>
        </w:rPr>
        <w:t xml:space="preserve"> 高碳钢盘条中心偏析金相评定方法</w:t>
      </w:r>
    </w:p>
    <w:p>
      <w:pPr>
        <w:pStyle w:val="52"/>
        <w:spacing w:before="312" w:after="312"/>
        <w:rPr>
          <w:rFonts w:ascii="Times New Roman"/>
        </w:rPr>
      </w:pPr>
      <w:bookmarkStart w:id="27" w:name="_Toc9326"/>
      <w:r>
        <w:rPr>
          <w:rFonts w:hint="eastAsia" w:ascii="Times New Roman"/>
        </w:rPr>
        <w:t>术语和定义</w:t>
      </w:r>
      <w:bookmarkEnd w:id="27"/>
    </w:p>
    <w:p>
      <w:pPr>
        <w:pStyle w:val="22"/>
      </w:pPr>
      <w:r>
        <w:rPr>
          <w:rFonts w:hint="eastAsia"/>
          <w:szCs w:val="28"/>
        </w:rPr>
        <w:t>本文件没有需要界定的术语和定义。</w:t>
      </w:r>
    </w:p>
    <w:p>
      <w:pPr>
        <w:pStyle w:val="52"/>
        <w:spacing w:before="312" w:after="312"/>
        <w:rPr>
          <w:rFonts w:ascii="Times New Roman"/>
        </w:rPr>
      </w:pPr>
      <w:bookmarkStart w:id="28" w:name="_Toc33108944"/>
      <w:bookmarkStart w:id="29" w:name="_Toc499733968"/>
      <w:bookmarkStart w:id="30" w:name="_Toc27604"/>
      <w:bookmarkStart w:id="31" w:name="_Toc512093862"/>
      <w:bookmarkStart w:id="32" w:name="_Toc496267156"/>
      <w:bookmarkStart w:id="33" w:name="_Toc499735464"/>
      <w:bookmarkStart w:id="34" w:name="_Toc2779"/>
      <w:r>
        <w:rPr>
          <w:rFonts w:ascii="Times New Roman"/>
        </w:rPr>
        <w:t>订货内容</w:t>
      </w:r>
      <w:bookmarkEnd w:id="28"/>
      <w:bookmarkEnd w:id="29"/>
      <w:bookmarkEnd w:id="30"/>
      <w:bookmarkEnd w:id="31"/>
      <w:bookmarkEnd w:id="32"/>
      <w:bookmarkEnd w:id="33"/>
      <w:bookmarkEnd w:id="34"/>
    </w:p>
    <w:p>
      <w:pPr>
        <w:pStyle w:val="22"/>
        <w:rPr>
          <w:rFonts w:ascii="Times New Roman" w:cs="Times New Roman"/>
        </w:rPr>
      </w:pPr>
      <w:r>
        <w:rPr>
          <w:rFonts w:ascii="Times New Roman" w:cs="Times New Roman"/>
        </w:rPr>
        <w:t>按本标准订货的合同或订单应提供下列信息：</w:t>
      </w:r>
    </w:p>
    <w:p>
      <w:pPr>
        <w:pStyle w:val="22"/>
        <w:numPr>
          <w:ilvl w:val="0"/>
          <w:numId w:val="18"/>
        </w:numPr>
        <w:ind w:firstLineChars="0"/>
        <w:rPr>
          <w:rFonts w:ascii="Times New Roman" w:cs="Times New Roman"/>
        </w:rPr>
      </w:pPr>
      <w:r>
        <w:rPr>
          <w:rFonts w:hint="eastAsia" w:ascii="Times New Roman" w:cs="Times New Roman"/>
        </w:rPr>
        <w:t>产品名称</w:t>
      </w:r>
      <w:r>
        <w:rPr>
          <w:rFonts w:ascii="Times New Roman" w:cs="Times New Roman"/>
        </w:rPr>
        <w:t>；</w:t>
      </w:r>
    </w:p>
    <w:p>
      <w:pPr>
        <w:pStyle w:val="22"/>
        <w:numPr>
          <w:ilvl w:val="0"/>
          <w:numId w:val="18"/>
        </w:numPr>
        <w:ind w:firstLineChars="0"/>
        <w:rPr>
          <w:rFonts w:ascii="Times New Roman" w:cs="Times New Roman"/>
        </w:rPr>
      </w:pPr>
      <w:r>
        <w:rPr>
          <w:rFonts w:ascii="Times New Roman" w:cs="Times New Roman"/>
        </w:rPr>
        <w:t>本</w:t>
      </w:r>
      <w:r>
        <w:rPr>
          <w:rFonts w:hint="eastAsia" w:ascii="Times New Roman" w:cs="Times New Roman"/>
        </w:rPr>
        <w:t>文件</w:t>
      </w:r>
      <w:r>
        <w:rPr>
          <w:rFonts w:ascii="Times New Roman" w:cs="Times New Roman"/>
        </w:rPr>
        <w:t>编号；</w:t>
      </w:r>
    </w:p>
    <w:p>
      <w:pPr>
        <w:pStyle w:val="22"/>
        <w:numPr>
          <w:ilvl w:val="0"/>
          <w:numId w:val="18"/>
        </w:numPr>
        <w:ind w:firstLineChars="0"/>
        <w:rPr>
          <w:rFonts w:ascii="Times New Roman" w:cs="Times New Roman"/>
        </w:rPr>
      </w:pPr>
      <w:r>
        <w:rPr>
          <w:rFonts w:ascii="Times New Roman" w:cs="Times New Roman"/>
        </w:rPr>
        <w:t>牌号；</w:t>
      </w:r>
    </w:p>
    <w:p>
      <w:pPr>
        <w:pStyle w:val="22"/>
        <w:numPr>
          <w:ilvl w:val="0"/>
          <w:numId w:val="18"/>
        </w:numPr>
        <w:ind w:firstLineChars="0"/>
        <w:rPr>
          <w:rFonts w:ascii="Times New Roman" w:cs="Times New Roman"/>
        </w:rPr>
      </w:pPr>
      <w:r>
        <w:rPr>
          <w:rFonts w:hint="eastAsia" w:ascii="Times New Roman" w:cs="Times New Roman"/>
        </w:rPr>
        <w:t>盘条公称直径</w:t>
      </w:r>
      <w:r>
        <w:rPr>
          <w:rFonts w:ascii="Times New Roman" w:cs="Times New Roman"/>
        </w:rPr>
        <w:t>；</w:t>
      </w:r>
    </w:p>
    <w:p>
      <w:pPr>
        <w:pStyle w:val="22"/>
        <w:numPr>
          <w:ilvl w:val="0"/>
          <w:numId w:val="18"/>
        </w:numPr>
        <w:ind w:firstLineChars="0"/>
        <w:rPr>
          <w:rFonts w:ascii="Times New Roman" w:cs="Times New Roman"/>
        </w:rPr>
      </w:pPr>
      <w:r>
        <w:rPr>
          <w:rFonts w:hint="eastAsia" w:ascii="Times New Roman" w:cs="Times New Roman"/>
        </w:rPr>
        <w:t>尺寸</w:t>
      </w:r>
      <w:r>
        <w:rPr>
          <w:rFonts w:ascii="Times New Roman" w:cs="Times New Roman"/>
        </w:rPr>
        <w:t>、</w:t>
      </w:r>
      <w:r>
        <w:rPr>
          <w:rFonts w:hint="eastAsia" w:ascii="Times New Roman" w:cs="Times New Roman"/>
        </w:rPr>
        <w:t>外形</w:t>
      </w:r>
      <w:r>
        <w:rPr>
          <w:rFonts w:ascii="Times New Roman" w:cs="Times New Roman"/>
        </w:rPr>
        <w:t>的</w:t>
      </w:r>
      <w:r>
        <w:rPr>
          <w:rFonts w:hint="eastAsia" w:ascii="Times New Roman" w:cs="Times New Roman"/>
        </w:rPr>
        <w:t>精度</w:t>
      </w:r>
      <w:r>
        <w:rPr>
          <w:rFonts w:ascii="Times New Roman" w:cs="Times New Roman"/>
        </w:rPr>
        <w:t>级别；</w:t>
      </w:r>
    </w:p>
    <w:p>
      <w:pPr>
        <w:pStyle w:val="22"/>
        <w:numPr>
          <w:ilvl w:val="0"/>
          <w:numId w:val="18"/>
        </w:numPr>
        <w:ind w:firstLineChars="0"/>
        <w:rPr>
          <w:rFonts w:ascii="Times New Roman" w:cs="Times New Roman"/>
        </w:rPr>
      </w:pPr>
      <w:r>
        <w:rPr>
          <w:rFonts w:ascii="Times New Roman" w:cs="Times New Roman"/>
        </w:rPr>
        <w:t>重量（</w:t>
      </w:r>
      <w:r>
        <w:rPr>
          <w:rFonts w:hint="eastAsia" w:ascii="Times New Roman" w:cs="Times New Roman"/>
        </w:rPr>
        <w:t>或</w:t>
      </w:r>
      <w:r>
        <w:rPr>
          <w:rFonts w:ascii="Times New Roman" w:cs="Times New Roman"/>
        </w:rPr>
        <w:t>数量）</w:t>
      </w:r>
      <w:r>
        <w:rPr>
          <w:rFonts w:hint="eastAsia" w:ascii="Times New Roman" w:cs="Times New Roman"/>
        </w:rPr>
        <w:t>；</w:t>
      </w:r>
    </w:p>
    <w:p>
      <w:pPr>
        <w:pStyle w:val="22"/>
        <w:numPr>
          <w:ilvl w:val="0"/>
          <w:numId w:val="18"/>
        </w:numPr>
        <w:ind w:firstLineChars="0"/>
        <w:rPr>
          <w:rFonts w:ascii="Times New Roman" w:cs="Times New Roman"/>
        </w:rPr>
      </w:pPr>
      <w:r>
        <w:rPr>
          <w:rFonts w:hint="eastAsia" w:ascii="Times New Roman" w:cs="Times New Roman"/>
        </w:rPr>
        <w:t>包装方式及标识要求（未明确时，按供方提供的包装方式及标识）</w:t>
      </w:r>
      <w:r>
        <w:rPr>
          <w:rFonts w:ascii="Times New Roman" w:cs="Times New Roman"/>
        </w:rPr>
        <w:t>；</w:t>
      </w:r>
    </w:p>
    <w:p>
      <w:pPr>
        <w:pStyle w:val="22"/>
        <w:numPr>
          <w:ilvl w:val="0"/>
          <w:numId w:val="18"/>
        </w:numPr>
        <w:ind w:firstLineChars="0"/>
        <w:rPr>
          <w:rFonts w:ascii="Times New Roman" w:cs="Times New Roman"/>
        </w:rPr>
      </w:pPr>
      <w:r>
        <w:rPr>
          <w:rFonts w:ascii="Times New Roman" w:cs="Times New Roman"/>
        </w:rPr>
        <w:t>交货状态；</w:t>
      </w:r>
    </w:p>
    <w:p>
      <w:pPr>
        <w:pStyle w:val="22"/>
        <w:numPr>
          <w:ilvl w:val="0"/>
          <w:numId w:val="18"/>
        </w:numPr>
        <w:ind w:firstLineChars="0"/>
        <w:rPr>
          <w:rFonts w:ascii="Times New Roman" w:cs="Times New Roman"/>
        </w:rPr>
      </w:pPr>
      <w:r>
        <w:rPr>
          <w:rFonts w:ascii="Times New Roman" w:cs="Times New Roman"/>
        </w:rPr>
        <w:t>特殊要求。</w:t>
      </w:r>
    </w:p>
    <w:p>
      <w:pPr>
        <w:pStyle w:val="52"/>
        <w:spacing w:before="312" w:after="312"/>
        <w:rPr>
          <w:rFonts w:ascii="Times New Roman"/>
        </w:rPr>
      </w:pPr>
      <w:bookmarkStart w:id="35" w:name="_Toc33108945"/>
      <w:bookmarkStart w:id="36" w:name="_Toc30463"/>
      <w:bookmarkStart w:id="37" w:name="_Toc496267158"/>
      <w:bookmarkStart w:id="38" w:name="_Toc499735466"/>
      <w:bookmarkStart w:id="39" w:name="_Toc499733970"/>
      <w:bookmarkStart w:id="40" w:name="_Toc512093863"/>
      <w:bookmarkStart w:id="41" w:name="_Toc30091"/>
      <w:r>
        <w:rPr>
          <w:rFonts w:ascii="Times New Roman"/>
        </w:rPr>
        <w:t>尺寸、外形、重量</w:t>
      </w:r>
      <w:bookmarkEnd w:id="35"/>
      <w:bookmarkEnd w:id="36"/>
      <w:bookmarkEnd w:id="37"/>
      <w:bookmarkEnd w:id="38"/>
      <w:bookmarkEnd w:id="39"/>
      <w:bookmarkEnd w:id="40"/>
      <w:bookmarkEnd w:id="41"/>
    </w:p>
    <w:p>
      <w:pPr>
        <w:pStyle w:val="49"/>
        <w:spacing w:beforeLines="0" w:afterLines="0"/>
        <w:rPr>
          <w:rFonts w:asciiTheme="minorEastAsia" w:hAnsiTheme="minorEastAsia" w:eastAsiaTheme="minorEastAsia"/>
        </w:rPr>
      </w:pPr>
      <w:bookmarkStart w:id="42" w:name="_Hlk5804893"/>
      <w:r>
        <w:rPr>
          <w:rFonts w:hint="eastAsia" w:ascii="Times New Roman" w:eastAsia="宋体"/>
        </w:rPr>
        <w:t>盘条的</w:t>
      </w:r>
      <w:r>
        <w:rPr>
          <w:rFonts w:ascii="Times New Roman" w:eastAsia="宋体"/>
        </w:rPr>
        <w:t>尺寸、</w:t>
      </w:r>
      <w:r>
        <w:rPr>
          <w:rFonts w:asciiTheme="minorEastAsia" w:hAnsiTheme="minorEastAsia" w:eastAsiaTheme="minorEastAsia"/>
        </w:rPr>
        <w:t>外形及允许偏差</w:t>
      </w:r>
      <w:r>
        <w:rPr>
          <w:rFonts w:hint="eastAsia" w:asciiTheme="minorEastAsia" w:hAnsiTheme="minorEastAsia" w:eastAsiaTheme="minorEastAsia"/>
        </w:rPr>
        <w:t>应符合</w:t>
      </w:r>
      <w:r>
        <w:rPr>
          <w:rFonts w:asciiTheme="minorEastAsia" w:hAnsiTheme="minorEastAsia" w:eastAsiaTheme="minorEastAsia"/>
        </w:rPr>
        <w:t>GB/T 14981-2009</w:t>
      </w:r>
      <w:r>
        <w:rPr>
          <w:rFonts w:hint="eastAsia" w:asciiTheme="minorEastAsia" w:hAnsiTheme="minorEastAsia" w:eastAsiaTheme="minorEastAsia"/>
        </w:rPr>
        <w:t>中</w:t>
      </w:r>
      <w:r>
        <w:rPr>
          <w:rFonts w:asciiTheme="minorEastAsia" w:hAnsiTheme="minorEastAsia" w:eastAsiaTheme="minorEastAsia"/>
        </w:rPr>
        <w:t>B级</w:t>
      </w:r>
      <w:r>
        <w:rPr>
          <w:rFonts w:hint="eastAsia" w:asciiTheme="minorEastAsia" w:hAnsiTheme="minorEastAsia" w:eastAsiaTheme="minorEastAsia"/>
        </w:rPr>
        <w:t>及</w:t>
      </w:r>
      <w:r>
        <w:rPr>
          <w:rFonts w:asciiTheme="minorEastAsia" w:hAnsiTheme="minorEastAsia" w:eastAsiaTheme="minorEastAsia"/>
        </w:rPr>
        <w:t>以上精度的规定。</w:t>
      </w:r>
      <w:r>
        <w:rPr>
          <w:rFonts w:hint="eastAsia" w:asciiTheme="minorEastAsia" w:hAnsiTheme="minorEastAsia" w:eastAsiaTheme="minorEastAsia"/>
        </w:rPr>
        <w:t>精度</w:t>
      </w:r>
      <w:r>
        <w:rPr>
          <w:rFonts w:asciiTheme="minorEastAsia" w:hAnsiTheme="minorEastAsia" w:eastAsiaTheme="minorEastAsia"/>
        </w:rPr>
        <w:t>级别应在合同中注明，未注明</w:t>
      </w:r>
      <w:r>
        <w:rPr>
          <w:rFonts w:hint="eastAsia" w:asciiTheme="minorEastAsia" w:hAnsiTheme="minorEastAsia" w:eastAsiaTheme="minorEastAsia"/>
          <w:lang w:val="en-US" w:eastAsia="zh-CN"/>
        </w:rPr>
        <w:t>者</w:t>
      </w:r>
      <w:r>
        <w:rPr>
          <w:rFonts w:asciiTheme="minorEastAsia" w:hAnsiTheme="minorEastAsia" w:eastAsiaTheme="minorEastAsia"/>
        </w:rPr>
        <w:t>按</w:t>
      </w:r>
      <w:r>
        <w:rPr>
          <w:rFonts w:hint="eastAsia" w:asciiTheme="minorEastAsia" w:hAnsiTheme="minorEastAsia" w:eastAsiaTheme="minorEastAsia"/>
        </w:rPr>
        <w:t>B</w:t>
      </w:r>
      <w:r>
        <w:rPr>
          <w:rFonts w:asciiTheme="minorEastAsia" w:hAnsiTheme="minorEastAsia" w:eastAsiaTheme="minorEastAsia"/>
        </w:rPr>
        <w:t>级</w:t>
      </w:r>
      <w:r>
        <w:rPr>
          <w:rFonts w:hint="eastAsia" w:asciiTheme="minorEastAsia" w:hAnsiTheme="minorEastAsia" w:eastAsiaTheme="minorEastAsia"/>
        </w:rPr>
        <w:t>精度</w:t>
      </w:r>
      <w:r>
        <w:rPr>
          <w:rFonts w:asciiTheme="minorEastAsia" w:hAnsiTheme="minorEastAsia" w:eastAsiaTheme="minorEastAsia"/>
        </w:rPr>
        <w:t>。</w:t>
      </w:r>
    </w:p>
    <w:p>
      <w:pPr>
        <w:pStyle w:val="49"/>
        <w:spacing w:beforeLines="0" w:afterLines="0"/>
        <w:rPr>
          <w:rFonts w:asciiTheme="minorEastAsia" w:hAnsiTheme="minorEastAsia" w:eastAsiaTheme="minorEastAsia"/>
        </w:rPr>
      </w:pPr>
      <w:r>
        <w:rPr>
          <w:rFonts w:hint="eastAsia" w:asciiTheme="minorEastAsia" w:hAnsiTheme="minorEastAsia" w:eastAsiaTheme="minorEastAsia"/>
          <w:lang w:val="en-US" w:eastAsia="zh-CN"/>
        </w:rPr>
        <w:t>每卷盘条应由一根组成。</w:t>
      </w:r>
    </w:p>
    <w:p>
      <w:pPr>
        <w:pStyle w:val="49"/>
        <w:spacing w:beforeLines="0" w:afterLines="0"/>
        <w:rPr>
          <w:rFonts w:asciiTheme="minorEastAsia" w:hAnsiTheme="minorEastAsia" w:eastAsiaTheme="minorEastAsia"/>
        </w:rPr>
      </w:pPr>
      <w:r>
        <w:rPr>
          <w:rFonts w:hint="eastAsia" w:asciiTheme="minorEastAsia" w:hAnsiTheme="minorEastAsia" w:eastAsiaTheme="minorEastAsia"/>
        </w:rPr>
        <w:t>盘条的重量</w:t>
      </w:r>
      <w:r>
        <w:rPr>
          <w:rFonts w:asciiTheme="minorEastAsia" w:hAnsiTheme="minorEastAsia" w:eastAsiaTheme="minorEastAsia"/>
        </w:rPr>
        <w:t>应符合GB/T 14981</w:t>
      </w:r>
      <w:r>
        <w:rPr>
          <w:rFonts w:hint="eastAsia" w:asciiTheme="minorEastAsia" w:hAnsiTheme="minorEastAsia" w:eastAsiaTheme="minorEastAsia"/>
        </w:rPr>
        <w:t>的规定。</w:t>
      </w:r>
    </w:p>
    <w:bookmarkEnd w:id="42"/>
    <w:p>
      <w:pPr>
        <w:pStyle w:val="52"/>
        <w:spacing w:before="312" w:after="312"/>
        <w:rPr>
          <w:rFonts w:ascii="Times New Roman"/>
          <w:szCs w:val="22"/>
        </w:rPr>
      </w:pPr>
      <w:bookmarkStart w:id="43" w:name="_Toc10193"/>
      <w:bookmarkStart w:id="44" w:name="_Toc496267159"/>
      <w:bookmarkStart w:id="45" w:name="_Toc499733971"/>
      <w:bookmarkStart w:id="46" w:name="_Toc512093864"/>
      <w:bookmarkStart w:id="47" w:name="_Toc31274"/>
      <w:bookmarkStart w:id="48" w:name="_Toc33108946"/>
      <w:bookmarkStart w:id="49" w:name="_Toc499735467"/>
      <w:r>
        <w:rPr>
          <w:rFonts w:ascii="Times New Roman"/>
          <w:szCs w:val="22"/>
        </w:rPr>
        <w:t>技术要求</w:t>
      </w:r>
      <w:bookmarkEnd w:id="43"/>
      <w:bookmarkEnd w:id="44"/>
      <w:bookmarkEnd w:id="45"/>
      <w:bookmarkEnd w:id="46"/>
      <w:bookmarkEnd w:id="47"/>
      <w:bookmarkEnd w:id="48"/>
      <w:bookmarkEnd w:id="49"/>
    </w:p>
    <w:p>
      <w:pPr>
        <w:pStyle w:val="49"/>
        <w:spacing w:before="156" w:after="156"/>
      </w:pPr>
      <w:bookmarkStart w:id="50" w:name="_Hlk5804976"/>
      <w:r>
        <w:t>牌号</w:t>
      </w:r>
      <w:r>
        <w:rPr>
          <w:rFonts w:hint="eastAsia"/>
        </w:rPr>
        <w:t>和</w:t>
      </w:r>
      <w:r>
        <w:t>化学成分</w:t>
      </w:r>
    </w:p>
    <w:bookmarkEnd w:id="50"/>
    <w:p>
      <w:pPr>
        <w:pStyle w:val="53"/>
        <w:spacing w:beforeLines="0" w:afterLines="0"/>
        <w:rPr>
          <w:rFonts w:asciiTheme="minorEastAsia" w:hAnsiTheme="minorEastAsia" w:eastAsiaTheme="minorEastAsia"/>
        </w:rPr>
      </w:pPr>
      <w:r>
        <w:rPr>
          <w:rFonts w:hint="eastAsia" w:asciiTheme="minorEastAsia" w:hAnsiTheme="minorEastAsia" w:eastAsiaTheme="minorEastAsia"/>
        </w:rPr>
        <w:t>钢的牌号和化学成分（熔炼分析）应符合表1的规定。</w:t>
      </w:r>
    </w:p>
    <w:p>
      <w:pPr>
        <w:pStyle w:val="133"/>
        <w:spacing w:before="156" w:afterLines="0"/>
        <w:ind w:left="0"/>
      </w:pPr>
      <w:r>
        <w:rPr>
          <w:rFonts w:hint="eastAsia"/>
        </w:rPr>
        <w:t>化学成分</w:t>
      </w:r>
    </w:p>
    <w:tbl>
      <w:tblPr>
        <w:tblStyle w:val="31"/>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04"/>
        <w:gridCol w:w="765"/>
        <w:gridCol w:w="765"/>
        <w:gridCol w:w="762"/>
        <w:gridCol w:w="764"/>
        <w:gridCol w:w="764"/>
        <w:gridCol w:w="764"/>
        <w:gridCol w:w="764"/>
        <w:gridCol w:w="764"/>
        <w:gridCol w:w="764"/>
        <w:gridCol w:w="764"/>
        <w:gridCol w:w="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exact"/>
          <w:jc w:val="center"/>
        </w:trPr>
        <w:tc>
          <w:tcPr>
            <w:tcW w:w="904" w:type="dxa"/>
            <w:vMerge w:val="restart"/>
            <w:shd w:val="clear" w:color="auto" w:fill="FFFFFF"/>
            <w:vAlign w:val="center"/>
          </w:tcPr>
          <w:p>
            <w:pPr>
              <w:adjustRightInd w:val="0"/>
              <w:snapToGrid w:val="0"/>
              <w:spacing w:line="240" w:lineRule="exact"/>
              <w:jc w:val="center"/>
              <w:rPr>
                <w:rFonts w:cs="宋体" w:asciiTheme="minorEastAsia" w:hAnsiTheme="minorEastAsia" w:eastAsiaTheme="minorEastAsia"/>
                <w:sz w:val="18"/>
                <w:szCs w:val="18"/>
                <w:lang w:val="zh-TW" w:eastAsia="zh-TW"/>
              </w:rPr>
            </w:pPr>
            <w:r>
              <w:rPr>
                <w:rFonts w:cs="宋体" w:asciiTheme="minorEastAsia" w:hAnsiTheme="minorEastAsia" w:eastAsiaTheme="minorEastAsia"/>
                <w:sz w:val="18"/>
                <w:szCs w:val="18"/>
                <w:lang w:val="zh-TW" w:eastAsia="zh-TW"/>
              </w:rPr>
              <w:t>牌号</w:t>
            </w:r>
          </w:p>
        </w:tc>
        <w:tc>
          <w:tcPr>
            <w:tcW w:w="8464" w:type="dxa"/>
            <w:gridSpan w:val="11"/>
            <w:shd w:val="clear" w:color="auto" w:fill="FFFFFF"/>
            <w:vAlign w:val="center"/>
          </w:tcPr>
          <w:p>
            <w:pPr>
              <w:adjustRightInd w:val="0"/>
              <w:snapToGrid w:val="0"/>
              <w:spacing w:line="240" w:lineRule="exact"/>
              <w:jc w:val="center"/>
              <w:rPr>
                <w:rFonts w:cs="宋体" w:asciiTheme="minorEastAsia" w:hAnsiTheme="minorEastAsia" w:eastAsiaTheme="minorEastAsia"/>
                <w:sz w:val="18"/>
                <w:szCs w:val="18"/>
                <w:lang w:val="zh-TW" w:eastAsia="zh-TW"/>
              </w:rPr>
            </w:pPr>
            <w:r>
              <w:rPr>
                <w:rFonts w:cs="宋体" w:asciiTheme="minorEastAsia" w:hAnsiTheme="minorEastAsia" w:eastAsiaTheme="minorEastAsia"/>
                <w:sz w:val="18"/>
                <w:szCs w:val="18"/>
                <w:lang w:val="zh-TW" w:eastAsia="zh-TW"/>
              </w:rPr>
              <w:t>化学成分（质量分数）/%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7" w:hRule="exact"/>
          <w:jc w:val="center"/>
        </w:trPr>
        <w:tc>
          <w:tcPr>
            <w:tcW w:w="904" w:type="dxa"/>
            <w:vMerge w:val="continue"/>
            <w:shd w:val="clear" w:color="auto" w:fill="FFFFFF"/>
            <w:vAlign w:val="center"/>
          </w:tcPr>
          <w:p>
            <w:pPr>
              <w:adjustRightInd w:val="0"/>
              <w:snapToGrid w:val="0"/>
              <w:spacing w:line="240" w:lineRule="exact"/>
              <w:jc w:val="center"/>
              <w:rPr>
                <w:rFonts w:cs="宋体" w:asciiTheme="minorEastAsia" w:hAnsiTheme="minorEastAsia" w:eastAsiaTheme="minorEastAsia"/>
                <w:sz w:val="18"/>
                <w:szCs w:val="18"/>
                <w:lang w:val="zh-TW" w:eastAsia="zh-TW"/>
              </w:rPr>
            </w:pPr>
          </w:p>
        </w:tc>
        <w:tc>
          <w:tcPr>
            <w:tcW w:w="765" w:type="dxa"/>
            <w:vMerge w:val="restart"/>
            <w:shd w:val="clear" w:color="auto" w:fill="FFFFFF"/>
            <w:vAlign w:val="center"/>
          </w:tcPr>
          <w:p>
            <w:pPr>
              <w:adjustRightInd w:val="0"/>
              <w:snapToGrid w:val="0"/>
              <w:spacing w:line="240" w:lineRule="exact"/>
              <w:jc w:val="center"/>
              <w:rPr>
                <w:rFonts w:cs="宋体" w:asciiTheme="minorEastAsia" w:hAnsiTheme="minorEastAsia" w:eastAsiaTheme="minorEastAsia"/>
                <w:sz w:val="18"/>
                <w:szCs w:val="18"/>
                <w:lang w:val="zh-TW" w:eastAsia="zh-TW"/>
              </w:rPr>
            </w:pPr>
            <w:r>
              <w:rPr>
                <w:rFonts w:cs="宋体" w:asciiTheme="minorEastAsia" w:hAnsiTheme="minorEastAsia" w:eastAsiaTheme="minorEastAsia"/>
                <w:sz w:val="18"/>
                <w:szCs w:val="18"/>
                <w:lang w:eastAsia="en-US"/>
              </w:rPr>
              <w:t>C</w:t>
            </w:r>
          </w:p>
        </w:tc>
        <w:tc>
          <w:tcPr>
            <w:tcW w:w="765" w:type="dxa"/>
            <w:vMerge w:val="restart"/>
            <w:shd w:val="clear" w:color="auto" w:fill="FFFFFF"/>
            <w:vAlign w:val="center"/>
          </w:tcPr>
          <w:p>
            <w:pPr>
              <w:adjustRightInd w:val="0"/>
              <w:snapToGrid w:val="0"/>
              <w:spacing w:line="240" w:lineRule="exact"/>
              <w:jc w:val="center"/>
              <w:rPr>
                <w:rFonts w:cs="宋体" w:asciiTheme="minorEastAsia" w:hAnsiTheme="minorEastAsia" w:eastAsiaTheme="minorEastAsia"/>
                <w:sz w:val="18"/>
                <w:szCs w:val="18"/>
                <w:lang w:val="zh-TW" w:eastAsia="zh-TW"/>
              </w:rPr>
            </w:pPr>
            <w:r>
              <w:rPr>
                <w:rFonts w:cs="宋体" w:asciiTheme="minorEastAsia" w:hAnsiTheme="minorEastAsia" w:eastAsiaTheme="minorEastAsia"/>
                <w:sz w:val="18"/>
                <w:szCs w:val="18"/>
                <w:lang w:eastAsia="en-US"/>
              </w:rPr>
              <w:t>Si</w:t>
            </w:r>
          </w:p>
        </w:tc>
        <w:tc>
          <w:tcPr>
            <w:tcW w:w="762" w:type="dxa"/>
            <w:vMerge w:val="restart"/>
            <w:shd w:val="clear" w:color="auto" w:fill="FFFFFF"/>
            <w:vAlign w:val="center"/>
          </w:tcPr>
          <w:p>
            <w:pPr>
              <w:adjustRightInd w:val="0"/>
              <w:snapToGrid w:val="0"/>
              <w:spacing w:line="240" w:lineRule="exact"/>
              <w:jc w:val="center"/>
              <w:rPr>
                <w:rFonts w:cs="宋体" w:asciiTheme="minorEastAsia" w:hAnsiTheme="minorEastAsia" w:eastAsiaTheme="minorEastAsia"/>
                <w:sz w:val="18"/>
                <w:szCs w:val="18"/>
                <w:vertAlign w:val="superscript"/>
                <w:lang w:val="zh-TW"/>
              </w:rPr>
            </w:pPr>
            <w:r>
              <w:rPr>
                <w:rFonts w:cs="宋体" w:asciiTheme="minorEastAsia" w:hAnsiTheme="minorEastAsia" w:eastAsiaTheme="minorEastAsia"/>
                <w:sz w:val="18"/>
                <w:szCs w:val="18"/>
                <w:lang w:eastAsia="en-US"/>
              </w:rPr>
              <w:t>Mn</w:t>
            </w:r>
          </w:p>
        </w:tc>
        <w:tc>
          <w:tcPr>
            <w:tcW w:w="764" w:type="dxa"/>
            <w:shd w:val="clear" w:color="auto" w:fill="FFFFFF"/>
            <w:vAlign w:val="center"/>
          </w:tcPr>
          <w:p>
            <w:pPr>
              <w:adjustRightInd w:val="0"/>
              <w:snapToGrid w:val="0"/>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P</w:t>
            </w:r>
          </w:p>
        </w:tc>
        <w:tc>
          <w:tcPr>
            <w:tcW w:w="764" w:type="dxa"/>
            <w:shd w:val="clear" w:color="auto" w:fill="FFFFFF"/>
            <w:vAlign w:val="center"/>
          </w:tcPr>
          <w:p>
            <w:pPr>
              <w:adjustRightInd w:val="0"/>
              <w:snapToGrid w:val="0"/>
              <w:spacing w:line="240" w:lineRule="exact"/>
              <w:jc w:val="center"/>
              <w:rPr>
                <w:rFonts w:cs="宋体" w:asciiTheme="minorEastAsia" w:hAnsiTheme="minorEastAsia" w:eastAsiaTheme="minorEastAsia"/>
                <w:sz w:val="18"/>
                <w:szCs w:val="18"/>
                <w:lang w:val="zh-TW"/>
              </w:rPr>
            </w:pPr>
            <w:r>
              <w:rPr>
                <w:rFonts w:hint="eastAsia" w:cs="宋体" w:asciiTheme="minorEastAsia" w:hAnsiTheme="minorEastAsia" w:eastAsiaTheme="minorEastAsia"/>
                <w:sz w:val="18"/>
                <w:szCs w:val="18"/>
              </w:rPr>
              <w:t>S</w:t>
            </w:r>
          </w:p>
        </w:tc>
        <w:tc>
          <w:tcPr>
            <w:tcW w:w="764" w:type="dxa"/>
            <w:shd w:val="clear" w:color="auto" w:fill="FFFFFF"/>
            <w:vAlign w:val="center"/>
          </w:tcPr>
          <w:p>
            <w:pPr>
              <w:adjustRightInd w:val="0"/>
              <w:snapToGrid w:val="0"/>
              <w:spacing w:line="240" w:lineRule="exact"/>
              <w:jc w:val="center"/>
              <w:rPr>
                <w:rFonts w:cs="宋体" w:asciiTheme="minorEastAsia" w:hAnsiTheme="minorEastAsia" w:eastAsiaTheme="minorEastAsia"/>
                <w:sz w:val="18"/>
                <w:szCs w:val="18"/>
                <w:lang w:val="zh-TW" w:eastAsia="zh-TW"/>
              </w:rPr>
            </w:pPr>
            <w:r>
              <w:rPr>
                <w:rFonts w:hint="eastAsia" w:cs="宋体" w:asciiTheme="minorEastAsia" w:hAnsiTheme="minorEastAsia" w:eastAsiaTheme="minorEastAsia"/>
                <w:sz w:val="18"/>
                <w:szCs w:val="18"/>
              </w:rPr>
              <w:t>C</w:t>
            </w:r>
            <w:r>
              <w:rPr>
                <w:rFonts w:cs="宋体" w:asciiTheme="minorEastAsia" w:hAnsiTheme="minorEastAsia" w:eastAsiaTheme="minorEastAsia"/>
                <w:sz w:val="18"/>
                <w:szCs w:val="18"/>
              </w:rPr>
              <w:t>r</w:t>
            </w:r>
          </w:p>
        </w:tc>
        <w:tc>
          <w:tcPr>
            <w:tcW w:w="764" w:type="dxa"/>
            <w:shd w:val="clear" w:color="auto" w:fill="FFFFFF"/>
            <w:vAlign w:val="center"/>
          </w:tcPr>
          <w:p>
            <w:pPr>
              <w:adjustRightInd w:val="0"/>
              <w:snapToGrid w:val="0"/>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N</w:t>
            </w:r>
            <w:r>
              <w:rPr>
                <w:rFonts w:cs="宋体" w:asciiTheme="minorEastAsia" w:hAnsiTheme="minorEastAsia" w:eastAsiaTheme="minorEastAsia"/>
                <w:sz w:val="18"/>
                <w:szCs w:val="18"/>
              </w:rPr>
              <w:t>i</w:t>
            </w:r>
          </w:p>
        </w:tc>
        <w:tc>
          <w:tcPr>
            <w:tcW w:w="764" w:type="dxa"/>
            <w:shd w:val="clear" w:color="auto" w:fill="FFFFFF"/>
            <w:vAlign w:val="center"/>
          </w:tcPr>
          <w:p>
            <w:pPr>
              <w:adjustRightInd w:val="0"/>
              <w:snapToGrid w:val="0"/>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Mo</w:t>
            </w:r>
          </w:p>
        </w:tc>
        <w:tc>
          <w:tcPr>
            <w:tcW w:w="764" w:type="dxa"/>
            <w:shd w:val="clear" w:color="auto" w:fill="FFFFFF"/>
            <w:vAlign w:val="center"/>
          </w:tcPr>
          <w:p>
            <w:pPr>
              <w:adjustRightInd w:val="0"/>
              <w:snapToGrid w:val="0"/>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Cu</w:t>
            </w:r>
          </w:p>
        </w:tc>
        <w:tc>
          <w:tcPr>
            <w:tcW w:w="764" w:type="dxa"/>
            <w:shd w:val="clear" w:color="auto" w:fill="FFFFFF"/>
            <w:vAlign w:val="center"/>
          </w:tcPr>
          <w:p>
            <w:pPr>
              <w:adjustRightInd w:val="0"/>
              <w:snapToGrid w:val="0"/>
              <w:spacing w:line="240" w:lineRule="exact"/>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lang w:eastAsia="en-US"/>
              </w:rPr>
              <w:t>Alt</w:t>
            </w:r>
          </w:p>
        </w:tc>
        <w:tc>
          <w:tcPr>
            <w:tcW w:w="824" w:type="dxa"/>
            <w:shd w:val="clear" w:color="auto" w:fill="FFFFFF"/>
            <w:vAlign w:val="center"/>
          </w:tcPr>
          <w:p>
            <w:pPr>
              <w:adjustRightInd w:val="0"/>
              <w:snapToGrid w:val="0"/>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exact"/>
          <w:jc w:val="center"/>
        </w:trPr>
        <w:tc>
          <w:tcPr>
            <w:tcW w:w="904" w:type="dxa"/>
            <w:vMerge w:val="continue"/>
            <w:shd w:val="clear" w:color="auto" w:fill="FFFFFF"/>
            <w:vAlign w:val="center"/>
          </w:tcPr>
          <w:p>
            <w:pPr>
              <w:adjustRightInd w:val="0"/>
              <w:snapToGrid w:val="0"/>
              <w:spacing w:line="240" w:lineRule="exact"/>
              <w:jc w:val="center"/>
              <w:rPr>
                <w:rFonts w:eastAsia="PMingLiU" w:cs="宋体" w:asciiTheme="minorEastAsia" w:hAnsiTheme="minorEastAsia"/>
                <w:sz w:val="18"/>
                <w:szCs w:val="18"/>
                <w:lang w:val="zh-TW" w:eastAsia="zh-TW"/>
              </w:rPr>
            </w:pPr>
          </w:p>
        </w:tc>
        <w:tc>
          <w:tcPr>
            <w:tcW w:w="765" w:type="dxa"/>
            <w:vMerge w:val="continue"/>
            <w:shd w:val="clear" w:color="auto" w:fill="FFFFFF"/>
            <w:vAlign w:val="center"/>
          </w:tcPr>
          <w:p>
            <w:pPr>
              <w:adjustRightInd w:val="0"/>
              <w:snapToGrid w:val="0"/>
              <w:spacing w:line="240" w:lineRule="exact"/>
              <w:jc w:val="center"/>
              <w:rPr>
                <w:rFonts w:eastAsia="PMingLiU" w:cs="宋体" w:asciiTheme="minorEastAsia" w:hAnsiTheme="minorEastAsia"/>
                <w:sz w:val="18"/>
                <w:szCs w:val="18"/>
                <w:lang w:val="zh-TW" w:eastAsia="zh-TW"/>
              </w:rPr>
            </w:pPr>
          </w:p>
        </w:tc>
        <w:tc>
          <w:tcPr>
            <w:tcW w:w="765" w:type="dxa"/>
            <w:vMerge w:val="continue"/>
            <w:shd w:val="clear" w:color="auto" w:fill="FFFFFF"/>
            <w:vAlign w:val="center"/>
          </w:tcPr>
          <w:p>
            <w:pPr>
              <w:adjustRightInd w:val="0"/>
              <w:snapToGrid w:val="0"/>
              <w:spacing w:line="240" w:lineRule="exact"/>
              <w:jc w:val="center"/>
              <w:rPr>
                <w:rFonts w:eastAsia="PMingLiU" w:cs="宋体" w:asciiTheme="minorEastAsia" w:hAnsiTheme="minorEastAsia"/>
                <w:sz w:val="18"/>
                <w:szCs w:val="18"/>
                <w:lang w:val="zh-TW" w:eastAsia="zh-TW"/>
              </w:rPr>
            </w:pPr>
          </w:p>
        </w:tc>
        <w:tc>
          <w:tcPr>
            <w:tcW w:w="762" w:type="dxa"/>
            <w:vMerge w:val="continue"/>
            <w:shd w:val="clear" w:color="auto" w:fill="FFFFFF"/>
            <w:vAlign w:val="center"/>
          </w:tcPr>
          <w:p>
            <w:pPr>
              <w:adjustRightInd w:val="0"/>
              <w:snapToGrid w:val="0"/>
              <w:spacing w:line="240" w:lineRule="exact"/>
              <w:jc w:val="center"/>
              <w:rPr>
                <w:rFonts w:eastAsia="PMingLiU" w:cs="宋体" w:asciiTheme="minorEastAsia" w:hAnsiTheme="minorEastAsia"/>
                <w:sz w:val="18"/>
                <w:szCs w:val="18"/>
                <w:lang w:val="zh-TW" w:eastAsia="zh-TW"/>
              </w:rPr>
            </w:pPr>
          </w:p>
        </w:tc>
        <w:tc>
          <w:tcPr>
            <w:tcW w:w="6172" w:type="dxa"/>
            <w:gridSpan w:val="8"/>
            <w:shd w:val="clear" w:color="auto" w:fill="FFFFFF"/>
            <w:vAlign w:val="center"/>
          </w:tcPr>
          <w:p>
            <w:pPr>
              <w:adjustRightInd w:val="0"/>
              <w:snapToGrid w:val="0"/>
              <w:spacing w:line="240" w:lineRule="exact"/>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不大于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7" w:hRule="exact"/>
          <w:jc w:val="center"/>
        </w:trPr>
        <w:tc>
          <w:tcPr>
            <w:tcW w:w="904" w:type="dxa"/>
            <w:shd w:val="clear" w:color="auto" w:fill="FFFFFF"/>
            <w:vAlign w:val="center"/>
          </w:tcPr>
          <w:p>
            <w:pPr>
              <w:adjustRightInd w:val="0"/>
              <w:snapToGrid w:val="0"/>
              <w:jc w:val="center"/>
              <w:rPr>
                <w:rFonts w:eastAsia="PMingLiU" w:cs="宋体" w:asciiTheme="minorEastAsia" w:hAnsiTheme="minorEastAsia"/>
                <w:sz w:val="18"/>
                <w:szCs w:val="18"/>
                <w:lang w:val="zh-TW" w:eastAsia="zh-TW"/>
              </w:rPr>
            </w:pPr>
            <w:r>
              <w:rPr>
                <w:rFonts w:hint="eastAsia" w:eastAsia="PMingLiU" w:cs="宋体" w:asciiTheme="minorEastAsia" w:hAnsiTheme="minorEastAsia"/>
                <w:sz w:val="18"/>
                <w:szCs w:val="18"/>
                <w:lang w:val="zh-TW" w:eastAsia="zh-TW"/>
              </w:rPr>
              <w:t>C72D2</w:t>
            </w:r>
          </w:p>
        </w:tc>
        <w:tc>
          <w:tcPr>
            <w:tcW w:w="765" w:type="dxa"/>
            <w:shd w:val="clear" w:color="auto" w:fill="FFFFFF"/>
            <w:vAlign w:val="center"/>
          </w:tcPr>
          <w:p>
            <w:pPr>
              <w:snapToGrid w:val="0"/>
              <w:jc w:val="center"/>
              <w:rPr>
                <w:rFonts w:ascii="宋体" w:hAnsi="宋体"/>
                <w:color w:val="000000"/>
                <w:sz w:val="18"/>
                <w:szCs w:val="18"/>
              </w:rPr>
            </w:pPr>
            <w:r>
              <w:rPr>
                <w:rFonts w:hint="eastAsia" w:ascii="宋体" w:hAnsi="宋体"/>
                <w:color w:val="000000"/>
                <w:sz w:val="18"/>
                <w:szCs w:val="18"/>
              </w:rPr>
              <w:t>0.70～0.75</w:t>
            </w:r>
          </w:p>
        </w:tc>
        <w:tc>
          <w:tcPr>
            <w:tcW w:w="765" w:type="dxa"/>
            <w:shd w:val="clear" w:color="auto" w:fill="FFFFFF"/>
            <w:vAlign w:val="center"/>
          </w:tcPr>
          <w:p>
            <w:pPr>
              <w:snapToGrid w:val="0"/>
              <w:jc w:val="center"/>
              <w:rPr>
                <w:sz w:val="18"/>
                <w:szCs w:val="18"/>
              </w:rPr>
            </w:pPr>
            <w:r>
              <w:rPr>
                <w:rFonts w:ascii="宋体" w:hAnsi="宋体"/>
                <w:color w:val="000000"/>
                <w:sz w:val="18"/>
                <w:szCs w:val="18"/>
              </w:rPr>
              <w:t>0.</w:t>
            </w:r>
            <w:r>
              <w:rPr>
                <w:rFonts w:hint="eastAsia" w:ascii="宋体" w:hAnsi="宋体"/>
                <w:color w:val="000000"/>
                <w:sz w:val="18"/>
                <w:szCs w:val="18"/>
              </w:rPr>
              <w:t>10～</w:t>
            </w:r>
            <w:r>
              <w:rPr>
                <w:rFonts w:ascii="宋体" w:hAnsi="宋体"/>
                <w:color w:val="000000"/>
                <w:sz w:val="18"/>
                <w:szCs w:val="18"/>
              </w:rPr>
              <w:t>0.</w:t>
            </w:r>
            <w:r>
              <w:rPr>
                <w:rFonts w:hint="eastAsia" w:ascii="宋体" w:hAnsi="宋体"/>
                <w:color w:val="000000"/>
                <w:sz w:val="18"/>
                <w:szCs w:val="18"/>
              </w:rPr>
              <w:t>30</w:t>
            </w:r>
          </w:p>
        </w:tc>
        <w:tc>
          <w:tcPr>
            <w:tcW w:w="762" w:type="dxa"/>
            <w:shd w:val="clear" w:color="auto" w:fill="FFFFFF"/>
            <w:vAlign w:val="center"/>
          </w:tcPr>
          <w:p>
            <w:pPr>
              <w:snapToGrid w:val="0"/>
              <w:jc w:val="center"/>
              <w:rPr>
                <w:rFonts w:ascii="宋体" w:hAnsi="宋体"/>
                <w:color w:val="000000"/>
                <w:sz w:val="18"/>
                <w:szCs w:val="18"/>
              </w:rPr>
            </w:pPr>
            <w:r>
              <w:rPr>
                <w:rFonts w:ascii="宋体" w:hAnsi="宋体"/>
                <w:color w:val="000000"/>
                <w:sz w:val="18"/>
                <w:szCs w:val="18"/>
              </w:rPr>
              <w:t>0.</w:t>
            </w:r>
            <w:r>
              <w:rPr>
                <w:rFonts w:hint="eastAsia" w:ascii="宋体" w:hAnsi="宋体"/>
                <w:color w:val="000000"/>
                <w:sz w:val="18"/>
                <w:szCs w:val="18"/>
              </w:rPr>
              <w:t>40～</w:t>
            </w:r>
            <w:r>
              <w:rPr>
                <w:rFonts w:ascii="宋体" w:hAnsi="宋体"/>
                <w:color w:val="000000"/>
                <w:sz w:val="18"/>
                <w:szCs w:val="18"/>
              </w:rPr>
              <w:t>0.</w:t>
            </w:r>
            <w:r>
              <w:rPr>
                <w:rFonts w:hint="eastAsia" w:ascii="宋体" w:hAnsi="宋体"/>
                <w:color w:val="000000"/>
                <w:sz w:val="18"/>
                <w:szCs w:val="18"/>
              </w:rPr>
              <w:t>60</w:t>
            </w:r>
          </w:p>
        </w:tc>
        <w:tc>
          <w:tcPr>
            <w:tcW w:w="764" w:type="dxa"/>
            <w:shd w:val="clear" w:color="auto" w:fill="FFFFFF"/>
            <w:vAlign w:val="center"/>
          </w:tcPr>
          <w:p>
            <w:pPr>
              <w:jc w:val="center"/>
              <w:rPr>
                <w:rFonts w:ascii="宋体" w:hAnsi="宋体"/>
                <w:color w:val="000000"/>
                <w:sz w:val="18"/>
                <w:szCs w:val="18"/>
              </w:rPr>
            </w:pPr>
            <w:r>
              <w:rPr>
                <w:rFonts w:ascii="宋体" w:hAnsi="宋体"/>
                <w:color w:val="000000"/>
                <w:sz w:val="18"/>
                <w:szCs w:val="18"/>
              </w:rPr>
              <w:t>0.0</w:t>
            </w:r>
            <w:r>
              <w:rPr>
                <w:rFonts w:hint="eastAsia" w:ascii="宋体" w:hAnsi="宋体"/>
                <w:color w:val="000000"/>
                <w:sz w:val="18"/>
                <w:szCs w:val="18"/>
              </w:rPr>
              <w:t>20</w:t>
            </w:r>
          </w:p>
        </w:tc>
        <w:tc>
          <w:tcPr>
            <w:tcW w:w="764" w:type="dxa"/>
            <w:shd w:val="clear" w:color="auto" w:fill="FFFFFF"/>
            <w:vAlign w:val="center"/>
          </w:tcPr>
          <w:p>
            <w:pPr>
              <w:jc w:val="center"/>
              <w:rPr>
                <w:rFonts w:ascii="宋体" w:hAnsi="宋体"/>
                <w:color w:val="000000"/>
                <w:sz w:val="18"/>
                <w:szCs w:val="18"/>
              </w:rPr>
            </w:pPr>
            <w:r>
              <w:rPr>
                <w:rFonts w:ascii="宋体" w:hAnsi="宋体"/>
                <w:color w:val="000000"/>
                <w:sz w:val="18"/>
                <w:szCs w:val="18"/>
              </w:rPr>
              <w:t>0.025</w:t>
            </w:r>
          </w:p>
        </w:tc>
        <w:tc>
          <w:tcPr>
            <w:tcW w:w="764" w:type="dxa"/>
            <w:shd w:val="clear" w:color="auto" w:fill="FFFFFF"/>
            <w:vAlign w:val="center"/>
          </w:tcPr>
          <w:p>
            <w:pPr>
              <w:jc w:val="center"/>
              <w:rPr>
                <w:sz w:val="18"/>
                <w:szCs w:val="18"/>
              </w:rPr>
            </w:pPr>
            <w:r>
              <w:rPr>
                <w:rFonts w:ascii="宋体" w:hAnsi="宋体"/>
                <w:color w:val="000000"/>
                <w:sz w:val="18"/>
                <w:szCs w:val="18"/>
              </w:rPr>
              <w:t>0</w:t>
            </w:r>
            <w:r>
              <w:rPr>
                <w:rFonts w:hint="eastAsia" w:ascii="宋体" w:hAnsi="宋体"/>
                <w:color w:val="000000"/>
                <w:sz w:val="18"/>
                <w:szCs w:val="18"/>
              </w:rPr>
              <w:t>.10</w:t>
            </w:r>
          </w:p>
        </w:tc>
        <w:tc>
          <w:tcPr>
            <w:tcW w:w="764" w:type="dxa"/>
            <w:shd w:val="clear" w:color="auto" w:fill="FFFFFF"/>
            <w:vAlign w:val="center"/>
          </w:tcPr>
          <w:p>
            <w:pPr>
              <w:jc w:val="center"/>
              <w:rPr>
                <w:sz w:val="18"/>
                <w:szCs w:val="18"/>
              </w:rPr>
            </w:pPr>
            <w:r>
              <w:rPr>
                <w:rFonts w:ascii="宋体" w:hAnsi="宋体"/>
                <w:color w:val="000000"/>
                <w:sz w:val="18"/>
                <w:szCs w:val="18"/>
              </w:rPr>
              <w:t>0.</w:t>
            </w:r>
            <w:r>
              <w:rPr>
                <w:rFonts w:hint="eastAsia" w:ascii="宋体" w:hAnsi="宋体"/>
                <w:color w:val="000000"/>
                <w:sz w:val="18"/>
                <w:szCs w:val="18"/>
              </w:rPr>
              <w:t>10</w:t>
            </w:r>
          </w:p>
        </w:tc>
        <w:tc>
          <w:tcPr>
            <w:tcW w:w="764" w:type="dxa"/>
            <w:shd w:val="clear" w:color="auto" w:fill="FFFFFF"/>
            <w:vAlign w:val="center"/>
          </w:tcPr>
          <w:p>
            <w:pPr>
              <w:jc w:val="center"/>
              <w:rPr>
                <w:rFonts w:ascii="宋体" w:hAnsi="宋体"/>
                <w:color w:val="000000"/>
                <w:sz w:val="18"/>
                <w:szCs w:val="18"/>
              </w:rPr>
            </w:pPr>
            <w:r>
              <w:rPr>
                <w:rFonts w:hint="eastAsia" w:ascii="宋体" w:hAnsi="宋体"/>
                <w:color w:val="000000"/>
                <w:sz w:val="18"/>
                <w:szCs w:val="18"/>
              </w:rPr>
              <w:t>0.03</w:t>
            </w:r>
          </w:p>
        </w:tc>
        <w:tc>
          <w:tcPr>
            <w:tcW w:w="764" w:type="dxa"/>
            <w:shd w:val="clear" w:color="auto" w:fill="FFFFFF"/>
            <w:vAlign w:val="center"/>
          </w:tcPr>
          <w:p>
            <w:pPr>
              <w:adjustRightInd w:val="0"/>
              <w:snapToGrid w:val="0"/>
              <w:jc w:val="center"/>
              <w:rPr>
                <w:rFonts w:cs="宋体" w:asciiTheme="minorEastAsia" w:hAnsiTheme="minorEastAsia" w:eastAsiaTheme="minorEastAsia"/>
                <w:sz w:val="18"/>
                <w:szCs w:val="18"/>
              </w:rPr>
            </w:pPr>
            <w:r>
              <w:rPr>
                <w:rFonts w:ascii="宋体" w:hAnsi="宋体"/>
                <w:color w:val="000000"/>
                <w:sz w:val="18"/>
                <w:szCs w:val="18"/>
              </w:rPr>
              <w:t>0.</w:t>
            </w:r>
            <w:r>
              <w:rPr>
                <w:rFonts w:hint="eastAsia" w:ascii="宋体" w:hAnsi="宋体"/>
                <w:color w:val="000000"/>
                <w:sz w:val="18"/>
                <w:szCs w:val="18"/>
              </w:rPr>
              <w:t>15</w:t>
            </w:r>
          </w:p>
        </w:tc>
        <w:tc>
          <w:tcPr>
            <w:tcW w:w="764" w:type="dxa"/>
            <w:shd w:val="clear" w:color="auto" w:fill="FFFFFF"/>
            <w:vAlign w:val="center"/>
          </w:tcPr>
          <w:p>
            <w:pPr>
              <w:jc w:val="center"/>
              <w:rPr>
                <w:rFonts w:ascii="宋体" w:hAnsi="宋体"/>
                <w:color w:val="000000"/>
                <w:sz w:val="18"/>
                <w:szCs w:val="18"/>
              </w:rPr>
            </w:pPr>
            <w:r>
              <w:rPr>
                <w:rFonts w:hint="eastAsia" w:ascii="宋体" w:hAnsi="宋体"/>
                <w:color w:val="000000"/>
                <w:sz w:val="18"/>
                <w:szCs w:val="18"/>
              </w:rPr>
              <w:t>0.01</w:t>
            </w:r>
          </w:p>
        </w:tc>
        <w:tc>
          <w:tcPr>
            <w:tcW w:w="824" w:type="dxa"/>
            <w:shd w:val="clear" w:color="auto" w:fill="FFFFFF"/>
            <w:vAlign w:val="center"/>
          </w:tcPr>
          <w:p>
            <w:pPr>
              <w:jc w:val="center"/>
              <w:rPr>
                <w:rFonts w:ascii="宋体" w:hAnsi="宋体"/>
                <w:color w:val="000000"/>
                <w:sz w:val="18"/>
                <w:szCs w:val="18"/>
              </w:rPr>
            </w:pPr>
            <w:r>
              <w:rPr>
                <w:rFonts w:hint="eastAsia" w:ascii="宋体" w:hAnsi="宋体"/>
                <w:color w:val="000000"/>
                <w:sz w:val="18"/>
                <w:szCs w:val="18"/>
              </w:rPr>
              <w:t>0.007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5" w:hRule="exact"/>
          <w:jc w:val="center"/>
        </w:trPr>
        <w:tc>
          <w:tcPr>
            <w:tcW w:w="904" w:type="dxa"/>
            <w:shd w:val="clear" w:color="auto" w:fill="FFFFFF"/>
            <w:vAlign w:val="center"/>
          </w:tcPr>
          <w:p>
            <w:pPr>
              <w:adjustRightInd w:val="0"/>
              <w:snapToGrid w:val="0"/>
              <w:jc w:val="center"/>
              <w:rPr>
                <w:rFonts w:cs="宋体" w:asciiTheme="minorEastAsia" w:hAnsiTheme="minorEastAsia" w:eastAsiaTheme="minorEastAsia"/>
                <w:sz w:val="18"/>
                <w:szCs w:val="18"/>
                <w:lang w:val="zh-TW" w:eastAsia="zh-TW"/>
              </w:rPr>
            </w:pPr>
            <w:r>
              <w:rPr>
                <w:rFonts w:hint="eastAsia" w:eastAsia="PMingLiU" w:cs="宋体" w:asciiTheme="minorEastAsia" w:hAnsiTheme="minorEastAsia"/>
                <w:sz w:val="18"/>
                <w:szCs w:val="18"/>
                <w:lang w:val="zh-TW" w:eastAsia="zh-TW"/>
              </w:rPr>
              <w:t>C82D2</w:t>
            </w:r>
          </w:p>
        </w:tc>
        <w:tc>
          <w:tcPr>
            <w:tcW w:w="765" w:type="dxa"/>
            <w:shd w:val="clear" w:color="auto" w:fill="FFFFFF"/>
            <w:vAlign w:val="center"/>
          </w:tcPr>
          <w:p>
            <w:pPr>
              <w:snapToGrid w:val="0"/>
              <w:jc w:val="center"/>
              <w:rPr>
                <w:rFonts w:ascii="宋体" w:hAnsi="宋体"/>
                <w:color w:val="000000"/>
                <w:sz w:val="18"/>
                <w:szCs w:val="18"/>
              </w:rPr>
            </w:pPr>
            <w:r>
              <w:rPr>
                <w:rFonts w:hint="eastAsia" w:ascii="宋体" w:hAnsi="宋体"/>
                <w:color w:val="000000"/>
                <w:sz w:val="18"/>
                <w:szCs w:val="18"/>
              </w:rPr>
              <w:t>0.80～0.85</w:t>
            </w:r>
          </w:p>
        </w:tc>
        <w:tc>
          <w:tcPr>
            <w:tcW w:w="765" w:type="dxa"/>
            <w:shd w:val="clear" w:color="auto" w:fill="FFFFFF"/>
            <w:vAlign w:val="center"/>
          </w:tcPr>
          <w:p>
            <w:pPr>
              <w:snapToGrid w:val="0"/>
              <w:jc w:val="center"/>
              <w:rPr>
                <w:sz w:val="18"/>
                <w:szCs w:val="18"/>
              </w:rPr>
            </w:pPr>
            <w:r>
              <w:rPr>
                <w:rFonts w:ascii="宋体" w:hAnsi="宋体"/>
                <w:color w:val="000000"/>
                <w:sz w:val="18"/>
                <w:szCs w:val="18"/>
              </w:rPr>
              <w:t>0.</w:t>
            </w:r>
            <w:r>
              <w:rPr>
                <w:rFonts w:hint="eastAsia" w:ascii="宋体" w:hAnsi="宋体"/>
                <w:color w:val="000000"/>
                <w:sz w:val="18"/>
                <w:szCs w:val="18"/>
              </w:rPr>
              <w:t>10～</w:t>
            </w:r>
            <w:r>
              <w:rPr>
                <w:rFonts w:ascii="宋体" w:hAnsi="宋体"/>
                <w:color w:val="000000"/>
                <w:sz w:val="18"/>
                <w:szCs w:val="18"/>
              </w:rPr>
              <w:t>0.</w:t>
            </w:r>
            <w:r>
              <w:rPr>
                <w:rFonts w:hint="eastAsia" w:ascii="宋体" w:hAnsi="宋体"/>
                <w:color w:val="000000"/>
                <w:sz w:val="18"/>
                <w:szCs w:val="18"/>
              </w:rPr>
              <w:t>30</w:t>
            </w:r>
          </w:p>
        </w:tc>
        <w:tc>
          <w:tcPr>
            <w:tcW w:w="762" w:type="dxa"/>
            <w:shd w:val="clear" w:color="auto" w:fill="FFFFFF"/>
            <w:vAlign w:val="center"/>
          </w:tcPr>
          <w:p>
            <w:pPr>
              <w:snapToGrid w:val="0"/>
              <w:jc w:val="center"/>
              <w:rPr>
                <w:rFonts w:ascii="宋体" w:hAnsi="宋体"/>
                <w:color w:val="000000"/>
                <w:sz w:val="18"/>
                <w:szCs w:val="18"/>
              </w:rPr>
            </w:pPr>
            <w:r>
              <w:rPr>
                <w:rFonts w:ascii="宋体" w:hAnsi="宋体"/>
                <w:color w:val="000000"/>
                <w:sz w:val="18"/>
                <w:szCs w:val="18"/>
              </w:rPr>
              <w:t>0.</w:t>
            </w:r>
            <w:r>
              <w:rPr>
                <w:rFonts w:hint="eastAsia" w:ascii="宋体" w:hAnsi="宋体"/>
                <w:color w:val="000000"/>
                <w:sz w:val="18"/>
                <w:szCs w:val="18"/>
              </w:rPr>
              <w:t>7</w:t>
            </w:r>
            <w:r>
              <w:rPr>
                <w:rFonts w:ascii="宋体" w:hAnsi="宋体"/>
                <w:color w:val="000000"/>
                <w:sz w:val="18"/>
                <w:szCs w:val="18"/>
              </w:rPr>
              <w:t>0</w:t>
            </w:r>
            <w:r>
              <w:rPr>
                <w:rFonts w:hint="eastAsia" w:ascii="宋体" w:hAnsi="宋体"/>
                <w:color w:val="000000"/>
                <w:sz w:val="18"/>
                <w:szCs w:val="18"/>
              </w:rPr>
              <w:t>～</w:t>
            </w:r>
            <w:r>
              <w:rPr>
                <w:rFonts w:ascii="宋体" w:hAnsi="宋体"/>
                <w:color w:val="000000"/>
                <w:sz w:val="18"/>
                <w:szCs w:val="18"/>
              </w:rPr>
              <w:t>0.</w:t>
            </w:r>
            <w:r>
              <w:rPr>
                <w:rFonts w:hint="eastAsia" w:ascii="宋体" w:hAnsi="宋体"/>
                <w:color w:val="000000"/>
                <w:sz w:val="18"/>
                <w:szCs w:val="18"/>
              </w:rPr>
              <w:t>90</w:t>
            </w:r>
          </w:p>
        </w:tc>
        <w:tc>
          <w:tcPr>
            <w:tcW w:w="764" w:type="dxa"/>
            <w:shd w:val="clear" w:color="auto" w:fill="FFFFFF"/>
            <w:vAlign w:val="center"/>
          </w:tcPr>
          <w:p>
            <w:pPr>
              <w:jc w:val="center"/>
              <w:rPr>
                <w:rFonts w:ascii="宋体" w:hAnsi="宋体"/>
                <w:color w:val="000000"/>
                <w:sz w:val="18"/>
                <w:szCs w:val="18"/>
              </w:rPr>
            </w:pPr>
            <w:r>
              <w:rPr>
                <w:rFonts w:ascii="宋体" w:hAnsi="宋体"/>
                <w:color w:val="000000"/>
                <w:sz w:val="18"/>
                <w:szCs w:val="18"/>
              </w:rPr>
              <w:t>0.0</w:t>
            </w:r>
            <w:r>
              <w:rPr>
                <w:rFonts w:hint="eastAsia" w:ascii="宋体" w:hAnsi="宋体"/>
                <w:color w:val="000000"/>
                <w:sz w:val="18"/>
                <w:szCs w:val="18"/>
              </w:rPr>
              <w:t>20</w:t>
            </w:r>
          </w:p>
        </w:tc>
        <w:tc>
          <w:tcPr>
            <w:tcW w:w="764" w:type="dxa"/>
            <w:shd w:val="clear" w:color="auto" w:fill="FFFFFF"/>
            <w:vAlign w:val="center"/>
          </w:tcPr>
          <w:p>
            <w:pPr>
              <w:jc w:val="center"/>
              <w:rPr>
                <w:rFonts w:ascii="宋体" w:hAnsi="宋体"/>
                <w:color w:val="000000"/>
                <w:sz w:val="18"/>
                <w:szCs w:val="18"/>
              </w:rPr>
            </w:pPr>
            <w:r>
              <w:rPr>
                <w:rFonts w:ascii="宋体" w:hAnsi="宋体"/>
                <w:color w:val="000000"/>
                <w:sz w:val="18"/>
                <w:szCs w:val="18"/>
              </w:rPr>
              <w:t>0.025</w:t>
            </w:r>
          </w:p>
        </w:tc>
        <w:tc>
          <w:tcPr>
            <w:tcW w:w="764" w:type="dxa"/>
            <w:shd w:val="clear" w:color="auto" w:fill="FFFFFF"/>
            <w:vAlign w:val="center"/>
          </w:tcPr>
          <w:p>
            <w:pPr>
              <w:jc w:val="center"/>
              <w:rPr>
                <w:sz w:val="18"/>
                <w:szCs w:val="18"/>
              </w:rPr>
            </w:pPr>
            <w:r>
              <w:rPr>
                <w:rFonts w:ascii="宋体" w:hAnsi="宋体"/>
                <w:color w:val="000000"/>
                <w:sz w:val="18"/>
                <w:szCs w:val="18"/>
              </w:rPr>
              <w:t>0</w:t>
            </w:r>
            <w:r>
              <w:rPr>
                <w:rFonts w:hint="eastAsia" w:ascii="宋体" w:hAnsi="宋体"/>
                <w:color w:val="000000"/>
                <w:sz w:val="18"/>
                <w:szCs w:val="18"/>
              </w:rPr>
              <w:t>.30</w:t>
            </w:r>
          </w:p>
        </w:tc>
        <w:tc>
          <w:tcPr>
            <w:tcW w:w="764" w:type="dxa"/>
            <w:shd w:val="clear" w:color="auto" w:fill="FFFFFF"/>
            <w:vAlign w:val="center"/>
          </w:tcPr>
          <w:p>
            <w:pPr>
              <w:jc w:val="center"/>
              <w:rPr>
                <w:sz w:val="18"/>
                <w:szCs w:val="18"/>
              </w:rPr>
            </w:pPr>
            <w:r>
              <w:rPr>
                <w:rFonts w:ascii="宋体" w:hAnsi="宋体"/>
                <w:color w:val="000000"/>
                <w:sz w:val="18"/>
                <w:szCs w:val="18"/>
              </w:rPr>
              <w:t>0.</w:t>
            </w:r>
            <w:r>
              <w:rPr>
                <w:rFonts w:hint="eastAsia" w:ascii="宋体" w:hAnsi="宋体"/>
                <w:color w:val="000000"/>
                <w:sz w:val="18"/>
                <w:szCs w:val="18"/>
              </w:rPr>
              <w:t>10</w:t>
            </w:r>
          </w:p>
        </w:tc>
        <w:tc>
          <w:tcPr>
            <w:tcW w:w="764" w:type="dxa"/>
            <w:shd w:val="clear" w:color="auto" w:fill="FFFFFF"/>
            <w:vAlign w:val="center"/>
          </w:tcPr>
          <w:p>
            <w:pPr>
              <w:jc w:val="center"/>
              <w:rPr>
                <w:rFonts w:ascii="宋体" w:hAnsi="宋体"/>
                <w:color w:val="000000"/>
                <w:sz w:val="18"/>
                <w:szCs w:val="18"/>
              </w:rPr>
            </w:pPr>
            <w:r>
              <w:rPr>
                <w:rFonts w:hint="eastAsia" w:ascii="宋体" w:hAnsi="宋体"/>
                <w:color w:val="000000"/>
                <w:sz w:val="18"/>
                <w:szCs w:val="18"/>
              </w:rPr>
              <w:t>0.03</w:t>
            </w:r>
          </w:p>
        </w:tc>
        <w:tc>
          <w:tcPr>
            <w:tcW w:w="764" w:type="dxa"/>
            <w:shd w:val="clear" w:color="auto" w:fill="FFFFFF"/>
            <w:vAlign w:val="center"/>
          </w:tcPr>
          <w:p>
            <w:pPr>
              <w:adjustRightInd w:val="0"/>
              <w:snapToGrid w:val="0"/>
              <w:jc w:val="center"/>
              <w:rPr>
                <w:rFonts w:cs="宋体" w:asciiTheme="minorEastAsia" w:hAnsiTheme="minorEastAsia" w:eastAsiaTheme="minorEastAsia"/>
                <w:sz w:val="18"/>
                <w:szCs w:val="18"/>
              </w:rPr>
            </w:pPr>
            <w:r>
              <w:rPr>
                <w:rFonts w:ascii="宋体" w:hAnsi="宋体"/>
                <w:color w:val="000000"/>
                <w:sz w:val="18"/>
                <w:szCs w:val="18"/>
              </w:rPr>
              <w:t>0.</w:t>
            </w:r>
            <w:r>
              <w:rPr>
                <w:rFonts w:hint="eastAsia" w:ascii="宋体" w:hAnsi="宋体"/>
                <w:color w:val="000000"/>
                <w:sz w:val="18"/>
                <w:szCs w:val="18"/>
              </w:rPr>
              <w:t>15</w:t>
            </w:r>
          </w:p>
        </w:tc>
        <w:tc>
          <w:tcPr>
            <w:tcW w:w="764" w:type="dxa"/>
            <w:shd w:val="clear" w:color="auto" w:fill="FFFFFF"/>
            <w:vAlign w:val="center"/>
          </w:tcPr>
          <w:p>
            <w:pPr>
              <w:jc w:val="center"/>
              <w:rPr>
                <w:rFonts w:ascii="宋体" w:hAnsi="宋体"/>
                <w:color w:val="000000"/>
                <w:sz w:val="18"/>
                <w:szCs w:val="18"/>
              </w:rPr>
            </w:pPr>
            <w:r>
              <w:rPr>
                <w:rFonts w:hint="eastAsia" w:ascii="宋体" w:hAnsi="宋体"/>
                <w:color w:val="000000"/>
                <w:sz w:val="18"/>
                <w:szCs w:val="18"/>
              </w:rPr>
              <w:t>0.01</w:t>
            </w:r>
          </w:p>
        </w:tc>
        <w:tc>
          <w:tcPr>
            <w:tcW w:w="824" w:type="dxa"/>
            <w:shd w:val="clear" w:color="auto" w:fill="FFFFFF"/>
            <w:vAlign w:val="center"/>
          </w:tcPr>
          <w:p>
            <w:pPr>
              <w:jc w:val="center"/>
              <w:rPr>
                <w:rFonts w:ascii="宋体" w:hAnsi="宋体"/>
                <w:color w:val="000000"/>
                <w:sz w:val="18"/>
                <w:szCs w:val="18"/>
              </w:rPr>
            </w:pPr>
            <w:r>
              <w:rPr>
                <w:rFonts w:hint="eastAsia" w:ascii="宋体" w:hAnsi="宋体"/>
                <w:color w:val="000000"/>
                <w:sz w:val="18"/>
                <w:szCs w:val="18"/>
              </w:rPr>
              <w:t>0.007</w:t>
            </w:r>
          </w:p>
        </w:tc>
      </w:tr>
    </w:tbl>
    <w:p>
      <w:pPr>
        <w:pStyle w:val="53"/>
        <w:spacing w:beforeLines="0" w:afterLines="0"/>
        <w:rPr>
          <w:rFonts w:asciiTheme="minorEastAsia" w:hAnsiTheme="minorEastAsia" w:eastAsiaTheme="minorEastAsia"/>
        </w:rPr>
      </w:pPr>
      <w:r>
        <w:rPr>
          <w:rFonts w:hint="eastAsia" w:asciiTheme="minorEastAsia" w:hAnsiTheme="minorEastAsia" w:eastAsiaTheme="minorEastAsia"/>
        </w:rPr>
        <w:t>经供需双方协议，也可供应其他牌号的盘条。</w:t>
      </w:r>
    </w:p>
    <w:p>
      <w:pPr>
        <w:pStyle w:val="53"/>
        <w:spacing w:beforeLines="0" w:afterLines="0"/>
        <w:rPr>
          <w:rFonts w:asciiTheme="minorEastAsia" w:hAnsiTheme="minorEastAsia" w:eastAsiaTheme="minorEastAsia"/>
        </w:rPr>
      </w:pPr>
      <w:r>
        <w:rPr>
          <w:rFonts w:hint="eastAsia" w:asciiTheme="minorEastAsia" w:hAnsiTheme="minorEastAsia" w:eastAsiaTheme="minorEastAsia"/>
        </w:rPr>
        <w:t>盘条</w:t>
      </w:r>
      <w:r>
        <w:rPr>
          <w:rFonts w:asciiTheme="minorEastAsia" w:hAnsiTheme="minorEastAsia" w:eastAsiaTheme="minorEastAsia"/>
        </w:rPr>
        <w:t>的化学成分的成品分析允许偏差应符合GB/T 222</w:t>
      </w:r>
      <w:r>
        <w:rPr>
          <w:rFonts w:hint="eastAsia" w:asciiTheme="minorEastAsia" w:hAnsiTheme="minorEastAsia" w:eastAsiaTheme="minorEastAsia"/>
        </w:rPr>
        <w:t>的</w:t>
      </w:r>
      <w:r>
        <w:rPr>
          <w:rFonts w:asciiTheme="minorEastAsia" w:hAnsiTheme="minorEastAsia" w:eastAsiaTheme="minorEastAsia"/>
        </w:rPr>
        <w:t>规定。</w:t>
      </w:r>
    </w:p>
    <w:p>
      <w:pPr>
        <w:pStyle w:val="49"/>
        <w:spacing w:before="156" w:after="156"/>
        <w:rPr>
          <w:szCs w:val="22"/>
        </w:rPr>
      </w:pPr>
      <w:r>
        <w:rPr>
          <w:rFonts w:hint="eastAsia"/>
          <w:szCs w:val="22"/>
        </w:rPr>
        <w:t>冶炼方法</w:t>
      </w:r>
    </w:p>
    <w:p>
      <w:pPr>
        <w:pStyle w:val="22"/>
        <w:rPr>
          <w:rFonts w:asciiTheme="minorEastAsia" w:hAnsiTheme="minorEastAsia" w:eastAsiaTheme="minorEastAsia"/>
        </w:rPr>
      </w:pPr>
      <w:r>
        <w:rPr>
          <w:rFonts w:hint="eastAsia" w:asciiTheme="minorEastAsia" w:hAnsiTheme="minorEastAsia" w:eastAsiaTheme="minorEastAsia"/>
        </w:rPr>
        <w:t>钢应采用转炉或电炉冶炼，并经炉外精炼。除非需方有特殊要求，冶炼方法一般由供方选择。</w:t>
      </w:r>
    </w:p>
    <w:p>
      <w:pPr>
        <w:pStyle w:val="49"/>
        <w:spacing w:before="156" w:after="156"/>
        <w:rPr>
          <w:szCs w:val="22"/>
        </w:rPr>
      </w:pPr>
      <w:r>
        <w:rPr>
          <w:rFonts w:hint="eastAsia"/>
          <w:szCs w:val="22"/>
        </w:rPr>
        <w:t>交货状态</w:t>
      </w:r>
    </w:p>
    <w:p>
      <w:pPr>
        <w:pStyle w:val="22"/>
        <w:rPr>
          <w:rFonts w:asciiTheme="minorEastAsia" w:hAnsiTheme="minorEastAsia" w:eastAsiaTheme="minorEastAsia"/>
        </w:rPr>
      </w:pPr>
      <w:r>
        <w:rPr>
          <w:rFonts w:hint="eastAsia" w:asciiTheme="minorEastAsia" w:hAnsiTheme="minorEastAsia" w:eastAsiaTheme="minorEastAsia"/>
        </w:rPr>
        <w:t>盘条以热轧状态交货。根据用户要求，并在合同中注明，也可以其他状态交货。</w:t>
      </w:r>
    </w:p>
    <w:p>
      <w:pPr>
        <w:pStyle w:val="49"/>
        <w:spacing w:before="156" w:after="156"/>
      </w:pPr>
      <w:r>
        <w:rPr>
          <w:rFonts w:hint="eastAsia"/>
        </w:rPr>
        <w:t>力学性能</w:t>
      </w:r>
    </w:p>
    <w:p>
      <w:pPr>
        <w:pStyle w:val="53"/>
        <w:numPr>
          <w:ilvl w:val="255"/>
          <w:numId w:val="0"/>
        </w:numPr>
        <w:spacing w:beforeLines="0" w:afterLines="0"/>
        <w:ind w:firstLine="420" w:firstLineChars="200"/>
        <w:rPr>
          <w:rFonts w:asciiTheme="minorEastAsia" w:hAnsiTheme="minorEastAsia" w:eastAsiaTheme="minorEastAsia"/>
          <w:szCs w:val="22"/>
        </w:rPr>
      </w:pPr>
      <w:r>
        <w:rPr>
          <w:rFonts w:hint="eastAsia" w:asciiTheme="minorEastAsia" w:hAnsiTheme="minorEastAsia" w:eastAsiaTheme="minorEastAsia"/>
          <w:szCs w:val="22"/>
        </w:rPr>
        <w:t>盘条热轧状态的力学性能应符合表2的规定。</w:t>
      </w:r>
    </w:p>
    <w:p>
      <w:pPr>
        <w:pStyle w:val="133"/>
        <w:spacing w:before="156" w:after="156"/>
        <w:ind w:left="0"/>
      </w:pPr>
      <w:r>
        <w:rPr>
          <w:rFonts w:hint="eastAsia"/>
        </w:rPr>
        <w:t>盘条</w:t>
      </w:r>
      <w:r>
        <w:t>的力学性能</w:t>
      </w:r>
    </w:p>
    <w:tbl>
      <w:tblPr>
        <w:tblStyle w:val="31"/>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343"/>
        <w:gridCol w:w="2344"/>
        <w:gridCol w:w="2344"/>
        <w:gridCol w:w="2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exact"/>
          <w:jc w:val="center"/>
        </w:trPr>
        <w:tc>
          <w:tcPr>
            <w:tcW w:w="2343" w:type="dxa"/>
            <w:shd w:val="clear" w:color="auto" w:fill="FFFFFF"/>
            <w:vAlign w:val="center"/>
          </w:tcPr>
          <w:p>
            <w:pPr>
              <w:pStyle w:val="22"/>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lang w:val="zh-TW" w:eastAsia="zh-TW"/>
              </w:rPr>
              <w:t>牌号</w:t>
            </w:r>
          </w:p>
        </w:tc>
        <w:tc>
          <w:tcPr>
            <w:tcW w:w="2344" w:type="dxa"/>
            <w:shd w:val="clear" w:color="auto" w:fill="FFFFFF"/>
            <w:vAlign w:val="center"/>
          </w:tcPr>
          <w:p>
            <w:pPr>
              <w:widowControl/>
              <w:spacing w:line="276" w:lineRule="auto"/>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直径，mm</w:t>
            </w:r>
          </w:p>
        </w:tc>
        <w:tc>
          <w:tcPr>
            <w:tcW w:w="2344" w:type="dxa"/>
            <w:shd w:val="clear" w:color="auto" w:fill="FFFFFF"/>
            <w:vAlign w:val="center"/>
          </w:tcPr>
          <w:p>
            <w:pPr>
              <w:pStyle w:val="22"/>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lang w:val="zh-TW" w:eastAsia="zh-TW"/>
              </w:rPr>
              <w:t xml:space="preserve">抗拉强度 </w:t>
            </w:r>
            <w:r>
              <w:rPr>
                <w:rFonts w:hint="eastAsia" w:asciiTheme="minorEastAsia" w:hAnsiTheme="minorEastAsia" w:eastAsiaTheme="minorEastAsia"/>
                <w:sz w:val="18"/>
                <w:szCs w:val="18"/>
                <w:lang w:eastAsia="en-US"/>
              </w:rPr>
              <w:t>Rm/MPa</w:t>
            </w:r>
          </w:p>
        </w:tc>
        <w:tc>
          <w:tcPr>
            <w:tcW w:w="2344" w:type="dxa"/>
            <w:shd w:val="clear" w:color="auto" w:fill="FFFFFF"/>
            <w:vAlign w:val="center"/>
          </w:tcPr>
          <w:p>
            <w:pPr>
              <w:pStyle w:val="22"/>
              <w:ind w:firstLine="0" w:firstLineChars="0"/>
              <w:jc w:val="center"/>
              <w:rPr>
                <w:rFonts w:asciiTheme="minorEastAsia" w:hAnsiTheme="minorEastAsia" w:eastAsiaTheme="minorEastAsia"/>
                <w:sz w:val="18"/>
                <w:szCs w:val="18"/>
              </w:rPr>
            </w:pPr>
            <w:r>
              <w:rPr>
                <w:rFonts w:hint="eastAsia" w:asciiTheme="minorEastAsia" w:hAnsiTheme="minorEastAsia" w:eastAsiaTheme="minorEastAsia"/>
                <w:sz w:val="18"/>
                <w:szCs w:val="18"/>
                <w:lang w:val="zh-TW" w:eastAsia="zh-TW"/>
              </w:rPr>
              <w:t>断</w:t>
            </w:r>
            <w:r>
              <w:rPr>
                <w:rFonts w:hint="eastAsia" w:asciiTheme="minorEastAsia" w:hAnsiTheme="minorEastAsia" w:eastAsiaTheme="minorEastAsia"/>
                <w:sz w:val="18"/>
                <w:szCs w:val="18"/>
                <w:lang w:val="zh-TW"/>
              </w:rPr>
              <w:t>面</w:t>
            </w:r>
            <w:r>
              <w:rPr>
                <w:rFonts w:hint="eastAsia" w:asciiTheme="minorEastAsia" w:hAnsiTheme="minorEastAsia" w:eastAsiaTheme="minorEastAsia"/>
                <w:sz w:val="18"/>
                <w:szCs w:val="18"/>
                <w:lang w:val="zh-TW" w:eastAsia="zh-TW"/>
              </w:rPr>
              <w:t>收缩率</w:t>
            </w:r>
            <w:r>
              <w:rPr>
                <w:rFonts w:hint="eastAsia" w:asciiTheme="minorEastAsia" w:hAnsiTheme="minorEastAsia" w:eastAsiaTheme="minorEastAsia"/>
                <w:sz w:val="18"/>
                <w:szCs w:val="18"/>
                <w:lang w:eastAsia="en-US"/>
              </w:rPr>
              <w:t>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exact"/>
          <w:jc w:val="center"/>
        </w:trPr>
        <w:tc>
          <w:tcPr>
            <w:tcW w:w="2343" w:type="dxa"/>
            <w:shd w:val="clear" w:color="auto" w:fill="FFFFFF"/>
            <w:vAlign w:val="center"/>
          </w:tcPr>
          <w:p>
            <w:pPr>
              <w:adjustRightInd w:val="0"/>
              <w:snapToGrid w:val="0"/>
              <w:jc w:val="center"/>
              <w:rPr>
                <w:rFonts w:eastAsia="PMingLiU" w:cs="宋体" w:asciiTheme="minorEastAsia" w:hAnsiTheme="minorEastAsia"/>
                <w:sz w:val="18"/>
                <w:szCs w:val="18"/>
                <w:lang w:val="zh-TW" w:eastAsia="zh-TW"/>
              </w:rPr>
            </w:pPr>
            <w:r>
              <w:rPr>
                <w:rFonts w:hint="eastAsia" w:eastAsia="PMingLiU" w:cs="宋体" w:asciiTheme="minorEastAsia" w:hAnsiTheme="minorEastAsia"/>
                <w:sz w:val="18"/>
                <w:szCs w:val="18"/>
                <w:lang w:val="zh-TW" w:eastAsia="zh-TW"/>
              </w:rPr>
              <w:t>C72D2</w:t>
            </w:r>
          </w:p>
        </w:tc>
        <w:tc>
          <w:tcPr>
            <w:tcW w:w="2344" w:type="dxa"/>
            <w:shd w:val="clear" w:color="auto" w:fill="FFFFFF"/>
            <w:vAlign w:val="center"/>
          </w:tcPr>
          <w:p>
            <w:pPr>
              <w:widowControl/>
              <w:spacing w:line="276" w:lineRule="auto"/>
              <w:jc w:val="center"/>
              <w:rPr>
                <w:rFonts w:cs="宋体" w:asciiTheme="minorEastAsia" w:hAnsiTheme="minorEastAsia" w:eastAsiaTheme="minorEastAsia"/>
                <w:kern w:val="0"/>
                <w:sz w:val="18"/>
                <w:szCs w:val="18"/>
              </w:rPr>
            </w:pPr>
            <w:r>
              <w:rPr>
                <w:rFonts w:asciiTheme="minorEastAsia" w:hAnsiTheme="minorEastAsia" w:eastAsiaTheme="minorEastAsia"/>
                <w:kern w:val="0"/>
                <w:sz w:val="18"/>
                <w:szCs w:val="18"/>
              </w:rPr>
              <w:t>5.5～8.0</w:t>
            </w:r>
          </w:p>
        </w:tc>
        <w:tc>
          <w:tcPr>
            <w:tcW w:w="2344" w:type="dxa"/>
            <w:shd w:val="clear" w:color="auto" w:fill="FFFFFF"/>
          </w:tcPr>
          <w:p>
            <w:pPr>
              <w:widowControl/>
              <w:spacing w:line="276"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990</w:t>
            </w:r>
            <w:r>
              <w:rPr>
                <w:rFonts w:hint="eastAsia" w:asciiTheme="minorEastAsia" w:hAnsiTheme="minorEastAsia" w:eastAsiaTheme="minorEastAsia"/>
                <w:kern w:val="0"/>
                <w:sz w:val="18"/>
                <w:szCs w:val="18"/>
              </w:rPr>
              <w:t>～</w:t>
            </w:r>
            <w:r>
              <w:rPr>
                <w:rFonts w:asciiTheme="minorEastAsia" w:hAnsiTheme="minorEastAsia" w:eastAsiaTheme="minorEastAsia"/>
                <w:kern w:val="0"/>
                <w:sz w:val="18"/>
                <w:szCs w:val="18"/>
              </w:rPr>
              <w:t>1140</w:t>
            </w:r>
          </w:p>
        </w:tc>
        <w:tc>
          <w:tcPr>
            <w:tcW w:w="2344" w:type="dxa"/>
            <w:shd w:val="clear" w:color="auto" w:fill="FFFFFF"/>
          </w:tcPr>
          <w:p>
            <w:pPr>
              <w:widowControl/>
              <w:spacing w:line="276"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w:t>
            </w:r>
            <w:r>
              <w:rPr>
                <w:rFonts w:asciiTheme="minorEastAsia" w:hAnsiTheme="minorEastAsia" w:eastAsiaTheme="minorEastAsia"/>
                <w:kern w:val="0"/>
                <w:sz w:val="18"/>
                <w:szCs w:val="1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0" w:hRule="exact"/>
          <w:jc w:val="center"/>
        </w:trPr>
        <w:tc>
          <w:tcPr>
            <w:tcW w:w="2343" w:type="dxa"/>
            <w:shd w:val="clear" w:color="auto" w:fill="FFFFFF"/>
            <w:vAlign w:val="center"/>
          </w:tcPr>
          <w:p>
            <w:pPr>
              <w:adjustRightInd w:val="0"/>
              <w:snapToGrid w:val="0"/>
              <w:jc w:val="center"/>
              <w:rPr>
                <w:rFonts w:cs="宋体" w:asciiTheme="minorEastAsia" w:hAnsiTheme="minorEastAsia" w:eastAsiaTheme="minorEastAsia"/>
                <w:sz w:val="18"/>
                <w:szCs w:val="18"/>
              </w:rPr>
            </w:pPr>
            <w:r>
              <w:rPr>
                <w:rFonts w:hint="eastAsia" w:eastAsia="PMingLiU" w:cs="宋体" w:asciiTheme="minorEastAsia" w:hAnsiTheme="minorEastAsia"/>
                <w:sz w:val="18"/>
                <w:szCs w:val="18"/>
                <w:lang w:val="zh-TW" w:eastAsia="zh-TW"/>
              </w:rPr>
              <w:t>C82D2</w:t>
            </w:r>
          </w:p>
        </w:tc>
        <w:tc>
          <w:tcPr>
            <w:tcW w:w="2344" w:type="dxa"/>
            <w:shd w:val="clear" w:color="auto" w:fill="FFFFFF"/>
            <w:vAlign w:val="center"/>
          </w:tcPr>
          <w:p>
            <w:pPr>
              <w:widowControl/>
              <w:spacing w:line="276" w:lineRule="auto"/>
              <w:jc w:val="center"/>
              <w:rPr>
                <w:rFonts w:cs="宋体" w:asciiTheme="minorEastAsia" w:hAnsiTheme="minorEastAsia" w:eastAsiaTheme="minorEastAsia"/>
                <w:kern w:val="0"/>
                <w:sz w:val="18"/>
                <w:szCs w:val="18"/>
              </w:rPr>
            </w:pPr>
            <w:r>
              <w:rPr>
                <w:rFonts w:hint="eastAsia" w:asciiTheme="minorEastAsia" w:hAnsiTheme="minorEastAsia" w:eastAsiaTheme="minorEastAsia"/>
                <w:kern w:val="0"/>
                <w:sz w:val="18"/>
                <w:szCs w:val="18"/>
              </w:rPr>
              <w:t>8.0</w:t>
            </w:r>
            <w:r>
              <w:rPr>
                <w:rFonts w:asciiTheme="minorEastAsia" w:hAnsiTheme="minorEastAsia" w:eastAsiaTheme="minorEastAsia"/>
                <w:kern w:val="0"/>
                <w:sz w:val="18"/>
                <w:szCs w:val="18"/>
              </w:rPr>
              <w:t>～</w:t>
            </w:r>
            <w:r>
              <w:rPr>
                <w:rFonts w:hint="eastAsia" w:asciiTheme="minorEastAsia" w:hAnsiTheme="minorEastAsia" w:eastAsiaTheme="minorEastAsia"/>
                <w:kern w:val="0"/>
                <w:sz w:val="18"/>
                <w:szCs w:val="18"/>
              </w:rPr>
              <w:t>14</w:t>
            </w:r>
            <w:r>
              <w:rPr>
                <w:rFonts w:asciiTheme="minorEastAsia" w:hAnsiTheme="minorEastAsia" w:eastAsiaTheme="minorEastAsia"/>
                <w:kern w:val="0"/>
                <w:sz w:val="18"/>
                <w:szCs w:val="18"/>
              </w:rPr>
              <w:t>.0</w:t>
            </w:r>
          </w:p>
        </w:tc>
        <w:tc>
          <w:tcPr>
            <w:tcW w:w="2344" w:type="dxa"/>
            <w:shd w:val="clear" w:color="auto" w:fill="FFFFFF"/>
          </w:tcPr>
          <w:p>
            <w:pPr>
              <w:widowControl/>
              <w:spacing w:line="276" w:lineRule="auto"/>
              <w:jc w:val="center"/>
              <w:rPr>
                <w:rFonts w:asciiTheme="minorEastAsia" w:hAnsiTheme="minorEastAsia" w:eastAsiaTheme="minorEastAsia"/>
                <w:kern w:val="0"/>
                <w:sz w:val="18"/>
                <w:szCs w:val="18"/>
              </w:rPr>
            </w:pPr>
            <w:r>
              <w:rPr>
                <w:rFonts w:asciiTheme="minorEastAsia" w:hAnsiTheme="minorEastAsia" w:eastAsiaTheme="minorEastAsia"/>
                <w:kern w:val="0"/>
                <w:sz w:val="18"/>
                <w:szCs w:val="18"/>
              </w:rPr>
              <w:t>1130</w:t>
            </w:r>
            <w:r>
              <w:rPr>
                <w:rFonts w:hint="eastAsia" w:asciiTheme="minorEastAsia" w:hAnsiTheme="minorEastAsia" w:eastAsiaTheme="minorEastAsia"/>
                <w:kern w:val="0"/>
                <w:sz w:val="18"/>
                <w:szCs w:val="18"/>
              </w:rPr>
              <w:t>～</w:t>
            </w:r>
            <w:r>
              <w:rPr>
                <w:rFonts w:asciiTheme="minorEastAsia" w:hAnsiTheme="minorEastAsia" w:eastAsiaTheme="minorEastAsia"/>
                <w:kern w:val="0"/>
                <w:sz w:val="18"/>
                <w:szCs w:val="18"/>
              </w:rPr>
              <w:t>1280</w:t>
            </w:r>
          </w:p>
        </w:tc>
        <w:tc>
          <w:tcPr>
            <w:tcW w:w="2344" w:type="dxa"/>
            <w:shd w:val="clear" w:color="auto" w:fill="FFFFFF"/>
          </w:tcPr>
          <w:p>
            <w:pPr>
              <w:widowControl/>
              <w:spacing w:line="276" w:lineRule="auto"/>
              <w:jc w:val="center"/>
              <w:rPr>
                <w:rFonts w:asciiTheme="minorEastAsia" w:hAnsiTheme="minorEastAsia" w:eastAsiaTheme="minorEastAsia"/>
                <w:kern w:val="0"/>
                <w:sz w:val="18"/>
                <w:szCs w:val="18"/>
              </w:rPr>
            </w:pPr>
            <w:r>
              <w:rPr>
                <w:rFonts w:hint="eastAsia" w:asciiTheme="minorEastAsia" w:hAnsiTheme="minorEastAsia" w:eastAsiaTheme="minorEastAsia"/>
                <w:kern w:val="0"/>
                <w:sz w:val="18"/>
                <w:szCs w:val="18"/>
              </w:rPr>
              <w:t>≥</w:t>
            </w:r>
            <w:r>
              <w:rPr>
                <w:rFonts w:asciiTheme="minorEastAsia" w:hAnsiTheme="minorEastAsia" w:eastAsiaTheme="minorEastAsia"/>
                <w:kern w:val="0"/>
                <w:sz w:val="18"/>
                <w:szCs w:val="18"/>
              </w:rPr>
              <w:t>30</w:t>
            </w:r>
          </w:p>
        </w:tc>
      </w:tr>
    </w:tbl>
    <w:p>
      <w:pPr>
        <w:pStyle w:val="49"/>
        <w:spacing w:before="156" w:after="156"/>
      </w:pPr>
      <w:r>
        <w:rPr>
          <w:rFonts w:hint="eastAsia"/>
        </w:rPr>
        <w:t>脱碳层</w:t>
      </w:r>
    </w:p>
    <w:p>
      <w:pPr>
        <w:pStyle w:val="149"/>
        <w:spacing w:line="328" w:lineRule="exact"/>
        <w:ind w:firstLine="440"/>
        <w:rPr>
          <w:rFonts w:ascii="Times New Roman" w:hAnsi="Times New Roman" w:cs="Times New Roman"/>
          <w:sz w:val="21"/>
          <w:szCs w:val="22"/>
          <w:lang w:val="en-US" w:bidi="ar-SA"/>
        </w:rPr>
      </w:pPr>
      <w:r>
        <w:rPr>
          <w:rFonts w:hint="eastAsia" w:ascii="Times New Roman" w:hAnsi="Times New Roman" w:cs="Times New Roman"/>
          <w:sz w:val="21"/>
          <w:szCs w:val="22"/>
          <w:lang w:val="en-US" w:bidi="ar-SA"/>
        </w:rPr>
        <w:t>盘条应进行脱碳层检验。盘条不应出现完全脱碳层。盘条一边总脱碳层（铁素体+过渡层）深度应符合表3规定。</w:t>
      </w:r>
    </w:p>
    <w:p>
      <w:pPr>
        <w:pStyle w:val="149"/>
        <w:spacing w:line="328" w:lineRule="exact"/>
        <w:ind w:firstLine="440"/>
        <w:rPr>
          <w:rFonts w:ascii="Times New Roman" w:hAnsi="Times New Roman" w:cs="Times New Roman"/>
          <w:sz w:val="21"/>
          <w:szCs w:val="22"/>
          <w:lang w:val="en-US" w:bidi="ar-SA"/>
        </w:rPr>
      </w:pPr>
      <w:r>
        <w:rPr>
          <w:rFonts w:hint="eastAsia" w:ascii="Times New Roman" w:hAnsi="Times New Roman" w:cs="Times New Roman"/>
          <w:sz w:val="21"/>
          <w:szCs w:val="22"/>
          <w:lang w:val="en-US" w:bidi="ar-SA"/>
        </w:rPr>
        <w:t>订货时应注明脱碳层深度的等级，未注明时按A级供货。</w:t>
      </w:r>
    </w:p>
    <w:p>
      <w:pPr>
        <w:pStyle w:val="149"/>
        <w:spacing w:line="328" w:lineRule="exact"/>
        <w:ind w:firstLine="440"/>
        <w:rPr>
          <w:rFonts w:ascii="Times New Roman" w:hAnsi="Times New Roman" w:cs="Times New Roman"/>
          <w:sz w:val="21"/>
          <w:szCs w:val="22"/>
          <w:lang w:val="en-US" w:bidi="ar-SA"/>
        </w:rPr>
      </w:pPr>
      <w:r>
        <w:rPr>
          <w:rFonts w:hint="eastAsia" w:ascii="Times New Roman" w:hAnsi="Times New Roman" w:cs="Times New Roman"/>
          <w:sz w:val="21"/>
          <w:szCs w:val="22"/>
          <w:lang w:val="en-US" w:bidi="ar-SA"/>
        </w:rPr>
        <w:t>对脱碳层有特殊要求时，由供需双方协商确定，并在合同中注明。</w:t>
      </w:r>
    </w:p>
    <w:p>
      <w:pPr>
        <w:pStyle w:val="133"/>
        <w:numPr>
          <w:ilvl w:val="0"/>
          <w:numId w:val="0"/>
        </w:numPr>
        <w:spacing w:before="156" w:after="156"/>
      </w:pPr>
      <w:r>
        <w:rPr>
          <w:rFonts w:hint="eastAsia"/>
        </w:rPr>
        <w:t>表3</w:t>
      </w:r>
      <w:r>
        <w:t xml:space="preserve">  </w:t>
      </w:r>
      <w:r>
        <w:rPr>
          <w:rFonts w:hint="eastAsia"/>
        </w:rPr>
        <w:t>脱碳层</w:t>
      </w:r>
    </w:p>
    <w:tbl>
      <w:tblPr>
        <w:tblStyle w:val="31"/>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1"/>
        <w:gridCol w:w="3030"/>
        <w:gridCol w:w="3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3511" w:type="dxa"/>
            <w:vMerge w:val="restart"/>
            <w:vAlign w:val="center"/>
          </w:tcPr>
          <w:p>
            <w:pPr>
              <w:autoSpaceDE w:val="0"/>
              <w:autoSpaceDN w:val="0"/>
              <w:adjustRightInd w:val="0"/>
              <w:jc w:val="center"/>
              <w:rPr>
                <w:rFonts w:cs="宋体飨.胨.." w:asciiTheme="minorEastAsia" w:hAnsiTheme="minorEastAsia" w:eastAsiaTheme="minorEastAsia"/>
                <w:color w:val="000000"/>
                <w:kern w:val="0"/>
                <w:sz w:val="18"/>
                <w:szCs w:val="18"/>
              </w:rPr>
            </w:pPr>
            <w:r>
              <w:rPr>
                <w:rFonts w:hint="eastAsia" w:cs="宋体飨.胨.." w:asciiTheme="minorEastAsia" w:hAnsiTheme="minorEastAsia" w:eastAsiaTheme="minorEastAsia"/>
                <w:color w:val="000000"/>
                <w:kern w:val="0"/>
                <w:sz w:val="18"/>
                <w:szCs w:val="18"/>
              </w:rPr>
              <w:t>公称直径D，mm</w:t>
            </w:r>
          </w:p>
        </w:tc>
        <w:tc>
          <w:tcPr>
            <w:tcW w:w="6060" w:type="dxa"/>
            <w:gridSpan w:val="2"/>
            <w:vAlign w:val="center"/>
          </w:tcPr>
          <w:p>
            <w:pPr>
              <w:autoSpaceDE w:val="0"/>
              <w:autoSpaceDN w:val="0"/>
              <w:adjustRightInd w:val="0"/>
              <w:jc w:val="center"/>
              <w:rPr>
                <w:rFonts w:cs="宋体飨.胨.." w:asciiTheme="minorEastAsia" w:hAnsiTheme="minorEastAsia" w:eastAsiaTheme="minorEastAsia"/>
                <w:color w:val="000000"/>
                <w:kern w:val="0"/>
                <w:sz w:val="18"/>
                <w:szCs w:val="18"/>
              </w:rPr>
            </w:pPr>
            <w:r>
              <w:rPr>
                <w:rFonts w:hint="eastAsia" w:cs="宋体飨.胨.." w:asciiTheme="minorEastAsia" w:hAnsiTheme="minorEastAsia" w:eastAsiaTheme="minorEastAsia"/>
                <w:color w:val="000000"/>
                <w:kern w:val="0"/>
                <w:sz w:val="18"/>
                <w:szCs w:val="18"/>
              </w:rPr>
              <w:t>脱碳层深度，mm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11" w:type="dxa"/>
            <w:vMerge w:val="continue"/>
            <w:vAlign w:val="center"/>
          </w:tcPr>
          <w:p>
            <w:pPr>
              <w:autoSpaceDE w:val="0"/>
              <w:autoSpaceDN w:val="0"/>
              <w:adjustRightInd w:val="0"/>
              <w:jc w:val="center"/>
              <w:rPr>
                <w:rFonts w:cs="宋体飨.胨.." w:asciiTheme="minorEastAsia" w:hAnsiTheme="minorEastAsia" w:eastAsiaTheme="minorEastAsia"/>
                <w:color w:val="000000"/>
                <w:kern w:val="0"/>
                <w:sz w:val="18"/>
                <w:szCs w:val="18"/>
              </w:rPr>
            </w:pPr>
          </w:p>
        </w:tc>
        <w:tc>
          <w:tcPr>
            <w:tcW w:w="3030" w:type="dxa"/>
            <w:vAlign w:val="center"/>
          </w:tcPr>
          <w:p>
            <w:pPr>
              <w:autoSpaceDE w:val="0"/>
              <w:autoSpaceDN w:val="0"/>
              <w:adjustRightInd w:val="0"/>
              <w:jc w:val="center"/>
              <w:rPr>
                <w:rFonts w:cs="宋体飨.胨.." w:asciiTheme="minorEastAsia" w:hAnsiTheme="minorEastAsia" w:eastAsiaTheme="minorEastAsia"/>
                <w:color w:val="000000"/>
                <w:kern w:val="0"/>
                <w:sz w:val="18"/>
                <w:szCs w:val="18"/>
              </w:rPr>
            </w:pPr>
            <w:r>
              <w:rPr>
                <w:rFonts w:cs="宋体飨.胨.." w:asciiTheme="minorEastAsia" w:hAnsiTheme="minorEastAsia" w:eastAsiaTheme="minorEastAsia"/>
                <w:color w:val="000000"/>
                <w:kern w:val="0"/>
                <w:sz w:val="18"/>
                <w:szCs w:val="18"/>
              </w:rPr>
              <w:t>A</w:t>
            </w:r>
            <w:r>
              <w:rPr>
                <w:rFonts w:hint="eastAsia" w:cs="宋体飨.胨.." w:asciiTheme="minorEastAsia" w:hAnsiTheme="minorEastAsia" w:eastAsiaTheme="minorEastAsia"/>
                <w:color w:val="000000"/>
                <w:kern w:val="0"/>
                <w:sz w:val="18"/>
                <w:szCs w:val="18"/>
              </w:rPr>
              <w:t>级</w:t>
            </w:r>
          </w:p>
        </w:tc>
        <w:tc>
          <w:tcPr>
            <w:tcW w:w="3030" w:type="dxa"/>
            <w:vAlign w:val="center"/>
          </w:tcPr>
          <w:p>
            <w:pPr>
              <w:autoSpaceDE w:val="0"/>
              <w:autoSpaceDN w:val="0"/>
              <w:adjustRightInd w:val="0"/>
              <w:jc w:val="center"/>
              <w:rPr>
                <w:rFonts w:cs="宋体飨.胨.." w:asciiTheme="minorEastAsia" w:hAnsiTheme="minorEastAsia" w:eastAsiaTheme="minorEastAsia"/>
                <w:color w:val="000000"/>
                <w:kern w:val="0"/>
                <w:sz w:val="18"/>
                <w:szCs w:val="18"/>
              </w:rPr>
            </w:pPr>
            <w:r>
              <w:rPr>
                <w:rFonts w:cs="宋体飨.胨.." w:asciiTheme="minorEastAsia" w:hAnsiTheme="minorEastAsia" w:eastAsiaTheme="minorEastAsia"/>
                <w:color w:val="000000"/>
                <w:kern w:val="0"/>
                <w:sz w:val="18"/>
                <w:szCs w:val="18"/>
              </w:rPr>
              <w:t>B</w:t>
            </w:r>
            <w:r>
              <w:rPr>
                <w:rFonts w:hint="eastAsia" w:cs="宋体飨.胨.." w:asciiTheme="minorEastAsia" w:hAnsiTheme="minorEastAsia" w:eastAsiaTheme="minorEastAsia"/>
                <w:color w:val="000000"/>
                <w:kern w:val="0"/>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11" w:type="dxa"/>
            <w:vAlign w:val="center"/>
          </w:tcPr>
          <w:p>
            <w:pPr>
              <w:autoSpaceDE w:val="0"/>
              <w:autoSpaceDN w:val="0"/>
              <w:adjustRightInd w:val="0"/>
              <w:jc w:val="center"/>
              <w:rPr>
                <w:rFonts w:cs="宋体飨.胨.." w:asciiTheme="minorEastAsia" w:hAnsiTheme="minorEastAsia" w:eastAsiaTheme="minorEastAsia"/>
                <w:color w:val="000000"/>
                <w:kern w:val="0"/>
                <w:sz w:val="18"/>
                <w:szCs w:val="18"/>
              </w:rPr>
            </w:pPr>
            <w:r>
              <w:rPr>
                <w:rFonts w:cs="宋体飨.胨.." w:asciiTheme="minorEastAsia" w:hAnsiTheme="minorEastAsia" w:eastAsiaTheme="minorEastAsia"/>
                <w:color w:val="000000"/>
                <w:kern w:val="0"/>
                <w:sz w:val="18"/>
                <w:szCs w:val="18"/>
              </w:rPr>
              <w:t>5</w:t>
            </w:r>
            <w:r>
              <w:rPr>
                <w:rFonts w:hint="eastAsia" w:cs="宋体飨.胨.." w:asciiTheme="minorEastAsia" w:hAnsiTheme="minorEastAsia" w:eastAsiaTheme="minorEastAsia"/>
                <w:color w:val="000000"/>
                <w:kern w:val="0"/>
                <w:sz w:val="18"/>
                <w:szCs w:val="18"/>
              </w:rPr>
              <w:t>.5≤D≤8</w:t>
            </w:r>
          </w:p>
        </w:tc>
        <w:tc>
          <w:tcPr>
            <w:tcW w:w="3030" w:type="dxa"/>
            <w:vAlign w:val="center"/>
          </w:tcPr>
          <w:p>
            <w:pPr>
              <w:autoSpaceDE w:val="0"/>
              <w:autoSpaceDN w:val="0"/>
              <w:adjustRightInd w:val="0"/>
              <w:jc w:val="center"/>
              <w:rPr>
                <w:rFonts w:cs="宋体飨.胨.." w:asciiTheme="minorEastAsia" w:hAnsiTheme="minorEastAsia" w:eastAsiaTheme="minorEastAsia"/>
                <w:color w:val="000000"/>
                <w:kern w:val="0"/>
                <w:sz w:val="18"/>
                <w:szCs w:val="18"/>
              </w:rPr>
            </w:pPr>
            <w:r>
              <w:rPr>
                <w:rFonts w:cs="宋体飨.胨.." w:asciiTheme="minorEastAsia" w:hAnsiTheme="minorEastAsia" w:eastAsiaTheme="minorEastAsia"/>
                <w:color w:val="000000"/>
                <w:kern w:val="0"/>
                <w:sz w:val="18"/>
                <w:szCs w:val="18"/>
              </w:rPr>
              <w:t>0.10</w:t>
            </w:r>
          </w:p>
        </w:tc>
        <w:tc>
          <w:tcPr>
            <w:tcW w:w="3030" w:type="dxa"/>
            <w:vAlign w:val="center"/>
          </w:tcPr>
          <w:p>
            <w:pPr>
              <w:autoSpaceDE w:val="0"/>
              <w:autoSpaceDN w:val="0"/>
              <w:adjustRightInd w:val="0"/>
              <w:jc w:val="center"/>
              <w:rPr>
                <w:rFonts w:cs="宋体飨.胨.." w:asciiTheme="minorEastAsia" w:hAnsiTheme="minorEastAsia" w:eastAsiaTheme="minorEastAsia"/>
                <w:color w:val="000000"/>
                <w:kern w:val="0"/>
                <w:sz w:val="18"/>
                <w:szCs w:val="18"/>
              </w:rPr>
            </w:pPr>
            <w:r>
              <w:rPr>
                <w:rFonts w:cs="宋体飨.胨.." w:asciiTheme="minorEastAsia" w:hAnsiTheme="minorEastAsia" w:eastAsiaTheme="minorEastAsia"/>
                <w:color w:val="000000"/>
                <w:kern w:val="0"/>
                <w:sz w:val="18"/>
                <w:szCs w:val="18"/>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11" w:type="dxa"/>
            <w:vAlign w:val="center"/>
          </w:tcPr>
          <w:p>
            <w:pPr>
              <w:autoSpaceDE w:val="0"/>
              <w:autoSpaceDN w:val="0"/>
              <w:adjustRightInd w:val="0"/>
              <w:jc w:val="center"/>
              <w:rPr>
                <w:rFonts w:cs="宋体飨.胨.." w:asciiTheme="minorEastAsia" w:hAnsiTheme="minorEastAsia" w:eastAsiaTheme="minorEastAsia"/>
                <w:color w:val="000000"/>
                <w:kern w:val="0"/>
                <w:sz w:val="18"/>
                <w:szCs w:val="18"/>
              </w:rPr>
            </w:pPr>
            <w:r>
              <w:rPr>
                <w:rFonts w:cs="宋体飨.胨.." w:asciiTheme="minorEastAsia" w:hAnsiTheme="minorEastAsia" w:eastAsiaTheme="minorEastAsia"/>
                <w:color w:val="000000"/>
                <w:kern w:val="0"/>
                <w:sz w:val="18"/>
                <w:szCs w:val="18"/>
              </w:rPr>
              <w:t>8</w:t>
            </w:r>
            <w:r>
              <w:rPr>
                <w:rFonts w:hint="eastAsia" w:cs="宋体飨.胨.." w:asciiTheme="minorEastAsia" w:hAnsiTheme="minorEastAsia" w:eastAsiaTheme="minorEastAsia"/>
                <w:color w:val="000000"/>
                <w:kern w:val="0"/>
                <w:sz w:val="18"/>
                <w:szCs w:val="18"/>
              </w:rPr>
              <w:t>＜D≤14</w:t>
            </w:r>
          </w:p>
        </w:tc>
        <w:tc>
          <w:tcPr>
            <w:tcW w:w="3030" w:type="dxa"/>
            <w:vAlign w:val="center"/>
          </w:tcPr>
          <w:p>
            <w:pPr>
              <w:autoSpaceDE w:val="0"/>
              <w:autoSpaceDN w:val="0"/>
              <w:adjustRightInd w:val="0"/>
              <w:jc w:val="center"/>
              <w:rPr>
                <w:rFonts w:cs="宋体飨.胨.." w:asciiTheme="minorEastAsia" w:hAnsiTheme="minorEastAsia" w:eastAsiaTheme="minorEastAsia"/>
                <w:color w:val="000000"/>
                <w:kern w:val="0"/>
                <w:sz w:val="18"/>
                <w:szCs w:val="18"/>
              </w:rPr>
            </w:pPr>
            <w:r>
              <w:rPr>
                <w:rFonts w:cs="宋体飨.胨.." w:asciiTheme="minorEastAsia" w:hAnsiTheme="minorEastAsia" w:eastAsiaTheme="minorEastAsia"/>
                <w:color w:val="000000"/>
                <w:kern w:val="0"/>
                <w:sz w:val="18"/>
                <w:szCs w:val="18"/>
              </w:rPr>
              <w:t>1.2%</w:t>
            </w:r>
            <w:r>
              <w:rPr>
                <w:rFonts w:hint="eastAsia" w:cs="宋体飨.胨.." w:asciiTheme="minorEastAsia" w:hAnsiTheme="minorEastAsia" w:eastAsiaTheme="minorEastAsia"/>
                <w:color w:val="000000"/>
                <w:kern w:val="0"/>
                <w:sz w:val="18"/>
                <w:szCs w:val="18"/>
              </w:rPr>
              <w:t>D</w:t>
            </w:r>
          </w:p>
        </w:tc>
        <w:tc>
          <w:tcPr>
            <w:tcW w:w="3030" w:type="dxa"/>
            <w:vAlign w:val="center"/>
          </w:tcPr>
          <w:p>
            <w:pPr>
              <w:autoSpaceDE w:val="0"/>
              <w:autoSpaceDN w:val="0"/>
              <w:adjustRightInd w:val="0"/>
              <w:jc w:val="center"/>
              <w:rPr>
                <w:rFonts w:cs="宋体飨.胨.." w:asciiTheme="minorEastAsia" w:hAnsiTheme="minorEastAsia" w:eastAsiaTheme="minorEastAsia"/>
                <w:color w:val="000000"/>
                <w:kern w:val="0"/>
                <w:sz w:val="18"/>
                <w:szCs w:val="18"/>
              </w:rPr>
            </w:pPr>
            <w:r>
              <w:rPr>
                <w:rFonts w:cs="宋体飨.胨.." w:asciiTheme="minorEastAsia" w:hAnsiTheme="minorEastAsia" w:eastAsiaTheme="minorEastAsia"/>
                <w:color w:val="000000"/>
                <w:kern w:val="0"/>
                <w:sz w:val="18"/>
                <w:szCs w:val="18"/>
              </w:rPr>
              <w:t>1.0%</w:t>
            </w:r>
            <w:r>
              <w:rPr>
                <w:rFonts w:hint="eastAsia" w:cs="宋体飨.胨.." w:asciiTheme="minorEastAsia" w:hAnsiTheme="minorEastAsia" w:eastAsiaTheme="minorEastAsia"/>
                <w:color w:val="000000"/>
                <w:kern w:val="0"/>
                <w:sz w:val="18"/>
                <w:szCs w:val="18"/>
              </w:rPr>
              <w:t>D</w:t>
            </w:r>
          </w:p>
        </w:tc>
      </w:tr>
    </w:tbl>
    <w:p>
      <w:pPr>
        <w:spacing w:after="319" w:line="1" w:lineRule="exact"/>
      </w:pPr>
    </w:p>
    <w:p>
      <w:pPr>
        <w:pStyle w:val="49"/>
        <w:spacing w:before="156" w:after="156"/>
        <w:rPr>
          <w:lang w:val="zh-CN"/>
        </w:rPr>
      </w:pPr>
      <w:r>
        <w:rPr>
          <w:rFonts w:hint="eastAsia"/>
        </w:rPr>
        <w:t>显微组织</w:t>
      </w:r>
      <w:bookmarkStart w:id="61" w:name="_GoBack"/>
      <w:bookmarkEnd w:id="61"/>
    </w:p>
    <w:p>
      <w:pPr>
        <w:pStyle w:val="53"/>
        <w:spacing w:beforeLines="0" w:afterLines="0"/>
        <w:rPr>
          <w:rFonts w:asciiTheme="minorEastAsia" w:hAnsiTheme="minorEastAsia" w:eastAsiaTheme="minorEastAsia"/>
        </w:rPr>
      </w:pPr>
      <w:r>
        <w:rPr>
          <w:rFonts w:hint="eastAsia" w:asciiTheme="minorEastAsia" w:hAnsiTheme="minorEastAsia" w:eastAsiaTheme="minorEastAsia"/>
        </w:rPr>
        <w:t>盘条的金相组织应主要为均匀的索氏体组织，索氏体含最应符合表4的规定。</w:t>
      </w:r>
    </w:p>
    <w:p>
      <w:pPr>
        <w:pStyle w:val="53"/>
        <w:spacing w:beforeLines="0" w:afterLines="0"/>
        <w:rPr>
          <w:rFonts w:asciiTheme="minorEastAsia" w:hAnsiTheme="minorEastAsia" w:eastAsiaTheme="minorEastAsia"/>
        </w:rPr>
      </w:pPr>
      <w:r>
        <w:rPr>
          <w:rFonts w:hint="eastAsia" w:asciiTheme="minorEastAsia" w:hAnsiTheme="minorEastAsia" w:eastAsiaTheme="minorEastAsia"/>
        </w:rPr>
        <w:t>盘条的中心碳偏析、网状滲碳体、中心马氏体应符合表5的规定。</w:t>
      </w:r>
    </w:p>
    <w:p>
      <w:pPr>
        <w:pStyle w:val="22"/>
      </w:pPr>
    </w:p>
    <w:p>
      <w:pPr>
        <w:pStyle w:val="149"/>
        <w:spacing w:after="240" w:line="322" w:lineRule="exact"/>
        <w:jc w:val="center"/>
        <w:rPr>
          <w:rFonts w:ascii="黑体" w:hAnsi="Times New Roman" w:eastAsia="黑体" w:cs="黑体"/>
          <w:sz w:val="21"/>
          <w:szCs w:val="21"/>
          <w:lang w:val="en-US" w:bidi="ar-SA"/>
        </w:rPr>
      </w:pPr>
      <w:r>
        <w:rPr>
          <w:rFonts w:hint="eastAsia" w:ascii="黑体" w:hAnsi="Times New Roman" w:eastAsia="黑体" w:cs="黑体"/>
          <w:sz w:val="21"/>
          <w:szCs w:val="21"/>
          <w:lang w:val="en-US" w:bidi="ar-SA"/>
        </w:rPr>
        <w:t>表4</w:t>
      </w:r>
      <w:r>
        <w:rPr>
          <w:rFonts w:ascii="黑体" w:hAnsi="Times New Roman" w:eastAsia="黑体" w:cs="黑体"/>
          <w:sz w:val="21"/>
          <w:szCs w:val="21"/>
          <w:lang w:val="en-US" w:bidi="ar-SA"/>
        </w:rPr>
        <w:t xml:space="preserve">  </w:t>
      </w:r>
      <w:r>
        <w:rPr>
          <w:rFonts w:hint="eastAsia" w:ascii="黑体" w:hAnsi="Times New Roman" w:eastAsia="黑体" w:cs="黑体"/>
          <w:sz w:val="21"/>
          <w:szCs w:val="21"/>
          <w:lang w:val="en-US" w:bidi="ar-SA"/>
        </w:rPr>
        <w:t>索氏体含量</w:t>
      </w:r>
    </w:p>
    <w:tbl>
      <w:tblPr>
        <w:tblStyle w:val="31"/>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667"/>
        <w:gridCol w:w="4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9" w:hRule="exact"/>
          <w:jc w:val="center"/>
        </w:trPr>
        <w:tc>
          <w:tcPr>
            <w:tcW w:w="4667" w:type="dxa"/>
            <w:shd w:val="clear" w:color="auto" w:fill="FFFFFF"/>
            <w:vAlign w:val="center"/>
          </w:tcPr>
          <w:p>
            <w:pPr>
              <w:pStyle w:val="22"/>
              <w:ind w:firstLine="0" w:firstLineChars="0"/>
              <w:jc w:val="center"/>
              <w:rPr>
                <w:rFonts w:eastAsia="PMingLiU" w:asciiTheme="minorEastAsia" w:hAnsiTheme="minorEastAsia"/>
                <w:sz w:val="18"/>
                <w:szCs w:val="18"/>
                <w:lang w:val="zh-TW" w:eastAsia="zh-TW"/>
              </w:rPr>
            </w:pPr>
            <w:r>
              <w:rPr>
                <w:rFonts w:hint="eastAsia" w:asciiTheme="minorEastAsia" w:hAnsiTheme="minorEastAsia" w:eastAsiaTheme="minorEastAsia"/>
                <w:sz w:val="18"/>
                <w:szCs w:val="18"/>
                <w:lang w:val="zh-TW" w:eastAsia="zh-TW"/>
              </w:rPr>
              <w:t>牌号</w:t>
            </w:r>
          </w:p>
        </w:tc>
        <w:tc>
          <w:tcPr>
            <w:tcW w:w="4708" w:type="dxa"/>
            <w:shd w:val="clear" w:color="auto" w:fill="FFFFFF"/>
            <w:vAlign w:val="center"/>
          </w:tcPr>
          <w:p>
            <w:pPr>
              <w:pStyle w:val="22"/>
              <w:ind w:firstLine="0" w:firstLineChars="0"/>
              <w:jc w:val="center"/>
              <w:rPr>
                <w:rFonts w:asciiTheme="minorEastAsia" w:hAnsiTheme="minorEastAsia" w:eastAsiaTheme="minorEastAsia"/>
                <w:sz w:val="18"/>
                <w:szCs w:val="18"/>
                <w:lang w:val="zh-TW" w:eastAsia="zh-TW"/>
              </w:rPr>
            </w:pPr>
            <w:r>
              <w:rPr>
                <w:rFonts w:hint="eastAsia" w:asciiTheme="minorEastAsia" w:hAnsiTheme="minorEastAsia" w:eastAsiaTheme="minorEastAsia"/>
                <w:sz w:val="18"/>
                <w:szCs w:val="18"/>
                <w:lang w:val="zh-TW" w:eastAsia="zh-TW"/>
              </w:rPr>
              <w:t>索氏体含量/%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9" w:hRule="exact"/>
          <w:jc w:val="center"/>
        </w:trPr>
        <w:tc>
          <w:tcPr>
            <w:tcW w:w="4667" w:type="dxa"/>
            <w:shd w:val="clear" w:color="auto" w:fill="FFFFFF"/>
            <w:vAlign w:val="center"/>
          </w:tcPr>
          <w:p>
            <w:pPr>
              <w:pStyle w:val="22"/>
              <w:ind w:firstLine="0" w:firstLineChars="0"/>
              <w:jc w:val="center"/>
              <w:rPr>
                <w:rFonts w:asciiTheme="minorEastAsia" w:hAnsiTheme="minorEastAsia" w:eastAsiaTheme="minorEastAsia"/>
                <w:sz w:val="18"/>
                <w:szCs w:val="18"/>
                <w:lang w:val="zh-TW" w:eastAsia="zh-TW"/>
              </w:rPr>
            </w:pPr>
            <w:r>
              <w:rPr>
                <w:rFonts w:hint="eastAsia" w:hAnsi="宋体"/>
                <w:color w:val="000000"/>
                <w:sz w:val="18"/>
                <w:szCs w:val="18"/>
              </w:rPr>
              <w:t>C72D2</w:t>
            </w:r>
          </w:p>
        </w:tc>
        <w:tc>
          <w:tcPr>
            <w:tcW w:w="4708" w:type="dxa"/>
            <w:shd w:val="clear" w:color="auto" w:fill="FFFFFF"/>
            <w:vAlign w:val="center"/>
          </w:tcPr>
          <w:p>
            <w:pPr>
              <w:pStyle w:val="22"/>
              <w:ind w:firstLine="0" w:firstLineChars="0"/>
              <w:jc w:val="center"/>
              <w:rPr>
                <w:rFonts w:asciiTheme="minorEastAsia" w:hAnsiTheme="minorEastAsia" w:eastAsiaTheme="minorEastAsia"/>
                <w:sz w:val="18"/>
                <w:szCs w:val="18"/>
                <w:lang w:val="zh-TW" w:eastAsia="zh-TW"/>
              </w:rPr>
            </w:pPr>
            <w:r>
              <w:rPr>
                <w:rFonts w:hint="eastAsia" w:hAnsi="宋体"/>
                <w:color w:val="000000"/>
                <w:sz w:val="18"/>
                <w:szCs w:val="1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9" w:hRule="exact"/>
          <w:jc w:val="center"/>
        </w:trPr>
        <w:tc>
          <w:tcPr>
            <w:tcW w:w="4667" w:type="dxa"/>
            <w:shd w:val="clear" w:color="auto" w:fill="FFFFFF"/>
            <w:vAlign w:val="center"/>
          </w:tcPr>
          <w:p>
            <w:pPr>
              <w:pStyle w:val="22"/>
              <w:ind w:firstLine="0" w:firstLineChars="0"/>
              <w:jc w:val="center"/>
              <w:rPr>
                <w:rFonts w:asciiTheme="minorEastAsia" w:hAnsiTheme="minorEastAsia" w:eastAsiaTheme="minorEastAsia"/>
                <w:sz w:val="18"/>
                <w:szCs w:val="18"/>
                <w:lang w:val="zh-TW" w:eastAsia="zh-TW"/>
              </w:rPr>
            </w:pPr>
            <w:r>
              <w:rPr>
                <w:rFonts w:hint="eastAsia" w:hAnsi="宋体"/>
                <w:color w:val="000000"/>
                <w:sz w:val="18"/>
                <w:szCs w:val="18"/>
              </w:rPr>
              <w:t>C</w:t>
            </w:r>
            <w:r>
              <w:rPr>
                <w:rFonts w:hAnsi="宋体"/>
                <w:color w:val="000000"/>
                <w:sz w:val="18"/>
                <w:szCs w:val="18"/>
              </w:rPr>
              <w:t>8</w:t>
            </w:r>
            <w:r>
              <w:rPr>
                <w:rFonts w:hint="eastAsia" w:hAnsi="宋体"/>
                <w:color w:val="000000"/>
                <w:sz w:val="18"/>
                <w:szCs w:val="18"/>
              </w:rPr>
              <w:t>2D2</w:t>
            </w:r>
          </w:p>
        </w:tc>
        <w:tc>
          <w:tcPr>
            <w:tcW w:w="4708" w:type="dxa"/>
            <w:shd w:val="clear" w:color="auto" w:fill="FFFFFF"/>
            <w:vAlign w:val="center"/>
          </w:tcPr>
          <w:p>
            <w:pPr>
              <w:pStyle w:val="22"/>
              <w:ind w:firstLine="0" w:firstLineChars="0"/>
              <w:jc w:val="center"/>
              <w:rPr>
                <w:rFonts w:asciiTheme="minorEastAsia" w:hAnsiTheme="minorEastAsia" w:eastAsiaTheme="minorEastAsia"/>
                <w:sz w:val="18"/>
                <w:szCs w:val="18"/>
                <w:lang w:val="zh-TW" w:eastAsia="zh-TW"/>
              </w:rPr>
            </w:pPr>
            <w:r>
              <w:rPr>
                <w:rFonts w:hint="eastAsia" w:hAnsi="宋体"/>
                <w:color w:val="000000"/>
                <w:sz w:val="18"/>
                <w:szCs w:val="18"/>
              </w:rPr>
              <w:t>≥8</w:t>
            </w:r>
            <w:r>
              <w:rPr>
                <w:rFonts w:hAnsi="宋体"/>
                <w:color w:val="000000"/>
                <w:sz w:val="18"/>
                <w:szCs w:val="18"/>
              </w:rPr>
              <w:t>5</w:t>
            </w:r>
          </w:p>
        </w:tc>
      </w:tr>
    </w:tbl>
    <w:p>
      <w:pPr>
        <w:pStyle w:val="149"/>
        <w:spacing w:before="156" w:beforeLines="50" w:after="240" w:line="322" w:lineRule="exact"/>
        <w:jc w:val="center"/>
        <w:rPr>
          <w:rFonts w:ascii="黑体" w:hAnsi="Times New Roman" w:eastAsia="黑体" w:cs="黑体"/>
          <w:sz w:val="21"/>
          <w:szCs w:val="21"/>
          <w:lang w:val="en-US" w:bidi="ar-SA"/>
        </w:rPr>
      </w:pPr>
      <w:r>
        <w:rPr>
          <w:rFonts w:hint="eastAsia" w:ascii="黑体" w:hAnsi="Times New Roman" w:eastAsia="黑体" w:cs="黑体"/>
          <w:sz w:val="21"/>
          <w:szCs w:val="21"/>
          <w:lang w:val="en-US" w:bidi="ar-SA"/>
        </w:rPr>
        <w:t>表5</w:t>
      </w:r>
      <w:r>
        <w:rPr>
          <w:rFonts w:ascii="黑体" w:hAnsi="Times New Roman" w:eastAsia="黑体" w:cs="黑体"/>
          <w:sz w:val="21"/>
          <w:szCs w:val="21"/>
          <w:lang w:val="en-US" w:bidi="ar-SA"/>
        </w:rPr>
        <w:t xml:space="preserve">  </w:t>
      </w:r>
      <w:r>
        <w:rPr>
          <w:rFonts w:hint="eastAsia" w:ascii="黑体" w:hAnsi="Times New Roman" w:eastAsia="黑体" w:cs="黑体"/>
          <w:sz w:val="21"/>
          <w:szCs w:val="21"/>
          <w:lang w:val="en-US" w:bidi="ar-SA"/>
        </w:rPr>
        <w:t>中心碳偏析、网状渗碳体、中心马氏体</w:t>
      </w:r>
    </w:p>
    <w:tbl>
      <w:tblPr>
        <w:tblStyle w:val="31"/>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867"/>
        <w:gridCol w:w="1877"/>
        <w:gridCol w:w="1877"/>
        <w:gridCol w:w="1877"/>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9" w:hRule="exact"/>
          <w:jc w:val="center"/>
        </w:trPr>
        <w:tc>
          <w:tcPr>
            <w:tcW w:w="1867" w:type="dxa"/>
            <w:shd w:val="clear" w:color="auto" w:fill="FFFFFF"/>
            <w:vAlign w:val="center"/>
          </w:tcPr>
          <w:p>
            <w:pPr>
              <w:pStyle w:val="22"/>
              <w:ind w:firstLine="0" w:firstLineChars="0"/>
              <w:jc w:val="center"/>
              <w:rPr>
                <w:rFonts w:asciiTheme="minorEastAsia" w:hAnsiTheme="minorEastAsia" w:eastAsiaTheme="minorEastAsia"/>
                <w:sz w:val="18"/>
                <w:szCs w:val="18"/>
                <w:lang w:val="zh-TW" w:eastAsia="zh-TW"/>
              </w:rPr>
            </w:pPr>
            <w:r>
              <w:rPr>
                <w:rFonts w:hint="eastAsia" w:asciiTheme="minorEastAsia" w:hAnsiTheme="minorEastAsia" w:eastAsiaTheme="minorEastAsia"/>
                <w:sz w:val="18"/>
                <w:szCs w:val="18"/>
                <w:lang w:val="zh-TW" w:eastAsia="zh-TW"/>
              </w:rPr>
              <w:t>牌号</w:t>
            </w:r>
          </w:p>
        </w:tc>
        <w:tc>
          <w:tcPr>
            <w:tcW w:w="1877" w:type="dxa"/>
            <w:shd w:val="clear" w:color="auto" w:fill="FFFFFF"/>
          </w:tcPr>
          <w:p>
            <w:pPr>
              <w:pStyle w:val="22"/>
              <w:ind w:firstLine="0" w:firstLineChars="0"/>
              <w:jc w:val="center"/>
              <w:rPr>
                <w:rFonts w:hAnsi="宋体"/>
                <w:color w:val="000000"/>
                <w:sz w:val="18"/>
                <w:szCs w:val="18"/>
              </w:rPr>
            </w:pPr>
            <w:r>
              <w:rPr>
                <w:rFonts w:hint="eastAsia" w:hAnsi="宋体"/>
                <w:color w:val="000000"/>
                <w:sz w:val="18"/>
                <w:szCs w:val="18"/>
              </w:rPr>
              <w:t>公称直径，mm</w:t>
            </w:r>
          </w:p>
        </w:tc>
        <w:tc>
          <w:tcPr>
            <w:tcW w:w="1877" w:type="dxa"/>
            <w:shd w:val="clear" w:color="auto" w:fill="FFFFFF"/>
            <w:vAlign w:val="center"/>
          </w:tcPr>
          <w:p>
            <w:pPr>
              <w:pStyle w:val="22"/>
              <w:ind w:firstLine="0" w:firstLineChars="0"/>
              <w:jc w:val="center"/>
              <w:rPr>
                <w:rFonts w:asciiTheme="minorEastAsia" w:hAnsiTheme="minorEastAsia" w:eastAsiaTheme="minorEastAsia"/>
                <w:sz w:val="18"/>
                <w:szCs w:val="18"/>
                <w:lang w:val="zh-TW" w:eastAsia="zh-TW"/>
              </w:rPr>
            </w:pPr>
            <w:r>
              <w:rPr>
                <w:rFonts w:hint="eastAsia" w:hAnsi="宋体"/>
                <w:color w:val="000000"/>
                <w:sz w:val="18"/>
                <w:szCs w:val="18"/>
              </w:rPr>
              <w:t>中心碳偏析，级</w:t>
            </w:r>
          </w:p>
        </w:tc>
        <w:tc>
          <w:tcPr>
            <w:tcW w:w="1877" w:type="dxa"/>
            <w:shd w:val="clear" w:color="auto" w:fill="FFFFFF"/>
          </w:tcPr>
          <w:p>
            <w:pPr>
              <w:pStyle w:val="22"/>
              <w:ind w:firstLine="0" w:firstLineChars="0"/>
              <w:jc w:val="center"/>
              <w:rPr>
                <w:rFonts w:hAnsi="宋体"/>
                <w:color w:val="000000"/>
                <w:sz w:val="18"/>
                <w:szCs w:val="18"/>
              </w:rPr>
            </w:pPr>
            <w:r>
              <w:rPr>
                <w:rFonts w:hint="eastAsia" w:asciiTheme="minorEastAsia" w:hAnsiTheme="minorEastAsia" w:eastAsiaTheme="minorEastAsia"/>
                <w:sz w:val="18"/>
                <w:szCs w:val="18"/>
                <w:lang w:val="zh-TW" w:eastAsia="zh-TW"/>
              </w:rPr>
              <w:t>网状</w:t>
            </w:r>
            <w:r>
              <w:rPr>
                <w:rFonts w:hint="eastAsia" w:asciiTheme="minorEastAsia" w:hAnsiTheme="minorEastAsia" w:eastAsiaTheme="minorEastAsia"/>
                <w:sz w:val="18"/>
                <w:szCs w:val="18"/>
              </w:rPr>
              <w:t>渗碳</w:t>
            </w:r>
            <w:r>
              <w:rPr>
                <w:rFonts w:hint="eastAsia" w:asciiTheme="minorEastAsia" w:hAnsiTheme="minorEastAsia" w:eastAsiaTheme="minorEastAsia"/>
                <w:sz w:val="18"/>
                <w:szCs w:val="18"/>
                <w:lang w:val="zh-TW" w:eastAsia="zh-TW"/>
              </w:rPr>
              <w:t>体</w:t>
            </w:r>
            <w:r>
              <w:rPr>
                <w:rFonts w:hint="eastAsia" w:hAnsi="宋体"/>
                <w:color w:val="000000"/>
                <w:sz w:val="18"/>
                <w:szCs w:val="18"/>
              </w:rPr>
              <w:t>，级</w:t>
            </w:r>
          </w:p>
        </w:tc>
        <w:tc>
          <w:tcPr>
            <w:tcW w:w="1877" w:type="dxa"/>
            <w:shd w:val="clear" w:color="auto" w:fill="FFFFFF"/>
          </w:tcPr>
          <w:p>
            <w:pPr>
              <w:pStyle w:val="22"/>
              <w:ind w:firstLine="0" w:firstLineChars="0"/>
              <w:jc w:val="center"/>
              <w:rPr>
                <w:rFonts w:hAnsi="宋体"/>
                <w:color w:val="000000"/>
                <w:sz w:val="18"/>
                <w:szCs w:val="18"/>
              </w:rPr>
            </w:pPr>
            <w:r>
              <w:rPr>
                <w:rFonts w:hint="eastAsia" w:asciiTheme="minorEastAsia" w:hAnsiTheme="minorEastAsia" w:eastAsiaTheme="minorEastAsia"/>
                <w:sz w:val="18"/>
                <w:szCs w:val="18"/>
                <w:lang w:val="zh-TW" w:eastAsia="zh-TW"/>
              </w:rPr>
              <w:t>中心</w:t>
            </w:r>
            <w:r>
              <w:rPr>
                <w:rFonts w:hint="eastAsia" w:asciiTheme="minorEastAsia" w:hAnsiTheme="minorEastAsia" w:eastAsiaTheme="minorEastAsia"/>
                <w:sz w:val="18"/>
                <w:szCs w:val="18"/>
                <w:lang w:val="zh-TW"/>
              </w:rPr>
              <w:t>马氏体</w:t>
            </w:r>
            <w:r>
              <w:rPr>
                <w:rFonts w:hint="eastAsia" w:hAnsi="宋体"/>
                <w:color w:val="000000"/>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1867" w:type="dxa"/>
            <w:shd w:val="clear" w:color="auto" w:fill="FFFFFF"/>
            <w:vAlign w:val="center"/>
          </w:tcPr>
          <w:p>
            <w:pPr>
              <w:pStyle w:val="22"/>
              <w:ind w:firstLine="0" w:firstLineChars="0"/>
              <w:jc w:val="center"/>
              <w:rPr>
                <w:rFonts w:asciiTheme="minorEastAsia" w:hAnsiTheme="minorEastAsia" w:eastAsiaTheme="minorEastAsia"/>
                <w:sz w:val="18"/>
                <w:szCs w:val="18"/>
                <w:lang w:val="zh-TW" w:eastAsia="zh-TW"/>
              </w:rPr>
            </w:pPr>
            <w:r>
              <w:rPr>
                <w:rFonts w:hint="eastAsia" w:hAnsi="宋体"/>
                <w:color w:val="000000"/>
                <w:sz w:val="18"/>
                <w:szCs w:val="18"/>
              </w:rPr>
              <w:t>C72D2</w:t>
            </w:r>
          </w:p>
        </w:tc>
        <w:tc>
          <w:tcPr>
            <w:tcW w:w="1877" w:type="dxa"/>
            <w:shd w:val="clear" w:color="auto" w:fill="FFFFFF"/>
            <w:vAlign w:val="center"/>
          </w:tcPr>
          <w:p>
            <w:pPr>
              <w:widowControl/>
              <w:spacing w:line="276" w:lineRule="auto"/>
              <w:jc w:val="center"/>
              <w:rPr>
                <w:rFonts w:cs="宋体" w:asciiTheme="minorEastAsia" w:hAnsiTheme="minorEastAsia" w:eastAsiaTheme="minorEastAsia"/>
                <w:kern w:val="0"/>
                <w:sz w:val="18"/>
                <w:szCs w:val="18"/>
              </w:rPr>
            </w:pPr>
            <w:r>
              <w:rPr>
                <w:rFonts w:asciiTheme="minorEastAsia" w:hAnsiTheme="minorEastAsia" w:eastAsiaTheme="minorEastAsia"/>
                <w:kern w:val="0"/>
                <w:sz w:val="18"/>
                <w:szCs w:val="18"/>
              </w:rPr>
              <w:t>5.5～8.0</w:t>
            </w:r>
          </w:p>
        </w:tc>
        <w:tc>
          <w:tcPr>
            <w:tcW w:w="1877" w:type="dxa"/>
            <w:shd w:val="clear" w:color="auto" w:fill="FFFFFF"/>
            <w:vAlign w:val="center"/>
          </w:tcPr>
          <w:p>
            <w:pPr>
              <w:pStyle w:val="22"/>
              <w:ind w:firstLine="0" w:firstLineChars="0"/>
              <w:jc w:val="center"/>
              <w:rPr>
                <w:rFonts w:asciiTheme="minorEastAsia" w:hAnsiTheme="minorEastAsia"/>
                <w:sz w:val="18"/>
                <w:szCs w:val="18"/>
              </w:rPr>
            </w:pPr>
            <w:r>
              <w:rPr>
                <w:rFonts w:hint="eastAsia" w:hAnsi="宋体"/>
                <w:color w:val="000000"/>
                <w:sz w:val="18"/>
                <w:szCs w:val="18"/>
              </w:rPr>
              <w:t>≤</w:t>
            </w:r>
            <w:r>
              <w:rPr>
                <w:rFonts w:hAnsi="宋体"/>
                <w:color w:val="000000"/>
                <w:sz w:val="18"/>
                <w:szCs w:val="18"/>
              </w:rPr>
              <w:t>1</w:t>
            </w:r>
            <w:r>
              <w:rPr>
                <w:rFonts w:hint="eastAsia" w:hAnsi="宋体"/>
                <w:color w:val="000000"/>
                <w:sz w:val="18"/>
                <w:szCs w:val="18"/>
              </w:rPr>
              <w:t>.0</w:t>
            </w:r>
          </w:p>
        </w:tc>
        <w:tc>
          <w:tcPr>
            <w:tcW w:w="1877" w:type="dxa"/>
            <w:shd w:val="clear" w:color="auto" w:fill="FFFFFF"/>
            <w:vAlign w:val="center"/>
          </w:tcPr>
          <w:p>
            <w:pPr>
              <w:pStyle w:val="22"/>
              <w:ind w:firstLine="0" w:firstLineChars="0"/>
              <w:jc w:val="center"/>
              <w:rPr>
                <w:rFonts w:asciiTheme="minorEastAsia" w:hAnsiTheme="minorEastAsia"/>
                <w:sz w:val="18"/>
                <w:szCs w:val="18"/>
              </w:rPr>
            </w:pPr>
            <w:r>
              <w:rPr>
                <w:rFonts w:hint="eastAsia" w:hAnsi="宋体"/>
                <w:color w:val="000000"/>
                <w:sz w:val="18"/>
                <w:szCs w:val="18"/>
              </w:rPr>
              <w:t>≤</w:t>
            </w:r>
            <w:r>
              <w:rPr>
                <w:rFonts w:hAnsi="宋体"/>
                <w:color w:val="000000"/>
                <w:sz w:val="18"/>
                <w:szCs w:val="18"/>
              </w:rPr>
              <w:t>1</w:t>
            </w:r>
            <w:r>
              <w:rPr>
                <w:rFonts w:hint="eastAsia" w:hAnsi="宋体"/>
                <w:color w:val="000000"/>
                <w:sz w:val="18"/>
                <w:szCs w:val="18"/>
              </w:rPr>
              <w:t>.0</w:t>
            </w:r>
          </w:p>
        </w:tc>
        <w:tc>
          <w:tcPr>
            <w:tcW w:w="1877" w:type="dxa"/>
            <w:shd w:val="clear" w:color="auto" w:fill="FFFFFF"/>
            <w:vAlign w:val="center"/>
          </w:tcPr>
          <w:p>
            <w:pPr>
              <w:pStyle w:val="22"/>
              <w:ind w:firstLine="0" w:firstLineChars="0"/>
              <w:jc w:val="center"/>
              <w:rPr>
                <w:rFonts w:asciiTheme="minorEastAsia" w:hAnsiTheme="minorEastAsia" w:eastAsiaTheme="minorEastAsia"/>
                <w:sz w:val="18"/>
                <w:szCs w:val="18"/>
                <w:lang w:val="zh-TW" w:eastAsia="zh-TW"/>
              </w:rPr>
            </w:pPr>
            <w:r>
              <w:rPr>
                <w:rFonts w:hint="eastAsia" w:hAnsi="宋体"/>
                <w:color w:val="000000"/>
                <w:sz w:val="18"/>
                <w:szCs w:val="18"/>
              </w:rPr>
              <w:t>≤</w:t>
            </w:r>
            <w:r>
              <w:rPr>
                <w:rFonts w:hAnsi="宋体"/>
                <w:color w:val="00000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1867" w:type="dxa"/>
            <w:vMerge w:val="restart"/>
            <w:shd w:val="clear" w:color="auto" w:fill="FFFFFF"/>
            <w:vAlign w:val="center"/>
          </w:tcPr>
          <w:p>
            <w:pPr>
              <w:pStyle w:val="22"/>
              <w:ind w:firstLine="0" w:firstLineChars="0"/>
              <w:jc w:val="center"/>
              <w:rPr>
                <w:rFonts w:hAnsi="宋体"/>
                <w:color w:val="000000"/>
                <w:sz w:val="18"/>
                <w:szCs w:val="18"/>
              </w:rPr>
            </w:pPr>
            <w:r>
              <w:rPr>
                <w:rFonts w:hint="eastAsia" w:hAnsi="宋体"/>
                <w:color w:val="000000"/>
                <w:sz w:val="18"/>
                <w:szCs w:val="18"/>
              </w:rPr>
              <w:t>C</w:t>
            </w:r>
            <w:r>
              <w:rPr>
                <w:rFonts w:hAnsi="宋体"/>
                <w:color w:val="000000"/>
                <w:sz w:val="18"/>
                <w:szCs w:val="18"/>
              </w:rPr>
              <w:t>8</w:t>
            </w:r>
            <w:r>
              <w:rPr>
                <w:rFonts w:hint="eastAsia" w:hAnsi="宋体"/>
                <w:color w:val="000000"/>
                <w:sz w:val="18"/>
                <w:szCs w:val="18"/>
              </w:rPr>
              <w:t>2D2</w:t>
            </w:r>
          </w:p>
        </w:tc>
        <w:tc>
          <w:tcPr>
            <w:tcW w:w="1877" w:type="dxa"/>
            <w:shd w:val="clear" w:color="auto" w:fill="FFFFFF"/>
            <w:vAlign w:val="center"/>
          </w:tcPr>
          <w:p>
            <w:pPr>
              <w:widowControl/>
              <w:spacing w:line="276" w:lineRule="auto"/>
              <w:jc w:val="center"/>
              <w:rPr>
                <w:rFonts w:cs="宋体" w:asciiTheme="minorEastAsia" w:hAnsiTheme="minorEastAsia" w:eastAsiaTheme="minorEastAsia"/>
                <w:kern w:val="0"/>
                <w:sz w:val="18"/>
                <w:szCs w:val="18"/>
              </w:rPr>
            </w:pPr>
            <w:r>
              <w:rPr>
                <w:rFonts w:asciiTheme="minorEastAsia" w:hAnsiTheme="minorEastAsia" w:eastAsiaTheme="minorEastAsia"/>
                <w:kern w:val="0"/>
                <w:sz w:val="18"/>
                <w:szCs w:val="18"/>
              </w:rPr>
              <w:t>5.5～9.0</w:t>
            </w:r>
          </w:p>
        </w:tc>
        <w:tc>
          <w:tcPr>
            <w:tcW w:w="1877" w:type="dxa"/>
            <w:vMerge w:val="restart"/>
            <w:shd w:val="clear" w:color="auto" w:fill="FFFFFF"/>
            <w:vAlign w:val="center"/>
          </w:tcPr>
          <w:p>
            <w:pPr>
              <w:pStyle w:val="22"/>
              <w:ind w:firstLine="0" w:firstLineChars="0"/>
              <w:jc w:val="center"/>
              <w:rPr>
                <w:rFonts w:hAnsi="宋体"/>
                <w:color w:val="000000"/>
                <w:sz w:val="18"/>
                <w:szCs w:val="18"/>
              </w:rPr>
            </w:pPr>
            <w:r>
              <w:rPr>
                <w:rFonts w:hint="eastAsia" w:hAnsi="宋体"/>
                <w:color w:val="000000"/>
                <w:sz w:val="18"/>
                <w:szCs w:val="18"/>
              </w:rPr>
              <w:t>≤</w:t>
            </w:r>
            <w:r>
              <w:rPr>
                <w:rFonts w:hAnsi="宋体"/>
                <w:color w:val="000000"/>
                <w:sz w:val="18"/>
                <w:szCs w:val="18"/>
              </w:rPr>
              <w:t>1</w:t>
            </w:r>
            <w:r>
              <w:rPr>
                <w:rFonts w:hint="eastAsia" w:hAnsi="宋体"/>
                <w:color w:val="000000"/>
                <w:sz w:val="18"/>
                <w:szCs w:val="18"/>
              </w:rPr>
              <w:t>.0</w:t>
            </w:r>
          </w:p>
        </w:tc>
        <w:tc>
          <w:tcPr>
            <w:tcW w:w="1877" w:type="dxa"/>
            <w:shd w:val="clear" w:color="auto" w:fill="FFFFFF"/>
            <w:vAlign w:val="center"/>
          </w:tcPr>
          <w:p>
            <w:pPr>
              <w:pStyle w:val="22"/>
              <w:ind w:firstLine="0" w:firstLineChars="0"/>
              <w:jc w:val="center"/>
              <w:rPr>
                <w:rFonts w:hAnsi="宋体"/>
                <w:color w:val="000000"/>
                <w:sz w:val="18"/>
                <w:szCs w:val="18"/>
              </w:rPr>
            </w:pPr>
            <w:r>
              <w:rPr>
                <w:rFonts w:hint="eastAsia" w:hAnsi="宋体"/>
                <w:color w:val="000000"/>
                <w:sz w:val="18"/>
                <w:szCs w:val="18"/>
              </w:rPr>
              <w:t>≤</w:t>
            </w:r>
            <w:r>
              <w:rPr>
                <w:rFonts w:hAnsi="宋体"/>
                <w:color w:val="000000"/>
                <w:sz w:val="18"/>
                <w:szCs w:val="18"/>
              </w:rPr>
              <w:t>1</w:t>
            </w:r>
            <w:r>
              <w:rPr>
                <w:rFonts w:hint="eastAsia" w:hAnsi="宋体"/>
                <w:color w:val="000000"/>
                <w:sz w:val="18"/>
                <w:szCs w:val="18"/>
              </w:rPr>
              <w:t>.0</w:t>
            </w:r>
          </w:p>
        </w:tc>
        <w:tc>
          <w:tcPr>
            <w:tcW w:w="1877" w:type="dxa"/>
            <w:shd w:val="clear" w:color="auto" w:fill="FFFFFF"/>
            <w:vAlign w:val="center"/>
          </w:tcPr>
          <w:p>
            <w:pPr>
              <w:pStyle w:val="22"/>
              <w:ind w:firstLine="0" w:firstLineChars="0"/>
              <w:jc w:val="center"/>
              <w:rPr>
                <w:rFonts w:hAnsi="宋体"/>
                <w:color w:val="000000"/>
                <w:sz w:val="18"/>
                <w:szCs w:val="18"/>
              </w:rPr>
            </w:pPr>
            <w:r>
              <w:rPr>
                <w:rFonts w:hint="eastAsia" w:hAnsi="宋体"/>
                <w:color w:val="000000"/>
                <w:sz w:val="18"/>
                <w:szCs w:val="18"/>
              </w:rPr>
              <w:t>≤</w:t>
            </w:r>
            <w:r>
              <w:rPr>
                <w:rFonts w:hAnsi="宋体"/>
                <w:color w:val="000000"/>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50" w:hRule="exact"/>
          <w:jc w:val="center"/>
        </w:trPr>
        <w:tc>
          <w:tcPr>
            <w:tcW w:w="1867" w:type="dxa"/>
            <w:vMerge w:val="continue"/>
            <w:shd w:val="clear" w:color="auto" w:fill="FFFFFF"/>
            <w:vAlign w:val="center"/>
          </w:tcPr>
          <w:p>
            <w:pPr>
              <w:pStyle w:val="22"/>
              <w:ind w:firstLine="0" w:firstLineChars="0"/>
              <w:jc w:val="center"/>
              <w:rPr>
                <w:rFonts w:hAnsi="宋体"/>
                <w:color w:val="000000"/>
                <w:sz w:val="18"/>
                <w:szCs w:val="18"/>
              </w:rPr>
            </w:pPr>
          </w:p>
        </w:tc>
        <w:tc>
          <w:tcPr>
            <w:tcW w:w="1877" w:type="dxa"/>
            <w:shd w:val="clear" w:color="auto" w:fill="FFFFFF"/>
            <w:vAlign w:val="center"/>
          </w:tcPr>
          <w:p>
            <w:pPr>
              <w:widowControl/>
              <w:spacing w:line="276" w:lineRule="auto"/>
              <w:jc w:val="center"/>
              <w:rPr>
                <w:rFonts w:cs="宋体" w:asciiTheme="minorEastAsia" w:hAnsiTheme="minorEastAsia" w:eastAsiaTheme="minorEastAsia"/>
                <w:kern w:val="0"/>
                <w:sz w:val="18"/>
                <w:szCs w:val="18"/>
              </w:rPr>
            </w:pPr>
            <w:r>
              <w:rPr>
                <w:rFonts w:asciiTheme="minorEastAsia" w:hAnsiTheme="minorEastAsia" w:eastAsiaTheme="minorEastAsia"/>
                <w:kern w:val="0"/>
                <w:sz w:val="18"/>
                <w:szCs w:val="18"/>
              </w:rPr>
              <w:t>10.0～14.0</w:t>
            </w:r>
          </w:p>
        </w:tc>
        <w:tc>
          <w:tcPr>
            <w:tcW w:w="1877" w:type="dxa"/>
            <w:vMerge w:val="continue"/>
            <w:shd w:val="clear" w:color="auto" w:fill="FFFFFF"/>
            <w:vAlign w:val="center"/>
          </w:tcPr>
          <w:p>
            <w:pPr>
              <w:pStyle w:val="22"/>
              <w:ind w:firstLine="0" w:firstLineChars="0"/>
              <w:jc w:val="center"/>
              <w:rPr>
                <w:rFonts w:hAnsi="宋体"/>
                <w:color w:val="000000"/>
                <w:sz w:val="18"/>
                <w:szCs w:val="18"/>
              </w:rPr>
            </w:pPr>
          </w:p>
        </w:tc>
        <w:tc>
          <w:tcPr>
            <w:tcW w:w="1877" w:type="dxa"/>
            <w:shd w:val="clear" w:color="auto" w:fill="FFFFFF"/>
            <w:vAlign w:val="center"/>
          </w:tcPr>
          <w:p>
            <w:pPr>
              <w:pStyle w:val="22"/>
              <w:ind w:firstLine="0" w:firstLineChars="0"/>
              <w:jc w:val="center"/>
              <w:rPr>
                <w:rFonts w:hAnsi="宋体"/>
                <w:color w:val="000000"/>
                <w:sz w:val="18"/>
                <w:szCs w:val="18"/>
              </w:rPr>
            </w:pPr>
            <w:r>
              <w:rPr>
                <w:rFonts w:hint="eastAsia" w:hAnsi="宋体"/>
                <w:color w:val="000000"/>
                <w:sz w:val="18"/>
                <w:szCs w:val="18"/>
              </w:rPr>
              <w:t>≤</w:t>
            </w:r>
            <w:r>
              <w:rPr>
                <w:rFonts w:hAnsi="宋体"/>
                <w:color w:val="000000"/>
                <w:sz w:val="18"/>
                <w:szCs w:val="18"/>
              </w:rPr>
              <w:t>2</w:t>
            </w:r>
            <w:r>
              <w:rPr>
                <w:rFonts w:hint="eastAsia" w:hAnsi="宋体"/>
                <w:color w:val="000000"/>
                <w:sz w:val="18"/>
                <w:szCs w:val="18"/>
              </w:rPr>
              <w:t>.0</w:t>
            </w:r>
          </w:p>
        </w:tc>
        <w:tc>
          <w:tcPr>
            <w:tcW w:w="1877" w:type="dxa"/>
            <w:shd w:val="clear" w:color="auto" w:fill="FFFFFF"/>
            <w:vAlign w:val="center"/>
          </w:tcPr>
          <w:p>
            <w:pPr>
              <w:pStyle w:val="22"/>
              <w:ind w:firstLine="0" w:firstLineChars="0"/>
              <w:jc w:val="center"/>
              <w:rPr>
                <w:rFonts w:hAnsi="宋体"/>
                <w:color w:val="000000"/>
                <w:sz w:val="18"/>
                <w:szCs w:val="18"/>
              </w:rPr>
            </w:pPr>
            <w:r>
              <w:rPr>
                <w:rFonts w:hint="eastAsia" w:hAnsi="宋体"/>
                <w:color w:val="000000"/>
                <w:sz w:val="18"/>
                <w:szCs w:val="18"/>
              </w:rPr>
              <w:t>≤</w:t>
            </w:r>
            <w:r>
              <w:rPr>
                <w:rFonts w:hAnsi="宋体"/>
                <w:color w:val="000000"/>
                <w:sz w:val="18"/>
                <w:szCs w:val="18"/>
              </w:rPr>
              <w:t>2.0</w:t>
            </w:r>
          </w:p>
        </w:tc>
      </w:tr>
    </w:tbl>
    <w:p>
      <w:pPr>
        <w:pStyle w:val="22"/>
        <w:rPr>
          <w:lang w:val="zh-CN"/>
        </w:rPr>
      </w:pPr>
    </w:p>
    <w:p>
      <w:pPr>
        <w:pStyle w:val="49"/>
        <w:spacing w:before="156" w:after="156"/>
        <w:rPr>
          <w:lang w:val="zh-CN"/>
        </w:rPr>
      </w:pPr>
      <w:r>
        <w:rPr>
          <w:rFonts w:hint="eastAsia"/>
          <w:lang w:val="zh-CN"/>
        </w:rPr>
        <w:t>非金属夹杂物</w:t>
      </w:r>
    </w:p>
    <w:p>
      <w:pPr>
        <w:pStyle w:val="22"/>
      </w:pPr>
      <w:r>
        <w:rPr>
          <w:rFonts w:hint="eastAsia"/>
          <w:lang w:val="zh-CN"/>
        </w:rPr>
        <w:t>盘条</w:t>
      </w:r>
      <w:r>
        <w:rPr>
          <w:rFonts w:hint="eastAsia"/>
        </w:rPr>
        <w:t>应按GB/T 10561</w:t>
      </w:r>
      <w:r>
        <w:t>-2005</w:t>
      </w:r>
      <w:r>
        <w:rPr>
          <w:rFonts w:hint="eastAsia"/>
        </w:rPr>
        <w:t>中的A法</w:t>
      </w:r>
      <w:r>
        <w:rPr>
          <w:rFonts w:hint="eastAsia"/>
          <w:lang w:val="zh-CN"/>
        </w:rPr>
        <w:t>进行非金属夹杂物检验，合格级别</w:t>
      </w:r>
      <w:r>
        <w:rPr>
          <w:rFonts w:hint="eastAsia"/>
        </w:rPr>
        <w:t>应符合表</w:t>
      </w:r>
      <w:r>
        <w:t>6</w:t>
      </w:r>
      <w:r>
        <w:rPr>
          <w:rFonts w:hint="eastAsia"/>
        </w:rPr>
        <w:t>的规定。</w:t>
      </w:r>
    </w:p>
    <w:p>
      <w:pPr>
        <w:pStyle w:val="149"/>
        <w:spacing w:after="240" w:line="322" w:lineRule="exact"/>
        <w:jc w:val="center"/>
        <w:rPr>
          <w:rFonts w:ascii="黑体" w:hAnsi="Times New Roman" w:eastAsia="黑体" w:cs="黑体"/>
          <w:sz w:val="21"/>
          <w:szCs w:val="21"/>
          <w:lang w:val="en-US" w:eastAsia="en-US" w:bidi="ar-SA"/>
        </w:rPr>
      </w:pPr>
      <w:r>
        <w:rPr>
          <w:rFonts w:hint="eastAsia" w:ascii="黑体" w:hAnsi="Times New Roman" w:eastAsia="黑体" w:cs="黑体"/>
          <w:sz w:val="21"/>
          <w:szCs w:val="21"/>
          <w:lang w:val="en-US" w:eastAsia="en-US" w:bidi="ar-SA"/>
        </w:rPr>
        <w:t>表</w:t>
      </w:r>
      <w:r>
        <w:rPr>
          <w:rFonts w:ascii="黑体" w:hAnsi="Times New Roman" w:eastAsia="黑体" w:cs="黑体"/>
          <w:sz w:val="21"/>
          <w:szCs w:val="21"/>
          <w:lang w:val="en-US" w:eastAsia="en-US" w:bidi="ar-SA"/>
        </w:rPr>
        <w:t xml:space="preserve">6  </w:t>
      </w:r>
      <w:r>
        <w:rPr>
          <w:rFonts w:hint="eastAsia" w:ascii="黑体" w:hAnsi="Times New Roman" w:eastAsia="黑体" w:cs="黑体"/>
          <w:sz w:val="21"/>
          <w:szCs w:val="21"/>
          <w:lang w:val="en-US" w:eastAsia="en-US" w:bidi="ar-SA"/>
        </w:rPr>
        <w:t>非金属夹杂物</w:t>
      </w:r>
    </w:p>
    <w:tbl>
      <w:tblPr>
        <w:tblStyle w:val="32"/>
        <w:tblW w:w="95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5"/>
        <w:gridCol w:w="1598"/>
        <w:gridCol w:w="1596"/>
        <w:gridCol w:w="1596"/>
        <w:gridCol w:w="1596"/>
        <w:gridCol w:w="15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595" w:type="dxa"/>
            <w:vAlign w:val="center"/>
          </w:tcPr>
          <w:p>
            <w:pPr>
              <w:pStyle w:val="22"/>
              <w:ind w:firstLine="0" w:firstLineChars="0"/>
              <w:jc w:val="center"/>
              <w:rPr>
                <w:rFonts w:hint="eastAsia" w:asciiTheme="minorEastAsia" w:hAnsiTheme="minorEastAsia" w:eastAsiaTheme="minorEastAsia"/>
                <w:sz w:val="18"/>
                <w:szCs w:val="18"/>
                <w:lang w:val="zh-TW" w:eastAsia="zh-TW"/>
              </w:rPr>
            </w:pPr>
            <w:r>
              <w:rPr>
                <w:rFonts w:hint="eastAsia" w:asciiTheme="minorEastAsia" w:hAnsiTheme="minorEastAsia" w:eastAsiaTheme="minorEastAsia"/>
                <w:sz w:val="18"/>
                <w:szCs w:val="18"/>
                <w:lang w:val="zh-TW" w:eastAsia="zh-TW"/>
              </w:rPr>
              <w:t>牌号</w:t>
            </w:r>
          </w:p>
        </w:tc>
        <w:tc>
          <w:tcPr>
            <w:tcW w:w="1598" w:type="dxa"/>
          </w:tcPr>
          <w:p>
            <w:pPr>
              <w:pStyle w:val="22"/>
              <w:ind w:firstLine="0" w:firstLineChars="0"/>
              <w:jc w:val="center"/>
              <w:rPr>
                <w:rFonts w:hint="eastAsia" w:asciiTheme="minorEastAsia" w:hAnsiTheme="minorEastAsia" w:eastAsiaTheme="minorEastAsia"/>
                <w:sz w:val="18"/>
                <w:szCs w:val="18"/>
                <w:lang w:val="zh-TW" w:eastAsia="zh-TW"/>
              </w:rPr>
            </w:pPr>
            <w:r>
              <w:rPr>
                <w:rFonts w:hint="eastAsia" w:asciiTheme="minorEastAsia" w:hAnsiTheme="minorEastAsia" w:eastAsiaTheme="minorEastAsia"/>
                <w:sz w:val="18"/>
                <w:szCs w:val="18"/>
                <w:lang w:val="zh-TW" w:eastAsia="zh-TW"/>
              </w:rPr>
              <w:t>夹杂物类型</w:t>
            </w:r>
          </w:p>
        </w:tc>
        <w:tc>
          <w:tcPr>
            <w:tcW w:w="1596" w:type="dxa"/>
          </w:tcPr>
          <w:p>
            <w:pPr>
              <w:pStyle w:val="22"/>
              <w:ind w:firstLine="0" w:firstLineChars="0"/>
              <w:jc w:val="center"/>
              <w:rPr>
                <w:rFonts w:hint="eastAsia" w:asciiTheme="minorEastAsia" w:hAnsiTheme="minorEastAsia" w:eastAsiaTheme="minorEastAsia"/>
                <w:sz w:val="18"/>
                <w:szCs w:val="18"/>
                <w:lang w:val="zh-TW" w:eastAsia="zh-TW"/>
              </w:rPr>
            </w:pPr>
            <w:r>
              <w:rPr>
                <w:rFonts w:hint="eastAsia" w:asciiTheme="minorEastAsia" w:hAnsiTheme="minorEastAsia" w:eastAsiaTheme="minorEastAsia"/>
                <w:sz w:val="18"/>
                <w:szCs w:val="18"/>
                <w:lang w:val="zh-TW" w:eastAsia="zh-TW"/>
              </w:rPr>
              <w:t>A类</w:t>
            </w:r>
          </w:p>
        </w:tc>
        <w:tc>
          <w:tcPr>
            <w:tcW w:w="1596" w:type="dxa"/>
          </w:tcPr>
          <w:p>
            <w:pPr>
              <w:pStyle w:val="22"/>
              <w:ind w:firstLine="0" w:firstLineChars="0"/>
              <w:jc w:val="center"/>
              <w:rPr>
                <w:rFonts w:hint="eastAsia" w:asciiTheme="minorEastAsia" w:hAnsiTheme="minorEastAsia" w:eastAsiaTheme="minorEastAsia"/>
                <w:sz w:val="18"/>
                <w:szCs w:val="18"/>
                <w:lang w:val="zh-TW" w:eastAsia="zh-TW"/>
              </w:rPr>
            </w:pPr>
            <w:r>
              <w:rPr>
                <w:rFonts w:hint="eastAsia" w:asciiTheme="minorEastAsia" w:hAnsiTheme="minorEastAsia" w:eastAsiaTheme="minorEastAsia"/>
                <w:sz w:val="18"/>
                <w:szCs w:val="18"/>
                <w:lang w:val="zh-TW" w:eastAsia="zh-TW"/>
              </w:rPr>
              <w:t>B类</w:t>
            </w:r>
          </w:p>
        </w:tc>
        <w:tc>
          <w:tcPr>
            <w:tcW w:w="1596" w:type="dxa"/>
          </w:tcPr>
          <w:p>
            <w:pPr>
              <w:pStyle w:val="22"/>
              <w:ind w:firstLine="0" w:firstLineChars="0"/>
              <w:jc w:val="center"/>
              <w:rPr>
                <w:rFonts w:hint="eastAsia" w:asciiTheme="minorEastAsia" w:hAnsiTheme="minorEastAsia" w:eastAsiaTheme="minorEastAsia"/>
                <w:sz w:val="18"/>
                <w:szCs w:val="18"/>
                <w:lang w:val="zh-TW" w:eastAsia="zh-TW"/>
              </w:rPr>
            </w:pPr>
            <w:r>
              <w:rPr>
                <w:rFonts w:hint="eastAsia" w:asciiTheme="minorEastAsia" w:hAnsiTheme="minorEastAsia" w:eastAsiaTheme="minorEastAsia"/>
                <w:sz w:val="18"/>
                <w:szCs w:val="18"/>
                <w:lang w:val="zh-TW" w:eastAsia="zh-TW"/>
              </w:rPr>
              <w:t>C类</w:t>
            </w:r>
          </w:p>
        </w:tc>
        <w:tc>
          <w:tcPr>
            <w:tcW w:w="1586" w:type="dxa"/>
            <w:tcBorders>
              <w:right w:val="single" w:color="auto" w:sz="4" w:space="0"/>
            </w:tcBorders>
          </w:tcPr>
          <w:p>
            <w:pPr>
              <w:pStyle w:val="22"/>
              <w:ind w:firstLine="0" w:firstLineChars="0"/>
              <w:jc w:val="center"/>
              <w:rPr>
                <w:rFonts w:hint="eastAsia" w:asciiTheme="minorEastAsia" w:hAnsiTheme="minorEastAsia" w:eastAsiaTheme="minorEastAsia"/>
                <w:sz w:val="18"/>
                <w:szCs w:val="18"/>
                <w:lang w:val="zh-TW" w:eastAsia="zh-TW"/>
              </w:rPr>
            </w:pPr>
            <w:r>
              <w:rPr>
                <w:rFonts w:hint="eastAsia" w:asciiTheme="minorEastAsia" w:hAnsiTheme="minorEastAsia" w:eastAsiaTheme="minorEastAsia"/>
                <w:sz w:val="18"/>
                <w:szCs w:val="18"/>
                <w:lang w:val="zh-TW" w:eastAsia="zh-TW"/>
              </w:rPr>
              <w:t>D类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595" w:type="dxa"/>
            <w:vMerge w:val="restart"/>
            <w:vAlign w:val="center"/>
          </w:tcPr>
          <w:p>
            <w:pPr>
              <w:pStyle w:val="22"/>
              <w:ind w:firstLine="0" w:firstLineChars="0"/>
              <w:jc w:val="center"/>
              <w:rPr>
                <w:rFonts w:hint="eastAsia" w:asciiTheme="minorEastAsia" w:hAnsiTheme="minorEastAsia" w:eastAsiaTheme="minorEastAsia"/>
                <w:sz w:val="18"/>
                <w:szCs w:val="18"/>
                <w:lang w:val="zh-TW" w:eastAsia="zh-TW"/>
              </w:rPr>
            </w:pPr>
            <w:r>
              <w:rPr>
                <w:rFonts w:hint="eastAsia" w:asciiTheme="minorEastAsia" w:hAnsiTheme="minorEastAsia" w:eastAsiaTheme="minorEastAsia"/>
                <w:sz w:val="18"/>
                <w:szCs w:val="18"/>
                <w:lang w:val="zh-TW" w:eastAsia="zh-TW"/>
              </w:rPr>
              <w:t>C72D2</w:t>
            </w:r>
          </w:p>
        </w:tc>
        <w:tc>
          <w:tcPr>
            <w:tcW w:w="1598" w:type="dxa"/>
            <w:vAlign w:val="center"/>
          </w:tcPr>
          <w:p>
            <w:pPr>
              <w:pStyle w:val="22"/>
              <w:ind w:firstLine="0" w:firstLineChars="0"/>
              <w:jc w:val="center"/>
              <w:rPr>
                <w:rFonts w:hint="eastAsia" w:asciiTheme="minorEastAsia" w:hAnsiTheme="minorEastAsia" w:eastAsiaTheme="minorEastAsia"/>
                <w:sz w:val="18"/>
                <w:szCs w:val="18"/>
                <w:lang w:val="zh-TW" w:eastAsia="zh-TW"/>
              </w:rPr>
            </w:pPr>
            <w:r>
              <w:rPr>
                <w:rFonts w:hint="eastAsia" w:asciiTheme="minorEastAsia" w:hAnsiTheme="minorEastAsia" w:eastAsiaTheme="minorEastAsia"/>
                <w:sz w:val="18"/>
                <w:szCs w:val="18"/>
                <w:lang w:val="zh-TW" w:eastAsia="zh-TW"/>
              </w:rPr>
              <w:t>粗系，级</w:t>
            </w:r>
          </w:p>
        </w:tc>
        <w:tc>
          <w:tcPr>
            <w:tcW w:w="1596" w:type="dxa"/>
          </w:tcPr>
          <w:p>
            <w:pPr>
              <w:pStyle w:val="22"/>
              <w:ind w:firstLine="0" w:firstLineChars="0"/>
              <w:jc w:val="center"/>
              <w:rPr>
                <w:rFonts w:hint="eastAsia" w:asciiTheme="minorEastAsia" w:hAnsiTheme="minorEastAsia" w:eastAsiaTheme="minorEastAsia"/>
                <w:sz w:val="18"/>
                <w:szCs w:val="18"/>
                <w:lang w:val="zh-TW" w:eastAsia="zh-TW"/>
              </w:rPr>
            </w:pPr>
            <w:r>
              <w:rPr>
                <w:rFonts w:hint="eastAsia" w:asciiTheme="minorEastAsia" w:hAnsiTheme="minorEastAsia" w:eastAsiaTheme="minorEastAsia"/>
                <w:sz w:val="18"/>
                <w:szCs w:val="18"/>
                <w:lang w:val="zh-TW" w:eastAsia="zh-TW"/>
              </w:rPr>
              <w:t>≤1.0</w:t>
            </w:r>
          </w:p>
        </w:tc>
        <w:tc>
          <w:tcPr>
            <w:tcW w:w="1596" w:type="dxa"/>
          </w:tcPr>
          <w:p>
            <w:pPr>
              <w:pStyle w:val="22"/>
              <w:ind w:firstLine="0" w:firstLineChars="0"/>
              <w:jc w:val="center"/>
              <w:rPr>
                <w:rFonts w:hint="eastAsia" w:asciiTheme="minorEastAsia" w:hAnsiTheme="minorEastAsia" w:eastAsiaTheme="minorEastAsia"/>
                <w:sz w:val="18"/>
                <w:szCs w:val="18"/>
                <w:lang w:val="zh-TW" w:eastAsia="zh-TW"/>
              </w:rPr>
            </w:pPr>
            <w:r>
              <w:rPr>
                <w:rFonts w:hint="eastAsia" w:asciiTheme="minorEastAsia" w:hAnsiTheme="minorEastAsia" w:eastAsiaTheme="minorEastAsia"/>
                <w:sz w:val="18"/>
                <w:szCs w:val="18"/>
                <w:lang w:val="zh-TW" w:eastAsia="zh-TW"/>
              </w:rPr>
              <w:t>≤0.5</w:t>
            </w:r>
          </w:p>
        </w:tc>
        <w:tc>
          <w:tcPr>
            <w:tcW w:w="1596" w:type="dxa"/>
          </w:tcPr>
          <w:p>
            <w:pPr>
              <w:pStyle w:val="22"/>
              <w:ind w:firstLine="0" w:firstLineChars="0"/>
              <w:jc w:val="center"/>
              <w:rPr>
                <w:rFonts w:hint="eastAsia" w:asciiTheme="minorEastAsia" w:hAnsiTheme="minorEastAsia" w:eastAsiaTheme="minorEastAsia"/>
                <w:sz w:val="18"/>
                <w:szCs w:val="18"/>
                <w:lang w:val="zh-TW" w:eastAsia="zh-TW"/>
              </w:rPr>
            </w:pPr>
            <w:r>
              <w:rPr>
                <w:rFonts w:hint="eastAsia" w:asciiTheme="minorEastAsia" w:hAnsiTheme="minorEastAsia" w:eastAsiaTheme="minorEastAsia"/>
                <w:sz w:val="18"/>
                <w:szCs w:val="18"/>
                <w:lang w:val="zh-TW" w:eastAsia="zh-TW"/>
              </w:rPr>
              <w:t>≤1.0</w:t>
            </w:r>
          </w:p>
        </w:tc>
        <w:tc>
          <w:tcPr>
            <w:tcW w:w="1586" w:type="dxa"/>
            <w:tcBorders>
              <w:right w:val="single" w:color="auto" w:sz="4" w:space="0"/>
            </w:tcBorders>
          </w:tcPr>
          <w:p>
            <w:pPr>
              <w:pStyle w:val="22"/>
              <w:ind w:firstLine="0" w:firstLineChars="0"/>
              <w:jc w:val="center"/>
              <w:rPr>
                <w:rFonts w:hint="eastAsia" w:asciiTheme="minorEastAsia" w:hAnsiTheme="minorEastAsia" w:eastAsiaTheme="minorEastAsia"/>
                <w:sz w:val="18"/>
                <w:szCs w:val="18"/>
                <w:lang w:val="zh-TW" w:eastAsia="zh-TW"/>
              </w:rPr>
            </w:pPr>
            <w:r>
              <w:rPr>
                <w:rFonts w:hint="eastAsia" w:asciiTheme="minorEastAsia" w:hAnsiTheme="minorEastAsia" w:eastAsiaTheme="minorEastAsia"/>
                <w:sz w:val="18"/>
                <w:szCs w:val="18"/>
                <w:lang w:val="zh-TW" w:eastAsia="zh-TW"/>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595" w:type="dxa"/>
            <w:vMerge w:val="continue"/>
            <w:vAlign w:val="center"/>
          </w:tcPr>
          <w:p>
            <w:pPr>
              <w:pStyle w:val="22"/>
              <w:ind w:firstLine="0" w:firstLineChars="0"/>
              <w:jc w:val="center"/>
              <w:rPr>
                <w:rFonts w:hint="eastAsia" w:asciiTheme="minorEastAsia" w:hAnsiTheme="minorEastAsia" w:eastAsiaTheme="minorEastAsia"/>
                <w:sz w:val="18"/>
                <w:szCs w:val="18"/>
                <w:lang w:val="zh-TW" w:eastAsia="zh-TW"/>
              </w:rPr>
            </w:pPr>
          </w:p>
        </w:tc>
        <w:tc>
          <w:tcPr>
            <w:tcW w:w="1598" w:type="dxa"/>
            <w:vAlign w:val="center"/>
          </w:tcPr>
          <w:p>
            <w:pPr>
              <w:pStyle w:val="22"/>
              <w:ind w:firstLine="0" w:firstLineChars="0"/>
              <w:jc w:val="center"/>
              <w:rPr>
                <w:rFonts w:hint="eastAsia" w:asciiTheme="minorEastAsia" w:hAnsiTheme="minorEastAsia" w:eastAsiaTheme="minorEastAsia"/>
                <w:sz w:val="18"/>
                <w:szCs w:val="18"/>
                <w:lang w:val="zh-TW" w:eastAsia="zh-TW"/>
              </w:rPr>
            </w:pPr>
            <w:r>
              <w:rPr>
                <w:rFonts w:hint="eastAsia" w:asciiTheme="minorEastAsia" w:hAnsiTheme="minorEastAsia" w:eastAsiaTheme="minorEastAsia"/>
                <w:sz w:val="18"/>
                <w:szCs w:val="18"/>
                <w:lang w:val="zh-TW" w:eastAsia="zh-TW"/>
              </w:rPr>
              <w:t>细系，级</w:t>
            </w:r>
          </w:p>
        </w:tc>
        <w:tc>
          <w:tcPr>
            <w:tcW w:w="1596" w:type="dxa"/>
            <w:vAlign w:val="center"/>
          </w:tcPr>
          <w:p>
            <w:pPr>
              <w:pStyle w:val="22"/>
              <w:ind w:firstLine="0" w:firstLineChars="0"/>
              <w:jc w:val="center"/>
              <w:rPr>
                <w:rFonts w:hint="eastAsia" w:asciiTheme="minorEastAsia" w:hAnsiTheme="minorEastAsia" w:eastAsiaTheme="minorEastAsia"/>
                <w:sz w:val="18"/>
                <w:szCs w:val="18"/>
                <w:lang w:val="zh-TW" w:eastAsia="zh-TW"/>
              </w:rPr>
            </w:pPr>
            <w:r>
              <w:rPr>
                <w:rFonts w:hint="eastAsia" w:asciiTheme="minorEastAsia" w:hAnsiTheme="minorEastAsia" w:eastAsiaTheme="minorEastAsia"/>
                <w:sz w:val="18"/>
                <w:szCs w:val="18"/>
                <w:lang w:val="zh-TW" w:eastAsia="zh-TW"/>
              </w:rPr>
              <w:t>≤1.0</w:t>
            </w:r>
          </w:p>
        </w:tc>
        <w:tc>
          <w:tcPr>
            <w:tcW w:w="1596" w:type="dxa"/>
            <w:vAlign w:val="center"/>
          </w:tcPr>
          <w:p>
            <w:pPr>
              <w:pStyle w:val="22"/>
              <w:ind w:firstLine="0" w:firstLineChars="0"/>
              <w:jc w:val="center"/>
              <w:rPr>
                <w:rFonts w:hint="eastAsia" w:asciiTheme="minorEastAsia" w:hAnsiTheme="minorEastAsia" w:eastAsiaTheme="minorEastAsia"/>
                <w:sz w:val="18"/>
                <w:szCs w:val="18"/>
                <w:lang w:val="zh-TW" w:eastAsia="zh-TW"/>
              </w:rPr>
            </w:pPr>
            <w:r>
              <w:rPr>
                <w:rFonts w:hint="eastAsia" w:asciiTheme="minorEastAsia" w:hAnsiTheme="minorEastAsia" w:eastAsiaTheme="minorEastAsia"/>
                <w:sz w:val="18"/>
                <w:szCs w:val="18"/>
                <w:lang w:val="zh-TW" w:eastAsia="zh-TW"/>
              </w:rPr>
              <w:t>≤0.5</w:t>
            </w:r>
          </w:p>
        </w:tc>
        <w:tc>
          <w:tcPr>
            <w:tcW w:w="1596" w:type="dxa"/>
            <w:vAlign w:val="center"/>
          </w:tcPr>
          <w:p>
            <w:pPr>
              <w:pStyle w:val="22"/>
              <w:ind w:firstLine="0" w:firstLineChars="0"/>
              <w:jc w:val="center"/>
              <w:rPr>
                <w:rFonts w:hint="eastAsia" w:asciiTheme="minorEastAsia" w:hAnsiTheme="minorEastAsia" w:eastAsiaTheme="minorEastAsia"/>
                <w:sz w:val="18"/>
                <w:szCs w:val="18"/>
                <w:lang w:val="zh-TW" w:eastAsia="zh-TW"/>
              </w:rPr>
            </w:pPr>
            <w:r>
              <w:rPr>
                <w:rFonts w:hint="eastAsia" w:asciiTheme="minorEastAsia" w:hAnsiTheme="minorEastAsia" w:eastAsiaTheme="minorEastAsia"/>
                <w:sz w:val="18"/>
                <w:szCs w:val="18"/>
                <w:lang w:val="zh-TW" w:eastAsia="zh-TW"/>
              </w:rPr>
              <w:t>≤1.0</w:t>
            </w:r>
          </w:p>
        </w:tc>
        <w:tc>
          <w:tcPr>
            <w:tcW w:w="1586" w:type="dxa"/>
            <w:tcBorders>
              <w:right w:val="single" w:color="auto" w:sz="4" w:space="0"/>
            </w:tcBorders>
            <w:vAlign w:val="center"/>
          </w:tcPr>
          <w:p>
            <w:pPr>
              <w:pStyle w:val="22"/>
              <w:ind w:firstLine="0" w:firstLineChars="0"/>
              <w:jc w:val="center"/>
              <w:rPr>
                <w:rFonts w:hint="eastAsia" w:asciiTheme="minorEastAsia" w:hAnsiTheme="minorEastAsia" w:eastAsiaTheme="minorEastAsia"/>
                <w:sz w:val="18"/>
                <w:szCs w:val="18"/>
                <w:lang w:val="zh-TW" w:eastAsia="zh-TW"/>
              </w:rPr>
            </w:pPr>
            <w:r>
              <w:rPr>
                <w:rFonts w:hint="eastAsia" w:asciiTheme="minorEastAsia" w:hAnsiTheme="minorEastAsia" w:eastAsiaTheme="minorEastAsia"/>
                <w:sz w:val="18"/>
                <w:szCs w:val="18"/>
                <w:lang w:val="zh-TW" w:eastAsia="zh-TW"/>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595" w:type="dxa"/>
            <w:vMerge w:val="restart"/>
            <w:vAlign w:val="center"/>
          </w:tcPr>
          <w:p>
            <w:pPr>
              <w:pStyle w:val="22"/>
              <w:ind w:firstLine="0" w:firstLineChars="0"/>
              <w:jc w:val="center"/>
              <w:rPr>
                <w:rFonts w:hint="eastAsia" w:asciiTheme="minorEastAsia" w:hAnsiTheme="minorEastAsia" w:eastAsiaTheme="minorEastAsia"/>
                <w:sz w:val="18"/>
                <w:szCs w:val="18"/>
                <w:lang w:val="zh-TW" w:eastAsia="zh-TW"/>
              </w:rPr>
            </w:pPr>
            <w:r>
              <w:rPr>
                <w:rFonts w:hint="eastAsia" w:asciiTheme="minorEastAsia" w:hAnsiTheme="minorEastAsia" w:eastAsiaTheme="minorEastAsia"/>
                <w:sz w:val="18"/>
                <w:szCs w:val="18"/>
                <w:lang w:val="zh-TW" w:eastAsia="zh-TW"/>
              </w:rPr>
              <w:t>C82D2</w:t>
            </w:r>
          </w:p>
        </w:tc>
        <w:tc>
          <w:tcPr>
            <w:tcW w:w="1598" w:type="dxa"/>
            <w:vAlign w:val="center"/>
          </w:tcPr>
          <w:p>
            <w:pPr>
              <w:pStyle w:val="22"/>
              <w:ind w:firstLine="0" w:firstLineChars="0"/>
              <w:jc w:val="center"/>
              <w:rPr>
                <w:rFonts w:hint="eastAsia" w:asciiTheme="minorEastAsia" w:hAnsiTheme="minorEastAsia" w:eastAsiaTheme="minorEastAsia"/>
                <w:sz w:val="18"/>
                <w:szCs w:val="18"/>
                <w:lang w:val="zh-TW" w:eastAsia="zh-TW"/>
              </w:rPr>
            </w:pPr>
            <w:r>
              <w:rPr>
                <w:rFonts w:hint="eastAsia" w:asciiTheme="minorEastAsia" w:hAnsiTheme="minorEastAsia" w:eastAsiaTheme="minorEastAsia"/>
                <w:sz w:val="18"/>
                <w:szCs w:val="18"/>
                <w:lang w:val="zh-TW" w:eastAsia="zh-TW"/>
              </w:rPr>
              <w:t>粗系，级</w:t>
            </w:r>
          </w:p>
        </w:tc>
        <w:tc>
          <w:tcPr>
            <w:tcW w:w="1596" w:type="dxa"/>
          </w:tcPr>
          <w:p>
            <w:pPr>
              <w:pStyle w:val="22"/>
              <w:ind w:firstLine="0" w:firstLineChars="0"/>
              <w:jc w:val="center"/>
              <w:rPr>
                <w:rFonts w:hint="eastAsia" w:asciiTheme="minorEastAsia" w:hAnsiTheme="minorEastAsia" w:eastAsiaTheme="minorEastAsia"/>
                <w:sz w:val="18"/>
                <w:szCs w:val="18"/>
                <w:lang w:val="zh-TW" w:eastAsia="zh-TW"/>
              </w:rPr>
            </w:pPr>
            <w:r>
              <w:rPr>
                <w:rFonts w:hint="eastAsia" w:asciiTheme="minorEastAsia" w:hAnsiTheme="minorEastAsia" w:eastAsiaTheme="minorEastAsia"/>
                <w:sz w:val="18"/>
                <w:szCs w:val="18"/>
                <w:lang w:val="zh-TW" w:eastAsia="zh-TW"/>
              </w:rPr>
              <w:t>≤2.0</w:t>
            </w:r>
          </w:p>
        </w:tc>
        <w:tc>
          <w:tcPr>
            <w:tcW w:w="1596" w:type="dxa"/>
          </w:tcPr>
          <w:p>
            <w:pPr>
              <w:pStyle w:val="22"/>
              <w:ind w:firstLine="0" w:firstLineChars="0"/>
              <w:jc w:val="center"/>
              <w:rPr>
                <w:rFonts w:hint="eastAsia" w:asciiTheme="minorEastAsia" w:hAnsiTheme="minorEastAsia" w:eastAsiaTheme="minorEastAsia"/>
                <w:sz w:val="18"/>
                <w:szCs w:val="18"/>
                <w:lang w:val="zh-TW" w:eastAsia="zh-TW"/>
              </w:rPr>
            </w:pPr>
            <w:r>
              <w:rPr>
                <w:rFonts w:hint="eastAsia" w:asciiTheme="minorEastAsia" w:hAnsiTheme="minorEastAsia" w:eastAsiaTheme="minorEastAsia"/>
                <w:sz w:val="18"/>
                <w:szCs w:val="18"/>
                <w:lang w:val="zh-TW" w:eastAsia="zh-TW"/>
              </w:rPr>
              <w:t>≤1.5</w:t>
            </w:r>
          </w:p>
        </w:tc>
        <w:tc>
          <w:tcPr>
            <w:tcW w:w="1596" w:type="dxa"/>
          </w:tcPr>
          <w:p>
            <w:pPr>
              <w:pStyle w:val="22"/>
              <w:ind w:firstLine="0" w:firstLineChars="0"/>
              <w:jc w:val="center"/>
              <w:rPr>
                <w:rFonts w:hint="eastAsia" w:asciiTheme="minorEastAsia" w:hAnsiTheme="minorEastAsia" w:eastAsiaTheme="minorEastAsia"/>
                <w:sz w:val="18"/>
                <w:szCs w:val="18"/>
                <w:lang w:val="zh-TW" w:eastAsia="zh-TW"/>
              </w:rPr>
            </w:pPr>
            <w:r>
              <w:rPr>
                <w:rFonts w:hint="eastAsia" w:asciiTheme="minorEastAsia" w:hAnsiTheme="minorEastAsia" w:eastAsiaTheme="minorEastAsia"/>
                <w:sz w:val="18"/>
                <w:szCs w:val="18"/>
                <w:lang w:val="zh-TW" w:eastAsia="zh-TW"/>
              </w:rPr>
              <w:t>≤2.0</w:t>
            </w:r>
          </w:p>
        </w:tc>
        <w:tc>
          <w:tcPr>
            <w:tcW w:w="1586" w:type="dxa"/>
            <w:tcBorders>
              <w:right w:val="single" w:color="auto" w:sz="4" w:space="0"/>
            </w:tcBorders>
          </w:tcPr>
          <w:p>
            <w:pPr>
              <w:pStyle w:val="22"/>
              <w:ind w:firstLine="0" w:firstLineChars="0"/>
              <w:jc w:val="center"/>
              <w:rPr>
                <w:rFonts w:hint="eastAsia" w:asciiTheme="minorEastAsia" w:hAnsiTheme="minorEastAsia" w:eastAsiaTheme="minorEastAsia"/>
                <w:sz w:val="18"/>
                <w:szCs w:val="18"/>
                <w:lang w:val="zh-TW" w:eastAsia="zh-TW"/>
              </w:rPr>
            </w:pPr>
            <w:r>
              <w:rPr>
                <w:rFonts w:hint="eastAsia" w:asciiTheme="minorEastAsia" w:hAnsiTheme="minorEastAsia" w:eastAsiaTheme="minorEastAsia"/>
                <w:sz w:val="18"/>
                <w:szCs w:val="18"/>
                <w:lang w:val="zh-TW" w:eastAsia="zh-TW"/>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595" w:type="dxa"/>
            <w:vMerge w:val="continue"/>
            <w:vAlign w:val="center"/>
          </w:tcPr>
          <w:p>
            <w:pPr>
              <w:pStyle w:val="22"/>
              <w:ind w:firstLine="0" w:firstLineChars="0"/>
              <w:jc w:val="center"/>
              <w:rPr>
                <w:rFonts w:hint="eastAsia" w:asciiTheme="minorEastAsia" w:hAnsiTheme="minorEastAsia" w:eastAsiaTheme="minorEastAsia"/>
                <w:sz w:val="18"/>
                <w:szCs w:val="18"/>
                <w:lang w:val="zh-TW" w:eastAsia="zh-TW"/>
              </w:rPr>
            </w:pPr>
          </w:p>
        </w:tc>
        <w:tc>
          <w:tcPr>
            <w:tcW w:w="1598" w:type="dxa"/>
            <w:vAlign w:val="center"/>
          </w:tcPr>
          <w:p>
            <w:pPr>
              <w:pStyle w:val="22"/>
              <w:ind w:firstLine="0" w:firstLineChars="0"/>
              <w:jc w:val="center"/>
              <w:rPr>
                <w:rFonts w:hint="eastAsia" w:asciiTheme="minorEastAsia" w:hAnsiTheme="minorEastAsia" w:eastAsiaTheme="minorEastAsia"/>
                <w:sz w:val="18"/>
                <w:szCs w:val="18"/>
                <w:lang w:val="zh-TW" w:eastAsia="zh-TW"/>
              </w:rPr>
            </w:pPr>
            <w:r>
              <w:rPr>
                <w:rFonts w:hint="eastAsia" w:asciiTheme="minorEastAsia" w:hAnsiTheme="minorEastAsia" w:eastAsiaTheme="minorEastAsia"/>
                <w:sz w:val="18"/>
                <w:szCs w:val="18"/>
                <w:lang w:val="zh-TW" w:eastAsia="zh-TW"/>
              </w:rPr>
              <w:t>细系，级</w:t>
            </w:r>
          </w:p>
        </w:tc>
        <w:tc>
          <w:tcPr>
            <w:tcW w:w="1596" w:type="dxa"/>
            <w:vAlign w:val="center"/>
          </w:tcPr>
          <w:p>
            <w:pPr>
              <w:pStyle w:val="22"/>
              <w:ind w:firstLine="0" w:firstLineChars="0"/>
              <w:jc w:val="center"/>
              <w:rPr>
                <w:rFonts w:hint="eastAsia" w:asciiTheme="minorEastAsia" w:hAnsiTheme="minorEastAsia" w:eastAsiaTheme="minorEastAsia"/>
                <w:sz w:val="18"/>
                <w:szCs w:val="18"/>
                <w:lang w:val="zh-TW" w:eastAsia="zh-TW"/>
              </w:rPr>
            </w:pPr>
            <w:r>
              <w:rPr>
                <w:rFonts w:hint="eastAsia" w:asciiTheme="minorEastAsia" w:hAnsiTheme="minorEastAsia" w:eastAsiaTheme="minorEastAsia"/>
                <w:sz w:val="18"/>
                <w:szCs w:val="18"/>
                <w:lang w:val="zh-TW" w:eastAsia="zh-TW"/>
              </w:rPr>
              <w:t>≤2.0</w:t>
            </w:r>
          </w:p>
        </w:tc>
        <w:tc>
          <w:tcPr>
            <w:tcW w:w="1596" w:type="dxa"/>
            <w:vAlign w:val="center"/>
          </w:tcPr>
          <w:p>
            <w:pPr>
              <w:pStyle w:val="22"/>
              <w:ind w:firstLine="0" w:firstLineChars="0"/>
              <w:jc w:val="center"/>
              <w:rPr>
                <w:rFonts w:hint="eastAsia" w:asciiTheme="minorEastAsia" w:hAnsiTheme="minorEastAsia" w:eastAsiaTheme="minorEastAsia"/>
                <w:sz w:val="18"/>
                <w:szCs w:val="18"/>
                <w:lang w:val="zh-TW" w:eastAsia="zh-TW"/>
              </w:rPr>
            </w:pPr>
            <w:r>
              <w:rPr>
                <w:rFonts w:hint="eastAsia" w:asciiTheme="minorEastAsia" w:hAnsiTheme="minorEastAsia" w:eastAsiaTheme="minorEastAsia"/>
                <w:sz w:val="18"/>
                <w:szCs w:val="18"/>
                <w:lang w:val="zh-TW" w:eastAsia="zh-TW"/>
              </w:rPr>
              <w:t>≤1.5</w:t>
            </w:r>
          </w:p>
        </w:tc>
        <w:tc>
          <w:tcPr>
            <w:tcW w:w="1596" w:type="dxa"/>
            <w:vAlign w:val="center"/>
          </w:tcPr>
          <w:p>
            <w:pPr>
              <w:pStyle w:val="22"/>
              <w:ind w:firstLine="0" w:firstLineChars="0"/>
              <w:jc w:val="center"/>
              <w:rPr>
                <w:rFonts w:hint="eastAsia" w:asciiTheme="minorEastAsia" w:hAnsiTheme="minorEastAsia" w:eastAsiaTheme="minorEastAsia"/>
                <w:sz w:val="18"/>
                <w:szCs w:val="18"/>
                <w:lang w:val="zh-TW" w:eastAsia="zh-TW"/>
              </w:rPr>
            </w:pPr>
            <w:r>
              <w:rPr>
                <w:rFonts w:hint="eastAsia" w:asciiTheme="minorEastAsia" w:hAnsiTheme="minorEastAsia" w:eastAsiaTheme="minorEastAsia"/>
                <w:sz w:val="18"/>
                <w:szCs w:val="18"/>
                <w:lang w:val="zh-TW" w:eastAsia="zh-TW"/>
              </w:rPr>
              <w:t>≤2.0</w:t>
            </w:r>
          </w:p>
        </w:tc>
        <w:tc>
          <w:tcPr>
            <w:tcW w:w="1586" w:type="dxa"/>
            <w:tcBorders>
              <w:right w:val="single" w:color="auto" w:sz="4" w:space="0"/>
            </w:tcBorders>
            <w:vAlign w:val="center"/>
          </w:tcPr>
          <w:p>
            <w:pPr>
              <w:pStyle w:val="22"/>
              <w:ind w:firstLine="0" w:firstLineChars="0"/>
              <w:jc w:val="center"/>
              <w:rPr>
                <w:rFonts w:hint="eastAsia" w:asciiTheme="minorEastAsia" w:hAnsiTheme="minorEastAsia" w:eastAsiaTheme="minorEastAsia"/>
                <w:sz w:val="18"/>
                <w:szCs w:val="18"/>
                <w:lang w:val="zh-TW" w:eastAsia="zh-TW"/>
              </w:rPr>
            </w:pPr>
            <w:r>
              <w:rPr>
                <w:rFonts w:hint="eastAsia" w:asciiTheme="minorEastAsia" w:hAnsiTheme="minorEastAsia" w:eastAsiaTheme="minorEastAsia"/>
                <w:sz w:val="18"/>
                <w:szCs w:val="18"/>
                <w:lang w:val="zh-TW" w:eastAsia="zh-TW"/>
              </w:rPr>
              <w:t>≤1.5</w:t>
            </w:r>
          </w:p>
        </w:tc>
      </w:tr>
    </w:tbl>
    <w:p>
      <w:pPr>
        <w:pStyle w:val="22"/>
        <w:rPr>
          <w:lang w:val="zh-CN"/>
        </w:rPr>
      </w:pPr>
    </w:p>
    <w:p>
      <w:pPr>
        <w:pStyle w:val="49"/>
        <w:spacing w:before="156" w:after="156"/>
        <w:rPr>
          <w:rFonts w:ascii="Times New Roman"/>
        </w:rPr>
      </w:pPr>
      <w:r>
        <w:rPr>
          <w:rFonts w:hint="eastAsia" w:ascii="Times New Roman"/>
        </w:rPr>
        <w:t>氧化铁皮</w:t>
      </w:r>
    </w:p>
    <w:p>
      <w:pPr>
        <w:pStyle w:val="22"/>
        <w:rPr>
          <w:lang w:val="zh-CN"/>
        </w:rPr>
      </w:pPr>
      <w:r>
        <w:rPr>
          <w:rFonts w:hint="eastAsia"/>
          <w:lang w:val="zh-CN"/>
        </w:rPr>
        <w:t>氧化铁皮要求由供需双方协商确定</w:t>
      </w:r>
      <w:r>
        <w:rPr>
          <w:rFonts w:hint="eastAsia" w:hAnsi="宋体"/>
          <w:color w:val="000000"/>
        </w:rPr>
        <w:t>，可规定氧化铁皮的数量和</w:t>
      </w:r>
      <w:r>
        <w:rPr>
          <w:rFonts w:hAnsi="宋体"/>
          <w:color w:val="000000"/>
        </w:rPr>
        <w:t>/</w:t>
      </w:r>
      <w:r>
        <w:rPr>
          <w:rFonts w:hint="eastAsia" w:hAnsi="宋体"/>
          <w:color w:val="000000"/>
        </w:rPr>
        <w:t>或去除方式。</w:t>
      </w:r>
    </w:p>
    <w:p>
      <w:pPr>
        <w:pStyle w:val="49"/>
        <w:spacing w:before="156" w:after="156"/>
        <w:rPr>
          <w:rFonts w:ascii="Times New Roman"/>
        </w:rPr>
      </w:pPr>
      <w:r>
        <w:rPr>
          <w:rFonts w:ascii="Times New Roman"/>
        </w:rPr>
        <w:t>表面质量</w:t>
      </w:r>
    </w:p>
    <w:p>
      <w:pPr>
        <w:widowControl/>
        <w:numPr>
          <w:ilvl w:val="2"/>
          <w:numId w:val="2"/>
        </w:numPr>
        <w:jc w:val="left"/>
        <w:outlineLvl w:val="3"/>
        <w:rPr>
          <w:rFonts w:hint="eastAsia" w:ascii="Times New Roman" w:hAnsi="Times New Roman" w:cs="Times New Roman"/>
        </w:rPr>
      </w:pPr>
      <w:r>
        <w:rPr>
          <w:rFonts w:hint="eastAsia" w:ascii="Times New Roman" w:hAnsi="Times New Roman" w:cs="Times New Roman"/>
        </w:rPr>
        <w:t>盘条应将头尾有害缺陷部分切除，其截面不应有缩孔、分层及夹杂.</w:t>
      </w:r>
    </w:p>
    <w:p>
      <w:pPr>
        <w:widowControl/>
        <w:numPr>
          <w:ilvl w:val="2"/>
          <w:numId w:val="2"/>
        </w:numPr>
        <w:jc w:val="left"/>
        <w:outlineLvl w:val="3"/>
        <w:rPr>
          <w:rFonts w:hint="eastAsia" w:ascii="Times New Roman" w:hAnsi="Times New Roman" w:cs="Times New Roman"/>
          <w:lang w:eastAsia="zh-CN"/>
        </w:rPr>
      </w:pPr>
      <w:r>
        <w:rPr>
          <w:rFonts w:hint="eastAsia" w:ascii="Times New Roman" w:hAnsi="Times New Roman" w:cs="Times New Roman"/>
        </w:rPr>
        <w:t>盘条表面应光滑，不应有目视可见的裂纹、折叠、耳子、结疤</w:t>
      </w:r>
      <w:r>
        <w:rPr>
          <w:rFonts w:hint="eastAsia" w:ascii="Times New Roman" w:hAnsi="Times New Roman" w:cs="Times New Roman"/>
          <w:lang w:eastAsia="zh-CN"/>
        </w:rPr>
        <w:t>、</w:t>
      </w:r>
      <w:r>
        <w:rPr>
          <w:rFonts w:hint="eastAsia" w:ascii="Times New Roman" w:hAnsi="Times New Roman" w:cs="Times New Roman"/>
          <w:lang w:val="en-US" w:eastAsia="zh-CN"/>
        </w:rPr>
        <w:t>夹杂</w:t>
      </w:r>
      <w:r>
        <w:rPr>
          <w:rFonts w:hint="eastAsia" w:ascii="Times New Roman" w:hAnsi="Times New Roman" w:cs="Times New Roman"/>
        </w:rPr>
        <w:t>等有害缺陷</w:t>
      </w:r>
      <w:r>
        <w:rPr>
          <w:rFonts w:hint="eastAsia" w:ascii="Times New Roman" w:hAnsi="Times New Roman" w:cs="Times New Roman"/>
          <w:lang w:eastAsia="zh-CN"/>
        </w:rPr>
        <w:t>，允许存在深度不超0.10mm的个别划痕和麻点，以及深度不超0.10mm的个别发纹。</w:t>
      </w:r>
    </w:p>
    <w:p>
      <w:pPr>
        <w:widowControl/>
        <w:numPr>
          <w:ilvl w:val="2"/>
          <w:numId w:val="2"/>
        </w:numPr>
        <w:jc w:val="left"/>
        <w:outlineLvl w:val="3"/>
        <w:rPr>
          <w:rFonts w:hint="eastAsia" w:ascii="Times New Roman" w:hAnsi="Times New Roman" w:cs="Times New Roman"/>
          <w:lang w:eastAsia="zh-CN"/>
        </w:rPr>
      </w:pPr>
      <w:r>
        <w:rPr>
          <w:rFonts w:hint="eastAsia" w:ascii="Times New Roman" w:hAnsi="Times New Roman" w:cs="Times New Roman"/>
        </w:rPr>
        <w:t>盘条不应有影响后续加工和最终使用的机械损伤，包括盘卷之间、</w:t>
      </w:r>
      <w:r>
        <w:rPr>
          <w:rFonts w:hint="eastAsia" w:ascii="Times New Roman" w:hAnsi="Times New Roman" w:cs="Times New Roman"/>
          <w:lang w:val="en-US" w:eastAsia="zh-CN"/>
        </w:rPr>
        <w:t>盘</w:t>
      </w:r>
      <w:r>
        <w:rPr>
          <w:rFonts w:hint="eastAsia" w:ascii="Times New Roman" w:hAnsi="Times New Roman" w:cs="Times New Roman"/>
        </w:rPr>
        <w:t>卷与地面之间以及盘卷在装运、堆垛过程中与机械设备之间等造成的损伤</w:t>
      </w:r>
      <w:r>
        <w:rPr>
          <w:rFonts w:hint="eastAsia" w:ascii="Times New Roman" w:hAnsi="Times New Roman" w:cs="Times New Roman"/>
          <w:lang w:eastAsia="zh-CN"/>
        </w:rPr>
        <w:t>。</w:t>
      </w:r>
      <w:r>
        <w:rPr>
          <w:rFonts w:hint="eastAsia" w:ascii="Times New Roman" w:hAnsi="Times New Roman" w:cs="Times New Roman"/>
        </w:rPr>
        <w:t>机械损伤的可接收程度由供需双方协商确定</w:t>
      </w:r>
      <w:r>
        <w:rPr>
          <w:rFonts w:hint="eastAsia" w:ascii="Times New Roman" w:hAnsi="Times New Roman" w:cs="Times New Roman"/>
          <w:lang w:eastAsia="zh-CN"/>
        </w:rPr>
        <w:t>。</w:t>
      </w:r>
      <w:r>
        <w:rPr>
          <w:rFonts w:hint="eastAsia" w:ascii="Times New Roman" w:hAnsi="Times New Roman" w:cs="Times New Roman"/>
        </w:rPr>
        <w:t>机械损伤的图示说明见GB/T 24242.1</w:t>
      </w:r>
      <w:r>
        <w:rPr>
          <w:rFonts w:hint="eastAsia" w:ascii="Times New Roman" w:hAnsi="Times New Roman" w:cs="Times New Roman"/>
          <w:lang w:val="en-US" w:eastAsia="zh-CN"/>
        </w:rPr>
        <w:t>-</w:t>
      </w:r>
      <w:r>
        <w:rPr>
          <w:rFonts w:hint="eastAsia" w:ascii="Times New Roman" w:hAnsi="Times New Roman" w:cs="Times New Roman"/>
        </w:rPr>
        <w:t>202</w:t>
      </w:r>
      <w:r>
        <w:rPr>
          <w:rFonts w:hint="eastAsia" w:ascii="Times New Roman" w:hAnsi="Times New Roman" w:cs="Times New Roman"/>
          <w:lang w:val="en-US" w:eastAsia="zh-CN"/>
        </w:rPr>
        <w:t>0</w:t>
      </w:r>
      <w:r>
        <w:rPr>
          <w:rFonts w:hint="eastAsia" w:ascii="Times New Roman" w:hAnsi="Times New Roman" w:cs="Times New Roman"/>
        </w:rPr>
        <w:t>附录E</w:t>
      </w:r>
      <w:r>
        <w:rPr>
          <w:rFonts w:hint="eastAsia" w:ascii="Times New Roman" w:hAnsi="Times New Roman" w:cs="Times New Roman"/>
          <w:lang w:eastAsia="zh-CN"/>
        </w:rPr>
        <w:t>。</w:t>
      </w:r>
    </w:p>
    <w:p>
      <w:pPr>
        <w:pStyle w:val="49"/>
        <w:spacing w:before="156" w:after="156"/>
        <w:rPr>
          <w:szCs w:val="22"/>
          <w:lang w:val="zh-CN"/>
        </w:rPr>
      </w:pPr>
      <w:bookmarkStart w:id="51" w:name="_Toc28313"/>
      <w:bookmarkStart w:id="52" w:name="_Toc33108947"/>
      <w:bookmarkStart w:id="53" w:name="_Toc29999"/>
      <w:r>
        <w:rPr>
          <w:rFonts w:hint="eastAsia"/>
          <w:szCs w:val="22"/>
          <w:lang w:val="zh-CN"/>
        </w:rPr>
        <w:t>低倍组织</w:t>
      </w:r>
    </w:p>
    <w:p>
      <w:pPr>
        <w:pStyle w:val="49"/>
        <w:numPr>
          <w:ilvl w:val="0"/>
          <w:numId w:val="0"/>
        </w:numPr>
        <w:spacing w:before="156" w:after="156"/>
        <w:ind w:firstLine="420" w:firstLineChars="200"/>
        <w:rPr>
          <w:rFonts w:cs="宋体"/>
          <w:lang w:val="zh-CN"/>
        </w:rPr>
      </w:pPr>
      <w:r>
        <w:rPr>
          <w:rFonts w:hint="eastAsia" w:ascii="宋体" w:hAnsi="宋体" w:eastAsia="宋体" w:cs="宋体"/>
          <w:lang w:val="zh-CN"/>
        </w:rPr>
        <w:t>根据需方要求，可对盘条进行盘条酸浸低倍检验。盘条的横截面酸浸低倍试片上不允许有目视可见的缩孔、气泡、裂纹、翻皮、夹杂、夹渣、白点、分层等。酸浸低倍组织级别推荐值见表</w:t>
      </w:r>
      <w:r>
        <w:rPr>
          <w:rFonts w:ascii="宋体" w:hAnsi="宋体" w:eastAsia="宋体" w:cs="宋体"/>
        </w:rPr>
        <w:t>7</w:t>
      </w:r>
      <w:r>
        <w:rPr>
          <w:rFonts w:hint="eastAsia" w:ascii="宋体" w:hAnsi="宋体" w:eastAsia="宋体" w:cs="宋体"/>
          <w:lang w:val="zh-CN"/>
        </w:rPr>
        <w:t>。</w:t>
      </w:r>
    </w:p>
    <w:p>
      <w:pPr>
        <w:pStyle w:val="133"/>
        <w:numPr>
          <w:ilvl w:val="0"/>
          <w:numId w:val="0"/>
        </w:numPr>
        <w:spacing w:before="156" w:after="156"/>
        <w:rPr>
          <w:rFonts w:ascii="Times New Roman"/>
          <w:szCs w:val="22"/>
        </w:rPr>
      </w:pPr>
      <w:r>
        <w:rPr>
          <w:rFonts w:hint="eastAsia" w:cs="宋体"/>
          <w:lang w:val="zh-CN"/>
        </w:rPr>
        <w:t>表</w:t>
      </w:r>
      <w:r>
        <w:rPr>
          <w:rFonts w:cs="宋体"/>
        </w:rPr>
        <w:t xml:space="preserve">7  </w:t>
      </w:r>
      <w:r>
        <w:rPr>
          <w:rFonts w:hint="eastAsia" w:ascii="Times New Roman"/>
          <w:szCs w:val="22"/>
        </w:rPr>
        <w:t>低倍组织</w:t>
      </w:r>
    </w:p>
    <w:tbl>
      <w:tblPr>
        <w:tblStyle w:val="31"/>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1"/>
        <w:gridCol w:w="3189"/>
        <w:gridCol w:w="3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3191" w:type="dxa"/>
          </w:tcPr>
          <w:p>
            <w:pPr>
              <w:jc w:val="center"/>
              <w:rPr>
                <w:rFonts w:ascii="宋体" w:hAnsi="宋体"/>
                <w:sz w:val="18"/>
                <w:szCs w:val="18"/>
              </w:rPr>
            </w:pPr>
            <w:r>
              <w:rPr>
                <w:rFonts w:hint="eastAsia" w:ascii="宋体" w:hAnsi="宋体"/>
                <w:sz w:val="18"/>
                <w:szCs w:val="18"/>
              </w:rPr>
              <w:t>一般疏松</w:t>
            </w:r>
          </w:p>
        </w:tc>
        <w:tc>
          <w:tcPr>
            <w:tcW w:w="3189" w:type="dxa"/>
          </w:tcPr>
          <w:p>
            <w:pPr>
              <w:jc w:val="center"/>
              <w:rPr>
                <w:rFonts w:ascii="宋体" w:hAnsi="宋体"/>
                <w:sz w:val="18"/>
                <w:szCs w:val="18"/>
              </w:rPr>
            </w:pPr>
            <w:r>
              <w:rPr>
                <w:rFonts w:hint="eastAsia" w:ascii="宋体" w:hAnsi="宋体"/>
                <w:sz w:val="18"/>
                <w:szCs w:val="18"/>
              </w:rPr>
              <w:t>中心疏松</w:t>
            </w:r>
          </w:p>
        </w:tc>
        <w:tc>
          <w:tcPr>
            <w:tcW w:w="3191" w:type="dxa"/>
          </w:tcPr>
          <w:p>
            <w:pPr>
              <w:jc w:val="center"/>
              <w:rPr>
                <w:rFonts w:ascii="宋体" w:hAnsi="宋体"/>
                <w:sz w:val="18"/>
                <w:szCs w:val="18"/>
              </w:rPr>
            </w:pPr>
            <w:r>
              <w:rPr>
                <w:rFonts w:hint="eastAsia" w:ascii="宋体" w:hAnsi="宋体"/>
                <w:sz w:val="18"/>
                <w:szCs w:val="18"/>
              </w:rPr>
              <w:t>偏析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3191" w:type="dxa"/>
          </w:tcPr>
          <w:p>
            <w:pPr>
              <w:jc w:val="center"/>
              <w:rPr>
                <w:rFonts w:ascii="宋体" w:hAnsi="宋体"/>
                <w:sz w:val="18"/>
                <w:szCs w:val="18"/>
              </w:rPr>
            </w:pPr>
            <w:r>
              <w:rPr>
                <w:rFonts w:hint="eastAsia" w:ascii="宋体" w:hAnsi="宋体"/>
                <w:sz w:val="18"/>
                <w:szCs w:val="18"/>
              </w:rPr>
              <w:t>≤1</w:t>
            </w:r>
            <w:r>
              <w:rPr>
                <w:rFonts w:ascii="宋体" w:hAnsi="宋体"/>
                <w:sz w:val="18"/>
                <w:szCs w:val="18"/>
              </w:rPr>
              <w:t>.0</w:t>
            </w:r>
          </w:p>
        </w:tc>
        <w:tc>
          <w:tcPr>
            <w:tcW w:w="3189" w:type="dxa"/>
          </w:tcPr>
          <w:p>
            <w:pPr>
              <w:jc w:val="center"/>
              <w:rPr>
                <w:rFonts w:ascii="宋体" w:hAnsi="宋体"/>
                <w:sz w:val="18"/>
                <w:szCs w:val="18"/>
              </w:rPr>
            </w:pPr>
            <w:r>
              <w:rPr>
                <w:rFonts w:hint="eastAsia" w:ascii="宋体" w:hAnsi="宋体"/>
                <w:sz w:val="18"/>
                <w:szCs w:val="18"/>
              </w:rPr>
              <w:t>≤1</w:t>
            </w:r>
            <w:r>
              <w:rPr>
                <w:rFonts w:ascii="宋体" w:hAnsi="宋体"/>
                <w:sz w:val="18"/>
                <w:szCs w:val="18"/>
              </w:rPr>
              <w:t>.0</w:t>
            </w:r>
          </w:p>
        </w:tc>
        <w:tc>
          <w:tcPr>
            <w:tcW w:w="3191" w:type="dxa"/>
          </w:tcPr>
          <w:p>
            <w:pPr>
              <w:jc w:val="center"/>
              <w:rPr>
                <w:rFonts w:ascii="宋体" w:hAnsi="宋体"/>
                <w:sz w:val="18"/>
                <w:szCs w:val="18"/>
              </w:rPr>
            </w:pPr>
            <w:r>
              <w:rPr>
                <w:rFonts w:hint="eastAsia" w:ascii="宋体" w:hAnsi="宋体"/>
                <w:sz w:val="18"/>
                <w:szCs w:val="18"/>
              </w:rPr>
              <w:t>≤1</w:t>
            </w:r>
            <w:r>
              <w:rPr>
                <w:rFonts w:ascii="宋体" w:hAnsi="宋体"/>
                <w:sz w:val="18"/>
                <w:szCs w:val="18"/>
              </w:rPr>
              <w:t>.0</w:t>
            </w:r>
          </w:p>
        </w:tc>
      </w:tr>
    </w:tbl>
    <w:p>
      <w:pPr>
        <w:pStyle w:val="49"/>
        <w:spacing w:before="156" w:after="156"/>
        <w:rPr>
          <w:szCs w:val="22"/>
          <w:lang w:val="zh-CN"/>
        </w:rPr>
      </w:pPr>
      <w:r>
        <w:rPr>
          <w:rFonts w:hint="eastAsia"/>
          <w:szCs w:val="22"/>
          <w:lang w:val="zh-CN"/>
        </w:rPr>
        <w:t>特殊要求</w:t>
      </w:r>
    </w:p>
    <w:p>
      <w:pPr>
        <w:pStyle w:val="22"/>
        <w:rPr>
          <w:rFonts w:asciiTheme="minorEastAsia" w:hAnsiTheme="minorEastAsia" w:eastAsiaTheme="minorEastAsia"/>
        </w:rPr>
      </w:pPr>
      <w:r>
        <w:rPr>
          <w:rFonts w:hint="eastAsia" w:asciiTheme="minorEastAsia" w:hAnsiTheme="minorEastAsia" w:eastAsiaTheme="minorEastAsia"/>
        </w:rPr>
        <w:t>经供需双方协商并在合同中注明，盘条可进行其他项目的检验，各项检验方法和指标由供需双方协商确定。</w:t>
      </w:r>
    </w:p>
    <w:p>
      <w:pPr>
        <w:pStyle w:val="52"/>
        <w:spacing w:before="312" w:after="312"/>
        <w:rPr>
          <w:rFonts w:ascii="Times New Roman"/>
        </w:rPr>
      </w:pPr>
      <w:r>
        <w:rPr>
          <w:rFonts w:ascii="Times New Roman"/>
        </w:rPr>
        <w:t>试验方法</w:t>
      </w:r>
      <w:bookmarkEnd w:id="51"/>
      <w:bookmarkEnd w:id="52"/>
      <w:bookmarkEnd w:id="53"/>
    </w:p>
    <w:p>
      <w:pPr>
        <w:pStyle w:val="49"/>
        <w:spacing w:beforeLines="0" w:afterLines="0"/>
        <w:jc w:val="both"/>
        <w:rPr>
          <w:rFonts w:ascii="Times New Roman" w:eastAsia="宋体"/>
        </w:rPr>
      </w:pPr>
      <w:bookmarkStart w:id="54" w:name="_Hlk59177872"/>
      <w:r>
        <w:rPr>
          <w:rFonts w:ascii="Times New Roman" w:eastAsia="宋体"/>
        </w:rPr>
        <w:t>钢的化学成分试验方法应按GB/T 4336、GB/T 20123、</w:t>
      </w:r>
      <w:r>
        <w:rPr>
          <w:rFonts w:hint="eastAsia" w:ascii="Times New Roman" w:eastAsia="宋体"/>
        </w:rPr>
        <w:t>GB/T 20126</w:t>
      </w:r>
      <w:r>
        <w:rPr>
          <w:rFonts w:ascii="Times New Roman" w:eastAsia="宋体"/>
        </w:rPr>
        <w:t>或通用方法的规定进行，但仲裁时应按GB/T 223.5</w:t>
      </w:r>
      <w:r>
        <w:rPr>
          <w:rFonts w:hint="eastAsia" w:ascii="Times New Roman" w:eastAsia="宋体"/>
        </w:rPr>
        <w:t>、</w:t>
      </w:r>
      <w:r>
        <w:rPr>
          <w:rFonts w:ascii="Times New Roman" w:eastAsia="宋体"/>
        </w:rPr>
        <w:t>GB/T 223.12、GB/T 223.19、GB/T 223.</w:t>
      </w:r>
      <w:r>
        <w:rPr>
          <w:rFonts w:hint="eastAsia" w:ascii="Times New Roman" w:eastAsia="宋体"/>
        </w:rPr>
        <w:t>26、</w:t>
      </w:r>
      <w:r>
        <w:rPr>
          <w:rFonts w:ascii="Times New Roman" w:eastAsia="宋体"/>
        </w:rPr>
        <w:t>GB/T 223.37、GB/T 223.</w:t>
      </w:r>
      <w:r>
        <w:rPr>
          <w:rFonts w:hint="eastAsia" w:ascii="Times New Roman" w:eastAsia="宋体"/>
        </w:rPr>
        <w:t>53</w:t>
      </w:r>
      <w:r>
        <w:rPr>
          <w:rFonts w:ascii="Times New Roman" w:eastAsia="宋体"/>
        </w:rPr>
        <w:t>、GB/T 223.</w:t>
      </w:r>
      <w:r>
        <w:rPr>
          <w:rFonts w:hint="eastAsia" w:ascii="Times New Roman" w:eastAsia="宋体"/>
        </w:rPr>
        <w:t>54</w:t>
      </w:r>
      <w:r>
        <w:rPr>
          <w:rFonts w:ascii="Times New Roman" w:eastAsia="宋体"/>
        </w:rPr>
        <w:t>、GB/T 223.</w:t>
      </w:r>
      <w:r>
        <w:rPr>
          <w:rFonts w:hint="eastAsia" w:ascii="Times New Roman" w:eastAsia="宋体"/>
        </w:rPr>
        <w:t>62、</w:t>
      </w:r>
      <w:r>
        <w:rPr>
          <w:rFonts w:ascii="Times New Roman" w:eastAsia="宋体"/>
        </w:rPr>
        <w:t>GB/T 223.63、GB/T 223.</w:t>
      </w:r>
      <w:r>
        <w:rPr>
          <w:rFonts w:hint="eastAsia" w:ascii="Times New Roman" w:eastAsia="宋体"/>
        </w:rPr>
        <w:t>68</w:t>
      </w:r>
      <w:r>
        <w:rPr>
          <w:rFonts w:ascii="Times New Roman" w:eastAsia="宋体"/>
        </w:rPr>
        <w:t>、GB/T 223.</w:t>
      </w:r>
      <w:r>
        <w:rPr>
          <w:rFonts w:hint="eastAsia" w:ascii="Times New Roman" w:eastAsia="宋体"/>
        </w:rPr>
        <w:t>6</w:t>
      </w:r>
      <w:r>
        <w:rPr>
          <w:rFonts w:ascii="Times New Roman" w:eastAsia="宋体"/>
        </w:rPr>
        <w:t>9</w:t>
      </w:r>
      <w:r>
        <w:rPr>
          <w:rFonts w:hint="eastAsia" w:ascii="Times New Roman" w:eastAsia="宋体"/>
        </w:rPr>
        <w:t>、</w:t>
      </w:r>
      <w:r>
        <w:rPr>
          <w:rFonts w:ascii="Times New Roman" w:eastAsia="宋体"/>
        </w:rPr>
        <w:t>GB/T 223.8</w:t>
      </w:r>
      <w:r>
        <w:rPr>
          <w:rFonts w:hint="eastAsia" w:ascii="Times New Roman" w:eastAsia="宋体"/>
        </w:rPr>
        <w:t>1</w:t>
      </w:r>
      <w:r>
        <w:rPr>
          <w:rFonts w:ascii="Times New Roman" w:eastAsia="宋体"/>
        </w:rPr>
        <w:t>的规定进行。</w:t>
      </w:r>
    </w:p>
    <w:bookmarkEnd w:id="54"/>
    <w:p>
      <w:pPr>
        <w:pStyle w:val="49"/>
        <w:spacing w:beforeLines="0" w:afterLines="0"/>
        <w:rPr>
          <w:rFonts w:ascii="Times New Roman" w:eastAsia="宋体"/>
          <w:kern w:val="2"/>
          <w:szCs w:val="21"/>
        </w:rPr>
      </w:pPr>
      <w:r>
        <w:rPr>
          <w:rFonts w:hint="eastAsia" w:ascii="Times New Roman" w:eastAsia="宋体"/>
          <w:kern w:val="2"/>
          <w:szCs w:val="21"/>
        </w:rPr>
        <w:t>盘条</w:t>
      </w:r>
      <w:r>
        <w:rPr>
          <w:rFonts w:ascii="Times New Roman" w:eastAsia="宋体"/>
          <w:kern w:val="2"/>
          <w:szCs w:val="21"/>
        </w:rPr>
        <w:t>的检验项目、取样数量、取样方法</w:t>
      </w:r>
      <w:r>
        <w:rPr>
          <w:rFonts w:hint="eastAsia" w:ascii="Times New Roman" w:eastAsia="宋体"/>
          <w:kern w:val="2"/>
          <w:szCs w:val="21"/>
        </w:rPr>
        <w:t>、</w:t>
      </w:r>
      <w:r>
        <w:rPr>
          <w:rFonts w:ascii="Times New Roman" w:eastAsia="宋体"/>
          <w:kern w:val="2"/>
          <w:szCs w:val="21"/>
        </w:rPr>
        <w:t>试验方法应</w:t>
      </w:r>
      <w:r>
        <w:rPr>
          <w:rFonts w:asciiTheme="minorEastAsia" w:hAnsiTheme="minorEastAsia" w:eastAsiaTheme="minorEastAsia"/>
          <w:kern w:val="2"/>
          <w:szCs w:val="21"/>
        </w:rPr>
        <w:t>符合表</w:t>
      </w:r>
      <w:r>
        <w:rPr>
          <w:rFonts w:hint="eastAsia" w:asciiTheme="minorEastAsia" w:hAnsiTheme="minorEastAsia" w:eastAsiaTheme="minorEastAsia"/>
          <w:kern w:val="2"/>
          <w:szCs w:val="21"/>
        </w:rPr>
        <w:t>9</w:t>
      </w:r>
      <w:r>
        <w:rPr>
          <w:rFonts w:asciiTheme="minorEastAsia" w:hAnsiTheme="minorEastAsia" w:eastAsiaTheme="minorEastAsia"/>
          <w:kern w:val="2"/>
          <w:szCs w:val="21"/>
        </w:rPr>
        <w:t>规</w:t>
      </w:r>
      <w:r>
        <w:rPr>
          <w:rFonts w:ascii="Times New Roman" w:eastAsia="宋体"/>
          <w:kern w:val="2"/>
          <w:szCs w:val="21"/>
        </w:rPr>
        <w:t>定。</w:t>
      </w:r>
    </w:p>
    <w:p>
      <w:pPr>
        <w:pStyle w:val="133"/>
        <w:numPr>
          <w:ilvl w:val="0"/>
          <w:numId w:val="0"/>
        </w:numPr>
        <w:spacing w:before="156" w:after="156"/>
      </w:pPr>
      <w:r>
        <w:rPr>
          <w:rFonts w:hint="eastAsia"/>
        </w:rPr>
        <w:t>表9 盘条</w:t>
      </w:r>
      <w:r>
        <w:t>的检验项目、取样数量、取样方法和试验方法</w:t>
      </w:r>
    </w:p>
    <w:tbl>
      <w:tblPr>
        <w:tblStyle w:val="31"/>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5"/>
        <w:gridCol w:w="1772"/>
        <w:gridCol w:w="1772"/>
        <w:gridCol w:w="2352"/>
        <w:gridCol w:w="2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95" w:type="dxa"/>
            <w:tcMar>
              <w:left w:w="28" w:type="dxa"/>
              <w:right w:w="28" w:type="dxa"/>
            </w:tcMar>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序号</w:t>
            </w:r>
          </w:p>
        </w:tc>
        <w:tc>
          <w:tcPr>
            <w:tcW w:w="1772" w:type="dxa"/>
            <w:tcMar>
              <w:left w:w="28" w:type="dxa"/>
              <w:right w:w="28" w:type="dxa"/>
            </w:tcMar>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检验项目</w:t>
            </w:r>
          </w:p>
        </w:tc>
        <w:tc>
          <w:tcPr>
            <w:tcW w:w="1772" w:type="dxa"/>
            <w:tcMar>
              <w:left w:w="28" w:type="dxa"/>
              <w:right w:w="28" w:type="dxa"/>
            </w:tcMar>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取样数量</w:t>
            </w:r>
          </w:p>
        </w:tc>
        <w:tc>
          <w:tcPr>
            <w:tcW w:w="2352" w:type="dxa"/>
            <w:tcMar>
              <w:left w:w="28" w:type="dxa"/>
              <w:right w:w="28" w:type="dxa"/>
            </w:tcMar>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取样方法</w:t>
            </w:r>
          </w:p>
        </w:tc>
        <w:tc>
          <w:tcPr>
            <w:tcW w:w="2920" w:type="dxa"/>
            <w:tcMar>
              <w:left w:w="28" w:type="dxa"/>
              <w:right w:w="28" w:type="dxa"/>
            </w:tcMar>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95" w:type="dxa"/>
            <w:tcMar>
              <w:left w:w="28" w:type="dxa"/>
              <w:right w:w="28" w:type="dxa"/>
            </w:tcMar>
            <w:vAlign w:val="center"/>
          </w:tcPr>
          <w:p>
            <w:pPr>
              <w:jc w:val="center"/>
              <w:rPr>
                <w:rFonts w:ascii="宋体" w:hAnsi="宋体"/>
                <w:sz w:val="18"/>
                <w:szCs w:val="18"/>
              </w:rPr>
            </w:pPr>
            <w:r>
              <w:rPr>
                <w:rFonts w:ascii="宋体" w:hAnsi="宋体"/>
                <w:sz w:val="18"/>
                <w:szCs w:val="18"/>
              </w:rPr>
              <w:t>1</w:t>
            </w:r>
          </w:p>
        </w:tc>
        <w:tc>
          <w:tcPr>
            <w:tcW w:w="1772" w:type="dxa"/>
            <w:tcMar>
              <w:left w:w="28" w:type="dxa"/>
              <w:right w:w="28" w:type="dxa"/>
            </w:tcMar>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化学成分</w:t>
            </w:r>
          </w:p>
        </w:tc>
        <w:tc>
          <w:tcPr>
            <w:tcW w:w="1772" w:type="dxa"/>
            <w:tcMar>
              <w:left w:w="28" w:type="dxa"/>
              <w:right w:w="28" w:type="dxa"/>
            </w:tcMar>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1个/炉</w:t>
            </w:r>
          </w:p>
        </w:tc>
        <w:tc>
          <w:tcPr>
            <w:tcW w:w="2352" w:type="dxa"/>
            <w:tcMar>
              <w:left w:w="28" w:type="dxa"/>
              <w:right w:w="28" w:type="dxa"/>
            </w:tcMar>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GB/T 20066</w:t>
            </w:r>
          </w:p>
        </w:tc>
        <w:tc>
          <w:tcPr>
            <w:tcW w:w="2920" w:type="dxa"/>
            <w:tcMar>
              <w:left w:w="28" w:type="dxa"/>
              <w:right w:w="28" w:type="dxa"/>
            </w:tcMar>
            <w:vAlign w:val="center"/>
          </w:tcPr>
          <w:p>
            <w:pPr>
              <w:snapToGrid w:val="0"/>
              <w:jc w:val="center"/>
              <w:rPr>
                <w:rFonts w:asciiTheme="minorEastAsia" w:hAnsiTheme="minorEastAsia" w:eastAsiaTheme="minorEastAsia"/>
                <w:sz w:val="18"/>
                <w:szCs w:val="18"/>
              </w:rPr>
            </w:pPr>
            <w:r>
              <w:rPr>
                <w:rFonts w:hint="eastAsia" w:ascii="宋体" w:hAnsi="宋体" w:eastAsiaTheme="minorEastAsia"/>
                <w:sz w:val="18"/>
                <w:szCs w:val="18"/>
              </w:rPr>
              <w:t>见7.1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595" w:type="dxa"/>
            <w:tcMar>
              <w:left w:w="28" w:type="dxa"/>
              <w:right w:w="28" w:type="dxa"/>
            </w:tcMar>
            <w:vAlign w:val="center"/>
          </w:tcPr>
          <w:p>
            <w:pPr>
              <w:jc w:val="center"/>
              <w:rPr>
                <w:rFonts w:ascii="宋体" w:hAnsi="宋体"/>
                <w:sz w:val="18"/>
                <w:szCs w:val="18"/>
              </w:rPr>
            </w:pPr>
            <w:r>
              <w:rPr>
                <w:rFonts w:ascii="宋体" w:hAnsi="宋体"/>
                <w:sz w:val="18"/>
                <w:szCs w:val="18"/>
              </w:rPr>
              <w:t>2</w:t>
            </w:r>
          </w:p>
        </w:tc>
        <w:tc>
          <w:tcPr>
            <w:tcW w:w="1772" w:type="dxa"/>
            <w:tcMar>
              <w:left w:w="28" w:type="dxa"/>
              <w:right w:w="28" w:type="dxa"/>
            </w:tcMar>
            <w:vAlign w:val="center"/>
          </w:tcPr>
          <w:p>
            <w:pPr>
              <w:jc w:val="center"/>
              <w:rPr>
                <w:rFonts w:ascii="宋体" w:hAnsi="宋体"/>
                <w:sz w:val="18"/>
                <w:szCs w:val="18"/>
              </w:rPr>
            </w:pPr>
            <w:r>
              <w:rPr>
                <w:rFonts w:hint="eastAsia" w:ascii="宋体" w:hAnsi="宋体"/>
                <w:sz w:val="18"/>
                <w:szCs w:val="18"/>
              </w:rPr>
              <w:t>氮含量</w:t>
            </w:r>
          </w:p>
        </w:tc>
        <w:tc>
          <w:tcPr>
            <w:tcW w:w="1772" w:type="dxa"/>
            <w:tcMar>
              <w:left w:w="28" w:type="dxa"/>
              <w:right w:w="28" w:type="dxa"/>
            </w:tcMar>
            <w:vAlign w:val="center"/>
          </w:tcPr>
          <w:p>
            <w:pPr>
              <w:jc w:val="center"/>
              <w:rPr>
                <w:rFonts w:asciiTheme="minorEastAsia" w:hAnsiTheme="minorEastAsia" w:eastAsiaTheme="minorEastAsia"/>
                <w:sz w:val="18"/>
                <w:szCs w:val="18"/>
              </w:rPr>
            </w:pPr>
            <w:r>
              <w:rPr>
                <w:rFonts w:hint="eastAsia" w:ascii="宋体" w:hAnsi="宋体"/>
                <w:sz w:val="18"/>
                <w:szCs w:val="18"/>
              </w:rPr>
              <w:t>1个/批</w:t>
            </w:r>
          </w:p>
        </w:tc>
        <w:tc>
          <w:tcPr>
            <w:tcW w:w="2352" w:type="dxa"/>
            <w:tcMar>
              <w:left w:w="28" w:type="dxa"/>
              <w:right w:w="28" w:type="dxa"/>
            </w:tcMar>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w:t>
            </w:r>
          </w:p>
        </w:tc>
        <w:tc>
          <w:tcPr>
            <w:tcW w:w="2920" w:type="dxa"/>
            <w:tcMar>
              <w:left w:w="28" w:type="dxa"/>
              <w:right w:w="28" w:type="dxa"/>
            </w:tcMar>
            <w:vAlign w:val="center"/>
          </w:tcPr>
          <w:p>
            <w:pPr>
              <w:snapToGrid w:val="0"/>
              <w:jc w:val="center"/>
              <w:rPr>
                <w:rFonts w:ascii="宋体" w:hAnsi="宋体" w:eastAsiaTheme="minorEastAsia"/>
                <w:sz w:val="18"/>
                <w:szCs w:val="18"/>
              </w:rPr>
            </w:pPr>
            <w:r>
              <w:rPr>
                <w:rFonts w:hint="eastAsia" w:ascii="宋体" w:hAnsi="宋体"/>
                <w:sz w:val="18"/>
                <w:szCs w:val="18"/>
              </w:rPr>
              <w:t>GB/T 20124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95" w:type="dxa"/>
            <w:tcMar>
              <w:left w:w="28" w:type="dxa"/>
              <w:right w:w="28" w:type="dxa"/>
            </w:tcMar>
            <w:vAlign w:val="center"/>
          </w:tcPr>
          <w:p>
            <w:pPr>
              <w:jc w:val="center"/>
              <w:rPr>
                <w:rFonts w:ascii="宋体" w:hAnsi="宋体"/>
                <w:sz w:val="18"/>
                <w:szCs w:val="18"/>
              </w:rPr>
            </w:pPr>
            <w:r>
              <w:rPr>
                <w:rFonts w:ascii="宋体" w:hAnsi="宋体"/>
                <w:sz w:val="18"/>
                <w:szCs w:val="18"/>
              </w:rPr>
              <w:t>3</w:t>
            </w:r>
          </w:p>
        </w:tc>
        <w:tc>
          <w:tcPr>
            <w:tcW w:w="1772" w:type="dxa"/>
            <w:tcMar>
              <w:left w:w="28" w:type="dxa"/>
              <w:right w:w="28" w:type="dxa"/>
            </w:tcMar>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拉伸试验</w:t>
            </w:r>
          </w:p>
        </w:tc>
        <w:tc>
          <w:tcPr>
            <w:tcW w:w="1772" w:type="dxa"/>
            <w:tcMar>
              <w:left w:w="28" w:type="dxa"/>
              <w:right w:w="28" w:type="dxa"/>
            </w:tcMar>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2个/批</w:t>
            </w:r>
          </w:p>
        </w:tc>
        <w:tc>
          <w:tcPr>
            <w:tcW w:w="2352" w:type="dxa"/>
            <w:tcMar>
              <w:left w:w="28" w:type="dxa"/>
              <w:right w:w="28" w:type="dxa"/>
            </w:tcMar>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不同根盘条，</w:t>
            </w:r>
            <w:r>
              <w:rPr>
                <w:rFonts w:asciiTheme="minorEastAsia" w:hAnsiTheme="minorEastAsia" w:eastAsiaTheme="minorEastAsia"/>
                <w:sz w:val="18"/>
                <w:szCs w:val="18"/>
              </w:rPr>
              <w:t>GB/T 2975</w:t>
            </w:r>
          </w:p>
        </w:tc>
        <w:tc>
          <w:tcPr>
            <w:tcW w:w="2920" w:type="dxa"/>
            <w:tcMar>
              <w:left w:w="28" w:type="dxa"/>
              <w:right w:w="28" w:type="dxa"/>
            </w:tcMar>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GB/T 228.1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95" w:type="dxa"/>
            <w:tcMar>
              <w:left w:w="28" w:type="dxa"/>
              <w:right w:w="28" w:type="dxa"/>
            </w:tcMar>
            <w:vAlign w:val="center"/>
          </w:tcPr>
          <w:p>
            <w:pPr>
              <w:jc w:val="center"/>
              <w:rPr>
                <w:rFonts w:ascii="宋体" w:hAnsi="宋体"/>
                <w:sz w:val="18"/>
                <w:szCs w:val="18"/>
              </w:rPr>
            </w:pPr>
            <w:r>
              <w:rPr>
                <w:rFonts w:ascii="宋体" w:hAnsi="宋体"/>
                <w:sz w:val="18"/>
                <w:szCs w:val="18"/>
              </w:rPr>
              <w:t>4</w:t>
            </w:r>
          </w:p>
        </w:tc>
        <w:tc>
          <w:tcPr>
            <w:tcW w:w="1772" w:type="dxa"/>
            <w:tcMar>
              <w:left w:w="28" w:type="dxa"/>
              <w:right w:w="28" w:type="dxa"/>
            </w:tcMar>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脱碳层</w:t>
            </w:r>
          </w:p>
        </w:tc>
        <w:tc>
          <w:tcPr>
            <w:tcW w:w="1772" w:type="dxa"/>
            <w:tcMar>
              <w:left w:w="28" w:type="dxa"/>
              <w:right w:w="28" w:type="dxa"/>
            </w:tcMar>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2个</w:t>
            </w:r>
            <w:r>
              <w:rPr>
                <w:rFonts w:asciiTheme="minorEastAsia" w:hAnsiTheme="minorEastAsia" w:eastAsiaTheme="minorEastAsia"/>
                <w:sz w:val="18"/>
                <w:szCs w:val="18"/>
              </w:rPr>
              <w:t>/批</w:t>
            </w:r>
          </w:p>
        </w:tc>
        <w:tc>
          <w:tcPr>
            <w:tcW w:w="2352" w:type="dxa"/>
            <w:tcMar>
              <w:left w:w="28" w:type="dxa"/>
              <w:right w:w="28" w:type="dxa"/>
            </w:tcMar>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不同根盘条</w:t>
            </w:r>
          </w:p>
        </w:tc>
        <w:tc>
          <w:tcPr>
            <w:tcW w:w="2920" w:type="dxa"/>
            <w:tcMar>
              <w:left w:w="28" w:type="dxa"/>
              <w:right w:w="28" w:type="dxa"/>
            </w:tcMar>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GB/T 2</w:t>
            </w:r>
            <w:r>
              <w:rPr>
                <w:rFonts w:hint="eastAsia" w:asciiTheme="minorEastAsia" w:hAnsiTheme="minorEastAsia" w:eastAsiaTheme="minorEastAsia"/>
                <w:sz w:val="18"/>
                <w:szCs w:val="18"/>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95" w:type="dxa"/>
            <w:tcMar>
              <w:left w:w="28" w:type="dxa"/>
              <w:right w:w="28" w:type="dxa"/>
            </w:tcMar>
            <w:vAlign w:val="center"/>
          </w:tcPr>
          <w:p>
            <w:pPr>
              <w:jc w:val="center"/>
              <w:rPr>
                <w:rFonts w:ascii="宋体" w:hAnsi="宋体"/>
                <w:sz w:val="18"/>
                <w:szCs w:val="18"/>
              </w:rPr>
            </w:pPr>
            <w:r>
              <w:rPr>
                <w:rFonts w:ascii="宋体" w:hAnsi="宋体"/>
                <w:sz w:val="18"/>
                <w:szCs w:val="18"/>
              </w:rPr>
              <w:t>5</w:t>
            </w:r>
          </w:p>
        </w:tc>
        <w:tc>
          <w:tcPr>
            <w:tcW w:w="1772" w:type="dxa"/>
            <w:tcMar>
              <w:left w:w="28" w:type="dxa"/>
              <w:right w:w="28" w:type="dxa"/>
            </w:tcMar>
            <w:vAlign w:val="center"/>
          </w:tcPr>
          <w:p>
            <w:pPr>
              <w:spacing w:line="240" w:lineRule="exact"/>
              <w:jc w:val="center"/>
              <w:rPr>
                <w:rFonts w:ascii="宋体" w:hAnsi="宋体"/>
                <w:sz w:val="18"/>
                <w:szCs w:val="18"/>
              </w:rPr>
            </w:pPr>
            <w:r>
              <w:rPr>
                <w:rFonts w:ascii="宋体" w:hAnsi="宋体"/>
                <w:sz w:val="18"/>
                <w:szCs w:val="18"/>
              </w:rPr>
              <w:t>索氏体</w:t>
            </w:r>
          </w:p>
        </w:tc>
        <w:tc>
          <w:tcPr>
            <w:tcW w:w="1772" w:type="dxa"/>
            <w:tcMar>
              <w:left w:w="28" w:type="dxa"/>
              <w:right w:w="28" w:type="dxa"/>
            </w:tcMar>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2个</w:t>
            </w:r>
            <w:r>
              <w:rPr>
                <w:rFonts w:asciiTheme="minorEastAsia" w:hAnsiTheme="minorEastAsia" w:eastAsiaTheme="minorEastAsia"/>
                <w:sz w:val="18"/>
                <w:szCs w:val="18"/>
              </w:rPr>
              <w:t>/批</w:t>
            </w:r>
          </w:p>
        </w:tc>
        <w:tc>
          <w:tcPr>
            <w:tcW w:w="2352" w:type="dxa"/>
            <w:tcMar>
              <w:left w:w="28" w:type="dxa"/>
              <w:right w:w="28" w:type="dxa"/>
            </w:tcMar>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不同根盘条</w:t>
            </w:r>
          </w:p>
        </w:tc>
        <w:tc>
          <w:tcPr>
            <w:tcW w:w="2920" w:type="dxa"/>
            <w:tcMar>
              <w:left w:w="28" w:type="dxa"/>
              <w:right w:w="28" w:type="dxa"/>
            </w:tcMar>
            <w:vAlign w:val="center"/>
          </w:tcPr>
          <w:p>
            <w:pPr>
              <w:spacing w:line="240" w:lineRule="exact"/>
              <w:jc w:val="center"/>
              <w:rPr>
                <w:rFonts w:ascii="宋体" w:hAnsi="宋体"/>
                <w:sz w:val="18"/>
                <w:szCs w:val="18"/>
              </w:rPr>
            </w:pPr>
            <w:r>
              <w:rPr>
                <w:rFonts w:ascii="宋体" w:hAnsi="宋体"/>
                <w:sz w:val="18"/>
                <w:szCs w:val="18"/>
              </w:rPr>
              <w:t>YB/T 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95" w:type="dxa"/>
            <w:tcMar>
              <w:left w:w="28" w:type="dxa"/>
              <w:right w:w="28" w:type="dxa"/>
            </w:tcMar>
            <w:vAlign w:val="center"/>
          </w:tcPr>
          <w:p>
            <w:pPr>
              <w:jc w:val="center"/>
              <w:rPr>
                <w:rFonts w:ascii="宋体" w:hAnsi="宋体"/>
                <w:sz w:val="18"/>
                <w:szCs w:val="18"/>
              </w:rPr>
            </w:pPr>
            <w:r>
              <w:rPr>
                <w:rFonts w:ascii="宋体" w:hAnsi="宋体"/>
                <w:sz w:val="18"/>
                <w:szCs w:val="18"/>
              </w:rPr>
              <w:t>6</w:t>
            </w:r>
          </w:p>
        </w:tc>
        <w:tc>
          <w:tcPr>
            <w:tcW w:w="1772" w:type="dxa"/>
            <w:tcMar>
              <w:left w:w="28" w:type="dxa"/>
              <w:right w:w="28" w:type="dxa"/>
            </w:tcMar>
            <w:vAlign w:val="center"/>
          </w:tcPr>
          <w:p>
            <w:pPr>
              <w:spacing w:line="240" w:lineRule="exact"/>
              <w:jc w:val="center"/>
              <w:rPr>
                <w:rFonts w:ascii="宋体" w:hAnsi="宋体"/>
                <w:sz w:val="18"/>
                <w:szCs w:val="18"/>
              </w:rPr>
            </w:pPr>
            <w:r>
              <w:rPr>
                <w:rFonts w:ascii="宋体" w:hAnsi="宋体"/>
                <w:sz w:val="18"/>
                <w:szCs w:val="18"/>
              </w:rPr>
              <w:t>中心碳偏析</w:t>
            </w:r>
          </w:p>
        </w:tc>
        <w:tc>
          <w:tcPr>
            <w:tcW w:w="1772" w:type="dxa"/>
            <w:tcMar>
              <w:left w:w="28" w:type="dxa"/>
              <w:right w:w="28" w:type="dxa"/>
            </w:tcMar>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2个</w:t>
            </w:r>
            <w:r>
              <w:rPr>
                <w:rFonts w:asciiTheme="minorEastAsia" w:hAnsiTheme="minorEastAsia" w:eastAsiaTheme="minorEastAsia"/>
                <w:sz w:val="18"/>
                <w:szCs w:val="18"/>
              </w:rPr>
              <w:t>/批</w:t>
            </w:r>
          </w:p>
        </w:tc>
        <w:tc>
          <w:tcPr>
            <w:tcW w:w="2352" w:type="dxa"/>
            <w:tcMar>
              <w:left w:w="28" w:type="dxa"/>
              <w:right w:w="28" w:type="dxa"/>
            </w:tcMar>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不同根盘条</w:t>
            </w:r>
          </w:p>
        </w:tc>
        <w:tc>
          <w:tcPr>
            <w:tcW w:w="2920" w:type="dxa"/>
            <w:tcMar>
              <w:left w:w="28" w:type="dxa"/>
              <w:right w:w="28" w:type="dxa"/>
            </w:tcMar>
            <w:vAlign w:val="center"/>
          </w:tcPr>
          <w:p>
            <w:pPr>
              <w:spacing w:line="240" w:lineRule="exact"/>
              <w:jc w:val="center"/>
              <w:rPr>
                <w:rFonts w:ascii="宋体" w:hAnsi="宋体"/>
                <w:sz w:val="18"/>
                <w:szCs w:val="18"/>
              </w:rPr>
            </w:pPr>
            <w:r>
              <w:rPr>
                <w:rFonts w:ascii="宋体" w:hAnsi="宋体"/>
                <w:sz w:val="18"/>
                <w:szCs w:val="18"/>
              </w:rPr>
              <w:t xml:space="preserve">YB/T </w:t>
            </w:r>
            <w:r>
              <w:rPr>
                <w:rFonts w:hint="eastAsia" w:ascii="宋体" w:hAnsi="宋体"/>
                <w:sz w:val="18"/>
                <w:szCs w:val="18"/>
              </w:rPr>
              <w:t>4413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95" w:type="dxa"/>
            <w:tcMar>
              <w:left w:w="28" w:type="dxa"/>
              <w:right w:w="28" w:type="dxa"/>
            </w:tcMar>
            <w:vAlign w:val="center"/>
          </w:tcPr>
          <w:p>
            <w:pPr>
              <w:jc w:val="center"/>
              <w:rPr>
                <w:rFonts w:ascii="宋体" w:hAnsi="宋体"/>
                <w:sz w:val="18"/>
                <w:szCs w:val="18"/>
              </w:rPr>
            </w:pPr>
            <w:r>
              <w:rPr>
                <w:rFonts w:hint="eastAsia" w:ascii="宋体" w:hAnsi="宋体"/>
                <w:sz w:val="18"/>
                <w:szCs w:val="18"/>
              </w:rPr>
              <w:t>7</w:t>
            </w:r>
          </w:p>
        </w:tc>
        <w:tc>
          <w:tcPr>
            <w:tcW w:w="1772" w:type="dxa"/>
            <w:tcMar>
              <w:left w:w="28" w:type="dxa"/>
              <w:right w:w="28" w:type="dxa"/>
            </w:tcMar>
            <w:vAlign w:val="center"/>
          </w:tcPr>
          <w:p>
            <w:pPr>
              <w:spacing w:line="240" w:lineRule="exact"/>
              <w:jc w:val="center"/>
              <w:rPr>
                <w:rFonts w:ascii="宋体" w:hAnsi="宋体"/>
                <w:sz w:val="18"/>
                <w:szCs w:val="18"/>
              </w:rPr>
            </w:pPr>
            <w:r>
              <w:rPr>
                <w:rFonts w:hint="eastAsia" w:ascii="宋体" w:hAnsi="宋体"/>
                <w:sz w:val="18"/>
                <w:szCs w:val="18"/>
              </w:rPr>
              <w:t>网状渗碳体</w:t>
            </w:r>
          </w:p>
        </w:tc>
        <w:tc>
          <w:tcPr>
            <w:tcW w:w="1772" w:type="dxa"/>
            <w:tcMar>
              <w:left w:w="28" w:type="dxa"/>
              <w:right w:w="28" w:type="dxa"/>
            </w:tcMar>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2个</w:t>
            </w:r>
            <w:r>
              <w:rPr>
                <w:rFonts w:asciiTheme="minorEastAsia" w:hAnsiTheme="minorEastAsia" w:eastAsiaTheme="minorEastAsia"/>
                <w:sz w:val="18"/>
                <w:szCs w:val="18"/>
              </w:rPr>
              <w:t>/批</w:t>
            </w:r>
          </w:p>
        </w:tc>
        <w:tc>
          <w:tcPr>
            <w:tcW w:w="2352" w:type="dxa"/>
            <w:tcMar>
              <w:left w:w="28" w:type="dxa"/>
              <w:right w:w="28" w:type="dxa"/>
            </w:tcMar>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不同根盘条</w:t>
            </w:r>
          </w:p>
        </w:tc>
        <w:tc>
          <w:tcPr>
            <w:tcW w:w="2920" w:type="dxa"/>
            <w:tcMar>
              <w:left w:w="28" w:type="dxa"/>
              <w:right w:w="28" w:type="dxa"/>
            </w:tcMar>
            <w:vAlign w:val="center"/>
          </w:tcPr>
          <w:p>
            <w:pPr>
              <w:spacing w:line="240" w:lineRule="exact"/>
              <w:jc w:val="center"/>
              <w:rPr>
                <w:rFonts w:ascii="宋体" w:hAnsi="宋体"/>
                <w:sz w:val="18"/>
                <w:szCs w:val="18"/>
              </w:rPr>
            </w:pPr>
            <w:r>
              <w:rPr>
                <w:rFonts w:ascii="宋体" w:hAnsi="宋体"/>
                <w:sz w:val="18"/>
                <w:szCs w:val="18"/>
              </w:rPr>
              <w:t xml:space="preserve">YB/T </w:t>
            </w:r>
            <w:r>
              <w:rPr>
                <w:rFonts w:hint="eastAsia" w:ascii="宋体" w:hAnsi="宋体"/>
                <w:sz w:val="18"/>
                <w:szCs w:val="18"/>
              </w:rPr>
              <w:t>4412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95" w:type="dxa"/>
            <w:tcMar>
              <w:left w:w="28" w:type="dxa"/>
              <w:right w:w="28" w:type="dxa"/>
            </w:tcMar>
            <w:vAlign w:val="center"/>
          </w:tcPr>
          <w:p>
            <w:pPr>
              <w:jc w:val="center"/>
              <w:rPr>
                <w:rFonts w:ascii="宋体" w:hAnsi="宋体"/>
                <w:sz w:val="18"/>
                <w:szCs w:val="18"/>
              </w:rPr>
            </w:pPr>
            <w:r>
              <w:rPr>
                <w:rFonts w:ascii="宋体" w:hAnsi="宋体"/>
                <w:sz w:val="18"/>
                <w:szCs w:val="18"/>
              </w:rPr>
              <w:t>8</w:t>
            </w:r>
          </w:p>
        </w:tc>
        <w:tc>
          <w:tcPr>
            <w:tcW w:w="1772" w:type="dxa"/>
            <w:tcMar>
              <w:left w:w="28" w:type="dxa"/>
              <w:right w:w="28" w:type="dxa"/>
            </w:tcMar>
            <w:vAlign w:val="center"/>
          </w:tcPr>
          <w:p>
            <w:pPr>
              <w:spacing w:line="240" w:lineRule="exact"/>
              <w:jc w:val="center"/>
              <w:rPr>
                <w:rFonts w:ascii="宋体" w:hAnsi="宋体"/>
                <w:sz w:val="18"/>
                <w:szCs w:val="18"/>
              </w:rPr>
            </w:pPr>
            <w:r>
              <w:rPr>
                <w:rFonts w:hint="eastAsia" w:ascii="宋体" w:hAnsi="宋体"/>
                <w:sz w:val="18"/>
                <w:szCs w:val="18"/>
              </w:rPr>
              <w:t>中心马氏体</w:t>
            </w:r>
          </w:p>
        </w:tc>
        <w:tc>
          <w:tcPr>
            <w:tcW w:w="1772" w:type="dxa"/>
            <w:tcMar>
              <w:left w:w="28" w:type="dxa"/>
              <w:right w:w="28" w:type="dxa"/>
            </w:tcMar>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2个</w:t>
            </w:r>
            <w:r>
              <w:rPr>
                <w:rFonts w:asciiTheme="minorEastAsia" w:hAnsiTheme="minorEastAsia" w:eastAsiaTheme="minorEastAsia"/>
                <w:sz w:val="18"/>
                <w:szCs w:val="18"/>
              </w:rPr>
              <w:t>/批</w:t>
            </w:r>
          </w:p>
        </w:tc>
        <w:tc>
          <w:tcPr>
            <w:tcW w:w="2352" w:type="dxa"/>
            <w:tcMar>
              <w:left w:w="28" w:type="dxa"/>
              <w:right w:w="28" w:type="dxa"/>
            </w:tcMar>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不同根盘条</w:t>
            </w:r>
          </w:p>
        </w:tc>
        <w:tc>
          <w:tcPr>
            <w:tcW w:w="2920" w:type="dxa"/>
            <w:tcMar>
              <w:left w:w="28" w:type="dxa"/>
              <w:right w:w="28" w:type="dxa"/>
            </w:tcMar>
            <w:vAlign w:val="center"/>
          </w:tcPr>
          <w:p>
            <w:pPr>
              <w:spacing w:line="240" w:lineRule="exact"/>
              <w:jc w:val="center"/>
              <w:rPr>
                <w:rFonts w:ascii="宋体" w:hAnsi="宋体"/>
                <w:sz w:val="18"/>
                <w:szCs w:val="18"/>
              </w:rPr>
            </w:pPr>
            <w:r>
              <w:rPr>
                <w:rFonts w:ascii="宋体" w:hAnsi="宋体"/>
                <w:sz w:val="18"/>
                <w:szCs w:val="18"/>
              </w:rPr>
              <w:t xml:space="preserve">YB/T </w:t>
            </w:r>
            <w:r>
              <w:rPr>
                <w:rFonts w:hint="eastAsia" w:ascii="宋体" w:hAnsi="宋体"/>
                <w:sz w:val="18"/>
                <w:szCs w:val="18"/>
              </w:rPr>
              <w:t>4411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95" w:type="dxa"/>
            <w:tcMar>
              <w:left w:w="28" w:type="dxa"/>
              <w:right w:w="28" w:type="dxa"/>
            </w:tcMar>
            <w:vAlign w:val="center"/>
          </w:tcPr>
          <w:p>
            <w:pPr>
              <w:jc w:val="center"/>
              <w:rPr>
                <w:rFonts w:ascii="宋体" w:hAnsi="宋体"/>
                <w:sz w:val="18"/>
                <w:szCs w:val="18"/>
              </w:rPr>
            </w:pPr>
            <w:r>
              <w:rPr>
                <w:rFonts w:hint="eastAsia" w:ascii="宋体" w:hAnsi="宋体"/>
                <w:sz w:val="18"/>
                <w:szCs w:val="18"/>
              </w:rPr>
              <w:t>9</w:t>
            </w:r>
          </w:p>
        </w:tc>
        <w:tc>
          <w:tcPr>
            <w:tcW w:w="1772" w:type="dxa"/>
            <w:tcMar>
              <w:left w:w="28" w:type="dxa"/>
              <w:right w:w="28" w:type="dxa"/>
            </w:tcMar>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非金属夹杂物</w:t>
            </w:r>
          </w:p>
        </w:tc>
        <w:tc>
          <w:tcPr>
            <w:tcW w:w="1772" w:type="dxa"/>
            <w:tcMar>
              <w:left w:w="28" w:type="dxa"/>
              <w:right w:w="28" w:type="dxa"/>
            </w:tcMar>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2个/批</w:t>
            </w:r>
          </w:p>
        </w:tc>
        <w:tc>
          <w:tcPr>
            <w:tcW w:w="2352" w:type="dxa"/>
            <w:tcMar>
              <w:left w:w="28" w:type="dxa"/>
              <w:right w:w="28" w:type="dxa"/>
            </w:tcMar>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不同根盘条</w:t>
            </w:r>
          </w:p>
        </w:tc>
        <w:tc>
          <w:tcPr>
            <w:tcW w:w="2920" w:type="dxa"/>
            <w:tcMar>
              <w:left w:w="28" w:type="dxa"/>
              <w:right w:w="28" w:type="dxa"/>
            </w:tcMar>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GB/T 10561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6" w:hRule="exact"/>
          <w:jc w:val="center"/>
        </w:trPr>
        <w:tc>
          <w:tcPr>
            <w:tcW w:w="595" w:type="dxa"/>
            <w:tcMar>
              <w:left w:w="28" w:type="dxa"/>
              <w:right w:w="28" w:type="dxa"/>
            </w:tcMar>
            <w:vAlign w:val="center"/>
          </w:tcPr>
          <w:p>
            <w:pPr>
              <w:jc w:val="center"/>
              <w:rPr>
                <w:rFonts w:ascii="宋体" w:hAnsi="宋体"/>
                <w:sz w:val="18"/>
                <w:szCs w:val="18"/>
              </w:rPr>
            </w:pPr>
            <w:r>
              <w:rPr>
                <w:rFonts w:ascii="宋体" w:hAnsi="宋体"/>
                <w:sz w:val="18"/>
                <w:szCs w:val="18"/>
              </w:rPr>
              <w:t>10</w:t>
            </w:r>
          </w:p>
        </w:tc>
        <w:tc>
          <w:tcPr>
            <w:tcW w:w="1772" w:type="dxa"/>
            <w:tcMar>
              <w:left w:w="28" w:type="dxa"/>
              <w:right w:w="28" w:type="dxa"/>
            </w:tcMar>
            <w:vAlign w:val="center"/>
          </w:tcPr>
          <w:p>
            <w:pPr>
              <w:jc w:val="center"/>
              <w:rPr>
                <w:rFonts w:asciiTheme="minorEastAsia" w:hAnsiTheme="minorEastAsia" w:eastAsiaTheme="minorEastAsia"/>
                <w:sz w:val="18"/>
                <w:szCs w:val="18"/>
              </w:rPr>
            </w:pPr>
            <w:r>
              <w:rPr>
                <w:rFonts w:hint="eastAsia"/>
                <w:sz w:val="18"/>
                <w:szCs w:val="18"/>
                <w:lang w:val="zh-TW"/>
              </w:rPr>
              <w:t>低倍组织</w:t>
            </w:r>
          </w:p>
        </w:tc>
        <w:tc>
          <w:tcPr>
            <w:tcW w:w="1772" w:type="dxa"/>
            <w:tcMar>
              <w:left w:w="28" w:type="dxa"/>
              <w:right w:w="28" w:type="dxa"/>
            </w:tcMar>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2个/</w:t>
            </w:r>
            <w:r>
              <w:rPr>
                <w:rFonts w:hint="eastAsia" w:asciiTheme="minorEastAsia" w:hAnsiTheme="minorEastAsia" w:eastAsiaTheme="minorEastAsia"/>
                <w:sz w:val="18"/>
                <w:szCs w:val="18"/>
              </w:rPr>
              <w:t>批</w:t>
            </w:r>
          </w:p>
        </w:tc>
        <w:tc>
          <w:tcPr>
            <w:tcW w:w="2352" w:type="dxa"/>
            <w:tcMar>
              <w:left w:w="28" w:type="dxa"/>
              <w:right w:w="28" w:type="dxa"/>
            </w:tcMar>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不同根盘条</w:t>
            </w:r>
          </w:p>
        </w:tc>
        <w:tc>
          <w:tcPr>
            <w:tcW w:w="2920" w:type="dxa"/>
            <w:tcMar>
              <w:left w:w="28" w:type="dxa"/>
              <w:right w:w="28" w:type="dxa"/>
            </w:tcMar>
            <w:vAlign w:val="center"/>
          </w:tcPr>
          <w:p>
            <w:pPr>
              <w:pStyle w:val="22"/>
              <w:ind w:firstLine="0" w:firstLineChars="0"/>
              <w:jc w:val="center"/>
              <w:rPr>
                <w:rFonts w:asciiTheme="minorEastAsia" w:hAnsiTheme="minorEastAsia" w:eastAsiaTheme="minorEastAsia"/>
                <w:sz w:val="18"/>
                <w:szCs w:val="18"/>
              </w:rPr>
            </w:pPr>
            <w:r>
              <w:rPr>
                <w:rFonts w:hint="eastAsia"/>
                <w:sz w:val="18"/>
                <w:szCs w:val="18"/>
              </w:rPr>
              <w:t>GB/T 226、GB/T 1979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exact"/>
          <w:jc w:val="center"/>
        </w:trPr>
        <w:tc>
          <w:tcPr>
            <w:tcW w:w="595" w:type="dxa"/>
            <w:tcMar>
              <w:left w:w="28" w:type="dxa"/>
              <w:right w:w="28" w:type="dxa"/>
            </w:tcMar>
            <w:vAlign w:val="center"/>
          </w:tcPr>
          <w:p>
            <w:pPr>
              <w:jc w:val="center"/>
              <w:rPr>
                <w:rFonts w:ascii="宋体" w:hAnsi="宋体"/>
                <w:sz w:val="18"/>
                <w:szCs w:val="18"/>
              </w:rPr>
            </w:pPr>
            <w:r>
              <w:rPr>
                <w:rFonts w:ascii="宋体" w:hAnsi="宋体"/>
                <w:sz w:val="18"/>
                <w:szCs w:val="18"/>
              </w:rPr>
              <w:t>11</w:t>
            </w:r>
          </w:p>
        </w:tc>
        <w:tc>
          <w:tcPr>
            <w:tcW w:w="1772" w:type="dxa"/>
            <w:tcMar>
              <w:left w:w="28" w:type="dxa"/>
              <w:right w:w="28" w:type="dxa"/>
            </w:tcMar>
            <w:vAlign w:val="center"/>
          </w:tcPr>
          <w:p>
            <w:pPr>
              <w:jc w:val="center"/>
              <w:rPr>
                <w:rFonts w:asciiTheme="minorEastAsia" w:hAnsiTheme="minorEastAsia" w:eastAsiaTheme="minorEastAsia"/>
                <w:sz w:val="18"/>
                <w:szCs w:val="18"/>
              </w:rPr>
            </w:pPr>
            <w:r>
              <w:rPr>
                <w:rFonts w:asciiTheme="minorEastAsia" w:hAnsiTheme="minorEastAsia" w:eastAsiaTheme="minorEastAsia"/>
                <w:spacing w:val="-2"/>
                <w:sz w:val="18"/>
                <w:szCs w:val="18"/>
              </w:rPr>
              <w:t>表面质量</w:t>
            </w:r>
          </w:p>
        </w:tc>
        <w:tc>
          <w:tcPr>
            <w:tcW w:w="1772" w:type="dxa"/>
            <w:tcMar>
              <w:left w:w="28" w:type="dxa"/>
              <w:right w:w="28" w:type="dxa"/>
            </w:tcMar>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pacing w:val="-2"/>
                <w:sz w:val="18"/>
                <w:szCs w:val="18"/>
              </w:rPr>
              <w:t>逐盘</w:t>
            </w:r>
          </w:p>
        </w:tc>
        <w:tc>
          <w:tcPr>
            <w:tcW w:w="2352" w:type="dxa"/>
            <w:tcMar>
              <w:left w:w="28" w:type="dxa"/>
              <w:right w:w="28" w:type="dxa"/>
            </w:tcMar>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w:t>
            </w:r>
          </w:p>
        </w:tc>
        <w:tc>
          <w:tcPr>
            <w:tcW w:w="2920" w:type="dxa"/>
            <w:tcMar>
              <w:left w:w="28" w:type="dxa"/>
              <w:right w:w="28" w:type="dxa"/>
            </w:tcMar>
            <w:vAlign w:val="center"/>
          </w:tcPr>
          <w:p>
            <w:pPr>
              <w:jc w:val="center"/>
              <w:rPr>
                <w:rFonts w:asciiTheme="minorEastAsia" w:hAnsiTheme="minorEastAsia" w:eastAsiaTheme="minorEastAsia"/>
                <w:sz w:val="18"/>
                <w:szCs w:val="18"/>
              </w:rPr>
            </w:pPr>
            <w:r>
              <w:rPr>
                <w:rFonts w:asciiTheme="minorEastAsia" w:hAnsiTheme="minorEastAsia" w:eastAsiaTheme="minorEastAsia"/>
                <w:spacing w:val="-2"/>
                <w:sz w:val="18"/>
                <w:szCs w:val="18"/>
              </w:rPr>
              <w:t>目视</w:t>
            </w:r>
            <w:r>
              <w:rPr>
                <w:rFonts w:hint="eastAsia" w:asciiTheme="minorEastAsia" w:hAnsiTheme="minorEastAsia" w:eastAsiaTheme="minorEastAsia"/>
                <w:spacing w:val="-2"/>
                <w:sz w:val="18"/>
                <w:szCs w:val="18"/>
              </w:rPr>
              <w:t>检查，可用适宜精度的量具测定表面缺陷深度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595" w:type="dxa"/>
            <w:tcMar>
              <w:left w:w="28" w:type="dxa"/>
              <w:right w:w="28" w:type="dxa"/>
            </w:tcMar>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12</w:t>
            </w:r>
          </w:p>
        </w:tc>
        <w:tc>
          <w:tcPr>
            <w:tcW w:w="1772" w:type="dxa"/>
            <w:tcMar>
              <w:left w:w="28" w:type="dxa"/>
              <w:right w:w="28" w:type="dxa"/>
            </w:tcMar>
            <w:vAlign w:val="center"/>
          </w:tcPr>
          <w:p>
            <w:pPr>
              <w:jc w:val="center"/>
              <w:rPr>
                <w:rFonts w:asciiTheme="minorEastAsia" w:hAnsiTheme="minorEastAsia" w:eastAsiaTheme="minorEastAsia"/>
                <w:sz w:val="18"/>
                <w:szCs w:val="18"/>
              </w:rPr>
            </w:pPr>
            <w:r>
              <w:rPr>
                <w:rFonts w:asciiTheme="minorEastAsia" w:hAnsiTheme="minorEastAsia" w:eastAsiaTheme="minorEastAsia"/>
                <w:spacing w:val="-2"/>
                <w:sz w:val="18"/>
                <w:szCs w:val="18"/>
              </w:rPr>
              <w:t>尺寸、外形</w:t>
            </w:r>
          </w:p>
        </w:tc>
        <w:tc>
          <w:tcPr>
            <w:tcW w:w="1772" w:type="dxa"/>
            <w:tcMar>
              <w:left w:w="28" w:type="dxa"/>
              <w:right w:w="28" w:type="dxa"/>
            </w:tcMar>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pacing w:val="-2"/>
                <w:sz w:val="18"/>
                <w:szCs w:val="18"/>
              </w:rPr>
              <w:t>逐盘</w:t>
            </w:r>
          </w:p>
        </w:tc>
        <w:tc>
          <w:tcPr>
            <w:tcW w:w="2352" w:type="dxa"/>
            <w:tcMar>
              <w:left w:w="28" w:type="dxa"/>
              <w:right w:w="28" w:type="dxa"/>
            </w:tcMar>
            <w:vAlign w:val="center"/>
          </w:tcPr>
          <w:p>
            <w:pPr>
              <w:jc w:val="center"/>
              <w:rPr>
                <w:rFonts w:asciiTheme="minorEastAsia" w:hAnsiTheme="minorEastAsia" w:eastAsiaTheme="minorEastAsia"/>
                <w:sz w:val="18"/>
                <w:szCs w:val="18"/>
              </w:rPr>
            </w:pPr>
            <w:r>
              <w:rPr>
                <w:rFonts w:asciiTheme="minorEastAsia" w:hAnsiTheme="minorEastAsia" w:eastAsiaTheme="minorEastAsia"/>
                <w:sz w:val="18"/>
                <w:szCs w:val="18"/>
              </w:rPr>
              <w:t>—</w:t>
            </w:r>
          </w:p>
        </w:tc>
        <w:tc>
          <w:tcPr>
            <w:tcW w:w="2920" w:type="dxa"/>
            <w:tcMar>
              <w:left w:w="28" w:type="dxa"/>
              <w:right w:w="28" w:type="dxa"/>
            </w:tcMar>
            <w:vAlign w:val="center"/>
          </w:tcPr>
          <w:p>
            <w:pPr>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适宜精度的千分尺，游标卡尺</w:t>
            </w:r>
          </w:p>
        </w:tc>
      </w:tr>
    </w:tbl>
    <w:p>
      <w:pPr>
        <w:pStyle w:val="52"/>
        <w:spacing w:before="312" w:after="312"/>
        <w:rPr>
          <w:rFonts w:ascii="Times New Roman"/>
        </w:rPr>
      </w:pPr>
      <w:bookmarkStart w:id="55" w:name="_Toc28402"/>
      <w:bookmarkStart w:id="56" w:name="_Toc33108948"/>
      <w:bookmarkStart w:id="57" w:name="_Toc5031"/>
      <w:r>
        <w:rPr>
          <w:rFonts w:ascii="Times New Roman"/>
        </w:rPr>
        <w:t>检验规则</w:t>
      </w:r>
      <w:bookmarkEnd w:id="55"/>
      <w:bookmarkEnd w:id="56"/>
      <w:bookmarkEnd w:id="57"/>
    </w:p>
    <w:p>
      <w:pPr>
        <w:pStyle w:val="49"/>
        <w:spacing w:before="156" w:after="156"/>
      </w:pPr>
      <w:r>
        <w:t>检查和验收</w:t>
      </w:r>
    </w:p>
    <w:p>
      <w:pPr>
        <w:pStyle w:val="70"/>
        <w:numPr>
          <w:ilvl w:val="0"/>
          <w:numId w:val="0"/>
        </w:numPr>
        <w:tabs>
          <w:tab w:val="left" w:pos="0"/>
        </w:tabs>
        <w:ind w:firstLine="525" w:firstLineChars="250"/>
        <w:rPr>
          <w:rFonts w:ascii="Times New Roman"/>
        </w:rPr>
      </w:pPr>
      <w:r>
        <w:rPr>
          <w:rFonts w:hint="eastAsia"/>
        </w:rPr>
        <w:t>盘条的</w:t>
      </w:r>
      <w:r>
        <w:rPr>
          <w:rFonts w:ascii="Times New Roman"/>
        </w:rPr>
        <w:t>检查和验收由供方质量检验部门进行。</w:t>
      </w:r>
    </w:p>
    <w:p>
      <w:pPr>
        <w:pStyle w:val="49"/>
        <w:spacing w:before="156" w:after="156"/>
      </w:pPr>
      <w:r>
        <w:t>组批</w:t>
      </w:r>
      <w:r>
        <w:rPr>
          <w:rFonts w:hint="eastAsia"/>
        </w:rPr>
        <w:t>规则</w:t>
      </w:r>
    </w:p>
    <w:p>
      <w:pPr>
        <w:ind w:firstLine="420" w:firstLineChars="200"/>
      </w:pPr>
      <w:r>
        <w:rPr>
          <w:rFonts w:hint="eastAsia"/>
        </w:rPr>
        <w:t>盘条应成批验收</w:t>
      </w:r>
      <w:r>
        <w:t>。</w:t>
      </w:r>
      <w:r>
        <w:rPr>
          <w:rFonts w:hint="eastAsia"/>
        </w:rPr>
        <w:t>每批应由同一牌号、同一炉号、同一尺寸和同一轧制制度的盘条组成。</w:t>
      </w:r>
    </w:p>
    <w:p>
      <w:pPr>
        <w:pStyle w:val="49"/>
        <w:spacing w:before="156" w:after="156"/>
      </w:pPr>
      <w:r>
        <w:t>复验</w:t>
      </w:r>
      <w:r>
        <w:rPr>
          <w:rFonts w:hint="eastAsia"/>
        </w:rPr>
        <w:t>和</w:t>
      </w:r>
      <w:r>
        <w:t>判定规则</w:t>
      </w:r>
    </w:p>
    <w:p>
      <w:pPr>
        <w:pStyle w:val="22"/>
        <w:rPr>
          <w:rFonts w:cs="Times New Roman" w:asciiTheme="minorEastAsia" w:hAnsiTheme="minorEastAsia" w:eastAsiaTheme="minorEastAsia"/>
        </w:rPr>
      </w:pPr>
      <w:r>
        <w:rPr>
          <w:rFonts w:hint="eastAsia" w:cs="Times New Roman" w:asciiTheme="minorEastAsia" w:hAnsiTheme="minorEastAsia" w:eastAsiaTheme="minorEastAsia"/>
        </w:rPr>
        <w:t>盘条</w:t>
      </w:r>
      <w:r>
        <w:rPr>
          <w:rFonts w:cs="Times New Roman" w:asciiTheme="minorEastAsia" w:hAnsiTheme="minorEastAsia" w:eastAsiaTheme="minorEastAsia"/>
        </w:rPr>
        <w:t>的复验</w:t>
      </w:r>
      <w:r>
        <w:rPr>
          <w:rFonts w:hint="eastAsia" w:cs="Times New Roman" w:asciiTheme="minorEastAsia" w:hAnsiTheme="minorEastAsia" w:eastAsiaTheme="minorEastAsia"/>
        </w:rPr>
        <w:t>和</w:t>
      </w:r>
      <w:r>
        <w:rPr>
          <w:rFonts w:cs="Times New Roman" w:asciiTheme="minorEastAsia" w:hAnsiTheme="minorEastAsia" w:eastAsiaTheme="minorEastAsia"/>
        </w:rPr>
        <w:t>判定</w:t>
      </w:r>
      <w:r>
        <w:rPr>
          <w:rFonts w:hint="eastAsia" w:cs="Times New Roman" w:asciiTheme="minorEastAsia" w:hAnsiTheme="minorEastAsia" w:eastAsiaTheme="minorEastAsia"/>
        </w:rPr>
        <w:t>符合</w:t>
      </w:r>
      <w:r>
        <w:rPr>
          <w:rFonts w:cs="Times New Roman" w:asciiTheme="minorEastAsia" w:hAnsiTheme="minorEastAsia" w:eastAsiaTheme="minorEastAsia"/>
        </w:rPr>
        <w:t xml:space="preserve">GB/T </w:t>
      </w:r>
      <w:r>
        <w:rPr>
          <w:rFonts w:hint="eastAsia" w:cs="Times New Roman" w:asciiTheme="minorEastAsia" w:hAnsiTheme="minorEastAsia" w:eastAsiaTheme="minorEastAsia"/>
        </w:rPr>
        <w:t>17505的规定</w:t>
      </w:r>
      <w:r>
        <w:rPr>
          <w:rFonts w:cs="Times New Roman" w:asciiTheme="minorEastAsia" w:hAnsiTheme="minorEastAsia" w:eastAsiaTheme="minorEastAsia"/>
        </w:rPr>
        <w:t>。</w:t>
      </w:r>
    </w:p>
    <w:p>
      <w:pPr>
        <w:pStyle w:val="49"/>
        <w:spacing w:before="156" w:after="156"/>
      </w:pPr>
      <w:r>
        <w:rPr>
          <w:rFonts w:hint="eastAsia"/>
        </w:rPr>
        <w:t>数值修约</w:t>
      </w:r>
    </w:p>
    <w:p>
      <w:pPr>
        <w:pStyle w:val="22"/>
        <w:rPr>
          <w:rFonts w:cs="Times New Roman" w:asciiTheme="minorEastAsia" w:hAnsiTheme="minorEastAsia" w:eastAsiaTheme="minorEastAsia"/>
        </w:rPr>
      </w:pPr>
      <w:r>
        <w:rPr>
          <w:rFonts w:hint="eastAsia" w:cs="Times New Roman" w:asciiTheme="minorEastAsia" w:hAnsiTheme="minorEastAsia" w:eastAsiaTheme="minorEastAsia"/>
        </w:rPr>
        <w:t>盘条各项检验结果应采用修约值比较法进行修约，修约规则按GB/T</w:t>
      </w:r>
      <w:r>
        <w:rPr>
          <w:rFonts w:cs="Times New Roman" w:asciiTheme="minorEastAsia" w:hAnsiTheme="minorEastAsia" w:eastAsiaTheme="minorEastAsia"/>
        </w:rPr>
        <w:t xml:space="preserve"> 8170</w:t>
      </w:r>
      <w:r>
        <w:rPr>
          <w:rFonts w:hint="eastAsia" w:cs="Times New Roman" w:asciiTheme="minorEastAsia" w:hAnsiTheme="minorEastAsia" w:eastAsiaTheme="minorEastAsia"/>
        </w:rPr>
        <w:t>的规定。</w:t>
      </w:r>
    </w:p>
    <w:p>
      <w:pPr>
        <w:pStyle w:val="52"/>
        <w:spacing w:before="312" w:after="312"/>
        <w:rPr>
          <w:rFonts w:ascii="Times New Roman"/>
        </w:rPr>
      </w:pPr>
      <w:bookmarkStart w:id="58" w:name="_Toc28865"/>
      <w:bookmarkStart w:id="59" w:name="_Toc26841"/>
      <w:bookmarkStart w:id="60" w:name="_Toc33108949"/>
      <w:r>
        <w:rPr>
          <w:rFonts w:ascii="Times New Roman"/>
        </w:rPr>
        <w:t>包装、标志</w:t>
      </w:r>
      <w:r>
        <w:rPr>
          <w:rFonts w:hint="eastAsia" w:ascii="Times New Roman"/>
        </w:rPr>
        <w:t>和</w:t>
      </w:r>
      <w:r>
        <w:rPr>
          <w:rFonts w:ascii="Times New Roman"/>
        </w:rPr>
        <w:t>质量证明书</w:t>
      </w:r>
      <w:bookmarkEnd w:id="58"/>
      <w:bookmarkEnd w:id="59"/>
      <w:bookmarkEnd w:id="60"/>
    </w:p>
    <w:p>
      <w:pPr>
        <w:pStyle w:val="49"/>
        <w:spacing w:beforeLines="0" w:afterLines="0"/>
        <w:rPr>
          <w:rFonts w:ascii="Times New Roman" w:eastAsia="宋体"/>
          <w:kern w:val="2"/>
          <w:szCs w:val="21"/>
        </w:rPr>
      </w:pPr>
      <w:r>
        <w:rPr>
          <w:rFonts w:hint="eastAsia" w:ascii="Times New Roman" w:eastAsia="宋体"/>
          <w:kern w:val="2"/>
          <w:szCs w:val="21"/>
        </w:rPr>
        <w:t>盘条</w:t>
      </w:r>
      <w:r>
        <w:rPr>
          <w:rFonts w:ascii="Times New Roman" w:eastAsia="宋体"/>
          <w:kern w:val="2"/>
          <w:szCs w:val="21"/>
        </w:rPr>
        <w:t>的</w:t>
      </w:r>
      <w:r>
        <w:rPr>
          <w:rFonts w:hint="eastAsia" w:ascii="Times New Roman" w:eastAsia="宋体"/>
          <w:kern w:val="2"/>
          <w:szCs w:val="21"/>
        </w:rPr>
        <w:t>包装方式及</w:t>
      </w:r>
      <w:r>
        <w:rPr>
          <w:rFonts w:ascii="Times New Roman" w:eastAsia="宋体"/>
          <w:kern w:val="2"/>
          <w:szCs w:val="21"/>
        </w:rPr>
        <w:t>标识按合同要求。</w:t>
      </w:r>
      <w:r>
        <w:rPr>
          <w:rFonts w:hint="eastAsia" w:ascii="Times New Roman" w:eastAsia="宋体"/>
          <w:kern w:val="2"/>
          <w:szCs w:val="21"/>
        </w:rPr>
        <w:t>当</w:t>
      </w:r>
      <w:r>
        <w:rPr>
          <w:rFonts w:ascii="Times New Roman" w:eastAsia="宋体"/>
          <w:kern w:val="2"/>
          <w:szCs w:val="21"/>
        </w:rPr>
        <w:t>需方未明确时，由供方确定。</w:t>
      </w:r>
    </w:p>
    <w:p>
      <w:pPr>
        <w:pStyle w:val="49"/>
        <w:spacing w:beforeLines="0" w:afterLines="0"/>
        <w:rPr>
          <w:rFonts w:ascii="Times New Roman" w:eastAsia="宋体"/>
          <w:kern w:val="2"/>
          <w:szCs w:val="21"/>
        </w:rPr>
      </w:pPr>
      <w:r>
        <w:rPr>
          <w:rFonts w:hint="eastAsia" w:ascii="Times New Roman" w:eastAsia="宋体"/>
          <w:kern w:val="2"/>
          <w:szCs w:val="21"/>
        </w:rPr>
        <w:t>质量证明书</w:t>
      </w:r>
      <w:r>
        <w:rPr>
          <w:rFonts w:ascii="Times New Roman" w:eastAsia="宋体"/>
          <w:kern w:val="2"/>
          <w:szCs w:val="21"/>
        </w:rPr>
        <w:t>应符合</w:t>
      </w:r>
      <w:r>
        <w:rPr>
          <w:rFonts w:asciiTheme="minorEastAsia" w:hAnsiTheme="minorEastAsia" w:eastAsiaTheme="minorEastAsia"/>
          <w:kern w:val="2"/>
          <w:szCs w:val="21"/>
        </w:rPr>
        <w:t>GB/T 2101</w:t>
      </w:r>
      <w:r>
        <w:rPr>
          <w:rFonts w:hint="eastAsia" w:asciiTheme="minorEastAsia" w:hAnsiTheme="minorEastAsia" w:eastAsiaTheme="minorEastAsia"/>
          <w:kern w:val="2"/>
          <w:szCs w:val="21"/>
        </w:rPr>
        <w:t>的</w:t>
      </w:r>
      <w:r>
        <w:rPr>
          <w:rFonts w:ascii="Times New Roman" w:eastAsia="宋体"/>
          <w:kern w:val="2"/>
          <w:szCs w:val="21"/>
        </w:rPr>
        <w:t>规定。</w:t>
      </w:r>
    </w:p>
    <w:p>
      <w:pPr>
        <w:pStyle w:val="136"/>
        <w:framePr w:wrap="around" w:hAnchor="page" w:x="4141" w:y="182"/>
      </w:pPr>
      <w:r>
        <w:t>_________________________________</w:t>
      </w:r>
    </w:p>
    <w:p>
      <w:pPr>
        <w:pStyle w:val="22"/>
      </w:pPr>
    </w:p>
    <w:p>
      <w:pPr>
        <w:pStyle w:val="22"/>
        <w:rPr>
          <w:rFonts w:ascii="Times New Roman"/>
          <w:kern w:val="2"/>
        </w:rPr>
      </w:pPr>
    </w:p>
    <w:p>
      <w:pPr>
        <w:pStyle w:val="22"/>
        <w:rPr>
          <w:rFonts w:ascii="Times New Roman"/>
          <w:kern w:val="2"/>
        </w:rPr>
      </w:pPr>
    </w:p>
    <w:p>
      <w:pPr>
        <w:pStyle w:val="22"/>
        <w:rPr>
          <w:rFonts w:ascii="Times New Roman"/>
          <w:kern w:val="2"/>
        </w:rPr>
      </w:pPr>
    </w:p>
    <w:p>
      <w:pPr>
        <w:pStyle w:val="22"/>
        <w:rPr>
          <w:rFonts w:ascii="Times New Roman"/>
          <w:kern w:val="2"/>
        </w:rPr>
      </w:pPr>
    </w:p>
    <w:p>
      <w:pPr>
        <w:pStyle w:val="22"/>
        <w:rPr>
          <w:rFonts w:ascii="Times New Roman"/>
          <w:kern w:val="2"/>
        </w:rPr>
      </w:pPr>
    </w:p>
    <w:p>
      <w:pPr>
        <w:pStyle w:val="22"/>
        <w:rPr>
          <w:rFonts w:ascii="Times New Roman"/>
          <w:kern w:val="2"/>
        </w:rPr>
      </w:pPr>
    </w:p>
    <w:p>
      <w:pPr>
        <w:pStyle w:val="22"/>
        <w:rPr>
          <w:rFonts w:ascii="Times New Roman"/>
          <w:kern w:val="2"/>
        </w:rPr>
      </w:pPr>
    </w:p>
    <w:p>
      <w:pPr>
        <w:pStyle w:val="22"/>
        <w:rPr>
          <w:rFonts w:ascii="Times New Roman"/>
          <w:kern w:val="2"/>
        </w:rPr>
      </w:pPr>
    </w:p>
    <w:p>
      <w:pPr>
        <w:pStyle w:val="22"/>
        <w:rPr>
          <w:rFonts w:ascii="Times New Roman"/>
          <w:kern w:val="2"/>
        </w:rPr>
      </w:pPr>
    </w:p>
    <w:p>
      <w:pPr>
        <w:pStyle w:val="22"/>
        <w:rPr>
          <w:rFonts w:ascii="Times New Roman"/>
          <w:kern w:val="2"/>
        </w:rPr>
      </w:pPr>
    </w:p>
    <w:p>
      <w:pPr>
        <w:pStyle w:val="22"/>
        <w:rPr>
          <w:rFonts w:ascii="Times New Roman"/>
          <w:kern w:val="2"/>
        </w:rPr>
      </w:pPr>
    </w:p>
    <w:p>
      <w:pPr>
        <w:pStyle w:val="22"/>
        <w:rPr>
          <w:rFonts w:ascii="Times New Roman"/>
          <w:kern w:val="2"/>
        </w:rPr>
      </w:pPr>
    </w:p>
    <w:p>
      <w:pPr>
        <w:pStyle w:val="22"/>
        <w:rPr>
          <w:rFonts w:ascii="Times New Roman"/>
          <w:kern w:val="2"/>
        </w:rPr>
      </w:pPr>
    </w:p>
    <w:p>
      <w:pPr>
        <w:pStyle w:val="22"/>
        <w:rPr>
          <w:rFonts w:ascii="Times New Roman"/>
          <w:kern w:val="2"/>
        </w:rPr>
      </w:pPr>
    </w:p>
    <w:p>
      <w:pPr>
        <w:pStyle w:val="22"/>
        <w:rPr>
          <w:rFonts w:ascii="Times New Roman"/>
          <w:kern w:val="2"/>
        </w:rPr>
      </w:pPr>
    </w:p>
    <w:p>
      <w:pPr>
        <w:pStyle w:val="22"/>
        <w:rPr>
          <w:rFonts w:ascii="Times New Roman"/>
          <w:kern w:val="2"/>
        </w:rPr>
      </w:pPr>
    </w:p>
    <w:p>
      <w:pPr>
        <w:pStyle w:val="22"/>
        <w:rPr>
          <w:rFonts w:ascii="Times New Roman"/>
          <w:kern w:val="2"/>
        </w:rPr>
      </w:pPr>
    </w:p>
    <w:p>
      <w:pPr>
        <w:pStyle w:val="22"/>
        <w:rPr>
          <w:rFonts w:ascii="Times New Roman"/>
          <w:kern w:val="2"/>
        </w:rPr>
      </w:pPr>
    </w:p>
    <w:p>
      <w:pPr>
        <w:pStyle w:val="22"/>
        <w:rPr>
          <w:rFonts w:ascii="Times New Roman"/>
          <w:kern w:val="2"/>
        </w:rPr>
      </w:pPr>
    </w:p>
    <w:p>
      <w:pPr>
        <w:pStyle w:val="22"/>
        <w:rPr>
          <w:rFonts w:ascii="Times New Roman"/>
          <w:kern w:val="2"/>
        </w:rPr>
      </w:pPr>
    </w:p>
    <w:p>
      <w:pPr>
        <w:pStyle w:val="22"/>
        <w:rPr>
          <w:rFonts w:ascii="Times New Roman"/>
          <w:kern w:val="2"/>
        </w:rPr>
      </w:pPr>
    </w:p>
    <w:p>
      <w:pPr>
        <w:pStyle w:val="22"/>
        <w:rPr>
          <w:rFonts w:ascii="Times New Roman"/>
          <w:kern w:val="2"/>
        </w:rPr>
      </w:pPr>
    </w:p>
    <w:p>
      <w:pPr>
        <w:pStyle w:val="22"/>
        <w:rPr>
          <w:rFonts w:ascii="Times New Roman"/>
          <w:kern w:val="2"/>
        </w:rPr>
      </w:pPr>
    </w:p>
    <w:p>
      <w:pPr>
        <w:pStyle w:val="22"/>
      </w:pPr>
    </w:p>
    <w:sectPr>
      <w:footerReference r:id="rId5" w:type="default"/>
      <w:pgSz w:w="11906" w:h="16838"/>
      <w:pgMar w:top="567" w:right="1134" w:bottom="1134" w:left="1417" w:header="1418" w:footer="1134" w:gutter="0"/>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PMingLiU">
    <w:altName w:val="Microsoft JhengHei UI"/>
    <w:panose1 w:val="02010601000101010101"/>
    <w:charset w:val="88"/>
    <w:family w:val="auto"/>
    <w:pitch w:val="default"/>
    <w:sig w:usb0="00000000" w:usb1="00000000" w:usb2="00000016" w:usb3="00000000" w:csb0="00100001" w:csb1="00000000"/>
  </w:font>
  <w:font w:name="宋体飨.胨..">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rPr>
        <w:rFonts w:cs="Times New Roman"/>
      </w:rPr>
    </w:pPr>
    <w:r>
      <w:fldChar w:fldCharType="begin"/>
    </w:r>
    <w:r>
      <w:instrText xml:space="preserve"> PAGE  \* MERGEFORMAT </w:instrText>
    </w:r>
    <w:r>
      <w:fldChar w:fldCharType="separate"/>
    </w:r>
    <w: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Pr>
        <w:rFonts w:cs="Times New Roman"/>
        <w:lang w:val="zh-CN"/>
      </w:rPr>
      <w:t>4</w:t>
    </w:r>
    <w:r>
      <w:rPr>
        <w:rFonts w:cs="Times New Roma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Fonts w:eastAsia="黑体"/>
      </w:rPr>
    </w:pPr>
    <w:r>
      <w:rPr>
        <w:rFonts w:ascii="黑体" w:eastAsia="黑体" w:cs="黑体"/>
        <w:b/>
        <w:bCs/>
        <w:sz w:val="21"/>
        <w:szCs w:val="21"/>
      </w:rPr>
      <w:t>T/SSEA</w:t>
    </w:r>
    <w:r>
      <w:rPr>
        <w:rFonts w:ascii="黑体" w:cs="黑体"/>
        <w:b/>
        <w:bCs/>
        <w:sz w:val="21"/>
        <w:szCs w:val="21"/>
      </w:rPr>
      <w:t xml:space="preserve"> XXXX</w:t>
    </w:r>
    <w:r>
      <w:rPr>
        <w:rFonts w:ascii="黑体" w:eastAsia="黑体" w:cs="黑体"/>
        <w:b/>
        <w:bCs/>
        <w:sz w:val="21"/>
        <w:szCs w:val="21"/>
      </w:rPr>
      <w:t>-202</w:t>
    </w:r>
    <w:r>
      <w:rPr>
        <w:rFonts w:hint="eastAsia" w:ascii="黑体" w:eastAsia="黑体" w:cs="黑体"/>
        <w:b/>
        <w:bCs/>
        <w:sz w:val="21"/>
        <w:szCs w:val="21"/>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65"/>
      <w:suff w:val="nothing"/>
      <w:lvlText w:val="注%1："/>
      <w:lvlJc w:val="left"/>
      <w:pPr>
        <w:ind w:left="811" w:hanging="448"/>
      </w:pPr>
      <w:rPr>
        <w:rFonts w:hint="eastAsia" w:ascii="黑体" w:eastAsia="黑体" w:cs="Times New Roman"/>
        <w:b w:val="0"/>
        <w:bCs w:val="0"/>
        <w:i w:val="0"/>
        <w:iCs w:val="0"/>
        <w:sz w:val="18"/>
        <w:szCs w:val="18"/>
      </w:rPr>
    </w:lvl>
    <w:lvl w:ilvl="1" w:tentative="0">
      <w:start w:val="1"/>
      <w:numFmt w:val="lowerLetter"/>
      <w:lvlText w:val="%2)"/>
      <w:lvlJc w:val="left"/>
      <w:pPr>
        <w:tabs>
          <w:tab w:val="left" w:pos="0"/>
        </w:tabs>
        <w:ind w:left="992" w:hanging="629"/>
      </w:pPr>
      <w:rPr>
        <w:rFonts w:hint="eastAsia" w:cs="Times New Roman"/>
      </w:rPr>
    </w:lvl>
    <w:lvl w:ilvl="2" w:tentative="0">
      <w:start w:val="1"/>
      <w:numFmt w:val="lowerRoman"/>
      <w:lvlText w:val="%3."/>
      <w:lvlJc w:val="right"/>
      <w:pPr>
        <w:tabs>
          <w:tab w:val="left" w:pos="0"/>
        </w:tabs>
        <w:ind w:left="992" w:hanging="629"/>
      </w:pPr>
      <w:rPr>
        <w:rFonts w:hint="eastAsia" w:cs="Times New Roman"/>
      </w:rPr>
    </w:lvl>
    <w:lvl w:ilvl="3" w:tentative="0">
      <w:start w:val="1"/>
      <w:numFmt w:val="decimal"/>
      <w:lvlText w:val="%4."/>
      <w:lvlJc w:val="left"/>
      <w:pPr>
        <w:tabs>
          <w:tab w:val="left" w:pos="0"/>
        </w:tabs>
        <w:ind w:left="992" w:hanging="629"/>
      </w:pPr>
      <w:rPr>
        <w:rFonts w:hint="eastAsia" w:cs="Times New Roman"/>
      </w:rPr>
    </w:lvl>
    <w:lvl w:ilvl="4" w:tentative="0">
      <w:start w:val="1"/>
      <w:numFmt w:val="lowerLetter"/>
      <w:lvlText w:val="%5)"/>
      <w:lvlJc w:val="left"/>
      <w:pPr>
        <w:tabs>
          <w:tab w:val="left" w:pos="0"/>
        </w:tabs>
        <w:ind w:left="992" w:hanging="629"/>
      </w:pPr>
      <w:rPr>
        <w:rFonts w:hint="eastAsia" w:cs="Times New Roman"/>
      </w:rPr>
    </w:lvl>
    <w:lvl w:ilvl="5" w:tentative="0">
      <w:start w:val="1"/>
      <w:numFmt w:val="lowerRoman"/>
      <w:lvlText w:val="%6."/>
      <w:lvlJc w:val="right"/>
      <w:pPr>
        <w:tabs>
          <w:tab w:val="left" w:pos="0"/>
        </w:tabs>
        <w:ind w:left="992" w:hanging="629"/>
      </w:pPr>
      <w:rPr>
        <w:rFonts w:hint="eastAsia" w:cs="Times New Roman"/>
      </w:rPr>
    </w:lvl>
    <w:lvl w:ilvl="6" w:tentative="0">
      <w:start w:val="1"/>
      <w:numFmt w:val="decimal"/>
      <w:lvlText w:val="%7."/>
      <w:lvlJc w:val="left"/>
      <w:pPr>
        <w:tabs>
          <w:tab w:val="left" w:pos="0"/>
        </w:tabs>
        <w:ind w:left="992" w:hanging="629"/>
      </w:pPr>
      <w:rPr>
        <w:rFonts w:hint="eastAsia" w:cs="Times New Roman"/>
      </w:rPr>
    </w:lvl>
    <w:lvl w:ilvl="7" w:tentative="0">
      <w:start w:val="1"/>
      <w:numFmt w:val="lowerLetter"/>
      <w:lvlText w:val="%8)"/>
      <w:lvlJc w:val="left"/>
      <w:pPr>
        <w:tabs>
          <w:tab w:val="left" w:pos="0"/>
        </w:tabs>
        <w:ind w:left="992" w:hanging="629"/>
      </w:pPr>
      <w:rPr>
        <w:rFonts w:hint="eastAsia" w:cs="Times New Roman"/>
      </w:rPr>
    </w:lvl>
    <w:lvl w:ilvl="8" w:tentative="0">
      <w:start w:val="1"/>
      <w:numFmt w:val="lowerRoman"/>
      <w:lvlText w:val="%9."/>
      <w:lvlJc w:val="right"/>
      <w:pPr>
        <w:tabs>
          <w:tab w:val="left" w:pos="0"/>
        </w:tabs>
        <w:ind w:left="992" w:hanging="629"/>
      </w:pPr>
      <w:rPr>
        <w:rFonts w:hint="eastAsia" w:cs="Times New Roman"/>
      </w:rPr>
    </w:lvl>
  </w:abstractNum>
  <w:abstractNum w:abstractNumId="1">
    <w:nsid w:val="093C6778"/>
    <w:multiLevelType w:val="multilevel"/>
    <w:tmpl w:val="093C6778"/>
    <w:lvl w:ilvl="0" w:tentative="0">
      <w:start w:val="1"/>
      <w:numFmt w:val="decimal"/>
      <w:pStyle w:val="123"/>
      <w:suff w:val="nothing"/>
      <w:lvlText w:val="示例%1："/>
      <w:lvlJc w:val="left"/>
      <w:pPr>
        <w:ind w:firstLine="397"/>
      </w:pPr>
      <w:rPr>
        <w:rFonts w:hint="eastAsia" w:ascii="黑体" w:eastAsia="黑体" w:cs="Times New Roman"/>
        <w:sz w:val="18"/>
        <w:szCs w:val="18"/>
      </w:rPr>
    </w:lvl>
    <w:lvl w:ilvl="1" w:tentative="0">
      <w:start w:val="1"/>
      <w:numFmt w:val="lowerLetter"/>
      <w:lvlText w:val="%2)"/>
      <w:lvlJc w:val="left"/>
      <w:pPr>
        <w:ind w:left="840" w:hanging="420"/>
      </w:pPr>
      <w:rPr>
        <w:rFonts w:hint="eastAsia" w:cs="Times New Roman"/>
      </w:rPr>
    </w:lvl>
    <w:lvl w:ilvl="2" w:tentative="0">
      <w:start w:val="1"/>
      <w:numFmt w:val="lowerRoman"/>
      <w:lvlText w:val="%3."/>
      <w:lvlJc w:val="right"/>
      <w:pPr>
        <w:ind w:left="1260" w:hanging="420"/>
      </w:pPr>
      <w:rPr>
        <w:rFonts w:hint="eastAsia" w:cs="Times New Roman"/>
      </w:rPr>
    </w:lvl>
    <w:lvl w:ilvl="3" w:tentative="0">
      <w:start w:val="1"/>
      <w:numFmt w:val="decimal"/>
      <w:lvlText w:val="%4."/>
      <w:lvlJc w:val="left"/>
      <w:pPr>
        <w:ind w:left="1680" w:hanging="420"/>
      </w:pPr>
      <w:rPr>
        <w:rFonts w:hint="eastAsia" w:cs="Times New Roman"/>
      </w:rPr>
    </w:lvl>
    <w:lvl w:ilvl="4" w:tentative="0">
      <w:start w:val="1"/>
      <w:numFmt w:val="lowerLetter"/>
      <w:lvlText w:val="%5)"/>
      <w:lvlJc w:val="left"/>
      <w:pPr>
        <w:ind w:left="2100" w:hanging="420"/>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2">
    <w:nsid w:val="0AE367E9"/>
    <w:multiLevelType w:val="multilevel"/>
    <w:tmpl w:val="0AE367E9"/>
    <w:lvl w:ilvl="0" w:tentative="0">
      <w:start w:val="1"/>
      <w:numFmt w:val="none"/>
      <w:pStyle w:val="59"/>
      <w:suff w:val="nothing"/>
      <w:lvlText w:val="%1示例："/>
      <w:lvlJc w:val="left"/>
      <w:pPr>
        <w:ind w:firstLine="363"/>
      </w:pPr>
      <w:rPr>
        <w:rFonts w:hint="eastAsia" w:ascii="黑体" w:eastAsia="黑体" w:cs="Times New Roman"/>
        <w:b w:val="0"/>
        <w:bCs w:val="0"/>
        <w:i w:val="0"/>
        <w:iCs w:val="0"/>
        <w:sz w:val="18"/>
        <w:szCs w:val="18"/>
      </w:rPr>
    </w:lvl>
    <w:lvl w:ilvl="1" w:tentative="0">
      <w:start w:val="1"/>
      <w:numFmt w:val="lowerLetter"/>
      <w:lvlText w:val="%2)"/>
      <w:lvlJc w:val="left"/>
      <w:pPr>
        <w:tabs>
          <w:tab w:val="left" w:pos="363"/>
        </w:tabs>
        <w:ind w:firstLine="363"/>
      </w:pPr>
      <w:rPr>
        <w:rFonts w:hint="eastAsia" w:cs="Times New Roman"/>
      </w:rPr>
    </w:lvl>
    <w:lvl w:ilvl="2" w:tentative="0">
      <w:start w:val="1"/>
      <w:numFmt w:val="lowerRoman"/>
      <w:lvlText w:val="%3."/>
      <w:lvlJc w:val="right"/>
      <w:pPr>
        <w:tabs>
          <w:tab w:val="left" w:pos="363"/>
        </w:tabs>
        <w:ind w:firstLine="363"/>
      </w:pPr>
      <w:rPr>
        <w:rFonts w:hint="eastAsia" w:cs="Times New Roman"/>
      </w:rPr>
    </w:lvl>
    <w:lvl w:ilvl="3" w:tentative="0">
      <w:start w:val="1"/>
      <w:numFmt w:val="decimal"/>
      <w:lvlText w:val="%4."/>
      <w:lvlJc w:val="left"/>
      <w:pPr>
        <w:tabs>
          <w:tab w:val="left" w:pos="363"/>
        </w:tabs>
        <w:ind w:firstLine="363"/>
      </w:pPr>
      <w:rPr>
        <w:rFonts w:hint="eastAsia" w:cs="Times New Roman"/>
      </w:rPr>
    </w:lvl>
    <w:lvl w:ilvl="4" w:tentative="0">
      <w:start w:val="1"/>
      <w:numFmt w:val="lowerLetter"/>
      <w:lvlText w:val="%5)"/>
      <w:lvlJc w:val="left"/>
      <w:pPr>
        <w:tabs>
          <w:tab w:val="left" w:pos="363"/>
        </w:tabs>
        <w:ind w:firstLine="363"/>
      </w:pPr>
      <w:rPr>
        <w:rFonts w:hint="eastAsia" w:cs="Times New Roman"/>
      </w:rPr>
    </w:lvl>
    <w:lvl w:ilvl="5" w:tentative="0">
      <w:start w:val="1"/>
      <w:numFmt w:val="lowerRoman"/>
      <w:lvlText w:val="%6."/>
      <w:lvlJc w:val="right"/>
      <w:pPr>
        <w:tabs>
          <w:tab w:val="left" w:pos="363"/>
        </w:tabs>
        <w:ind w:firstLine="363"/>
      </w:pPr>
      <w:rPr>
        <w:rFonts w:hint="eastAsia" w:cs="Times New Roman"/>
      </w:rPr>
    </w:lvl>
    <w:lvl w:ilvl="6" w:tentative="0">
      <w:start w:val="1"/>
      <w:numFmt w:val="decimal"/>
      <w:lvlText w:val="%7."/>
      <w:lvlJc w:val="left"/>
      <w:pPr>
        <w:tabs>
          <w:tab w:val="left" w:pos="363"/>
        </w:tabs>
        <w:ind w:firstLine="363"/>
      </w:pPr>
      <w:rPr>
        <w:rFonts w:hint="eastAsia" w:cs="Times New Roman"/>
      </w:rPr>
    </w:lvl>
    <w:lvl w:ilvl="7" w:tentative="0">
      <w:start w:val="1"/>
      <w:numFmt w:val="lowerLetter"/>
      <w:lvlText w:val="%8)"/>
      <w:lvlJc w:val="left"/>
      <w:pPr>
        <w:tabs>
          <w:tab w:val="left" w:pos="363"/>
        </w:tabs>
        <w:ind w:firstLine="363"/>
      </w:pPr>
      <w:rPr>
        <w:rFonts w:hint="eastAsia" w:cs="Times New Roman"/>
      </w:rPr>
    </w:lvl>
    <w:lvl w:ilvl="8" w:tentative="0">
      <w:start w:val="1"/>
      <w:numFmt w:val="lowerRoman"/>
      <w:lvlText w:val="%9."/>
      <w:lvlJc w:val="right"/>
      <w:pPr>
        <w:tabs>
          <w:tab w:val="left" w:pos="363"/>
        </w:tabs>
        <w:ind w:firstLine="363"/>
      </w:pPr>
      <w:rPr>
        <w:rFonts w:hint="eastAsia" w:cs="Times New Roman"/>
      </w:rPr>
    </w:lvl>
  </w:abstractNum>
  <w:abstractNum w:abstractNumId="3">
    <w:nsid w:val="132885FD"/>
    <w:multiLevelType w:val="multilevel"/>
    <w:tmpl w:val="132885FD"/>
    <w:lvl w:ilvl="0" w:tentative="0">
      <w:start w:val="1"/>
      <w:numFmt w:val="lowerLetter"/>
      <w:pStyle w:val="128"/>
      <w:suff w:val="nothing"/>
      <w:lvlText w:val="%1   "/>
      <w:lvlJc w:val="left"/>
      <w:pPr>
        <w:tabs>
          <w:tab w:val="left" w:pos="0"/>
        </w:tabs>
        <w:ind w:left="465" w:hanging="181"/>
      </w:pPr>
      <w:rPr>
        <w:rFonts w:hint="default" w:ascii="宋体" w:eastAsia="宋体" w:cs="Times New Roman"/>
        <w:b w:val="0"/>
        <w:bCs w:val="0"/>
        <w:i w:val="0"/>
        <w:iCs w:val="0"/>
        <w:sz w:val="18"/>
        <w:szCs w:val="18"/>
        <w:vertAlign w:val="superscript"/>
      </w:rPr>
    </w:lvl>
    <w:lvl w:ilvl="1" w:tentative="0">
      <w:start w:val="1"/>
      <w:numFmt w:val="lowerLetter"/>
      <w:lvlText w:val="%2"/>
      <w:lvlJc w:val="left"/>
      <w:pPr>
        <w:tabs>
          <w:tab w:val="left" w:pos="57"/>
        </w:tabs>
        <w:ind w:left="363" w:hanging="363"/>
      </w:pPr>
      <w:rPr>
        <w:rFonts w:hint="eastAsia" w:cs="Times New Roman"/>
      </w:rPr>
    </w:lvl>
    <w:lvl w:ilvl="2" w:tentative="0">
      <w:start w:val="1"/>
      <w:numFmt w:val="lowerRoman"/>
      <w:lvlText w:val="%3."/>
      <w:lvlJc w:val="right"/>
      <w:pPr>
        <w:tabs>
          <w:tab w:val="left" w:pos="57"/>
        </w:tabs>
        <w:ind w:left="363" w:hanging="363"/>
      </w:pPr>
      <w:rPr>
        <w:rFonts w:hint="eastAsia" w:cs="Times New Roman"/>
      </w:rPr>
    </w:lvl>
    <w:lvl w:ilvl="3" w:tentative="0">
      <w:start w:val="1"/>
      <w:numFmt w:val="decimal"/>
      <w:lvlText w:val="%4."/>
      <w:lvlJc w:val="left"/>
      <w:pPr>
        <w:tabs>
          <w:tab w:val="left" w:pos="57"/>
        </w:tabs>
        <w:ind w:left="363" w:hanging="363"/>
      </w:pPr>
      <w:rPr>
        <w:rFonts w:hint="eastAsia" w:cs="Times New Roman"/>
      </w:rPr>
    </w:lvl>
    <w:lvl w:ilvl="4" w:tentative="0">
      <w:start w:val="1"/>
      <w:numFmt w:val="lowerLetter"/>
      <w:lvlText w:val="%5)"/>
      <w:lvlJc w:val="left"/>
      <w:pPr>
        <w:tabs>
          <w:tab w:val="left" w:pos="57"/>
        </w:tabs>
        <w:ind w:left="363" w:hanging="363"/>
      </w:pPr>
      <w:rPr>
        <w:rFonts w:hint="eastAsia" w:cs="Times New Roman"/>
      </w:rPr>
    </w:lvl>
    <w:lvl w:ilvl="5" w:tentative="0">
      <w:start w:val="1"/>
      <w:numFmt w:val="lowerRoman"/>
      <w:lvlText w:val="%6."/>
      <w:lvlJc w:val="right"/>
      <w:pPr>
        <w:tabs>
          <w:tab w:val="left" w:pos="57"/>
        </w:tabs>
        <w:ind w:left="363" w:hanging="363"/>
      </w:pPr>
      <w:rPr>
        <w:rFonts w:hint="eastAsia" w:cs="Times New Roman"/>
      </w:rPr>
    </w:lvl>
    <w:lvl w:ilvl="6" w:tentative="0">
      <w:start w:val="1"/>
      <w:numFmt w:val="decimal"/>
      <w:lvlText w:val="%7."/>
      <w:lvlJc w:val="left"/>
      <w:pPr>
        <w:tabs>
          <w:tab w:val="left" w:pos="57"/>
        </w:tabs>
        <w:ind w:left="363" w:hanging="363"/>
      </w:pPr>
      <w:rPr>
        <w:rFonts w:hint="eastAsia" w:cs="Times New Roman"/>
      </w:rPr>
    </w:lvl>
    <w:lvl w:ilvl="7" w:tentative="0">
      <w:start w:val="1"/>
      <w:numFmt w:val="lowerLetter"/>
      <w:lvlText w:val="%8)"/>
      <w:lvlJc w:val="left"/>
      <w:pPr>
        <w:tabs>
          <w:tab w:val="left" w:pos="57"/>
        </w:tabs>
        <w:ind w:left="363" w:hanging="363"/>
      </w:pPr>
      <w:rPr>
        <w:rFonts w:hint="eastAsia" w:cs="Times New Roman"/>
      </w:rPr>
    </w:lvl>
    <w:lvl w:ilvl="8" w:tentative="0">
      <w:start w:val="1"/>
      <w:numFmt w:val="lowerRoman"/>
      <w:lvlText w:val="%9."/>
      <w:lvlJc w:val="right"/>
      <w:pPr>
        <w:tabs>
          <w:tab w:val="left" w:pos="57"/>
        </w:tabs>
        <w:ind w:left="363" w:hanging="363"/>
      </w:pPr>
      <w:rPr>
        <w:rFonts w:hint="eastAsia" w:cs="Times New Roman"/>
      </w:rPr>
    </w:lvl>
  </w:abstractNum>
  <w:abstractNum w:abstractNumId="4">
    <w:nsid w:val="14943371"/>
    <w:multiLevelType w:val="multilevel"/>
    <w:tmpl w:val="14943371"/>
    <w:lvl w:ilvl="0" w:tentative="0">
      <w:start w:val="1"/>
      <w:numFmt w:val="lowerLetter"/>
      <w:pStyle w:val="66"/>
      <w:lvlText w:val="%1)"/>
      <w:lvlJc w:val="left"/>
      <w:pPr>
        <w:tabs>
          <w:tab w:val="left" w:pos="839"/>
        </w:tabs>
        <w:ind w:left="839" w:hanging="419"/>
      </w:pPr>
      <w:rPr>
        <w:rFonts w:hint="eastAsia" w:ascii="宋体" w:hAnsi="宋体" w:eastAsia="宋体" w:cs="Times New Roman"/>
        <w:b w:val="0"/>
        <w:bCs w:val="0"/>
        <w:i w:val="0"/>
        <w:iCs w:val="0"/>
        <w:sz w:val="21"/>
        <w:szCs w:val="21"/>
      </w:rPr>
    </w:lvl>
    <w:lvl w:ilvl="1" w:tentative="0">
      <w:start w:val="1"/>
      <w:numFmt w:val="decimal"/>
      <w:pStyle w:val="61"/>
      <w:lvlText w:val="%2)"/>
      <w:lvlJc w:val="left"/>
      <w:pPr>
        <w:tabs>
          <w:tab w:val="left" w:pos="1259"/>
        </w:tabs>
        <w:ind w:left="1259" w:hanging="420"/>
      </w:pPr>
      <w:rPr>
        <w:rFonts w:hint="eastAsia" w:ascii="宋体" w:hAnsi="宋体" w:eastAsia="宋体" w:cs="Times New Roman"/>
        <w:b w:val="0"/>
        <w:bCs w:val="0"/>
        <w:i w:val="0"/>
        <w:iCs w:val="0"/>
        <w:sz w:val="20"/>
        <w:szCs w:val="20"/>
      </w:rPr>
    </w:lvl>
    <w:lvl w:ilvl="2" w:tentative="0">
      <w:start w:val="1"/>
      <w:numFmt w:val="decimal"/>
      <w:pStyle w:val="68"/>
      <w:lvlText w:val="(%3)"/>
      <w:lvlJc w:val="left"/>
      <w:pPr>
        <w:tabs>
          <w:tab w:val="left" w:pos="0"/>
        </w:tabs>
        <w:ind w:left="1678" w:hanging="419"/>
      </w:pPr>
      <w:rPr>
        <w:rFonts w:hint="eastAsia" w:ascii="宋体" w:hAnsi="宋体" w:eastAsia="宋体" w:cs="Times New Roman"/>
        <w:b w:val="0"/>
        <w:bCs w:val="0"/>
        <w:i w:val="0"/>
        <w:iCs w:val="0"/>
        <w:sz w:val="21"/>
        <w:szCs w:val="21"/>
      </w:rPr>
    </w:lvl>
    <w:lvl w:ilvl="3" w:tentative="0">
      <w:start w:val="1"/>
      <w:numFmt w:val="decimal"/>
      <w:lvlText w:val="%4."/>
      <w:lvlJc w:val="left"/>
      <w:pPr>
        <w:tabs>
          <w:tab w:val="left" w:pos="2098"/>
        </w:tabs>
        <w:ind w:left="2098" w:hanging="420"/>
      </w:pPr>
      <w:rPr>
        <w:rFonts w:hint="eastAsia" w:cs="Times New Roman"/>
      </w:rPr>
    </w:lvl>
    <w:lvl w:ilvl="4" w:tentative="0">
      <w:start w:val="1"/>
      <w:numFmt w:val="lowerLetter"/>
      <w:lvlText w:val="%5)"/>
      <w:lvlJc w:val="left"/>
      <w:pPr>
        <w:tabs>
          <w:tab w:val="left" w:pos="2517"/>
        </w:tabs>
        <w:ind w:left="2517" w:hanging="419"/>
      </w:pPr>
      <w:rPr>
        <w:rFonts w:hint="eastAsia" w:cs="Times New Roman"/>
      </w:rPr>
    </w:lvl>
    <w:lvl w:ilvl="5" w:tentative="0">
      <w:start w:val="1"/>
      <w:numFmt w:val="lowerRoman"/>
      <w:lvlText w:val="%6."/>
      <w:lvlJc w:val="right"/>
      <w:pPr>
        <w:tabs>
          <w:tab w:val="left" w:pos="2942"/>
        </w:tabs>
        <w:ind w:left="2937" w:hanging="420"/>
      </w:pPr>
      <w:rPr>
        <w:rFonts w:hint="eastAsia" w:cs="Times New Roman"/>
      </w:rPr>
    </w:lvl>
    <w:lvl w:ilvl="6" w:tentative="0">
      <w:start w:val="1"/>
      <w:numFmt w:val="decimal"/>
      <w:lvlText w:val="%7."/>
      <w:lvlJc w:val="left"/>
      <w:pPr>
        <w:tabs>
          <w:tab w:val="left" w:pos="3362"/>
        </w:tabs>
        <w:ind w:left="3356" w:hanging="414"/>
      </w:pPr>
      <w:rPr>
        <w:rFonts w:hint="eastAsia" w:cs="Times New Roman"/>
      </w:rPr>
    </w:lvl>
    <w:lvl w:ilvl="7" w:tentative="0">
      <w:start w:val="1"/>
      <w:numFmt w:val="lowerLetter"/>
      <w:lvlText w:val="%8)"/>
      <w:lvlJc w:val="left"/>
      <w:pPr>
        <w:tabs>
          <w:tab w:val="left" w:pos="3781"/>
        </w:tabs>
        <w:ind w:left="3776" w:hanging="414"/>
      </w:pPr>
      <w:rPr>
        <w:rFonts w:hint="eastAsia" w:cs="Times New Roman"/>
      </w:rPr>
    </w:lvl>
    <w:lvl w:ilvl="8" w:tentative="0">
      <w:start w:val="1"/>
      <w:numFmt w:val="lowerRoman"/>
      <w:lvlText w:val="%9."/>
      <w:lvlJc w:val="right"/>
      <w:pPr>
        <w:tabs>
          <w:tab w:val="left" w:pos="4201"/>
        </w:tabs>
        <w:ind w:left="4201" w:hanging="420"/>
      </w:pPr>
      <w:rPr>
        <w:rFonts w:hint="eastAsia" w:cs="Times New Roman"/>
      </w:rPr>
    </w:lvl>
  </w:abstractNum>
  <w:abstractNum w:abstractNumId="5">
    <w:nsid w:val="1DBF583A"/>
    <w:multiLevelType w:val="multilevel"/>
    <w:tmpl w:val="1DBF583A"/>
    <w:lvl w:ilvl="0" w:tentative="0">
      <w:start w:val="1"/>
      <w:numFmt w:val="decimal"/>
      <w:pStyle w:val="72"/>
      <w:suff w:val="nothing"/>
      <w:lvlText w:val="注%1："/>
      <w:lvlJc w:val="left"/>
      <w:pPr>
        <w:ind w:left="1016" w:hanging="448"/>
      </w:pPr>
      <w:rPr>
        <w:rFonts w:hint="eastAsia" w:ascii="黑体" w:eastAsia="黑体" w:cs="Times New Roman"/>
        <w:b w:val="0"/>
        <w:bCs w:val="0"/>
        <w:i w:val="0"/>
        <w:iCs w:val="0"/>
        <w:sz w:val="18"/>
        <w:szCs w:val="18"/>
        <w:vertAlign w:val="baseline"/>
      </w:rPr>
    </w:lvl>
    <w:lvl w:ilvl="1" w:tentative="0">
      <w:start w:val="1"/>
      <w:numFmt w:val="lowerLetter"/>
      <w:lvlText w:val="%2)"/>
      <w:lvlJc w:val="left"/>
      <w:pPr>
        <w:tabs>
          <w:tab w:val="left" w:pos="385"/>
        </w:tabs>
        <w:ind w:left="1377" w:hanging="629"/>
      </w:pPr>
      <w:rPr>
        <w:rFonts w:hint="eastAsia" w:cs="Times New Roman"/>
        <w:vertAlign w:val="baseline"/>
      </w:rPr>
    </w:lvl>
    <w:lvl w:ilvl="2" w:tentative="0">
      <w:start w:val="1"/>
      <w:numFmt w:val="lowerRoman"/>
      <w:lvlText w:val="%3."/>
      <w:lvlJc w:val="right"/>
      <w:pPr>
        <w:tabs>
          <w:tab w:val="left" w:pos="385"/>
        </w:tabs>
        <w:ind w:left="1377" w:hanging="629"/>
      </w:pPr>
      <w:rPr>
        <w:rFonts w:hint="eastAsia" w:cs="Times New Roman"/>
        <w:vertAlign w:val="baseline"/>
      </w:rPr>
    </w:lvl>
    <w:lvl w:ilvl="3" w:tentative="0">
      <w:start w:val="1"/>
      <w:numFmt w:val="decimal"/>
      <w:lvlText w:val="%4."/>
      <w:lvlJc w:val="left"/>
      <w:pPr>
        <w:tabs>
          <w:tab w:val="left" w:pos="385"/>
        </w:tabs>
        <w:ind w:left="1377" w:hanging="629"/>
      </w:pPr>
      <w:rPr>
        <w:rFonts w:hint="eastAsia" w:cs="Times New Roman"/>
        <w:vertAlign w:val="baseline"/>
      </w:rPr>
    </w:lvl>
    <w:lvl w:ilvl="4" w:tentative="0">
      <w:start w:val="1"/>
      <w:numFmt w:val="lowerLetter"/>
      <w:lvlText w:val="%5)"/>
      <w:lvlJc w:val="left"/>
      <w:pPr>
        <w:tabs>
          <w:tab w:val="left" w:pos="385"/>
        </w:tabs>
        <w:ind w:left="1377" w:hanging="629"/>
      </w:pPr>
      <w:rPr>
        <w:rFonts w:hint="eastAsia" w:cs="Times New Roman"/>
        <w:vertAlign w:val="baseline"/>
      </w:rPr>
    </w:lvl>
    <w:lvl w:ilvl="5" w:tentative="0">
      <w:start w:val="1"/>
      <w:numFmt w:val="lowerRoman"/>
      <w:lvlText w:val="%6."/>
      <w:lvlJc w:val="right"/>
      <w:pPr>
        <w:tabs>
          <w:tab w:val="left" w:pos="385"/>
        </w:tabs>
        <w:ind w:left="1377" w:hanging="629"/>
      </w:pPr>
      <w:rPr>
        <w:rFonts w:hint="eastAsia" w:cs="Times New Roman"/>
        <w:vertAlign w:val="baseline"/>
      </w:rPr>
    </w:lvl>
    <w:lvl w:ilvl="6" w:tentative="0">
      <w:start w:val="1"/>
      <w:numFmt w:val="decimal"/>
      <w:lvlText w:val="%7."/>
      <w:lvlJc w:val="left"/>
      <w:pPr>
        <w:tabs>
          <w:tab w:val="left" w:pos="385"/>
        </w:tabs>
        <w:ind w:left="1377" w:hanging="629"/>
      </w:pPr>
      <w:rPr>
        <w:rFonts w:hint="eastAsia" w:cs="Times New Roman"/>
        <w:vertAlign w:val="baseline"/>
      </w:rPr>
    </w:lvl>
    <w:lvl w:ilvl="7" w:tentative="0">
      <w:start w:val="1"/>
      <w:numFmt w:val="lowerLetter"/>
      <w:lvlText w:val="%8)"/>
      <w:lvlJc w:val="left"/>
      <w:pPr>
        <w:tabs>
          <w:tab w:val="left" w:pos="385"/>
        </w:tabs>
        <w:ind w:left="1377" w:hanging="629"/>
      </w:pPr>
      <w:rPr>
        <w:rFonts w:hint="eastAsia" w:cs="Times New Roman"/>
        <w:vertAlign w:val="baseline"/>
      </w:rPr>
    </w:lvl>
    <w:lvl w:ilvl="8" w:tentative="0">
      <w:start w:val="1"/>
      <w:numFmt w:val="lowerRoman"/>
      <w:lvlText w:val="%9."/>
      <w:lvlJc w:val="right"/>
      <w:pPr>
        <w:tabs>
          <w:tab w:val="left" w:pos="385"/>
        </w:tabs>
        <w:ind w:left="1377" w:hanging="629"/>
      </w:pPr>
      <w:rPr>
        <w:rFonts w:hint="eastAsia" w:cs="Times New Roman"/>
        <w:vertAlign w:val="baseline"/>
      </w:rPr>
    </w:lvl>
  </w:abstractNum>
  <w:abstractNum w:abstractNumId="6">
    <w:nsid w:val="1FC91163"/>
    <w:multiLevelType w:val="multilevel"/>
    <w:tmpl w:val="1FC91163"/>
    <w:lvl w:ilvl="0" w:tentative="0">
      <w:start w:val="1"/>
      <w:numFmt w:val="decimal"/>
      <w:pStyle w:val="52"/>
      <w:suff w:val="nothing"/>
      <w:lvlText w:val="%1　"/>
      <w:lvlJc w:val="left"/>
      <w:pPr>
        <w:ind w:left="0" w:firstLine="0"/>
      </w:pPr>
      <w:rPr>
        <w:rFonts w:hint="eastAsia" w:ascii="黑体" w:hAnsi="Times New Roman" w:eastAsia="黑体" w:cs="Times New Roman"/>
        <w:b w:val="0"/>
        <w:bCs w:val="0"/>
        <w:i w:val="0"/>
        <w:iCs w:val="0"/>
        <w:sz w:val="21"/>
        <w:szCs w:val="21"/>
      </w:rPr>
    </w:lvl>
    <w:lvl w:ilvl="1" w:tentative="0">
      <w:start w:val="1"/>
      <w:numFmt w:val="decimal"/>
      <w:pStyle w:val="4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3"/>
      <w:suff w:val="nothing"/>
      <w:lvlText w:val="%1.%2.%3　"/>
      <w:lvlJc w:val="left"/>
      <w:pPr>
        <w:ind w:left="0" w:firstLine="0"/>
      </w:pPr>
      <w:rPr>
        <w:rFonts w:hint="eastAsia" w:ascii="黑体" w:hAnsi="Times New Roman" w:eastAsia="黑体" w:cs="Times New Roman"/>
        <w:b w:val="0"/>
        <w:bCs w:val="0"/>
        <w:i w:val="0"/>
        <w:iCs w:val="0"/>
        <w:sz w:val="21"/>
        <w:szCs w:val="21"/>
      </w:rPr>
    </w:lvl>
    <w:lvl w:ilvl="3" w:tentative="0">
      <w:start w:val="1"/>
      <w:numFmt w:val="decimal"/>
      <w:pStyle w:val="58"/>
      <w:suff w:val="nothing"/>
      <w:lvlText w:val="%1.%2.%3.%4　"/>
      <w:lvlJc w:val="left"/>
      <w:pPr>
        <w:ind w:left="0" w:firstLine="0"/>
      </w:pPr>
      <w:rPr>
        <w:rFonts w:hint="eastAsia" w:ascii="黑体" w:hAnsi="Times New Roman" w:eastAsia="黑体" w:cs="Times New Roman"/>
        <w:b w:val="0"/>
        <w:bCs w:val="0"/>
        <w:i w:val="0"/>
        <w:iCs w:val="0"/>
        <w:sz w:val="21"/>
        <w:szCs w:val="21"/>
      </w:rPr>
    </w:lvl>
    <w:lvl w:ilvl="4" w:tentative="0">
      <w:start w:val="1"/>
      <w:numFmt w:val="decimal"/>
      <w:pStyle w:val="62"/>
      <w:suff w:val="nothing"/>
      <w:lvlText w:val="%1.%2.%3.%4.%5　"/>
      <w:lvlJc w:val="left"/>
      <w:pPr>
        <w:ind w:left="0" w:firstLine="0"/>
      </w:pPr>
      <w:rPr>
        <w:rFonts w:hint="eastAsia" w:ascii="黑体" w:hAnsi="Times New Roman" w:eastAsia="黑体" w:cs="Times New Roman"/>
        <w:b w:val="0"/>
        <w:bCs w:val="0"/>
        <w:i w:val="0"/>
        <w:iCs w:val="0"/>
        <w:sz w:val="21"/>
        <w:szCs w:val="21"/>
      </w:rPr>
    </w:lvl>
    <w:lvl w:ilvl="5" w:tentative="0">
      <w:start w:val="1"/>
      <w:numFmt w:val="decimal"/>
      <w:pStyle w:val="63"/>
      <w:suff w:val="nothing"/>
      <w:lvlText w:val="%1.%2.%3.%4.%5.%6　"/>
      <w:lvlJc w:val="left"/>
      <w:pPr>
        <w:ind w:left="0" w:firstLine="0"/>
      </w:pPr>
      <w:rPr>
        <w:rFonts w:hint="eastAsia" w:ascii="黑体" w:hAnsi="Times New Roman" w:eastAsia="黑体" w:cs="Times New Roman"/>
        <w:b w:val="0"/>
        <w:bCs w:val="0"/>
        <w:i w:val="0"/>
        <w:iCs w:val="0"/>
        <w:sz w:val="21"/>
        <w:szCs w:val="21"/>
      </w:rPr>
    </w:lvl>
    <w:lvl w:ilvl="6" w:tentative="0">
      <w:start w:val="1"/>
      <w:numFmt w:val="decimal"/>
      <w:suff w:val="nothing"/>
      <w:lvlText w:val="%1%2.%3.%4.%5.%6.%7　"/>
      <w:lvlJc w:val="left"/>
      <w:pPr>
        <w:ind w:left="0" w:firstLine="0"/>
      </w:pPr>
      <w:rPr>
        <w:rFonts w:hint="eastAsia" w:ascii="黑体" w:hAnsi="Times New Roman" w:eastAsia="黑体" w:cs="Times New Roman"/>
        <w:b w:val="0"/>
        <w:bCs w:val="0"/>
        <w:i w:val="0"/>
        <w:iCs w:val="0"/>
        <w:sz w:val="21"/>
        <w:szCs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7">
    <w:nsid w:val="21B3C2D0"/>
    <w:multiLevelType w:val="multilevel"/>
    <w:tmpl w:val="21B3C2D0"/>
    <w:lvl w:ilvl="0" w:tentative="0">
      <w:start w:val="1"/>
      <w:numFmt w:val="lowerLetter"/>
      <w:lvlText w:val="%1)"/>
      <w:lvlJc w:val="left"/>
      <w:pPr>
        <w:ind w:left="810" w:hanging="39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2A8F7113"/>
    <w:multiLevelType w:val="multilevel"/>
    <w:tmpl w:val="2A8F7113"/>
    <w:lvl w:ilvl="0" w:tentative="0">
      <w:start w:val="1"/>
      <w:numFmt w:val="upperLetter"/>
      <w:pStyle w:val="105"/>
      <w:suff w:val="space"/>
      <w:lvlText w:val="%1"/>
      <w:lvlJc w:val="left"/>
      <w:pPr>
        <w:ind w:left="623" w:hanging="425"/>
      </w:pPr>
      <w:rPr>
        <w:rFonts w:hint="eastAsia" w:cs="Times New Roman"/>
      </w:rPr>
    </w:lvl>
    <w:lvl w:ilvl="1" w:tentative="0">
      <w:start w:val="1"/>
      <w:numFmt w:val="decimal"/>
      <w:pStyle w:val="106"/>
      <w:suff w:val="nothing"/>
      <w:lvlText w:val="图%1.%2　"/>
      <w:lvlJc w:val="left"/>
      <w:pPr>
        <w:ind w:left="1190" w:hanging="567"/>
      </w:pPr>
      <w:rPr>
        <w:rFonts w:hint="eastAsia" w:cs="Times New Roman"/>
      </w:rPr>
    </w:lvl>
    <w:lvl w:ilvl="2" w:tentative="0">
      <w:start w:val="1"/>
      <w:numFmt w:val="decimal"/>
      <w:lvlText w:val="%1.%2.%3"/>
      <w:lvlJc w:val="left"/>
      <w:pPr>
        <w:tabs>
          <w:tab w:val="left" w:pos="1616"/>
        </w:tabs>
        <w:ind w:left="1616" w:hanging="567"/>
      </w:pPr>
      <w:rPr>
        <w:rFonts w:hint="eastAsia" w:cs="Times New Roman"/>
      </w:rPr>
    </w:lvl>
    <w:lvl w:ilvl="3" w:tentative="0">
      <w:start w:val="1"/>
      <w:numFmt w:val="decimal"/>
      <w:lvlText w:val="%1.%2.%3.%4"/>
      <w:lvlJc w:val="left"/>
      <w:pPr>
        <w:tabs>
          <w:tab w:val="left" w:pos="2914"/>
        </w:tabs>
        <w:ind w:left="2182" w:hanging="708"/>
      </w:pPr>
      <w:rPr>
        <w:rFonts w:hint="eastAsia" w:cs="Times New Roman"/>
      </w:rPr>
    </w:lvl>
    <w:lvl w:ilvl="4" w:tentative="0">
      <w:start w:val="1"/>
      <w:numFmt w:val="decimal"/>
      <w:lvlText w:val="%1.%2.%3.%4.%5"/>
      <w:lvlJc w:val="left"/>
      <w:pPr>
        <w:tabs>
          <w:tab w:val="left" w:pos="3699"/>
        </w:tabs>
        <w:ind w:left="2749" w:hanging="850"/>
      </w:pPr>
      <w:rPr>
        <w:rFonts w:hint="eastAsia" w:cs="Times New Roman"/>
      </w:rPr>
    </w:lvl>
    <w:lvl w:ilvl="5" w:tentative="0">
      <w:start w:val="1"/>
      <w:numFmt w:val="decimal"/>
      <w:lvlText w:val="%1.%2.%3.%4.%5.%6"/>
      <w:lvlJc w:val="left"/>
      <w:pPr>
        <w:tabs>
          <w:tab w:val="left" w:pos="4484"/>
        </w:tabs>
        <w:ind w:left="3458" w:hanging="1134"/>
      </w:pPr>
      <w:rPr>
        <w:rFonts w:hint="eastAsia" w:cs="Times New Roman"/>
      </w:rPr>
    </w:lvl>
    <w:lvl w:ilvl="6" w:tentative="0">
      <w:start w:val="1"/>
      <w:numFmt w:val="decimal"/>
      <w:lvlText w:val="%1.%2.%3.%4.%5.%6.%7"/>
      <w:lvlJc w:val="left"/>
      <w:pPr>
        <w:tabs>
          <w:tab w:val="left" w:pos="5269"/>
        </w:tabs>
        <w:ind w:left="4025" w:hanging="1276"/>
      </w:pPr>
      <w:rPr>
        <w:rFonts w:hint="eastAsia" w:cs="Times New Roman"/>
      </w:rPr>
    </w:lvl>
    <w:lvl w:ilvl="7" w:tentative="0">
      <w:start w:val="1"/>
      <w:numFmt w:val="decimal"/>
      <w:lvlText w:val="%1.%2.%3.%4.%5.%6.%7.%8"/>
      <w:lvlJc w:val="left"/>
      <w:pPr>
        <w:tabs>
          <w:tab w:val="left" w:pos="6054"/>
        </w:tabs>
        <w:ind w:left="4592" w:hanging="1418"/>
      </w:pPr>
      <w:rPr>
        <w:rFonts w:hint="eastAsia" w:cs="Times New Roman"/>
      </w:rPr>
    </w:lvl>
    <w:lvl w:ilvl="8" w:tentative="0">
      <w:start w:val="1"/>
      <w:numFmt w:val="decimal"/>
      <w:lvlText w:val="%1.%2.%3.%4.%5.%6.%7.%8.%9"/>
      <w:lvlJc w:val="left"/>
      <w:pPr>
        <w:tabs>
          <w:tab w:val="left" w:pos="6840"/>
        </w:tabs>
        <w:ind w:left="5300" w:hanging="1700"/>
      </w:pPr>
      <w:rPr>
        <w:rFonts w:hint="eastAsia" w:cs="Times New Roman"/>
      </w:rPr>
    </w:lvl>
  </w:abstractNum>
  <w:abstractNum w:abstractNumId="9">
    <w:nsid w:val="2C5917C3"/>
    <w:multiLevelType w:val="multilevel"/>
    <w:tmpl w:val="2C5917C3"/>
    <w:lvl w:ilvl="0" w:tentative="0">
      <w:start w:val="1"/>
      <w:numFmt w:val="none"/>
      <w:pStyle w:val="55"/>
      <w:suff w:val="nothing"/>
      <w:lvlText w:val="%1——"/>
      <w:lvlJc w:val="left"/>
      <w:pPr>
        <w:ind w:left="833" w:hanging="408"/>
      </w:pPr>
      <w:rPr>
        <w:rFonts w:hint="eastAsia" w:cs="Times New Roman"/>
      </w:rPr>
    </w:lvl>
    <w:lvl w:ilvl="1" w:tentative="0">
      <w:start w:val="1"/>
      <w:numFmt w:val="bullet"/>
      <w:pStyle w:val="56"/>
      <w:lvlText w:val=""/>
      <w:lvlJc w:val="left"/>
      <w:pPr>
        <w:tabs>
          <w:tab w:val="left" w:pos="760"/>
        </w:tabs>
        <w:ind w:left="1264" w:hanging="413"/>
      </w:pPr>
      <w:rPr>
        <w:rFonts w:hint="default" w:ascii="Symbol" w:hAnsi="Symbol"/>
        <w:color w:val="auto"/>
      </w:rPr>
    </w:lvl>
    <w:lvl w:ilvl="2" w:tentative="0">
      <w:start w:val="1"/>
      <w:numFmt w:val="bullet"/>
      <w:pStyle w:val="67"/>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cs="Times New Roman"/>
      </w:rPr>
    </w:lvl>
    <w:lvl w:ilvl="4" w:tentative="0">
      <w:start w:val="1"/>
      <w:numFmt w:val="lowerLetter"/>
      <w:lvlText w:val="%5)"/>
      <w:lvlJc w:val="left"/>
      <w:pPr>
        <w:tabs>
          <w:tab w:val="left" w:pos="2383"/>
        </w:tabs>
        <w:ind w:left="2196" w:hanging="528"/>
      </w:pPr>
      <w:rPr>
        <w:rFonts w:hint="eastAsia" w:cs="Times New Roman"/>
      </w:rPr>
    </w:lvl>
    <w:lvl w:ilvl="5" w:tentative="0">
      <w:start w:val="1"/>
      <w:numFmt w:val="lowerRoman"/>
      <w:lvlText w:val="%6."/>
      <w:lvlJc w:val="right"/>
      <w:pPr>
        <w:tabs>
          <w:tab w:val="left" w:pos="2695"/>
        </w:tabs>
        <w:ind w:left="2508" w:hanging="528"/>
      </w:pPr>
      <w:rPr>
        <w:rFonts w:hint="eastAsia" w:cs="Times New Roman"/>
      </w:rPr>
    </w:lvl>
    <w:lvl w:ilvl="6" w:tentative="0">
      <w:start w:val="1"/>
      <w:numFmt w:val="decimal"/>
      <w:lvlText w:val="%7."/>
      <w:lvlJc w:val="left"/>
      <w:pPr>
        <w:tabs>
          <w:tab w:val="left" w:pos="3007"/>
        </w:tabs>
        <w:ind w:left="2820" w:hanging="528"/>
      </w:pPr>
      <w:rPr>
        <w:rFonts w:hint="eastAsia" w:cs="Times New Roman"/>
      </w:rPr>
    </w:lvl>
    <w:lvl w:ilvl="7" w:tentative="0">
      <w:start w:val="1"/>
      <w:numFmt w:val="lowerLetter"/>
      <w:lvlText w:val="%8)"/>
      <w:lvlJc w:val="left"/>
      <w:pPr>
        <w:tabs>
          <w:tab w:val="left" w:pos="3319"/>
        </w:tabs>
        <w:ind w:left="3132" w:hanging="528"/>
      </w:pPr>
      <w:rPr>
        <w:rFonts w:hint="eastAsia" w:cs="Times New Roman"/>
      </w:rPr>
    </w:lvl>
    <w:lvl w:ilvl="8" w:tentative="0">
      <w:start w:val="1"/>
      <w:numFmt w:val="lowerRoman"/>
      <w:lvlText w:val="%9."/>
      <w:lvlJc w:val="right"/>
      <w:pPr>
        <w:tabs>
          <w:tab w:val="left" w:pos="3631"/>
        </w:tabs>
        <w:ind w:left="3444" w:hanging="528"/>
      </w:pPr>
      <w:rPr>
        <w:rFonts w:hint="eastAsia" w:cs="Times New Roman"/>
      </w:rPr>
    </w:lvl>
  </w:abstractNum>
  <w:abstractNum w:abstractNumId="10">
    <w:nsid w:val="3D733618"/>
    <w:multiLevelType w:val="multilevel"/>
    <w:tmpl w:val="3D733618"/>
    <w:lvl w:ilvl="0" w:tentative="0">
      <w:start w:val="1"/>
      <w:numFmt w:val="decimal"/>
      <w:pStyle w:val="23"/>
      <w:lvlText w:val="%1)"/>
      <w:lvlJc w:val="left"/>
      <w:pPr>
        <w:tabs>
          <w:tab w:val="left" w:pos="0"/>
        </w:tabs>
        <w:ind w:left="720" w:hanging="357"/>
      </w:pPr>
      <w:rPr>
        <w:rFonts w:hint="eastAsia" w:cs="Times New Roman"/>
      </w:rPr>
    </w:lvl>
    <w:lvl w:ilvl="1" w:tentative="0">
      <w:start w:val="1"/>
      <w:numFmt w:val="lowerLetter"/>
      <w:lvlText w:val="%2)"/>
      <w:lvlJc w:val="left"/>
      <w:pPr>
        <w:tabs>
          <w:tab w:val="left" w:pos="504"/>
        </w:tabs>
        <w:ind w:left="544" w:hanging="544"/>
      </w:pPr>
      <w:rPr>
        <w:rFonts w:hint="eastAsia" w:cs="Times New Roman"/>
      </w:rPr>
    </w:lvl>
    <w:lvl w:ilvl="2" w:tentative="0">
      <w:start w:val="1"/>
      <w:numFmt w:val="lowerRoman"/>
      <w:lvlText w:val="%3."/>
      <w:lvlJc w:val="right"/>
      <w:pPr>
        <w:tabs>
          <w:tab w:val="left" w:pos="532"/>
        </w:tabs>
        <w:ind w:left="544" w:hanging="544"/>
      </w:pPr>
      <w:rPr>
        <w:rFonts w:hint="eastAsia" w:cs="Times New Roman"/>
      </w:rPr>
    </w:lvl>
    <w:lvl w:ilvl="3" w:tentative="0">
      <w:start w:val="1"/>
      <w:numFmt w:val="decimal"/>
      <w:lvlText w:val="%4."/>
      <w:lvlJc w:val="left"/>
      <w:pPr>
        <w:tabs>
          <w:tab w:val="left" w:pos="560"/>
        </w:tabs>
        <w:ind w:left="544" w:hanging="544"/>
      </w:pPr>
      <w:rPr>
        <w:rFonts w:hint="eastAsia" w:cs="Times New Roman"/>
      </w:rPr>
    </w:lvl>
    <w:lvl w:ilvl="4" w:tentative="0">
      <w:start w:val="1"/>
      <w:numFmt w:val="lowerLetter"/>
      <w:lvlText w:val="%5)"/>
      <w:lvlJc w:val="left"/>
      <w:pPr>
        <w:tabs>
          <w:tab w:val="left" w:pos="588"/>
        </w:tabs>
        <w:ind w:left="544" w:hanging="544"/>
      </w:pPr>
      <w:rPr>
        <w:rFonts w:hint="eastAsia" w:cs="Times New Roman"/>
      </w:rPr>
    </w:lvl>
    <w:lvl w:ilvl="5" w:tentative="0">
      <w:start w:val="1"/>
      <w:numFmt w:val="lowerRoman"/>
      <w:lvlText w:val="%6."/>
      <w:lvlJc w:val="right"/>
      <w:pPr>
        <w:tabs>
          <w:tab w:val="left" w:pos="616"/>
        </w:tabs>
        <w:ind w:left="544" w:hanging="544"/>
      </w:pPr>
      <w:rPr>
        <w:rFonts w:hint="eastAsia" w:cs="Times New Roman"/>
      </w:rPr>
    </w:lvl>
    <w:lvl w:ilvl="6" w:tentative="0">
      <w:start w:val="1"/>
      <w:numFmt w:val="decimal"/>
      <w:lvlText w:val="%7."/>
      <w:lvlJc w:val="left"/>
      <w:pPr>
        <w:tabs>
          <w:tab w:val="left" w:pos="644"/>
        </w:tabs>
        <w:ind w:left="544" w:hanging="544"/>
      </w:pPr>
      <w:rPr>
        <w:rFonts w:hint="eastAsia" w:cs="Times New Roman"/>
      </w:rPr>
    </w:lvl>
    <w:lvl w:ilvl="7" w:tentative="0">
      <w:start w:val="1"/>
      <w:numFmt w:val="lowerLetter"/>
      <w:lvlText w:val="%8)"/>
      <w:lvlJc w:val="left"/>
      <w:pPr>
        <w:tabs>
          <w:tab w:val="left" w:pos="672"/>
        </w:tabs>
        <w:ind w:left="544" w:hanging="544"/>
      </w:pPr>
      <w:rPr>
        <w:rFonts w:hint="eastAsia" w:cs="Times New Roman"/>
      </w:rPr>
    </w:lvl>
    <w:lvl w:ilvl="8" w:tentative="0">
      <w:start w:val="1"/>
      <w:numFmt w:val="lowerRoman"/>
      <w:lvlText w:val="%9."/>
      <w:lvlJc w:val="right"/>
      <w:pPr>
        <w:tabs>
          <w:tab w:val="left" w:pos="700"/>
        </w:tabs>
        <w:ind w:left="544" w:hanging="544"/>
      </w:pPr>
      <w:rPr>
        <w:rFonts w:hint="eastAsia" w:cs="Times New Roman"/>
      </w:rPr>
    </w:lvl>
  </w:abstractNum>
  <w:abstractNum w:abstractNumId="11">
    <w:nsid w:val="4B733A5F"/>
    <w:multiLevelType w:val="multilevel"/>
    <w:tmpl w:val="4B733A5F"/>
    <w:lvl w:ilvl="0" w:tentative="0">
      <w:start w:val="1"/>
      <w:numFmt w:val="decimal"/>
      <w:pStyle w:val="69"/>
      <w:suff w:val="nothing"/>
      <w:lvlText w:val="示例%1："/>
      <w:lvlJc w:val="left"/>
      <w:pPr>
        <w:ind w:firstLine="363"/>
      </w:pPr>
      <w:rPr>
        <w:rFonts w:hint="eastAsia" w:ascii="黑体" w:hAnsi="Times New Roman" w:eastAsia="黑体" w:cs="Times New Roman"/>
        <w:b w:val="0"/>
        <w:bCs w:val="0"/>
        <w:i w:val="0"/>
        <w:iCs w:val="0"/>
        <w:sz w:val="18"/>
        <w:szCs w:val="18"/>
        <w:vertAlign w:val="baseline"/>
      </w:rPr>
    </w:lvl>
    <w:lvl w:ilvl="1" w:tentative="0">
      <w:start w:val="1"/>
      <w:numFmt w:val="none"/>
      <w:suff w:val="space"/>
      <w:lvlText w:val=""/>
      <w:lvlJc w:val="left"/>
      <w:rPr>
        <w:rFonts w:hint="eastAsia" w:cs="Times New Roman"/>
        <w:vertAlign w:val="baseline"/>
      </w:rPr>
    </w:lvl>
    <w:lvl w:ilvl="2" w:tentative="0">
      <w:start w:val="1"/>
      <w:numFmt w:val="decimal"/>
      <w:suff w:val="space"/>
      <w:lvlText w:val="2.2.%3"/>
      <w:lvlJc w:val="left"/>
      <w:rPr>
        <w:rFonts w:hint="eastAsia" w:cs="Times New Roman"/>
        <w:vertAlign w:val="baseline"/>
      </w:rPr>
    </w:lvl>
    <w:lvl w:ilvl="3" w:tentative="0">
      <w:start w:val="1"/>
      <w:numFmt w:val="decimal"/>
      <w:lvlText w:val="%4."/>
      <w:lvlJc w:val="left"/>
      <w:pPr>
        <w:tabs>
          <w:tab w:val="left" w:pos="0"/>
        </w:tabs>
        <w:ind w:left="992" w:hanging="629"/>
      </w:pPr>
      <w:rPr>
        <w:rFonts w:hint="eastAsia" w:cs="Times New Roman"/>
        <w:vertAlign w:val="baseline"/>
      </w:rPr>
    </w:lvl>
    <w:lvl w:ilvl="4" w:tentative="0">
      <w:start w:val="1"/>
      <w:numFmt w:val="lowerLetter"/>
      <w:lvlText w:val="%5)"/>
      <w:lvlJc w:val="left"/>
      <w:pPr>
        <w:tabs>
          <w:tab w:val="left" w:pos="0"/>
        </w:tabs>
        <w:ind w:left="992" w:hanging="629"/>
      </w:pPr>
      <w:rPr>
        <w:rFonts w:hint="eastAsia" w:cs="Times New Roman"/>
        <w:vertAlign w:val="baseline"/>
      </w:rPr>
    </w:lvl>
    <w:lvl w:ilvl="5" w:tentative="0">
      <w:start w:val="1"/>
      <w:numFmt w:val="lowerRoman"/>
      <w:lvlText w:val="%6."/>
      <w:lvlJc w:val="right"/>
      <w:pPr>
        <w:tabs>
          <w:tab w:val="left" w:pos="0"/>
        </w:tabs>
        <w:ind w:left="992" w:hanging="629"/>
      </w:pPr>
      <w:rPr>
        <w:rFonts w:hint="eastAsia" w:cs="Times New Roman"/>
        <w:vertAlign w:val="baseline"/>
      </w:rPr>
    </w:lvl>
    <w:lvl w:ilvl="6" w:tentative="0">
      <w:start w:val="1"/>
      <w:numFmt w:val="decimal"/>
      <w:lvlText w:val="%7."/>
      <w:lvlJc w:val="left"/>
      <w:pPr>
        <w:tabs>
          <w:tab w:val="left" w:pos="0"/>
        </w:tabs>
        <w:ind w:left="992" w:hanging="629"/>
      </w:pPr>
      <w:rPr>
        <w:rFonts w:hint="eastAsia" w:cs="Times New Roman"/>
        <w:vertAlign w:val="baseline"/>
      </w:rPr>
    </w:lvl>
    <w:lvl w:ilvl="7" w:tentative="0">
      <w:start w:val="1"/>
      <w:numFmt w:val="lowerLetter"/>
      <w:lvlText w:val="%8)"/>
      <w:lvlJc w:val="left"/>
      <w:pPr>
        <w:tabs>
          <w:tab w:val="left" w:pos="0"/>
        </w:tabs>
        <w:ind w:left="992" w:hanging="629"/>
      </w:pPr>
      <w:rPr>
        <w:rFonts w:hint="eastAsia" w:cs="Times New Roman"/>
        <w:vertAlign w:val="baseline"/>
      </w:rPr>
    </w:lvl>
    <w:lvl w:ilvl="8" w:tentative="0">
      <w:start w:val="1"/>
      <w:numFmt w:val="lowerRoman"/>
      <w:lvlText w:val="%9."/>
      <w:lvlJc w:val="right"/>
      <w:pPr>
        <w:tabs>
          <w:tab w:val="left" w:pos="0"/>
        </w:tabs>
        <w:ind w:left="992" w:hanging="629"/>
      </w:pPr>
      <w:rPr>
        <w:rFonts w:hint="eastAsia" w:cs="Times New Roman"/>
        <w:vertAlign w:val="baseline"/>
      </w:rPr>
    </w:lvl>
  </w:abstractNum>
  <w:abstractNum w:abstractNumId="12">
    <w:nsid w:val="557C2AF5"/>
    <w:multiLevelType w:val="multilevel"/>
    <w:tmpl w:val="557C2AF5"/>
    <w:lvl w:ilvl="0" w:tentative="0">
      <w:start w:val="1"/>
      <w:numFmt w:val="decimal"/>
      <w:pStyle w:val="135"/>
      <w:suff w:val="nothing"/>
      <w:lvlText w:val="图%1　"/>
      <w:lvlJc w:val="left"/>
      <w:rPr>
        <w:rFonts w:hint="eastAsia" w:ascii="黑体" w:hAnsi="Times New Roman" w:eastAsia="黑体" w:cs="Times New Roman"/>
        <w:b w:val="0"/>
        <w:bCs w:val="0"/>
        <w:i w:val="0"/>
        <w:iCs w:val="0"/>
        <w:sz w:val="21"/>
        <w:szCs w:val="21"/>
      </w:rPr>
    </w:lvl>
    <w:lvl w:ilvl="1" w:tentative="0">
      <w:start w:val="1"/>
      <w:numFmt w:val="decimal"/>
      <w:suff w:val="nothing"/>
      <w:lvlText w:val="%1%2　"/>
      <w:lvlJc w:val="left"/>
      <w:rPr>
        <w:rFonts w:hint="default" w:ascii="Times New Roman" w:hAnsi="Times New Roman" w:eastAsia="黑体" w:cs="Times New Roman"/>
        <w:b w:val="0"/>
        <w:bCs w:val="0"/>
        <w:i w:val="0"/>
        <w:iCs w:val="0"/>
        <w:sz w:val="21"/>
        <w:szCs w:val="21"/>
      </w:rPr>
    </w:lvl>
    <w:lvl w:ilvl="2" w:tentative="0">
      <w:start w:val="1"/>
      <w:numFmt w:val="decimal"/>
      <w:suff w:val="nothing"/>
      <w:lvlText w:val="%1%2.%3　"/>
      <w:lvlJc w:val="left"/>
      <w:rPr>
        <w:rFonts w:hint="default" w:ascii="Times New Roman" w:hAnsi="Times New Roman" w:eastAsia="黑体" w:cs="Times New Roman"/>
        <w:b w:val="0"/>
        <w:bCs w:val="0"/>
        <w:i w:val="0"/>
        <w:iCs w:val="0"/>
        <w:sz w:val="21"/>
        <w:szCs w:val="21"/>
      </w:rPr>
    </w:lvl>
    <w:lvl w:ilvl="3" w:tentative="0">
      <w:start w:val="1"/>
      <w:numFmt w:val="decimal"/>
      <w:suff w:val="nothing"/>
      <w:lvlText w:val="%1%2.%3.%4　"/>
      <w:lvlJc w:val="left"/>
      <w:rPr>
        <w:rFonts w:hint="default" w:ascii="Times New Roman" w:hAnsi="Times New Roman" w:eastAsia="黑体" w:cs="Times New Roman"/>
        <w:b w:val="0"/>
        <w:bCs w:val="0"/>
        <w:i w:val="0"/>
        <w:iCs w:val="0"/>
        <w:sz w:val="21"/>
        <w:szCs w:val="21"/>
      </w:rPr>
    </w:lvl>
    <w:lvl w:ilvl="4" w:tentative="0">
      <w:start w:val="1"/>
      <w:numFmt w:val="decimal"/>
      <w:suff w:val="nothing"/>
      <w:lvlText w:val="%1%2.%3.%4.%5　"/>
      <w:lvlJc w:val="left"/>
      <w:rPr>
        <w:rFonts w:hint="default" w:ascii="Times New Roman" w:hAnsi="Times New Roman" w:eastAsia="黑体" w:cs="Times New Roman"/>
        <w:b w:val="0"/>
        <w:bCs w:val="0"/>
        <w:i w:val="0"/>
        <w:iCs w:val="0"/>
        <w:sz w:val="21"/>
        <w:szCs w:val="21"/>
      </w:rPr>
    </w:lvl>
    <w:lvl w:ilvl="5" w:tentative="0">
      <w:start w:val="1"/>
      <w:numFmt w:val="decimal"/>
      <w:suff w:val="nothing"/>
      <w:lvlText w:val="%1%2.%3.%4.%5.%6　"/>
      <w:lvlJc w:val="left"/>
      <w:rPr>
        <w:rFonts w:hint="default" w:ascii="Times New Roman" w:hAnsi="Times New Roman" w:eastAsia="黑体" w:cs="Times New Roman"/>
        <w:b w:val="0"/>
        <w:bCs w:val="0"/>
        <w:i w:val="0"/>
        <w:iCs w:val="0"/>
        <w:sz w:val="21"/>
        <w:szCs w:val="21"/>
      </w:rPr>
    </w:lvl>
    <w:lvl w:ilvl="6" w:tentative="0">
      <w:start w:val="1"/>
      <w:numFmt w:val="decimal"/>
      <w:suff w:val="nothing"/>
      <w:lvlText w:val="%1%2.%3.%4.%5.%6.%7　"/>
      <w:lvlJc w:val="left"/>
      <w:rPr>
        <w:rFonts w:hint="default" w:ascii="Times New Roman" w:hAnsi="Times New Roman" w:eastAsia="黑体" w:cs="Times New Roman"/>
        <w:b w:val="0"/>
        <w:bCs w:val="0"/>
        <w:i w:val="0"/>
        <w:iCs w:val="0"/>
        <w:sz w:val="21"/>
        <w:szCs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3">
    <w:nsid w:val="60B55DC2"/>
    <w:multiLevelType w:val="multilevel"/>
    <w:tmpl w:val="60B55DC2"/>
    <w:lvl w:ilvl="0" w:tentative="0">
      <w:start w:val="1"/>
      <w:numFmt w:val="upperLetter"/>
      <w:pStyle w:val="93"/>
      <w:lvlText w:val="%1"/>
      <w:lvlJc w:val="left"/>
      <w:pPr>
        <w:tabs>
          <w:tab w:val="left" w:pos="0"/>
        </w:tabs>
        <w:ind w:hanging="425"/>
      </w:pPr>
      <w:rPr>
        <w:rFonts w:hint="eastAsia" w:cs="Times New Roman"/>
      </w:rPr>
    </w:lvl>
    <w:lvl w:ilvl="1" w:tentative="0">
      <w:start w:val="1"/>
      <w:numFmt w:val="decimal"/>
      <w:pStyle w:val="94"/>
      <w:suff w:val="nothing"/>
      <w:lvlText w:val="表%1.%2　"/>
      <w:lvlJc w:val="left"/>
      <w:pPr>
        <w:ind w:left="567" w:hanging="567"/>
      </w:pPr>
      <w:rPr>
        <w:rFonts w:hint="eastAsia" w:cs="Times New Roman"/>
      </w:rPr>
    </w:lvl>
    <w:lvl w:ilvl="2" w:tentative="0">
      <w:start w:val="1"/>
      <w:numFmt w:val="decimal"/>
      <w:lvlText w:val="%1.%2.%3"/>
      <w:lvlJc w:val="left"/>
      <w:pPr>
        <w:tabs>
          <w:tab w:val="left" w:pos="993"/>
        </w:tabs>
        <w:ind w:left="993" w:hanging="567"/>
      </w:pPr>
      <w:rPr>
        <w:rFonts w:hint="eastAsia" w:cs="Times New Roman"/>
      </w:rPr>
    </w:lvl>
    <w:lvl w:ilvl="3" w:tentative="0">
      <w:start w:val="1"/>
      <w:numFmt w:val="decimal"/>
      <w:lvlText w:val="%1.%2.%3.%4"/>
      <w:lvlJc w:val="left"/>
      <w:pPr>
        <w:tabs>
          <w:tab w:val="left" w:pos="2291"/>
        </w:tabs>
        <w:ind w:left="1559" w:hanging="708"/>
      </w:pPr>
      <w:rPr>
        <w:rFonts w:hint="eastAsia" w:cs="Times New Roman"/>
      </w:rPr>
    </w:lvl>
    <w:lvl w:ilvl="4" w:tentative="0">
      <w:start w:val="1"/>
      <w:numFmt w:val="decimal"/>
      <w:lvlText w:val="%1.%2.%3.%4.%5"/>
      <w:lvlJc w:val="left"/>
      <w:pPr>
        <w:tabs>
          <w:tab w:val="left" w:pos="3076"/>
        </w:tabs>
        <w:ind w:left="2126" w:hanging="850"/>
      </w:pPr>
      <w:rPr>
        <w:rFonts w:hint="eastAsia" w:cs="Times New Roman"/>
      </w:rPr>
    </w:lvl>
    <w:lvl w:ilvl="5" w:tentative="0">
      <w:start w:val="1"/>
      <w:numFmt w:val="decimal"/>
      <w:lvlText w:val="%1.%2.%3.%4.%5.%6"/>
      <w:lvlJc w:val="left"/>
      <w:pPr>
        <w:tabs>
          <w:tab w:val="left" w:pos="3861"/>
        </w:tabs>
        <w:ind w:left="2835" w:hanging="1134"/>
      </w:pPr>
      <w:rPr>
        <w:rFonts w:hint="eastAsia" w:cs="Times New Roman"/>
      </w:rPr>
    </w:lvl>
    <w:lvl w:ilvl="6" w:tentative="0">
      <w:start w:val="1"/>
      <w:numFmt w:val="decimal"/>
      <w:lvlText w:val="%1.%2.%3.%4.%5.%6.%7"/>
      <w:lvlJc w:val="left"/>
      <w:pPr>
        <w:tabs>
          <w:tab w:val="left" w:pos="4646"/>
        </w:tabs>
        <w:ind w:left="3402" w:hanging="1276"/>
      </w:pPr>
      <w:rPr>
        <w:rFonts w:hint="eastAsia" w:cs="Times New Roman"/>
      </w:rPr>
    </w:lvl>
    <w:lvl w:ilvl="7" w:tentative="0">
      <w:start w:val="1"/>
      <w:numFmt w:val="decimal"/>
      <w:lvlText w:val="%1.%2.%3.%4.%5.%6.%7.%8"/>
      <w:lvlJc w:val="left"/>
      <w:pPr>
        <w:tabs>
          <w:tab w:val="left" w:pos="5431"/>
        </w:tabs>
        <w:ind w:left="3969" w:hanging="1418"/>
      </w:pPr>
      <w:rPr>
        <w:rFonts w:hint="eastAsia" w:cs="Times New Roman"/>
      </w:rPr>
    </w:lvl>
    <w:lvl w:ilvl="8" w:tentative="0">
      <w:start w:val="1"/>
      <w:numFmt w:val="decimal"/>
      <w:lvlText w:val="%1.%2.%3.%4.%5.%6.%7.%8.%9"/>
      <w:lvlJc w:val="left"/>
      <w:pPr>
        <w:tabs>
          <w:tab w:val="left" w:pos="6217"/>
        </w:tabs>
        <w:ind w:left="4677" w:hanging="1700"/>
      </w:pPr>
      <w:rPr>
        <w:rFonts w:hint="eastAsia" w:cs="Times New Roman"/>
      </w:rPr>
    </w:lvl>
  </w:abstractNum>
  <w:abstractNum w:abstractNumId="14">
    <w:nsid w:val="646260FA"/>
    <w:multiLevelType w:val="multilevel"/>
    <w:tmpl w:val="646260FA"/>
    <w:lvl w:ilvl="0" w:tentative="0">
      <w:start w:val="1"/>
      <w:numFmt w:val="decimal"/>
      <w:pStyle w:val="133"/>
      <w:suff w:val="nothing"/>
      <w:lvlText w:val="表%1　"/>
      <w:lvlJc w:val="left"/>
      <w:pPr>
        <w:ind w:left="3828" w:firstLine="0"/>
      </w:pPr>
      <w:rPr>
        <w:rFonts w:hint="eastAsia" w:ascii="黑体" w:hAnsi="Times New Roman" w:eastAsia="黑体" w:cs="Times New Roman"/>
        <w:b w:val="0"/>
        <w:bCs w:val="0"/>
        <w:i w:val="0"/>
        <w:iCs w:val="0"/>
        <w:sz w:val="21"/>
        <w:szCs w:val="21"/>
      </w:rPr>
    </w:lvl>
    <w:lvl w:ilvl="1" w:tentative="0">
      <w:start w:val="1"/>
      <w:numFmt w:val="decimal"/>
      <w:lvlText w:val="%1.%2"/>
      <w:lvlJc w:val="left"/>
      <w:pPr>
        <w:tabs>
          <w:tab w:val="left" w:pos="-2269"/>
        </w:tabs>
        <w:ind w:left="-2269" w:hanging="567"/>
      </w:pPr>
      <w:rPr>
        <w:rFonts w:hint="eastAsia" w:cs="Times New Roman"/>
      </w:rPr>
    </w:lvl>
    <w:lvl w:ilvl="2" w:tentative="0">
      <w:start w:val="1"/>
      <w:numFmt w:val="decimal"/>
      <w:lvlText w:val="%1.%2.%3"/>
      <w:lvlJc w:val="left"/>
      <w:pPr>
        <w:tabs>
          <w:tab w:val="left" w:pos="-1843"/>
        </w:tabs>
        <w:ind w:left="-1843" w:hanging="567"/>
      </w:pPr>
      <w:rPr>
        <w:rFonts w:hint="eastAsia" w:cs="Times New Roman"/>
      </w:rPr>
    </w:lvl>
    <w:lvl w:ilvl="3" w:tentative="0">
      <w:start w:val="1"/>
      <w:numFmt w:val="decimal"/>
      <w:lvlText w:val="%1.%2.%3.%4"/>
      <w:lvlJc w:val="left"/>
      <w:pPr>
        <w:tabs>
          <w:tab w:val="left" w:pos="-1277"/>
        </w:tabs>
        <w:ind w:left="-1277" w:hanging="708"/>
      </w:pPr>
      <w:rPr>
        <w:rFonts w:hint="eastAsia" w:cs="Times New Roman"/>
      </w:rPr>
    </w:lvl>
    <w:lvl w:ilvl="4" w:tentative="0">
      <w:start w:val="1"/>
      <w:numFmt w:val="decimal"/>
      <w:lvlText w:val="%1.%2.%3.%4.%5"/>
      <w:lvlJc w:val="left"/>
      <w:pPr>
        <w:tabs>
          <w:tab w:val="left" w:pos="-710"/>
        </w:tabs>
        <w:ind w:left="-710" w:hanging="850"/>
      </w:pPr>
      <w:rPr>
        <w:rFonts w:hint="eastAsia" w:cs="Times New Roman"/>
      </w:rPr>
    </w:lvl>
    <w:lvl w:ilvl="5" w:tentative="0">
      <w:start w:val="1"/>
      <w:numFmt w:val="decimal"/>
      <w:lvlText w:val="%1.%2.%3.%4.%5.%6"/>
      <w:lvlJc w:val="left"/>
      <w:pPr>
        <w:tabs>
          <w:tab w:val="left" w:pos="-1"/>
        </w:tabs>
        <w:ind w:left="-1" w:hanging="1134"/>
      </w:pPr>
      <w:rPr>
        <w:rFonts w:hint="eastAsia" w:cs="Times New Roman"/>
      </w:rPr>
    </w:lvl>
    <w:lvl w:ilvl="6" w:tentative="0">
      <w:start w:val="1"/>
      <w:numFmt w:val="decimal"/>
      <w:lvlText w:val="%1.%2.%3.%4.%5.%6.%7"/>
      <w:lvlJc w:val="left"/>
      <w:pPr>
        <w:tabs>
          <w:tab w:val="left" w:pos="566"/>
        </w:tabs>
        <w:ind w:left="566" w:hanging="1276"/>
      </w:pPr>
      <w:rPr>
        <w:rFonts w:hint="eastAsia" w:cs="Times New Roman"/>
      </w:rPr>
    </w:lvl>
    <w:lvl w:ilvl="7" w:tentative="0">
      <w:start w:val="1"/>
      <w:numFmt w:val="decimal"/>
      <w:lvlText w:val="%1.%2.%3.%4.%5.%6.%7.%8"/>
      <w:lvlJc w:val="left"/>
      <w:pPr>
        <w:tabs>
          <w:tab w:val="left" w:pos="1133"/>
        </w:tabs>
        <w:ind w:left="1133" w:hanging="1418"/>
      </w:pPr>
      <w:rPr>
        <w:rFonts w:hint="eastAsia" w:cs="Times New Roman"/>
      </w:rPr>
    </w:lvl>
    <w:lvl w:ilvl="8" w:tentative="0">
      <w:start w:val="1"/>
      <w:numFmt w:val="decimal"/>
      <w:lvlText w:val="%1.%2.%3.%4.%5.%6.%7.%8.%9"/>
      <w:lvlJc w:val="left"/>
      <w:pPr>
        <w:tabs>
          <w:tab w:val="left" w:pos="1841"/>
        </w:tabs>
        <w:ind w:left="1841" w:hanging="1700"/>
      </w:pPr>
      <w:rPr>
        <w:rFonts w:hint="eastAsia" w:cs="Times New Roman"/>
      </w:rPr>
    </w:lvl>
  </w:abstractNum>
  <w:abstractNum w:abstractNumId="15">
    <w:nsid w:val="657D3FBC"/>
    <w:multiLevelType w:val="multilevel"/>
    <w:tmpl w:val="657D3FBC"/>
    <w:lvl w:ilvl="0" w:tentative="0">
      <w:start w:val="1"/>
      <w:numFmt w:val="upperLetter"/>
      <w:pStyle w:val="91"/>
      <w:suff w:val="nothing"/>
      <w:lvlText w:val="附　录　%1"/>
      <w:lvlJc w:val="left"/>
      <w:rPr>
        <w:rFonts w:hint="eastAsia" w:ascii="黑体" w:hAnsi="Times New Roman" w:eastAsia="黑体" w:cs="Times New Roman"/>
        <w:b w:val="0"/>
        <w:bCs w:val="0"/>
        <w:i w:val="0"/>
        <w:iCs w:val="0"/>
        <w:spacing w:val="0"/>
        <w:w w:val="100"/>
        <w:sz w:val="21"/>
        <w:szCs w:val="21"/>
      </w:rPr>
    </w:lvl>
    <w:lvl w:ilvl="1" w:tentative="0">
      <w:start w:val="1"/>
      <w:numFmt w:val="decimal"/>
      <w:pStyle w:val="109"/>
      <w:suff w:val="nothing"/>
      <w:lvlText w:val="%1.%2　"/>
      <w:lvlJc w:val="left"/>
      <w:rPr>
        <w:rFonts w:hint="eastAsia" w:ascii="黑体" w:hAnsi="Times New Roman" w:eastAsia="黑体" w:cs="Times New Roman"/>
        <w:b w:val="0"/>
        <w:bCs w:val="0"/>
        <w:i w:val="0"/>
        <w:iCs w:val="0"/>
        <w:snapToGrid/>
        <w:spacing w:val="0"/>
        <w:w w:val="100"/>
        <w:kern w:val="21"/>
        <w:sz w:val="21"/>
        <w:szCs w:val="21"/>
      </w:rPr>
    </w:lvl>
    <w:lvl w:ilvl="2" w:tentative="0">
      <w:start w:val="1"/>
      <w:numFmt w:val="decimal"/>
      <w:pStyle w:val="110"/>
      <w:suff w:val="nothing"/>
      <w:lvlText w:val="%1.%2.%3　"/>
      <w:lvlJc w:val="left"/>
      <w:rPr>
        <w:rFonts w:hint="eastAsia" w:ascii="黑体" w:hAnsi="Times New Roman" w:eastAsia="黑体" w:cs="Times New Roman"/>
        <w:b w:val="0"/>
        <w:bCs w:val="0"/>
        <w:i w:val="0"/>
        <w:iCs w:val="0"/>
        <w:sz w:val="21"/>
        <w:szCs w:val="21"/>
      </w:rPr>
    </w:lvl>
    <w:lvl w:ilvl="3" w:tentative="0">
      <w:start w:val="1"/>
      <w:numFmt w:val="decimal"/>
      <w:pStyle w:val="95"/>
      <w:suff w:val="nothing"/>
      <w:lvlText w:val="%1.%2.%3.%4　"/>
      <w:lvlJc w:val="left"/>
      <w:rPr>
        <w:rFonts w:hint="eastAsia" w:ascii="黑体" w:hAnsi="Times New Roman" w:eastAsia="黑体" w:cs="Times New Roman"/>
        <w:b w:val="0"/>
        <w:bCs w:val="0"/>
        <w:i w:val="0"/>
        <w:iCs w:val="0"/>
        <w:sz w:val="21"/>
        <w:szCs w:val="21"/>
      </w:rPr>
    </w:lvl>
    <w:lvl w:ilvl="4" w:tentative="0">
      <w:start w:val="1"/>
      <w:numFmt w:val="decimal"/>
      <w:pStyle w:val="100"/>
      <w:suff w:val="nothing"/>
      <w:lvlText w:val="%1.%2.%3.%4.%5　"/>
      <w:lvlJc w:val="left"/>
      <w:rPr>
        <w:rFonts w:hint="eastAsia" w:ascii="黑体" w:hAnsi="Times New Roman" w:eastAsia="黑体" w:cs="Times New Roman"/>
        <w:b w:val="0"/>
        <w:bCs w:val="0"/>
        <w:i w:val="0"/>
        <w:iCs w:val="0"/>
        <w:sz w:val="21"/>
        <w:szCs w:val="21"/>
      </w:rPr>
    </w:lvl>
    <w:lvl w:ilvl="5" w:tentative="0">
      <w:start w:val="1"/>
      <w:numFmt w:val="decimal"/>
      <w:pStyle w:val="103"/>
      <w:suff w:val="nothing"/>
      <w:lvlText w:val="%1.%2.%3.%4.%5.%6　"/>
      <w:lvlJc w:val="left"/>
      <w:rPr>
        <w:rFonts w:hint="eastAsia" w:ascii="黑体" w:hAnsi="Times New Roman" w:eastAsia="黑体" w:cs="Times New Roman"/>
        <w:b w:val="0"/>
        <w:bCs w:val="0"/>
        <w:i w:val="0"/>
        <w:iCs w:val="0"/>
        <w:sz w:val="21"/>
        <w:szCs w:val="21"/>
      </w:rPr>
    </w:lvl>
    <w:lvl w:ilvl="6" w:tentative="0">
      <w:start w:val="1"/>
      <w:numFmt w:val="decimal"/>
      <w:pStyle w:val="107"/>
      <w:suff w:val="nothing"/>
      <w:lvlText w:val="%1.%2.%3.%4.%5.%6.%7　"/>
      <w:lvlJc w:val="left"/>
      <w:rPr>
        <w:rFonts w:hint="eastAsia" w:ascii="黑体" w:hAnsi="Times New Roman" w:eastAsia="黑体" w:cs="Times New Roman"/>
        <w:b w:val="0"/>
        <w:bCs w:val="0"/>
        <w:i w:val="0"/>
        <w:iCs w:val="0"/>
        <w:sz w:val="21"/>
        <w:szCs w:val="21"/>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6">
    <w:nsid w:val="6D6C07CD"/>
    <w:multiLevelType w:val="multilevel"/>
    <w:tmpl w:val="6D6C07CD"/>
    <w:lvl w:ilvl="0" w:tentative="0">
      <w:start w:val="1"/>
      <w:numFmt w:val="lowerLetter"/>
      <w:pStyle w:val="112"/>
      <w:lvlText w:val="%1)"/>
      <w:lvlJc w:val="left"/>
      <w:pPr>
        <w:tabs>
          <w:tab w:val="left" w:pos="839"/>
        </w:tabs>
        <w:ind w:left="839" w:hanging="419"/>
      </w:pPr>
      <w:rPr>
        <w:rFonts w:hint="eastAsia" w:ascii="宋体" w:eastAsia="宋体" w:cs="Times New Roman"/>
        <w:b w:val="0"/>
        <w:bCs w:val="0"/>
        <w:i w:val="0"/>
        <w:iCs w:val="0"/>
        <w:sz w:val="21"/>
        <w:szCs w:val="21"/>
      </w:rPr>
    </w:lvl>
    <w:lvl w:ilvl="1" w:tentative="0">
      <w:start w:val="1"/>
      <w:numFmt w:val="decimal"/>
      <w:pStyle w:val="102"/>
      <w:lvlText w:val="%2)"/>
      <w:lvlJc w:val="left"/>
      <w:pPr>
        <w:tabs>
          <w:tab w:val="left" w:pos="840"/>
        </w:tabs>
        <w:ind w:left="839" w:hanging="419"/>
      </w:pPr>
      <w:rPr>
        <w:rFonts w:hint="eastAsia" w:ascii="宋体" w:eastAsia="宋体" w:cs="Times New Roman"/>
        <w:b w:val="0"/>
        <w:bCs w:val="0"/>
        <w:i w:val="0"/>
        <w:iCs w:val="0"/>
        <w:sz w:val="21"/>
        <w:szCs w:val="21"/>
      </w:rPr>
    </w:lvl>
    <w:lvl w:ilvl="2" w:tentative="0">
      <w:start w:val="1"/>
      <w:numFmt w:val="lowerRoman"/>
      <w:lvlText w:val="%3."/>
      <w:lvlJc w:val="right"/>
      <w:pPr>
        <w:tabs>
          <w:tab w:val="left" w:pos="1260"/>
        </w:tabs>
        <w:ind w:left="1259" w:hanging="419"/>
      </w:pPr>
      <w:rPr>
        <w:rFonts w:hint="eastAsia" w:cs="Times New Roman"/>
      </w:rPr>
    </w:lvl>
    <w:lvl w:ilvl="3" w:tentative="0">
      <w:start w:val="1"/>
      <w:numFmt w:val="decimal"/>
      <w:lvlText w:val="%4."/>
      <w:lvlJc w:val="left"/>
      <w:pPr>
        <w:tabs>
          <w:tab w:val="left" w:pos="1680"/>
        </w:tabs>
        <w:ind w:left="1679" w:hanging="419"/>
      </w:pPr>
      <w:rPr>
        <w:rFonts w:hint="eastAsia" w:cs="Times New Roman"/>
      </w:rPr>
    </w:lvl>
    <w:lvl w:ilvl="4" w:tentative="0">
      <w:start w:val="1"/>
      <w:numFmt w:val="lowerLetter"/>
      <w:lvlText w:val="%5)"/>
      <w:lvlJc w:val="left"/>
      <w:pPr>
        <w:tabs>
          <w:tab w:val="left" w:pos="2100"/>
        </w:tabs>
        <w:ind w:left="2099" w:hanging="419"/>
      </w:pPr>
      <w:rPr>
        <w:rFonts w:hint="eastAsia" w:cs="Times New Roman"/>
      </w:rPr>
    </w:lvl>
    <w:lvl w:ilvl="5" w:tentative="0">
      <w:start w:val="1"/>
      <w:numFmt w:val="lowerRoman"/>
      <w:lvlText w:val="%6."/>
      <w:lvlJc w:val="right"/>
      <w:pPr>
        <w:tabs>
          <w:tab w:val="left" w:pos="2520"/>
        </w:tabs>
        <w:ind w:left="2519" w:hanging="419"/>
      </w:pPr>
      <w:rPr>
        <w:rFonts w:hint="eastAsia" w:cs="Times New Roman"/>
      </w:rPr>
    </w:lvl>
    <w:lvl w:ilvl="6" w:tentative="0">
      <w:start w:val="1"/>
      <w:numFmt w:val="decimal"/>
      <w:lvlText w:val="%7."/>
      <w:lvlJc w:val="left"/>
      <w:pPr>
        <w:tabs>
          <w:tab w:val="left" w:pos="2940"/>
        </w:tabs>
        <w:ind w:left="2939" w:hanging="419"/>
      </w:pPr>
      <w:rPr>
        <w:rFonts w:hint="eastAsia" w:cs="Times New Roman"/>
      </w:rPr>
    </w:lvl>
    <w:lvl w:ilvl="7" w:tentative="0">
      <w:start w:val="1"/>
      <w:numFmt w:val="lowerLetter"/>
      <w:lvlText w:val="%8)"/>
      <w:lvlJc w:val="left"/>
      <w:pPr>
        <w:tabs>
          <w:tab w:val="left" w:pos="3360"/>
        </w:tabs>
        <w:ind w:left="3359" w:hanging="419"/>
      </w:pPr>
      <w:rPr>
        <w:rFonts w:hint="eastAsia" w:cs="Times New Roman"/>
      </w:rPr>
    </w:lvl>
    <w:lvl w:ilvl="8" w:tentative="0">
      <w:start w:val="1"/>
      <w:numFmt w:val="lowerRoman"/>
      <w:lvlText w:val="%9."/>
      <w:lvlJc w:val="right"/>
      <w:pPr>
        <w:tabs>
          <w:tab w:val="left" w:pos="3780"/>
        </w:tabs>
        <w:ind w:left="3779" w:hanging="419"/>
      </w:pPr>
      <w:rPr>
        <w:rFonts w:hint="eastAsia" w:cs="Times New Roman"/>
      </w:rPr>
    </w:lvl>
  </w:abstractNum>
  <w:abstractNum w:abstractNumId="17">
    <w:nsid w:val="6DBF04F4"/>
    <w:multiLevelType w:val="multilevel"/>
    <w:tmpl w:val="6DBF04F4"/>
    <w:lvl w:ilvl="0" w:tentative="0">
      <w:start w:val="1"/>
      <w:numFmt w:val="none"/>
      <w:pStyle w:val="64"/>
      <w:suff w:val="nothing"/>
      <w:lvlText w:val="%1注："/>
      <w:lvlJc w:val="left"/>
      <w:pPr>
        <w:ind w:left="726" w:hanging="363"/>
      </w:pPr>
      <w:rPr>
        <w:rFonts w:hint="eastAsia" w:ascii="黑体" w:hAnsi="Times New Roman" w:eastAsia="黑体" w:cs="Times New Roman"/>
        <w:b w:val="0"/>
        <w:bCs w:val="0"/>
        <w:i w:val="0"/>
        <w:iCs w:val="0"/>
        <w:sz w:val="18"/>
        <w:szCs w:val="18"/>
      </w:rPr>
    </w:lvl>
    <w:lvl w:ilvl="1" w:tentative="0">
      <w:start w:val="1"/>
      <w:numFmt w:val="lowerLetter"/>
      <w:lvlText w:val="%2)"/>
      <w:lvlJc w:val="left"/>
      <w:pPr>
        <w:tabs>
          <w:tab w:val="left" w:pos="1140"/>
        </w:tabs>
        <w:ind w:left="726" w:hanging="363"/>
      </w:pPr>
      <w:rPr>
        <w:rFonts w:hint="eastAsia" w:cs="Times New Roman"/>
      </w:rPr>
    </w:lvl>
    <w:lvl w:ilvl="2" w:tentative="0">
      <w:start w:val="1"/>
      <w:numFmt w:val="lowerRoman"/>
      <w:lvlText w:val="%3."/>
      <w:lvlJc w:val="right"/>
      <w:pPr>
        <w:tabs>
          <w:tab w:val="left" w:pos="1140"/>
        </w:tabs>
        <w:ind w:left="726" w:hanging="363"/>
      </w:pPr>
      <w:rPr>
        <w:rFonts w:hint="eastAsia" w:cs="Times New Roman"/>
      </w:rPr>
    </w:lvl>
    <w:lvl w:ilvl="3" w:tentative="0">
      <w:start w:val="1"/>
      <w:numFmt w:val="decimal"/>
      <w:lvlText w:val="%4."/>
      <w:lvlJc w:val="left"/>
      <w:pPr>
        <w:tabs>
          <w:tab w:val="left" w:pos="1140"/>
        </w:tabs>
        <w:ind w:left="726" w:hanging="363"/>
      </w:pPr>
      <w:rPr>
        <w:rFonts w:hint="eastAsia" w:cs="Times New Roman"/>
      </w:rPr>
    </w:lvl>
    <w:lvl w:ilvl="4" w:tentative="0">
      <w:start w:val="1"/>
      <w:numFmt w:val="lowerLetter"/>
      <w:lvlText w:val="%5)"/>
      <w:lvlJc w:val="left"/>
      <w:pPr>
        <w:tabs>
          <w:tab w:val="left" w:pos="1140"/>
        </w:tabs>
        <w:ind w:left="726" w:hanging="363"/>
      </w:pPr>
      <w:rPr>
        <w:rFonts w:hint="eastAsia" w:cs="Times New Roman"/>
      </w:rPr>
    </w:lvl>
    <w:lvl w:ilvl="5" w:tentative="0">
      <w:start w:val="1"/>
      <w:numFmt w:val="lowerRoman"/>
      <w:lvlText w:val="%6."/>
      <w:lvlJc w:val="right"/>
      <w:pPr>
        <w:tabs>
          <w:tab w:val="left" w:pos="1140"/>
        </w:tabs>
        <w:ind w:left="726" w:hanging="363"/>
      </w:pPr>
      <w:rPr>
        <w:rFonts w:hint="eastAsia" w:cs="Times New Roman"/>
      </w:rPr>
    </w:lvl>
    <w:lvl w:ilvl="6" w:tentative="0">
      <w:start w:val="1"/>
      <w:numFmt w:val="decimal"/>
      <w:lvlText w:val="%7."/>
      <w:lvlJc w:val="left"/>
      <w:pPr>
        <w:tabs>
          <w:tab w:val="left" w:pos="1140"/>
        </w:tabs>
        <w:ind w:left="726" w:hanging="363"/>
      </w:pPr>
      <w:rPr>
        <w:rFonts w:hint="eastAsia" w:cs="Times New Roman"/>
      </w:rPr>
    </w:lvl>
    <w:lvl w:ilvl="7" w:tentative="0">
      <w:start w:val="1"/>
      <w:numFmt w:val="lowerLetter"/>
      <w:lvlText w:val="%8)"/>
      <w:lvlJc w:val="left"/>
      <w:pPr>
        <w:tabs>
          <w:tab w:val="left" w:pos="1140"/>
        </w:tabs>
        <w:ind w:left="726" w:hanging="363"/>
      </w:pPr>
      <w:rPr>
        <w:rFonts w:hint="eastAsia" w:cs="Times New Roman"/>
      </w:rPr>
    </w:lvl>
    <w:lvl w:ilvl="8" w:tentative="0">
      <w:start w:val="1"/>
      <w:numFmt w:val="lowerRoman"/>
      <w:lvlText w:val="%9."/>
      <w:lvlJc w:val="right"/>
      <w:pPr>
        <w:tabs>
          <w:tab w:val="left" w:pos="1140"/>
        </w:tabs>
        <w:ind w:left="726" w:hanging="363"/>
      </w:pPr>
      <w:rPr>
        <w:rFonts w:hint="eastAsia" w:cs="Times New Roman"/>
      </w:rPr>
    </w:lvl>
  </w:abstractNum>
  <w:num w:numId="1">
    <w:abstractNumId w:val="10"/>
  </w:num>
  <w:num w:numId="2">
    <w:abstractNumId w:val="6"/>
  </w:num>
  <w:num w:numId="3">
    <w:abstractNumId w:val="9"/>
  </w:num>
  <w:num w:numId="4">
    <w:abstractNumId w:val="2"/>
  </w:num>
  <w:num w:numId="5">
    <w:abstractNumId w:val="4"/>
  </w:num>
  <w:num w:numId="6">
    <w:abstractNumId w:val="17"/>
  </w:num>
  <w:num w:numId="7">
    <w:abstractNumId w:val="0"/>
  </w:num>
  <w:num w:numId="8">
    <w:abstractNumId w:val="11"/>
  </w:num>
  <w:num w:numId="9">
    <w:abstractNumId w:val="5"/>
  </w:num>
  <w:num w:numId="10">
    <w:abstractNumId w:val="15"/>
  </w:num>
  <w:num w:numId="11">
    <w:abstractNumId w:val="13"/>
  </w:num>
  <w:num w:numId="12">
    <w:abstractNumId w:val="16"/>
  </w:num>
  <w:num w:numId="13">
    <w:abstractNumId w:val="8"/>
  </w:num>
  <w:num w:numId="14">
    <w:abstractNumId w:val="1"/>
  </w:num>
  <w:num w:numId="15">
    <w:abstractNumId w:val="3"/>
  </w:num>
  <w:num w:numId="16">
    <w:abstractNumId w:val="14"/>
  </w:num>
  <w:num w:numId="17">
    <w:abstractNumId w:val="1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embedSystemFonts/>
  <w:bordersDoNotSurroundHeader w:val="1"/>
  <w:bordersDoNotSurroundFooter w:val="1"/>
  <w:documentProtection w:edit="forms" w:enforcement="0"/>
  <w:defaultTabStop w:val="420"/>
  <w:doNotHyphenateCaps/>
  <w:drawingGridHorizontalSpacing w:val="210"/>
  <w:drawingGridVerticalSpacing w:val="161"/>
  <w:displayVertic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lkM2VmYjQwZGQ2YWRkZTg4NjhiMDRlODRiYWM4ZjAifQ=="/>
  </w:docVars>
  <w:rsids>
    <w:rsidRoot w:val="00035925"/>
    <w:rsid w:val="000001B7"/>
    <w:rsid w:val="00000244"/>
    <w:rsid w:val="00000517"/>
    <w:rsid w:val="0000185F"/>
    <w:rsid w:val="0000586F"/>
    <w:rsid w:val="00010E46"/>
    <w:rsid w:val="0001252B"/>
    <w:rsid w:val="00013D86"/>
    <w:rsid w:val="00013E02"/>
    <w:rsid w:val="0002143C"/>
    <w:rsid w:val="00022AED"/>
    <w:rsid w:val="00022B82"/>
    <w:rsid w:val="0002387F"/>
    <w:rsid w:val="00023DE0"/>
    <w:rsid w:val="00025A65"/>
    <w:rsid w:val="00026C31"/>
    <w:rsid w:val="00027280"/>
    <w:rsid w:val="00027FFA"/>
    <w:rsid w:val="00030C4E"/>
    <w:rsid w:val="000320A7"/>
    <w:rsid w:val="00033045"/>
    <w:rsid w:val="0003464B"/>
    <w:rsid w:val="0003558C"/>
    <w:rsid w:val="00035925"/>
    <w:rsid w:val="000462D4"/>
    <w:rsid w:val="00050839"/>
    <w:rsid w:val="00052383"/>
    <w:rsid w:val="0005342B"/>
    <w:rsid w:val="0005393A"/>
    <w:rsid w:val="00053B32"/>
    <w:rsid w:val="00053D25"/>
    <w:rsid w:val="00056BFD"/>
    <w:rsid w:val="00057D65"/>
    <w:rsid w:val="000606A4"/>
    <w:rsid w:val="00060DA9"/>
    <w:rsid w:val="000610FA"/>
    <w:rsid w:val="00063147"/>
    <w:rsid w:val="00063231"/>
    <w:rsid w:val="000643CF"/>
    <w:rsid w:val="00064DE1"/>
    <w:rsid w:val="00064FEC"/>
    <w:rsid w:val="00066E75"/>
    <w:rsid w:val="000675FC"/>
    <w:rsid w:val="0006789D"/>
    <w:rsid w:val="00067CDF"/>
    <w:rsid w:val="00067F0D"/>
    <w:rsid w:val="00071361"/>
    <w:rsid w:val="00071AEB"/>
    <w:rsid w:val="000721DD"/>
    <w:rsid w:val="00072A6D"/>
    <w:rsid w:val="00074FBE"/>
    <w:rsid w:val="00082A22"/>
    <w:rsid w:val="00083A09"/>
    <w:rsid w:val="000857AA"/>
    <w:rsid w:val="000876FD"/>
    <w:rsid w:val="0009005E"/>
    <w:rsid w:val="00090DCE"/>
    <w:rsid w:val="00090FAE"/>
    <w:rsid w:val="000912F8"/>
    <w:rsid w:val="00092857"/>
    <w:rsid w:val="00092D45"/>
    <w:rsid w:val="0009704C"/>
    <w:rsid w:val="000A0040"/>
    <w:rsid w:val="000A20A9"/>
    <w:rsid w:val="000A48B1"/>
    <w:rsid w:val="000A6E55"/>
    <w:rsid w:val="000A7209"/>
    <w:rsid w:val="000B0BF2"/>
    <w:rsid w:val="000B2FBB"/>
    <w:rsid w:val="000B3143"/>
    <w:rsid w:val="000B443C"/>
    <w:rsid w:val="000B6B2B"/>
    <w:rsid w:val="000B6B7C"/>
    <w:rsid w:val="000C045B"/>
    <w:rsid w:val="000C0FF4"/>
    <w:rsid w:val="000C15B1"/>
    <w:rsid w:val="000C2147"/>
    <w:rsid w:val="000C497E"/>
    <w:rsid w:val="000C628F"/>
    <w:rsid w:val="000C6B05"/>
    <w:rsid w:val="000C6DD6"/>
    <w:rsid w:val="000C73D4"/>
    <w:rsid w:val="000C74AB"/>
    <w:rsid w:val="000C7586"/>
    <w:rsid w:val="000D3D4C"/>
    <w:rsid w:val="000D3DA4"/>
    <w:rsid w:val="000D4D6C"/>
    <w:rsid w:val="000D4F51"/>
    <w:rsid w:val="000D6130"/>
    <w:rsid w:val="000D718B"/>
    <w:rsid w:val="000E0C46"/>
    <w:rsid w:val="000E2790"/>
    <w:rsid w:val="000E29ED"/>
    <w:rsid w:val="000E5472"/>
    <w:rsid w:val="000E5586"/>
    <w:rsid w:val="000E5EC4"/>
    <w:rsid w:val="000E630E"/>
    <w:rsid w:val="000E7A99"/>
    <w:rsid w:val="000F030C"/>
    <w:rsid w:val="000F129C"/>
    <w:rsid w:val="000F30D1"/>
    <w:rsid w:val="000F41CB"/>
    <w:rsid w:val="000F653F"/>
    <w:rsid w:val="000F7D6A"/>
    <w:rsid w:val="00100337"/>
    <w:rsid w:val="001003E0"/>
    <w:rsid w:val="00100429"/>
    <w:rsid w:val="00100F7A"/>
    <w:rsid w:val="00101DA1"/>
    <w:rsid w:val="001029DC"/>
    <w:rsid w:val="00103882"/>
    <w:rsid w:val="00104C0C"/>
    <w:rsid w:val="001053C6"/>
    <w:rsid w:val="001056DE"/>
    <w:rsid w:val="001057B0"/>
    <w:rsid w:val="001059E6"/>
    <w:rsid w:val="001077DF"/>
    <w:rsid w:val="00107A75"/>
    <w:rsid w:val="001116CC"/>
    <w:rsid w:val="00111D47"/>
    <w:rsid w:val="001124C0"/>
    <w:rsid w:val="00113D11"/>
    <w:rsid w:val="001164EB"/>
    <w:rsid w:val="00116A0C"/>
    <w:rsid w:val="00117988"/>
    <w:rsid w:val="001229F2"/>
    <w:rsid w:val="00123134"/>
    <w:rsid w:val="00126742"/>
    <w:rsid w:val="00126BCD"/>
    <w:rsid w:val="0013175F"/>
    <w:rsid w:val="0013194D"/>
    <w:rsid w:val="00132A59"/>
    <w:rsid w:val="00133E26"/>
    <w:rsid w:val="00135A9A"/>
    <w:rsid w:val="00140F64"/>
    <w:rsid w:val="0014111B"/>
    <w:rsid w:val="00141C24"/>
    <w:rsid w:val="0014467D"/>
    <w:rsid w:val="001446BC"/>
    <w:rsid w:val="00146DC4"/>
    <w:rsid w:val="001512B4"/>
    <w:rsid w:val="00151B3E"/>
    <w:rsid w:val="00152D9A"/>
    <w:rsid w:val="00154D70"/>
    <w:rsid w:val="00154FA1"/>
    <w:rsid w:val="001620A5"/>
    <w:rsid w:val="001623DF"/>
    <w:rsid w:val="00164C02"/>
    <w:rsid w:val="00164E53"/>
    <w:rsid w:val="00166726"/>
    <w:rsid w:val="0016699D"/>
    <w:rsid w:val="0017085E"/>
    <w:rsid w:val="00170905"/>
    <w:rsid w:val="00173ED8"/>
    <w:rsid w:val="0017412A"/>
    <w:rsid w:val="00175159"/>
    <w:rsid w:val="00176208"/>
    <w:rsid w:val="001764D6"/>
    <w:rsid w:val="0017680E"/>
    <w:rsid w:val="00177395"/>
    <w:rsid w:val="00180F9F"/>
    <w:rsid w:val="0018211B"/>
    <w:rsid w:val="0018246C"/>
    <w:rsid w:val="00182580"/>
    <w:rsid w:val="00182CEB"/>
    <w:rsid w:val="00183ED2"/>
    <w:rsid w:val="00183FED"/>
    <w:rsid w:val="001840D3"/>
    <w:rsid w:val="00185968"/>
    <w:rsid w:val="00187F9E"/>
    <w:rsid w:val="001900F8"/>
    <w:rsid w:val="00191258"/>
    <w:rsid w:val="0019246F"/>
    <w:rsid w:val="00192680"/>
    <w:rsid w:val="00192717"/>
    <w:rsid w:val="00192B64"/>
    <w:rsid w:val="00192C1E"/>
    <w:rsid w:val="00193037"/>
    <w:rsid w:val="00193A2C"/>
    <w:rsid w:val="00193DEC"/>
    <w:rsid w:val="00195223"/>
    <w:rsid w:val="00196666"/>
    <w:rsid w:val="00197779"/>
    <w:rsid w:val="00197BD5"/>
    <w:rsid w:val="001A0D78"/>
    <w:rsid w:val="001A226C"/>
    <w:rsid w:val="001A288E"/>
    <w:rsid w:val="001A6B02"/>
    <w:rsid w:val="001B1A7B"/>
    <w:rsid w:val="001B1EF7"/>
    <w:rsid w:val="001B2195"/>
    <w:rsid w:val="001B26E4"/>
    <w:rsid w:val="001B4AB3"/>
    <w:rsid w:val="001B5944"/>
    <w:rsid w:val="001B6DC2"/>
    <w:rsid w:val="001C01A6"/>
    <w:rsid w:val="001C149C"/>
    <w:rsid w:val="001C1B41"/>
    <w:rsid w:val="001C21AC"/>
    <w:rsid w:val="001C2CCA"/>
    <w:rsid w:val="001C3C7E"/>
    <w:rsid w:val="001C47BA"/>
    <w:rsid w:val="001C59EA"/>
    <w:rsid w:val="001C6135"/>
    <w:rsid w:val="001D1942"/>
    <w:rsid w:val="001D406C"/>
    <w:rsid w:val="001D41EE"/>
    <w:rsid w:val="001D43BC"/>
    <w:rsid w:val="001D565E"/>
    <w:rsid w:val="001E02A7"/>
    <w:rsid w:val="001E0380"/>
    <w:rsid w:val="001E0C75"/>
    <w:rsid w:val="001E13B1"/>
    <w:rsid w:val="001E3EF4"/>
    <w:rsid w:val="001E3FDD"/>
    <w:rsid w:val="001E434A"/>
    <w:rsid w:val="001E4358"/>
    <w:rsid w:val="001E5C10"/>
    <w:rsid w:val="001E6683"/>
    <w:rsid w:val="001E79B6"/>
    <w:rsid w:val="001F0FA3"/>
    <w:rsid w:val="001F3392"/>
    <w:rsid w:val="001F3A19"/>
    <w:rsid w:val="001F3B3D"/>
    <w:rsid w:val="001F3F93"/>
    <w:rsid w:val="001F4295"/>
    <w:rsid w:val="001F504B"/>
    <w:rsid w:val="001F7F44"/>
    <w:rsid w:val="00200C1D"/>
    <w:rsid w:val="00201EC1"/>
    <w:rsid w:val="00202A87"/>
    <w:rsid w:val="00203190"/>
    <w:rsid w:val="00203818"/>
    <w:rsid w:val="0020484D"/>
    <w:rsid w:val="00205C33"/>
    <w:rsid w:val="0020681A"/>
    <w:rsid w:val="00206838"/>
    <w:rsid w:val="002100D3"/>
    <w:rsid w:val="002109BC"/>
    <w:rsid w:val="00211615"/>
    <w:rsid w:val="002147BF"/>
    <w:rsid w:val="00215EB0"/>
    <w:rsid w:val="0021654A"/>
    <w:rsid w:val="00217540"/>
    <w:rsid w:val="00221490"/>
    <w:rsid w:val="002227D7"/>
    <w:rsid w:val="002240B6"/>
    <w:rsid w:val="00226C86"/>
    <w:rsid w:val="0022783A"/>
    <w:rsid w:val="002300D2"/>
    <w:rsid w:val="002301A7"/>
    <w:rsid w:val="00231B58"/>
    <w:rsid w:val="002327C5"/>
    <w:rsid w:val="00234467"/>
    <w:rsid w:val="00234C5E"/>
    <w:rsid w:val="0023784C"/>
    <w:rsid w:val="00237D8D"/>
    <w:rsid w:val="00241AB0"/>
    <w:rsid w:val="00241DA2"/>
    <w:rsid w:val="00241FBE"/>
    <w:rsid w:val="00242B88"/>
    <w:rsid w:val="00243FFB"/>
    <w:rsid w:val="00244F44"/>
    <w:rsid w:val="00245DB4"/>
    <w:rsid w:val="00247FEE"/>
    <w:rsid w:val="00250E7D"/>
    <w:rsid w:val="002543B4"/>
    <w:rsid w:val="0025532D"/>
    <w:rsid w:val="00255B8B"/>
    <w:rsid w:val="002565D5"/>
    <w:rsid w:val="00256CCF"/>
    <w:rsid w:val="002622C0"/>
    <w:rsid w:val="002636DE"/>
    <w:rsid w:val="0026428B"/>
    <w:rsid w:val="00273308"/>
    <w:rsid w:val="00273FA3"/>
    <w:rsid w:val="00275267"/>
    <w:rsid w:val="0027602D"/>
    <w:rsid w:val="00276EDE"/>
    <w:rsid w:val="002773B2"/>
    <w:rsid w:val="002778AE"/>
    <w:rsid w:val="0028269A"/>
    <w:rsid w:val="00283590"/>
    <w:rsid w:val="002841C9"/>
    <w:rsid w:val="002844EA"/>
    <w:rsid w:val="00285CCF"/>
    <w:rsid w:val="00286973"/>
    <w:rsid w:val="00286DB4"/>
    <w:rsid w:val="00290676"/>
    <w:rsid w:val="00293E0F"/>
    <w:rsid w:val="00293FD2"/>
    <w:rsid w:val="00294E70"/>
    <w:rsid w:val="002A0897"/>
    <w:rsid w:val="002A139A"/>
    <w:rsid w:val="002A1924"/>
    <w:rsid w:val="002A5480"/>
    <w:rsid w:val="002A7420"/>
    <w:rsid w:val="002A7BFA"/>
    <w:rsid w:val="002A7E2C"/>
    <w:rsid w:val="002B0F12"/>
    <w:rsid w:val="002B1308"/>
    <w:rsid w:val="002B16C6"/>
    <w:rsid w:val="002B26FD"/>
    <w:rsid w:val="002B2CE8"/>
    <w:rsid w:val="002B434B"/>
    <w:rsid w:val="002B4554"/>
    <w:rsid w:val="002B51D0"/>
    <w:rsid w:val="002B7C1E"/>
    <w:rsid w:val="002C47D8"/>
    <w:rsid w:val="002C47F0"/>
    <w:rsid w:val="002C6C11"/>
    <w:rsid w:val="002C72D8"/>
    <w:rsid w:val="002C7792"/>
    <w:rsid w:val="002D11FA"/>
    <w:rsid w:val="002D18E4"/>
    <w:rsid w:val="002D3A47"/>
    <w:rsid w:val="002D4DF4"/>
    <w:rsid w:val="002D5FD3"/>
    <w:rsid w:val="002D67F9"/>
    <w:rsid w:val="002D7DAD"/>
    <w:rsid w:val="002E0DDF"/>
    <w:rsid w:val="002E0F89"/>
    <w:rsid w:val="002E17D6"/>
    <w:rsid w:val="002E2906"/>
    <w:rsid w:val="002E2E09"/>
    <w:rsid w:val="002E3B55"/>
    <w:rsid w:val="002E5635"/>
    <w:rsid w:val="002E64C3"/>
    <w:rsid w:val="002E6A2C"/>
    <w:rsid w:val="002E7B31"/>
    <w:rsid w:val="002F1391"/>
    <w:rsid w:val="002F1D8C"/>
    <w:rsid w:val="002F21DA"/>
    <w:rsid w:val="002F5C0D"/>
    <w:rsid w:val="002F69D7"/>
    <w:rsid w:val="003002C5"/>
    <w:rsid w:val="0030037E"/>
    <w:rsid w:val="00301265"/>
    <w:rsid w:val="00301F39"/>
    <w:rsid w:val="0030215F"/>
    <w:rsid w:val="00304040"/>
    <w:rsid w:val="00304D8A"/>
    <w:rsid w:val="00307A36"/>
    <w:rsid w:val="00311E59"/>
    <w:rsid w:val="003128D8"/>
    <w:rsid w:val="00315094"/>
    <w:rsid w:val="00316041"/>
    <w:rsid w:val="00320111"/>
    <w:rsid w:val="003216CC"/>
    <w:rsid w:val="003216F7"/>
    <w:rsid w:val="003220E4"/>
    <w:rsid w:val="0032369A"/>
    <w:rsid w:val="003243FA"/>
    <w:rsid w:val="00324A1C"/>
    <w:rsid w:val="00325926"/>
    <w:rsid w:val="00327A8A"/>
    <w:rsid w:val="0033183E"/>
    <w:rsid w:val="00334E32"/>
    <w:rsid w:val="00336610"/>
    <w:rsid w:val="00336CAD"/>
    <w:rsid w:val="00341062"/>
    <w:rsid w:val="003413C3"/>
    <w:rsid w:val="00341A40"/>
    <w:rsid w:val="00341C2C"/>
    <w:rsid w:val="00343F73"/>
    <w:rsid w:val="00344C34"/>
    <w:rsid w:val="00345060"/>
    <w:rsid w:val="00345B55"/>
    <w:rsid w:val="00345E65"/>
    <w:rsid w:val="00346002"/>
    <w:rsid w:val="00347879"/>
    <w:rsid w:val="00352632"/>
    <w:rsid w:val="003528AF"/>
    <w:rsid w:val="00352FAE"/>
    <w:rsid w:val="0035323B"/>
    <w:rsid w:val="00353784"/>
    <w:rsid w:val="00353D81"/>
    <w:rsid w:val="00354239"/>
    <w:rsid w:val="003554F6"/>
    <w:rsid w:val="00355BEB"/>
    <w:rsid w:val="003569DE"/>
    <w:rsid w:val="00357837"/>
    <w:rsid w:val="003609D2"/>
    <w:rsid w:val="003622E6"/>
    <w:rsid w:val="003638AF"/>
    <w:rsid w:val="00363F22"/>
    <w:rsid w:val="003702CF"/>
    <w:rsid w:val="00370B1A"/>
    <w:rsid w:val="00371D30"/>
    <w:rsid w:val="003744AE"/>
    <w:rsid w:val="00375564"/>
    <w:rsid w:val="00375930"/>
    <w:rsid w:val="00376350"/>
    <w:rsid w:val="00377B0E"/>
    <w:rsid w:val="00377C4B"/>
    <w:rsid w:val="00377C6A"/>
    <w:rsid w:val="00380968"/>
    <w:rsid w:val="003810A6"/>
    <w:rsid w:val="00381AEF"/>
    <w:rsid w:val="00382241"/>
    <w:rsid w:val="0038297B"/>
    <w:rsid w:val="00383191"/>
    <w:rsid w:val="00384343"/>
    <w:rsid w:val="00384BE8"/>
    <w:rsid w:val="003850BB"/>
    <w:rsid w:val="0038586F"/>
    <w:rsid w:val="0038609E"/>
    <w:rsid w:val="00386DED"/>
    <w:rsid w:val="003907F3"/>
    <w:rsid w:val="003912E7"/>
    <w:rsid w:val="00391D3F"/>
    <w:rsid w:val="00393947"/>
    <w:rsid w:val="00393A0B"/>
    <w:rsid w:val="003A2275"/>
    <w:rsid w:val="003A3724"/>
    <w:rsid w:val="003A4019"/>
    <w:rsid w:val="003A6A4F"/>
    <w:rsid w:val="003A7088"/>
    <w:rsid w:val="003B00DF"/>
    <w:rsid w:val="003B1275"/>
    <w:rsid w:val="003B1778"/>
    <w:rsid w:val="003B36F9"/>
    <w:rsid w:val="003B413B"/>
    <w:rsid w:val="003B51C0"/>
    <w:rsid w:val="003B58E4"/>
    <w:rsid w:val="003B5992"/>
    <w:rsid w:val="003B5DEB"/>
    <w:rsid w:val="003C02F3"/>
    <w:rsid w:val="003C11CB"/>
    <w:rsid w:val="003C3E44"/>
    <w:rsid w:val="003C41D8"/>
    <w:rsid w:val="003C75F3"/>
    <w:rsid w:val="003C78A3"/>
    <w:rsid w:val="003C7C73"/>
    <w:rsid w:val="003C7EBB"/>
    <w:rsid w:val="003D1853"/>
    <w:rsid w:val="003D2E24"/>
    <w:rsid w:val="003D4538"/>
    <w:rsid w:val="003D500E"/>
    <w:rsid w:val="003D64D0"/>
    <w:rsid w:val="003E1867"/>
    <w:rsid w:val="003E34ED"/>
    <w:rsid w:val="003E36C1"/>
    <w:rsid w:val="003E4DFB"/>
    <w:rsid w:val="003E5342"/>
    <w:rsid w:val="003E5729"/>
    <w:rsid w:val="003E6267"/>
    <w:rsid w:val="003E6815"/>
    <w:rsid w:val="003F0ECD"/>
    <w:rsid w:val="003F13C4"/>
    <w:rsid w:val="003F2719"/>
    <w:rsid w:val="003F4818"/>
    <w:rsid w:val="003F4EE0"/>
    <w:rsid w:val="003F6911"/>
    <w:rsid w:val="003F6BAE"/>
    <w:rsid w:val="003F725D"/>
    <w:rsid w:val="004010D4"/>
    <w:rsid w:val="00402153"/>
    <w:rsid w:val="00402FC1"/>
    <w:rsid w:val="004038B9"/>
    <w:rsid w:val="00404F48"/>
    <w:rsid w:val="0041287A"/>
    <w:rsid w:val="0041635F"/>
    <w:rsid w:val="00420397"/>
    <w:rsid w:val="00421D37"/>
    <w:rsid w:val="0042497F"/>
    <w:rsid w:val="00425082"/>
    <w:rsid w:val="00425DDC"/>
    <w:rsid w:val="0042624F"/>
    <w:rsid w:val="004301B3"/>
    <w:rsid w:val="00431DEB"/>
    <w:rsid w:val="00432A12"/>
    <w:rsid w:val="00435C02"/>
    <w:rsid w:val="00435E9D"/>
    <w:rsid w:val="00440C72"/>
    <w:rsid w:val="00445A2F"/>
    <w:rsid w:val="00446B29"/>
    <w:rsid w:val="00446D01"/>
    <w:rsid w:val="00447977"/>
    <w:rsid w:val="004505F7"/>
    <w:rsid w:val="00452AE5"/>
    <w:rsid w:val="00452B7C"/>
    <w:rsid w:val="00453120"/>
    <w:rsid w:val="00453F9A"/>
    <w:rsid w:val="00454150"/>
    <w:rsid w:val="00454506"/>
    <w:rsid w:val="004566FA"/>
    <w:rsid w:val="00457836"/>
    <w:rsid w:val="00457C06"/>
    <w:rsid w:val="00460D6D"/>
    <w:rsid w:val="00462FF4"/>
    <w:rsid w:val="00463AA4"/>
    <w:rsid w:val="00465A7C"/>
    <w:rsid w:val="00466F2A"/>
    <w:rsid w:val="004670DB"/>
    <w:rsid w:val="00471E91"/>
    <w:rsid w:val="00472085"/>
    <w:rsid w:val="00474675"/>
    <w:rsid w:val="0047470C"/>
    <w:rsid w:val="00481FFE"/>
    <w:rsid w:val="00482472"/>
    <w:rsid w:val="004826D4"/>
    <w:rsid w:val="00482A40"/>
    <w:rsid w:val="004838B7"/>
    <w:rsid w:val="00484A67"/>
    <w:rsid w:val="00485B70"/>
    <w:rsid w:val="00485C96"/>
    <w:rsid w:val="00490604"/>
    <w:rsid w:val="00494BF6"/>
    <w:rsid w:val="00494F0E"/>
    <w:rsid w:val="004A1A51"/>
    <w:rsid w:val="004A35F9"/>
    <w:rsid w:val="004A3718"/>
    <w:rsid w:val="004A3B72"/>
    <w:rsid w:val="004A607F"/>
    <w:rsid w:val="004B0E1F"/>
    <w:rsid w:val="004B1BFA"/>
    <w:rsid w:val="004B1F13"/>
    <w:rsid w:val="004B24C1"/>
    <w:rsid w:val="004B6A75"/>
    <w:rsid w:val="004C1BC1"/>
    <w:rsid w:val="004C292F"/>
    <w:rsid w:val="004C431E"/>
    <w:rsid w:val="004C4D67"/>
    <w:rsid w:val="004C4ED5"/>
    <w:rsid w:val="004C59AA"/>
    <w:rsid w:val="004D048A"/>
    <w:rsid w:val="004D1BB8"/>
    <w:rsid w:val="004D1D87"/>
    <w:rsid w:val="004D201E"/>
    <w:rsid w:val="004D239A"/>
    <w:rsid w:val="004D28A7"/>
    <w:rsid w:val="004D29C2"/>
    <w:rsid w:val="004D3F8F"/>
    <w:rsid w:val="004D4250"/>
    <w:rsid w:val="004D70DA"/>
    <w:rsid w:val="004D72D4"/>
    <w:rsid w:val="004E0D40"/>
    <w:rsid w:val="004E2C25"/>
    <w:rsid w:val="004E2D09"/>
    <w:rsid w:val="004E3A05"/>
    <w:rsid w:val="004E60F7"/>
    <w:rsid w:val="004E66ED"/>
    <w:rsid w:val="004E7ADB"/>
    <w:rsid w:val="004F0B90"/>
    <w:rsid w:val="004F24D5"/>
    <w:rsid w:val="004F327C"/>
    <w:rsid w:val="004F4BAC"/>
    <w:rsid w:val="004F603B"/>
    <w:rsid w:val="004F7AAD"/>
    <w:rsid w:val="004F7F6B"/>
    <w:rsid w:val="00503ECD"/>
    <w:rsid w:val="005041FA"/>
    <w:rsid w:val="0050445C"/>
    <w:rsid w:val="00504F1F"/>
    <w:rsid w:val="00506857"/>
    <w:rsid w:val="00510280"/>
    <w:rsid w:val="00510EB8"/>
    <w:rsid w:val="00510EC4"/>
    <w:rsid w:val="00511E50"/>
    <w:rsid w:val="00513D73"/>
    <w:rsid w:val="0051402A"/>
    <w:rsid w:val="00514A43"/>
    <w:rsid w:val="00514ADF"/>
    <w:rsid w:val="00514D8C"/>
    <w:rsid w:val="005151E0"/>
    <w:rsid w:val="00516924"/>
    <w:rsid w:val="005174E5"/>
    <w:rsid w:val="0052226F"/>
    <w:rsid w:val="00522393"/>
    <w:rsid w:val="00522620"/>
    <w:rsid w:val="0052288D"/>
    <w:rsid w:val="00523DA1"/>
    <w:rsid w:val="00524205"/>
    <w:rsid w:val="005251D1"/>
    <w:rsid w:val="00525656"/>
    <w:rsid w:val="00525EB4"/>
    <w:rsid w:val="005330CC"/>
    <w:rsid w:val="0053356E"/>
    <w:rsid w:val="005336FA"/>
    <w:rsid w:val="00534C02"/>
    <w:rsid w:val="00542460"/>
    <w:rsid w:val="005425C9"/>
    <w:rsid w:val="0054264B"/>
    <w:rsid w:val="0054334D"/>
    <w:rsid w:val="00543786"/>
    <w:rsid w:val="0054385E"/>
    <w:rsid w:val="005515D4"/>
    <w:rsid w:val="00551DD0"/>
    <w:rsid w:val="005533D7"/>
    <w:rsid w:val="0055404F"/>
    <w:rsid w:val="005570FC"/>
    <w:rsid w:val="00561127"/>
    <w:rsid w:val="00562A2C"/>
    <w:rsid w:val="00564EEB"/>
    <w:rsid w:val="00565023"/>
    <w:rsid w:val="00565900"/>
    <w:rsid w:val="005659AF"/>
    <w:rsid w:val="00565FC8"/>
    <w:rsid w:val="00566BD6"/>
    <w:rsid w:val="00566C38"/>
    <w:rsid w:val="005703DE"/>
    <w:rsid w:val="00570532"/>
    <w:rsid w:val="00570A46"/>
    <w:rsid w:val="00572173"/>
    <w:rsid w:val="00572B64"/>
    <w:rsid w:val="00572EAC"/>
    <w:rsid w:val="005747A4"/>
    <w:rsid w:val="00574AC2"/>
    <w:rsid w:val="00576528"/>
    <w:rsid w:val="00576A4A"/>
    <w:rsid w:val="00576BDE"/>
    <w:rsid w:val="00576DB2"/>
    <w:rsid w:val="00577187"/>
    <w:rsid w:val="00581DCE"/>
    <w:rsid w:val="005826D7"/>
    <w:rsid w:val="0058464E"/>
    <w:rsid w:val="00584E97"/>
    <w:rsid w:val="00585EED"/>
    <w:rsid w:val="00587905"/>
    <w:rsid w:val="00590F37"/>
    <w:rsid w:val="0059578C"/>
    <w:rsid w:val="005A01CB"/>
    <w:rsid w:val="005A1B59"/>
    <w:rsid w:val="005A3708"/>
    <w:rsid w:val="005A58FF"/>
    <w:rsid w:val="005A5EAF"/>
    <w:rsid w:val="005A64C0"/>
    <w:rsid w:val="005A6599"/>
    <w:rsid w:val="005A68FA"/>
    <w:rsid w:val="005A7708"/>
    <w:rsid w:val="005A7F1E"/>
    <w:rsid w:val="005B0927"/>
    <w:rsid w:val="005B199A"/>
    <w:rsid w:val="005B2E6A"/>
    <w:rsid w:val="005B3262"/>
    <w:rsid w:val="005B3A6E"/>
    <w:rsid w:val="005B3C11"/>
    <w:rsid w:val="005B6C26"/>
    <w:rsid w:val="005C1C28"/>
    <w:rsid w:val="005C6DB5"/>
    <w:rsid w:val="005C7D62"/>
    <w:rsid w:val="005D0677"/>
    <w:rsid w:val="005D4531"/>
    <w:rsid w:val="005D4DC7"/>
    <w:rsid w:val="005D5F23"/>
    <w:rsid w:val="005D7E01"/>
    <w:rsid w:val="005E19E7"/>
    <w:rsid w:val="005E448E"/>
    <w:rsid w:val="005E46C1"/>
    <w:rsid w:val="005E5DFE"/>
    <w:rsid w:val="005E719F"/>
    <w:rsid w:val="005E775E"/>
    <w:rsid w:val="005F0026"/>
    <w:rsid w:val="005F0639"/>
    <w:rsid w:val="005F4729"/>
    <w:rsid w:val="005F498C"/>
    <w:rsid w:val="005F654F"/>
    <w:rsid w:val="00600A1A"/>
    <w:rsid w:val="00600A4E"/>
    <w:rsid w:val="006010FD"/>
    <w:rsid w:val="006011FE"/>
    <w:rsid w:val="00601676"/>
    <w:rsid w:val="00602AC6"/>
    <w:rsid w:val="00606D8A"/>
    <w:rsid w:val="00612D12"/>
    <w:rsid w:val="00613101"/>
    <w:rsid w:val="006137F4"/>
    <w:rsid w:val="00613E9F"/>
    <w:rsid w:val="0061421B"/>
    <w:rsid w:val="00614B4E"/>
    <w:rsid w:val="006163BE"/>
    <w:rsid w:val="00616B4B"/>
    <w:rsid w:val="0061716C"/>
    <w:rsid w:val="00620116"/>
    <w:rsid w:val="00621025"/>
    <w:rsid w:val="00621936"/>
    <w:rsid w:val="00622982"/>
    <w:rsid w:val="00623A27"/>
    <w:rsid w:val="00623D27"/>
    <w:rsid w:val="006243A1"/>
    <w:rsid w:val="00626C29"/>
    <w:rsid w:val="00627F67"/>
    <w:rsid w:val="006312D3"/>
    <w:rsid w:val="006328D4"/>
    <w:rsid w:val="00632E56"/>
    <w:rsid w:val="006340C3"/>
    <w:rsid w:val="00634F6C"/>
    <w:rsid w:val="00635CBA"/>
    <w:rsid w:val="00635D4D"/>
    <w:rsid w:val="00637301"/>
    <w:rsid w:val="00642FB0"/>
    <w:rsid w:val="0064338B"/>
    <w:rsid w:val="006445B9"/>
    <w:rsid w:val="00646542"/>
    <w:rsid w:val="006504F4"/>
    <w:rsid w:val="006506FA"/>
    <w:rsid w:val="0065199E"/>
    <w:rsid w:val="006527E5"/>
    <w:rsid w:val="00653FEB"/>
    <w:rsid w:val="00654277"/>
    <w:rsid w:val="00654BC9"/>
    <w:rsid w:val="006552FD"/>
    <w:rsid w:val="006555D0"/>
    <w:rsid w:val="00657D9A"/>
    <w:rsid w:val="00660E6E"/>
    <w:rsid w:val="0066351D"/>
    <w:rsid w:val="00663AF3"/>
    <w:rsid w:val="00665EB5"/>
    <w:rsid w:val="00666B6C"/>
    <w:rsid w:val="00672592"/>
    <w:rsid w:val="00673889"/>
    <w:rsid w:val="00673EB2"/>
    <w:rsid w:val="00674BC1"/>
    <w:rsid w:val="006764C6"/>
    <w:rsid w:val="00676AFB"/>
    <w:rsid w:val="00680055"/>
    <w:rsid w:val="00681208"/>
    <w:rsid w:val="00682682"/>
    <w:rsid w:val="00682702"/>
    <w:rsid w:val="00682B0D"/>
    <w:rsid w:val="00682D26"/>
    <w:rsid w:val="006842AE"/>
    <w:rsid w:val="00690587"/>
    <w:rsid w:val="00692368"/>
    <w:rsid w:val="00696591"/>
    <w:rsid w:val="00697CD3"/>
    <w:rsid w:val="006A1A74"/>
    <w:rsid w:val="006A2E44"/>
    <w:rsid w:val="006A2EBC"/>
    <w:rsid w:val="006A31F5"/>
    <w:rsid w:val="006A472F"/>
    <w:rsid w:val="006A5EA0"/>
    <w:rsid w:val="006A783B"/>
    <w:rsid w:val="006A7B33"/>
    <w:rsid w:val="006B00EE"/>
    <w:rsid w:val="006B101E"/>
    <w:rsid w:val="006B185A"/>
    <w:rsid w:val="006B30D0"/>
    <w:rsid w:val="006B4772"/>
    <w:rsid w:val="006B4E13"/>
    <w:rsid w:val="006B75DD"/>
    <w:rsid w:val="006B7B89"/>
    <w:rsid w:val="006B7C5A"/>
    <w:rsid w:val="006C28C7"/>
    <w:rsid w:val="006C2CD6"/>
    <w:rsid w:val="006C67E0"/>
    <w:rsid w:val="006C7ABA"/>
    <w:rsid w:val="006D00B8"/>
    <w:rsid w:val="006D0B3C"/>
    <w:rsid w:val="006D0D60"/>
    <w:rsid w:val="006D0F33"/>
    <w:rsid w:val="006D1122"/>
    <w:rsid w:val="006D30AD"/>
    <w:rsid w:val="006D3C00"/>
    <w:rsid w:val="006D4767"/>
    <w:rsid w:val="006D4EDA"/>
    <w:rsid w:val="006E0A32"/>
    <w:rsid w:val="006E0ADF"/>
    <w:rsid w:val="006E0E7B"/>
    <w:rsid w:val="006E20EE"/>
    <w:rsid w:val="006E2179"/>
    <w:rsid w:val="006E3675"/>
    <w:rsid w:val="006E36EE"/>
    <w:rsid w:val="006E3A04"/>
    <w:rsid w:val="006E45D5"/>
    <w:rsid w:val="006E4A7F"/>
    <w:rsid w:val="006E5D51"/>
    <w:rsid w:val="006E6036"/>
    <w:rsid w:val="006F0F76"/>
    <w:rsid w:val="006F2551"/>
    <w:rsid w:val="006F3F27"/>
    <w:rsid w:val="006F4092"/>
    <w:rsid w:val="006F4CD4"/>
    <w:rsid w:val="006F5B76"/>
    <w:rsid w:val="006F60C4"/>
    <w:rsid w:val="006F68F4"/>
    <w:rsid w:val="00700052"/>
    <w:rsid w:val="00701044"/>
    <w:rsid w:val="00701E44"/>
    <w:rsid w:val="00704DF6"/>
    <w:rsid w:val="0070651C"/>
    <w:rsid w:val="0070677E"/>
    <w:rsid w:val="007132A3"/>
    <w:rsid w:val="007132DD"/>
    <w:rsid w:val="007153B3"/>
    <w:rsid w:val="00716421"/>
    <w:rsid w:val="0071756F"/>
    <w:rsid w:val="007206AC"/>
    <w:rsid w:val="0072086A"/>
    <w:rsid w:val="00720B3A"/>
    <w:rsid w:val="00724EFB"/>
    <w:rsid w:val="00725121"/>
    <w:rsid w:val="007269A5"/>
    <w:rsid w:val="00730EEE"/>
    <w:rsid w:val="007317CC"/>
    <w:rsid w:val="00732054"/>
    <w:rsid w:val="007334A8"/>
    <w:rsid w:val="0073417D"/>
    <w:rsid w:val="007349C2"/>
    <w:rsid w:val="007351D7"/>
    <w:rsid w:val="007354D8"/>
    <w:rsid w:val="007363FA"/>
    <w:rsid w:val="00736491"/>
    <w:rsid w:val="0073673B"/>
    <w:rsid w:val="00736BAD"/>
    <w:rsid w:val="00737A73"/>
    <w:rsid w:val="00737E8A"/>
    <w:rsid w:val="00740B53"/>
    <w:rsid w:val="007419C3"/>
    <w:rsid w:val="0074281E"/>
    <w:rsid w:val="007434A3"/>
    <w:rsid w:val="00746766"/>
    <w:rsid w:val="007467A7"/>
    <w:rsid w:val="007469DD"/>
    <w:rsid w:val="0074741B"/>
    <w:rsid w:val="0074759E"/>
    <w:rsid w:val="007478EA"/>
    <w:rsid w:val="0075033A"/>
    <w:rsid w:val="0075077F"/>
    <w:rsid w:val="00752ADC"/>
    <w:rsid w:val="0075415C"/>
    <w:rsid w:val="0075579E"/>
    <w:rsid w:val="00760870"/>
    <w:rsid w:val="00763502"/>
    <w:rsid w:val="00764B04"/>
    <w:rsid w:val="00771EDD"/>
    <w:rsid w:val="007734CA"/>
    <w:rsid w:val="0077453C"/>
    <w:rsid w:val="00775A04"/>
    <w:rsid w:val="00780582"/>
    <w:rsid w:val="00780AEC"/>
    <w:rsid w:val="00781F12"/>
    <w:rsid w:val="00784EDB"/>
    <w:rsid w:val="0078542E"/>
    <w:rsid w:val="00786D46"/>
    <w:rsid w:val="007913AB"/>
    <w:rsid w:val="007914F7"/>
    <w:rsid w:val="00791F10"/>
    <w:rsid w:val="00793AB6"/>
    <w:rsid w:val="00795432"/>
    <w:rsid w:val="007974B3"/>
    <w:rsid w:val="007A0116"/>
    <w:rsid w:val="007A01EB"/>
    <w:rsid w:val="007A0672"/>
    <w:rsid w:val="007A14D7"/>
    <w:rsid w:val="007A1984"/>
    <w:rsid w:val="007A3503"/>
    <w:rsid w:val="007A7200"/>
    <w:rsid w:val="007A79BB"/>
    <w:rsid w:val="007B1625"/>
    <w:rsid w:val="007B3860"/>
    <w:rsid w:val="007B706E"/>
    <w:rsid w:val="007B71EB"/>
    <w:rsid w:val="007B7B83"/>
    <w:rsid w:val="007B7E97"/>
    <w:rsid w:val="007C0299"/>
    <w:rsid w:val="007C13BD"/>
    <w:rsid w:val="007C1566"/>
    <w:rsid w:val="007C1D6F"/>
    <w:rsid w:val="007C21DF"/>
    <w:rsid w:val="007C2C14"/>
    <w:rsid w:val="007C3687"/>
    <w:rsid w:val="007C425A"/>
    <w:rsid w:val="007C564A"/>
    <w:rsid w:val="007C6205"/>
    <w:rsid w:val="007C686A"/>
    <w:rsid w:val="007C728E"/>
    <w:rsid w:val="007D0F8D"/>
    <w:rsid w:val="007D2799"/>
    <w:rsid w:val="007D2C53"/>
    <w:rsid w:val="007D2D42"/>
    <w:rsid w:val="007D33D0"/>
    <w:rsid w:val="007D3D60"/>
    <w:rsid w:val="007D5D56"/>
    <w:rsid w:val="007E0F9A"/>
    <w:rsid w:val="007E1980"/>
    <w:rsid w:val="007E1FD9"/>
    <w:rsid w:val="007E2CCA"/>
    <w:rsid w:val="007E473B"/>
    <w:rsid w:val="007E4887"/>
    <w:rsid w:val="007E4B76"/>
    <w:rsid w:val="007E5EA8"/>
    <w:rsid w:val="007E6D0D"/>
    <w:rsid w:val="007E7CAE"/>
    <w:rsid w:val="007F0C76"/>
    <w:rsid w:val="007F0CF1"/>
    <w:rsid w:val="007F12A5"/>
    <w:rsid w:val="007F141C"/>
    <w:rsid w:val="007F1486"/>
    <w:rsid w:val="007F16A7"/>
    <w:rsid w:val="007F2044"/>
    <w:rsid w:val="007F2B9A"/>
    <w:rsid w:val="007F4CF1"/>
    <w:rsid w:val="007F758D"/>
    <w:rsid w:val="007F7D52"/>
    <w:rsid w:val="00801004"/>
    <w:rsid w:val="0080652D"/>
    <w:rsid w:val="0080654C"/>
    <w:rsid w:val="008071C6"/>
    <w:rsid w:val="00807277"/>
    <w:rsid w:val="008133DF"/>
    <w:rsid w:val="00817A00"/>
    <w:rsid w:val="00817FCA"/>
    <w:rsid w:val="008213B2"/>
    <w:rsid w:val="00823620"/>
    <w:rsid w:val="008242A5"/>
    <w:rsid w:val="00824361"/>
    <w:rsid w:val="00826C94"/>
    <w:rsid w:val="008300B4"/>
    <w:rsid w:val="008322D5"/>
    <w:rsid w:val="00833F81"/>
    <w:rsid w:val="00835DB3"/>
    <w:rsid w:val="0083617B"/>
    <w:rsid w:val="00836307"/>
    <w:rsid w:val="00836E44"/>
    <w:rsid w:val="00836E91"/>
    <w:rsid w:val="008371BD"/>
    <w:rsid w:val="00840325"/>
    <w:rsid w:val="0084034B"/>
    <w:rsid w:val="008415E8"/>
    <w:rsid w:val="00844EF7"/>
    <w:rsid w:val="00845EA8"/>
    <w:rsid w:val="008467F0"/>
    <w:rsid w:val="008504A8"/>
    <w:rsid w:val="008523B6"/>
    <w:rsid w:val="00852658"/>
    <w:rsid w:val="0085282E"/>
    <w:rsid w:val="00852C61"/>
    <w:rsid w:val="008536B0"/>
    <w:rsid w:val="00855080"/>
    <w:rsid w:val="008553D9"/>
    <w:rsid w:val="00855459"/>
    <w:rsid w:val="00855688"/>
    <w:rsid w:val="00855DF0"/>
    <w:rsid w:val="00856AF2"/>
    <w:rsid w:val="00860909"/>
    <w:rsid w:val="00861630"/>
    <w:rsid w:val="008617B7"/>
    <w:rsid w:val="00864D1B"/>
    <w:rsid w:val="008660F2"/>
    <w:rsid w:val="008703FA"/>
    <w:rsid w:val="0087198C"/>
    <w:rsid w:val="008722EB"/>
    <w:rsid w:val="00872C1F"/>
    <w:rsid w:val="00873B42"/>
    <w:rsid w:val="00876526"/>
    <w:rsid w:val="00876CF3"/>
    <w:rsid w:val="0087712F"/>
    <w:rsid w:val="008848F4"/>
    <w:rsid w:val="00884BA7"/>
    <w:rsid w:val="008856BC"/>
    <w:rsid w:val="008856D8"/>
    <w:rsid w:val="00886577"/>
    <w:rsid w:val="008865B7"/>
    <w:rsid w:val="00887234"/>
    <w:rsid w:val="0089057F"/>
    <w:rsid w:val="008905D4"/>
    <w:rsid w:val="00892E82"/>
    <w:rsid w:val="00893593"/>
    <w:rsid w:val="00894D67"/>
    <w:rsid w:val="008960D4"/>
    <w:rsid w:val="008976CC"/>
    <w:rsid w:val="008979C0"/>
    <w:rsid w:val="008A12B3"/>
    <w:rsid w:val="008A22CD"/>
    <w:rsid w:val="008A6B79"/>
    <w:rsid w:val="008B1FF2"/>
    <w:rsid w:val="008B23BE"/>
    <w:rsid w:val="008B2B15"/>
    <w:rsid w:val="008B55BC"/>
    <w:rsid w:val="008B7393"/>
    <w:rsid w:val="008C019B"/>
    <w:rsid w:val="008C1B58"/>
    <w:rsid w:val="008C39AE"/>
    <w:rsid w:val="008C3BD2"/>
    <w:rsid w:val="008C4EE1"/>
    <w:rsid w:val="008C590D"/>
    <w:rsid w:val="008C59BC"/>
    <w:rsid w:val="008C76AD"/>
    <w:rsid w:val="008D052E"/>
    <w:rsid w:val="008D0B83"/>
    <w:rsid w:val="008D293F"/>
    <w:rsid w:val="008D2ABA"/>
    <w:rsid w:val="008D2E13"/>
    <w:rsid w:val="008D3AA5"/>
    <w:rsid w:val="008D5B9B"/>
    <w:rsid w:val="008D5D44"/>
    <w:rsid w:val="008D66F2"/>
    <w:rsid w:val="008D76DB"/>
    <w:rsid w:val="008E031B"/>
    <w:rsid w:val="008E1703"/>
    <w:rsid w:val="008E3459"/>
    <w:rsid w:val="008E4D49"/>
    <w:rsid w:val="008E4E5E"/>
    <w:rsid w:val="008E523B"/>
    <w:rsid w:val="008E54C0"/>
    <w:rsid w:val="008E60FC"/>
    <w:rsid w:val="008E7029"/>
    <w:rsid w:val="008E7EF6"/>
    <w:rsid w:val="008F073D"/>
    <w:rsid w:val="008F0B71"/>
    <w:rsid w:val="008F17A7"/>
    <w:rsid w:val="008F1F98"/>
    <w:rsid w:val="008F2E52"/>
    <w:rsid w:val="008F6758"/>
    <w:rsid w:val="008F6A3C"/>
    <w:rsid w:val="008F783B"/>
    <w:rsid w:val="008F7A1E"/>
    <w:rsid w:val="008F7F4B"/>
    <w:rsid w:val="009011BA"/>
    <w:rsid w:val="00901A3F"/>
    <w:rsid w:val="009040DD"/>
    <w:rsid w:val="0090468A"/>
    <w:rsid w:val="00904C59"/>
    <w:rsid w:val="009055CB"/>
    <w:rsid w:val="00905B47"/>
    <w:rsid w:val="00905ED1"/>
    <w:rsid w:val="00907251"/>
    <w:rsid w:val="00907DFD"/>
    <w:rsid w:val="00910FF7"/>
    <w:rsid w:val="00912964"/>
    <w:rsid w:val="00912FA0"/>
    <w:rsid w:val="0091331C"/>
    <w:rsid w:val="00914CD8"/>
    <w:rsid w:val="0091739E"/>
    <w:rsid w:val="00917802"/>
    <w:rsid w:val="0092085B"/>
    <w:rsid w:val="009220A1"/>
    <w:rsid w:val="00922EFD"/>
    <w:rsid w:val="00923B98"/>
    <w:rsid w:val="0092722B"/>
    <w:rsid w:val="009279DE"/>
    <w:rsid w:val="00930116"/>
    <w:rsid w:val="00930330"/>
    <w:rsid w:val="0093071D"/>
    <w:rsid w:val="00930B04"/>
    <w:rsid w:val="009319E5"/>
    <w:rsid w:val="00935CE0"/>
    <w:rsid w:val="00936AD5"/>
    <w:rsid w:val="0094212C"/>
    <w:rsid w:val="0094506C"/>
    <w:rsid w:val="00945AFE"/>
    <w:rsid w:val="00947B10"/>
    <w:rsid w:val="00953B4F"/>
    <w:rsid w:val="00954689"/>
    <w:rsid w:val="00954C36"/>
    <w:rsid w:val="00955EBA"/>
    <w:rsid w:val="00956B8F"/>
    <w:rsid w:val="0095792B"/>
    <w:rsid w:val="009617C9"/>
    <w:rsid w:val="00961C93"/>
    <w:rsid w:val="00965324"/>
    <w:rsid w:val="009679DA"/>
    <w:rsid w:val="00967A47"/>
    <w:rsid w:val="0097091E"/>
    <w:rsid w:val="009721DF"/>
    <w:rsid w:val="009724CA"/>
    <w:rsid w:val="00974E80"/>
    <w:rsid w:val="00974EE3"/>
    <w:rsid w:val="009760D3"/>
    <w:rsid w:val="00977132"/>
    <w:rsid w:val="00981A4B"/>
    <w:rsid w:val="00982501"/>
    <w:rsid w:val="009839A9"/>
    <w:rsid w:val="00985BDE"/>
    <w:rsid w:val="00985D32"/>
    <w:rsid w:val="009877D3"/>
    <w:rsid w:val="00987DAA"/>
    <w:rsid w:val="00993347"/>
    <w:rsid w:val="009938CF"/>
    <w:rsid w:val="00994E8F"/>
    <w:rsid w:val="009951DC"/>
    <w:rsid w:val="009959BB"/>
    <w:rsid w:val="009966E8"/>
    <w:rsid w:val="00997158"/>
    <w:rsid w:val="009A0544"/>
    <w:rsid w:val="009A3A7C"/>
    <w:rsid w:val="009A3ED5"/>
    <w:rsid w:val="009A41A5"/>
    <w:rsid w:val="009A42AF"/>
    <w:rsid w:val="009A45DC"/>
    <w:rsid w:val="009A473E"/>
    <w:rsid w:val="009A5626"/>
    <w:rsid w:val="009A6FF4"/>
    <w:rsid w:val="009A7064"/>
    <w:rsid w:val="009B055C"/>
    <w:rsid w:val="009B2ADB"/>
    <w:rsid w:val="009B3B62"/>
    <w:rsid w:val="009B4393"/>
    <w:rsid w:val="009B5984"/>
    <w:rsid w:val="009B603A"/>
    <w:rsid w:val="009B7A35"/>
    <w:rsid w:val="009C2D0E"/>
    <w:rsid w:val="009C3DAC"/>
    <w:rsid w:val="009C3E61"/>
    <w:rsid w:val="009C42E0"/>
    <w:rsid w:val="009D1149"/>
    <w:rsid w:val="009D306F"/>
    <w:rsid w:val="009D311C"/>
    <w:rsid w:val="009D4A4E"/>
    <w:rsid w:val="009D4B39"/>
    <w:rsid w:val="009D5362"/>
    <w:rsid w:val="009D6118"/>
    <w:rsid w:val="009D7606"/>
    <w:rsid w:val="009E04FB"/>
    <w:rsid w:val="009E1415"/>
    <w:rsid w:val="009E28D8"/>
    <w:rsid w:val="009E52F8"/>
    <w:rsid w:val="009E588A"/>
    <w:rsid w:val="009E6116"/>
    <w:rsid w:val="009E74ED"/>
    <w:rsid w:val="009F28AE"/>
    <w:rsid w:val="009F635D"/>
    <w:rsid w:val="009F6D07"/>
    <w:rsid w:val="009F7402"/>
    <w:rsid w:val="00A02E43"/>
    <w:rsid w:val="00A038E0"/>
    <w:rsid w:val="00A04BAE"/>
    <w:rsid w:val="00A065F9"/>
    <w:rsid w:val="00A06AF5"/>
    <w:rsid w:val="00A07F34"/>
    <w:rsid w:val="00A104CE"/>
    <w:rsid w:val="00A12384"/>
    <w:rsid w:val="00A12BC6"/>
    <w:rsid w:val="00A12DCD"/>
    <w:rsid w:val="00A20244"/>
    <w:rsid w:val="00A22040"/>
    <w:rsid w:val="00A22087"/>
    <w:rsid w:val="00A22154"/>
    <w:rsid w:val="00A233E7"/>
    <w:rsid w:val="00A236FF"/>
    <w:rsid w:val="00A24D71"/>
    <w:rsid w:val="00A25C38"/>
    <w:rsid w:val="00A30CD3"/>
    <w:rsid w:val="00A31AC1"/>
    <w:rsid w:val="00A31FFF"/>
    <w:rsid w:val="00A32168"/>
    <w:rsid w:val="00A3354D"/>
    <w:rsid w:val="00A34786"/>
    <w:rsid w:val="00A36799"/>
    <w:rsid w:val="00A36BBE"/>
    <w:rsid w:val="00A410B8"/>
    <w:rsid w:val="00A4267C"/>
    <w:rsid w:val="00A4307A"/>
    <w:rsid w:val="00A46A16"/>
    <w:rsid w:val="00A47EBB"/>
    <w:rsid w:val="00A5116E"/>
    <w:rsid w:val="00A517A5"/>
    <w:rsid w:val="00A51CDD"/>
    <w:rsid w:val="00A529C6"/>
    <w:rsid w:val="00A55D18"/>
    <w:rsid w:val="00A568F9"/>
    <w:rsid w:val="00A573C1"/>
    <w:rsid w:val="00A57A31"/>
    <w:rsid w:val="00A60440"/>
    <w:rsid w:val="00A62401"/>
    <w:rsid w:val="00A6596D"/>
    <w:rsid w:val="00A6730D"/>
    <w:rsid w:val="00A71625"/>
    <w:rsid w:val="00A71B9B"/>
    <w:rsid w:val="00A73310"/>
    <w:rsid w:val="00A74B1D"/>
    <w:rsid w:val="00A751C7"/>
    <w:rsid w:val="00A76BC5"/>
    <w:rsid w:val="00A81310"/>
    <w:rsid w:val="00A8243E"/>
    <w:rsid w:val="00A83678"/>
    <w:rsid w:val="00A86A1C"/>
    <w:rsid w:val="00A86AEE"/>
    <w:rsid w:val="00A87844"/>
    <w:rsid w:val="00A90147"/>
    <w:rsid w:val="00A901CD"/>
    <w:rsid w:val="00A917E6"/>
    <w:rsid w:val="00AA038C"/>
    <w:rsid w:val="00AA3979"/>
    <w:rsid w:val="00AA64CA"/>
    <w:rsid w:val="00AA7A09"/>
    <w:rsid w:val="00AB3B50"/>
    <w:rsid w:val="00AB3F61"/>
    <w:rsid w:val="00AB534F"/>
    <w:rsid w:val="00AB7B39"/>
    <w:rsid w:val="00AC05B1"/>
    <w:rsid w:val="00AC2D08"/>
    <w:rsid w:val="00AC5590"/>
    <w:rsid w:val="00AC667E"/>
    <w:rsid w:val="00AD356C"/>
    <w:rsid w:val="00AD360B"/>
    <w:rsid w:val="00AE1345"/>
    <w:rsid w:val="00AE1693"/>
    <w:rsid w:val="00AE2280"/>
    <w:rsid w:val="00AE2914"/>
    <w:rsid w:val="00AE52C9"/>
    <w:rsid w:val="00AE6D15"/>
    <w:rsid w:val="00AE7E19"/>
    <w:rsid w:val="00AF084A"/>
    <w:rsid w:val="00AF1A8A"/>
    <w:rsid w:val="00AF1D6F"/>
    <w:rsid w:val="00AF477C"/>
    <w:rsid w:val="00AF767E"/>
    <w:rsid w:val="00B01298"/>
    <w:rsid w:val="00B02B84"/>
    <w:rsid w:val="00B03EFF"/>
    <w:rsid w:val="00B04182"/>
    <w:rsid w:val="00B04550"/>
    <w:rsid w:val="00B04A69"/>
    <w:rsid w:val="00B07AE3"/>
    <w:rsid w:val="00B10019"/>
    <w:rsid w:val="00B11430"/>
    <w:rsid w:val="00B1298E"/>
    <w:rsid w:val="00B152A8"/>
    <w:rsid w:val="00B21083"/>
    <w:rsid w:val="00B2118E"/>
    <w:rsid w:val="00B21F0D"/>
    <w:rsid w:val="00B2466E"/>
    <w:rsid w:val="00B26058"/>
    <w:rsid w:val="00B260AE"/>
    <w:rsid w:val="00B263B5"/>
    <w:rsid w:val="00B27559"/>
    <w:rsid w:val="00B30147"/>
    <w:rsid w:val="00B342C0"/>
    <w:rsid w:val="00B34EA7"/>
    <w:rsid w:val="00B35193"/>
    <w:rsid w:val="00B353EB"/>
    <w:rsid w:val="00B35ED5"/>
    <w:rsid w:val="00B36143"/>
    <w:rsid w:val="00B405DE"/>
    <w:rsid w:val="00B40E34"/>
    <w:rsid w:val="00B41A9E"/>
    <w:rsid w:val="00B42425"/>
    <w:rsid w:val="00B439C4"/>
    <w:rsid w:val="00B44392"/>
    <w:rsid w:val="00B4535E"/>
    <w:rsid w:val="00B46B47"/>
    <w:rsid w:val="00B479AC"/>
    <w:rsid w:val="00B47D8D"/>
    <w:rsid w:val="00B50B20"/>
    <w:rsid w:val="00B50F17"/>
    <w:rsid w:val="00B50F89"/>
    <w:rsid w:val="00B52A8C"/>
    <w:rsid w:val="00B52FA6"/>
    <w:rsid w:val="00B53A73"/>
    <w:rsid w:val="00B54C85"/>
    <w:rsid w:val="00B54E6A"/>
    <w:rsid w:val="00B551D3"/>
    <w:rsid w:val="00B601FA"/>
    <w:rsid w:val="00B636A8"/>
    <w:rsid w:val="00B66484"/>
    <w:rsid w:val="00B665C6"/>
    <w:rsid w:val="00B70571"/>
    <w:rsid w:val="00B733C6"/>
    <w:rsid w:val="00B73627"/>
    <w:rsid w:val="00B73675"/>
    <w:rsid w:val="00B7394E"/>
    <w:rsid w:val="00B76751"/>
    <w:rsid w:val="00B802B4"/>
    <w:rsid w:val="00B805AF"/>
    <w:rsid w:val="00B83A0D"/>
    <w:rsid w:val="00B869EC"/>
    <w:rsid w:val="00B86ACB"/>
    <w:rsid w:val="00B8782C"/>
    <w:rsid w:val="00B9112B"/>
    <w:rsid w:val="00B9397A"/>
    <w:rsid w:val="00B93E0A"/>
    <w:rsid w:val="00B960DA"/>
    <w:rsid w:val="00B9633D"/>
    <w:rsid w:val="00B9726D"/>
    <w:rsid w:val="00BA1E81"/>
    <w:rsid w:val="00BA1ED6"/>
    <w:rsid w:val="00BA2EBE"/>
    <w:rsid w:val="00BA36AE"/>
    <w:rsid w:val="00BA4A08"/>
    <w:rsid w:val="00BA5D0C"/>
    <w:rsid w:val="00BB0F28"/>
    <w:rsid w:val="00BB229B"/>
    <w:rsid w:val="00BB292A"/>
    <w:rsid w:val="00BB2B32"/>
    <w:rsid w:val="00BB2DB7"/>
    <w:rsid w:val="00BB3D64"/>
    <w:rsid w:val="00BB458A"/>
    <w:rsid w:val="00BB48FE"/>
    <w:rsid w:val="00BB5647"/>
    <w:rsid w:val="00BB5E92"/>
    <w:rsid w:val="00BB637D"/>
    <w:rsid w:val="00BC0068"/>
    <w:rsid w:val="00BC0AFA"/>
    <w:rsid w:val="00BC143D"/>
    <w:rsid w:val="00BC26C5"/>
    <w:rsid w:val="00BC4323"/>
    <w:rsid w:val="00BC456D"/>
    <w:rsid w:val="00BC7349"/>
    <w:rsid w:val="00BD00D3"/>
    <w:rsid w:val="00BD03E8"/>
    <w:rsid w:val="00BD12CB"/>
    <w:rsid w:val="00BD12CE"/>
    <w:rsid w:val="00BD1659"/>
    <w:rsid w:val="00BD3AA9"/>
    <w:rsid w:val="00BD4A18"/>
    <w:rsid w:val="00BD4E95"/>
    <w:rsid w:val="00BD5098"/>
    <w:rsid w:val="00BD5398"/>
    <w:rsid w:val="00BD5611"/>
    <w:rsid w:val="00BD6DB2"/>
    <w:rsid w:val="00BE11CF"/>
    <w:rsid w:val="00BE21AB"/>
    <w:rsid w:val="00BE241F"/>
    <w:rsid w:val="00BE3D6D"/>
    <w:rsid w:val="00BE53B0"/>
    <w:rsid w:val="00BE55CB"/>
    <w:rsid w:val="00BE7C78"/>
    <w:rsid w:val="00BF004E"/>
    <w:rsid w:val="00BF0568"/>
    <w:rsid w:val="00BF1F93"/>
    <w:rsid w:val="00BF3B8E"/>
    <w:rsid w:val="00BF57C1"/>
    <w:rsid w:val="00BF5BF8"/>
    <w:rsid w:val="00BF617A"/>
    <w:rsid w:val="00C01F4A"/>
    <w:rsid w:val="00C025A6"/>
    <w:rsid w:val="00C02FAE"/>
    <w:rsid w:val="00C03482"/>
    <w:rsid w:val="00C0379D"/>
    <w:rsid w:val="00C03931"/>
    <w:rsid w:val="00C05BD7"/>
    <w:rsid w:val="00C05E87"/>
    <w:rsid w:val="00C05FE3"/>
    <w:rsid w:val="00C0793E"/>
    <w:rsid w:val="00C11BA8"/>
    <w:rsid w:val="00C1286E"/>
    <w:rsid w:val="00C15C18"/>
    <w:rsid w:val="00C20648"/>
    <w:rsid w:val="00C20A7F"/>
    <w:rsid w:val="00C20EAC"/>
    <w:rsid w:val="00C2136D"/>
    <w:rsid w:val="00C214EE"/>
    <w:rsid w:val="00C21992"/>
    <w:rsid w:val="00C21F58"/>
    <w:rsid w:val="00C2314B"/>
    <w:rsid w:val="00C2320C"/>
    <w:rsid w:val="00C24971"/>
    <w:rsid w:val="00C2628B"/>
    <w:rsid w:val="00C26BE5"/>
    <w:rsid w:val="00C26E4D"/>
    <w:rsid w:val="00C27909"/>
    <w:rsid w:val="00C27B03"/>
    <w:rsid w:val="00C27BA1"/>
    <w:rsid w:val="00C3109F"/>
    <w:rsid w:val="00C314E1"/>
    <w:rsid w:val="00C32A7A"/>
    <w:rsid w:val="00C336E3"/>
    <w:rsid w:val="00C34397"/>
    <w:rsid w:val="00C35BF6"/>
    <w:rsid w:val="00C4095D"/>
    <w:rsid w:val="00C45886"/>
    <w:rsid w:val="00C46187"/>
    <w:rsid w:val="00C471A7"/>
    <w:rsid w:val="00C47B51"/>
    <w:rsid w:val="00C542C4"/>
    <w:rsid w:val="00C5470F"/>
    <w:rsid w:val="00C54755"/>
    <w:rsid w:val="00C55016"/>
    <w:rsid w:val="00C550CE"/>
    <w:rsid w:val="00C56589"/>
    <w:rsid w:val="00C576DD"/>
    <w:rsid w:val="00C601D2"/>
    <w:rsid w:val="00C612FD"/>
    <w:rsid w:val="00C61FB3"/>
    <w:rsid w:val="00C632FA"/>
    <w:rsid w:val="00C6482A"/>
    <w:rsid w:val="00C65661"/>
    <w:rsid w:val="00C65BCC"/>
    <w:rsid w:val="00C66970"/>
    <w:rsid w:val="00C7001B"/>
    <w:rsid w:val="00C703C4"/>
    <w:rsid w:val="00C73D6F"/>
    <w:rsid w:val="00C73F82"/>
    <w:rsid w:val="00C7497E"/>
    <w:rsid w:val="00C74DAE"/>
    <w:rsid w:val="00C77565"/>
    <w:rsid w:val="00C77938"/>
    <w:rsid w:val="00C82E3C"/>
    <w:rsid w:val="00C85774"/>
    <w:rsid w:val="00C8691C"/>
    <w:rsid w:val="00C87458"/>
    <w:rsid w:val="00C87E74"/>
    <w:rsid w:val="00C904C2"/>
    <w:rsid w:val="00C9589A"/>
    <w:rsid w:val="00C96025"/>
    <w:rsid w:val="00CA08E9"/>
    <w:rsid w:val="00CA09AB"/>
    <w:rsid w:val="00CA12FB"/>
    <w:rsid w:val="00CA168A"/>
    <w:rsid w:val="00CA1F78"/>
    <w:rsid w:val="00CA21C9"/>
    <w:rsid w:val="00CA25E6"/>
    <w:rsid w:val="00CA271A"/>
    <w:rsid w:val="00CA34E3"/>
    <w:rsid w:val="00CA357E"/>
    <w:rsid w:val="00CA39EF"/>
    <w:rsid w:val="00CA44F9"/>
    <w:rsid w:val="00CA49AF"/>
    <w:rsid w:val="00CA4A69"/>
    <w:rsid w:val="00CA51BF"/>
    <w:rsid w:val="00CB13C9"/>
    <w:rsid w:val="00CB17DF"/>
    <w:rsid w:val="00CB1B2C"/>
    <w:rsid w:val="00CB1EDB"/>
    <w:rsid w:val="00CB2502"/>
    <w:rsid w:val="00CB2A3C"/>
    <w:rsid w:val="00CB4C2A"/>
    <w:rsid w:val="00CB589B"/>
    <w:rsid w:val="00CB739E"/>
    <w:rsid w:val="00CB7A76"/>
    <w:rsid w:val="00CC3E0C"/>
    <w:rsid w:val="00CC58D3"/>
    <w:rsid w:val="00CC608B"/>
    <w:rsid w:val="00CC784D"/>
    <w:rsid w:val="00CD06B1"/>
    <w:rsid w:val="00CD0C57"/>
    <w:rsid w:val="00CD0D00"/>
    <w:rsid w:val="00CD17E7"/>
    <w:rsid w:val="00CD22BD"/>
    <w:rsid w:val="00CD2F90"/>
    <w:rsid w:val="00CD7059"/>
    <w:rsid w:val="00CE16B6"/>
    <w:rsid w:val="00CE1983"/>
    <w:rsid w:val="00CE23E9"/>
    <w:rsid w:val="00CE2CD3"/>
    <w:rsid w:val="00CE4E3B"/>
    <w:rsid w:val="00CE63B1"/>
    <w:rsid w:val="00CE6850"/>
    <w:rsid w:val="00CE69E7"/>
    <w:rsid w:val="00CE7F43"/>
    <w:rsid w:val="00CF1385"/>
    <w:rsid w:val="00CF5009"/>
    <w:rsid w:val="00D005AB"/>
    <w:rsid w:val="00D00E5E"/>
    <w:rsid w:val="00D02317"/>
    <w:rsid w:val="00D0337B"/>
    <w:rsid w:val="00D04A29"/>
    <w:rsid w:val="00D04A40"/>
    <w:rsid w:val="00D058F6"/>
    <w:rsid w:val="00D05C4A"/>
    <w:rsid w:val="00D06620"/>
    <w:rsid w:val="00D079B2"/>
    <w:rsid w:val="00D07F24"/>
    <w:rsid w:val="00D10C45"/>
    <w:rsid w:val="00D10F79"/>
    <w:rsid w:val="00D114E9"/>
    <w:rsid w:val="00D11A16"/>
    <w:rsid w:val="00D12128"/>
    <w:rsid w:val="00D13C7E"/>
    <w:rsid w:val="00D141A0"/>
    <w:rsid w:val="00D155C3"/>
    <w:rsid w:val="00D15933"/>
    <w:rsid w:val="00D168F6"/>
    <w:rsid w:val="00D16E36"/>
    <w:rsid w:val="00D225F8"/>
    <w:rsid w:val="00D2387F"/>
    <w:rsid w:val="00D23E9C"/>
    <w:rsid w:val="00D24D4B"/>
    <w:rsid w:val="00D25E0A"/>
    <w:rsid w:val="00D26C60"/>
    <w:rsid w:val="00D26F70"/>
    <w:rsid w:val="00D27361"/>
    <w:rsid w:val="00D27856"/>
    <w:rsid w:val="00D27AC9"/>
    <w:rsid w:val="00D302DF"/>
    <w:rsid w:val="00D317AA"/>
    <w:rsid w:val="00D3383B"/>
    <w:rsid w:val="00D364B0"/>
    <w:rsid w:val="00D369AD"/>
    <w:rsid w:val="00D369CE"/>
    <w:rsid w:val="00D40771"/>
    <w:rsid w:val="00D429C6"/>
    <w:rsid w:val="00D45B17"/>
    <w:rsid w:val="00D46254"/>
    <w:rsid w:val="00D46794"/>
    <w:rsid w:val="00D47249"/>
    <w:rsid w:val="00D47748"/>
    <w:rsid w:val="00D54CC3"/>
    <w:rsid w:val="00D56570"/>
    <w:rsid w:val="00D57F27"/>
    <w:rsid w:val="00D57FC2"/>
    <w:rsid w:val="00D6041A"/>
    <w:rsid w:val="00D61B29"/>
    <w:rsid w:val="00D6334E"/>
    <w:rsid w:val="00D633EB"/>
    <w:rsid w:val="00D636A7"/>
    <w:rsid w:val="00D648D7"/>
    <w:rsid w:val="00D6554D"/>
    <w:rsid w:val="00D65886"/>
    <w:rsid w:val="00D707F0"/>
    <w:rsid w:val="00D711BF"/>
    <w:rsid w:val="00D71AB4"/>
    <w:rsid w:val="00D7201E"/>
    <w:rsid w:val="00D747D8"/>
    <w:rsid w:val="00D76540"/>
    <w:rsid w:val="00D80371"/>
    <w:rsid w:val="00D815F0"/>
    <w:rsid w:val="00D82FF7"/>
    <w:rsid w:val="00D83DDF"/>
    <w:rsid w:val="00D847FE"/>
    <w:rsid w:val="00D854AA"/>
    <w:rsid w:val="00D858A7"/>
    <w:rsid w:val="00D85DFD"/>
    <w:rsid w:val="00D86C8B"/>
    <w:rsid w:val="00D86F0E"/>
    <w:rsid w:val="00D873D8"/>
    <w:rsid w:val="00D93810"/>
    <w:rsid w:val="00D95ADF"/>
    <w:rsid w:val="00D964EA"/>
    <w:rsid w:val="00D966D0"/>
    <w:rsid w:val="00D9720A"/>
    <w:rsid w:val="00DA0838"/>
    <w:rsid w:val="00DA0C59"/>
    <w:rsid w:val="00DA1E84"/>
    <w:rsid w:val="00DA23D5"/>
    <w:rsid w:val="00DA3991"/>
    <w:rsid w:val="00DA4F20"/>
    <w:rsid w:val="00DA560A"/>
    <w:rsid w:val="00DA75F2"/>
    <w:rsid w:val="00DB2826"/>
    <w:rsid w:val="00DB2A94"/>
    <w:rsid w:val="00DB3311"/>
    <w:rsid w:val="00DB364F"/>
    <w:rsid w:val="00DB7250"/>
    <w:rsid w:val="00DB7E6C"/>
    <w:rsid w:val="00DC0595"/>
    <w:rsid w:val="00DC4320"/>
    <w:rsid w:val="00DC5BDA"/>
    <w:rsid w:val="00DD141E"/>
    <w:rsid w:val="00DD2D22"/>
    <w:rsid w:val="00DD3986"/>
    <w:rsid w:val="00DD3A2C"/>
    <w:rsid w:val="00DD4DB2"/>
    <w:rsid w:val="00DD5A29"/>
    <w:rsid w:val="00DD5D9D"/>
    <w:rsid w:val="00DD5DE9"/>
    <w:rsid w:val="00DD70C7"/>
    <w:rsid w:val="00DD78CD"/>
    <w:rsid w:val="00DE2A2D"/>
    <w:rsid w:val="00DE2A79"/>
    <w:rsid w:val="00DE3486"/>
    <w:rsid w:val="00DE35CB"/>
    <w:rsid w:val="00DE3B4E"/>
    <w:rsid w:val="00DE55B6"/>
    <w:rsid w:val="00DE5A2B"/>
    <w:rsid w:val="00DF0537"/>
    <w:rsid w:val="00DF0E9C"/>
    <w:rsid w:val="00DF21E9"/>
    <w:rsid w:val="00DF2A0B"/>
    <w:rsid w:val="00DF2FCE"/>
    <w:rsid w:val="00DF3486"/>
    <w:rsid w:val="00DF3C8E"/>
    <w:rsid w:val="00DF434E"/>
    <w:rsid w:val="00DF6BAF"/>
    <w:rsid w:val="00DF6E60"/>
    <w:rsid w:val="00DF6EF5"/>
    <w:rsid w:val="00E006F2"/>
    <w:rsid w:val="00E00DBA"/>
    <w:rsid w:val="00E00F14"/>
    <w:rsid w:val="00E012AF"/>
    <w:rsid w:val="00E013DD"/>
    <w:rsid w:val="00E02108"/>
    <w:rsid w:val="00E02BCA"/>
    <w:rsid w:val="00E030AF"/>
    <w:rsid w:val="00E036DA"/>
    <w:rsid w:val="00E03860"/>
    <w:rsid w:val="00E050BD"/>
    <w:rsid w:val="00E06386"/>
    <w:rsid w:val="00E06A02"/>
    <w:rsid w:val="00E06F1F"/>
    <w:rsid w:val="00E11D4B"/>
    <w:rsid w:val="00E1281B"/>
    <w:rsid w:val="00E133A9"/>
    <w:rsid w:val="00E13C87"/>
    <w:rsid w:val="00E14EA2"/>
    <w:rsid w:val="00E16CB9"/>
    <w:rsid w:val="00E227AD"/>
    <w:rsid w:val="00E24EB4"/>
    <w:rsid w:val="00E25BB5"/>
    <w:rsid w:val="00E30067"/>
    <w:rsid w:val="00E31545"/>
    <w:rsid w:val="00E31DE8"/>
    <w:rsid w:val="00E320ED"/>
    <w:rsid w:val="00E33AFB"/>
    <w:rsid w:val="00E34071"/>
    <w:rsid w:val="00E34218"/>
    <w:rsid w:val="00E359F1"/>
    <w:rsid w:val="00E4048D"/>
    <w:rsid w:val="00E4144A"/>
    <w:rsid w:val="00E419F9"/>
    <w:rsid w:val="00E4387F"/>
    <w:rsid w:val="00E43B86"/>
    <w:rsid w:val="00E44E58"/>
    <w:rsid w:val="00E46282"/>
    <w:rsid w:val="00E478A5"/>
    <w:rsid w:val="00E51E09"/>
    <w:rsid w:val="00E5216E"/>
    <w:rsid w:val="00E52AB5"/>
    <w:rsid w:val="00E5482C"/>
    <w:rsid w:val="00E54DC9"/>
    <w:rsid w:val="00E558B6"/>
    <w:rsid w:val="00E558D3"/>
    <w:rsid w:val="00E569CC"/>
    <w:rsid w:val="00E56B7D"/>
    <w:rsid w:val="00E56F59"/>
    <w:rsid w:val="00E61910"/>
    <w:rsid w:val="00E62F81"/>
    <w:rsid w:val="00E6400A"/>
    <w:rsid w:val="00E66C59"/>
    <w:rsid w:val="00E71171"/>
    <w:rsid w:val="00E71187"/>
    <w:rsid w:val="00E74792"/>
    <w:rsid w:val="00E76C65"/>
    <w:rsid w:val="00E80660"/>
    <w:rsid w:val="00E80690"/>
    <w:rsid w:val="00E81166"/>
    <w:rsid w:val="00E82344"/>
    <w:rsid w:val="00E84411"/>
    <w:rsid w:val="00E84C82"/>
    <w:rsid w:val="00E84D64"/>
    <w:rsid w:val="00E85872"/>
    <w:rsid w:val="00E85D1A"/>
    <w:rsid w:val="00E86F35"/>
    <w:rsid w:val="00E873BA"/>
    <w:rsid w:val="00E87408"/>
    <w:rsid w:val="00E877F9"/>
    <w:rsid w:val="00E90867"/>
    <w:rsid w:val="00E911AF"/>
    <w:rsid w:val="00E912D7"/>
    <w:rsid w:val="00E914C4"/>
    <w:rsid w:val="00E934F5"/>
    <w:rsid w:val="00E950E3"/>
    <w:rsid w:val="00E965A9"/>
    <w:rsid w:val="00E96961"/>
    <w:rsid w:val="00E975F1"/>
    <w:rsid w:val="00E97C7B"/>
    <w:rsid w:val="00EA17ED"/>
    <w:rsid w:val="00EA1AFF"/>
    <w:rsid w:val="00EA25BC"/>
    <w:rsid w:val="00EA373D"/>
    <w:rsid w:val="00EA72EC"/>
    <w:rsid w:val="00EA7B55"/>
    <w:rsid w:val="00EB082D"/>
    <w:rsid w:val="00EB0B8F"/>
    <w:rsid w:val="00EB11CB"/>
    <w:rsid w:val="00EB247A"/>
    <w:rsid w:val="00EB275A"/>
    <w:rsid w:val="00EB533E"/>
    <w:rsid w:val="00EB56F0"/>
    <w:rsid w:val="00EB786A"/>
    <w:rsid w:val="00EB7A6C"/>
    <w:rsid w:val="00EC02B3"/>
    <w:rsid w:val="00EC11A3"/>
    <w:rsid w:val="00EC1438"/>
    <w:rsid w:val="00EC1578"/>
    <w:rsid w:val="00EC1C72"/>
    <w:rsid w:val="00EC37EB"/>
    <w:rsid w:val="00EC3CC9"/>
    <w:rsid w:val="00EC3DA1"/>
    <w:rsid w:val="00EC47A7"/>
    <w:rsid w:val="00EC680A"/>
    <w:rsid w:val="00EC7466"/>
    <w:rsid w:val="00ED0A88"/>
    <w:rsid w:val="00ED15BD"/>
    <w:rsid w:val="00ED1771"/>
    <w:rsid w:val="00ED2201"/>
    <w:rsid w:val="00ED411C"/>
    <w:rsid w:val="00EE197F"/>
    <w:rsid w:val="00EE1D73"/>
    <w:rsid w:val="00EE2BED"/>
    <w:rsid w:val="00EE3117"/>
    <w:rsid w:val="00EE374B"/>
    <w:rsid w:val="00EF1125"/>
    <w:rsid w:val="00EF1DB3"/>
    <w:rsid w:val="00EF1F2D"/>
    <w:rsid w:val="00EF3D6B"/>
    <w:rsid w:val="00EF4B52"/>
    <w:rsid w:val="00EF746B"/>
    <w:rsid w:val="00F01E3C"/>
    <w:rsid w:val="00F03669"/>
    <w:rsid w:val="00F036C8"/>
    <w:rsid w:val="00F047EB"/>
    <w:rsid w:val="00F1003F"/>
    <w:rsid w:val="00F10911"/>
    <w:rsid w:val="00F10DE1"/>
    <w:rsid w:val="00F11485"/>
    <w:rsid w:val="00F11624"/>
    <w:rsid w:val="00F11BB5"/>
    <w:rsid w:val="00F12010"/>
    <w:rsid w:val="00F139C4"/>
    <w:rsid w:val="00F1417B"/>
    <w:rsid w:val="00F1439B"/>
    <w:rsid w:val="00F15E7B"/>
    <w:rsid w:val="00F161BB"/>
    <w:rsid w:val="00F20593"/>
    <w:rsid w:val="00F21126"/>
    <w:rsid w:val="00F23DEF"/>
    <w:rsid w:val="00F25C30"/>
    <w:rsid w:val="00F266AD"/>
    <w:rsid w:val="00F276E1"/>
    <w:rsid w:val="00F313FA"/>
    <w:rsid w:val="00F3328D"/>
    <w:rsid w:val="00F346C1"/>
    <w:rsid w:val="00F34B99"/>
    <w:rsid w:val="00F35975"/>
    <w:rsid w:val="00F364E7"/>
    <w:rsid w:val="00F373B2"/>
    <w:rsid w:val="00F40C63"/>
    <w:rsid w:val="00F41309"/>
    <w:rsid w:val="00F416C9"/>
    <w:rsid w:val="00F41D66"/>
    <w:rsid w:val="00F426F0"/>
    <w:rsid w:val="00F44E4E"/>
    <w:rsid w:val="00F50A2D"/>
    <w:rsid w:val="00F5283F"/>
    <w:rsid w:val="00F52DAB"/>
    <w:rsid w:val="00F541AF"/>
    <w:rsid w:val="00F543F0"/>
    <w:rsid w:val="00F55832"/>
    <w:rsid w:val="00F57610"/>
    <w:rsid w:val="00F57616"/>
    <w:rsid w:val="00F61805"/>
    <w:rsid w:val="00F62322"/>
    <w:rsid w:val="00F66AE6"/>
    <w:rsid w:val="00F70986"/>
    <w:rsid w:val="00F7268F"/>
    <w:rsid w:val="00F7515B"/>
    <w:rsid w:val="00F764A8"/>
    <w:rsid w:val="00F7705A"/>
    <w:rsid w:val="00F81D29"/>
    <w:rsid w:val="00F84FB3"/>
    <w:rsid w:val="00F8560C"/>
    <w:rsid w:val="00F86593"/>
    <w:rsid w:val="00F866F6"/>
    <w:rsid w:val="00F87142"/>
    <w:rsid w:val="00F87C50"/>
    <w:rsid w:val="00F911FC"/>
    <w:rsid w:val="00F913EA"/>
    <w:rsid w:val="00F91C4D"/>
    <w:rsid w:val="00F92FD9"/>
    <w:rsid w:val="00F93BCB"/>
    <w:rsid w:val="00F94308"/>
    <w:rsid w:val="00F979E8"/>
    <w:rsid w:val="00F97F51"/>
    <w:rsid w:val="00FA0964"/>
    <w:rsid w:val="00FA27BC"/>
    <w:rsid w:val="00FA37B0"/>
    <w:rsid w:val="00FA3E8B"/>
    <w:rsid w:val="00FA656E"/>
    <w:rsid w:val="00FA6684"/>
    <w:rsid w:val="00FA7242"/>
    <w:rsid w:val="00FA731E"/>
    <w:rsid w:val="00FA7801"/>
    <w:rsid w:val="00FA7BDD"/>
    <w:rsid w:val="00FB1555"/>
    <w:rsid w:val="00FB1637"/>
    <w:rsid w:val="00FB1EB9"/>
    <w:rsid w:val="00FB28D7"/>
    <w:rsid w:val="00FB2B38"/>
    <w:rsid w:val="00FB49BB"/>
    <w:rsid w:val="00FB50BB"/>
    <w:rsid w:val="00FB5F29"/>
    <w:rsid w:val="00FC3C83"/>
    <w:rsid w:val="00FC6358"/>
    <w:rsid w:val="00FC707F"/>
    <w:rsid w:val="00FD2663"/>
    <w:rsid w:val="00FD320D"/>
    <w:rsid w:val="00FD42F6"/>
    <w:rsid w:val="00FD650A"/>
    <w:rsid w:val="00FD6A10"/>
    <w:rsid w:val="00FD6DC5"/>
    <w:rsid w:val="00FE053C"/>
    <w:rsid w:val="00FE182A"/>
    <w:rsid w:val="00FE2306"/>
    <w:rsid w:val="00FE23DE"/>
    <w:rsid w:val="00FE2CE0"/>
    <w:rsid w:val="00FE5CB1"/>
    <w:rsid w:val="00FE62F8"/>
    <w:rsid w:val="00FE7868"/>
    <w:rsid w:val="00FF3871"/>
    <w:rsid w:val="00FF536B"/>
    <w:rsid w:val="00FF5B5A"/>
    <w:rsid w:val="00FF663C"/>
    <w:rsid w:val="00FF757D"/>
    <w:rsid w:val="00FF786B"/>
    <w:rsid w:val="012D0134"/>
    <w:rsid w:val="017E6AD3"/>
    <w:rsid w:val="01A622F0"/>
    <w:rsid w:val="01CC7417"/>
    <w:rsid w:val="0318438B"/>
    <w:rsid w:val="037C58A6"/>
    <w:rsid w:val="045D527D"/>
    <w:rsid w:val="048D559B"/>
    <w:rsid w:val="05231593"/>
    <w:rsid w:val="055B42CE"/>
    <w:rsid w:val="05794FDF"/>
    <w:rsid w:val="05B47CD3"/>
    <w:rsid w:val="05BB5AAB"/>
    <w:rsid w:val="05DF7570"/>
    <w:rsid w:val="065A0A5C"/>
    <w:rsid w:val="06A63C71"/>
    <w:rsid w:val="070A09C8"/>
    <w:rsid w:val="0740241A"/>
    <w:rsid w:val="07C907C7"/>
    <w:rsid w:val="09184D44"/>
    <w:rsid w:val="09607369"/>
    <w:rsid w:val="098A5BA8"/>
    <w:rsid w:val="099944BA"/>
    <w:rsid w:val="09E36934"/>
    <w:rsid w:val="0A746F39"/>
    <w:rsid w:val="0B234F31"/>
    <w:rsid w:val="0BD95EB2"/>
    <w:rsid w:val="0BFF7873"/>
    <w:rsid w:val="0C0174B3"/>
    <w:rsid w:val="0C0C4628"/>
    <w:rsid w:val="0C4C1E34"/>
    <w:rsid w:val="0C6A6A0C"/>
    <w:rsid w:val="0DE45BDF"/>
    <w:rsid w:val="0DF5500B"/>
    <w:rsid w:val="0DFC1E1E"/>
    <w:rsid w:val="0E63041C"/>
    <w:rsid w:val="0E8D7ACF"/>
    <w:rsid w:val="0EAE6090"/>
    <w:rsid w:val="0F0D35AD"/>
    <w:rsid w:val="0F594146"/>
    <w:rsid w:val="0F59572D"/>
    <w:rsid w:val="0F6070F6"/>
    <w:rsid w:val="0F7F2C14"/>
    <w:rsid w:val="0F8055AE"/>
    <w:rsid w:val="0FAB0BC1"/>
    <w:rsid w:val="0FB220E0"/>
    <w:rsid w:val="1002006C"/>
    <w:rsid w:val="102B1EE9"/>
    <w:rsid w:val="10943A1C"/>
    <w:rsid w:val="11451CB7"/>
    <w:rsid w:val="11710BC6"/>
    <w:rsid w:val="12DD1A17"/>
    <w:rsid w:val="13735B6B"/>
    <w:rsid w:val="13F64655"/>
    <w:rsid w:val="142B25CF"/>
    <w:rsid w:val="145E12D5"/>
    <w:rsid w:val="14647614"/>
    <w:rsid w:val="14B86D0D"/>
    <w:rsid w:val="14C47A29"/>
    <w:rsid w:val="159E5712"/>
    <w:rsid w:val="16224EC6"/>
    <w:rsid w:val="168B6260"/>
    <w:rsid w:val="16900B8E"/>
    <w:rsid w:val="16BD5408"/>
    <w:rsid w:val="172945DD"/>
    <w:rsid w:val="174255C4"/>
    <w:rsid w:val="1885111B"/>
    <w:rsid w:val="19075D21"/>
    <w:rsid w:val="197A3EA4"/>
    <w:rsid w:val="19972F90"/>
    <w:rsid w:val="19C3310D"/>
    <w:rsid w:val="19D9315D"/>
    <w:rsid w:val="1A1C543C"/>
    <w:rsid w:val="1A8955F0"/>
    <w:rsid w:val="1B7650B8"/>
    <w:rsid w:val="1C3168B4"/>
    <w:rsid w:val="1C3C61F7"/>
    <w:rsid w:val="1C3D0576"/>
    <w:rsid w:val="1C8267B1"/>
    <w:rsid w:val="1CFD38FD"/>
    <w:rsid w:val="1D220153"/>
    <w:rsid w:val="1D791A11"/>
    <w:rsid w:val="1E1677B2"/>
    <w:rsid w:val="1EB57DE6"/>
    <w:rsid w:val="1EB859C8"/>
    <w:rsid w:val="1EC31D43"/>
    <w:rsid w:val="1EFD4CC4"/>
    <w:rsid w:val="1F752046"/>
    <w:rsid w:val="1F766D05"/>
    <w:rsid w:val="1F9F1AD0"/>
    <w:rsid w:val="1FEB6DEA"/>
    <w:rsid w:val="1FF11FCF"/>
    <w:rsid w:val="20317928"/>
    <w:rsid w:val="20FD558B"/>
    <w:rsid w:val="21483F2E"/>
    <w:rsid w:val="219122AD"/>
    <w:rsid w:val="21D10597"/>
    <w:rsid w:val="21F946FF"/>
    <w:rsid w:val="2224673E"/>
    <w:rsid w:val="22251B7B"/>
    <w:rsid w:val="22297D47"/>
    <w:rsid w:val="226C5523"/>
    <w:rsid w:val="226D0039"/>
    <w:rsid w:val="239F740F"/>
    <w:rsid w:val="243570E1"/>
    <w:rsid w:val="24530BF7"/>
    <w:rsid w:val="24963B1D"/>
    <w:rsid w:val="252234BE"/>
    <w:rsid w:val="257674A1"/>
    <w:rsid w:val="257A4CC6"/>
    <w:rsid w:val="25D479FB"/>
    <w:rsid w:val="25D61A5F"/>
    <w:rsid w:val="268B3004"/>
    <w:rsid w:val="26B97ADD"/>
    <w:rsid w:val="274F1834"/>
    <w:rsid w:val="275F63D6"/>
    <w:rsid w:val="281479BF"/>
    <w:rsid w:val="281B4200"/>
    <w:rsid w:val="28AD2424"/>
    <w:rsid w:val="28BE1CA9"/>
    <w:rsid w:val="28EA6677"/>
    <w:rsid w:val="290C5FAC"/>
    <w:rsid w:val="291A6CE4"/>
    <w:rsid w:val="29354E98"/>
    <w:rsid w:val="29CE58C8"/>
    <w:rsid w:val="29FF76C5"/>
    <w:rsid w:val="2A95658D"/>
    <w:rsid w:val="2AD3710C"/>
    <w:rsid w:val="2B8E1053"/>
    <w:rsid w:val="2C360A8E"/>
    <w:rsid w:val="2D1F31FF"/>
    <w:rsid w:val="2D9568CC"/>
    <w:rsid w:val="2E040380"/>
    <w:rsid w:val="2EC07C4B"/>
    <w:rsid w:val="301C0B0F"/>
    <w:rsid w:val="30C9036F"/>
    <w:rsid w:val="30FA7323"/>
    <w:rsid w:val="310F77AB"/>
    <w:rsid w:val="317333DD"/>
    <w:rsid w:val="31755B28"/>
    <w:rsid w:val="31F10388"/>
    <w:rsid w:val="3206781C"/>
    <w:rsid w:val="322856C8"/>
    <w:rsid w:val="32881F6E"/>
    <w:rsid w:val="33A92DFA"/>
    <w:rsid w:val="33C32F2F"/>
    <w:rsid w:val="344C2F14"/>
    <w:rsid w:val="345466A3"/>
    <w:rsid w:val="347F69CA"/>
    <w:rsid w:val="35746E84"/>
    <w:rsid w:val="3585084D"/>
    <w:rsid w:val="358F6C73"/>
    <w:rsid w:val="35E86ED0"/>
    <w:rsid w:val="364A6C5E"/>
    <w:rsid w:val="366356D1"/>
    <w:rsid w:val="36E16EB7"/>
    <w:rsid w:val="36FE7B59"/>
    <w:rsid w:val="37694586"/>
    <w:rsid w:val="378D5B47"/>
    <w:rsid w:val="37AD2F8F"/>
    <w:rsid w:val="37C50A58"/>
    <w:rsid w:val="384F6CFC"/>
    <w:rsid w:val="38AE446D"/>
    <w:rsid w:val="398C4069"/>
    <w:rsid w:val="398E085C"/>
    <w:rsid w:val="399C2829"/>
    <w:rsid w:val="39A3019F"/>
    <w:rsid w:val="39BD3C68"/>
    <w:rsid w:val="39C9057E"/>
    <w:rsid w:val="3A1C012D"/>
    <w:rsid w:val="3A2722A0"/>
    <w:rsid w:val="3A641890"/>
    <w:rsid w:val="3AEF38C6"/>
    <w:rsid w:val="3B5739AD"/>
    <w:rsid w:val="3B5904A4"/>
    <w:rsid w:val="3B6B3D51"/>
    <w:rsid w:val="3BFA2A01"/>
    <w:rsid w:val="3C3E4D32"/>
    <w:rsid w:val="3D443ECA"/>
    <w:rsid w:val="3DC87637"/>
    <w:rsid w:val="3F201A0C"/>
    <w:rsid w:val="3F422687"/>
    <w:rsid w:val="3F6A5904"/>
    <w:rsid w:val="3FD525E7"/>
    <w:rsid w:val="3FF011FE"/>
    <w:rsid w:val="402E0521"/>
    <w:rsid w:val="40764CC7"/>
    <w:rsid w:val="408443F4"/>
    <w:rsid w:val="41051799"/>
    <w:rsid w:val="417D7613"/>
    <w:rsid w:val="41842195"/>
    <w:rsid w:val="41D337DF"/>
    <w:rsid w:val="420810BB"/>
    <w:rsid w:val="426B598A"/>
    <w:rsid w:val="42DB1453"/>
    <w:rsid w:val="42E43541"/>
    <w:rsid w:val="43961B95"/>
    <w:rsid w:val="449F0A3F"/>
    <w:rsid w:val="44A85DD4"/>
    <w:rsid w:val="450B06C7"/>
    <w:rsid w:val="45481959"/>
    <w:rsid w:val="45612036"/>
    <w:rsid w:val="456A74E8"/>
    <w:rsid w:val="45FF7742"/>
    <w:rsid w:val="463B2619"/>
    <w:rsid w:val="46651645"/>
    <w:rsid w:val="466807B9"/>
    <w:rsid w:val="46854836"/>
    <w:rsid w:val="469178EA"/>
    <w:rsid w:val="47A64DF5"/>
    <w:rsid w:val="48295E5D"/>
    <w:rsid w:val="49265F80"/>
    <w:rsid w:val="494C7321"/>
    <w:rsid w:val="4A52300A"/>
    <w:rsid w:val="4AD80F41"/>
    <w:rsid w:val="4B0412F7"/>
    <w:rsid w:val="4B87716D"/>
    <w:rsid w:val="4B8D6675"/>
    <w:rsid w:val="4BAE7A97"/>
    <w:rsid w:val="4BAF64FC"/>
    <w:rsid w:val="4BB71754"/>
    <w:rsid w:val="4BFF465F"/>
    <w:rsid w:val="4C710666"/>
    <w:rsid w:val="4CB357D7"/>
    <w:rsid w:val="4D196294"/>
    <w:rsid w:val="4D252BF9"/>
    <w:rsid w:val="4D56157D"/>
    <w:rsid w:val="4D5706F3"/>
    <w:rsid w:val="4D837EAF"/>
    <w:rsid w:val="4E4A66BD"/>
    <w:rsid w:val="4E661744"/>
    <w:rsid w:val="4E8E292E"/>
    <w:rsid w:val="4EC67E86"/>
    <w:rsid w:val="4EE541FC"/>
    <w:rsid w:val="4EF526A7"/>
    <w:rsid w:val="4F03575F"/>
    <w:rsid w:val="4F3D713D"/>
    <w:rsid w:val="4F5F47D7"/>
    <w:rsid w:val="4F9238FE"/>
    <w:rsid w:val="4FB7020D"/>
    <w:rsid w:val="4FCA563F"/>
    <w:rsid w:val="4FE7046C"/>
    <w:rsid w:val="500D5CD4"/>
    <w:rsid w:val="50251B17"/>
    <w:rsid w:val="50352265"/>
    <w:rsid w:val="507838FD"/>
    <w:rsid w:val="50E775C9"/>
    <w:rsid w:val="50F97323"/>
    <w:rsid w:val="51D265A6"/>
    <w:rsid w:val="52393516"/>
    <w:rsid w:val="523B3038"/>
    <w:rsid w:val="529941AA"/>
    <w:rsid w:val="52B227BD"/>
    <w:rsid w:val="52C81962"/>
    <w:rsid w:val="53005D47"/>
    <w:rsid w:val="530840CE"/>
    <w:rsid w:val="538A4400"/>
    <w:rsid w:val="53D45BE6"/>
    <w:rsid w:val="53FA7628"/>
    <w:rsid w:val="541A5F83"/>
    <w:rsid w:val="545A4606"/>
    <w:rsid w:val="546115FB"/>
    <w:rsid w:val="54B35DEB"/>
    <w:rsid w:val="54B806F3"/>
    <w:rsid w:val="54E41259"/>
    <w:rsid w:val="54FC0D4D"/>
    <w:rsid w:val="54FD36D9"/>
    <w:rsid w:val="552A5D65"/>
    <w:rsid w:val="55320C19"/>
    <w:rsid w:val="556A2486"/>
    <w:rsid w:val="55BE5FE0"/>
    <w:rsid w:val="564E04A9"/>
    <w:rsid w:val="568C2CA2"/>
    <w:rsid w:val="56A742F5"/>
    <w:rsid w:val="56C138AA"/>
    <w:rsid w:val="56D4165B"/>
    <w:rsid w:val="574C147C"/>
    <w:rsid w:val="582861BB"/>
    <w:rsid w:val="58353CEE"/>
    <w:rsid w:val="58533669"/>
    <w:rsid w:val="58A93D9E"/>
    <w:rsid w:val="58BB4A77"/>
    <w:rsid w:val="594D47F7"/>
    <w:rsid w:val="59C26271"/>
    <w:rsid w:val="5A0A7086"/>
    <w:rsid w:val="5A2B17B2"/>
    <w:rsid w:val="5A532CA5"/>
    <w:rsid w:val="5A590387"/>
    <w:rsid w:val="5B106CDC"/>
    <w:rsid w:val="5B3610B0"/>
    <w:rsid w:val="5B4E4B04"/>
    <w:rsid w:val="5C0D74B1"/>
    <w:rsid w:val="5C1A6B4D"/>
    <w:rsid w:val="5C567FC6"/>
    <w:rsid w:val="5C5F1711"/>
    <w:rsid w:val="5C6B6D35"/>
    <w:rsid w:val="5D290242"/>
    <w:rsid w:val="5D5E5DDE"/>
    <w:rsid w:val="5D934B09"/>
    <w:rsid w:val="5E5F37F0"/>
    <w:rsid w:val="5ECD6327"/>
    <w:rsid w:val="5F4C026A"/>
    <w:rsid w:val="5F7736D5"/>
    <w:rsid w:val="5FA16987"/>
    <w:rsid w:val="605B5694"/>
    <w:rsid w:val="60677748"/>
    <w:rsid w:val="60FA6129"/>
    <w:rsid w:val="6139383B"/>
    <w:rsid w:val="62293491"/>
    <w:rsid w:val="62377FE1"/>
    <w:rsid w:val="628D6444"/>
    <w:rsid w:val="62A73E54"/>
    <w:rsid w:val="63463F64"/>
    <w:rsid w:val="63A770CE"/>
    <w:rsid w:val="63CE2874"/>
    <w:rsid w:val="63F91E15"/>
    <w:rsid w:val="64D40267"/>
    <w:rsid w:val="64DE0CA1"/>
    <w:rsid w:val="65002557"/>
    <w:rsid w:val="650C39BB"/>
    <w:rsid w:val="65F31340"/>
    <w:rsid w:val="66070F45"/>
    <w:rsid w:val="66C53140"/>
    <w:rsid w:val="670A269A"/>
    <w:rsid w:val="670B286E"/>
    <w:rsid w:val="67342CA5"/>
    <w:rsid w:val="673A193E"/>
    <w:rsid w:val="67440270"/>
    <w:rsid w:val="67A94D7B"/>
    <w:rsid w:val="67CE2507"/>
    <w:rsid w:val="67E45E71"/>
    <w:rsid w:val="67EF2AD7"/>
    <w:rsid w:val="68523BFD"/>
    <w:rsid w:val="687D5E98"/>
    <w:rsid w:val="68D84895"/>
    <w:rsid w:val="68E304BB"/>
    <w:rsid w:val="6956748A"/>
    <w:rsid w:val="69AF4ACB"/>
    <w:rsid w:val="6A0365C1"/>
    <w:rsid w:val="6A29254F"/>
    <w:rsid w:val="6A8B0FA1"/>
    <w:rsid w:val="6AA568AE"/>
    <w:rsid w:val="6AB933FE"/>
    <w:rsid w:val="6AEA0DC8"/>
    <w:rsid w:val="6B046AC0"/>
    <w:rsid w:val="6B1E5446"/>
    <w:rsid w:val="6BB3043E"/>
    <w:rsid w:val="6BDD3FFC"/>
    <w:rsid w:val="6C723C70"/>
    <w:rsid w:val="6CD6362E"/>
    <w:rsid w:val="6E45639A"/>
    <w:rsid w:val="6E731682"/>
    <w:rsid w:val="6ED178C2"/>
    <w:rsid w:val="6F4F3E60"/>
    <w:rsid w:val="6F557963"/>
    <w:rsid w:val="70020B75"/>
    <w:rsid w:val="704471B2"/>
    <w:rsid w:val="705670D1"/>
    <w:rsid w:val="70833C77"/>
    <w:rsid w:val="70A5288D"/>
    <w:rsid w:val="70AF6651"/>
    <w:rsid w:val="7150405F"/>
    <w:rsid w:val="715E65F3"/>
    <w:rsid w:val="71EF5F59"/>
    <w:rsid w:val="72244433"/>
    <w:rsid w:val="72967903"/>
    <w:rsid w:val="72A107AD"/>
    <w:rsid w:val="72A34BA0"/>
    <w:rsid w:val="72AA01BD"/>
    <w:rsid w:val="72EA5884"/>
    <w:rsid w:val="73145451"/>
    <w:rsid w:val="7335737B"/>
    <w:rsid w:val="73D36C21"/>
    <w:rsid w:val="73F81483"/>
    <w:rsid w:val="74772468"/>
    <w:rsid w:val="74FA0F5F"/>
    <w:rsid w:val="75DF6E34"/>
    <w:rsid w:val="75EC6538"/>
    <w:rsid w:val="761F463C"/>
    <w:rsid w:val="763D2669"/>
    <w:rsid w:val="77AB3955"/>
    <w:rsid w:val="77B52F50"/>
    <w:rsid w:val="77E84B53"/>
    <w:rsid w:val="78BA6AED"/>
    <w:rsid w:val="78D07102"/>
    <w:rsid w:val="7921146C"/>
    <w:rsid w:val="79505F81"/>
    <w:rsid w:val="79D136DB"/>
    <w:rsid w:val="7A4A46DF"/>
    <w:rsid w:val="7A667F5E"/>
    <w:rsid w:val="7AB07CCF"/>
    <w:rsid w:val="7AC7362F"/>
    <w:rsid w:val="7AF056B8"/>
    <w:rsid w:val="7AF624DF"/>
    <w:rsid w:val="7B4868B8"/>
    <w:rsid w:val="7BB32E5A"/>
    <w:rsid w:val="7C1618F1"/>
    <w:rsid w:val="7C3F2676"/>
    <w:rsid w:val="7CAF2498"/>
    <w:rsid w:val="7D10098B"/>
    <w:rsid w:val="7D215AF3"/>
    <w:rsid w:val="7D5D7BF1"/>
    <w:rsid w:val="7D8B1224"/>
    <w:rsid w:val="7F0728D0"/>
    <w:rsid w:val="7FAC2A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ocked="1"/>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ocked="1"/>
    <w:lsdException w:uiPriority="0" w:name="envelope address" w:locked="1"/>
    <w:lsdException w:uiPriority="0" w:name="envelope return" w:locked="1"/>
    <w:lsdException w:qFormat="1" w:unhideWhenUsed="0" w:uiPriority="0" w:name="footnote reference"/>
    <w:lsdException w:qFormat="1" w:unhideWhenUsed="0" w:uiPriority="0" w:name="annotation reference"/>
    <w:lsdException w:uiPriority="0" w:name="line number" w:locked="1"/>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ocked="1"/>
    <w:lsdException w:uiPriority="0" w:name="macro" w:locked="1"/>
    <w:lsdException w:uiPriority="0" w:name="toa heading" w:locked="1"/>
    <w:lsdException w:uiPriority="0" w:name="List" w:locked="1"/>
    <w:lsdException w:uiPriority="0" w:name="List Bullet" w:locked="1"/>
    <w:lsdException w:uiPriority="0" w:semiHidden="0" w:name="List Number" w:locked="1"/>
    <w:lsdException w:uiPriority="0" w:name="List 2" w:locked="1"/>
    <w:lsdException w:uiPriority="0" w:name="List 3" w:locked="1"/>
    <w:lsdException w:uiPriority="0" w:semiHidden="0" w:name="List 4" w:locked="1"/>
    <w:lsdException w:uiPriority="0" w:semiHidden="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0" w:semiHidden="0" w:name="Title" w:locked="1"/>
    <w:lsdException w:uiPriority="0" w:name="Closing" w:locked="1"/>
    <w:lsdException w:uiPriority="0" w:name="Signature" w:locked="1"/>
    <w:lsdException w:qFormat="1" w:uiPriority="1" w:name="Default Paragraph Font"/>
    <w:lsdException w:uiPriority="0" w:name="Body Text" w:locked="1"/>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0" w:semiHidden="0" w:name="Subtitle" w:locked="1"/>
    <w:lsdException w:uiPriority="0" w:semiHidden="0" w:name="Salutation" w:locked="1"/>
    <w:lsdException w:uiPriority="0" w:semiHidden="0" w:name="Date" w:locked="1"/>
    <w:lsdException w:uiPriority="0" w:semiHidden="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qFormat="1" w:unhideWhenUsed="0" w:uiPriority="99"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qFormat="1" w:unhideWhenUsed="0" w:uiPriority="0" w:name="Document Map"/>
    <w:lsdException w:uiPriority="0" w:name="Plain Text" w:locked="1"/>
    <w:lsdException w:uiPriority="0" w:name="E-mail Signature" w:locked="1"/>
    <w:lsdException w:uiPriority="0" w:name="Normal (Web)" w:locked="1"/>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5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3">
    <w:name w:val="Default Paragraph Font"/>
    <w:autoRedefine/>
    <w:semiHidden/>
    <w:unhideWhenUsed/>
    <w:qFormat/>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cs="宋体"/>
    </w:rPr>
  </w:style>
  <w:style w:type="paragraph" w:styleId="3">
    <w:name w:val="index 8"/>
    <w:basedOn w:val="1"/>
    <w:next w:val="1"/>
    <w:semiHidden/>
    <w:qFormat/>
    <w:uiPriority w:val="0"/>
    <w:pPr>
      <w:ind w:left="1680" w:hanging="210"/>
      <w:jc w:val="left"/>
    </w:pPr>
    <w:rPr>
      <w:rFonts w:ascii="Calibri" w:hAnsi="Calibri" w:cs="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semiHidden/>
    <w:qFormat/>
    <w:uiPriority w:val="0"/>
    <w:pPr>
      <w:ind w:left="1050" w:hanging="210"/>
      <w:jc w:val="left"/>
    </w:pPr>
    <w:rPr>
      <w:rFonts w:ascii="Calibri" w:hAnsi="Calibri" w:cs="Calibri"/>
      <w:sz w:val="20"/>
      <w:szCs w:val="20"/>
    </w:rPr>
  </w:style>
  <w:style w:type="paragraph" w:styleId="6">
    <w:name w:val="Document Map"/>
    <w:basedOn w:val="1"/>
    <w:link w:val="42"/>
    <w:autoRedefine/>
    <w:semiHidden/>
    <w:qFormat/>
    <w:uiPriority w:val="0"/>
    <w:pPr>
      <w:shd w:val="clear" w:color="auto" w:fill="000080"/>
    </w:pPr>
  </w:style>
  <w:style w:type="paragraph" w:styleId="7">
    <w:name w:val="annotation text"/>
    <w:basedOn w:val="1"/>
    <w:link w:val="40"/>
    <w:semiHidden/>
    <w:qFormat/>
    <w:uiPriority w:val="0"/>
    <w:pPr>
      <w:jc w:val="left"/>
    </w:pPr>
  </w:style>
  <w:style w:type="paragraph" w:styleId="8">
    <w:name w:val="index 6"/>
    <w:basedOn w:val="1"/>
    <w:next w:val="1"/>
    <w:semiHidden/>
    <w:qFormat/>
    <w:uiPriority w:val="0"/>
    <w:pPr>
      <w:ind w:left="1260" w:hanging="210"/>
      <w:jc w:val="left"/>
    </w:pPr>
    <w:rPr>
      <w:rFonts w:ascii="Calibri" w:hAnsi="Calibri" w:cs="Calibri"/>
      <w:sz w:val="20"/>
      <w:szCs w:val="20"/>
    </w:rPr>
  </w:style>
  <w:style w:type="paragraph" w:styleId="9">
    <w:name w:val="index 4"/>
    <w:basedOn w:val="1"/>
    <w:next w:val="1"/>
    <w:semiHidden/>
    <w:qFormat/>
    <w:uiPriority w:val="0"/>
    <w:pPr>
      <w:ind w:left="840" w:hanging="210"/>
      <w:jc w:val="left"/>
    </w:pPr>
    <w:rPr>
      <w:rFonts w:ascii="Calibri" w:hAnsi="Calibri" w:cs="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cs="宋体"/>
    </w:rPr>
  </w:style>
  <w:style w:type="paragraph" w:styleId="11">
    <w:name w:val="toc 3"/>
    <w:basedOn w:val="1"/>
    <w:next w:val="1"/>
    <w:autoRedefine/>
    <w:qFormat/>
    <w:uiPriority w:val="39"/>
    <w:pPr>
      <w:tabs>
        <w:tab w:val="right" w:leader="dot" w:pos="9241"/>
      </w:tabs>
      <w:ind w:firstLine="102" w:firstLineChars="100"/>
      <w:jc w:val="left"/>
    </w:pPr>
    <w:rPr>
      <w:rFonts w:ascii="宋体" w:cs="宋体"/>
    </w:rPr>
  </w:style>
  <w:style w:type="paragraph" w:styleId="12">
    <w:name w:val="toc 8"/>
    <w:basedOn w:val="1"/>
    <w:next w:val="1"/>
    <w:autoRedefine/>
    <w:semiHidden/>
    <w:qFormat/>
    <w:uiPriority w:val="0"/>
    <w:pPr>
      <w:tabs>
        <w:tab w:val="right" w:leader="dot" w:pos="9241"/>
      </w:tabs>
      <w:ind w:firstLine="607" w:firstLineChars="600"/>
      <w:jc w:val="left"/>
    </w:pPr>
    <w:rPr>
      <w:rFonts w:ascii="宋体" w:cs="宋体"/>
    </w:rPr>
  </w:style>
  <w:style w:type="paragraph" w:styleId="13">
    <w:name w:val="index 3"/>
    <w:basedOn w:val="1"/>
    <w:next w:val="1"/>
    <w:autoRedefine/>
    <w:semiHidden/>
    <w:qFormat/>
    <w:uiPriority w:val="0"/>
    <w:pPr>
      <w:ind w:left="630" w:hanging="210"/>
      <w:jc w:val="left"/>
    </w:pPr>
    <w:rPr>
      <w:rFonts w:ascii="Calibri" w:hAnsi="Calibri" w:cs="Calibri"/>
      <w:sz w:val="20"/>
      <w:szCs w:val="20"/>
    </w:rPr>
  </w:style>
  <w:style w:type="paragraph" w:styleId="14">
    <w:name w:val="endnote text"/>
    <w:basedOn w:val="1"/>
    <w:link w:val="43"/>
    <w:autoRedefine/>
    <w:semiHidden/>
    <w:qFormat/>
    <w:uiPriority w:val="0"/>
    <w:pPr>
      <w:snapToGrid w:val="0"/>
      <w:jc w:val="left"/>
    </w:pPr>
  </w:style>
  <w:style w:type="paragraph" w:styleId="15">
    <w:name w:val="Balloon Text"/>
    <w:basedOn w:val="1"/>
    <w:link w:val="44"/>
    <w:autoRedefine/>
    <w:semiHidden/>
    <w:qFormat/>
    <w:uiPriority w:val="0"/>
    <w:rPr>
      <w:sz w:val="18"/>
      <w:szCs w:val="18"/>
    </w:rPr>
  </w:style>
  <w:style w:type="paragraph" w:styleId="16">
    <w:name w:val="footer"/>
    <w:basedOn w:val="1"/>
    <w:link w:val="45"/>
    <w:autoRedefine/>
    <w:qFormat/>
    <w:uiPriority w:val="0"/>
    <w:pPr>
      <w:snapToGrid w:val="0"/>
      <w:ind w:right="210" w:rightChars="100"/>
      <w:jc w:val="right"/>
    </w:pPr>
    <w:rPr>
      <w:sz w:val="18"/>
      <w:szCs w:val="18"/>
    </w:rPr>
  </w:style>
  <w:style w:type="paragraph" w:styleId="17">
    <w:name w:val="header"/>
    <w:basedOn w:val="1"/>
    <w:link w:val="46"/>
    <w:autoRedefine/>
    <w:qFormat/>
    <w:uiPriority w:val="0"/>
    <w:pPr>
      <w:snapToGrid w:val="0"/>
      <w:jc w:val="left"/>
    </w:pPr>
    <w:rPr>
      <w:sz w:val="18"/>
      <w:szCs w:val="18"/>
    </w:rPr>
  </w:style>
  <w:style w:type="paragraph" w:styleId="18">
    <w:name w:val="toc 1"/>
    <w:basedOn w:val="1"/>
    <w:next w:val="1"/>
    <w:autoRedefine/>
    <w:qFormat/>
    <w:uiPriority w:val="39"/>
    <w:pPr>
      <w:tabs>
        <w:tab w:val="right" w:leader="dot" w:pos="9241"/>
      </w:tabs>
      <w:spacing w:beforeLines="25" w:afterLines="25"/>
      <w:jc w:val="left"/>
    </w:pPr>
    <w:rPr>
      <w:rFonts w:ascii="宋体" w:cs="宋体"/>
    </w:rPr>
  </w:style>
  <w:style w:type="paragraph" w:styleId="19">
    <w:name w:val="toc 4"/>
    <w:basedOn w:val="1"/>
    <w:next w:val="1"/>
    <w:autoRedefine/>
    <w:semiHidden/>
    <w:qFormat/>
    <w:uiPriority w:val="0"/>
    <w:pPr>
      <w:tabs>
        <w:tab w:val="right" w:leader="dot" w:pos="9241"/>
      </w:tabs>
      <w:ind w:firstLine="198" w:firstLineChars="200"/>
      <w:jc w:val="left"/>
    </w:pPr>
    <w:rPr>
      <w:rFonts w:ascii="宋体" w:cs="宋体"/>
    </w:rPr>
  </w:style>
  <w:style w:type="paragraph" w:styleId="20">
    <w:name w:val="index heading"/>
    <w:basedOn w:val="1"/>
    <w:next w:val="21"/>
    <w:autoRedefine/>
    <w:semiHidden/>
    <w:qFormat/>
    <w:uiPriority w:val="0"/>
    <w:pPr>
      <w:spacing w:before="120" w:after="120"/>
      <w:jc w:val="center"/>
    </w:pPr>
    <w:rPr>
      <w:rFonts w:ascii="Calibri" w:hAnsi="Calibri" w:cs="Calibri"/>
      <w:b/>
      <w:bCs/>
    </w:rPr>
  </w:style>
  <w:style w:type="paragraph" w:styleId="21">
    <w:name w:val="index 1"/>
    <w:basedOn w:val="1"/>
    <w:next w:val="22"/>
    <w:autoRedefine/>
    <w:semiHidden/>
    <w:qFormat/>
    <w:uiPriority w:val="0"/>
    <w:pPr>
      <w:tabs>
        <w:tab w:val="right" w:leader="dot" w:pos="9299"/>
      </w:tabs>
      <w:jc w:val="left"/>
    </w:pPr>
    <w:rPr>
      <w:rFonts w:ascii="宋体" w:cs="宋体"/>
    </w:rPr>
  </w:style>
  <w:style w:type="paragraph" w:customStyle="1" w:styleId="22">
    <w:name w:val="段"/>
    <w:link w:val="4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宋体"/>
      <w:sz w:val="21"/>
      <w:szCs w:val="21"/>
      <w:lang w:val="en-US" w:eastAsia="zh-CN" w:bidi="ar-SA"/>
    </w:rPr>
  </w:style>
  <w:style w:type="paragraph" w:styleId="23">
    <w:name w:val="footnote text"/>
    <w:basedOn w:val="1"/>
    <w:link w:val="47"/>
    <w:autoRedefine/>
    <w:semiHidden/>
    <w:qFormat/>
    <w:uiPriority w:val="0"/>
    <w:pPr>
      <w:numPr>
        <w:ilvl w:val="0"/>
        <w:numId w:val="1"/>
      </w:numPr>
      <w:snapToGrid w:val="0"/>
      <w:jc w:val="left"/>
    </w:pPr>
    <w:rPr>
      <w:rFonts w:ascii="宋体" w:cs="宋体"/>
      <w:sz w:val="18"/>
      <w:szCs w:val="18"/>
    </w:rPr>
  </w:style>
  <w:style w:type="paragraph" w:styleId="24">
    <w:name w:val="toc 6"/>
    <w:basedOn w:val="1"/>
    <w:next w:val="1"/>
    <w:autoRedefine/>
    <w:semiHidden/>
    <w:qFormat/>
    <w:uiPriority w:val="0"/>
    <w:pPr>
      <w:tabs>
        <w:tab w:val="right" w:leader="dot" w:pos="9241"/>
      </w:tabs>
      <w:ind w:firstLine="403" w:firstLineChars="400"/>
      <w:jc w:val="left"/>
    </w:pPr>
    <w:rPr>
      <w:rFonts w:ascii="宋体" w:cs="宋体"/>
    </w:rPr>
  </w:style>
  <w:style w:type="paragraph" w:styleId="25">
    <w:name w:val="index 7"/>
    <w:basedOn w:val="1"/>
    <w:next w:val="1"/>
    <w:autoRedefine/>
    <w:semiHidden/>
    <w:qFormat/>
    <w:uiPriority w:val="0"/>
    <w:pPr>
      <w:ind w:left="1470" w:hanging="210"/>
      <w:jc w:val="left"/>
    </w:pPr>
    <w:rPr>
      <w:rFonts w:ascii="Calibri" w:hAnsi="Calibri" w:cs="Calibri"/>
      <w:sz w:val="20"/>
      <w:szCs w:val="20"/>
    </w:rPr>
  </w:style>
  <w:style w:type="paragraph" w:styleId="26">
    <w:name w:val="index 9"/>
    <w:basedOn w:val="1"/>
    <w:next w:val="1"/>
    <w:autoRedefine/>
    <w:semiHidden/>
    <w:qFormat/>
    <w:uiPriority w:val="0"/>
    <w:pPr>
      <w:ind w:left="1890" w:hanging="210"/>
      <w:jc w:val="left"/>
    </w:pPr>
    <w:rPr>
      <w:rFonts w:ascii="Calibri" w:hAnsi="Calibri" w:cs="Calibri"/>
      <w:sz w:val="20"/>
      <w:szCs w:val="20"/>
    </w:rPr>
  </w:style>
  <w:style w:type="paragraph" w:styleId="27">
    <w:name w:val="toc 2"/>
    <w:basedOn w:val="1"/>
    <w:next w:val="1"/>
    <w:autoRedefine/>
    <w:qFormat/>
    <w:uiPriority w:val="39"/>
    <w:pPr>
      <w:tabs>
        <w:tab w:val="right" w:leader="dot" w:pos="9241"/>
      </w:tabs>
    </w:pPr>
    <w:rPr>
      <w:rFonts w:ascii="宋体" w:cs="宋体"/>
    </w:rPr>
  </w:style>
  <w:style w:type="paragraph" w:styleId="28">
    <w:name w:val="toc 9"/>
    <w:basedOn w:val="1"/>
    <w:next w:val="1"/>
    <w:autoRedefine/>
    <w:semiHidden/>
    <w:qFormat/>
    <w:uiPriority w:val="0"/>
    <w:pPr>
      <w:ind w:left="1470"/>
      <w:jc w:val="left"/>
    </w:pPr>
    <w:rPr>
      <w:sz w:val="20"/>
      <w:szCs w:val="20"/>
    </w:rPr>
  </w:style>
  <w:style w:type="paragraph" w:styleId="29">
    <w:name w:val="index 2"/>
    <w:basedOn w:val="1"/>
    <w:next w:val="1"/>
    <w:autoRedefine/>
    <w:semiHidden/>
    <w:qFormat/>
    <w:uiPriority w:val="0"/>
    <w:pPr>
      <w:ind w:left="420" w:hanging="210"/>
      <w:jc w:val="left"/>
    </w:pPr>
    <w:rPr>
      <w:rFonts w:ascii="Calibri" w:hAnsi="Calibri" w:cs="Calibri"/>
      <w:sz w:val="20"/>
      <w:szCs w:val="20"/>
    </w:rPr>
  </w:style>
  <w:style w:type="paragraph" w:styleId="30">
    <w:name w:val="annotation subject"/>
    <w:basedOn w:val="7"/>
    <w:next w:val="7"/>
    <w:link w:val="41"/>
    <w:autoRedefine/>
    <w:semiHidden/>
    <w:qFormat/>
    <w:uiPriority w:val="0"/>
    <w:rPr>
      <w:b/>
      <w:bCs/>
    </w:rPr>
  </w:style>
  <w:style w:type="table" w:styleId="32">
    <w:name w:val="Table Grid"/>
    <w:basedOn w:val="31"/>
    <w:autoRedefine/>
    <w:qFormat/>
    <w:uiPriority w:val="59"/>
    <w:rPr>
      <w:rFonts w:ascii="宋体" w:cs="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basedOn w:val="33"/>
    <w:autoRedefine/>
    <w:semiHidden/>
    <w:qFormat/>
    <w:uiPriority w:val="0"/>
    <w:rPr>
      <w:rFonts w:cs="Times New Roman"/>
      <w:vertAlign w:val="superscript"/>
    </w:rPr>
  </w:style>
  <w:style w:type="character" w:styleId="35">
    <w:name w:val="page number"/>
    <w:basedOn w:val="33"/>
    <w:autoRedefine/>
    <w:qFormat/>
    <w:uiPriority w:val="0"/>
    <w:rPr>
      <w:rFonts w:ascii="Times New Roman" w:hAnsi="Times New Roman" w:eastAsia="宋体" w:cs="Times New Roman"/>
      <w:sz w:val="18"/>
      <w:szCs w:val="18"/>
    </w:rPr>
  </w:style>
  <w:style w:type="character" w:styleId="36">
    <w:name w:val="FollowedHyperlink"/>
    <w:basedOn w:val="33"/>
    <w:autoRedefine/>
    <w:qFormat/>
    <w:uiPriority w:val="0"/>
    <w:rPr>
      <w:rFonts w:cs="Times New Roman"/>
      <w:color w:val="800080"/>
      <w:u w:val="single"/>
    </w:rPr>
  </w:style>
  <w:style w:type="character" w:styleId="37">
    <w:name w:val="Hyperlink"/>
    <w:basedOn w:val="33"/>
    <w:autoRedefine/>
    <w:qFormat/>
    <w:uiPriority w:val="99"/>
    <w:rPr>
      <w:rFonts w:cs="Times New Roman"/>
      <w:color w:val="0000FF"/>
      <w:spacing w:val="0"/>
      <w:w w:val="100"/>
      <w:sz w:val="21"/>
      <w:szCs w:val="21"/>
      <w:u w:val="single"/>
    </w:rPr>
  </w:style>
  <w:style w:type="character" w:styleId="38">
    <w:name w:val="annotation reference"/>
    <w:basedOn w:val="33"/>
    <w:autoRedefine/>
    <w:semiHidden/>
    <w:qFormat/>
    <w:uiPriority w:val="0"/>
    <w:rPr>
      <w:rFonts w:cs="Times New Roman"/>
      <w:sz w:val="21"/>
      <w:szCs w:val="21"/>
    </w:rPr>
  </w:style>
  <w:style w:type="character" w:styleId="39">
    <w:name w:val="footnote reference"/>
    <w:basedOn w:val="33"/>
    <w:autoRedefine/>
    <w:semiHidden/>
    <w:qFormat/>
    <w:uiPriority w:val="0"/>
    <w:rPr>
      <w:rFonts w:cs="Times New Roman"/>
      <w:vertAlign w:val="superscript"/>
    </w:rPr>
  </w:style>
  <w:style w:type="character" w:customStyle="1" w:styleId="40">
    <w:name w:val="批注文字 字符"/>
    <w:basedOn w:val="33"/>
    <w:link w:val="7"/>
    <w:autoRedefine/>
    <w:semiHidden/>
    <w:qFormat/>
    <w:locked/>
    <w:uiPriority w:val="0"/>
    <w:rPr>
      <w:rFonts w:cs="Times New Roman"/>
      <w:kern w:val="2"/>
      <w:sz w:val="24"/>
      <w:szCs w:val="24"/>
    </w:rPr>
  </w:style>
  <w:style w:type="character" w:customStyle="1" w:styleId="41">
    <w:name w:val="批注主题 字符"/>
    <w:basedOn w:val="40"/>
    <w:link w:val="30"/>
    <w:autoRedefine/>
    <w:semiHidden/>
    <w:qFormat/>
    <w:locked/>
    <w:uiPriority w:val="0"/>
    <w:rPr>
      <w:rFonts w:cs="Times New Roman"/>
      <w:b/>
      <w:bCs/>
      <w:kern w:val="2"/>
      <w:sz w:val="24"/>
      <w:szCs w:val="24"/>
    </w:rPr>
  </w:style>
  <w:style w:type="character" w:customStyle="1" w:styleId="42">
    <w:name w:val="文档结构图 字符"/>
    <w:basedOn w:val="33"/>
    <w:link w:val="6"/>
    <w:semiHidden/>
    <w:qFormat/>
    <w:locked/>
    <w:uiPriority w:val="0"/>
    <w:rPr>
      <w:rFonts w:cs="Times New Roman"/>
      <w:sz w:val="2"/>
      <w:szCs w:val="2"/>
    </w:rPr>
  </w:style>
  <w:style w:type="character" w:customStyle="1" w:styleId="43">
    <w:name w:val="尾注文本 字符"/>
    <w:basedOn w:val="33"/>
    <w:link w:val="14"/>
    <w:autoRedefine/>
    <w:semiHidden/>
    <w:qFormat/>
    <w:locked/>
    <w:uiPriority w:val="0"/>
    <w:rPr>
      <w:rFonts w:cs="Times New Roman"/>
      <w:sz w:val="21"/>
      <w:szCs w:val="21"/>
    </w:rPr>
  </w:style>
  <w:style w:type="character" w:customStyle="1" w:styleId="44">
    <w:name w:val="批注框文本 字符"/>
    <w:basedOn w:val="33"/>
    <w:link w:val="15"/>
    <w:autoRedefine/>
    <w:qFormat/>
    <w:locked/>
    <w:uiPriority w:val="0"/>
    <w:rPr>
      <w:rFonts w:cs="Times New Roman"/>
      <w:kern w:val="2"/>
      <w:sz w:val="18"/>
      <w:szCs w:val="18"/>
    </w:rPr>
  </w:style>
  <w:style w:type="character" w:customStyle="1" w:styleId="45">
    <w:name w:val="页脚 字符"/>
    <w:basedOn w:val="33"/>
    <w:link w:val="16"/>
    <w:autoRedefine/>
    <w:qFormat/>
    <w:locked/>
    <w:uiPriority w:val="0"/>
    <w:rPr>
      <w:rFonts w:cs="Times New Roman"/>
      <w:kern w:val="2"/>
      <w:sz w:val="18"/>
      <w:szCs w:val="18"/>
    </w:rPr>
  </w:style>
  <w:style w:type="character" w:customStyle="1" w:styleId="46">
    <w:name w:val="页眉 字符"/>
    <w:basedOn w:val="33"/>
    <w:link w:val="17"/>
    <w:autoRedefine/>
    <w:semiHidden/>
    <w:qFormat/>
    <w:locked/>
    <w:uiPriority w:val="0"/>
    <w:rPr>
      <w:rFonts w:cs="Times New Roman"/>
      <w:sz w:val="18"/>
      <w:szCs w:val="18"/>
    </w:rPr>
  </w:style>
  <w:style w:type="character" w:customStyle="1" w:styleId="47">
    <w:name w:val="脚注文本 字符"/>
    <w:basedOn w:val="33"/>
    <w:link w:val="23"/>
    <w:autoRedefine/>
    <w:semiHidden/>
    <w:qFormat/>
    <w:locked/>
    <w:uiPriority w:val="0"/>
    <w:rPr>
      <w:rFonts w:ascii="宋体" w:cs="宋体"/>
      <w:kern w:val="2"/>
      <w:sz w:val="18"/>
      <w:szCs w:val="18"/>
    </w:rPr>
  </w:style>
  <w:style w:type="character" w:customStyle="1" w:styleId="48">
    <w:name w:val="段 Char"/>
    <w:basedOn w:val="33"/>
    <w:link w:val="22"/>
    <w:autoRedefine/>
    <w:qFormat/>
    <w:locked/>
    <w:uiPriority w:val="0"/>
    <w:rPr>
      <w:rFonts w:ascii="宋体" w:cs="宋体"/>
      <w:sz w:val="21"/>
      <w:szCs w:val="21"/>
      <w:lang w:val="en-US" w:eastAsia="zh-CN" w:bidi="ar-SA"/>
    </w:rPr>
  </w:style>
  <w:style w:type="paragraph" w:customStyle="1" w:styleId="49">
    <w:name w:val="一级条标题"/>
    <w:next w:val="22"/>
    <w:link w:val="145"/>
    <w:autoRedefine/>
    <w:qFormat/>
    <w:uiPriority w:val="0"/>
    <w:pPr>
      <w:numPr>
        <w:ilvl w:val="1"/>
        <w:numId w:val="2"/>
      </w:numPr>
      <w:spacing w:beforeLines="50" w:afterLines="50"/>
      <w:outlineLvl w:val="2"/>
    </w:pPr>
    <w:rPr>
      <w:rFonts w:ascii="黑体" w:hAnsi="Times New Roman" w:eastAsia="黑体" w:cs="Times New Roman"/>
      <w:sz w:val="21"/>
      <w:lang w:val="en-US" w:eastAsia="zh-CN" w:bidi="ar-SA"/>
    </w:rPr>
  </w:style>
  <w:style w:type="paragraph" w:customStyle="1" w:styleId="50">
    <w:name w:val="标准书脚_奇数页"/>
    <w:autoRedefine/>
    <w:qFormat/>
    <w:uiPriority w:val="0"/>
    <w:pPr>
      <w:spacing w:before="120"/>
      <w:ind w:right="198"/>
      <w:jc w:val="right"/>
    </w:pPr>
    <w:rPr>
      <w:rFonts w:ascii="宋体" w:hAnsi="Times New Roman" w:eastAsia="宋体" w:cs="宋体"/>
      <w:sz w:val="18"/>
      <w:szCs w:val="18"/>
      <w:lang w:val="en-US" w:eastAsia="zh-CN" w:bidi="ar-SA"/>
    </w:rPr>
  </w:style>
  <w:style w:type="paragraph" w:customStyle="1" w:styleId="51">
    <w:name w:val="标准书眉_奇数页"/>
    <w:next w:val="1"/>
    <w:autoRedefine/>
    <w:qFormat/>
    <w:uiPriority w:val="0"/>
    <w:pPr>
      <w:tabs>
        <w:tab w:val="center" w:pos="4154"/>
        <w:tab w:val="right" w:pos="8306"/>
      </w:tabs>
      <w:spacing w:after="220"/>
      <w:jc w:val="right"/>
    </w:pPr>
    <w:rPr>
      <w:rFonts w:ascii="黑体" w:hAnsi="Times New Roman" w:eastAsia="黑体" w:cs="黑体"/>
      <w:sz w:val="21"/>
      <w:szCs w:val="21"/>
      <w:lang w:val="en-US" w:eastAsia="zh-CN" w:bidi="ar-SA"/>
    </w:rPr>
  </w:style>
  <w:style w:type="paragraph" w:customStyle="1" w:styleId="52">
    <w:name w:val="章标题"/>
    <w:next w:val="22"/>
    <w:link w:val="144"/>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53">
    <w:name w:val="二级条标题"/>
    <w:basedOn w:val="49"/>
    <w:next w:val="22"/>
    <w:link w:val="146"/>
    <w:autoRedefine/>
    <w:qFormat/>
    <w:uiPriority w:val="0"/>
    <w:pPr>
      <w:numPr>
        <w:ilvl w:val="2"/>
      </w:numPr>
      <w:spacing w:before="50" w:after="50"/>
      <w:outlineLvl w:val="3"/>
    </w:pPr>
  </w:style>
  <w:style w:type="paragraph" w:customStyle="1" w:styleId="54">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黑体"/>
      <w:sz w:val="28"/>
      <w:szCs w:val="28"/>
      <w:lang w:val="en-US" w:eastAsia="zh-CN" w:bidi="ar-SA"/>
    </w:rPr>
  </w:style>
  <w:style w:type="paragraph" w:customStyle="1" w:styleId="55">
    <w:name w:val="列项——（一级）"/>
    <w:autoRedefine/>
    <w:qFormat/>
    <w:uiPriority w:val="0"/>
    <w:pPr>
      <w:widowControl w:val="0"/>
      <w:numPr>
        <w:ilvl w:val="0"/>
        <w:numId w:val="3"/>
      </w:numPr>
      <w:jc w:val="both"/>
    </w:pPr>
    <w:rPr>
      <w:rFonts w:ascii="宋体" w:hAnsi="Times New Roman" w:eastAsia="宋体" w:cs="宋体"/>
      <w:sz w:val="21"/>
      <w:szCs w:val="21"/>
      <w:lang w:val="en-US" w:eastAsia="zh-CN" w:bidi="ar-SA"/>
    </w:rPr>
  </w:style>
  <w:style w:type="paragraph" w:customStyle="1" w:styleId="56">
    <w:name w:val="列项●（二级）"/>
    <w:autoRedefine/>
    <w:qFormat/>
    <w:uiPriority w:val="0"/>
    <w:pPr>
      <w:numPr>
        <w:ilvl w:val="1"/>
        <w:numId w:val="3"/>
      </w:numPr>
      <w:tabs>
        <w:tab w:val="left" w:pos="840"/>
      </w:tabs>
      <w:jc w:val="both"/>
    </w:pPr>
    <w:rPr>
      <w:rFonts w:ascii="宋体" w:hAnsi="Times New Roman" w:eastAsia="宋体" w:cs="宋体"/>
      <w:sz w:val="21"/>
      <w:szCs w:val="21"/>
      <w:lang w:val="en-US" w:eastAsia="zh-CN" w:bidi="ar-SA"/>
    </w:rPr>
  </w:style>
  <w:style w:type="paragraph" w:customStyle="1" w:styleId="57">
    <w:name w:val="目次、标准名称标题"/>
    <w:basedOn w:val="1"/>
    <w:next w:val="22"/>
    <w:autoRedefine/>
    <w:qFormat/>
    <w:uiPriority w:val="0"/>
    <w:pPr>
      <w:keepNext/>
      <w:pageBreakBefore/>
      <w:widowControl/>
      <w:shd w:val="clear" w:color="FFFFFF" w:fill="FFFFFF"/>
      <w:spacing w:before="640" w:after="560" w:line="460" w:lineRule="exact"/>
      <w:jc w:val="center"/>
      <w:outlineLvl w:val="0"/>
    </w:pPr>
    <w:rPr>
      <w:rFonts w:ascii="黑体" w:eastAsia="黑体" w:cs="黑体"/>
      <w:kern w:val="0"/>
      <w:sz w:val="32"/>
      <w:szCs w:val="32"/>
    </w:rPr>
  </w:style>
  <w:style w:type="paragraph" w:customStyle="1" w:styleId="58">
    <w:name w:val="三级条标题"/>
    <w:basedOn w:val="53"/>
    <w:next w:val="22"/>
    <w:autoRedefine/>
    <w:qFormat/>
    <w:uiPriority w:val="0"/>
    <w:pPr>
      <w:numPr>
        <w:ilvl w:val="3"/>
      </w:numPr>
      <w:outlineLvl w:val="4"/>
    </w:pPr>
  </w:style>
  <w:style w:type="paragraph" w:customStyle="1" w:styleId="59">
    <w:name w:val="示例"/>
    <w:next w:val="60"/>
    <w:autoRedefine/>
    <w:qFormat/>
    <w:uiPriority w:val="0"/>
    <w:pPr>
      <w:widowControl w:val="0"/>
      <w:numPr>
        <w:ilvl w:val="0"/>
        <w:numId w:val="4"/>
      </w:numPr>
      <w:jc w:val="both"/>
    </w:pPr>
    <w:rPr>
      <w:rFonts w:ascii="宋体" w:hAnsi="Times New Roman" w:eastAsia="宋体" w:cs="宋体"/>
      <w:sz w:val="18"/>
      <w:szCs w:val="18"/>
      <w:lang w:val="en-US" w:eastAsia="zh-CN" w:bidi="ar-SA"/>
    </w:rPr>
  </w:style>
  <w:style w:type="paragraph" w:customStyle="1" w:styleId="60">
    <w:name w:val="示例内容"/>
    <w:autoRedefine/>
    <w:qFormat/>
    <w:uiPriority w:val="0"/>
    <w:pPr>
      <w:ind w:firstLine="200" w:firstLineChars="200"/>
    </w:pPr>
    <w:rPr>
      <w:rFonts w:ascii="宋体" w:hAnsi="Times New Roman" w:eastAsia="宋体" w:cs="宋体"/>
      <w:sz w:val="18"/>
      <w:szCs w:val="18"/>
      <w:lang w:val="en-US" w:eastAsia="zh-CN" w:bidi="ar-SA"/>
    </w:rPr>
  </w:style>
  <w:style w:type="paragraph" w:customStyle="1" w:styleId="61">
    <w:name w:val="数字编号列项（二级）"/>
    <w:autoRedefine/>
    <w:qFormat/>
    <w:uiPriority w:val="0"/>
    <w:pPr>
      <w:numPr>
        <w:ilvl w:val="1"/>
        <w:numId w:val="5"/>
      </w:numPr>
      <w:jc w:val="both"/>
    </w:pPr>
    <w:rPr>
      <w:rFonts w:ascii="宋体" w:hAnsi="Times New Roman" w:eastAsia="宋体" w:cs="宋体"/>
      <w:sz w:val="21"/>
      <w:szCs w:val="21"/>
      <w:lang w:val="en-US" w:eastAsia="zh-CN" w:bidi="ar-SA"/>
    </w:rPr>
  </w:style>
  <w:style w:type="paragraph" w:customStyle="1" w:styleId="62">
    <w:name w:val="四级条标题"/>
    <w:basedOn w:val="58"/>
    <w:next w:val="22"/>
    <w:autoRedefine/>
    <w:qFormat/>
    <w:uiPriority w:val="0"/>
    <w:pPr>
      <w:numPr>
        <w:ilvl w:val="4"/>
      </w:numPr>
      <w:outlineLvl w:val="5"/>
    </w:pPr>
  </w:style>
  <w:style w:type="paragraph" w:customStyle="1" w:styleId="63">
    <w:name w:val="五级条标题"/>
    <w:basedOn w:val="62"/>
    <w:next w:val="22"/>
    <w:autoRedefine/>
    <w:qFormat/>
    <w:uiPriority w:val="0"/>
    <w:pPr>
      <w:numPr>
        <w:ilvl w:val="5"/>
      </w:numPr>
      <w:outlineLvl w:val="6"/>
    </w:pPr>
  </w:style>
  <w:style w:type="paragraph" w:customStyle="1" w:styleId="64">
    <w:name w:val="注："/>
    <w:next w:val="22"/>
    <w:autoRedefine/>
    <w:qFormat/>
    <w:uiPriority w:val="0"/>
    <w:pPr>
      <w:widowControl w:val="0"/>
      <w:numPr>
        <w:ilvl w:val="0"/>
        <w:numId w:val="6"/>
      </w:numPr>
      <w:autoSpaceDE w:val="0"/>
      <w:autoSpaceDN w:val="0"/>
      <w:jc w:val="both"/>
    </w:pPr>
    <w:rPr>
      <w:rFonts w:ascii="宋体" w:hAnsi="Times New Roman" w:eastAsia="宋体" w:cs="宋体"/>
      <w:sz w:val="18"/>
      <w:szCs w:val="18"/>
      <w:lang w:val="en-US" w:eastAsia="zh-CN" w:bidi="ar-SA"/>
    </w:rPr>
  </w:style>
  <w:style w:type="paragraph" w:customStyle="1" w:styleId="65">
    <w:name w:val="注×："/>
    <w:autoRedefine/>
    <w:qFormat/>
    <w:uiPriority w:val="0"/>
    <w:pPr>
      <w:widowControl w:val="0"/>
      <w:numPr>
        <w:ilvl w:val="0"/>
        <w:numId w:val="7"/>
      </w:numPr>
      <w:autoSpaceDE w:val="0"/>
      <w:autoSpaceDN w:val="0"/>
      <w:jc w:val="both"/>
    </w:pPr>
    <w:rPr>
      <w:rFonts w:ascii="宋体" w:hAnsi="Times New Roman" w:eastAsia="宋体" w:cs="宋体"/>
      <w:sz w:val="18"/>
      <w:szCs w:val="18"/>
      <w:lang w:val="en-US" w:eastAsia="zh-CN" w:bidi="ar-SA"/>
    </w:rPr>
  </w:style>
  <w:style w:type="paragraph" w:customStyle="1" w:styleId="66">
    <w:name w:val="字母编号列项（一级）"/>
    <w:autoRedefine/>
    <w:qFormat/>
    <w:uiPriority w:val="0"/>
    <w:pPr>
      <w:numPr>
        <w:ilvl w:val="0"/>
        <w:numId w:val="5"/>
      </w:numPr>
      <w:jc w:val="both"/>
    </w:pPr>
    <w:rPr>
      <w:rFonts w:ascii="宋体" w:hAnsi="Times New Roman" w:eastAsia="宋体" w:cs="宋体"/>
      <w:sz w:val="21"/>
      <w:szCs w:val="21"/>
      <w:lang w:val="en-US" w:eastAsia="zh-CN" w:bidi="ar-SA"/>
    </w:rPr>
  </w:style>
  <w:style w:type="paragraph" w:customStyle="1" w:styleId="67">
    <w:name w:val="列项◆（三级）"/>
    <w:basedOn w:val="1"/>
    <w:autoRedefine/>
    <w:qFormat/>
    <w:uiPriority w:val="0"/>
    <w:pPr>
      <w:numPr>
        <w:ilvl w:val="2"/>
        <w:numId w:val="3"/>
      </w:numPr>
    </w:pPr>
    <w:rPr>
      <w:rFonts w:ascii="宋体" w:cs="宋体"/>
    </w:rPr>
  </w:style>
  <w:style w:type="paragraph" w:customStyle="1" w:styleId="68">
    <w:name w:val="编号列项（三级）"/>
    <w:autoRedefine/>
    <w:qFormat/>
    <w:uiPriority w:val="0"/>
    <w:pPr>
      <w:numPr>
        <w:ilvl w:val="2"/>
        <w:numId w:val="5"/>
      </w:numPr>
    </w:pPr>
    <w:rPr>
      <w:rFonts w:ascii="宋体" w:hAnsi="Times New Roman" w:eastAsia="宋体" w:cs="宋体"/>
      <w:sz w:val="21"/>
      <w:szCs w:val="21"/>
      <w:lang w:val="en-US" w:eastAsia="zh-CN" w:bidi="ar-SA"/>
    </w:rPr>
  </w:style>
  <w:style w:type="paragraph" w:customStyle="1" w:styleId="69">
    <w:name w:val="示例×："/>
    <w:basedOn w:val="52"/>
    <w:autoRedefine/>
    <w:qFormat/>
    <w:uiPriority w:val="0"/>
    <w:pPr>
      <w:numPr>
        <w:numId w:val="8"/>
      </w:numPr>
      <w:spacing w:beforeLines="0" w:afterLines="0"/>
      <w:outlineLvl w:val="9"/>
    </w:pPr>
    <w:rPr>
      <w:rFonts w:ascii="宋体" w:eastAsia="宋体" w:cs="宋体"/>
      <w:sz w:val="18"/>
      <w:szCs w:val="18"/>
    </w:rPr>
  </w:style>
  <w:style w:type="paragraph" w:customStyle="1" w:styleId="70">
    <w:name w:val="二级无"/>
    <w:basedOn w:val="53"/>
    <w:autoRedefine/>
    <w:qFormat/>
    <w:uiPriority w:val="0"/>
    <w:pPr>
      <w:spacing w:beforeLines="0" w:afterLines="0"/>
    </w:pPr>
    <w:rPr>
      <w:rFonts w:ascii="宋体" w:eastAsia="宋体" w:cs="宋体"/>
    </w:rPr>
  </w:style>
  <w:style w:type="paragraph" w:customStyle="1" w:styleId="71">
    <w:name w:val="注：（正文）"/>
    <w:basedOn w:val="64"/>
    <w:next w:val="22"/>
    <w:autoRedefine/>
    <w:qFormat/>
    <w:uiPriority w:val="0"/>
  </w:style>
  <w:style w:type="paragraph" w:customStyle="1" w:styleId="72">
    <w:name w:val="注×：（正文）"/>
    <w:autoRedefine/>
    <w:qFormat/>
    <w:uiPriority w:val="0"/>
    <w:pPr>
      <w:numPr>
        <w:ilvl w:val="0"/>
        <w:numId w:val="9"/>
      </w:numPr>
      <w:ind w:left="811"/>
      <w:jc w:val="both"/>
    </w:pPr>
    <w:rPr>
      <w:rFonts w:ascii="宋体" w:hAnsi="Times New Roman" w:eastAsia="宋体" w:cs="宋体"/>
      <w:sz w:val="18"/>
      <w:szCs w:val="18"/>
      <w:lang w:val="en-US" w:eastAsia="zh-CN" w:bidi="ar-SA"/>
    </w:rPr>
  </w:style>
  <w:style w:type="paragraph" w:customStyle="1" w:styleId="73">
    <w:name w:val="标准标志"/>
    <w:next w:val="1"/>
    <w:autoRedefine/>
    <w:qFormat/>
    <w:uiPriority w:val="0"/>
    <w:pPr>
      <w:framePr w:w="2546" w:h="1389" w:hRule="exact" w:hSpace="181" w:vSpace="181" w:wrap="around" w:vAnchor="margin" w:hAnchor="margin" w:x="6522" w:y="398" w:anchorLock="1"/>
      <w:shd w:val="solid" w:color="FFFFFF" w:fill="FFFFFF"/>
      <w:spacing w:line="240" w:lineRule="atLeast"/>
      <w:jc w:val="right"/>
    </w:pPr>
    <w:rPr>
      <w:rFonts w:ascii="Times New Roman" w:hAnsi="Times New Roman" w:eastAsia="宋体" w:cs="Times New Roman"/>
      <w:b/>
      <w:bCs/>
      <w:w w:val="170"/>
      <w:sz w:val="96"/>
      <w:szCs w:val="96"/>
      <w:lang w:val="en-US" w:eastAsia="zh-CN" w:bidi="ar-SA"/>
    </w:rPr>
  </w:style>
  <w:style w:type="paragraph" w:customStyle="1" w:styleId="74">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240" w:lineRule="atLeast"/>
      <w:jc w:val="distribute"/>
    </w:pPr>
    <w:rPr>
      <w:rFonts w:ascii="宋体" w:hAnsi="Times New Roman" w:eastAsia="宋体" w:cs="宋体"/>
      <w:b/>
      <w:bCs/>
      <w:spacing w:val="20"/>
      <w:w w:val="148"/>
      <w:sz w:val="48"/>
      <w:szCs w:val="48"/>
      <w:lang w:val="en-US" w:eastAsia="zh-CN" w:bidi="ar-SA"/>
    </w:rPr>
  </w:style>
  <w:style w:type="paragraph" w:customStyle="1" w:styleId="75">
    <w:name w:val="标准书脚_偶数页"/>
    <w:autoRedefine/>
    <w:qFormat/>
    <w:uiPriority w:val="0"/>
    <w:pPr>
      <w:spacing w:before="120"/>
      <w:ind w:left="221"/>
    </w:pPr>
    <w:rPr>
      <w:rFonts w:ascii="宋体" w:hAnsi="Times New Roman" w:eastAsia="宋体" w:cs="宋体"/>
      <w:sz w:val="18"/>
      <w:szCs w:val="18"/>
      <w:lang w:val="en-US" w:eastAsia="zh-CN" w:bidi="ar-SA"/>
    </w:rPr>
  </w:style>
  <w:style w:type="paragraph" w:customStyle="1" w:styleId="76">
    <w:name w:val="标准书眉_偶数页"/>
    <w:basedOn w:val="51"/>
    <w:next w:val="1"/>
    <w:autoRedefine/>
    <w:qFormat/>
    <w:uiPriority w:val="0"/>
    <w:pPr>
      <w:jc w:val="left"/>
    </w:pPr>
  </w:style>
  <w:style w:type="paragraph" w:customStyle="1" w:styleId="77">
    <w:name w:val="标准书眉一"/>
    <w:autoRedefine/>
    <w:qFormat/>
    <w:uiPriority w:val="0"/>
    <w:pPr>
      <w:jc w:val="both"/>
    </w:pPr>
    <w:rPr>
      <w:rFonts w:ascii="Times New Roman" w:hAnsi="Times New Roman" w:eastAsia="宋体" w:cs="Times New Roman"/>
      <w:lang w:val="en-US" w:eastAsia="zh-CN" w:bidi="ar-SA"/>
    </w:rPr>
  </w:style>
  <w:style w:type="paragraph" w:customStyle="1" w:styleId="78">
    <w:name w:val="参考文献"/>
    <w:basedOn w:val="1"/>
    <w:next w:val="22"/>
    <w:autoRedefine/>
    <w:qFormat/>
    <w:uiPriority w:val="0"/>
    <w:pPr>
      <w:keepNext/>
      <w:pageBreakBefore/>
      <w:widowControl/>
      <w:shd w:val="clear" w:color="FFFFFF" w:fill="FFFFFF"/>
      <w:spacing w:before="640" w:after="200"/>
      <w:jc w:val="center"/>
      <w:outlineLvl w:val="0"/>
    </w:pPr>
    <w:rPr>
      <w:rFonts w:ascii="黑体" w:eastAsia="黑体" w:cs="黑体"/>
      <w:kern w:val="0"/>
    </w:rPr>
  </w:style>
  <w:style w:type="paragraph" w:customStyle="1" w:styleId="79">
    <w:name w:val="参考文献、索引标题"/>
    <w:basedOn w:val="1"/>
    <w:next w:val="22"/>
    <w:autoRedefine/>
    <w:qFormat/>
    <w:uiPriority w:val="0"/>
    <w:pPr>
      <w:keepNext/>
      <w:pageBreakBefore/>
      <w:widowControl/>
      <w:shd w:val="clear" w:color="FFFFFF" w:fill="FFFFFF"/>
      <w:spacing w:before="640" w:after="200"/>
      <w:jc w:val="center"/>
      <w:outlineLvl w:val="0"/>
    </w:pPr>
    <w:rPr>
      <w:rFonts w:ascii="黑体" w:eastAsia="黑体" w:cs="黑体"/>
      <w:kern w:val="0"/>
    </w:rPr>
  </w:style>
  <w:style w:type="character" w:customStyle="1" w:styleId="80">
    <w:name w:val="发布"/>
    <w:basedOn w:val="33"/>
    <w:autoRedefine/>
    <w:qFormat/>
    <w:uiPriority w:val="0"/>
    <w:rPr>
      <w:rFonts w:ascii="黑体" w:eastAsia="黑体" w:cs="黑体"/>
      <w:spacing w:val="85"/>
      <w:w w:val="100"/>
      <w:position w:val="3"/>
      <w:sz w:val="28"/>
      <w:szCs w:val="28"/>
    </w:rPr>
  </w:style>
  <w:style w:type="paragraph" w:customStyle="1" w:styleId="81">
    <w:name w:val="发布部门"/>
    <w:next w:val="22"/>
    <w:qFormat/>
    <w:uiPriority w:val="0"/>
    <w:pPr>
      <w:framePr w:w="7938" w:h="1134" w:hRule="exact" w:hSpace="125" w:vSpace="181" w:wrap="around" w:vAnchor="page" w:hAnchor="page" w:x="2150" w:y="14630" w:anchorLock="1"/>
      <w:jc w:val="center"/>
    </w:pPr>
    <w:rPr>
      <w:rFonts w:ascii="宋体" w:hAnsi="Times New Roman" w:eastAsia="宋体" w:cs="宋体"/>
      <w:b/>
      <w:bCs/>
      <w:spacing w:val="20"/>
      <w:w w:val="135"/>
      <w:sz w:val="28"/>
      <w:szCs w:val="28"/>
      <w:lang w:val="en-US" w:eastAsia="zh-CN" w:bidi="ar-SA"/>
    </w:rPr>
  </w:style>
  <w:style w:type="paragraph" w:customStyle="1" w:styleId="82">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szCs w:val="28"/>
      <w:lang w:val="en-US" w:eastAsia="zh-CN" w:bidi="ar-SA"/>
    </w:rPr>
  </w:style>
  <w:style w:type="paragraph" w:customStyle="1" w:styleId="83">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宋体"/>
      <w:sz w:val="21"/>
      <w:szCs w:val="21"/>
      <w:lang w:val="en-US" w:eastAsia="zh-CN" w:bidi="ar-SA"/>
    </w:rPr>
  </w:style>
  <w:style w:type="paragraph" w:customStyle="1" w:styleId="8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szCs w:val="28"/>
      <w:lang w:val="en-US" w:eastAsia="zh-CN" w:bidi="ar-SA"/>
    </w:rPr>
  </w:style>
  <w:style w:type="paragraph" w:customStyle="1" w:styleId="8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86">
    <w:name w:val="封面标准英文名称"/>
    <w:basedOn w:val="85"/>
    <w:autoRedefine/>
    <w:qFormat/>
    <w:uiPriority w:val="0"/>
    <w:pPr>
      <w:framePr w:wrap="around"/>
      <w:spacing w:before="370" w:line="400" w:lineRule="exact"/>
    </w:pPr>
    <w:rPr>
      <w:rFonts w:ascii="Times New Roman" w:cs="Times New Roman"/>
      <w:sz w:val="28"/>
      <w:szCs w:val="28"/>
    </w:rPr>
  </w:style>
  <w:style w:type="paragraph" w:customStyle="1" w:styleId="87">
    <w:name w:val="封面一致性程度标识"/>
    <w:basedOn w:val="86"/>
    <w:qFormat/>
    <w:uiPriority w:val="0"/>
    <w:pPr>
      <w:framePr w:wrap="around"/>
      <w:spacing w:before="440"/>
    </w:pPr>
    <w:rPr>
      <w:rFonts w:ascii="宋体" w:eastAsia="宋体" w:cs="宋体"/>
    </w:rPr>
  </w:style>
  <w:style w:type="paragraph" w:customStyle="1" w:styleId="88">
    <w:name w:val="封面标准文稿类别"/>
    <w:basedOn w:val="87"/>
    <w:autoRedefine/>
    <w:qFormat/>
    <w:uiPriority w:val="0"/>
    <w:pPr>
      <w:framePr w:wrap="around"/>
      <w:spacing w:after="160" w:line="240" w:lineRule="auto"/>
    </w:pPr>
    <w:rPr>
      <w:sz w:val="24"/>
      <w:szCs w:val="24"/>
    </w:rPr>
  </w:style>
  <w:style w:type="paragraph" w:customStyle="1" w:styleId="89">
    <w:name w:val="封面标准文稿编辑信息"/>
    <w:basedOn w:val="88"/>
    <w:qFormat/>
    <w:uiPriority w:val="0"/>
    <w:pPr>
      <w:framePr w:wrap="around"/>
      <w:spacing w:before="180" w:line="180" w:lineRule="exact"/>
    </w:pPr>
    <w:rPr>
      <w:sz w:val="21"/>
      <w:szCs w:val="21"/>
    </w:rPr>
  </w:style>
  <w:style w:type="paragraph" w:customStyle="1" w:styleId="90">
    <w:name w:val="封面正文"/>
    <w:autoRedefine/>
    <w:qFormat/>
    <w:uiPriority w:val="0"/>
    <w:pPr>
      <w:jc w:val="both"/>
    </w:pPr>
    <w:rPr>
      <w:rFonts w:ascii="Times New Roman" w:hAnsi="Times New Roman" w:eastAsia="宋体" w:cs="Times New Roman"/>
      <w:lang w:val="en-US" w:eastAsia="zh-CN" w:bidi="ar-SA"/>
    </w:rPr>
  </w:style>
  <w:style w:type="paragraph" w:customStyle="1" w:styleId="91">
    <w:name w:val="附录标识"/>
    <w:basedOn w:val="1"/>
    <w:next w:val="22"/>
    <w:autoRedefine/>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cs="黑体"/>
      <w:kern w:val="0"/>
    </w:rPr>
  </w:style>
  <w:style w:type="paragraph" w:customStyle="1" w:styleId="92">
    <w:name w:val="附录标题"/>
    <w:basedOn w:val="22"/>
    <w:next w:val="22"/>
    <w:autoRedefine/>
    <w:qFormat/>
    <w:uiPriority w:val="0"/>
    <w:pPr>
      <w:ind w:firstLine="0" w:firstLineChars="0"/>
      <w:jc w:val="center"/>
    </w:pPr>
    <w:rPr>
      <w:rFonts w:ascii="黑体" w:eastAsia="黑体" w:cs="黑体"/>
    </w:rPr>
  </w:style>
  <w:style w:type="paragraph" w:customStyle="1" w:styleId="93">
    <w:name w:val="附录表标号"/>
    <w:basedOn w:val="1"/>
    <w:next w:val="22"/>
    <w:autoRedefine/>
    <w:qFormat/>
    <w:uiPriority w:val="0"/>
    <w:pPr>
      <w:numPr>
        <w:ilvl w:val="0"/>
        <w:numId w:val="11"/>
      </w:numPr>
      <w:spacing w:line="14" w:lineRule="exact"/>
      <w:ind w:left="811" w:hanging="448"/>
      <w:jc w:val="center"/>
      <w:outlineLvl w:val="0"/>
    </w:pPr>
    <w:rPr>
      <w:color w:val="FFFFFF"/>
    </w:rPr>
  </w:style>
  <w:style w:type="paragraph" w:customStyle="1" w:styleId="94">
    <w:name w:val="附录表标题"/>
    <w:basedOn w:val="1"/>
    <w:next w:val="22"/>
    <w:autoRedefine/>
    <w:qFormat/>
    <w:uiPriority w:val="0"/>
    <w:pPr>
      <w:numPr>
        <w:ilvl w:val="1"/>
        <w:numId w:val="11"/>
      </w:numPr>
      <w:tabs>
        <w:tab w:val="left" w:pos="180"/>
      </w:tabs>
      <w:spacing w:beforeLines="50" w:afterLines="50"/>
      <w:jc w:val="center"/>
    </w:pPr>
    <w:rPr>
      <w:rFonts w:ascii="黑体" w:eastAsia="黑体" w:cs="黑体"/>
    </w:rPr>
  </w:style>
  <w:style w:type="paragraph" w:customStyle="1" w:styleId="95">
    <w:name w:val="附录二级条标题"/>
    <w:basedOn w:val="1"/>
    <w:next w:val="22"/>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cs="黑体"/>
      <w:kern w:val="21"/>
    </w:rPr>
  </w:style>
  <w:style w:type="paragraph" w:customStyle="1" w:styleId="96">
    <w:name w:val="附录二级无"/>
    <w:basedOn w:val="95"/>
    <w:autoRedefine/>
    <w:qFormat/>
    <w:uiPriority w:val="0"/>
    <w:pPr>
      <w:tabs>
        <w:tab w:val="clear" w:pos="360"/>
      </w:tabs>
      <w:spacing w:beforeLines="0" w:afterLines="0"/>
    </w:pPr>
    <w:rPr>
      <w:rFonts w:ascii="宋体" w:eastAsia="宋体" w:cs="宋体"/>
    </w:rPr>
  </w:style>
  <w:style w:type="paragraph" w:customStyle="1" w:styleId="97">
    <w:name w:val="附录公式"/>
    <w:basedOn w:val="22"/>
    <w:next w:val="22"/>
    <w:link w:val="98"/>
    <w:autoRedefine/>
    <w:qFormat/>
    <w:uiPriority w:val="0"/>
  </w:style>
  <w:style w:type="character" w:customStyle="1" w:styleId="98">
    <w:name w:val="附录公式 Char"/>
    <w:basedOn w:val="48"/>
    <w:link w:val="97"/>
    <w:autoRedefine/>
    <w:qFormat/>
    <w:locked/>
    <w:uiPriority w:val="0"/>
    <w:rPr>
      <w:rFonts w:ascii="宋体" w:cs="宋体"/>
      <w:sz w:val="21"/>
      <w:szCs w:val="21"/>
      <w:lang w:val="en-US" w:eastAsia="zh-CN" w:bidi="ar-SA"/>
    </w:rPr>
  </w:style>
  <w:style w:type="paragraph" w:customStyle="1" w:styleId="99">
    <w:name w:val="附录公式编号制表符"/>
    <w:basedOn w:val="1"/>
    <w:next w:val="22"/>
    <w:autoRedefine/>
    <w:qFormat/>
    <w:uiPriority w:val="0"/>
    <w:pPr>
      <w:widowControl/>
      <w:tabs>
        <w:tab w:val="center" w:pos="4201"/>
        <w:tab w:val="right" w:leader="dot" w:pos="9298"/>
      </w:tabs>
      <w:autoSpaceDE w:val="0"/>
      <w:autoSpaceDN w:val="0"/>
    </w:pPr>
    <w:rPr>
      <w:rFonts w:ascii="宋体" w:cs="宋体"/>
      <w:kern w:val="0"/>
    </w:rPr>
  </w:style>
  <w:style w:type="paragraph" w:customStyle="1" w:styleId="100">
    <w:name w:val="附录三级条标题"/>
    <w:basedOn w:val="95"/>
    <w:next w:val="22"/>
    <w:qFormat/>
    <w:uiPriority w:val="0"/>
    <w:pPr>
      <w:numPr>
        <w:ilvl w:val="4"/>
      </w:numPr>
      <w:outlineLvl w:val="4"/>
    </w:pPr>
  </w:style>
  <w:style w:type="paragraph" w:customStyle="1" w:styleId="101">
    <w:name w:val="附录三级无"/>
    <w:basedOn w:val="100"/>
    <w:autoRedefine/>
    <w:qFormat/>
    <w:uiPriority w:val="0"/>
    <w:pPr>
      <w:tabs>
        <w:tab w:val="clear" w:pos="360"/>
      </w:tabs>
      <w:spacing w:beforeLines="0" w:afterLines="0"/>
    </w:pPr>
    <w:rPr>
      <w:rFonts w:ascii="宋体" w:eastAsia="宋体" w:cs="宋体"/>
    </w:rPr>
  </w:style>
  <w:style w:type="paragraph" w:customStyle="1" w:styleId="102">
    <w:name w:val="附录数字编号列项（二级）"/>
    <w:autoRedefine/>
    <w:qFormat/>
    <w:uiPriority w:val="0"/>
    <w:pPr>
      <w:numPr>
        <w:ilvl w:val="1"/>
        <w:numId w:val="12"/>
      </w:numPr>
    </w:pPr>
    <w:rPr>
      <w:rFonts w:ascii="宋体" w:hAnsi="Times New Roman" w:eastAsia="宋体" w:cs="宋体"/>
      <w:sz w:val="21"/>
      <w:szCs w:val="21"/>
      <w:lang w:val="en-US" w:eastAsia="zh-CN" w:bidi="ar-SA"/>
    </w:rPr>
  </w:style>
  <w:style w:type="paragraph" w:customStyle="1" w:styleId="103">
    <w:name w:val="附录四级条标题"/>
    <w:basedOn w:val="100"/>
    <w:next w:val="22"/>
    <w:qFormat/>
    <w:uiPriority w:val="0"/>
    <w:pPr>
      <w:numPr>
        <w:ilvl w:val="5"/>
      </w:numPr>
      <w:outlineLvl w:val="5"/>
    </w:pPr>
  </w:style>
  <w:style w:type="paragraph" w:customStyle="1" w:styleId="104">
    <w:name w:val="附录四级无"/>
    <w:basedOn w:val="103"/>
    <w:autoRedefine/>
    <w:qFormat/>
    <w:uiPriority w:val="0"/>
    <w:pPr>
      <w:tabs>
        <w:tab w:val="clear" w:pos="360"/>
      </w:tabs>
      <w:spacing w:beforeLines="0" w:afterLines="0"/>
    </w:pPr>
    <w:rPr>
      <w:rFonts w:ascii="宋体" w:eastAsia="宋体" w:cs="宋体"/>
    </w:rPr>
  </w:style>
  <w:style w:type="paragraph" w:customStyle="1" w:styleId="105">
    <w:name w:val="附录图标号"/>
    <w:basedOn w:val="1"/>
    <w:autoRedefine/>
    <w:qFormat/>
    <w:uiPriority w:val="0"/>
    <w:pPr>
      <w:keepNext/>
      <w:pageBreakBefore/>
      <w:widowControl/>
      <w:numPr>
        <w:ilvl w:val="0"/>
        <w:numId w:val="13"/>
      </w:numPr>
      <w:spacing w:line="14" w:lineRule="exact"/>
      <w:ind w:firstLine="363"/>
      <w:jc w:val="center"/>
      <w:outlineLvl w:val="0"/>
    </w:pPr>
    <w:rPr>
      <w:color w:val="FFFFFF"/>
    </w:rPr>
  </w:style>
  <w:style w:type="paragraph" w:customStyle="1" w:styleId="106">
    <w:name w:val="附录图标题"/>
    <w:basedOn w:val="1"/>
    <w:next w:val="22"/>
    <w:autoRedefine/>
    <w:qFormat/>
    <w:uiPriority w:val="0"/>
    <w:pPr>
      <w:numPr>
        <w:ilvl w:val="1"/>
        <w:numId w:val="13"/>
      </w:numPr>
      <w:tabs>
        <w:tab w:val="left" w:pos="363"/>
      </w:tabs>
      <w:spacing w:beforeLines="50" w:afterLines="50"/>
      <w:jc w:val="center"/>
    </w:pPr>
    <w:rPr>
      <w:rFonts w:ascii="黑体" w:eastAsia="黑体" w:cs="黑体"/>
    </w:rPr>
  </w:style>
  <w:style w:type="paragraph" w:customStyle="1" w:styleId="107">
    <w:name w:val="附录五级条标题"/>
    <w:basedOn w:val="103"/>
    <w:next w:val="22"/>
    <w:autoRedefine/>
    <w:qFormat/>
    <w:uiPriority w:val="0"/>
    <w:pPr>
      <w:numPr>
        <w:ilvl w:val="6"/>
      </w:numPr>
      <w:outlineLvl w:val="6"/>
    </w:pPr>
  </w:style>
  <w:style w:type="paragraph" w:customStyle="1" w:styleId="108">
    <w:name w:val="附录五级无"/>
    <w:basedOn w:val="107"/>
    <w:autoRedefine/>
    <w:qFormat/>
    <w:uiPriority w:val="0"/>
    <w:pPr>
      <w:tabs>
        <w:tab w:val="clear" w:pos="360"/>
      </w:tabs>
      <w:spacing w:beforeLines="0" w:afterLines="0"/>
    </w:pPr>
    <w:rPr>
      <w:rFonts w:ascii="宋体" w:eastAsia="宋体" w:cs="宋体"/>
    </w:rPr>
  </w:style>
  <w:style w:type="paragraph" w:customStyle="1" w:styleId="109">
    <w:name w:val="附录章标题"/>
    <w:next w:val="22"/>
    <w:autoRedefine/>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黑体"/>
      <w:kern w:val="21"/>
      <w:sz w:val="21"/>
      <w:szCs w:val="21"/>
      <w:lang w:val="en-US" w:eastAsia="zh-CN" w:bidi="ar-SA"/>
    </w:rPr>
  </w:style>
  <w:style w:type="paragraph" w:customStyle="1" w:styleId="110">
    <w:name w:val="附录一级条标题"/>
    <w:basedOn w:val="109"/>
    <w:next w:val="22"/>
    <w:autoRedefine/>
    <w:qFormat/>
    <w:uiPriority w:val="0"/>
    <w:pPr>
      <w:numPr>
        <w:ilvl w:val="2"/>
      </w:numPr>
      <w:autoSpaceDN w:val="0"/>
      <w:spacing w:beforeLines="50" w:afterLines="50"/>
      <w:outlineLvl w:val="2"/>
    </w:pPr>
  </w:style>
  <w:style w:type="paragraph" w:customStyle="1" w:styleId="111">
    <w:name w:val="附录一级无"/>
    <w:basedOn w:val="110"/>
    <w:autoRedefine/>
    <w:qFormat/>
    <w:uiPriority w:val="0"/>
    <w:pPr>
      <w:tabs>
        <w:tab w:val="clear" w:pos="360"/>
      </w:tabs>
      <w:spacing w:beforeLines="0" w:afterLines="0"/>
    </w:pPr>
    <w:rPr>
      <w:rFonts w:ascii="宋体" w:eastAsia="宋体" w:cs="宋体"/>
    </w:rPr>
  </w:style>
  <w:style w:type="paragraph" w:customStyle="1" w:styleId="112">
    <w:name w:val="附录字母编号列项（一级）"/>
    <w:autoRedefine/>
    <w:qFormat/>
    <w:uiPriority w:val="0"/>
    <w:pPr>
      <w:numPr>
        <w:ilvl w:val="0"/>
        <w:numId w:val="12"/>
      </w:numPr>
    </w:pPr>
    <w:rPr>
      <w:rFonts w:ascii="宋体" w:hAnsi="Times New Roman" w:eastAsia="宋体" w:cs="宋体"/>
      <w:sz w:val="21"/>
      <w:szCs w:val="21"/>
      <w:lang w:val="en-US" w:eastAsia="zh-CN" w:bidi="ar-SA"/>
    </w:rPr>
  </w:style>
  <w:style w:type="paragraph" w:customStyle="1" w:styleId="113">
    <w:name w:val="列项说明"/>
    <w:basedOn w:val="1"/>
    <w:autoRedefine/>
    <w:qFormat/>
    <w:uiPriority w:val="0"/>
    <w:pPr>
      <w:adjustRightInd w:val="0"/>
      <w:spacing w:line="320" w:lineRule="exact"/>
      <w:ind w:left="400" w:leftChars="200" w:hanging="200" w:hangingChars="200"/>
      <w:jc w:val="left"/>
      <w:textAlignment w:val="baseline"/>
    </w:pPr>
    <w:rPr>
      <w:rFonts w:ascii="宋体" w:cs="宋体"/>
      <w:kern w:val="0"/>
    </w:rPr>
  </w:style>
  <w:style w:type="paragraph" w:customStyle="1" w:styleId="114">
    <w:name w:val="列项说明数字编号"/>
    <w:autoRedefine/>
    <w:qFormat/>
    <w:uiPriority w:val="0"/>
    <w:pPr>
      <w:ind w:left="600" w:leftChars="400" w:hanging="200" w:hangingChars="200"/>
    </w:pPr>
    <w:rPr>
      <w:rFonts w:ascii="宋体" w:hAnsi="Times New Roman" w:eastAsia="宋体" w:cs="宋体"/>
      <w:sz w:val="21"/>
      <w:szCs w:val="21"/>
      <w:lang w:val="en-US" w:eastAsia="zh-CN" w:bidi="ar-SA"/>
    </w:rPr>
  </w:style>
  <w:style w:type="paragraph" w:customStyle="1" w:styleId="115">
    <w:name w:val="目次、索引正文"/>
    <w:autoRedefine/>
    <w:qFormat/>
    <w:uiPriority w:val="0"/>
    <w:pPr>
      <w:spacing w:line="320" w:lineRule="exact"/>
      <w:jc w:val="both"/>
    </w:pPr>
    <w:rPr>
      <w:rFonts w:ascii="宋体" w:hAnsi="Times New Roman" w:eastAsia="宋体" w:cs="宋体"/>
      <w:sz w:val="21"/>
      <w:szCs w:val="21"/>
      <w:lang w:val="en-US" w:eastAsia="zh-CN" w:bidi="ar-SA"/>
    </w:rPr>
  </w:style>
  <w:style w:type="paragraph" w:customStyle="1" w:styleId="116">
    <w:name w:val="其他标准标志"/>
    <w:basedOn w:val="73"/>
    <w:autoRedefine/>
    <w:qFormat/>
    <w:uiPriority w:val="0"/>
    <w:pPr>
      <w:framePr w:w="6101" w:wrap="around" w:vAnchor="page" w:hAnchor="page" w:x="4673" w:y="942"/>
    </w:pPr>
    <w:rPr>
      <w:w w:val="130"/>
    </w:rPr>
  </w:style>
  <w:style w:type="paragraph" w:customStyle="1" w:styleId="117">
    <w:name w:val="其他标准称谓"/>
    <w:next w:val="1"/>
    <w:autoRedefine/>
    <w:qFormat/>
    <w:uiPriority w:val="0"/>
    <w:pPr>
      <w:framePr w:hSpace="181" w:vSpace="181" w:wrap="around" w:vAnchor="page" w:hAnchor="page" w:x="1419" w:y="2286" w:anchorLock="1"/>
      <w:spacing w:line="240" w:lineRule="atLeast"/>
      <w:jc w:val="distribute"/>
    </w:pPr>
    <w:rPr>
      <w:rFonts w:ascii="黑体" w:hAnsi="宋体" w:eastAsia="黑体" w:cs="黑体"/>
      <w:spacing w:val="-40"/>
      <w:sz w:val="48"/>
      <w:szCs w:val="48"/>
      <w:lang w:val="en-US" w:eastAsia="zh-CN" w:bidi="ar-SA"/>
    </w:rPr>
  </w:style>
  <w:style w:type="paragraph" w:customStyle="1" w:styleId="118">
    <w:name w:val="其他发布部门"/>
    <w:basedOn w:val="81"/>
    <w:autoRedefine/>
    <w:qFormat/>
    <w:uiPriority w:val="0"/>
    <w:pPr>
      <w:framePr w:wrap="around" w:y="15310"/>
      <w:spacing w:line="240" w:lineRule="atLeast"/>
    </w:pPr>
    <w:rPr>
      <w:rFonts w:ascii="黑体" w:eastAsia="黑体" w:cs="黑体"/>
      <w:b w:val="0"/>
      <w:bCs w:val="0"/>
    </w:rPr>
  </w:style>
  <w:style w:type="paragraph" w:customStyle="1" w:styleId="119">
    <w:name w:val="前言、引言标题"/>
    <w:next w:val="22"/>
    <w:autoRedefine/>
    <w:qFormat/>
    <w:uiPriority w:val="0"/>
    <w:pPr>
      <w:keepNext/>
      <w:pageBreakBefore/>
      <w:shd w:val="clear" w:color="FFFFFF" w:fill="FFFFFF"/>
      <w:spacing w:before="640" w:after="560"/>
      <w:jc w:val="center"/>
      <w:outlineLvl w:val="0"/>
    </w:pPr>
    <w:rPr>
      <w:rFonts w:ascii="黑体" w:hAnsi="Times New Roman" w:eastAsia="黑体" w:cs="黑体"/>
      <w:sz w:val="32"/>
      <w:szCs w:val="32"/>
      <w:lang w:val="en-US" w:eastAsia="zh-CN" w:bidi="ar-SA"/>
    </w:rPr>
  </w:style>
  <w:style w:type="paragraph" w:customStyle="1" w:styleId="120">
    <w:name w:val="三级无"/>
    <w:basedOn w:val="58"/>
    <w:autoRedefine/>
    <w:qFormat/>
    <w:uiPriority w:val="0"/>
    <w:pPr>
      <w:spacing w:beforeLines="0" w:afterLines="0"/>
    </w:pPr>
    <w:rPr>
      <w:rFonts w:ascii="宋体" w:eastAsia="宋体" w:cs="宋体"/>
    </w:rPr>
  </w:style>
  <w:style w:type="paragraph" w:customStyle="1" w:styleId="121">
    <w:name w:val="实施日期"/>
    <w:basedOn w:val="82"/>
    <w:autoRedefine/>
    <w:qFormat/>
    <w:uiPriority w:val="0"/>
    <w:pPr>
      <w:framePr w:wrap="around" w:vAnchor="page" w:hAnchor="text"/>
      <w:jc w:val="right"/>
    </w:pPr>
  </w:style>
  <w:style w:type="paragraph" w:customStyle="1" w:styleId="122">
    <w:name w:val="示例后文字"/>
    <w:basedOn w:val="22"/>
    <w:next w:val="22"/>
    <w:autoRedefine/>
    <w:qFormat/>
    <w:uiPriority w:val="0"/>
    <w:pPr>
      <w:ind w:firstLine="360"/>
    </w:pPr>
    <w:rPr>
      <w:sz w:val="18"/>
      <w:szCs w:val="18"/>
    </w:rPr>
  </w:style>
  <w:style w:type="paragraph" w:customStyle="1" w:styleId="123">
    <w:name w:val="首示例"/>
    <w:next w:val="22"/>
    <w:link w:val="124"/>
    <w:autoRedefine/>
    <w:qFormat/>
    <w:uiPriority w:val="0"/>
    <w:pPr>
      <w:numPr>
        <w:ilvl w:val="0"/>
        <w:numId w:val="14"/>
      </w:numPr>
      <w:tabs>
        <w:tab w:val="left" w:pos="360"/>
      </w:tabs>
    </w:pPr>
    <w:rPr>
      <w:rFonts w:ascii="宋体" w:hAnsi="宋体" w:eastAsia="宋体" w:cs="宋体"/>
      <w:kern w:val="2"/>
      <w:sz w:val="18"/>
      <w:szCs w:val="18"/>
      <w:lang w:val="en-US" w:eastAsia="zh-CN" w:bidi="ar-SA"/>
    </w:rPr>
  </w:style>
  <w:style w:type="character" w:customStyle="1" w:styleId="124">
    <w:name w:val="首示例 Char"/>
    <w:basedOn w:val="33"/>
    <w:link w:val="123"/>
    <w:autoRedefine/>
    <w:qFormat/>
    <w:locked/>
    <w:uiPriority w:val="0"/>
    <w:rPr>
      <w:rFonts w:ascii="宋体" w:hAnsi="宋体" w:cs="宋体"/>
      <w:kern w:val="2"/>
      <w:sz w:val="18"/>
      <w:szCs w:val="18"/>
    </w:rPr>
  </w:style>
  <w:style w:type="paragraph" w:customStyle="1" w:styleId="125">
    <w:name w:val="四级无"/>
    <w:basedOn w:val="62"/>
    <w:autoRedefine/>
    <w:qFormat/>
    <w:uiPriority w:val="0"/>
    <w:pPr>
      <w:spacing w:beforeLines="0" w:afterLines="0"/>
    </w:pPr>
    <w:rPr>
      <w:rFonts w:ascii="宋体" w:eastAsia="宋体" w:cs="宋体"/>
    </w:rPr>
  </w:style>
  <w:style w:type="paragraph" w:customStyle="1" w:styleId="126">
    <w:name w:val="条文脚注"/>
    <w:basedOn w:val="23"/>
    <w:autoRedefine/>
    <w:qFormat/>
    <w:uiPriority w:val="0"/>
    <w:pPr>
      <w:numPr>
        <w:numId w:val="0"/>
      </w:numPr>
      <w:jc w:val="both"/>
    </w:pPr>
  </w:style>
  <w:style w:type="paragraph" w:customStyle="1" w:styleId="127">
    <w:name w:val="图标脚注说明"/>
    <w:basedOn w:val="22"/>
    <w:autoRedefine/>
    <w:qFormat/>
    <w:uiPriority w:val="0"/>
    <w:pPr>
      <w:ind w:left="840" w:hanging="420" w:firstLineChars="0"/>
    </w:pPr>
    <w:rPr>
      <w:sz w:val="18"/>
      <w:szCs w:val="18"/>
    </w:rPr>
  </w:style>
  <w:style w:type="paragraph" w:customStyle="1" w:styleId="128">
    <w:name w:val="图表脚注说明"/>
    <w:basedOn w:val="1"/>
    <w:autoRedefine/>
    <w:qFormat/>
    <w:uiPriority w:val="0"/>
    <w:pPr>
      <w:numPr>
        <w:ilvl w:val="0"/>
        <w:numId w:val="15"/>
      </w:numPr>
    </w:pPr>
    <w:rPr>
      <w:rFonts w:ascii="宋体" w:cs="宋体"/>
      <w:sz w:val="18"/>
      <w:szCs w:val="18"/>
    </w:rPr>
  </w:style>
  <w:style w:type="paragraph" w:customStyle="1" w:styleId="129">
    <w:name w:val="图的脚注"/>
    <w:next w:val="22"/>
    <w:autoRedefine/>
    <w:qFormat/>
    <w:uiPriority w:val="0"/>
    <w:pPr>
      <w:widowControl w:val="0"/>
      <w:ind w:left="840" w:leftChars="200" w:hanging="420" w:hangingChars="200"/>
      <w:jc w:val="both"/>
    </w:pPr>
    <w:rPr>
      <w:rFonts w:ascii="宋体" w:hAnsi="Times New Roman" w:eastAsia="宋体" w:cs="宋体"/>
      <w:sz w:val="18"/>
      <w:szCs w:val="18"/>
      <w:lang w:val="en-US" w:eastAsia="zh-CN" w:bidi="ar-SA"/>
    </w:rPr>
  </w:style>
  <w:style w:type="paragraph" w:customStyle="1" w:styleId="130">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黑体"/>
      <w:sz w:val="21"/>
      <w:szCs w:val="21"/>
      <w:lang w:val="en-US" w:eastAsia="zh-CN" w:bidi="ar-SA"/>
    </w:rPr>
  </w:style>
  <w:style w:type="paragraph" w:customStyle="1" w:styleId="131">
    <w:name w:val="五级无"/>
    <w:basedOn w:val="63"/>
    <w:autoRedefine/>
    <w:qFormat/>
    <w:uiPriority w:val="0"/>
    <w:pPr>
      <w:spacing w:beforeLines="0" w:afterLines="0"/>
    </w:pPr>
    <w:rPr>
      <w:rFonts w:ascii="宋体" w:eastAsia="宋体" w:cs="宋体"/>
    </w:rPr>
  </w:style>
  <w:style w:type="paragraph" w:customStyle="1" w:styleId="132">
    <w:name w:val="一级无"/>
    <w:basedOn w:val="49"/>
    <w:autoRedefine/>
    <w:qFormat/>
    <w:uiPriority w:val="0"/>
    <w:pPr>
      <w:spacing w:beforeLines="0" w:afterLines="0"/>
    </w:pPr>
    <w:rPr>
      <w:rFonts w:ascii="宋体" w:eastAsia="宋体" w:cs="宋体"/>
    </w:rPr>
  </w:style>
  <w:style w:type="paragraph" w:customStyle="1" w:styleId="133">
    <w:name w:val="正文表标题"/>
    <w:next w:val="22"/>
    <w:autoRedefine/>
    <w:qFormat/>
    <w:uiPriority w:val="0"/>
    <w:pPr>
      <w:numPr>
        <w:ilvl w:val="0"/>
        <w:numId w:val="16"/>
      </w:numPr>
      <w:tabs>
        <w:tab w:val="left" w:pos="360"/>
      </w:tabs>
      <w:spacing w:beforeLines="50" w:afterLines="50"/>
      <w:jc w:val="center"/>
    </w:pPr>
    <w:rPr>
      <w:rFonts w:ascii="黑体" w:hAnsi="Times New Roman" w:eastAsia="黑体" w:cs="黑体"/>
      <w:sz w:val="21"/>
      <w:szCs w:val="21"/>
      <w:lang w:val="en-US" w:eastAsia="zh-CN" w:bidi="ar-SA"/>
    </w:rPr>
  </w:style>
  <w:style w:type="paragraph" w:customStyle="1" w:styleId="134">
    <w:name w:val="正文公式编号制表符"/>
    <w:basedOn w:val="22"/>
    <w:next w:val="22"/>
    <w:autoRedefine/>
    <w:qFormat/>
    <w:uiPriority w:val="0"/>
    <w:pPr>
      <w:ind w:firstLine="0" w:firstLineChars="0"/>
    </w:pPr>
  </w:style>
  <w:style w:type="paragraph" w:customStyle="1" w:styleId="135">
    <w:name w:val="正文图标题"/>
    <w:next w:val="22"/>
    <w:autoRedefine/>
    <w:qFormat/>
    <w:uiPriority w:val="0"/>
    <w:pPr>
      <w:numPr>
        <w:ilvl w:val="0"/>
        <w:numId w:val="17"/>
      </w:numPr>
      <w:tabs>
        <w:tab w:val="left" w:pos="360"/>
      </w:tabs>
      <w:spacing w:beforeLines="50" w:afterLines="50"/>
      <w:jc w:val="center"/>
    </w:pPr>
    <w:rPr>
      <w:rFonts w:ascii="黑体" w:hAnsi="Times New Roman" w:eastAsia="黑体" w:cs="黑体"/>
      <w:sz w:val="21"/>
      <w:szCs w:val="21"/>
      <w:lang w:val="en-US" w:eastAsia="zh-CN" w:bidi="ar-SA"/>
    </w:rPr>
  </w:style>
  <w:style w:type="paragraph" w:customStyle="1" w:styleId="136">
    <w:name w:val="终结线"/>
    <w:basedOn w:val="1"/>
    <w:autoRedefine/>
    <w:qFormat/>
    <w:uiPriority w:val="0"/>
    <w:pPr>
      <w:framePr w:hSpace="181" w:vSpace="181" w:wrap="around" w:vAnchor="text" w:hAnchor="margin" w:xAlign="center" w:y="285"/>
    </w:pPr>
  </w:style>
  <w:style w:type="paragraph" w:customStyle="1" w:styleId="137">
    <w:name w:val="其他发布日期"/>
    <w:basedOn w:val="82"/>
    <w:autoRedefine/>
    <w:qFormat/>
    <w:uiPriority w:val="0"/>
    <w:pPr>
      <w:framePr w:wrap="around" w:vAnchor="page" w:hAnchor="text" w:x="1419"/>
    </w:pPr>
  </w:style>
  <w:style w:type="paragraph" w:customStyle="1" w:styleId="138">
    <w:name w:val="其他实施日期"/>
    <w:basedOn w:val="121"/>
    <w:autoRedefine/>
    <w:qFormat/>
    <w:uiPriority w:val="0"/>
    <w:pPr>
      <w:framePr w:wrap="around"/>
    </w:pPr>
  </w:style>
  <w:style w:type="paragraph" w:customStyle="1" w:styleId="139">
    <w:name w:val="封面标准名称2"/>
    <w:basedOn w:val="85"/>
    <w:autoRedefine/>
    <w:qFormat/>
    <w:uiPriority w:val="0"/>
    <w:pPr>
      <w:framePr w:wrap="around" w:y="4469"/>
      <w:spacing w:beforeLines="630"/>
    </w:pPr>
  </w:style>
  <w:style w:type="paragraph" w:customStyle="1" w:styleId="140">
    <w:name w:val="封面标准英文名称2"/>
    <w:basedOn w:val="86"/>
    <w:autoRedefine/>
    <w:qFormat/>
    <w:uiPriority w:val="0"/>
    <w:pPr>
      <w:framePr w:wrap="around" w:y="4469"/>
    </w:pPr>
  </w:style>
  <w:style w:type="paragraph" w:customStyle="1" w:styleId="141">
    <w:name w:val="封面一致性程度标识2"/>
    <w:basedOn w:val="87"/>
    <w:autoRedefine/>
    <w:qFormat/>
    <w:uiPriority w:val="0"/>
    <w:pPr>
      <w:framePr w:wrap="around" w:y="4469"/>
    </w:pPr>
  </w:style>
  <w:style w:type="paragraph" w:customStyle="1" w:styleId="142">
    <w:name w:val="封面标准文稿类别2"/>
    <w:basedOn w:val="88"/>
    <w:autoRedefine/>
    <w:qFormat/>
    <w:uiPriority w:val="0"/>
    <w:pPr>
      <w:framePr w:wrap="around" w:y="4469"/>
    </w:pPr>
  </w:style>
  <w:style w:type="paragraph" w:customStyle="1" w:styleId="143">
    <w:name w:val="封面标准文稿编辑信息2"/>
    <w:basedOn w:val="89"/>
    <w:autoRedefine/>
    <w:qFormat/>
    <w:uiPriority w:val="0"/>
    <w:pPr>
      <w:framePr w:wrap="around" w:y="4469"/>
    </w:pPr>
  </w:style>
  <w:style w:type="character" w:customStyle="1" w:styleId="144">
    <w:name w:val="章标题 Char"/>
    <w:link w:val="52"/>
    <w:autoRedefine/>
    <w:qFormat/>
    <w:locked/>
    <w:uiPriority w:val="0"/>
    <w:rPr>
      <w:rFonts w:ascii="黑体" w:eastAsia="黑体"/>
      <w:sz w:val="21"/>
    </w:rPr>
  </w:style>
  <w:style w:type="character" w:customStyle="1" w:styleId="145">
    <w:name w:val="一级条标题 Char"/>
    <w:link w:val="49"/>
    <w:autoRedefine/>
    <w:qFormat/>
    <w:locked/>
    <w:uiPriority w:val="0"/>
    <w:rPr>
      <w:rFonts w:ascii="黑体" w:eastAsia="黑体"/>
      <w:sz w:val="21"/>
    </w:rPr>
  </w:style>
  <w:style w:type="character" w:customStyle="1" w:styleId="146">
    <w:name w:val="二级条标题 Char"/>
    <w:basedOn w:val="145"/>
    <w:link w:val="53"/>
    <w:autoRedefine/>
    <w:qFormat/>
    <w:locked/>
    <w:uiPriority w:val="0"/>
    <w:rPr>
      <w:rFonts w:ascii="黑体" w:eastAsia="黑体"/>
      <w:sz w:val="21"/>
    </w:rPr>
  </w:style>
  <w:style w:type="paragraph" w:customStyle="1" w:styleId="147">
    <w:name w:val="Other|1"/>
    <w:basedOn w:val="1"/>
    <w:autoRedefine/>
    <w:qFormat/>
    <w:uiPriority w:val="0"/>
    <w:pPr>
      <w:jc w:val="center"/>
    </w:pPr>
    <w:rPr>
      <w:color w:val="6A6A6A"/>
      <w:sz w:val="34"/>
      <w:szCs w:val="34"/>
    </w:rPr>
  </w:style>
  <w:style w:type="paragraph" w:customStyle="1" w:styleId="148">
    <w:name w:val="Heading #4|1"/>
    <w:basedOn w:val="1"/>
    <w:autoRedefine/>
    <w:qFormat/>
    <w:uiPriority w:val="0"/>
    <w:pPr>
      <w:spacing w:after="410"/>
      <w:outlineLvl w:val="3"/>
    </w:pPr>
    <w:rPr>
      <w:rFonts w:ascii="宋体" w:hAnsi="宋体" w:cs="宋体"/>
      <w:sz w:val="36"/>
      <w:szCs w:val="36"/>
      <w:lang w:val="zh-TW" w:eastAsia="zh-TW" w:bidi="zh-TW"/>
    </w:rPr>
  </w:style>
  <w:style w:type="paragraph" w:customStyle="1" w:styleId="149">
    <w:name w:val="Body text|1"/>
    <w:basedOn w:val="1"/>
    <w:autoRedefine/>
    <w:qFormat/>
    <w:uiPriority w:val="0"/>
    <w:pPr>
      <w:spacing w:line="348" w:lineRule="auto"/>
    </w:pPr>
    <w:rPr>
      <w:rFonts w:ascii="宋体" w:hAnsi="宋体" w:cs="宋体"/>
      <w:sz w:val="19"/>
      <w:szCs w:val="19"/>
      <w:lang w:val="zh-CN" w:bidi="zh-CN"/>
    </w:rPr>
  </w:style>
  <w:style w:type="paragraph" w:customStyle="1" w:styleId="150">
    <w:name w:val="Table caption|1"/>
    <w:basedOn w:val="1"/>
    <w:autoRedefine/>
    <w:qFormat/>
    <w:uiPriority w:val="0"/>
    <w:pPr>
      <w:spacing w:line="322" w:lineRule="exact"/>
      <w:jc w:val="right"/>
    </w:pPr>
    <w:rPr>
      <w:rFonts w:ascii="宋体" w:hAnsi="宋体" w:cs="宋体"/>
      <w:sz w:val="17"/>
      <w:szCs w:val="17"/>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F8FCB2-C403-4966-A4D5-65F0E713029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3528</Words>
  <Characters>4616</Characters>
  <Lines>39</Lines>
  <Paragraphs>11</Paragraphs>
  <TotalTime>242</TotalTime>
  <ScaleCrop>false</ScaleCrop>
  <LinksUpToDate>false</LinksUpToDate>
  <CharactersWithSpaces>5110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2020-02-18T06:03:00Z</dcterms:created>
  <dc:creator>CNIS</dc:creator>
  <cp:lastModifiedBy>Feeling</cp:lastModifiedBy>
  <cp:lastPrinted>2024-02-21T03:27:00Z</cp:lastPrinted>
  <dcterms:modified xsi:type="dcterms:W3CDTF">2024-02-21T06:11:08Z</dcterms:modified>
  <dc:title>标准名称</dc:title>
  <cp:revision>210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A98A0B947BAA4D1FB8135A419222234D</vt:lpwstr>
  </property>
</Properties>
</file>