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
          <w:bCs/>
          <w:sz w:val="36"/>
          <w:szCs w:val="32"/>
          <w:lang w:eastAsia="zh-CN"/>
        </w:rPr>
      </w:pPr>
      <w:r>
        <w:rPr>
          <w:rFonts w:hint="eastAsia" w:ascii="Times New Roman" w:hAnsi="Times New Roman" w:eastAsia="黑体" w:cs="Times New Roman"/>
          <w:b/>
          <w:bCs/>
          <w:sz w:val="36"/>
          <w:szCs w:val="32"/>
        </w:rPr>
        <w:t>《高磁导率低矫顽力软磁合金》</w:t>
      </w:r>
      <w:r>
        <w:rPr>
          <w:rFonts w:hint="eastAsia" w:ascii="Times New Roman" w:hAnsi="Times New Roman" w:eastAsia="黑体" w:cs="Times New Roman"/>
          <w:b/>
          <w:bCs/>
          <w:sz w:val="36"/>
          <w:szCs w:val="32"/>
          <w:lang w:eastAsia="zh-CN"/>
        </w:rPr>
        <w:t>团体标准编制说明</w:t>
      </w:r>
    </w:p>
    <w:p>
      <w:pPr>
        <w:spacing w:line="360" w:lineRule="auto"/>
        <w:ind w:firstLine="472" w:firstLineChars="196"/>
        <w:rPr>
          <w:rFonts w:hint="eastAsia" w:ascii="宋体" w:hAnsi="宋体"/>
          <w:b/>
          <w:bCs/>
          <w:sz w:val="24"/>
        </w:rPr>
      </w:pPr>
    </w:p>
    <w:p>
      <w:pPr>
        <w:numPr>
          <w:ilvl w:val="0"/>
          <w:numId w:val="3"/>
        </w:numPr>
        <w:spacing w:line="360" w:lineRule="auto"/>
        <w:ind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任务来源</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eastAsia" w:ascii="Times New Roman" w:hAnsi="Times New Roman" w:eastAsia="仿宋_GB2312" w:cs="Times New Roman"/>
          <w:sz w:val="28"/>
          <w:szCs w:val="28"/>
        </w:rPr>
        <w:t>高磁导率低矫顽力软磁合金</w:t>
      </w:r>
      <w:r>
        <w:rPr>
          <w:rFonts w:ascii="Times New Roman" w:hAnsi="Times New Roman" w:eastAsia="仿宋_GB2312" w:cs="Times New Roman"/>
          <w:sz w:val="28"/>
          <w:szCs w:val="28"/>
        </w:rPr>
        <w:t>产品标准的实际需求，提出《</w:t>
      </w:r>
      <w:r>
        <w:rPr>
          <w:rFonts w:hint="eastAsia" w:ascii="Times New Roman" w:hAnsi="Times New Roman" w:eastAsia="仿宋_GB2312" w:cs="Times New Roman"/>
          <w:sz w:val="28"/>
          <w:szCs w:val="28"/>
        </w:rPr>
        <w:t>高磁导率低矫顽力软磁合金</w:t>
      </w:r>
      <w:r>
        <w:rPr>
          <w:rFonts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本标准由中国特钢企业协会提出并归口。由</w:t>
      </w:r>
      <w:r>
        <w:rPr>
          <w:rFonts w:hint="eastAsia" w:ascii="Times New Roman" w:hAnsi="Times New Roman" w:eastAsia="仿宋_GB2312" w:cs="Times New Roman"/>
          <w:sz w:val="28"/>
          <w:szCs w:val="28"/>
        </w:rPr>
        <w:t>北京北冶功能材料有限公司、冶金工业规划研究院、北冶功能材料（江苏）有限公司、有研资源环境技术研究院（北京）有限公司、国标（北京）检验认证有限公司</w:t>
      </w:r>
      <w:r>
        <w:rPr>
          <w:rFonts w:ascii="Times New Roman" w:hAnsi="Times New Roman" w:eastAsia="仿宋_GB2312" w:cs="Times New Roman"/>
          <w:sz w:val="28"/>
          <w:szCs w:val="28"/>
        </w:rPr>
        <w:t>等起草，并共同参与前期研究、调研和标准的编制、修改、技术数据验证以及标准推广等工作。</w:t>
      </w:r>
    </w:p>
    <w:p>
      <w:pPr>
        <w:numPr>
          <w:ilvl w:val="0"/>
          <w:numId w:val="3"/>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制定本标准的目的和意义</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我国已经成为全球磁性材料产量最大的国家，其中软磁材料行业产量超过全球产量的73%。同时，我国也在不断研究和开发高磁导率低矫顽力软磁合金，并且已经取得了一些重要的研究成果。</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国外，一些发达国家如美国、日本、德国等在高磁导率低矫顽力软磁合金的研究和生产方面也处于领先地位，具有较高的技术水平和产品质量。这些国家的企业在技术和市场上都具有较大的优势，对我国的高磁导率低矫顽力软磁合金产业形成了竞争和挑战。</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《高磁导率低矫顽力软磁合金》团体标准立项的目的是为了规范高磁导率低矫顽力软磁合金的生产和使用，提高产品质量和技术水平，促进该领域的技术创新和发展。</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高磁导率低矫顽力软磁合金是一种重要的电子材料，广泛应用于电子、通信、能源、医疗等领域。制定该标准可以促进该领域的技术创新和发展，提高产品的性能和质量，推动相关产业的发展，同时也有利于提高我国在该领域的技术水平和国际竞争力。</w:t>
      </w:r>
    </w:p>
    <w:p>
      <w:pPr>
        <w:spacing w:line="360" w:lineRule="auto"/>
        <w:ind w:firstLine="560" w:firstLineChars="200"/>
        <w:rPr>
          <w:rFonts w:ascii="Times New Roman" w:hAnsi="Times New Roman" w:eastAsia="仿宋_GB2312" w:cs="Times New Roman"/>
          <w:b/>
          <w:kern w:val="44"/>
          <w:sz w:val="28"/>
          <w:szCs w:val="28"/>
        </w:rPr>
      </w:pPr>
      <w:r>
        <w:rPr>
          <w:rFonts w:hint="eastAsia" w:ascii="Times New Roman" w:hAnsi="Times New Roman" w:eastAsia="仿宋_GB2312" w:cs="Times New Roman"/>
          <w:sz w:val="28"/>
          <w:szCs w:val="28"/>
        </w:rPr>
        <w:t>目前国内外对于高磁导率低矫顽力软磁合金的生产和使用还没有统一的标准，产品质量和技术水平存在较大的差异，这不仅影响了产品的性能和使用效果，也制约了该领域的技术创新和发展。因此，制定该标准可以规范该领域的产品生产和质量控制，提高产品的性能和质量，推动相关产业的发展，同时也有利于提高我国在该领域的技术水平和国际竞争力。</w:t>
      </w:r>
    </w:p>
    <w:p>
      <w:pPr>
        <w:numPr>
          <w:ilvl w:val="0"/>
          <w:numId w:val="3"/>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标准编制过程</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202</w:t>
      </w:r>
      <w:r>
        <w:rPr>
          <w:rFonts w:hint="eastAsia"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Hans"/>
        </w:rPr>
        <w:t>年</w:t>
      </w:r>
      <w:r>
        <w:rPr>
          <w:rFonts w:hint="eastAsia"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Hans"/>
        </w:rPr>
        <w:t>月，前期调研阶段：标准</w:t>
      </w:r>
      <w:r>
        <w:rPr>
          <w:rFonts w:hint="eastAsia" w:ascii="Times New Roman" w:hAnsi="Times New Roman" w:eastAsia="仿宋_GB2312" w:cs="Times New Roman"/>
          <w:sz w:val="28"/>
          <w:szCs w:val="28"/>
        </w:rPr>
        <w:t>牵头单位</w:t>
      </w:r>
      <w:r>
        <w:rPr>
          <w:rFonts w:hint="eastAsia" w:ascii="Times New Roman" w:hAnsi="Times New Roman" w:eastAsia="仿宋_GB2312" w:cs="Times New Roman"/>
          <w:sz w:val="28"/>
          <w:szCs w:val="28"/>
          <w:lang w:eastAsia="zh-Hans"/>
        </w:rPr>
        <w:t>完成</w:t>
      </w:r>
      <w:r>
        <w:rPr>
          <w:rFonts w:hint="eastAsia" w:ascii="Times New Roman" w:hAnsi="Times New Roman" w:eastAsia="仿宋_GB2312" w:cs="Times New Roman"/>
          <w:sz w:val="28"/>
          <w:szCs w:val="28"/>
        </w:rPr>
        <w:t>标准化对象确定，调研行业现状</w:t>
      </w:r>
      <w:r>
        <w:rPr>
          <w:rFonts w:hint="eastAsia" w:ascii="Times New Roman" w:hAnsi="Times New Roman" w:eastAsia="仿宋_GB2312" w:cs="Times New Roman"/>
          <w:sz w:val="28"/>
          <w:szCs w:val="28"/>
          <w:lang w:eastAsia="zh-Hans"/>
        </w:rPr>
        <w:t>。</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Hans"/>
        </w:rPr>
        <w:t>202</w:t>
      </w:r>
      <w:r>
        <w:rPr>
          <w:rFonts w:hint="eastAsia"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Hans"/>
        </w:rPr>
        <w:t>年</w:t>
      </w:r>
      <w:r>
        <w:rPr>
          <w:rFonts w:hint="eastAsia"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Hans"/>
        </w:rPr>
        <w:t>月，成立标准工作组：</w:t>
      </w:r>
      <w:r>
        <w:rPr>
          <w:rFonts w:hint="eastAsia" w:ascii="Times New Roman" w:hAnsi="Times New Roman" w:eastAsia="仿宋_GB2312" w:cs="Times New Roman"/>
          <w:sz w:val="28"/>
          <w:szCs w:val="28"/>
        </w:rPr>
        <w:t>标准牵头单位联合各参编单位</w:t>
      </w:r>
      <w:r>
        <w:rPr>
          <w:rFonts w:hint="eastAsia" w:ascii="Times New Roman" w:hAnsi="Times New Roman" w:eastAsia="仿宋_GB2312" w:cs="Times New Roman"/>
          <w:sz w:val="28"/>
          <w:szCs w:val="28"/>
          <w:lang w:eastAsia="zh-Hans"/>
        </w:rPr>
        <w:t>成立标准工作组，通过整理分析</w:t>
      </w:r>
      <w:r>
        <w:rPr>
          <w:rFonts w:hint="eastAsia" w:ascii="Times New Roman" w:hAnsi="Times New Roman" w:eastAsia="仿宋_GB2312" w:cs="Times New Roman"/>
          <w:sz w:val="28"/>
          <w:szCs w:val="28"/>
        </w:rPr>
        <w:t>市场</w:t>
      </w:r>
      <w:r>
        <w:rPr>
          <w:rFonts w:hint="eastAsia" w:ascii="Times New Roman" w:hAnsi="Times New Roman" w:eastAsia="仿宋_GB2312" w:cs="Times New Roman"/>
          <w:sz w:val="28"/>
          <w:szCs w:val="28"/>
          <w:lang w:eastAsia="zh-Hans"/>
        </w:rPr>
        <w:t>需求</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Hans"/>
        </w:rPr>
        <w:t>客户情况，编制完成用于标准立项申报的标准草稿，并制定工作计划。</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Hans"/>
        </w:rPr>
        <w:t>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lang w:eastAsia="zh-Hans"/>
        </w:rPr>
        <w:t>月，标准工作组向</w:t>
      </w:r>
      <w:r>
        <w:rPr>
          <w:rFonts w:hint="eastAsia" w:ascii="Times New Roman" w:hAnsi="Times New Roman" w:eastAsia="仿宋_GB2312" w:cs="Times New Roman"/>
          <w:sz w:val="28"/>
          <w:szCs w:val="28"/>
          <w:lang w:eastAsia="zh-CN"/>
        </w:rPr>
        <w:t>中国特钢企业协会</w:t>
      </w:r>
      <w:r>
        <w:rPr>
          <w:rFonts w:hint="eastAsia" w:ascii="Times New Roman" w:hAnsi="Times New Roman" w:eastAsia="仿宋_GB2312" w:cs="Times New Roman"/>
          <w:sz w:val="28"/>
          <w:szCs w:val="28"/>
          <w:lang w:eastAsia="zh-Hans"/>
        </w:rPr>
        <w:t>提出立项申请。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月：召开标准启动会，围绕标准草案进行讨论，并按照与会意见和建议作进一步修改，形成征求意见稿，发出征求意见；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月：计划完成征求意见处理、形成标准送审稿；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月：计划完成该标准审定会和标准报批稿，上报中国特钢企业协会审批；</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月：计划完成该标准发布、实施。</w:t>
      </w:r>
    </w:p>
    <w:p>
      <w:pPr>
        <w:numPr>
          <w:ilvl w:val="0"/>
          <w:numId w:val="3"/>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标准编制原则</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标准制定过程中，充分考虑了利益相关方的目标和诉求，按照GB/T 1.1-2020《标准化工作导则 第1部分：标准化文件的结构和起草规则》等进行标准的起草，使标准更严谨、更规范。标准的制定遵循以下原则：</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a）市场需求导向：在编制标准时，充分考虑了市场需求，同时，也关注了市场的发展趋势，以适应未来可能出现的新需求。</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b）全面性和准确性：在标准制定过程中，邀请了领域内的专家和学术研究人员等各方参与，以确保标准的全面性和准确性。</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c）合规性与法规：制定标准时应遵循国家和国际的法规和法律要求，以确保产品在法律框架内合规。</w:t>
      </w:r>
    </w:p>
    <w:p>
      <w:pPr>
        <w:spacing w:line="360" w:lineRule="auto"/>
        <w:ind w:firstLine="560" w:firstLineChars="200"/>
        <w:rPr>
          <w:rFonts w:ascii="Times New Roman" w:hAnsi="Times New Roman" w:eastAsia="仿宋_GB2312" w:cs="Times New Roman"/>
          <w:b/>
          <w:kern w:val="44"/>
          <w:sz w:val="28"/>
          <w:szCs w:val="28"/>
        </w:rPr>
      </w:pPr>
      <w:r>
        <w:rPr>
          <w:rFonts w:hint="eastAsia" w:ascii="Times New Roman" w:hAnsi="Times New Roman" w:eastAsia="仿宋_GB2312" w:cs="Times New Roman"/>
          <w:sz w:val="28"/>
          <w:szCs w:val="28"/>
          <w:lang w:eastAsia="zh-Hans"/>
        </w:rPr>
        <w:t>d）透明度与可追溯性：标准的编制过程是透明的，任何相关方都能够参与和了解标准的内容，确保了产品、标准的可追溯性。</w:t>
      </w:r>
    </w:p>
    <w:p>
      <w:pPr>
        <w:numPr>
          <w:ilvl w:val="0"/>
          <w:numId w:val="3"/>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主要技术内容</w:t>
      </w:r>
    </w:p>
    <w:p>
      <w:pPr>
        <w:numPr>
          <w:ilvl w:val="0"/>
          <w:numId w:val="4"/>
        </w:numPr>
        <w:spacing w:line="360" w:lineRule="auto"/>
        <w:ind w:left="420" w:leftChars="0" w:firstLineChars="0"/>
        <w:rPr>
          <w:rFonts w:hint="eastAsia" w:ascii="Times New Roman" w:hAnsi="Times New Roman" w:eastAsia="仿宋_GB2312" w:cs="Times New Roman"/>
          <w:b w:val="0"/>
          <w:bCs/>
          <w:kern w:val="44"/>
          <w:sz w:val="28"/>
          <w:szCs w:val="28"/>
          <w:lang w:val="en-US" w:eastAsia="zh-CN"/>
        </w:rPr>
      </w:pPr>
      <w:r>
        <w:rPr>
          <w:rFonts w:hint="eastAsia" w:ascii="Times New Roman" w:hAnsi="Times New Roman" w:eastAsia="仿宋_GB2312" w:cs="Times New Roman"/>
          <w:b w:val="0"/>
          <w:bCs/>
          <w:kern w:val="44"/>
          <w:sz w:val="28"/>
          <w:szCs w:val="28"/>
          <w:lang w:val="en-US" w:eastAsia="zh-CN"/>
        </w:rPr>
        <w:t>范围</w:t>
      </w:r>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本文件规定了高磁导率低矫顽力软磁合金的牌号表示方法、订货内容、尺寸、外形、重量、技术要求、试验方法、检验规则、包装、标志和质量证明书。</w:t>
      </w:r>
    </w:p>
    <w:p>
      <w:pPr>
        <w:pStyle w:val="20"/>
        <w:ind w:firstLine="420"/>
        <w:rPr>
          <w:rFonts w:hint="eastAsia" w:ascii="Times New Roman" w:hAnsi="Times New Roman" w:eastAsia="仿宋_GB2312" w:cs="Times New Roman"/>
          <w:b/>
          <w:kern w:val="44"/>
          <w:sz w:val="28"/>
          <w:szCs w:val="28"/>
          <w:lang w:val="en-US" w:eastAsia="zh-CN"/>
        </w:rPr>
      </w:pPr>
      <w:r>
        <w:rPr>
          <w:rFonts w:hint="eastAsia" w:ascii="Times New Roman" w:hAnsi="Times New Roman" w:eastAsia="仿宋_GB2312" w:cs="Times New Roman"/>
          <w:kern w:val="2"/>
          <w:sz w:val="28"/>
          <w:szCs w:val="28"/>
          <w:lang w:val="en-US" w:eastAsia="zh-Hans" w:bidi="ar-SA"/>
        </w:rPr>
        <w:t>本文件适用于截面尺寸（直径、边长、厚度或对边距离）为3.0mm～250mm的高磁导率低矫顽力软磁合金棒材（圆钢、方钢、扁钢等的总称）。</w:t>
      </w:r>
    </w:p>
    <w:p>
      <w:pPr>
        <w:numPr>
          <w:ilvl w:val="0"/>
          <w:numId w:val="4"/>
        </w:numPr>
        <w:spacing w:line="360" w:lineRule="auto"/>
        <w:ind w:left="420" w:leftChars="0" w:firstLineChars="0"/>
        <w:rPr>
          <w:rFonts w:hint="eastAsia" w:ascii="Times New Roman" w:hAnsi="Times New Roman" w:eastAsia="仿宋_GB2312" w:cs="Times New Roman"/>
          <w:kern w:val="2"/>
          <w:sz w:val="28"/>
          <w:szCs w:val="28"/>
          <w:lang w:val="en-US" w:eastAsia="zh-CN" w:bidi="ar-SA"/>
        </w:rPr>
      </w:pPr>
      <w:bookmarkStart w:id="0" w:name="_Toc142923280"/>
      <w:bookmarkStart w:id="1" w:name="_Toc160616003"/>
      <w:bookmarkStart w:id="2" w:name="_Toc160528358"/>
      <w:bookmarkStart w:id="3" w:name="_Toc142921716"/>
      <w:bookmarkStart w:id="4" w:name="_Toc160616112"/>
      <w:r>
        <w:rPr>
          <w:rFonts w:hint="eastAsia" w:ascii="Times New Roman" w:hAnsi="Times New Roman" w:eastAsia="仿宋_GB2312" w:cs="Times New Roman"/>
          <w:kern w:val="2"/>
          <w:sz w:val="28"/>
          <w:szCs w:val="28"/>
          <w:lang w:val="en-US" w:eastAsia="zh-Hans" w:bidi="ar-SA"/>
        </w:rPr>
        <w:t>牌号表示方法</w:t>
      </w:r>
      <w:bookmarkEnd w:id="0"/>
      <w:bookmarkEnd w:id="1"/>
      <w:bookmarkEnd w:id="2"/>
      <w:bookmarkEnd w:id="3"/>
      <w:bookmarkEnd w:id="4"/>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合金的牌号为1J72和1J73。</w:t>
      </w:r>
      <w:bookmarkStart w:id="5" w:name="_Toc142923281"/>
      <w:bookmarkStart w:id="6" w:name="_Toc160528359"/>
      <w:bookmarkStart w:id="7" w:name="_Toc160616113"/>
      <w:bookmarkStart w:id="8" w:name="_Toc142921717"/>
      <w:bookmarkStart w:id="9" w:name="_Toc160616004"/>
    </w:p>
    <w:p>
      <w:pPr>
        <w:numPr>
          <w:ilvl w:val="0"/>
          <w:numId w:val="4"/>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订货内容</w:t>
      </w:r>
      <w:bookmarkEnd w:id="5"/>
      <w:bookmarkEnd w:id="6"/>
      <w:bookmarkEnd w:id="7"/>
      <w:bookmarkEnd w:id="8"/>
      <w:bookmarkEnd w:id="9"/>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按本文件订货的合同或订单应包括下列内容：</w:t>
      </w:r>
    </w:p>
    <w:p>
      <w:pPr>
        <w:pStyle w:val="20"/>
        <w:numPr>
          <w:ilvl w:val="0"/>
          <w:numId w:val="5"/>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本文件编号；</w:t>
      </w:r>
    </w:p>
    <w:p>
      <w:pPr>
        <w:pStyle w:val="20"/>
        <w:numPr>
          <w:ilvl w:val="0"/>
          <w:numId w:val="5"/>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产品名称；</w:t>
      </w:r>
    </w:p>
    <w:p>
      <w:pPr>
        <w:pStyle w:val="20"/>
        <w:numPr>
          <w:ilvl w:val="0"/>
          <w:numId w:val="5"/>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牌号；</w:t>
      </w:r>
    </w:p>
    <w:p>
      <w:pPr>
        <w:pStyle w:val="20"/>
        <w:numPr>
          <w:ilvl w:val="0"/>
          <w:numId w:val="5"/>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尺寸规格；</w:t>
      </w:r>
    </w:p>
    <w:p>
      <w:pPr>
        <w:pStyle w:val="20"/>
        <w:numPr>
          <w:ilvl w:val="0"/>
          <w:numId w:val="5"/>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重量（或数量）；</w:t>
      </w:r>
    </w:p>
    <w:p>
      <w:pPr>
        <w:pStyle w:val="20"/>
        <w:numPr>
          <w:ilvl w:val="0"/>
          <w:numId w:val="5"/>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交货状态；</w:t>
      </w:r>
    </w:p>
    <w:p>
      <w:pPr>
        <w:pStyle w:val="20"/>
        <w:numPr>
          <w:ilvl w:val="0"/>
          <w:numId w:val="5"/>
        </w:numPr>
        <w:ind w:firstLine="42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Hans" w:bidi="ar-SA"/>
        </w:rPr>
        <w:t>特殊要求</w:t>
      </w:r>
      <w:r>
        <w:rPr>
          <w:rFonts w:hint="eastAsia" w:ascii="Times New Roman" w:hAnsi="Times New Roman" w:eastAsia="仿宋_GB2312" w:cs="Times New Roman"/>
          <w:kern w:val="2"/>
          <w:sz w:val="28"/>
          <w:szCs w:val="28"/>
          <w:lang w:val="en-US" w:eastAsia="zh-CN" w:bidi="ar-SA"/>
        </w:rPr>
        <w:t>。</w:t>
      </w:r>
    </w:p>
    <w:p>
      <w:pPr>
        <w:numPr>
          <w:ilvl w:val="0"/>
          <w:numId w:val="4"/>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10" w:name="_Toc160616005"/>
      <w:bookmarkStart w:id="11" w:name="_Toc160528360"/>
      <w:bookmarkStart w:id="12" w:name="_Toc160616114"/>
      <w:bookmarkStart w:id="13" w:name="_Toc142921726"/>
      <w:bookmarkStart w:id="14" w:name="_Toc142923288"/>
      <w:r>
        <w:rPr>
          <w:rFonts w:hint="eastAsia" w:ascii="Times New Roman" w:hAnsi="Times New Roman" w:eastAsia="仿宋_GB2312" w:cs="Times New Roman"/>
          <w:kern w:val="2"/>
          <w:sz w:val="28"/>
          <w:szCs w:val="28"/>
          <w:lang w:val="en-US" w:eastAsia="zh-Hans" w:bidi="ar-SA"/>
        </w:rPr>
        <w:t>冶炼方法</w:t>
      </w:r>
      <w:bookmarkEnd w:id="10"/>
      <w:bookmarkEnd w:id="11"/>
      <w:bookmarkEnd w:id="12"/>
      <w:bookmarkEnd w:id="13"/>
      <w:bookmarkEnd w:id="14"/>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合金应经真空或非真空感应炉冶炼，也可采用能满足本标准要求的其它方法冶炼。</w:t>
      </w:r>
    </w:p>
    <w:p>
      <w:pPr>
        <w:numPr>
          <w:ilvl w:val="0"/>
          <w:numId w:val="4"/>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15" w:name="_Toc142921727"/>
      <w:bookmarkStart w:id="16" w:name="_Toc160528361"/>
      <w:bookmarkStart w:id="17" w:name="_Toc142923289"/>
      <w:bookmarkStart w:id="18" w:name="_Toc160616006"/>
      <w:bookmarkStart w:id="19" w:name="_Toc160616115"/>
      <w:r>
        <w:rPr>
          <w:rFonts w:hint="eastAsia" w:ascii="Times New Roman" w:hAnsi="Times New Roman" w:eastAsia="仿宋_GB2312" w:cs="Times New Roman"/>
          <w:kern w:val="2"/>
          <w:sz w:val="28"/>
          <w:szCs w:val="28"/>
          <w:lang w:val="en-US" w:eastAsia="zh-Hans" w:bidi="ar-SA"/>
        </w:rPr>
        <w:t>交货状态</w:t>
      </w:r>
      <w:bookmarkEnd w:id="15"/>
      <w:bookmarkEnd w:id="16"/>
      <w:bookmarkEnd w:id="17"/>
      <w:bookmarkEnd w:id="18"/>
      <w:bookmarkEnd w:id="19"/>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合金以热轧或热锻状态交货。</w:t>
      </w:r>
    </w:p>
    <w:p>
      <w:pPr>
        <w:numPr>
          <w:ilvl w:val="0"/>
          <w:numId w:val="4"/>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20" w:name="_Toc142921718"/>
      <w:bookmarkStart w:id="21" w:name="_Toc160528362"/>
      <w:bookmarkStart w:id="22" w:name="_Toc160616116"/>
      <w:bookmarkStart w:id="23" w:name="_Toc160616007"/>
      <w:bookmarkStart w:id="24" w:name="_Toc142923282"/>
      <w:r>
        <w:rPr>
          <w:rFonts w:hint="eastAsia" w:ascii="Times New Roman" w:hAnsi="Times New Roman" w:eastAsia="仿宋_GB2312" w:cs="Times New Roman"/>
          <w:kern w:val="2"/>
          <w:sz w:val="28"/>
          <w:szCs w:val="28"/>
          <w:lang w:val="en-US" w:eastAsia="zh-Hans" w:bidi="ar-SA"/>
        </w:rPr>
        <w:t>外形</w:t>
      </w:r>
      <w:bookmarkEnd w:id="20"/>
      <w:bookmarkEnd w:id="21"/>
      <w:bookmarkEnd w:id="22"/>
      <w:bookmarkEnd w:id="23"/>
      <w:bookmarkEnd w:id="24"/>
    </w:p>
    <w:p>
      <w:pPr>
        <w:numPr>
          <w:ilvl w:val="0"/>
          <w:numId w:val="0"/>
        </w:numPr>
        <w:spacing w:line="360" w:lineRule="auto"/>
        <w:ind w:left="420" w:leftChars="0"/>
        <w:rPr>
          <w:rFonts w:hint="eastAsia" w:ascii="Times New Roman" w:hAnsi="Times New Roman" w:eastAsia="仿宋_GB2312" w:cs="Times New Roman"/>
          <w:kern w:val="2"/>
          <w:sz w:val="28"/>
          <w:szCs w:val="28"/>
          <w:lang w:val="en-US" w:eastAsia="zh-Hans" w:bidi="ar-SA"/>
        </w:rPr>
      </w:pPr>
      <w:bookmarkStart w:id="25" w:name="_Toc160528363"/>
      <w:bookmarkStart w:id="26" w:name="_Toc160616117"/>
      <w:bookmarkStart w:id="27" w:name="_Toc142921721"/>
      <w:bookmarkStart w:id="28" w:name="_Toc160616008"/>
      <w:r>
        <w:rPr>
          <w:rFonts w:hint="eastAsia" w:ascii="Times New Roman" w:hAnsi="Times New Roman" w:eastAsia="仿宋_GB2312" w:cs="Times New Roman"/>
          <w:kern w:val="2"/>
          <w:sz w:val="28"/>
          <w:szCs w:val="28"/>
          <w:lang w:val="en-US" w:eastAsia="zh-CN" w:bidi="ar-SA"/>
        </w:rPr>
        <w:t xml:space="preserve">6.1 </w:t>
      </w:r>
      <w:r>
        <w:rPr>
          <w:rFonts w:hint="eastAsia" w:ascii="Times New Roman" w:hAnsi="Times New Roman" w:eastAsia="仿宋_GB2312" w:cs="Times New Roman"/>
          <w:kern w:val="2"/>
          <w:sz w:val="28"/>
          <w:szCs w:val="28"/>
          <w:lang w:val="en-US" w:eastAsia="zh-Hans" w:bidi="ar-SA"/>
        </w:rPr>
        <w:t>弯曲度</w:t>
      </w:r>
      <w:bookmarkEnd w:id="25"/>
      <w:bookmarkEnd w:id="26"/>
      <w:bookmarkEnd w:id="27"/>
      <w:bookmarkEnd w:id="28"/>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合金成品应平直，弯曲度每米应小于等于4 mm，总弯曲度应小于等于总长度的0.4%。</w:t>
      </w:r>
    </w:p>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Hans" w:bidi="ar-SA"/>
        </w:rPr>
      </w:pPr>
      <w:bookmarkStart w:id="29" w:name="_Toc142921722"/>
      <w:bookmarkStart w:id="30" w:name="_Toc160616009"/>
      <w:bookmarkStart w:id="31" w:name="_Toc160616118"/>
      <w:bookmarkStart w:id="32" w:name="_Toc160528364"/>
      <w:r>
        <w:rPr>
          <w:rFonts w:hint="eastAsia" w:ascii="Times New Roman" w:eastAsia="仿宋_GB2312" w:cs="Times New Roman"/>
          <w:kern w:val="2"/>
          <w:sz w:val="28"/>
          <w:szCs w:val="28"/>
          <w:lang w:val="en-US" w:eastAsia="zh-CN" w:bidi="ar-SA"/>
        </w:rPr>
        <w:t xml:space="preserve">6.2 </w:t>
      </w:r>
      <w:r>
        <w:rPr>
          <w:rFonts w:hint="eastAsia" w:ascii="Times New Roman" w:hAnsi="Times New Roman" w:eastAsia="仿宋_GB2312" w:cs="Times New Roman"/>
          <w:kern w:val="2"/>
          <w:sz w:val="28"/>
          <w:szCs w:val="28"/>
          <w:lang w:val="en-US" w:eastAsia="zh-Hans" w:bidi="ar-SA"/>
        </w:rPr>
        <w:t>不圆度</w:t>
      </w:r>
      <w:bookmarkEnd w:id="29"/>
      <w:bookmarkEnd w:id="30"/>
      <w:bookmarkEnd w:id="31"/>
      <w:bookmarkEnd w:id="32"/>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成品圆棒的不圆度应小于等于直径公差的70%，方棒在同一截面对角线之差应小于等于边长公差之半。</w:t>
      </w:r>
    </w:p>
    <w:p>
      <w:pPr>
        <w:numPr>
          <w:ilvl w:val="0"/>
          <w:numId w:val="4"/>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33" w:name="_Toc160616119"/>
      <w:bookmarkStart w:id="34" w:name="_Toc142921724"/>
      <w:bookmarkStart w:id="35" w:name="_Toc142923286"/>
      <w:bookmarkStart w:id="36" w:name="_Toc160528365"/>
      <w:bookmarkStart w:id="37" w:name="_Toc160616010"/>
      <w:r>
        <w:rPr>
          <w:rFonts w:hint="eastAsia" w:ascii="Times New Roman" w:hAnsi="Times New Roman" w:eastAsia="仿宋_GB2312" w:cs="Times New Roman"/>
          <w:kern w:val="2"/>
          <w:sz w:val="28"/>
          <w:szCs w:val="28"/>
          <w:lang w:val="en-US" w:eastAsia="zh-Hans" w:bidi="ar-SA"/>
        </w:rPr>
        <w:t>要求</w:t>
      </w:r>
      <w:bookmarkEnd w:id="33"/>
      <w:bookmarkEnd w:id="34"/>
      <w:bookmarkEnd w:id="35"/>
      <w:bookmarkEnd w:id="36"/>
      <w:bookmarkEnd w:id="37"/>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38" w:name="_Toc160528366"/>
      <w:bookmarkStart w:id="39" w:name="_Toc160616011"/>
      <w:bookmarkStart w:id="40" w:name="_Toc160616120"/>
      <w:bookmarkStart w:id="41" w:name="_Toc142923283"/>
      <w:bookmarkStart w:id="42" w:name="_Toc142921719"/>
      <w:bookmarkStart w:id="43" w:name="_Toc142923287"/>
      <w:bookmarkStart w:id="44" w:name="_Toc142921725"/>
      <w:r>
        <w:rPr>
          <w:rFonts w:hint="eastAsia" w:ascii="Times New Roman" w:eastAsia="仿宋_GB2312" w:cs="Times New Roman"/>
          <w:kern w:val="2"/>
          <w:sz w:val="28"/>
          <w:szCs w:val="28"/>
          <w:lang w:val="en-US" w:eastAsia="zh-CN" w:bidi="ar-SA"/>
        </w:rPr>
        <w:t>7.1化学成分</w:t>
      </w:r>
      <w:bookmarkEnd w:id="38"/>
      <w:bookmarkEnd w:id="39"/>
      <w:bookmarkEnd w:id="40"/>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r>
        <w:rPr>
          <w:rFonts w:hint="eastAsia" w:ascii="Times New Roman" w:eastAsia="仿宋_GB2312" w:cs="Times New Roman"/>
          <w:kern w:val="2"/>
          <w:sz w:val="28"/>
          <w:szCs w:val="28"/>
          <w:lang w:val="en-US" w:eastAsia="zh-CN" w:bidi="ar-SA"/>
        </w:rPr>
        <w:t>7.1.1合金的化学成分（熔炼分析）应符合表1的规定。</w:t>
      </w:r>
    </w:p>
    <w:p>
      <w:pPr>
        <w:pStyle w:val="26"/>
        <w:spacing w:before="120" w:after="120"/>
        <w:rPr>
          <w:szCs w:val="22"/>
        </w:rPr>
      </w:pPr>
      <w:r>
        <w:rPr>
          <w:rFonts w:hint="eastAsia"/>
          <w:szCs w:val="22"/>
        </w:rPr>
        <w:t>合金的牌号及化学成分（熔炼分析）</w:t>
      </w:r>
    </w:p>
    <w:tbl>
      <w:tblPr>
        <w:tblStyle w:val="11"/>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16"/>
        <w:gridCol w:w="662"/>
        <w:gridCol w:w="1078"/>
        <w:gridCol w:w="1078"/>
        <w:gridCol w:w="662"/>
        <w:gridCol w:w="662"/>
        <w:gridCol w:w="662"/>
        <w:gridCol w:w="1078"/>
        <w:gridCol w:w="1314"/>
        <w:gridCol w:w="1078"/>
        <w:gridCol w:w="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16" w:type="dxa"/>
            <w:vMerge w:val="restart"/>
            <w:tcBorders>
              <w:top w:val="single" w:color="auto" w:sz="8" w:space="0"/>
            </w:tcBorders>
            <w:shd w:val="clear" w:color="auto" w:fill="auto"/>
            <w:vAlign w:val="center"/>
          </w:tcPr>
          <w:p>
            <w:pPr>
              <w:pStyle w:val="27"/>
              <w:widowControl w:val="0"/>
            </w:pPr>
            <w:r>
              <w:t>牌号</w:t>
            </w:r>
          </w:p>
        </w:tc>
        <w:tc>
          <w:tcPr>
            <w:tcW w:w="8758" w:type="dxa"/>
            <w:gridSpan w:val="10"/>
            <w:tcBorders>
              <w:top w:val="single" w:color="auto" w:sz="8" w:space="0"/>
              <w:bottom w:val="single" w:color="auto" w:sz="8" w:space="0"/>
            </w:tcBorders>
            <w:shd w:val="clear" w:color="auto" w:fill="auto"/>
            <w:vAlign w:val="center"/>
          </w:tcPr>
          <w:p>
            <w:pPr>
              <w:pStyle w:val="27"/>
              <w:widowControl w:val="0"/>
            </w:pPr>
            <w:r>
              <w:t>化学成分（质量分数）</w:t>
            </w:r>
          </w:p>
          <w:p>
            <w:pPr>
              <w:pStyle w:val="27"/>
              <w:widowControl w:val="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shd w:val="clear" w:color="auto" w:fill="auto"/>
            <w:vAlign w:val="center"/>
          </w:tcPr>
          <w:p>
            <w:pPr>
              <w:pStyle w:val="27"/>
              <w:widowControl w:val="0"/>
            </w:pP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C</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Si</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Mn</w:t>
            </w: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P</w:t>
            </w: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S</w:t>
            </w:r>
          </w:p>
        </w:tc>
        <w:tc>
          <w:tcPr>
            <w:tcW w:w="662"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rFonts w:hint="eastAsia"/>
                <w:kern w:val="0"/>
                <w:sz w:val="18"/>
                <w:szCs w:val="18"/>
              </w:rPr>
              <w:t>Cu</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rFonts w:hint="eastAsia"/>
                <w:kern w:val="0"/>
                <w:sz w:val="18"/>
                <w:szCs w:val="18"/>
              </w:rPr>
              <w:t>Cr</w:t>
            </w:r>
          </w:p>
        </w:tc>
        <w:tc>
          <w:tcPr>
            <w:tcW w:w="1314"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Ni</w:t>
            </w:r>
          </w:p>
        </w:tc>
        <w:tc>
          <w:tcPr>
            <w:tcW w:w="1078"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Mo</w:t>
            </w:r>
          </w:p>
        </w:tc>
        <w:tc>
          <w:tcPr>
            <w:tcW w:w="484" w:type="dxa"/>
            <w:tcBorders>
              <w:top w:val="single" w:color="auto" w:sz="8" w:space="0"/>
            </w:tcBorders>
            <w:shd w:val="clear" w:color="auto" w:fill="auto"/>
            <w:vAlign w:val="center"/>
          </w:tcPr>
          <w:p>
            <w:pPr>
              <w:autoSpaceDE w:val="0"/>
              <w:autoSpaceDN w:val="0"/>
              <w:spacing w:line="240" w:lineRule="exact"/>
              <w:jc w:val="center"/>
              <w:rPr>
                <w:kern w:val="0"/>
                <w:sz w:val="18"/>
                <w:szCs w:val="18"/>
              </w:rPr>
            </w:pPr>
            <w:r>
              <w:rPr>
                <w:kern w:val="0"/>
                <w:sz w:val="18"/>
                <w:szCs w:val="18"/>
              </w:rPr>
              <w:t>Fe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16" w:type="dxa"/>
            <w:shd w:val="clear" w:color="auto" w:fill="auto"/>
          </w:tcPr>
          <w:p>
            <w:pPr>
              <w:jc w:val="center"/>
            </w:pPr>
            <w:r>
              <w:rPr>
                <w:rFonts w:hint="eastAsia"/>
              </w:rPr>
              <w:t>1J72</w:t>
            </w:r>
          </w:p>
        </w:tc>
        <w:tc>
          <w:tcPr>
            <w:tcW w:w="662" w:type="dxa"/>
            <w:shd w:val="clear" w:color="auto" w:fill="auto"/>
          </w:tcPr>
          <w:p>
            <w:pPr>
              <w:jc w:val="center"/>
            </w:pPr>
            <w:r>
              <w:rPr>
                <w:rFonts w:hint="eastAsia"/>
              </w:rPr>
              <w:t>≤0.03</w:t>
            </w:r>
          </w:p>
        </w:tc>
        <w:tc>
          <w:tcPr>
            <w:tcW w:w="1078" w:type="dxa"/>
            <w:shd w:val="clear" w:color="auto" w:fill="auto"/>
          </w:tcPr>
          <w:p>
            <w:pPr>
              <w:jc w:val="center"/>
            </w:pPr>
            <w:r>
              <w:rPr>
                <w:rFonts w:hint="eastAsia"/>
              </w:rPr>
              <w:t>0.15</w:t>
            </w:r>
            <w:r>
              <w:rPr>
                <w:rFonts w:hint="eastAsia" w:ascii="宋体" w:hAnsi="宋体"/>
              </w:rPr>
              <w:t>～</w:t>
            </w:r>
            <w:r>
              <w:rPr>
                <w:rFonts w:hint="eastAsia"/>
              </w:rPr>
              <w:t>0.30</w:t>
            </w:r>
          </w:p>
        </w:tc>
        <w:tc>
          <w:tcPr>
            <w:tcW w:w="1078" w:type="dxa"/>
            <w:shd w:val="clear" w:color="auto" w:fill="auto"/>
          </w:tcPr>
          <w:p>
            <w:pPr>
              <w:jc w:val="center"/>
            </w:pPr>
            <w:r>
              <w:rPr>
                <w:rFonts w:hint="eastAsia"/>
              </w:rPr>
              <w:t>0.30</w:t>
            </w:r>
            <w:r>
              <w:rPr>
                <w:rFonts w:hint="eastAsia" w:ascii="宋体" w:hAnsi="宋体"/>
              </w:rPr>
              <w:t>～</w:t>
            </w:r>
            <w:r>
              <w:rPr>
                <w:rFonts w:hint="eastAsia"/>
              </w:rPr>
              <w:t>0.60</w:t>
            </w:r>
          </w:p>
        </w:tc>
        <w:tc>
          <w:tcPr>
            <w:tcW w:w="662" w:type="dxa"/>
            <w:shd w:val="clear" w:color="auto" w:fill="auto"/>
          </w:tcPr>
          <w:p>
            <w:pPr>
              <w:jc w:val="center"/>
            </w:pPr>
            <w:r>
              <w:rPr>
                <w:rFonts w:hint="eastAsia"/>
              </w:rPr>
              <w:t>≤0.02</w:t>
            </w:r>
          </w:p>
        </w:tc>
        <w:tc>
          <w:tcPr>
            <w:tcW w:w="662" w:type="dxa"/>
            <w:shd w:val="clear" w:color="auto" w:fill="auto"/>
          </w:tcPr>
          <w:p>
            <w:pPr>
              <w:jc w:val="center"/>
            </w:pPr>
            <w:r>
              <w:rPr>
                <w:rFonts w:hint="eastAsia"/>
              </w:rPr>
              <w:t>≤0.02</w:t>
            </w:r>
          </w:p>
        </w:tc>
        <w:tc>
          <w:tcPr>
            <w:tcW w:w="662" w:type="dxa"/>
            <w:shd w:val="clear" w:color="auto" w:fill="auto"/>
          </w:tcPr>
          <w:p>
            <w:pPr>
              <w:jc w:val="center"/>
            </w:pPr>
            <w:r>
              <w:rPr>
                <w:rFonts w:hint="eastAsia"/>
              </w:rPr>
              <w:t>—</w:t>
            </w:r>
          </w:p>
        </w:tc>
        <w:tc>
          <w:tcPr>
            <w:tcW w:w="1078" w:type="dxa"/>
            <w:shd w:val="clear" w:color="auto" w:fill="auto"/>
          </w:tcPr>
          <w:p>
            <w:pPr>
              <w:jc w:val="center"/>
            </w:pPr>
            <w:r>
              <w:rPr>
                <w:rFonts w:hint="eastAsia"/>
              </w:rPr>
              <w:t>—</w:t>
            </w:r>
          </w:p>
        </w:tc>
        <w:tc>
          <w:tcPr>
            <w:tcW w:w="1314" w:type="dxa"/>
            <w:shd w:val="clear" w:color="auto" w:fill="auto"/>
          </w:tcPr>
          <w:p>
            <w:pPr>
              <w:jc w:val="center"/>
            </w:pPr>
            <w:r>
              <w:rPr>
                <w:rFonts w:hint="eastAsia"/>
              </w:rPr>
              <w:t>74.00</w:t>
            </w:r>
            <w:r>
              <w:rPr>
                <w:rFonts w:hint="eastAsia" w:ascii="宋体" w:hAnsi="宋体"/>
              </w:rPr>
              <w:t>～</w:t>
            </w:r>
            <w:r>
              <w:rPr>
                <w:rFonts w:hint="eastAsia"/>
              </w:rPr>
              <w:t>75.00</w:t>
            </w:r>
          </w:p>
        </w:tc>
        <w:tc>
          <w:tcPr>
            <w:tcW w:w="1078" w:type="dxa"/>
            <w:shd w:val="clear" w:color="auto" w:fill="auto"/>
          </w:tcPr>
          <w:p>
            <w:pPr>
              <w:jc w:val="center"/>
            </w:pPr>
            <w:r>
              <w:rPr>
                <w:rFonts w:hint="eastAsia"/>
              </w:rPr>
              <w:t>—</w:t>
            </w:r>
          </w:p>
        </w:tc>
        <w:tc>
          <w:tcPr>
            <w:tcW w:w="484" w:type="dxa"/>
            <w:shd w:val="clear" w:color="auto" w:fill="auto"/>
          </w:tcPr>
          <w:p>
            <w:pPr>
              <w:jc w:val="center"/>
            </w:pPr>
            <w:r>
              <w:rPr>
                <w:rFonts w:hint="eastAsia"/>
              </w:rPr>
              <w:t>其余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16" w:type="dxa"/>
            <w:tcBorders>
              <w:bottom w:val="single" w:color="auto" w:sz="8" w:space="0"/>
            </w:tcBorders>
            <w:shd w:val="clear" w:color="auto" w:fill="auto"/>
          </w:tcPr>
          <w:p>
            <w:pPr>
              <w:jc w:val="center"/>
            </w:pPr>
            <w:r>
              <w:rPr>
                <w:rFonts w:hint="eastAsia"/>
              </w:rPr>
              <w:t>1J73</w:t>
            </w:r>
          </w:p>
        </w:tc>
        <w:tc>
          <w:tcPr>
            <w:tcW w:w="662" w:type="dxa"/>
            <w:tcBorders>
              <w:bottom w:val="single" w:color="auto" w:sz="8" w:space="0"/>
            </w:tcBorders>
            <w:shd w:val="clear" w:color="auto" w:fill="auto"/>
          </w:tcPr>
          <w:p>
            <w:pPr>
              <w:jc w:val="center"/>
            </w:pPr>
            <w:r>
              <w:rPr>
                <w:rFonts w:hint="eastAsia"/>
              </w:rPr>
              <w:t>≤0.03</w:t>
            </w:r>
          </w:p>
        </w:tc>
        <w:tc>
          <w:tcPr>
            <w:tcW w:w="1078" w:type="dxa"/>
            <w:tcBorders>
              <w:bottom w:val="single" w:color="auto" w:sz="8" w:space="0"/>
            </w:tcBorders>
            <w:shd w:val="clear" w:color="auto" w:fill="auto"/>
          </w:tcPr>
          <w:p>
            <w:pPr>
              <w:jc w:val="center"/>
            </w:pPr>
            <w:r>
              <w:rPr>
                <w:rFonts w:hint="eastAsia"/>
              </w:rPr>
              <w:t>0.15</w:t>
            </w:r>
            <w:r>
              <w:rPr>
                <w:rFonts w:hint="eastAsia" w:ascii="宋体" w:hAnsi="宋体"/>
              </w:rPr>
              <w:t>～</w:t>
            </w:r>
            <w:r>
              <w:rPr>
                <w:rFonts w:hint="eastAsia"/>
              </w:rPr>
              <w:t>0.40</w:t>
            </w:r>
          </w:p>
        </w:tc>
        <w:tc>
          <w:tcPr>
            <w:tcW w:w="1078" w:type="dxa"/>
            <w:tcBorders>
              <w:bottom w:val="single" w:color="auto" w:sz="8" w:space="0"/>
            </w:tcBorders>
            <w:shd w:val="clear" w:color="auto" w:fill="auto"/>
          </w:tcPr>
          <w:p>
            <w:pPr>
              <w:jc w:val="center"/>
            </w:pPr>
            <w:r>
              <w:rPr>
                <w:rFonts w:hint="eastAsia"/>
              </w:rPr>
              <w:t>0.20</w:t>
            </w:r>
            <w:r>
              <w:rPr>
                <w:rFonts w:hint="eastAsia" w:ascii="宋体" w:hAnsi="宋体"/>
              </w:rPr>
              <w:t>～</w:t>
            </w:r>
            <w:r>
              <w:rPr>
                <w:rFonts w:hint="eastAsia"/>
              </w:rPr>
              <w:t>0.80</w:t>
            </w:r>
          </w:p>
        </w:tc>
        <w:tc>
          <w:tcPr>
            <w:tcW w:w="662" w:type="dxa"/>
            <w:tcBorders>
              <w:bottom w:val="single" w:color="auto" w:sz="8" w:space="0"/>
            </w:tcBorders>
            <w:shd w:val="clear" w:color="auto" w:fill="auto"/>
          </w:tcPr>
          <w:p>
            <w:pPr>
              <w:jc w:val="center"/>
            </w:pPr>
            <w:r>
              <w:rPr>
                <w:rFonts w:hint="eastAsia"/>
              </w:rPr>
              <w:t>≤0.02</w:t>
            </w:r>
          </w:p>
        </w:tc>
        <w:tc>
          <w:tcPr>
            <w:tcW w:w="662" w:type="dxa"/>
            <w:tcBorders>
              <w:bottom w:val="single" w:color="auto" w:sz="8" w:space="0"/>
            </w:tcBorders>
            <w:shd w:val="clear" w:color="auto" w:fill="auto"/>
          </w:tcPr>
          <w:p>
            <w:pPr>
              <w:jc w:val="center"/>
            </w:pPr>
            <w:r>
              <w:rPr>
                <w:rFonts w:hint="eastAsia"/>
              </w:rPr>
              <w:t>≤0.02</w:t>
            </w:r>
          </w:p>
        </w:tc>
        <w:tc>
          <w:tcPr>
            <w:tcW w:w="662" w:type="dxa"/>
            <w:tcBorders>
              <w:bottom w:val="single" w:color="auto" w:sz="8" w:space="0"/>
            </w:tcBorders>
            <w:shd w:val="clear" w:color="auto" w:fill="auto"/>
          </w:tcPr>
          <w:p>
            <w:pPr>
              <w:jc w:val="center"/>
            </w:pPr>
            <w:r>
              <w:rPr>
                <w:rFonts w:hint="eastAsia"/>
              </w:rPr>
              <w:t>＜2.00</w:t>
            </w:r>
          </w:p>
        </w:tc>
        <w:tc>
          <w:tcPr>
            <w:tcW w:w="1078" w:type="dxa"/>
            <w:tcBorders>
              <w:bottom w:val="single" w:color="auto" w:sz="8" w:space="0"/>
            </w:tcBorders>
            <w:shd w:val="clear" w:color="auto" w:fill="auto"/>
          </w:tcPr>
          <w:p>
            <w:pPr>
              <w:jc w:val="center"/>
            </w:pPr>
            <w:r>
              <w:rPr>
                <w:rFonts w:hint="eastAsia"/>
              </w:rPr>
              <w:t>0.10</w:t>
            </w:r>
            <w:r>
              <w:rPr>
                <w:rFonts w:hint="eastAsia" w:ascii="宋体" w:hAnsi="宋体"/>
              </w:rPr>
              <w:t>～</w:t>
            </w:r>
            <w:r>
              <w:rPr>
                <w:rFonts w:hint="eastAsia"/>
              </w:rPr>
              <w:t>0.40</w:t>
            </w:r>
          </w:p>
        </w:tc>
        <w:tc>
          <w:tcPr>
            <w:tcW w:w="1314" w:type="dxa"/>
            <w:tcBorders>
              <w:bottom w:val="single" w:color="auto" w:sz="8" w:space="0"/>
            </w:tcBorders>
            <w:shd w:val="clear" w:color="auto" w:fill="auto"/>
          </w:tcPr>
          <w:p>
            <w:pPr>
              <w:jc w:val="center"/>
            </w:pPr>
            <w:r>
              <w:rPr>
                <w:rFonts w:hint="eastAsia"/>
              </w:rPr>
              <w:t>70.00</w:t>
            </w:r>
            <w:r>
              <w:rPr>
                <w:rFonts w:hint="eastAsia" w:ascii="宋体" w:hAnsi="宋体"/>
              </w:rPr>
              <w:t>～</w:t>
            </w:r>
            <w:r>
              <w:rPr>
                <w:rFonts w:hint="eastAsia"/>
              </w:rPr>
              <w:t>73.50</w:t>
            </w:r>
          </w:p>
        </w:tc>
        <w:tc>
          <w:tcPr>
            <w:tcW w:w="1078" w:type="dxa"/>
            <w:tcBorders>
              <w:bottom w:val="single" w:color="auto" w:sz="8" w:space="0"/>
            </w:tcBorders>
            <w:shd w:val="clear" w:color="auto" w:fill="auto"/>
          </w:tcPr>
          <w:p>
            <w:pPr>
              <w:jc w:val="center"/>
            </w:pPr>
            <w:r>
              <w:rPr>
                <w:rFonts w:hint="eastAsia"/>
              </w:rPr>
              <w:t>0.50</w:t>
            </w:r>
            <w:r>
              <w:rPr>
                <w:rFonts w:hint="eastAsia" w:ascii="宋体" w:hAnsi="宋体"/>
              </w:rPr>
              <w:t>～</w:t>
            </w:r>
            <w:r>
              <w:rPr>
                <w:rFonts w:hint="eastAsia"/>
              </w:rPr>
              <w:t>2.00</w:t>
            </w:r>
          </w:p>
        </w:tc>
        <w:tc>
          <w:tcPr>
            <w:tcW w:w="484" w:type="dxa"/>
            <w:tcBorders>
              <w:bottom w:val="single" w:color="auto" w:sz="8" w:space="0"/>
            </w:tcBorders>
            <w:shd w:val="clear" w:color="auto" w:fill="auto"/>
          </w:tcPr>
          <w:p>
            <w:pPr>
              <w:jc w:val="center"/>
            </w:pPr>
            <w:r>
              <w:rPr>
                <w:rFonts w:hint="eastAsia"/>
              </w:rPr>
              <w:t>其余</w:t>
            </w:r>
          </w:p>
        </w:tc>
      </w:tr>
    </w:tbl>
    <w:p>
      <w:pPr>
        <w:pStyle w:val="24"/>
        <w:numPr>
          <w:ilvl w:val="3"/>
          <w:numId w:val="0"/>
        </w:numPr>
        <w:ind w:leftChars="0"/>
        <w:rPr>
          <w:rFonts w:hint="eastAsia" w:ascii="Times New Roman" w:hAnsi="Times New Roman" w:eastAsia="仿宋_GB2312" w:cs="Times New Roman"/>
          <w:kern w:val="2"/>
          <w:sz w:val="28"/>
          <w:szCs w:val="28"/>
          <w:lang w:val="en-US" w:eastAsia="zh-CN" w:bidi="ar-SA"/>
        </w:rPr>
      </w:pPr>
      <w:r>
        <w:rPr>
          <w:rFonts w:hint="eastAsia" w:ascii="Times New Roman" w:eastAsia="仿宋_GB2312" w:cs="Times New Roman"/>
          <w:kern w:val="2"/>
          <w:sz w:val="28"/>
          <w:szCs w:val="28"/>
          <w:lang w:val="en-US" w:eastAsia="zh-CN" w:bidi="ar-SA"/>
        </w:rPr>
        <w:t>7.1.2</w:t>
      </w:r>
      <w:r>
        <w:rPr>
          <w:rFonts w:hint="eastAsia" w:ascii="Times New Roman" w:hAnsi="Times New Roman" w:eastAsia="仿宋_GB2312" w:cs="Times New Roman"/>
          <w:kern w:val="2"/>
          <w:sz w:val="28"/>
          <w:szCs w:val="28"/>
          <w:lang w:val="en-US" w:eastAsia="zh-CN" w:bidi="ar-SA"/>
        </w:rPr>
        <w:t>合金的成品化学成分允许偏差应符合GB/T 222—2006的规定。</w:t>
      </w:r>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45" w:name="_Toc160616012"/>
      <w:bookmarkStart w:id="46" w:name="_Toc160528367"/>
      <w:bookmarkStart w:id="47" w:name="_Toc160616121"/>
      <w:r>
        <w:rPr>
          <w:rFonts w:hint="eastAsia" w:ascii="Times New Roman" w:eastAsia="仿宋_GB2312" w:cs="Times New Roman"/>
          <w:kern w:val="2"/>
          <w:sz w:val="28"/>
          <w:szCs w:val="28"/>
          <w:lang w:val="en-US" w:eastAsia="zh-CN" w:bidi="ar-SA"/>
        </w:rPr>
        <w:t>7.2尺寸及允许偏差</w:t>
      </w:r>
      <w:bookmarkEnd w:id="41"/>
      <w:bookmarkEnd w:id="42"/>
      <w:bookmarkEnd w:id="45"/>
      <w:bookmarkEnd w:id="46"/>
      <w:bookmarkEnd w:id="47"/>
    </w:p>
    <w:p>
      <w:pPr>
        <w:ind w:firstLine="560" w:firstLineChars="200"/>
      </w:pPr>
      <w:r>
        <w:rPr>
          <w:rFonts w:hint="eastAsia" w:ascii="Times New Roman" w:hAnsi="Times New Roman" w:eastAsia="仿宋_GB2312" w:cs="Times New Roman"/>
          <w:kern w:val="2"/>
          <w:sz w:val="28"/>
          <w:szCs w:val="28"/>
          <w:lang w:val="en-US" w:eastAsia="zh-Hans" w:bidi="ar-SA"/>
        </w:rPr>
        <w:t>合金热锻/轧棒材（圆钢、方钢）成品的尺寸及允许偏差应符合表2的规定。成品定尺或倍尺交货时，应在合同中注明，其长度允许偏差为</w:t>
      </w:r>
      <m:oMath>
        <m:sPre>
          <m:sPrePr>
            <m:ctrlPr>
              <w:rPr>
                <w:rFonts w:hint="eastAsia" w:ascii="Cambria Math" w:hAnsi="Cambria Math" w:eastAsia="仿宋_GB2312" w:cs="Times New Roman"/>
                <w:kern w:val="2"/>
                <w:sz w:val="28"/>
                <w:szCs w:val="28"/>
                <w:lang w:val="en-US" w:eastAsia="zh-Hans" w:bidi="ar-SA"/>
              </w:rPr>
            </m:ctrlPr>
          </m:sPrePr>
          <m:sub>
            <m:r>
              <m:rPr>
                <m:sty m:val="p"/>
              </m:rPr>
              <w:rPr>
                <w:rFonts w:hint="eastAsia" w:ascii="Cambria Math" w:hAnsi="Cambria Math" w:eastAsia="仿宋_GB2312" w:cs="Times New Roman"/>
                <w:kern w:val="2"/>
                <w:sz w:val="28"/>
                <w:szCs w:val="28"/>
                <w:lang w:val="en-US" w:eastAsia="zh-Hans" w:bidi="ar-SA"/>
              </w:rPr>
              <m:t>0</m:t>
            </m:r>
            <m:ctrlPr>
              <w:rPr>
                <w:rFonts w:hint="eastAsia" w:ascii="Cambria Math" w:hAnsi="Cambria Math" w:eastAsia="仿宋_GB2312" w:cs="Times New Roman"/>
                <w:kern w:val="2"/>
                <w:sz w:val="28"/>
                <w:szCs w:val="28"/>
                <w:lang w:val="en-US" w:eastAsia="zh-Hans" w:bidi="ar-SA"/>
              </w:rPr>
            </m:ctrlPr>
          </m:sub>
          <m:sup>
            <m:r>
              <m:rPr>
                <m:sty m:val="p"/>
              </m:rPr>
              <w:rPr>
                <w:rFonts w:hint="eastAsia" w:ascii="Cambria Math" w:hAnsi="Cambria Math" w:eastAsia="仿宋_GB2312" w:cs="Times New Roman"/>
                <w:kern w:val="2"/>
                <w:sz w:val="28"/>
                <w:szCs w:val="28"/>
                <w:lang w:val="en-US" w:eastAsia="zh-Hans" w:bidi="ar-SA"/>
              </w:rPr>
              <m:t>+50</m:t>
            </m:r>
            <m:ctrlPr>
              <w:rPr>
                <w:rFonts w:hint="eastAsia" w:ascii="Cambria Math" w:hAnsi="Cambria Math" w:eastAsia="仿宋_GB2312" w:cs="Times New Roman"/>
                <w:kern w:val="2"/>
                <w:sz w:val="28"/>
                <w:szCs w:val="28"/>
                <w:lang w:val="en-US" w:eastAsia="zh-Hans" w:bidi="ar-SA"/>
              </w:rPr>
            </m:ctrlPr>
          </m:sup>
          <m:e>
            <m:r>
              <m:rPr>
                <m:sty m:val="p"/>
              </m:rPr>
              <w:rPr>
                <w:rFonts w:hint="eastAsia" w:ascii="Cambria Math" w:hAnsi="Cambria Math" w:eastAsia="仿宋_GB2312" w:cs="Times New Roman"/>
                <w:kern w:val="2"/>
                <w:sz w:val="28"/>
                <w:szCs w:val="28"/>
                <w:lang w:val="en-US" w:eastAsia="zh-Hans" w:bidi="ar-SA"/>
              </w:rPr>
              <m:t>mm</m:t>
            </m:r>
            <m:ctrlPr>
              <w:rPr>
                <w:rFonts w:hint="eastAsia" w:ascii="Cambria Math" w:hAnsi="Cambria Math" w:eastAsia="仿宋_GB2312" w:cs="Times New Roman"/>
                <w:kern w:val="2"/>
                <w:sz w:val="28"/>
                <w:szCs w:val="28"/>
                <w:lang w:val="en-US" w:eastAsia="zh-Hans" w:bidi="ar-SA"/>
              </w:rPr>
            </m:ctrlPr>
          </m:e>
        </m:sPre>
      </m:oMath>
      <w:r>
        <w:rPr>
          <w:rFonts w:hint="eastAsia" w:ascii="Times New Roman" w:hAnsi="Times New Roman" w:eastAsia="仿宋_GB2312" w:cs="Times New Roman"/>
          <w:kern w:val="2"/>
          <w:sz w:val="28"/>
          <w:szCs w:val="28"/>
          <w:lang w:val="en-US" w:eastAsia="zh-Hans" w:bidi="ar-SA"/>
        </w:rPr>
        <w:t>。</w:t>
      </w:r>
    </w:p>
    <w:p>
      <w:pPr>
        <w:pStyle w:val="26"/>
        <w:spacing w:before="120" w:after="120"/>
      </w:pPr>
      <w:r>
        <w:t>尺寸及允许偏差</w:t>
      </w:r>
      <w:r>
        <w:rPr>
          <w:rFonts w:hint="eastAsia"/>
        </w:rPr>
        <w:t>（圆钢、方钢）</w:t>
      </w:r>
    </w:p>
    <w:p>
      <w:pPr>
        <w:pStyle w:val="20"/>
        <w:ind w:firstLine="360"/>
        <w:jc w:val="right"/>
        <w:rPr>
          <w:sz w:val="18"/>
          <w:szCs w:val="18"/>
        </w:rPr>
      </w:pPr>
      <w:r>
        <w:rPr>
          <w:rFonts w:hint="eastAsia"/>
          <w:sz w:val="18"/>
          <w:szCs w:val="18"/>
        </w:rPr>
        <w:t>单位为毫米</w:t>
      </w:r>
    </w:p>
    <w:tbl>
      <w:tblPr>
        <w:tblStyle w:val="11"/>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9"/>
        <w:gridCol w:w="4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9" w:type="dxa"/>
            <w:tcBorders>
              <w:top w:val="single" w:color="auto" w:sz="8" w:space="0"/>
              <w:bottom w:val="single" w:color="auto" w:sz="8" w:space="0"/>
            </w:tcBorders>
            <w:shd w:val="clear" w:color="auto" w:fill="auto"/>
            <w:vAlign w:val="center"/>
          </w:tcPr>
          <w:p>
            <w:pPr>
              <w:pStyle w:val="27"/>
              <w:widowControl w:val="0"/>
            </w:pPr>
            <w:r>
              <w:rPr>
                <w:rFonts w:hint="eastAsia"/>
              </w:rPr>
              <w:t>公称直径或边长</w:t>
            </w:r>
          </w:p>
        </w:tc>
        <w:tc>
          <w:tcPr>
            <w:tcW w:w="4685" w:type="dxa"/>
            <w:tcBorders>
              <w:top w:val="single" w:color="auto" w:sz="8" w:space="0"/>
              <w:bottom w:val="single" w:color="auto" w:sz="8" w:space="0"/>
            </w:tcBorders>
            <w:shd w:val="clear" w:color="auto" w:fill="auto"/>
            <w:vAlign w:val="center"/>
          </w:tcPr>
          <w:p>
            <w:pPr>
              <w:pStyle w:val="27"/>
              <w:widowControl w:val="0"/>
            </w:pPr>
            <w:r>
              <w:rPr>
                <w:rFonts w:hint="eastAsia"/>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top w:val="single" w:color="auto" w:sz="8" w:space="0"/>
            </w:tcBorders>
            <w:shd w:val="clear" w:color="auto" w:fill="auto"/>
            <w:vAlign w:val="center"/>
          </w:tcPr>
          <w:p>
            <w:pPr>
              <w:pStyle w:val="27"/>
              <w:widowControl w:val="0"/>
            </w:pPr>
            <w:r>
              <w:rPr>
                <w:rFonts w:hint="eastAsia"/>
              </w:rPr>
              <w:t>15</w:t>
            </w:r>
            <w:r>
              <w:rPr>
                <w:rFonts w:hint="eastAsia" w:hAnsi="宋体"/>
              </w:rPr>
              <w:t>～</w:t>
            </w:r>
            <w:r>
              <w:rPr>
                <w:rFonts w:hint="eastAsia"/>
              </w:rPr>
              <w:t>35</w:t>
            </w:r>
          </w:p>
        </w:tc>
        <w:tc>
          <w:tcPr>
            <w:tcW w:w="4685" w:type="dxa"/>
            <w:tcBorders>
              <w:top w:val="single" w:color="auto" w:sz="8" w:space="0"/>
            </w:tcBorders>
            <w:shd w:val="clear" w:color="auto" w:fill="auto"/>
            <w:vAlign w:val="center"/>
          </w:tcPr>
          <w:p>
            <w:pPr>
              <w:pStyle w:val="27"/>
              <w:widowControl w:val="0"/>
            </w:pPr>
            <w:r>
              <w:rPr>
                <w:rFonts w:hint="eastAsia" w:hAnsi="宋体"/>
              </w:rPr>
              <w:t>±</w:t>
            </w:r>
            <w:r>
              <w:rPr>
                <w:rFonts w:hint="eastAsia"/>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27"/>
              <w:widowControl w:val="0"/>
            </w:pPr>
            <w:r>
              <w:rPr>
                <w:rFonts w:hint="eastAsia" w:hAnsi="宋体"/>
              </w:rPr>
              <w:t>＞35～50</w:t>
            </w:r>
          </w:p>
        </w:tc>
        <w:tc>
          <w:tcPr>
            <w:tcW w:w="4685" w:type="dxa"/>
            <w:shd w:val="clear" w:color="auto" w:fill="auto"/>
            <w:vAlign w:val="center"/>
          </w:tcPr>
          <w:p>
            <w:pPr>
              <w:pStyle w:val="27"/>
              <w:widowControl w:val="0"/>
            </w:pPr>
            <w:r>
              <w:rPr>
                <w:rFonts w:hint="eastAsia" w:hAnsi="宋体"/>
              </w:rPr>
              <w:t>±</w:t>
            </w:r>
            <w:r>
              <w:rPr>
                <w:rFonts w:hint="eastAsia"/>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27"/>
              <w:widowControl w:val="0"/>
            </w:pPr>
            <w:r>
              <w:rPr>
                <w:rFonts w:hint="eastAsia" w:hAnsi="宋体"/>
              </w:rPr>
              <w:t>＞</w:t>
            </w:r>
            <w:r>
              <w:rPr>
                <w:rFonts w:hint="eastAsia"/>
              </w:rPr>
              <w:t>50</w:t>
            </w:r>
            <w:r>
              <w:rPr>
                <w:rFonts w:hint="eastAsia" w:hAnsi="宋体"/>
              </w:rPr>
              <w:t>～</w:t>
            </w:r>
            <w:r>
              <w:rPr>
                <w:rFonts w:hint="eastAsia"/>
              </w:rPr>
              <w:t>80</w:t>
            </w:r>
          </w:p>
        </w:tc>
        <w:tc>
          <w:tcPr>
            <w:tcW w:w="4685" w:type="dxa"/>
            <w:shd w:val="clear" w:color="auto" w:fill="auto"/>
            <w:vAlign w:val="center"/>
          </w:tcPr>
          <w:p>
            <w:pPr>
              <w:pStyle w:val="27"/>
              <w:widowControl w:val="0"/>
            </w:pPr>
            <w:r>
              <w:rPr>
                <w:rFonts w:hint="eastAsia" w:hAnsi="宋体"/>
              </w:rPr>
              <w:t>±</w:t>
            </w:r>
            <w:r>
              <w:rPr>
                <w:rFonts w:hint="eastAsi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27"/>
              <w:widowControl w:val="0"/>
              <w:rPr>
                <w:rFonts w:hAnsi="宋体"/>
              </w:rPr>
            </w:pPr>
            <w:r>
              <w:rPr>
                <w:rFonts w:hint="eastAsia" w:hAnsi="宋体"/>
              </w:rPr>
              <w:t>＞</w:t>
            </w:r>
            <w:r>
              <w:rPr>
                <w:rFonts w:hint="eastAsia"/>
              </w:rPr>
              <w:t>80</w:t>
            </w:r>
            <w:r>
              <w:rPr>
                <w:rFonts w:hint="eastAsia" w:hAnsi="宋体"/>
              </w:rPr>
              <w:t>～</w:t>
            </w:r>
            <w:r>
              <w:rPr>
                <w:rFonts w:hint="eastAsia"/>
              </w:rPr>
              <w:t>100</w:t>
            </w:r>
          </w:p>
        </w:tc>
        <w:tc>
          <w:tcPr>
            <w:tcW w:w="4685" w:type="dxa"/>
            <w:shd w:val="clear" w:color="auto" w:fill="auto"/>
            <w:vAlign w:val="center"/>
          </w:tcPr>
          <w:p>
            <w:pPr>
              <w:pStyle w:val="27"/>
              <w:widowControl w:val="0"/>
              <w:rPr>
                <w:rFonts w:hAnsi="宋体"/>
              </w:rPr>
            </w:pPr>
            <w:r>
              <w:rPr>
                <w:rFonts w:hint="eastAsia" w:hAnsi="宋体"/>
              </w:rPr>
              <w:t>±</w:t>
            </w:r>
            <w:r>
              <w:rPr>
                <w:rFonts w:hint="eastAsia"/>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bottom w:val="single" w:color="auto" w:sz="8" w:space="0"/>
            </w:tcBorders>
            <w:shd w:val="clear" w:color="auto" w:fill="auto"/>
            <w:vAlign w:val="center"/>
          </w:tcPr>
          <w:p>
            <w:pPr>
              <w:pStyle w:val="27"/>
              <w:widowControl w:val="0"/>
              <w:rPr>
                <w:rFonts w:hAnsi="宋体"/>
              </w:rPr>
            </w:pPr>
            <w:r>
              <w:rPr>
                <w:rFonts w:hint="eastAsia" w:hAnsi="宋体"/>
              </w:rPr>
              <w:t>＞</w:t>
            </w:r>
            <w:r>
              <w:rPr>
                <w:rFonts w:hint="eastAsia"/>
              </w:rPr>
              <w:t>100</w:t>
            </w:r>
            <w:r>
              <w:rPr>
                <w:rFonts w:hint="eastAsia" w:hAnsi="宋体"/>
              </w:rPr>
              <w:t>～</w:t>
            </w:r>
            <w:r>
              <w:rPr>
                <w:rFonts w:hint="eastAsia"/>
              </w:rPr>
              <w:t>250</w:t>
            </w:r>
          </w:p>
        </w:tc>
        <w:tc>
          <w:tcPr>
            <w:tcW w:w="4685" w:type="dxa"/>
            <w:tcBorders>
              <w:bottom w:val="single" w:color="auto" w:sz="8" w:space="0"/>
            </w:tcBorders>
            <w:shd w:val="clear" w:color="auto" w:fill="auto"/>
            <w:vAlign w:val="center"/>
          </w:tcPr>
          <w:p>
            <w:pPr>
              <w:pStyle w:val="27"/>
              <w:widowControl w:val="0"/>
              <w:rPr>
                <w:rFonts w:hAnsi="宋体"/>
              </w:rPr>
            </w:pPr>
            <w:r>
              <w:rPr>
                <w:rFonts w:hint="eastAsia" w:hAnsi="宋体"/>
              </w:rPr>
              <w:t>±</w:t>
            </w:r>
            <w:r>
              <w:rPr>
                <w:rFonts w:hint="eastAsia"/>
              </w:rPr>
              <w:t>10.0</w:t>
            </w:r>
          </w:p>
        </w:tc>
      </w:tr>
    </w:tbl>
    <w:p>
      <w:pPr>
        <w:ind w:firstLine="560" w:firstLineChars="200"/>
      </w:pPr>
      <w:r>
        <w:rPr>
          <w:rFonts w:hint="eastAsia" w:ascii="Times New Roman" w:hAnsi="Times New Roman" w:eastAsia="仿宋_GB2312" w:cs="Times New Roman"/>
          <w:kern w:val="2"/>
          <w:sz w:val="28"/>
          <w:szCs w:val="28"/>
          <w:lang w:val="en-US" w:eastAsia="zh-Hans" w:bidi="ar-SA"/>
        </w:rPr>
        <w:t>合金热锻/轧扁材成品的尺寸及允许偏差应符合表3的规定。成品定尺或倍尺交货时，应在合同中注明，其长度允许偏差为</w:t>
      </w:r>
      <m:oMath>
        <m:sPre>
          <m:sPrePr>
            <m:ctrlPr>
              <w:rPr>
                <w:rFonts w:hint="eastAsia" w:ascii="Cambria Math" w:hAnsi="Cambria Math" w:eastAsia="仿宋_GB2312" w:cs="Times New Roman"/>
                <w:kern w:val="2"/>
                <w:sz w:val="28"/>
                <w:szCs w:val="28"/>
                <w:lang w:val="en-US" w:eastAsia="zh-Hans" w:bidi="ar-SA"/>
              </w:rPr>
            </m:ctrlPr>
          </m:sPrePr>
          <m:sub>
            <m:r>
              <m:rPr>
                <m:sty m:val="p"/>
              </m:rPr>
              <w:rPr>
                <w:rFonts w:hint="eastAsia" w:ascii="Cambria Math" w:hAnsi="Cambria Math" w:eastAsia="仿宋_GB2312" w:cs="Times New Roman"/>
                <w:kern w:val="2"/>
                <w:sz w:val="28"/>
                <w:szCs w:val="28"/>
                <w:lang w:val="en-US" w:eastAsia="zh-Hans" w:bidi="ar-SA"/>
              </w:rPr>
              <m:t>0</m:t>
            </m:r>
            <m:ctrlPr>
              <w:rPr>
                <w:rFonts w:hint="eastAsia" w:ascii="Cambria Math" w:hAnsi="Cambria Math" w:eastAsia="仿宋_GB2312" w:cs="Times New Roman"/>
                <w:kern w:val="2"/>
                <w:sz w:val="28"/>
                <w:szCs w:val="28"/>
                <w:lang w:val="en-US" w:eastAsia="zh-Hans" w:bidi="ar-SA"/>
              </w:rPr>
            </m:ctrlPr>
          </m:sub>
          <m:sup>
            <m:r>
              <m:rPr>
                <m:sty m:val="p"/>
              </m:rPr>
              <w:rPr>
                <w:rFonts w:hint="eastAsia" w:ascii="Cambria Math" w:hAnsi="Cambria Math" w:eastAsia="仿宋_GB2312" w:cs="Times New Roman"/>
                <w:kern w:val="2"/>
                <w:sz w:val="28"/>
                <w:szCs w:val="28"/>
                <w:lang w:val="en-US" w:eastAsia="zh-Hans" w:bidi="ar-SA"/>
              </w:rPr>
              <m:t>+50</m:t>
            </m:r>
            <m:ctrlPr>
              <w:rPr>
                <w:rFonts w:hint="eastAsia" w:ascii="Cambria Math" w:hAnsi="Cambria Math" w:eastAsia="仿宋_GB2312" w:cs="Times New Roman"/>
                <w:kern w:val="2"/>
                <w:sz w:val="28"/>
                <w:szCs w:val="28"/>
                <w:lang w:val="en-US" w:eastAsia="zh-Hans" w:bidi="ar-SA"/>
              </w:rPr>
            </m:ctrlPr>
          </m:sup>
          <m:e>
            <m:r>
              <m:rPr>
                <m:sty m:val="p"/>
              </m:rPr>
              <w:rPr>
                <w:rFonts w:hint="eastAsia" w:ascii="Cambria Math" w:hAnsi="Cambria Math" w:eastAsia="仿宋_GB2312" w:cs="Times New Roman"/>
                <w:kern w:val="2"/>
                <w:sz w:val="28"/>
                <w:szCs w:val="28"/>
                <w:lang w:val="en-US" w:eastAsia="zh-Hans" w:bidi="ar-SA"/>
              </w:rPr>
              <m:t>mm</m:t>
            </m:r>
            <m:ctrlPr>
              <w:rPr>
                <w:rFonts w:hint="eastAsia" w:ascii="Cambria Math" w:hAnsi="Cambria Math" w:eastAsia="仿宋_GB2312" w:cs="Times New Roman"/>
                <w:kern w:val="2"/>
                <w:sz w:val="28"/>
                <w:szCs w:val="28"/>
                <w:lang w:val="en-US" w:eastAsia="zh-Hans" w:bidi="ar-SA"/>
              </w:rPr>
            </m:ctrlPr>
          </m:e>
        </m:sPre>
      </m:oMath>
      <w:r>
        <w:rPr>
          <w:rFonts w:hint="eastAsia" w:ascii="Times New Roman" w:hAnsi="Times New Roman" w:eastAsia="仿宋_GB2312" w:cs="Times New Roman"/>
          <w:kern w:val="2"/>
          <w:sz w:val="28"/>
          <w:szCs w:val="28"/>
          <w:lang w:val="en-US" w:eastAsia="zh-Hans" w:bidi="ar-SA"/>
        </w:rPr>
        <w:t>。</w:t>
      </w:r>
    </w:p>
    <w:p>
      <w:pPr>
        <w:pStyle w:val="26"/>
        <w:spacing w:before="120" w:after="120"/>
        <w:rPr>
          <w:sz w:val="18"/>
          <w:szCs w:val="18"/>
        </w:rPr>
      </w:pPr>
      <w:r>
        <w:t>尺寸及允许偏差</w:t>
      </w:r>
      <w:r>
        <w:rPr>
          <w:rFonts w:hint="eastAsia"/>
        </w:rPr>
        <w:t>（扁材）</w:t>
      </w:r>
    </w:p>
    <w:p>
      <w:pPr>
        <w:ind w:firstLine="540" w:firstLineChars="300"/>
        <w:jc w:val="right"/>
      </w:pPr>
      <w:r>
        <w:rPr>
          <w:rFonts w:hint="eastAsia"/>
          <w:sz w:val="18"/>
          <w:szCs w:val="18"/>
        </w:rPr>
        <w:t>单位为毫米</w:t>
      </w:r>
    </w:p>
    <w:tbl>
      <w:tblPr>
        <w:tblStyle w:val="11"/>
        <w:tblW w:w="94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70"/>
        <w:gridCol w:w="2368"/>
        <w:gridCol w:w="2368"/>
        <w:gridCol w:w="2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0" w:type="dxa"/>
            <w:tcBorders>
              <w:top w:val="single" w:color="auto" w:sz="8" w:space="0"/>
              <w:bottom w:val="single" w:color="auto" w:sz="8" w:space="0"/>
            </w:tcBorders>
            <w:shd w:val="clear" w:color="auto" w:fill="auto"/>
            <w:vAlign w:val="center"/>
          </w:tcPr>
          <w:p>
            <w:pPr>
              <w:pStyle w:val="27"/>
              <w:widowControl w:val="0"/>
            </w:pPr>
            <w:r>
              <w:rPr>
                <w:rFonts w:hint="eastAsia"/>
              </w:rPr>
              <w:t>公称厚度</w:t>
            </w:r>
          </w:p>
        </w:tc>
        <w:tc>
          <w:tcPr>
            <w:tcW w:w="2368" w:type="dxa"/>
            <w:tcBorders>
              <w:top w:val="single" w:color="auto" w:sz="8" w:space="0"/>
              <w:bottom w:val="single" w:color="auto" w:sz="8" w:space="0"/>
            </w:tcBorders>
            <w:shd w:val="clear" w:color="auto" w:fill="auto"/>
            <w:vAlign w:val="center"/>
          </w:tcPr>
          <w:p>
            <w:pPr>
              <w:pStyle w:val="27"/>
              <w:widowControl w:val="0"/>
            </w:pPr>
            <w:r>
              <w:rPr>
                <w:rFonts w:hint="eastAsia"/>
              </w:rPr>
              <w:t>厚度允许偏差</w:t>
            </w:r>
          </w:p>
        </w:tc>
        <w:tc>
          <w:tcPr>
            <w:tcW w:w="2368" w:type="dxa"/>
            <w:tcBorders>
              <w:top w:val="single" w:color="auto" w:sz="8" w:space="0"/>
              <w:bottom w:val="single" w:color="auto" w:sz="8" w:space="0"/>
            </w:tcBorders>
            <w:shd w:val="clear" w:color="auto" w:fill="auto"/>
            <w:vAlign w:val="center"/>
          </w:tcPr>
          <w:p>
            <w:pPr>
              <w:pStyle w:val="27"/>
              <w:widowControl w:val="0"/>
            </w:pPr>
            <w:r>
              <w:rPr>
                <w:rFonts w:hint="eastAsia"/>
              </w:rPr>
              <w:t>公称宽度</w:t>
            </w:r>
          </w:p>
        </w:tc>
        <w:tc>
          <w:tcPr>
            <w:tcW w:w="2368" w:type="dxa"/>
            <w:tcBorders>
              <w:top w:val="single" w:color="auto" w:sz="8" w:space="0"/>
              <w:bottom w:val="single" w:color="auto" w:sz="8" w:space="0"/>
            </w:tcBorders>
            <w:shd w:val="clear" w:color="auto" w:fill="auto"/>
            <w:vAlign w:val="center"/>
          </w:tcPr>
          <w:p>
            <w:pPr>
              <w:pStyle w:val="27"/>
              <w:widowControl w:val="0"/>
            </w:pPr>
            <w:r>
              <w:rPr>
                <w:rFonts w:hint="eastAsia"/>
              </w:rPr>
              <w:t>宽度允许偏差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tcBorders>
              <w:top w:val="single" w:color="auto" w:sz="8" w:space="0"/>
            </w:tcBorders>
            <w:shd w:val="clear" w:color="auto" w:fill="auto"/>
            <w:vAlign w:val="center"/>
          </w:tcPr>
          <w:p>
            <w:pPr>
              <w:pStyle w:val="27"/>
              <w:widowControl w:val="0"/>
            </w:pPr>
            <w:r>
              <w:rPr>
                <w:rFonts w:hint="eastAsia"/>
              </w:rPr>
              <w:t>3.0</w:t>
            </w:r>
            <w:r>
              <w:rPr>
                <w:rFonts w:hint="eastAsia" w:hAnsi="宋体"/>
              </w:rPr>
              <w:t>～</w:t>
            </w:r>
            <w:r>
              <w:rPr>
                <w:rFonts w:hint="eastAsia"/>
              </w:rPr>
              <w:t>4.0</w:t>
            </w:r>
          </w:p>
        </w:tc>
        <w:tc>
          <w:tcPr>
            <w:tcW w:w="2368" w:type="dxa"/>
            <w:tcBorders>
              <w:top w:val="single" w:color="auto" w:sz="8" w:space="0"/>
            </w:tcBorders>
            <w:shd w:val="clear" w:color="auto" w:fill="auto"/>
            <w:vAlign w:val="center"/>
          </w:tcPr>
          <w:p>
            <w:pPr>
              <w:pStyle w:val="27"/>
              <w:widowControl w:val="0"/>
            </w:pPr>
            <w:r>
              <w:rPr>
                <w:rFonts w:hint="eastAsia" w:hAnsi="宋体"/>
              </w:rPr>
              <w:t>±</w:t>
            </w:r>
            <w:r>
              <w:rPr>
                <w:rFonts w:hint="eastAsia"/>
              </w:rPr>
              <w:t>0.20</w:t>
            </w:r>
          </w:p>
        </w:tc>
        <w:tc>
          <w:tcPr>
            <w:tcW w:w="2368" w:type="dxa"/>
            <w:vMerge w:val="restart"/>
            <w:tcBorders>
              <w:top w:val="single" w:color="auto" w:sz="8" w:space="0"/>
            </w:tcBorders>
            <w:shd w:val="clear" w:color="auto" w:fill="auto"/>
            <w:vAlign w:val="center"/>
          </w:tcPr>
          <w:p>
            <w:pPr>
              <w:pStyle w:val="27"/>
              <w:widowControl w:val="0"/>
              <w:rPr>
                <w:rFonts w:hAnsi="宋体"/>
              </w:rPr>
            </w:pPr>
            <w:r>
              <w:rPr>
                <w:rFonts w:hint="eastAsia" w:hAnsi="宋体"/>
              </w:rPr>
              <w:t>100～250</w:t>
            </w:r>
          </w:p>
        </w:tc>
        <w:tc>
          <w:tcPr>
            <w:tcW w:w="2368" w:type="dxa"/>
            <w:vMerge w:val="restart"/>
            <w:tcBorders>
              <w:top w:val="single" w:color="auto" w:sz="8" w:space="0"/>
            </w:tcBorders>
            <w:shd w:val="clear" w:color="auto" w:fill="auto"/>
            <w:vAlign w:val="center"/>
          </w:tcPr>
          <w:p>
            <w:pPr>
              <w:pStyle w:val="27"/>
              <w:widowControl w:val="0"/>
              <w:rPr>
                <w:rFonts w:hAnsi="宋体"/>
              </w:rPr>
            </w:pPr>
            <w:r>
              <w:rPr>
                <w:rFonts w:hint="eastAsia" w:hAnsi="宋体"/>
              </w:rPr>
              <w:t>+3.0～-2.0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shd w:val="clear" w:color="auto" w:fill="auto"/>
            <w:vAlign w:val="center"/>
          </w:tcPr>
          <w:p>
            <w:pPr>
              <w:pStyle w:val="27"/>
              <w:widowControl w:val="0"/>
            </w:pPr>
            <w:r>
              <w:rPr>
                <w:rFonts w:hint="eastAsia" w:hAnsi="宋体"/>
              </w:rPr>
              <w:t>＞</w:t>
            </w:r>
            <w:r>
              <w:rPr>
                <w:rFonts w:hint="eastAsia"/>
              </w:rPr>
              <w:t>4.0</w:t>
            </w:r>
            <w:r>
              <w:rPr>
                <w:rFonts w:hint="eastAsia" w:hAnsi="宋体"/>
              </w:rPr>
              <w:t>～7.0</w:t>
            </w:r>
          </w:p>
        </w:tc>
        <w:tc>
          <w:tcPr>
            <w:tcW w:w="2368" w:type="dxa"/>
            <w:shd w:val="clear" w:color="auto" w:fill="auto"/>
            <w:vAlign w:val="center"/>
          </w:tcPr>
          <w:p>
            <w:pPr>
              <w:pStyle w:val="27"/>
              <w:widowControl w:val="0"/>
            </w:pPr>
            <w:r>
              <w:rPr>
                <w:rFonts w:hint="eastAsia" w:hAnsi="宋体"/>
              </w:rPr>
              <w:t>±</w:t>
            </w:r>
            <w:r>
              <w:rPr>
                <w:rFonts w:hint="eastAsia"/>
              </w:rPr>
              <w:t>0.30</w:t>
            </w:r>
          </w:p>
        </w:tc>
        <w:tc>
          <w:tcPr>
            <w:tcW w:w="2368" w:type="dxa"/>
            <w:vMerge w:val="continue"/>
            <w:shd w:val="clear" w:color="auto" w:fill="auto"/>
            <w:vAlign w:val="center"/>
          </w:tcPr>
          <w:p>
            <w:pPr>
              <w:pStyle w:val="27"/>
              <w:widowControl w:val="0"/>
              <w:rPr>
                <w:rFonts w:hAnsi="宋体"/>
              </w:rPr>
            </w:pPr>
          </w:p>
        </w:tc>
        <w:tc>
          <w:tcPr>
            <w:tcW w:w="2368" w:type="dxa"/>
            <w:vMerge w:val="continue"/>
            <w:shd w:val="clear" w:color="auto" w:fill="auto"/>
            <w:vAlign w:val="center"/>
          </w:tcPr>
          <w:p>
            <w:pPr>
              <w:pStyle w:val="27"/>
              <w:widowControl w:val="0"/>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shd w:val="clear" w:color="auto" w:fill="auto"/>
            <w:vAlign w:val="center"/>
          </w:tcPr>
          <w:p>
            <w:pPr>
              <w:pStyle w:val="27"/>
              <w:widowControl w:val="0"/>
            </w:pPr>
            <w:r>
              <w:rPr>
                <w:rFonts w:hint="eastAsia" w:hAnsi="宋体"/>
              </w:rPr>
              <w:t>＞</w:t>
            </w:r>
            <w:r>
              <w:rPr>
                <w:rFonts w:hint="eastAsia"/>
              </w:rPr>
              <w:t>7.0</w:t>
            </w:r>
            <w:r>
              <w:rPr>
                <w:rFonts w:hint="eastAsia" w:hAnsi="宋体"/>
              </w:rPr>
              <w:t>～13.0</w:t>
            </w:r>
          </w:p>
        </w:tc>
        <w:tc>
          <w:tcPr>
            <w:tcW w:w="2368" w:type="dxa"/>
            <w:shd w:val="clear" w:color="auto" w:fill="auto"/>
            <w:vAlign w:val="center"/>
          </w:tcPr>
          <w:p>
            <w:pPr>
              <w:pStyle w:val="27"/>
              <w:widowControl w:val="0"/>
            </w:pPr>
            <w:r>
              <w:rPr>
                <w:rFonts w:hint="eastAsia" w:hAnsi="宋体"/>
              </w:rPr>
              <w:t>±</w:t>
            </w:r>
            <w:r>
              <w:rPr>
                <w:rFonts w:hint="eastAsia"/>
              </w:rPr>
              <w:t>0.40</w:t>
            </w:r>
          </w:p>
        </w:tc>
        <w:tc>
          <w:tcPr>
            <w:tcW w:w="2368" w:type="dxa"/>
            <w:vMerge w:val="continue"/>
            <w:shd w:val="clear" w:color="auto" w:fill="auto"/>
            <w:vAlign w:val="center"/>
          </w:tcPr>
          <w:p>
            <w:pPr>
              <w:pStyle w:val="27"/>
              <w:widowControl w:val="0"/>
              <w:rPr>
                <w:rFonts w:hAnsi="宋体"/>
              </w:rPr>
            </w:pPr>
          </w:p>
        </w:tc>
        <w:tc>
          <w:tcPr>
            <w:tcW w:w="2368" w:type="dxa"/>
            <w:vMerge w:val="continue"/>
            <w:shd w:val="clear" w:color="auto" w:fill="auto"/>
            <w:vAlign w:val="center"/>
          </w:tcPr>
          <w:p>
            <w:pPr>
              <w:pStyle w:val="27"/>
              <w:widowControl w:val="0"/>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0" w:type="dxa"/>
            <w:tcBorders>
              <w:bottom w:val="single" w:color="auto" w:sz="8" w:space="0"/>
            </w:tcBorders>
            <w:shd w:val="clear" w:color="auto" w:fill="auto"/>
            <w:vAlign w:val="center"/>
          </w:tcPr>
          <w:p>
            <w:pPr>
              <w:pStyle w:val="27"/>
              <w:widowControl w:val="0"/>
              <w:rPr>
                <w:rFonts w:hAnsi="宋体"/>
              </w:rPr>
            </w:pPr>
            <w:r>
              <w:rPr>
                <w:rFonts w:hint="eastAsia" w:hAnsi="宋体"/>
              </w:rPr>
              <w:t>＞</w:t>
            </w:r>
            <w:r>
              <w:rPr>
                <w:rFonts w:hint="eastAsia"/>
              </w:rPr>
              <w:t>13.0</w:t>
            </w:r>
            <w:r>
              <w:rPr>
                <w:rFonts w:hint="eastAsia" w:hAnsi="宋体"/>
              </w:rPr>
              <w:t>～</w:t>
            </w:r>
            <w:r>
              <w:rPr>
                <w:rFonts w:hint="eastAsia"/>
              </w:rPr>
              <w:t>22.0</w:t>
            </w:r>
          </w:p>
        </w:tc>
        <w:tc>
          <w:tcPr>
            <w:tcW w:w="2368" w:type="dxa"/>
            <w:tcBorders>
              <w:bottom w:val="single" w:color="auto" w:sz="8" w:space="0"/>
            </w:tcBorders>
            <w:shd w:val="clear" w:color="auto" w:fill="auto"/>
            <w:vAlign w:val="center"/>
          </w:tcPr>
          <w:p>
            <w:pPr>
              <w:pStyle w:val="27"/>
              <w:widowControl w:val="0"/>
              <w:rPr>
                <w:rFonts w:hAnsi="宋体"/>
              </w:rPr>
            </w:pPr>
            <w:r>
              <w:rPr>
                <w:rFonts w:hint="eastAsia" w:hAnsi="宋体"/>
              </w:rPr>
              <w:t>±</w:t>
            </w:r>
            <w:r>
              <w:rPr>
                <w:rFonts w:hint="eastAsia"/>
              </w:rPr>
              <w:t>0.50</w:t>
            </w:r>
          </w:p>
        </w:tc>
        <w:tc>
          <w:tcPr>
            <w:tcW w:w="2368" w:type="dxa"/>
            <w:vMerge w:val="continue"/>
            <w:tcBorders>
              <w:bottom w:val="single" w:color="auto" w:sz="8" w:space="0"/>
            </w:tcBorders>
            <w:shd w:val="clear" w:color="auto" w:fill="auto"/>
            <w:vAlign w:val="center"/>
          </w:tcPr>
          <w:p>
            <w:pPr>
              <w:pStyle w:val="27"/>
              <w:widowControl w:val="0"/>
              <w:rPr>
                <w:rFonts w:hAnsi="宋体"/>
              </w:rPr>
            </w:pPr>
          </w:p>
        </w:tc>
        <w:tc>
          <w:tcPr>
            <w:tcW w:w="2368" w:type="dxa"/>
            <w:vMerge w:val="continue"/>
            <w:tcBorders>
              <w:bottom w:val="single" w:color="auto" w:sz="8" w:space="0"/>
            </w:tcBorders>
            <w:shd w:val="clear" w:color="auto" w:fill="auto"/>
            <w:vAlign w:val="center"/>
          </w:tcPr>
          <w:p>
            <w:pPr>
              <w:pStyle w:val="27"/>
              <w:widowControl w:val="0"/>
              <w:rPr>
                <w:rFonts w:hAnsi="宋体"/>
              </w:rPr>
            </w:pPr>
          </w:p>
        </w:tc>
      </w:tr>
      <w:bookmarkEnd w:id="43"/>
      <w:bookmarkEnd w:id="44"/>
    </w:tbl>
    <w:p>
      <w:pPr>
        <w:pStyle w:val="23"/>
        <w:numPr>
          <w:ilvl w:val="2"/>
          <w:numId w:val="0"/>
        </w:numPr>
        <w:spacing w:before="120" w:after="120"/>
        <w:ind w:leftChars="0"/>
      </w:pPr>
      <w:bookmarkStart w:id="48" w:name="_Toc160616013"/>
      <w:bookmarkStart w:id="49" w:name="_Toc160528368"/>
      <w:bookmarkStart w:id="50" w:name="_Toc142921728"/>
      <w:bookmarkStart w:id="51" w:name="_Toc160616122"/>
      <w:bookmarkStart w:id="52" w:name="_Toc142923290"/>
      <w:r>
        <w:rPr>
          <w:rFonts w:hint="eastAsia" w:ascii="Times New Roman" w:eastAsia="仿宋_GB2312" w:cs="Times New Roman"/>
          <w:kern w:val="2"/>
          <w:sz w:val="28"/>
          <w:szCs w:val="28"/>
          <w:lang w:val="en-US" w:eastAsia="zh-CN" w:bidi="ar-SA"/>
        </w:rPr>
        <w:t>7.3磁性能</w:t>
      </w:r>
      <w:bookmarkEnd w:id="48"/>
      <w:bookmarkEnd w:id="49"/>
      <w:bookmarkEnd w:id="50"/>
      <w:bookmarkEnd w:id="51"/>
      <w:bookmarkEnd w:id="52"/>
    </w:p>
    <w:p>
      <w:pPr>
        <w:pStyle w:val="20"/>
        <w:ind w:firstLine="420"/>
      </w:pPr>
      <w:r>
        <w:rPr>
          <w:rFonts w:hint="eastAsia" w:ascii="Times New Roman" w:hAnsi="Times New Roman" w:eastAsia="仿宋_GB2312" w:cs="Times New Roman"/>
          <w:kern w:val="2"/>
          <w:sz w:val="28"/>
          <w:szCs w:val="28"/>
          <w:lang w:val="en-US" w:eastAsia="zh-Hans" w:bidi="ar-SA"/>
        </w:rPr>
        <w:t>合金经热处理后的直流磁性能应符合表4的规定。</w:t>
      </w:r>
    </w:p>
    <w:p>
      <w:pPr>
        <w:pStyle w:val="26"/>
        <w:spacing w:before="120" w:after="120"/>
        <w:rPr>
          <w:szCs w:val="22"/>
        </w:rPr>
      </w:pPr>
      <w:r>
        <w:rPr>
          <w:rFonts w:hint="eastAsia"/>
          <w:szCs w:val="22"/>
        </w:rPr>
        <w:t>合金经热处理后的磁性能</w:t>
      </w:r>
    </w:p>
    <w:tbl>
      <w:tblPr>
        <w:tblStyle w:val="11"/>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18"/>
        <w:gridCol w:w="2930"/>
        <w:gridCol w:w="2454"/>
        <w:gridCol w:w="1205"/>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18"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牌号</w:t>
            </w:r>
          </w:p>
        </w:tc>
        <w:tc>
          <w:tcPr>
            <w:tcW w:w="2930"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μ0.001/（mH/m）</w:t>
            </w:r>
          </w:p>
        </w:tc>
        <w:tc>
          <w:tcPr>
            <w:tcW w:w="2454"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μm/（mH/m）</w:t>
            </w:r>
          </w:p>
        </w:tc>
        <w:tc>
          <w:tcPr>
            <w:tcW w:w="1205"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Bs/（T）</w:t>
            </w:r>
          </w:p>
        </w:tc>
        <w:tc>
          <w:tcPr>
            <w:tcW w:w="1867" w:type="dxa"/>
            <w:tcBorders>
              <w:top w:val="single" w:color="auto" w:sz="8" w:space="0"/>
              <w:bottom w:val="single" w:color="auto" w:sz="8" w:space="0"/>
            </w:tcBorders>
            <w:shd w:val="clear" w:color="auto" w:fill="auto"/>
            <w:vAlign w:val="center"/>
          </w:tcPr>
          <w:p>
            <w:pPr>
              <w:spacing w:line="240" w:lineRule="auto"/>
              <w:jc w:val="center"/>
              <w:rPr>
                <w:sz w:val="18"/>
              </w:rPr>
            </w:pPr>
            <w:r>
              <w:rPr>
                <w:rFonts w:hint="eastAsia"/>
                <w:sz w:val="18"/>
              </w:rPr>
              <w:t>Hc/（A/m）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top w:val="single" w:color="auto" w:sz="8" w:space="0"/>
            </w:tcBorders>
            <w:shd w:val="clear" w:color="auto" w:fill="auto"/>
            <w:vAlign w:val="center"/>
          </w:tcPr>
          <w:p>
            <w:pPr>
              <w:spacing w:line="240" w:lineRule="auto"/>
              <w:jc w:val="center"/>
              <w:rPr>
                <w:sz w:val="18"/>
              </w:rPr>
            </w:pPr>
            <w:r>
              <w:rPr>
                <w:rFonts w:hint="eastAsia"/>
                <w:sz w:val="18"/>
              </w:rPr>
              <w:t>1J72</w:t>
            </w:r>
          </w:p>
        </w:tc>
        <w:tc>
          <w:tcPr>
            <w:tcW w:w="2930" w:type="dxa"/>
            <w:tcBorders>
              <w:top w:val="single" w:color="auto" w:sz="8" w:space="0"/>
            </w:tcBorders>
            <w:shd w:val="clear" w:color="auto" w:fill="auto"/>
            <w:vAlign w:val="center"/>
          </w:tcPr>
          <w:p>
            <w:pPr>
              <w:spacing w:line="240" w:lineRule="auto"/>
              <w:jc w:val="center"/>
              <w:rPr>
                <w:sz w:val="18"/>
              </w:rPr>
            </w:pPr>
            <w:r>
              <w:rPr>
                <w:rFonts w:hint="eastAsia"/>
                <w:sz w:val="18"/>
              </w:rPr>
              <w:t>≥20</w:t>
            </w:r>
          </w:p>
        </w:tc>
        <w:tc>
          <w:tcPr>
            <w:tcW w:w="2454" w:type="dxa"/>
            <w:tcBorders>
              <w:top w:val="single" w:color="auto" w:sz="8" w:space="0"/>
            </w:tcBorders>
            <w:shd w:val="clear" w:color="auto" w:fill="auto"/>
            <w:vAlign w:val="center"/>
          </w:tcPr>
          <w:p>
            <w:pPr>
              <w:spacing w:line="240" w:lineRule="auto"/>
              <w:jc w:val="center"/>
              <w:rPr>
                <w:sz w:val="18"/>
              </w:rPr>
            </w:pPr>
            <w:r>
              <w:rPr>
                <w:rFonts w:hint="eastAsia"/>
                <w:sz w:val="18"/>
              </w:rPr>
              <w:t>≥200</w:t>
            </w:r>
          </w:p>
        </w:tc>
        <w:tc>
          <w:tcPr>
            <w:tcW w:w="1205" w:type="dxa"/>
            <w:tcBorders>
              <w:top w:val="single" w:color="auto" w:sz="8" w:space="0"/>
            </w:tcBorders>
            <w:shd w:val="clear" w:color="auto" w:fill="auto"/>
            <w:vAlign w:val="center"/>
          </w:tcPr>
          <w:p>
            <w:pPr>
              <w:spacing w:line="240" w:lineRule="auto"/>
              <w:jc w:val="center"/>
              <w:rPr>
                <w:sz w:val="18"/>
              </w:rPr>
            </w:pPr>
            <w:r>
              <w:rPr>
                <w:rFonts w:hint="eastAsia"/>
                <w:sz w:val="18"/>
              </w:rPr>
              <w:t>≥1.15</w:t>
            </w:r>
          </w:p>
        </w:tc>
        <w:tc>
          <w:tcPr>
            <w:tcW w:w="1867" w:type="dxa"/>
            <w:tcBorders>
              <w:top w:val="single" w:color="auto" w:sz="8" w:space="0"/>
            </w:tcBorders>
            <w:shd w:val="clear" w:color="auto" w:fill="auto"/>
            <w:vAlign w:val="center"/>
          </w:tcPr>
          <w:p>
            <w:pPr>
              <w:spacing w:line="240" w:lineRule="auto"/>
              <w:jc w:val="center"/>
              <w:rPr>
                <w:sz w:val="18"/>
              </w:rPr>
            </w:pPr>
            <w:r>
              <w:rPr>
                <w:rFonts w:hint="eastAsia"/>
                <w:sz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bottom w:val="single" w:color="auto" w:sz="8" w:space="0"/>
            </w:tcBorders>
            <w:shd w:val="clear" w:color="auto" w:fill="auto"/>
            <w:vAlign w:val="center"/>
          </w:tcPr>
          <w:p>
            <w:pPr>
              <w:spacing w:line="240" w:lineRule="auto"/>
              <w:jc w:val="center"/>
              <w:rPr>
                <w:sz w:val="18"/>
              </w:rPr>
            </w:pPr>
            <w:r>
              <w:rPr>
                <w:rFonts w:hint="eastAsia"/>
                <w:sz w:val="18"/>
              </w:rPr>
              <w:t>1J73</w:t>
            </w:r>
          </w:p>
        </w:tc>
        <w:tc>
          <w:tcPr>
            <w:tcW w:w="2930" w:type="dxa"/>
            <w:tcBorders>
              <w:bottom w:val="single" w:color="auto" w:sz="8" w:space="0"/>
            </w:tcBorders>
            <w:shd w:val="clear" w:color="auto" w:fill="auto"/>
            <w:vAlign w:val="center"/>
          </w:tcPr>
          <w:p>
            <w:pPr>
              <w:spacing w:line="240" w:lineRule="auto"/>
              <w:jc w:val="center"/>
              <w:rPr>
                <w:sz w:val="18"/>
              </w:rPr>
            </w:pPr>
            <w:r>
              <w:rPr>
                <w:rFonts w:hint="eastAsia"/>
                <w:sz w:val="18"/>
              </w:rPr>
              <w:t>≥18</w:t>
            </w:r>
          </w:p>
        </w:tc>
        <w:tc>
          <w:tcPr>
            <w:tcW w:w="2454" w:type="dxa"/>
            <w:tcBorders>
              <w:bottom w:val="single" w:color="auto" w:sz="8" w:space="0"/>
            </w:tcBorders>
            <w:shd w:val="clear" w:color="auto" w:fill="auto"/>
            <w:vAlign w:val="center"/>
          </w:tcPr>
          <w:p>
            <w:pPr>
              <w:spacing w:line="240" w:lineRule="auto"/>
              <w:jc w:val="center"/>
              <w:rPr>
                <w:sz w:val="18"/>
              </w:rPr>
            </w:pPr>
            <w:r>
              <w:rPr>
                <w:rFonts w:hint="eastAsia"/>
                <w:sz w:val="18"/>
              </w:rPr>
              <w:t>≥150</w:t>
            </w:r>
          </w:p>
        </w:tc>
        <w:tc>
          <w:tcPr>
            <w:tcW w:w="1205" w:type="dxa"/>
            <w:tcBorders>
              <w:bottom w:val="single" w:color="auto" w:sz="8" w:space="0"/>
            </w:tcBorders>
            <w:shd w:val="clear" w:color="auto" w:fill="auto"/>
            <w:vAlign w:val="center"/>
          </w:tcPr>
          <w:p>
            <w:pPr>
              <w:spacing w:line="240" w:lineRule="auto"/>
              <w:jc w:val="center"/>
              <w:rPr>
                <w:sz w:val="18"/>
              </w:rPr>
            </w:pPr>
            <w:r>
              <w:rPr>
                <w:rFonts w:hint="eastAsia"/>
                <w:sz w:val="18"/>
              </w:rPr>
              <w:t>≥1.10</w:t>
            </w:r>
          </w:p>
        </w:tc>
        <w:tc>
          <w:tcPr>
            <w:tcW w:w="1867" w:type="dxa"/>
            <w:tcBorders>
              <w:bottom w:val="single" w:color="auto" w:sz="8" w:space="0"/>
            </w:tcBorders>
            <w:shd w:val="clear" w:color="auto" w:fill="auto"/>
            <w:vAlign w:val="center"/>
          </w:tcPr>
          <w:p>
            <w:pPr>
              <w:spacing w:line="240" w:lineRule="auto"/>
              <w:jc w:val="center"/>
              <w:rPr>
                <w:sz w:val="18"/>
              </w:rPr>
            </w:pPr>
            <w:r>
              <w:rPr>
                <w:rFonts w:hint="eastAsia"/>
                <w:sz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tcBorders>
              <w:top w:val="single" w:color="auto" w:sz="8" w:space="0"/>
              <w:bottom w:val="single" w:color="auto" w:sz="8" w:space="0"/>
            </w:tcBorders>
            <w:shd w:val="clear" w:color="auto" w:fill="auto"/>
            <w:vAlign w:val="center"/>
          </w:tcPr>
          <w:p>
            <w:pPr>
              <w:pStyle w:val="27"/>
              <w:widowControl w:val="0"/>
              <w:ind w:firstLine="360" w:firstLineChars="200"/>
              <w:jc w:val="left"/>
            </w:pPr>
            <w:r>
              <w:rPr>
                <w:rFonts w:hint="eastAsia"/>
              </w:rPr>
              <w:t>注：Bs在20Oe测试</w:t>
            </w:r>
          </w:p>
        </w:tc>
      </w:tr>
    </w:tbl>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53" w:name="_Toc142923291"/>
      <w:bookmarkStart w:id="54" w:name="_Toc160616123"/>
      <w:bookmarkStart w:id="55" w:name="_Toc142921729"/>
      <w:bookmarkStart w:id="56" w:name="_Toc160616014"/>
      <w:bookmarkStart w:id="57" w:name="_Toc160528369"/>
      <w:r>
        <w:rPr>
          <w:rFonts w:hint="eastAsia" w:ascii="Times New Roman" w:eastAsia="仿宋_GB2312" w:cs="Times New Roman"/>
          <w:kern w:val="2"/>
          <w:sz w:val="28"/>
          <w:szCs w:val="28"/>
          <w:lang w:val="en-US" w:eastAsia="zh-CN" w:bidi="ar-SA"/>
        </w:rPr>
        <w:t>7.4低倍组织</w:t>
      </w:r>
      <w:bookmarkEnd w:id="53"/>
      <w:bookmarkEnd w:id="54"/>
      <w:bookmarkEnd w:id="55"/>
      <w:bookmarkEnd w:id="56"/>
      <w:bookmarkEnd w:id="57"/>
    </w:p>
    <w:p>
      <w:pPr>
        <w:pStyle w:val="20"/>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合金的低倍组织应按GB/T 1979—2001检验并评级。在合金成品横向酸浸低倍试片上不允许有缩孔、气泡、翻皮、疏松、内裂和肉眼可见的夹杂等冶金缺陷，中心疏松、一般疏松、锭型偏析的合格级别应符合表5的规定。</w:t>
      </w:r>
    </w:p>
    <w:p>
      <w:pPr>
        <w:pStyle w:val="26"/>
        <w:spacing w:before="120" w:after="120"/>
      </w:pPr>
      <w:r>
        <w:rPr>
          <w:rFonts w:hint="eastAsia"/>
        </w:rPr>
        <w:t>合格级别</w:t>
      </w:r>
    </w:p>
    <w:tbl>
      <w:tblPr>
        <w:tblStyle w:val="11"/>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48"/>
        <w:gridCol w:w="2342"/>
        <w:gridCol w:w="2342"/>
        <w:gridCol w:w="23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8" w:type="dxa"/>
            <w:tcBorders>
              <w:top w:val="single" w:color="auto" w:sz="8" w:space="0"/>
              <w:bottom w:val="single" w:color="auto" w:sz="8" w:space="0"/>
            </w:tcBorders>
            <w:shd w:val="clear" w:color="auto" w:fill="auto"/>
            <w:vAlign w:val="center"/>
          </w:tcPr>
          <w:p>
            <w:pPr>
              <w:pStyle w:val="27"/>
              <w:widowControl w:val="0"/>
            </w:pPr>
            <w:r>
              <w:t>类型</w:t>
            </w:r>
          </w:p>
        </w:tc>
        <w:tc>
          <w:tcPr>
            <w:tcW w:w="2342" w:type="dxa"/>
            <w:tcBorders>
              <w:top w:val="single" w:color="auto" w:sz="8" w:space="0"/>
              <w:bottom w:val="single" w:color="auto" w:sz="8" w:space="0"/>
            </w:tcBorders>
            <w:shd w:val="clear" w:color="auto" w:fill="auto"/>
            <w:vAlign w:val="center"/>
          </w:tcPr>
          <w:p>
            <w:pPr>
              <w:pStyle w:val="27"/>
              <w:widowControl w:val="0"/>
            </w:pPr>
            <w:r>
              <w:t>中心疏松</w:t>
            </w:r>
          </w:p>
        </w:tc>
        <w:tc>
          <w:tcPr>
            <w:tcW w:w="2342" w:type="dxa"/>
            <w:tcBorders>
              <w:top w:val="single" w:color="auto" w:sz="8" w:space="0"/>
              <w:bottom w:val="single" w:color="auto" w:sz="8" w:space="0"/>
            </w:tcBorders>
            <w:shd w:val="clear" w:color="auto" w:fill="auto"/>
            <w:vAlign w:val="center"/>
          </w:tcPr>
          <w:p>
            <w:pPr>
              <w:pStyle w:val="27"/>
              <w:widowControl w:val="0"/>
            </w:pPr>
            <w:r>
              <w:t>一般疏松</w:t>
            </w:r>
          </w:p>
        </w:tc>
        <w:tc>
          <w:tcPr>
            <w:tcW w:w="2342" w:type="dxa"/>
            <w:tcBorders>
              <w:top w:val="single" w:color="auto" w:sz="8" w:space="0"/>
              <w:bottom w:val="single" w:color="auto" w:sz="8" w:space="0"/>
            </w:tcBorders>
            <w:shd w:val="clear" w:color="auto" w:fill="auto"/>
            <w:vAlign w:val="center"/>
          </w:tcPr>
          <w:p>
            <w:pPr>
              <w:pStyle w:val="27"/>
              <w:widowControl w:val="0"/>
            </w:pPr>
            <w:r>
              <w:rPr>
                <w:rFonts w:hint="eastAsia"/>
              </w:rPr>
              <w:t>锭型偏析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8" w:type="dxa"/>
            <w:tcBorders>
              <w:top w:val="single" w:color="auto" w:sz="8" w:space="0"/>
            </w:tcBorders>
            <w:shd w:val="clear" w:color="auto" w:fill="auto"/>
            <w:vAlign w:val="center"/>
          </w:tcPr>
          <w:p>
            <w:pPr>
              <w:pStyle w:val="27"/>
              <w:widowControl w:val="0"/>
            </w:pPr>
            <w:r>
              <w:t>合格级别</w:t>
            </w:r>
            <w:r>
              <w:rPr>
                <w:rFonts w:hint="eastAsia"/>
              </w:rPr>
              <w:t>，</w:t>
            </w:r>
          </w:p>
          <w:p>
            <w:pPr>
              <w:pStyle w:val="27"/>
              <w:widowControl w:val="0"/>
            </w:pPr>
            <w:r>
              <w:rPr>
                <w:rFonts w:hint="eastAsia"/>
              </w:rPr>
              <w:t>不大于</w:t>
            </w:r>
          </w:p>
        </w:tc>
        <w:tc>
          <w:tcPr>
            <w:tcW w:w="2342" w:type="dxa"/>
            <w:tcBorders>
              <w:top w:val="single" w:color="auto" w:sz="8" w:space="0"/>
            </w:tcBorders>
            <w:shd w:val="clear" w:color="auto" w:fill="auto"/>
            <w:vAlign w:val="center"/>
          </w:tcPr>
          <w:p>
            <w:pPr>
              <w:pStyle w:val="27"/>
              <w:widowControl w:val="0"/>
            </w:pPr>
            <w:r>
              <w:rPr>
                <w:rFonts w:hint="eastAsia"/>
              </w:rPr>
              <w:t>2.0</w:t>
            </w:r>
          </w:p>
        </w:tc>
        <w:tc>
          <w:tcPr>
            <w:tcW w:w="2342" w:type="dxa"/>
            <w:tcBorders>
              <w:top w:val="single" w:color="auto" w:sz="8" w:space="0"/>
            </w:tcBorders>
            <w:shd w:val="clear" w:color="auto" w:fill="auto"/>
            <w:vAlign w:val="center"/>
          </w:tcPr>
          <w:p>
            <w:pPr>
              <w:pStyle w:val="27"/>
              <w:widowControl w:val="0"/>
            </w:pPr>
            <w:r>
              <w:rPr>
                <w:rFonts w:hint="eastAsia"/>
              </w:rPr>
              <w:t>1.5</w:t>
            </w:r>
          </w:p>
        </w:tc>
        <w:tc>
          <w:tcPr>
            <w:tcW w:w="2342" w:type="dxa"/>
            <w:tcBorders>
              <w:top w:val="single" w:color="auto" w:sz="8" w:space="0"/>
            </w:tcBorders>
            <w:shd w:val="clear" w:color="auto" w:fill="auto"/>
            <w:vAlign w:val="center"/>
          </w:tcPr>
          <w:p>
            <w:pPr>
              <w:pStyle w:val="27"/>
              <w:widowControl w:val="0"/>
            </w:pPr>
            <w:r>
              <w:rPr>
                <w:rFonts w:hint="eastAsia"/>
              </w:rPr>
              <w:t>1.0</w:t>
            </w:r>
          </w:p>
        </w:tc>
      </w:tr>
    </w:tbl>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58" w:name="_Toc142921730"/>
      <w:bookmarkStart w:id="59" w:name="_Toc160528370"/>
      <w:bookmarkStart w:id="60" w:name="_Toc142923292"/>
      <w:bookmarkStart w:id="61" w:name="_Toc160616124"/>
      <w:bookmarkStart w:id="62" w:name="_Toc160616015"/>
      <w:r>
        <w:rPr>
          <w:rFonts w:hint="eastAsia" w:ascii="Times New Roman" w:eastAsia="仿宋_GB2312" w:cs="Times New Roman"/>
          <w:kern w:val="2"/>
          <w:sz w:val="28"/>
          <w:szCs w:val="28"/>
          <w:lang w:val="en-US" w:eastAsia="zh-CN" w:bidi="ar-SA"/>
        </w:rPr>
        <w:t>7.5塔形发纹</w:t>
      </w:r>
      <w:bookmarkEnd w:id="58"/>
      <w:bookmarkEnd w:id="59"/>
      <w:bookmarkEnd w:id="60"/>
      <w:bookmarkEnd w:id="61"/>
      <w:bookmarkEnd w:id="62"/>
    </w:p>
    <w:p>
      <w:pPr>
        <w:pStyle w:val="20"/>
        <w:ind w:firstLine="420"/>
      </w:pPr>
      <w:r>
        <w:rPr>
          <w:rFonts w:hint="eastAsia" w:ascii="Times New Roman" w:hAnsi="Times New Roman" w:eastAsia="仿宋_GB2312" w:cs="Times New Roman"/>
          <w:kern w:val="2"/>
          <w:sz w:val="28"/>
          <w:szCs w:val="28"/>
          <w:lang w:val="en-US" w:eastAsia="zh-Hans" w:bidi="ar-SA"/>
        </w:rPr>
        <w:t>经供需双方协商，并在合同中注明，合金成品可进行塔形发纹酸浸试样检验。发纹的数量和长度应符合表6的规定。</w:t>
      </w:r>
    </w:p>
    <w:p>
      <w:pPr>
        <w:pStyle w:val="26"/>
        <w:spacing w:before="120" w:after="120"/>
      </w:pPr>
      <w:r>
        <w:rPr>
          <w:rFonts w:hint="eastAsia"/>
        </w:rPr>
        <w:t>钢棒的塔形发纹</w:t>
      </w:r>
    </w:p>
    <w:tbl>
      <w:tblPr>
        <w:tblStyle w:val="11"/>
        <w:tblW w:w="93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1524"/>
        <w:gridCol w:w="1557"/>
        <w:gridCol w:w="1578"/>
        <w:gridCol w:w="1578"/>
        <w:gridCol w:w="1558"/>
        <w:gridCol w:w="1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blHeader/>
          <w:jc w:val="center"/>
        </w:trPr>
        <w:tc>
          <w:tcPr>
            <w:tcW w:w="1524" w:type="dxa"/>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类型</w:t>
            </w:r>
          </w:p>
        </w:tc>
        <w:tc>
          <w:tcPr>
            <w:tcW w:w="1557"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发纹总条数</w:t>
            </w:r>
          </w:p>
          <w:p>
            <w:pPr>
              <w:autoSpaceDE w:val="0"/>
              <w:autoSpaceDN w:val="0"/>
              <w:spacing w:line="240" w:lineRule="auto"/>
              <w:jc w:val="center"/>
              <w:rPr>
                <w:kern w:val="0"/>
                <w:sz w:val="18"/>
                <w:szCs w:val="18"/>
              </w:rPr>
            </w:pPr>
            <w:r>
              <w:rPr>
                <w:rFonts w:ascii="宋体" w:hAnsi="宋体"/>
                <w:kern w:val="0"/>
                <w:sz w:val="18"/>
                <w:szCs w:val="18"/>
              </w:rPr>
              <w:t>条</w:t>
            </w:r>
          </w:p>
        </w:tc>
        <w:tc>
          <w:tcPr>
            <w:tcW w:w="1578"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发纹最大长度</w:t>
            </w:r>
          </w:p>
          <w:p>
            <w:pPr>
              <w:autoSpaceDE w:val="0"/>
              <w:autoSpaceDN w:val="0"/>
              <w:spacing w:line="240" w:lineRule="auto"/>
              <w:jc w:val="center"/>
              <w:rPr>
                <w:kern w:val="0"/>
                <w:sz w:val="18"/>
                <w:szCs w:val="18"/>
              </w:rPr>
            </w:pPr>
            <w:r>
              <w:rPr>
                <w:kern w:val="0"/>
                <w:sz w:val="18"/>
                <w:szCs w:val="18"/>
              </w:rPr>
              <w:t>mm</w:t>
            </w:r>
          </w:p>
        </w:tc>
        <w:tc>
          <w:tcPr>
            <w:tcW w:w="1578"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发纹总长度</w:t>
            </w:r>
          </w:p>
          <w:p>
            <w:pPr>
              <w:autoSpaceDE w:val="0"/>
              <w:autoSpaceDN w:val="0"/>
              <w:spacing w:line="240" w:lineRule="auto"/>
              <w:jc w:val="center"/>
              <w:rPr>
                <w:kern w:val="0"/>
                <w:sz w:val="18"/>
                <w:szCs w:val="18"/>
              </w:rPr>
            </w:pPr>
            <w:r>
              <w:rPr>
                <w:kern w:val="0"/>
                <w:sz w:val="18"/>
                <w:szCs w:val="18"/>
              </w:rPr>
              <w:t>mm</w:t>
            </w:r>
          </w:p>
        </w:tc>
        <w:tc>
          <w:tcPr>
            <w:tcW w:w="1558"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每阶发纹条数</w:t>
            </w:r>
          </w:p>
          <w:p>
            <w:pPr>
              <w:autoSpaceDE w:val="0"/>
              <w:autoSpaceDN w:val="0"/>
              <w:spacing w:line="240" w:lineRule="auto"/>
              <w:jc w:val="center"/>
              <w:rPr>
                <w:kern w:val="0"/>
                <w:sz w:val="18"/>
                <w:szCs w:val="18"/>
              </w:rPr>
            </w:pPr>
            <w:r>
              <w:rPr>
                <w:rFonts w:ascii="宋体" w:hAnsi="宋体"/>
                <w:kern w:val="0"/>
                <w:sz w:val="18"/>
                <w:szCs w:val="18"/>
              </w:rPr>
              <w:t>条</w:t>
            </w:r>
          </w:p>
        </w:tc>
        <w:tc>
          <w:tcPr>
            <w:tcW w:w="1579" w:type="dxa"/>
            <w:shd w:val="clear" w:color="auto" w:fill="auto"/>
            <w:vAlign w:val="center"/>
          </w:tcPr>
          <w:p>
            <w:pPr>
              <w:autoSpaceDE w:val="0"/>
              <w:autoSpaceDN w:val="0"/>
              <w:spacing w:line="240" w:lineRule="auto"/>
              <w:jc w:val="center"/>
              <w:rPr>
                <w:kern w:val="0"/>
                <w:sz w:val="18"/>
                <w:szCs w:val="18"/>
              </w:rPr>
            </w:pPr>
            <w:r>
              <w:rPr>
                <w:rFonts w:ascii="宋体" w:hAnsi="宋体"/>
                <w:kern w:val="0"/>
                <w:sz w:val="18"/>
                <w:szCs w:val="18"/>
              </w:rPr>
              <w:t>每阶发纹总长度</w:t>
            </w:r>
          </w:p>
          <w:p>
            <w:pPr>
              <w:autoSpaceDE w:val="0"/>
              <w:autoSpaceDN w:val="0"/>
              <w:spacing w:line="240" w:lineRule="auto"/>
              <w:jc w:val="center"/>
              <w:rPr>
                <w:kern w:val="0"/>
                <w:sz w:val="18"/>
                <w:szCs w:val="18"/>
              </w:rPr>
            </w:pPr>
            <w:r>
              <w:rPr>
                <w:kern w:val="0"/>
                <w:sz w:val="18"/>
                <w:szCs w:val="18"/>
              </w:rPr>
              <w:t>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jc w:val="center"/>
        </w:trPr>
        <w:tc>
          <w:tcPr>
            <w:tcW w:w="1524" w:type="dxa"/>
            <w:shd w:val="clear" w:color="auto" w:fill="auto"/>
            <w:vAlign w:val="center"/>
          </w:tcPr>
          <w:p>
            <w:pPr>
              <w:autoSpaceDE w:val="0"/>
              <w:autoSpaceDN w:val="0"/>
              <w:spacing w:line="240" w:lineRule="auto"/>
              <w:jc w:val="center"/>
              <w:rPr>
                <w:kern w:val="0"/>
                <w:sz w:val="18"/>
                <w:szCs w:val="18"/>
              </w:rPr>
            </w:pPr>
            <w:r>
              <w:rPr>
                <w:kern w:val="0"/>
                <w:sz w:val="18"/>
                <w:szCs w:val="18"/>
              </w:rPr>
              <w:t>要求</w:t>
            </w:r>
          </w:p>
          <w:p>
            <w:pPr>
              <w:autoSpaceDE w:val="0"/>
              <w:autoSpaceDN w:val="0"/>
              <w:spacing w:line="240" w:lineRule="auto"/>
              <w:jc w:val="center"/>
              <w:rPr>
                <w:kern w:val="0"/>
                <w:sz w:val="18"/>
                <w:szCs w:val="18"/>
              </w:rPr>
            </w:pPr>
            <w:r>
              <w:rPr>
                <w:kern w:val="0"/>
                <w:sz w:val="18"/>
                <w:szCs w:val="18"/>
              </w:rPr>
              <w:t>小于等于</w:t>
            </w:r>
          </w:p>
        </w:tc>
        <w:tc>
          <w:tcPr>
            <w:tcW w:w="1557" w:type="dxa"/>
            <w:shd w:val="clear" w:color="auto" w:fill="auto"/>
            <w:vAlign w:val="center"/>
          </w:tcPr>
          <w:p>
            <w:pPr>
              <w:autoSpaceDE w:val="0"/>
              <w:autoSpaceDN w:val="0"/>
              <w:spacing w:line="240" w:lineRule="auto"/>
              <w:jc w:val="center"/>
              <w:rPr>
                <w:kern w:val="0"/>
                <w:sz w:val="18"/>
                <w:szCs w:val="18"/>
              </w:rPr>
            </w:pPr>
            <w:r>
              <w:rPr>
                <w:kern w:val="0"/>
                <w:sz w:val="18"/>
                <w:szCs w:val="18"/>
              </w:rPr>
              <w:t>5</w:t>
            </w:r>
          </w:p>
        </w:tc>
        <w:tc>
          <w:tcPr>
            <w:tcW w:w="1578" w:type="dxa"/>
            <w:shd w:val="clear" w:color="auto" w:fill="auto"/>
            <w:vAlign w:val="center"/>
          </w:tcPr>
          <w:p>
            <w:pPr>
              <w:autoSpaceDE w:val="0"/>
              <w:autoSpaceDN w:val="0"/>
              <w:spacing w:line="240" w:lineRule="auto"/>
              <w:jc w:val="center"/>
              <w:rPr>
                <w:kern w:val="0"/>
                <w:sz w:val="18"/>
                <w:szCs w:val="18"/>
              </w:rPr>
            </w:pPr>
            <w:r>
              <w:rPr>
                <w:kern w:val="0"/>
                <w:sz w:val="18"/>
                <w:szCs w:val="18"/>
              </w:rPr>
              <w:t>6</w:t>
            </w:r>
          </w:p>
        </w:tc>
        <w:tc>
          <w:tcPr>
            <w:tcW w:w="1578" w:type="dxa"/>
            <w:shd w:val="clear" w:color="auto" w:fill="auto"/>
            <w:vAlign w:val="center"/>
          </w:tcPr>
          <w:p>
            <w:pPr>
              <w:autoSpaceDE w:val="0"/>
              <w:autoSpaceDN w:val="0"/>
              <w:spacing w:line="240" w:lineRule="auto"/>
              <w:jc w:val="center"/>
              <w:rPr>
                <w:kern w:val="0"/>
                <w:sz w:val="18"/>
                <w:szCs w:val="18"/>
              </w:rPr>
            </w:pPr>
            <w:r>
              <w:rPr>
                <w:kern w:val="0"/>
                <w:sz w:val="18"/>
                <w:szCs w:val="18"/>
              </w:rPr>
              <w:t>20</w:t>
            </w:r>
          </w:p>
        </w:tc>
        <w:tc>
          <w:tcPr>
            <w:tcW w:w="1558" w:type="dxa"/>
            <w:shd w:val="clear" w:color="auto" w:fill="auto"/>
            <w:vAlign w:val="center"/>
          </w:tcPr>
          <w:p>
            <w:pPr>
              <w:autoSpaceDE w:val="0"/>
              <w:autoSpaceDN w:val="0"/>
              <w:spacing w:line="240" w:lineRule="auto"/>
              <w:jc w:val="center"/>
              <w:rPr>
                <w:kern w:val="0"/>
                <w:sz w:val="18"/>
                <w:szCs w:val="18"/>
              </w:rPr>
            </w:pPr>
            <w:r>
              <w:rPr>
                <w:kern w:val="0"/>
                <w:sz w:val="18"/>
                <w:szCs w:val="18"/>
              </w:rPr>
              <w:t>3</w:t>
            </w:r>
          </w:p>
        </w:tc>
        <w:tc>
          <w:tcPr>
            <w:tcW w:w="1579" w:type="dxa"/>
            <w:shd w:val="clear" w:color="auto" w:fill="auto"/>
            <w:vAlign w:val="center"/>
          </w:tcPr>
          <w:p>
            <w:pPr>
              <w:autoSpaceDE w:val="0"/>
              <w:autoSpaceDN w:val="0"/>
              <w:spacing w:line="240" w:lineRule="auto"/>
              <w:jc w:val="center"/>
              <w:rPr>
                <w:kern w:val="0"/>
                <w:sz w:val="18"/>
                <w:szCs w:val="18"/>
              </w:rPr>
            </w:pPr>
            <w:r>
              <w:rPr>
                <w:kern w:val="0"/>
                <w:sz w:val="18"/>
                <w:szCs w:val="18"/>
              </w:rPr>
              <w:t>10</w:t>
            </w:r>
          </w:p>
        </w:tc>
      </w:tr>
    </w:tbl>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63" w:name="_Toc160528371"/>
      <w:bookmarkStart w:id="64" w:name="_Toc142921731"/>
      <w:bookmarkStart w:id="65" w:name="_Toc160616016"/>
      <w:bookmarkStart w:id="66" w:name="_Toc142923293"/>
      <w:bookmarkStart w:id="67" w:name="_Toc160616125"/>
      <w:r>
        <w:rPr>
          <w:rFonts w:hint="eastAsia" w:ascii="Times New Roman" w:eastAsia="仿宋_GB2312" w:cs="Times New Roman"/>
          <w:kern w:val="2"/>
          <w:sz w:val="28"/>
          <w:szCs w:val="28"/>
          <w:lang w:val="en-US" w:eastAsia="zh-CN" w:bidi="ar-SA"/>
        </w:rPr>
        <w:t>7.6表面质量</w:t>
      </w:r>
      <w:bookmarkEnd w:id="63"/>
      <w:bookmarkEnd w:id="64"/>
      <w:bookmarkEnd w:id="65"/>
      <w:bookmarkEnd w:id="66"/>
      <w:bookmarkEnd w:id="67"/>
    </w:p>
    <w:p>
      <w:pPr>
        <w:pStyle w:val="20"/>
        <w:ind w:left="0" w:leftChars="0" w:firstLine="0" w:firstLineChars="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CN" w:bidi="ar-SA"/>
        </w:rPr>
        <w:t>7.</w:t>
      </w:r>
      <w:r>
        <w:rPr>
          <w:rFonts w:hint="eastAsia" w:ascii="Times New Roman" w:eastAsia="仿宋_GB2312" w:cs="Times New Roman"/>
          <w:kern w:val="2"/>
          <w:sz w:val="28"/>
          <w:szCs w:val="28"/>
          <w:lang w:val="en-US" w:eastAsia="zh-CN" w:bidi="ar-SA"/>
        </w:rPr>
        <w:t>6</w:t>
      </w:r>
      <w:r>
        <w:rPr>
          <w:rFonts w:hint="eastAsia" w:ascii="Times New Roman" w:hAnsi="Times New Roman" w:eastAsia="仿宋_GB2312" w:cs="Times New Roman"/>
          <w:kern w:val="2"/>
          <w:sz w:val="28"/>
          <w:szCs w:val="28"/>
          <w:lang w:val="en-US" w:eastAsia="zh-CN" w:bidi="ar-SA"/>
        </w:rPr>
        <w:t xml:space="preserve">.1 </w:t>
      </w:r>
      <w:r>
        <w:rPr>
          <w:rFonts w:hint="eastAsia" w:ascii="Times New Roman" w:hAnsi="Times New Roman" w:eastAsia="仿宋_GB2312" w:cs="Times New Roman"/>
          <w:kern w:val="2"/>
          <w:sz w:val="28"/>
          <w:szCs w:val="28"/>
          <w:lang w:val="en-US" w:eastAsia="zh-Hans" w:bidi="ar-SA"/>
        </w:rPr>
        <w:t>合金成品的表面不允许有裂纹、折叠、斑疤。允许有不超出尺寸偏差的划痕、小斑疤、凹痕。局部缺陷允许通过修磨予以清除，清除后应保证最小允许尺寸。</w:t>
      </w:r>
    </w:p>
    <w:p>
      <w:pPr>
        <w:pStyle w:val="20"/>
        <w:ind w:left="0" w:leftChars="0" w:firstLine="0" w:firstLineChars="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CN" w:bidi="ar-SA"/>
        </w:rPr>
        <w:t>7.</w:t>
      </w:r>
      <w:r>
        <w:rPr>
          <w:rFonts w:hint="eastAsia" w:ascii="Times New Roman" w:eastAsia="仿宋_GB2312" w:cs="Times New Roman"/>
          <w:kern w:val="2"/>
          <w:sz w:val="28"/>
          <w:szCs w:val="28"/>
          <w:lang w:val="en-US" w:eastAsia="zh-CN" w:bidi="ar-SA"/>
        </w:rPr>
        <w:t>6</w:t>
      </w:r>
      <w:r>
        <w:rPr>
          <w:rFonts w:hint="eastAsia" w:ascii="Times New Roman" w:hAnsi="Times New Roman" w:eastAsia="仿宋_GB2312" w:cs="Times New Roman"/>
          <w:kern w:val="2"/>
          <w:sz w:val="28"/>
          <w:szCs w:val="28"/>
          <w:lang w:val="en-US" w:eastAsia="zh-CN" w:bidi="ar-SA"/>
        </w:rPr>
        <w:t xml:space="preserve">.2 </w:t>
      </w:r>
      <w:r>
        <w:rPr>
          <w:rFonts w:hint="eastAsia" w:ascii="Times New Roman" w:hAnsi="Times New Roman" w:eastAsia="仿宋_GB2312" w:cs="Times New Roman"/>
          <w:kern w:val="2"/>
          <w:sz w:val="28"/>
          <w:szCs w:val="28"/>
          <w:lang w:val="en-US" w:eastAsia="zh-Hans" w:bidi="ar-SA"/>
        </w:rPr>
        <w:t>供机械加工用棒材（圆钢、方钢）或扁材的表面上缺陷深度不得超过允许偏差之和的3/4。</w:t>
      </w:r>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68" w:name="_Toc160616017"/>
      <w:bookmarkStart w:id="69" w:name="_Toc142923294"/>
      <w:bookmarkStart w:id="70" w:name="_Toc142921732"/>
      <w:bookmarkStart w:id="71" w:name="_Toc160616126"/>
      <w:bookmarkStart w:id="72" w:name="_Toc160528372"/>
      <w:r>
        <w:rPr>
          <w:rFonts w:hint="eastAsia" w:ascii="Times New Roman" w:eastAsia="仿宋_GB2312" w:cs="Times New Roman"/>
          <w:kern w:val="2"/>
          <w:sz w:val="28"/>
          <w:szCs w:val="28"/>
          <w:lang w:val="en-US" w:eastAsia="zh-CN" w:bidi="ar-SA"/>
        </w:rPr>
        <w:t>7.7超声探伤</w:t>
      </w:r>
      <w:bookmarkEnd w:id="68"/>
      <w:bookmarkEnd w:id="69"/>
      <w:bookmarkEnd w:id="70"/>
      <w:bookmarkEnd w:id="71"/>
      <w:bookmarkEnd w:id="72"/>
    </w:p>
    <w:p>
      <w:pPr>
        <w:pStyle w:val="20"/>
        <w:ind w:left="0" w:leftChars="0" w:firstLine="0" w:firstLine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7.</w:t>
      </w:r>
      <w:r>
        <w:rPr>
          <w:rFonts w:hint="eastAsia" w:ascii="Times New Roman" w:eastAsia="仿宋_GB2312" w:cs="Times New Roman"/>
          <w:kern w:val="2"/>
          <w:sz w:val="28"/>
          <w:szCs w:val="28"/>
          <w:lang w:val="en-US" w:eastAsia="zh-CN" w:bidi="ar-SA"/>
        </w:rPr>
        <w:t>7</w:t>
      </w:r>
      <w:r>
        <w:rPr>
          <w:rFonts w:hint="eastAsia" w:ascii="Times New Roman" w:hAnsi="Times New Roman" w:eastAsia="仿宋_GB2312" w:cs="Times New Roman"/>
          <w:kern w:val="2"/>
          <w:sz w:val="28"/>
          <w:szCs w:val="28"/>
          <w:lang w:val="en-US" w:eastAsia="zh-CN" w:bidi="ar-SA"/>
        </w:rPr>
        <w:t>.1 合金成品的超声探伤质量应达到GB/T 4162—2022中表4质量等级中B级的规定。</w:t>
      </w:r>
    </w:p>
    <w:p>
      <w:pPr>
        <w:pStyle w:val="20"/>
        <w:ind w:left="0" w:leftChars="0" w:firstLine="0" w:firstLine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7.</w:t>
      </w:r>
      <w:r>
        <w:rPr>
          <w:rFonts w:hint="eastAsia" w:ascii="Times New Roman" w:eastAsia="仿宋_GB2312" w:cs="Times New Roman"/>
          <w:kern w:val="2"/>
          <w:sz w:val="28"/>
          <w:szCs w:val="28"/>
          <w:lang w:val="en-US" w:eastAsia="zh-CN" w:bidi="ar-SA"/>
        </w:rPr>
        <w:t>7</w:t>
      </w:r>
      <w:r>
        <w:rPr>
          <w:rFonts w:hint="eastAsia" w:ascii="Times New Roman" w:hAnsi="Times New Roman" w:eastAsia="仿宋_GB2312" w:cs="Times New Roman"/>
          <w:kern w:val="2"/>
          <w:sz w:val="28"/>
          <w:szCs w:val="28"/>
          <w:lang w:val="en-US" w:eastAsia="zh-CN" w:bidi="ar-SA"/>
        </w:rPr>
        <w:t>.2 直径或边长不超过80cm的棒材（圆钢、方钢）或扁材，采用液浸聚焦探头或联合双探头进行检测。</w:t>
      </w:r>
    </w:p>
    <w:p>
      <w:pPr>
        <w:pStyle w:val="20"/>
        <w:ind w:left="0" w:leftChars="0" w:firstLine="0" w:firstLineChars="0"/>
        <w:rPr>
          <w:rFonts w:hint="default" w:ascii="Times New Roman" w:hAnsi="Times New Roman" w:eastAsia="仿宋_GB2312" w:cs="Times New Roman"/>
          <w:b/>
          <w:kern w:val="44"/>
          <w:sz w:val="28"/>
          <w:szCs w:val="28"/>
          <w:lang w:val="en-US" w:eastAsia="zh-CN"/>
        </w:rPr>
      </w:pPr>
      <w:r>
        <w:rPr>
          <w:rFonts w:hint="eastAsia" w:ascii="Times New Roman" w:hAnsi="Times New Roman" w:eastAsia="仿宋_GB2312" w:cs="Times New Roman"/>
          <w:kern w:val="2"/>
          <w:sz w:val="28"/>
          <w:szCs w:val="28"/>
          <w:lang w:val="en-US" w:eastAsia="zh-CN" w:bidi="ar-SA"/>
        </w:rPr>
        <w:t>7.</w:t>
      </w:r>
      <w:r>
        <w:rPr>
          <w:rFonts w:hint="eastAsia" w:ascii="Times New Roman" w:eastAsia="仿宋_GB2312" w:cs="Times New Roman"/>
          <w:kern w:val="2"/>
          <w:sz w:val="28"/>
          <w:szCs w:val="28"/>
          <w:lang w:val="en-US" w:eastAsia="zh-CN" w:bidi="ar-SA"/>
        </w:rPr>
        <w:t>7</w:t>
      </w:r>
      <w:bookmarkStart w:id="73" w:name="_GoBack"/>
      <w:bookmarkEnd w:id="73"/>
      <w:r>
        <w:rPr>
          <w:rFonts w:hint="eastAsia" w:ascii="Times New Roman" w:hAnsi="Times New Roman" w:eastAsia="仿宋_GB2312" w:cs="Times New Roman"/>
          <w:kern w:val="2"/>
          <w:sz w:val="28"/>
          <w:szCs w:val="28"/>
          <w:lang w:val="en-US" w:eastAsia="zh-CN" w:bidi="ar-SA"/>
        </w:rPr>
        <w:t>.3 直径超过80cm的棒材（圆钢、方钢），采用接触法或以液浸法进行检测。</w:t>
      </w:r>
    </w:p>
    <w:p>
      <w:pPr>
        <w:numPr>
          <w:ilvl w:val="0"/>
          <w:numId w:val="3"/>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与国内其它法律、法规的关系</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制定本标准时依据并引用了国内有关现行有效的标准，也不违背国内其它行业标准、法律、法规及强制性标准的有关规定。</w:t>
      </w:r>
    </w:p>
    <w:p>
      <w:pPr>
        <w:numPr>
          <w:ilvl w:val="0"/>
          <w:numId w:val="3"/>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标准属性</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本标准属于中国特钢企业协会团体标准。</w:t>
      </w:r>
    </w:p>
    <w:p>
      <w:pPr>
        <w:numPr>
          <w:ilvl w:val="0"/>
          <w:numId w:val="3"/>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标准水平及预期效果</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随着电子、通信、汽车、航空航天等领域的快速发展，对高磁导率低矫顽力软磁合金的需求不断增加。该标准所述的软磁合金具有高磁导率、低矫顽力等优点，可广泛应用于电子、通信等领域，满足市场需求。通过推广应用该标准，可提高产品质量和生产效率，降低生产成本，提高企业的经济效益。推广应用该标准可促进我国软磁合金产业的发展，提高我国在国际市场上的竞争力，同时也有助于推动相关领域的技术进步。</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预期达到的经济效果:</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提升产品质量：通过执行该标准，可提高软磁合金的产品质量和稳定性，满足市场需求。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降低生产成本：通过优化生产工艺和提高生产效率，可降低生产成本，提高企业的盈利能力。</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拓展市场份额：通过推广应用该标准，可提高我国软磁合金在国际市场上的竞争力，拓展市场份额。</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推动产业升级：该标准的推广应用可促进我国软磁合金产业的升级和转型，提高整个行业的水平。</w:t>
      </w:r>
    </w:p>
    <w:p>
      <w:pPr>
        <w:spacing w:line="360" w:lineRule="auto"/>
        <w:ind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 贯彻要求及建议</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宣传推广：加强对《高磁导率低矫顽力软磁合金》标准的宣传和推广，提高</w:t>
      </w:r>
      <w:r>
        <w:rPr>
          <w:rFonts w:hint="eastAsia" w:ascii="Times New Roman" w:hAnsi="Times New Roman" w:eastAsia="仿宋_GB2312" w:cs="Times New Roman"/>
          <w:sz w:val="28"/>
          <w:szCs w:val="28"/>
          <w:lang w:val="en-US" w:eastAsia="zh-CN"/>
        </w:rPr>
        <w:t>相关工程技术人员</w:t>
      </w:r>
      <w:r>
        <w:rPr>
          <w:rFonts w:hint="eastAsia" w:ascii="Times New Roman" w:hAnsi="Times New Roman" w:eastAsia="仿宋_GB2312" w:cs="Times New Roman"/>
          <w:sz w:val="28"/>
          <w:szCs w:val="28"/>
        </w:rPr>
        <w:t>对标准的认识和了解，加强标准的执行力度。</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监督检查：加强对《高磁导率低矫顽力软磁合金》标准的监督和检查，确保标准的严格执行。</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反馈改进：及时收集</w:t>
      </w:r>
      <w:r>
        <w:rPr>
          <w:rFonts w:hint="eastAsia" w:ascii="Times New Roman" w:hAnsi="Times New Roman" w:eastAsia="仿宋_GB2312" w:cs="Times New Roman"/>
          <w:sz w:val="28"/>
          <w:szCs w:val="28"/>
          <w:lang w:val="en-US" w:eastAsia="zh-CN"/>
        </w:rPr>
        <w:t>相关工程技术人员</w:t>
      </w:r>
      <w:r>
        <w:rPr>
          <w:rFonts w:hint="eastAsia" w:ascii="Times New Roman" w:hAnsi="Times New Roman" w:eastAsia="仿宋_GB2312" w:cs="Times New Roman"/>
          <w:sz w:val="28"/>
          <w:szCs w:val="28"/>
        </w:rPr>
        <w:t>对《高磁导率低矫顽力软磁合金》标准的反馈意见和建议，对标准进行不断改进和完善，提高标准的适用性和可操作性。</w:t>
      </w:r>
    </w:p>
    <w:p>
      <w:pPr>
        <w:pStyle w:val="9"/>
        <w:ind w:firstLine="480"/>
        <w:rPr>
          <w:rFonts w:hint="eastAsia" w:ascii="宋体" w:hAnsi="宋体" w:cs="宋体"/>
          <w:sz w:val="24"/>
        </w:rPr>
      </w:pPr>
    </w:p>
    <w:p>
      <w:pPr>
        <w:pStyle w:val="9"/>
        <w:ind w:firstLine="480"/>
        <w:rPr>
          <w:rFonts w:hint="eastAsia" w:ascii="宋体" w:hAnsi="宋体" w:cs="宋体"/>
          <w:sz w:val="24"/>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DFBDA"/>
    <w:multiLevelType w:val="singleLevel"/>
    <w:tmpl w:val="A96DFBDA"/>
    <w:lvl w:ilvl="0" w:tentative="0">
      <w:start w:val="1"/>
      <w:numFmt w:val="decimal"/>
      <w:lvlText w:val="%1."/>
      <w:lvlJc w:val="left"/>
      <w:pPr>
        <w:tabs>
          <w:tab w:val="left" w:pos="312"/>
        </w:tabs>
        <w:ind w:left="420"/>
      </w:pPr>
      <w:rPr>
        <w:rFonts w:hint="default"/>
        <w:b w:val="0"/>
        <w:bCs w:val="0"/>
      </w:rPr>
    </w:lvl>
  </w:abstractNum>
  <w:abstractNum w:abstractNumId="1">
    <w:nsid w:val="F24D0381"/>
    <w:multiLevelType w:val="singleLevel"/>
    <w:tmpl w:val="F24D0381"/>
    <w:lvl w:ilvl="0" w:tentative="0">
      <w:start w:val="1"/>
      <w:numFmt w:val="lowerLetter"/>
      <w:suff w:val="space"/>
      <w:lvlText w:val="%1)"/>
      <w:lvlJc w:val="left"/>
    </w:lvl>
  </w:abstractNum>
  <w:abstractNum w:abstractNumId="2">
    <w:nsid w:val="26EB0EE0"/>
    <w:multiLevelType w:val="singleLevel"/>
    <w:tmpl w:val="26EB0EE0"/>
    <w:lvl w:ilvl="0" w:tentative="0">
      <w:start w:val="1"/>
      <w:numFmt w:val="chineseCounting"/>
      <w:suff w:val="nothing"/>
      <w:lvlText w:val="%1、"/>
      <w:lvlJc w:val="left"/>
      <w:rPr>
        <w:rFonts w:hint="eastAsia"/>
      </w:rPr>
    </w:lvl>
  </w:abstractNum>
  <w:abstractNum w:abstractNumId="3">
    <w:nsid w:val="646260FA"/>
    <w:multiLevelType w:val="multilevel"/>
    <w:tmpl w:val="646260FA"/>
    <w:lvl w:ilvl="0" w:tentative="0">
      <w:start w:val="1"/>
      <w:numFmt w:val="decimal"/>
      <w:pStyle w:val="2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pStyle w:val="2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ZmYyMzdmYTMxM2VkMmQzYjEwNmRlYTczOTA2YTQifQ=="/>
  </w:docVars>
  <w:rsids>
    <w:rsidRoot w:val="00146108"/>
    <w:rsid w:val="000079A5"/>
    <w:rsid w:val="0001147A"/>
    <w:rsid w:val="00021F9A"/>
    <w:rsid w:val="00023CBA"/>
    <w:rsid w:val="00054329"/>
    <w:rsid w:val="00090610"/>
    <w:rsid w:val="000A1434"/>
    <w:rsid w:val="000E49C4"/>
    <w:rsid w:val="0012398D"/>
    <w:rsid w:val="0014059C"/>
    <w:rsid w:val="00146108"/>
    <w:rsid w:val="00156BB0"/>
    <w:rsid w:val="0018706C"/>
    <w:rsid w:val="001F2374"/>
    <w:rsid w:val="00201FA6"/>
    <w:rsid w:val="002146B7"/>
    <w:rsid w:val="00235A39"/>
    <w:rsid w:val="00270554"/>
    <w:rsid w:val="0028095C"/>
    <w:rsid w:val="002A25DA"/>
    <w:rsid w:val="002D14AA"/>
    <w:rsid w:val="002D7FEB"/>
    <w:rsid w:val="002E5761"/>
    <w:rsid w:val="003151D9"/>
    <w:rsid w:val="003801D4"/>
    <w:rsid w:val="003D3E99"/>
    <w:rsid w:val="003E2B28"/>
    <w:rsid w:val="003E39F6"/>
    <w:rsid w:val="00400A12"/>
    <w:rsid w:val="00415534"/>
    <w:rsid w:val="00421604"/>
    <w:rsid w:val="004D72B3"/>
    <w:rsid w:val="004E44EC"/>
    <w:rsid w:val="004E684F"/>
    <w:rsid w:val="004F222C"/>
    <w:rsid w:val="004F6FDC"/>
    <w:rsid w:val="00507D01"/>
    <w:rsid w:val="00515047"/>
    <w:rsid w:val="0051688E"/>
    <w:rsid w:val="0052357B"/>
    <w:rsid w:val="00530174"/>
    <w:rsid w:val="0053795F"/>
    <w:rsid w:val="0055025D"/>
    <w:rsid w:val="00580114"/>
    <w:rsid w:val="00580523"/>
    <w:rsid w:val="00583BD0"/>
    <w:rsid w:val="00590AF8"/>
    <w:rsid w:val="00592F06"/>
    <w:rsid w:val="005C79C7"/>
    <w:rsid w:val="005F7B0A"/>
    <w:rsid w:val="00612DF6"/>
    <w:rsid w:val="00623AA2"/>
    <w:rsid w:val="00643EE9"/>
    <w:rsid w:val="0069032A"/>
    <w:rsid w:val="006C4264"/>
    <w:rsid w:val="006E3D66"/>
    <w:rsid w:val="00700A75"/>
    <w:rsid w:val="007076F9"/>
    <w:rsid w:val="00721090"/>
    <w:rsid w:val="00770B0B"/>
    <w:rsid w:val="00771571"/>
    <w:rsid w:val="007B64EE"/>
    <w:rsid w:val="007C1AE8"/>
    <w:rsid w:val="007D3217"/>
    <w:rsid w:val="0087022F"/>
    <w:rsid w:val="00911EC3"/>
    <w:rsid w:val="009275AB"/>
    <w:rsid w:val="009365C6"/>
    <w:rsid w:val="009453C1"/>
    <w:rsid w:val="00970CA9"/>
    <w:rsid w:val="00986394"/>
    <w:rsid w:val="00993A3B"/>
    <w:rsid w:val="009A353F"/>
    <w:rsid w:val="009B31DF"/>
    <w:rsid w:val="009B54F2"/>
    <w:rsid w:val="009C717C"/>
    <w:rsid w:val="00A41388"/>
    <w:rsid w:val="00A561C8"/>
    <w:rsid w:val="00AB1CF4"/>
    <w:rsid w:val="00B019D4"/>
    <w:rsid w:val="00B07763"/>
    <w:rsid w:val="00B2467E"/>
    <w:rsid w:val="00B5238A"/>
    <w:rsid w:val="00B608BF"/>
    <w:rsid w:val="00B623D5"/>
    <w:rsid w:val="00B62B4F"/>
    <w:rsid w:val="00B830B0"/>
    <w:rsid w:val="00B8418B"/>
    <w:rsid w:val="00BD0647"/>
    <w:rsid w:val="00BD73F5"/>
    <w:rsid w:val="00C250D0"/>
    <w:rsid w:val="00C76D67"/>
    <w:rsid w:val="00C86892"/>
    <w:rsid w:val="00C86ECF"/>
    <w:rsid w:val="00C9632E"/>
    <w:rsid w:val="00CB1EA9"/>
    <w:rsid w:val="00CE532F"/>
    <w:rsid w:val="00CF0D98"/>
    <w:rsid w:val="00D0352E"/>
    <w:rsid w:val="00D6218B"/>
    <w:rsid w:val="00D67120"/>
    <w:rsid w:val="00D805A4"/>
    <w:rsid w:val="00D90C32"/>
    <w:rsid w:val="00DA40FC"/>
    <w:rsid w:val="00DC6894"/>
    <w:rsid w:val="00E11A6F"/>
    <w:rsid w:val="00E154FC"/>
    <w:rsid w:val="00E2207C"/>
    <w:rsid w:val="00E30240"/>
    <w:rsid w:val="00E32589"/>
    <w:rsid w:val="00E35B44"/>
    <w:rsid w:val="00E62ACF"/>
    <w:rsid w:val="00E65101"/>
    <w:rsid w:val="00EA7548"/>
    <w:rsid w:val="00EF17C4"/>
    <w:rsid w:val="00EF769C"/>
    <w:rsid w:val="00F13219"/>
    <w:rsid w:val="00F33880"/>
    <w:rsid w:val="00F44F8F"/>
    <w:rsid w:val="00FC26A4"/>
    <w:rsid w:val="00FF5256"/>
    <w:rsid w:val="026C2041"/>
    <w:rsid w:val="04FA68C4"/>
    <w:rsid w:val="06426774"/>
    <w:rsid w:val="086E3851"/>
    <w:rsid w:val="0A2F5262"/>
    <w:rsid w:val="0A8C4462"/>
    <w:rsid w:val="0E422B70"/>
    <w:rsid w:val="11D8521B"/>
    <w:rsid w:val="121A05A5"/>
    <w:rsid w:val="138E4DA7"/>
    <w:rsid w:val="172C3685"/>
    <w:rsid w:val="192F2B88"/>
    <w:rsid w:val="19D716E9"/>
    <w:rsid w:val="1B8F5B60"/>
    <w:rsid w:val="1C6A30AB"/>
    <w:rsid w:val="1DB7139E"/>
    <w:rsid w:val="22A30143"/>
    <w:rsid w:val="2387629A"/>
    <w:rsid w:val="23E629DD"/>
    <w:rsid w:val="27B431E4"/>
    <w:rsid w:val="2841669A"/>
    <w:rsid w:val="28C87051"/>
    <w:rsid w:val="28EA087A"/>
    <w:rsid w:val="2C7E4358"/>
    <w:rsid w:val="2EFC30B5"/>
    <w:rsid w:val="31EB4702"/>
    <w:rsid w:val="32B83797"/>
    <w:rsid w:val="32F50547"/>
    <w:rsid w:val="3515300D"/>
    <w:rsid w:val="36B97B4C"/>
    <w:rsid w:val="3853487F"/>
    <w:rsid w:val="38BE762D"/>
    <w:rsid w:val="39AE0016"/>
    <w:rsid w:val="39CD5D7A"/>
    <w:rsid w:val="3A4122C4"/>
    <w:rsid w:val="3B5B6A00"/>
    <w:rsid w:val="3D581DFE"/>
    <w:rsid w:val="3E4E201F"/>
    <w:rsid w:val="3E682515"/>
    <w:rsid w:val="3EEA2F2A"/>
    <w:rsid w:val="426B6130"/>
    <w:rsid w:val="42C41CE4"/>
    <w:rsid w:val="43CA50D8"/>
    <w:rsid w:val="43DD4E0B"/>
    <w:rsid w:val="445E62EE"/>
    <w:rsid w:val="45F8417E"/>
    <w:rsid w:val="465862A7"/>
    <w:rsid w:val="4A233794"/>
    <w:rsid w:val="4A4650EB"/>
    <w:rsid w:val="522B768A"/>
    <w:rsid w:val="523F3135"/>
    <w:rsid w:val="52A01E26"/>
    <w:rsid w:val="5579695E"/>
    <w:rsid w:val="5B743E4F"/>
    <w:rsid w:val="5D6C16DA"/>
    <w:rsid w:val="5E510478"/>
    <w:rsid w:val="5EA92062"/>
    <w:rsid w:val="5F2E07B9"/>
    <w:rsid w:val="63A4729C"/>
    <w:rsid w:val="63E444FE"/>
    <w:rsid w:val="650E0E71"/>
    <w:rsid w:val="6BA047ED"/>
    <w:rsid w:val="6C6D2921"/>
    <w:rsid w:val="71C72AD3"/>
    <w:rsid w:val="722E6F93"/>
    <w:rsid w:val="73261A7B"/>
    <w:rsid w:val="76E079B9"/>
    <w:rsid w:val="78827754"/>
    <w:rsid w:val="7A195E96"/>
    <w:rsid w:val="7AC838BB"/>
    <w:rsid w:val="7CEA3B1A"/>
    <w:rsid w:val="7DDC77F3"/>
    <w:rsid w:val="7DFE05C2"/>
    <w:rsid w:val="7E525E1A"/>
    <w:rsid w:val="7F2A29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autoRedefine/>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200" w:firstLineChars="200"/>
    </w:pPr>
    <w:rPr>
      <w:sz w:val="24"/>
      <w:szCs w:val="20"/>
    </w:rPr>
  </w:style>
  <w:style w:type="paragraph" w:styleId="4">
    <w:name w:val="Body Text Indent"/>
    <w:basedOn w:val="1"/>
    <w:unhideWhenUsed/>
    <w:qFormat/>
    <w:uiPriority w:val="99"/>
    <w:pPr>
      <w:spacing w:after="120"/>
      <w:ind w:left="420" w:leftChars="200"/>
    </w:pPr>
  </w:style>
  <w:style w:type="paragraph" w:styleId="5">
    <w:name w:val="Balloon Text"/>
    <w:basedOn w:val="1"/>
    <w:link w:val="14"/>
    <w:autoRedefine/>
    <w:uiPriority w:val="0"/>
    <w:rPr>
      <w:sz w:val="18"/>
      <w:szCs w:val="18"/>
    </w:rPr>
  </w:style>
  <w:style w:type="paragraph" w:styleId="6">
    <w:name w:val="footer"/>
    <w:basedOn w:val="1"/>
    <w:link w:val="15"/>
    <w:autoRedefine/>
    <w:uiPriority w:val="0"/>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autoRedefine/>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customStyle="1" w:styleId="14">
    <w:name w:val="批注框文本 Char"/>
    <w:link w:val="5"/>
    <w:autoRedefine/>
    <w:uiPriority w:val="0"/>
    <w:rPr>
      <w:kern w:val="2"/>
      <w:sz w:val="18"/>
      <w:szCs w:val="18"/>
    </w:rPr>
  </w:style>
  <w:style w:type="character" w:customStyle="1" w:styleId="15">
    <w:name w:val="页脚 Char"/>
    <w:link w:val="6"/>
    <w:qFormat/>
    <w:uiPriority w:val="0"/>
    <w:rPr>
      <w:kern w:val="2"/>
      <w:sz w:val="18"/>
      <w:szCs w:val="18"/>
    </w:rPr>
  </w:style>
  <w:style w:type="character" w:customStyle="1" w:styleId="16">
    <w:name w:val="页眉 Char"/>
    <w:link w:val="7"/>
    <w:uiPriority w:val="99"/>
    <w:rPr>
      <w:kern w:val="2"/>
      <w:sz w:val="18"/>
      <w:szCs w:val="18"/>
    </w:rPr>
  </w:style>
  <w:style w:type="paragraph" w:customStyle="1" w:styleId="17">
    <w:name w:val=" Char Char Char1 Char"/>
    <w:basedOn w:val="1"/>
    <w:autoRedefine/>
    <w:qFormat/>
    <w:uiPriority w:val="0"/>
  </w:style>
  <w:style w:type="paragraph" w:customStyle="1" w:styleId="18">
    <w:name w:val="段"/>
    <w:link w:val="1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autoRedefine/>
    <w:qFormat/>
    <w:uiPriority w:val="0"/>
    <w:rPr>
      <w:rFonts w:ascii="宋体"/>
      <w:sz w:val="21"/>
      <w:lang w:val="en-US" w:eastAsia="zh-CN" w:bidi="ar-SA"/>
    </w:rPr>
  </w:style>
  <w:style w:type="paragraph" w:customStyle="1" w:styleId="20">
    <w:name w:val="标准文件_段"/>
    <w:link w:val="2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标准文件_段 Char"/>
    <w:link w:val="20"/>
    <w:autoRedefine/>
    <w:qFormat/>
    <w:uiPriority w:val="0"/>
    <w:rPr>
      <w:rFonts w:ascii="宋体"/>
      <w:sz w:val="21"/>
    </w:rPr>
  </w:style>
  <w:style w:type="paragraph" w:customStyle="1" w:styleId="22">
    <w:name w:val="标准文件_章标题"/>
    <w:next w:val="20"/>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
    <w:name w:val="标准文件_一级条标题"/>
    <w:basedOn w:val="22"/>
    <w:next w:val="20"/>
    <w:autoRedefine/>
    <w:qFormat/>
    <w:uiPriority w:val="0"/>
    <w:pPr>
      <w:numPr>
        <w:ilvl w:val="2"/>
      </w:numPr>
      <w:spacing w:before="50" w:beforeLines="50" w:after="50" w:afterLines="50"/>
      <w:outlineLvl w:val="1"/>
    </w:pPr>
  </w:style>
  <w:style w:type="paragraph" w:customStyle="1" w:styleId="24">
    <w:name w:val="标准文件_二级无标题"/>
    <w:basedOn w:val="25"/>
    <w:autoRedefine/>
    <w:qFormat/>
    <w:uiPriority w:val="0"/>
    <w:pPr>
      <w:spacing w:before="0" w:beforeLines="0" w:after="0" w:afterLines="0"/>
      <w:outlineLvl w:val="9"/>
    </w:pPr>
    <w:rPr>
      <w:rFonts w:ascii="宋体" w:eastAsia="宋体"/>
    </w:rPr>
  </w:style>
  <w:style w:type="paragraph" w:customStyle="1" w:styleId="25">
    <w:name w:val="标准文件_二级条标题"/>
    <w:next w:val="20"/>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标准文件_正文表标题"/>
    <w:next w:val="20"/>
    <w:autoRedefine/>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7">
    <w:name w:val="标准文件_表格"/>
    <w:basedOn w:val="20"/>
    <w:autoRedefine/>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639</Words>
  <Characters>3645</Characters>
  <Lines>30</Lines>
  <Paragraphs>8</Paragraphs>
  <TotalTime>248</TotalTime>
  <ScaleCrop>false</ScaleCrop>
  <LinksUpToDate>false</LinksUpToDate>
  <CharactersWithSpaces>4276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2023-11-17T01:13:00Z</dcterms:created>
  <dc:creator>MC SYSTEM</dc:creator>
  <cp:lastModifiedBy>范晓庆</cp:lastModifiedBy>
  <cp:lastPrinted>2014-12-03T00:16:00Z</cp:lastPrinted>
  <dcterms:modified xsi:type="dcterms:W3CDTF">2024-03-15T09:02:02Z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1AB20C9A424A4EEEA304EF391109670F_13</vt:lpwstr>
  </property>
</Properties>
</file>