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团体标准《江西绿色生态 春香柚》</w:t>
      </w:r>
    </w:p>
    <w:p>
      <w:pPr>
        <w:spacing w:before="156" w:beforeLines="50" w:after="156" w:afterLines="50"/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编制说明</w:t>
      </w:r>
    </w:p>
    <w:p>
      <w:pPr>
        <w:numPr>
          <w:ilvl w:val="0"/>
          <w:numId w:val="2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项目来源</w:t>
      </w:r>
    </w:p>
    <w:p>
      <w:pPr>
        <w:pStyle w:val="8"/>
        <w:spacing w:line="360" w:lineRule="auto"/>
        <w:ind w:firstLine="640"/>
        <w:rPr>
          <w:rFonts w:hint="default" w:ascii="仿宋" w:hAnsi="仿宋" w:eastAsia="仿宋" w:cs="仿宋"/>
          <w:sz w:val="32"/>
          <w:szCs w:val="28"/>
        </w:rPr>
      </w:pPr>
      <w:r>
        <w:rPr>
          <w:rFonts w:ascii="仿宋" w:hAnsi="仿宋" w:eastAsia="仿宋" w:cs="仿宋"/>
          <w:sz w:val="32"/>
          <w:szCs w:val="28"/>
        </w:rPr>
        <w:t>本标准由江西绿色生态品牌建设促进会提出，江西欧</w:t>
      </w:r>
      <w:r>
        <w:rPr>
          <w:rFonts w:hint="default" w:ascii="仿宋" w:hAnsi="仿宋" w:eastAsia="仿宋" w:cs="仿宋"/>
          <w:sz w:val="32"/>
          <w:szCs w:val="28"/>
        </w:rPr>
        <w:t>月生态</w:t>
      </w:r>
      <w:r>
        <w:rPr>
          <w:rFonts w:ascii="仿宋" w:hAnsi="仿宋" w:eastAsia="仿宋" w:cs="仿宋"/>
          <w:sz w:val="32"/>
          <w:szCs w:val="28"/>
        </w:rPr>
        <w:t>农业</w:t>
      </w:r>
      <w:r>
        <w:rPr>
          <w:rFonts w:hint="default" w:ascii="仿宋" w:hAnsi="仿宋" w:eastAsia="仿宋" w:cs="仿宋"/>
          <w:sz w:val="32"/>
          <w:szCs w:val="28"/>
        </w:rPr>
        <w:t>发展有限公司、进贤县市场监督管理局、</w:t>
      </w:r>
      <w:r>
        <w:rPr>
          <w:rFonts w:ascii="仿宋" w:hAnsi="仿宋" w:eastAsia="仿宋" w:cs="仿宋"/>
          <w:sz w:val="32"/>
          <w:szCs w:val="28"/>
        </w:rPr>
        <w:t>江西省质量和标准化研究院等单位制定。</w:t>
      </w:r>
    </w:p>
    <w:p>
      <w:pPr>
        <w:pStyle w:val="8"/>
        <w:numPr>
          <w:ilvl w:val="0"/>
          <w:numId w:val="2"/>
        </w:numPr>
        <w:spacing w:line="360" w:lineRule="auto"/>
        <w:ind w:firstLine="0" w:firstLineChars="0"/>
        <w:rPr>
          <w:rFonts w:hint="default" w:ascii="黑体" w:hAnsi="黑体" w:eastAsia="黑体" w:cs="黑体"/>
          <w:sz w:val="32"/>
          <w:szCs w:val="28"/>
        </w:rPr>
      </w:pPr>
      <w:r>
        <w:rPr>
          <w:rFonts w:ascii="黑体" w:hAnsi="黑体" w:eastAsia="黑体" w:cs="黑体"/>
          <w:sz w:val="32"/>
          <w:szCs w:val="28"/>
        </w:rPr>
        <w:t>背景与意义</w:t>
      </w:r>
    </w:p>
    <w:p>
      <w:pPr>
        <w:pStyle w:val="8"/>
        <w:spacing w:line="360" w:lineRule="auto"/>
        <w:ind w:firstLine="640" w:firstLineChars="0"/>
        <w:rPr>
          <w:rFonts w:hint="default" w:ascii="仿宋" w:hAnsi="仿宋" w:eastAsia="仿宋" w:cs="仿宋"/>
          <w:sz w:val="32"/>
          <w:szCs w:val="28"/>
        </w:rPr>
      </w:pPr>
      <w:r>
        <w:rPr>
          <w:rFonts w:ascii="仿宋" w:hAnsi="仿宋" w:eastAsia="仿宋" w:cs="仿宋"/>
          <w:sz w:val="32"/>
          <w:szCs w:val="28"/>
        </w:rPr>
        <w:t>江西省人民政府印发江西</w:t>
      </w:r>
      <w:r>
        <w:rPr>
          <w:rFonts w:hint="default" w:ascii="仿宋" w:hAnsi="仿宋" w:eastAsia="仿宋" w:cs="仿宋"/>
          <w:sz w:val="32"/>
          <w:szCs w:val="28"/>
        </w:rPr>
        <w:t>省农业</w:t>
      </w:r>
      <w:r>
        <w:rPr>
          <w:rFonts w:ascii="仿宋" w:hAnsi="仿宋" w:eastAsia="仿宋" w:cs="仿宋"/>
          <w:sz w:val="32"/>
          <w:szCs w:val="28"/>
        </w:rPr>
        <w:t>七大产业高质量发展</w:t>
      </w:r>
      <w:r>
        <w:rPr>
          <w:rFonts w:hint="default" w:ascii="仿宋" w:hAnsi="仿宋" w:eastAsia="仿宋" w:cs="仿宋"/>
          <w:sz w:val="32"/>
          <w:szCs w:val="28"/>
        </w:rPr>
        <w:t>三年</w:t>
      </w:r>
      <w:r>
        <w:rPr>
          <w:rFonts w:ascii="仿宋" w:hAnsi="仿宋" w:eastAsia="仿宋" w:cs="仿宋"/>
          <w:sz w:val="32"/>
          <w:szCs w:val="28"/>
        </w:rPr>
        <w:t>行动</w:t>
      </w:r>
      <w:r>
        <w:rPr>
          <w:rFonts w:hint="default" w:ascii="仿宋" w:hAnsi="仿宋" w:eastAsia="仿宋" w:cs="仿宋"/>
          <w:sz w:val="32"/>
          <w:szCs w:val="28"/>
        </w:rPr>
        <w:t>方案</w:t>
      </w:r>
      <w:r>
        <w:rPr>
          <w:rFonts w:ascii="仿宋" w:hAnsi="仿宋" w:eastAsia="仿宋" w:cs="仿宋"/>
          <w:sz w:val="32"/>
          <w:szCs w:val="28"/>
        </w:rPr>
        <w:t>（2023</w:t>
      </w:r>
      <w:r>
        <w:rPr>
          <w:rFonts w:hint="default" w:ascii="仿宋" w:hAnsi="仿宋" w:eastAsia="仿宋" w:cs="仿宋"/>
          <w:sz w:val="32"/>
          <w:szCs w:val="28"/>
        </w:rPr>
        <w:t>-2025</w:t>
      </w:r>
      <w:r>
        <w:rPr>
          <w:rFonts w:ascii="仿宋" w:hAnsi="仿宋" w:eastAsia="仿宋" w:cs="仿宋"/>
          <w:sz w:val="32"/>
          <w:szCs w:val="28"/>
        </w:rPr>
        <w:t>），</w:t>
      </w:r>
      <w:r>
        <w:rPr>
          <w:rFonts w:hint="default" w:ascii="仿宋" w:hAnsi="仿宋" w:eastAsia="仿宋" w:cs="仿宋"/>
          <w:sz w:val="32"/>
          <w:szCs w:val="28"/>
        </w:rPr>
        <w:t>其中对</w:t>
      </w:r>
      <w:r>
        <w:rPr>
          <w:rFonts w:ascii="仿宋" w:hAnsi="仿宋" w:eastAsia="仿宋" w:cs="仿宋"/>
          <w:sz w:val="32"/>
          <w:szCs w:val="28"/>
        </w:rPr>
        <w:t>果蔬</w:t>
      </w:r>
      <w:r>
        <w:rPr>
          <w:rFonts w:hint="default" w:ascii="仿宋" w:hAnsi="仿宋" w:eastAsia="仿宋" w:cs="仿宋"/>
          <w:sz w:val="32"/>
          <w:szCs w:val="28"/>
        </w:rPr>
        <w:t>产业</w:t>
      </w:r>
      <w:r>
        <w:rPr>
          <w:rFonts w:ascii="仿宋" w:hAnsi="仿宋" w:eastAsia="仿宋" w:cs="仿宋"/>
          <w:sz w:val="32"/>
          <w:szCs w:val="28"/>
        </w:rPr>
        <w:t>提出主攻优质化、精品化、市场化，加快果蔬适销品种培育、复壮和引进，持续推进设施蔬菜和标准生态果园建设，加大林下蔬菜开发，推进脐橙、甜柚和蜜橘等</w:t>
      </w:r>
      <w:r>
        <w:rPr>
          <w:rFonts w:ascii="仿宋" w:hAnsi="仿宋" w:eastAsia="仿宋" w:cs="仿宋"/>
          <w:b/>
          <w:sz w:val="32"/>
          <w:szCs w:val="28"/>
        </w:rPr>
        <w:t>柑橘产业高质量发展</w:t>
      </w:r>
      <w:r>
        <w:rPr>
          <w:rFonts w:ascii="仿宋" w:hAnsi="仿宋" w:eastAsia="仿宋" w:cs="仿宋"/>
          <w:sz w:val="32"/>
          <w:szCs w:val="28"/>
        </w:rPr>
        <w:t>，打造一批果蔬产加销一体化企业，推动形成果蔬品牌价值超100亿的“一市一品”5个、超10亿的“一县一品”20个。力争到2025年果蔬产业综合产值达到1500亿元，超10亿元的龙头企业新增7家、总数达到10家。</w:t>
      </w:r>
    </w:p>
    <w:p>
      <w:pPr>
        <w:pStyle w:val="8"/>
        <w:spacing w:line="360" w:lineRule="auto"/>
        <w:ind w:firstLine="640" w:firstLineChars="0"/>
        <w:rPr>
          <w:rFonts w:hint="default" w:ascii="仿宋" w:hAnsi="仿宋" w:eastAsia="仿宋" w:cs="仿宋"/>
          <w:sz w:val="32"/>
          <w:szCs w:val="28"/>
        </w:rPr>
      </w:pPr>
      <w:r>
        <w:rPr>
          <w:rFonts w:ascii="仿宋" w:hAnsi="仿宋" w:eastAsia="仿宋" w:cs="仿宋"/>
          <w:sz w:val="32"/>
          <w:szCs w:val="28"/>
        </w:rPr>
        <w:t>春香柚是</w:t>
      </w:r>
      <w:r>
        <w:rPr>
          <w:rFonts w:hint="default" w:ascii="仿宋" w:hAnsi="仿宋" w:eastAsia="仿宋" w:cs="仿宋"/>
          <w:sz w:val="32"/>
          <w:szCs w:val="28"/>
        </w:rPr>
        <w:t>浙江省</w:t>
      </w:r>
      <w:r>
        <w:rPr>
          <w:rFonts w:ascii="仿宋" w:hAnsi="仿宋" w:eastAsia="仿宋" w:cs="仿宋"/>
          <w:sz w:val="32"/>
          <w:szCs w:val="28"/>
        </w:rPr>
        <w:t>象山</w:t>
      </w:r>
      <w:r>
        <w:rPr>
          <w:rFonts w:hint="default" w:ascii="仿宋" w:hAnsi="仿宋" w:eastAsia="仿宋" w:cs="仿宋"/>
          <w:sz w:val="32"/>
          <w:szCs w:val="28"/>
        </w:rPr>
        <w:t>县</w:t>
      </w:r>
      <w:r>
        <w:rPr>
          <w:rFonts w:ascii="仿宋" w:hAnsi="仿宋" w:eastAsia="仿宋" w:cs="仿宋"/>
          <w:sz w:val="32"/>
          <w:szCs w:val="28"/>
        </w:rPr>
        <w:t>2000年从</w:t>
      </w:r>
      <w:r>
        <w:rPr>
          <w:rFonts w:hint="default" w:ascii="仿宋" w:hAnsi="仿宋" w:eastAsia="仿宋" w:cs="仿宋"/>
          <w:sz w:val="32"/>
          <w:szCs w:val="28"/>
        </w:rPr>
        <w:t>日本</w:t>
      </w:r>
      <w:r>
        <w:rPr>
          <w:rFonts w:ascii="仿宋" w:hAnsi="仿宋" w:eastAsia="仿宋" w:cs="仿宋"/>
          <w:sz w:val="32"/>
          <w:szCs w:val="28"/>
        </w:rPr>
        <w:t>引进</w:t>
      </w:r>
      <w:r>
        <w:rPr>
          <w:rFonts w:hint="default" w:ascii="仿宋" w:hAnsi="仿宋" w:eastAsia="仿宋" w:cs="仿宋"/>
          <w:sz w:val="32"/>
          <w:szCs w:val="28"/>
        </w:rPr>
        <w:t>，</w:t>
      </w:r>
      <w:r>
        <w:rPr>
          <w:rFonts w:ascii="仿宋" w:hAnsi="仿宋" w:eastAsia="仿宋" w:cs="仿宋"/>
          <w:sz w:val="32"/>
          <w:szCs w:val="28"/>
        </w:rPr>
        <w:t>也叫</w:t>
      </w:r>
      <w:r>
        <w:rPr>
          <w:rFonts w:hint="default" w:ascii="仿宋" w:hAnsi="仿宋" w:eastAsia="仿宋" w:cs="仿宋"/>
          <w:sz w:val="32"/>
          <w:szCs w:val="28"/>
        </w:rPr>
        <w:t>黄金贡柚</w:t>
      </w:r>
      <w:r>
        <w:rPr>
          <w:rFonts w:ascii="仿宋" w:hAnsi="仿宋" w:eastAsia="仿宋" w:cs="仿宋"/>
          <w:sz w:val="32"/>
          <w:szCs w:val="28"/>
        </w:rPr>
        <w:t>或</w:t>
      </w:r>
      <w:r>
        <w:rPr>
          <w:rFonts w:hint="default" w:ascii="仿宋" w:hAnsi="仿宋" w:eastAsia="仿宋" w:cs="仿宋"/>
          <w:sz w:val="32"/>
          <w:szCs w:val="28"/>
        </w:rPr>
        <w:t>象山青，</w:t>
      </w:r>
      <w:r>
        <w:rPr>
          <w:rFonts w:ascii="仿宋" w:hAnsi="仿宋" w:eastAsia="仿宋" w:cs="仿宋"/>
          <w:sz w:val="32"/>
          <w:szCs w:val="28"/>
        </w:rPr>
        <w:t>属于</w:t>
      </w:r>
      <w:r>
        <w:rPr>
          <w:rFonts w:hint="default" w:ascii="仿宋" w:hAnsi="仿宋" w:eastAsia="仿宋" w:cs="仿宋"/>
          <w:sz w:val="32"/>
          <w:szCs w:val="28"/>
        </w:rPr>
        <w:t>桔柚类杂柑</w:t>
      </w:r>
      <w:r>
        <w:rPr>
          <w:rFonts w:ascii="仿宋" w:hAnsi="仿宋" w:eastAsia="仿宋" w:cs="仿宋"/>
          <w:sz w:val="32"/>
          <w:szCs w:val="28"/>
        </w:rPr>
        <w:t>，</w:t>
      </w:r>
      <w:r>
        <w:rPr>
          <w:rFonts w:hint="default" w:ascii="仿宋" w:hAnsi="仿宋" w:eastAsia="仿宋" w:cs="仿宋"/>
          <w:sz w:val="32"/>
          <w:szCs w:val="28"/>
        </w:rPr>
        <w:t>目前江西省内</w:t>
      </w:r>
      <w:r>
        <w:rPr>
          <w:rFonts w:ascii="仿宋" w:hAnsi="仿宋" w:eastAsia="仿宋" w:cs="仿宋"/>
          <w:sz w:val="32"/>
          <w:szCs w:val="28"/>
        </w:rPr>
        <w:t>春香柚</w:t>
      </w:r>
      <w:r>
        <w:rPr>
          <w:rFonts w:hint="default" w:ascii="仿宋" w:hAnsi="仿宋" w:eastAsia="仿宋" w:cs="仿宋"/>
          <w:sz w:val="32"/>
          <w:szCs w:val="28"/>
        </w:rPr>
        <w:t>的种植</w:t>
      </w:r>
      <w:r>
        <w:rPr>
          <w:rFonts w:ascii="仿宋" w:hAnsi="仿宋" w:eastAsia="仿宋" w:cs="仿宋"/>
          <w:sz w:val="32"/>
          <w:szCs w:val="28"/>
        </w:rPr>
        <w:t>主要集中</w:t>
      </w:r>
      <w:r>
        <w:rPr>
          <w:rFonts w:hint="default" w:ascii="仿宋" w:hAnsi="仿宋" w:eastAsia="仿宋" w:cs="仿宋"/>
          <w:sz w:val="32"/>
          <w:szCs w:val="28"/>
        </w:rPr>
        <w:t>在进贤</w:t>
      </w:r>
      <w:r>
        <w:rPr>
          <w:rFonts w:ascii="仿宋" w:hAnsi="仿宋" w:eastAsia="仿宋" w:cs="仿宋"/>
          <w:sz w:val="32"/>
          <w:szCs w:val="28"/>
        </w:rPr>
        <w:t>，</w:t>
      </w:r>
      <w:r>
        <w:rPr>
          <w:rFonts w:hint="default" w:ascii="仿宋" w:hAnsi="仿宋" w:eastAsia="仿宋" w:cs="仿宋"/>
          <w:sz w:val="32"/>
          <w:szCs w:val="28"/>
        </w:rPr>
        <w:t>种植</w:t>
      </w:r>
      <w:r>
        <w:rPr>
          <w:rFonts w:ascii="仿宋" w:hAnsi="仿宋" w:eastAsia="仿宋" w:cs="仿宋"/>
          <w:sz w:val="32"/>
          <w:szCs w:val="28"/>
        </w:rPr>
        <w:t>面积</w:t>
      </w:r>
      <w:r>
        <w:rPr>
          <w:rFonts w:hint="default" w:ascii="仿宋" w:hAnsi="仿宋" w:eastAsia="仿宋" w:cs="仿宋"/>
          <w:sz w:val="32"/>
          <w:szCs w:val="28"/>
        </w:rPr>
        <w:t>已经达到</w:t>
      </w:r>
      <w:r>
        <w:rPr>
          <w:rFonts w:ascii="仿宋" w:hAnsi="仿宋" w:eastAsia="仿宋" w:cs="仿宋"/>
          <w:sz w:val="32"/>
          <w:szCs w:val="28"/>
        </w:rPr>
        <w:t>1.1</w:t>
      </w:r>
      <w:bookmarkStart w:id="0" w:name="_GoBack"/>
      <w:bookmarkEnd w:id="0"/>
      <w:r>
        <w:rPr>
          <w:rFonts w:ascii="仿宋" w:hAnsi="仿宋" w:eastAsia="仿宋" w:cs="仿宋"/>
          <w:sz w:val="32"/>
          <w:szCs w:val="28"/>
        </w:rPr>
        <w:t>万亩</w:t>
      </w:r>
      <w:r>
        <w:rPr>
          <w:rFonts w:hint="default" w:ascii="仿宋" w:hAnsi="仿宋" w:eastAsia="仿宋" w:cs="仿宋"/>
          <w:sz w:val="32"/>
          <w:szCs w:val="28"/>
        </w:rPr>
        <w:t>以上，</w:t>
      </w:r>
      <w:r>
        <w:rPr>
          <w:rFonts w:ascii="仿宋" w:hAnsi="仿宋" w:eastAsia="仿宋" w:cs="仿宋"/>
          <w:sz w:val="32"/>
          <w:szCs w:val="28"/>
        </w:rPr>
        <w:t>2022年总产量4332吨</w:t>
      </w:r>
      <w:r>
        <w:rPr>
          <w:rFonts w:hint="default" w:ascii="仿宋" w:hAnsi="仿宋" w:eastAsia="仿宋" w:cs="仿宋"/>
          <w:sz w:val="32"/>
          <w:szCs w:val="28"/>
        </w:rPr>
        <w:t>，</w:t>
      </w:r>
      <w:r>
        <w:rPr>
          <w:rFonts w:ascii="仿宋" w:hAnsi="仿宋" w:eastAsia="仿宋" w:cs="仿宋"/>
          <w:sz w:val="32"/>
          <w:szCs w:val="28"/>
        </w:rPr>
        <w:t>由于</w:t>
      </w:r>
      <w:r>
        <w:rPr>
          <w:rFonts w:hint="default" w:ascii="仿宋" w:hAnsi="仿宋" w:eastAsia="仿宋" w:cs="仿宋"/>
          <w:sz w:val="32"/>
          <w:szCs w:val="28"/>
        </w:rPr>
        <w:t>品牌意识不强，宣传力度不够，该品种在我省</w:t>
      </w:r>
      <w:r>
        <w:rPr>
          <w:rFonts w:ascii="仿宋" w:hAnsi="仿宋" w:eastAsia="仿宋" w:cs="仿宋"/>
          <w:sz w:val="32"/>
          <w:szCs w:val="28"/>
        </w:rPr>
        <w:t>知名度还</w:t>
      </w:r>
      <w:r>
        <w:rPr>
          <w:rFonts w:hint="default" w:ascii="仿宋" w:hAnsi="仿宋" w:eastAsia="仿宋" w:cs="仿宋"/>
          <w:sz w:val="32"/>
          <w:szCs w:val="28"/>
        </w:rPr>
        <w:t>有所欠缺，</w:t>
      </w:r>
      <w:r>
        <w:rPr>
          <w:rFonts w:ascii="仿宋" w:hAnsi="仿宋" w:eastAsia="仿宋" w:cs="仿宋"/>
          <w:sz w:val="32"/>
          <w:szCs w:val="28"/>
        </w:rPr>
        <w:t>为了推动该品种</w:t>
      </w:r>
      <w:r>
        <w:rPr>
          <w:rFonts w:hint="default" w:ascii="仿宋" w:hAnsi="仿宋" w:eastAsia="仿宋" w:cs="仿宋"/>
          <w:sz w:val="32"/>
          <w:szCs w:val="28"/>
        </w:rPr>
        <w:t>及</w:t>
      </w:r>
      <w:r>
        <w:rPr>
          <w:rFonts w:ascii="仿宋" w:hAnsi="仿宋" w:eastAsia="仿宋" w:cs="仿宋"/>
          <w:sz w:val="32"/>
          <w:szCs w:val="28"/>
        </w:rPr>
        <w:t>我省柑橘类</w:t>
      </w:r>
      <w:r>
        <w:rPr>
          <w:rFonts w:hint="default" w:ascii="仿宋" w:hAnsi="仿宋" w:eastAsia="仿宋" w:cs="仿宋"/>
          <w:sz w:val="32"/>
          <w:szCs w:val="28"/>
        </w:rPr>
        <w:t>水果</w:t>
      </w:r>
      <w:r>
        <w:rPr>
          <w:rFonts w:ascii="仿宋" w:hAnsi="仿宋" w:eastAsia="仿宋" w:cs="仿宋"/>
          <w:sz w:val="32"/>
          <w:szCs w:val="28"/>
        </w:rPr>
        <w:t>产业发展，利用我省现有环境基础和资源优势，通过制定团体标准《江西绿色生态 春香柚》，以支撑我省春香柚产品开展“江西绿色生态”产品检测和品牌认证。</w:t>
      </w:r>
    </w:p>
    <w:p>
      <w:pPr>
        <w:pStyle w:val="8"/>
        <w:numPr>
          <w:ilvl w:val="0"/>
          <w:numId w:val="2"/>
        </w:numPr>
        <w:spacing w:line="360" w:lineRule="auto"/>
        <w:ind w:firstLine="0" w:firstLineChars="0"/>
        <w:rPr>
          <w:rFonts w:hint="default" w:ascii="黑体" w:hAnsi="黑体" w:eastAsia="黑体" w:cs="黑体"/>
          <w:sz w:val="32"/>
          <w:szCs w:val="28"/>
        </w:rPr>
      </w:pPr>
      <w:r>
        <w:rPr>
          <w:rFonts w:ascii="黑体" w:hAnsi="黑体" w:eastAsia="黑体" w:cs="黑体"/>
          <w:sz w:val="32"/>
          <w:szCs w:val="28"/>
        </w:rPr>
        <w:t>标准化现状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2834"/>
        <w:gridCol w:w="3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Align w:val="center"/>
          </w:tcPr>
          <w:p>
            <w:pPr>
              <w:pStyle w:val="8"/>
              <w:widowControl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2"/>
                <w:szCs w:val="18"/>
              </w:rPr>
            </w:pPr>
            <w:r>
              <w:rPr>
                <w:rFonts w:ascii="仿宋" w:hAnsi="仿宋" w:eastAsia="仿宋" w:cs="仿宋"/>
                <w:sz w:val="22"/>
                <w:szCs w:val="18"/>
              </w:rPr>
              <w:t>标准类型</w:t>
            </w:r>
          </w:p>
        </w:tc>
        <w:tc>
          <w:tcPr>
            <w:tcW w:w="2834" w:type="dxa"/>
            <w:vAlign w:val="center"/>
          </w:tcPr>
          <w:p>
            <w:pPr>
              <w:pStyle w:val="8"/>
              <w:widowControl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2"/>
                <w:szCs w:val="18"/>
              </w:rPr>
            </w:pPr>
            <w:r>
              <w:rPr>
                <w:rFonts w:ascii="仿宋" w:hAnsi="仿宋" w:eastAsia="仿宋" w:cs="仿宋"/>
                <w:sz w:val="22"/>
                <w:szCs w:val="18"/>
              </w:rPr>
              <w:t>标准编号</w:t>
            </w:r>
          </w:p>
        </w:tc>
        <w:tc>
          <w:tcPr>
            <w:tcW w:w="3594" w:type="dxa"/>
            <w:vAlign w:val="center"/>
          </w:tcPr>
          <w:p>
            <w:pPr>
              <w:pStyle w:val="8"/>
              <w:widowControl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2"/>
                <w:szCs w:val="18"/>
              </w:rPr>
            </w:pPr>
            <w:r>
              <w:rPr>
                <w:rFonts w:ascii="仿宋" w:hAnsi="仿宋" w:eastAsia="仿宋" w:cs="仿宋"/>
                <w:sz w:val="22"/>
                <w:szCs w:val="18"/>
              </w:rPr>
              <w:t>标准名称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Align w:val="center"/>
          </w:tcPr>
          <w:p>
            <w:pPr>
              <w:pStyle w:val="8"/>
              <w:widowControl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2"/>
                <w:szCs w:val="18"/>
              </w:rPr>
            </w:pPr>
            <w:r>
              <w:rPr>
                <w:rFonts w:ascii="仿宋" w:hAnsi="仿宋" w:eastAsia="仿宋" w:cs="仿宋"/>
                <w:sz w:val="22"/>
                <w:szCs w:val="18"/>
              </w:rPr>
              <w:t>国家</w:t>
            </w:r>
            <w:r>
              <w:rPr>
                <w:rFonts w:hint="default" w:ascii="仿宋" w:hAnsi="仿宋" w:eastAsia="仿宋" w:cs="仿宋"/>
                <w:sz w:val="22"/>
                <w:szCs w:val="18"/>
              </w:rPr>
              <w:t>标准</w:t>
            </w:r>
          </w:p>
        </w:tc>
        <w:tc>
          <w:tcPr>
            <w:tcW w:w="2834" w:type="dxa"/>
            <w:vAlign w:val="center"/>
          </w:tcPr>
          <w:p>
            <w:pPr>
              <w:pStyle w:val="8"/>
              <w:widowControl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2"/>
                <w:szCs w:val="18"/>
              </w:rPr>
            </w:pPr>
            <w:r>
              <w:rPr>
                <w:rFonts w:ascii="仿宋" w:hAnsi="仿宋" w:eastAsia="仿宋" w:cs="仿宋"/>
                <w:sz w:val="22"/>
                <w:szCs w:val="18"/>
              </w:rPr>
              <w:t xml:space="preserve">GB/T 12947-2008 </w:t>
            </w:r>
          </w:p>
        </w:tc>
        <w:tc>
          <w:tcPr>
            <w:tcW w:w="3594" w:type="dxa"/>
            <w:vAlign w:val="center"/>
          </w:tcPr>
          <w:p>
            <w:pPr>
              <w:pStyle w:val="8"/>
              <w:widowControl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2"/>
                <w:szCs w:val="18"/>
              </w:rPr>
            </w:pPr>
            <w:r>
              <w:rPr>
                <w:rFonts w:ascii="仿宋" w:hAnsi="仿宋" w:eastAsia="仿宋" w:cs="仿宋"/>
                <w:sz w:val="22"/>
                <w:szCs w:val="18"/>
              </w:rPr>
              <w:t>鲜柑橘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Merge w:val="restart"/>
            <w:vAlign w:val="center"/>
          </w:tcPr>
          <w:p>
            <w:pPr>
              <w:pStyle w:val="8"/>
              <w:widowControl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2"/>
                <w:szCs w:val="18"/>
              </w:rPr>
            </w:pPr>
            <w:r>
              <w:rPr>
                <w:rFonts w:ascii="仿宋" w:hAnsi="仿宋" w:eastAsia="仿宋" w:cs="仿宋"/>
                <w:sz w:val="22"/>
                <w:szCs w:val="18"/>
              </w:rPr>
              <w:t>行业标准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NY/T</w:t>
            </w:r>
            <w:r>
              <w:rPr>
                <w:rFonts w:ascii="仿宋" w:hAnsi="仿宋" w:eastAsia="仿宋"/>
              </w:rPr>
              <w:t xml:space="preserve"> 426-2021 </w:t>
            </w:r>
          </w:p>
        </w:tc>
        <w:tc>
          <w:tcPr>
            <w:tcW w:w="3594" w:type="dxa"/>
            <w:vAlign w:val="center"/>
          </w:tcPr>
          <w:p>
            <w:pPr>
              <w:pStyle w:val="8"/>
              <w:widowControl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2"/>
                <w:szCs w:val="18"/>
              </w:rPr>
            </w:pPr>
            <w:r>
              <w:rPr>
                <w:rFonts w:ascii="仿宋" w:hAnsi="仿宋" w:eastAsia="仿宋"/>
              </w:rPr>
              <w:t>绿色食品 柑橘类水果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Merge w:val="continue"/>
            <w:vAlign w:val="center"/>
          </w:tcPr>
          <w:p>
            <w:pPr>
              <w:pStyle w:val="8"/>
              <w:widowControl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2"/>
                <w:szCs w:val="18"/>
              </w:rPr>
            </w:pP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N</w:t>
            </w:r>
            <w:r>
              <w:rPr>
                <w:rFonts w:ascii="仿宋" w:hAnsi="仿宋" w:eastAsia="仿宋"/>
              </w:rPr>
              <w:t xml:space="preserve">Y/T 868-2004 </w:t>
            </w:r>
          </w:p>
        </w:tc>
        <w:tc>
          <w:tcPr>
            <w:tcW w:w="3594" w:type="dxa"/>
            <w:vAlign w:val="center"/>
          </w:tcPr>
          <w:p>
            <w:pPr>
              <w:pStyle w:val="8"/>
              <w:widowControl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2"/>
                <w:szCs w:val="18"/>
              </w:rPr>
            </w:pPr>
            <w:r>
              <w:rPr>
                <w:rFonts w:ascii="仿宋" w:hAnsi="仿宋" w:eastAsia="仿宋"/>
              </w:rPr>
              <w:t>沙田柚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Merge w:val="continue"/>
            <w:vAlign w:val="center"/>
          </w:tcPr>
          <w:p>
            <w:pPr>
              <w:pStyle w:val="8"/>
              <w:widowControl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2"/>
                <w:szCs w:val="18"/>
              </w:rPr>
            </w:pP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NY</w:t>
            </w:r>
            <w:r>
              <w:rPr>
                <w:rFonts w:ascii="仿宋" w:hAnsi="仿宋" w:eastAsia="仿宋"/>
              </w:rPr>
              <w:t xml:space="preserve">/T 587-2002 </w:t>
            </w:r>
          </w:p>
        </w:tc>
        <w:tc>
          <w:tcPr>
            <w:tcW w:w="3594" w:type="dxa"/>
            <w:vAlign w:val="center"/>
          </w:tcPr>
          <w:p>
            <w:pPr>
              <w:pStyle w:val="8"/>
              <w:widowControl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2"/>
                <w:szCs w:val="18"/>
              </w:rPr>
            </w:pPr>
            <w:r>
              <w:rPr>
                <w:rFonts w:ascii="仿宋" w:hAnsi="仿宋" w:eastAsia="仿宋"/>
              </w:rPr>
              <w:t>常山胡柚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Merge w:val="continue"/>
            <w:vAlign w:val="center"/>
          </w:tcPr>
          <w:p>
            <w:pPr>
              <w:pStyle w:val="8"/>
              <w:widowControl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2"/>
                <w:szCs w:val="18"/>
              </w:rPr>
            </w:pP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NY</w:t>
            </w:r>
            <w:r>
              <w:rPr>
                <w:rFonts w:ascii="仿宋" w:hAnsi="仿宋" w:eastAsia="仿宋"/>
              </w:rPr>
              <w:t xml:space="preserve">/T 1265-2007 </w:t>
            </w:r>
          </w:p>
        </w:tc>
        <w:tc>
          <w:tcPr>
            <w:tcW w:w="3594" w:type="dxa"/>
            <w:vAlign w:val="center"/>
          </w:tcPr>
          <w:p>
            <w:pPr>
              <w:pStyle w:val="8"/>
              <w:widowControl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2"/>
                <w:szCs w:val="18"/>
              </w:rPr>
            </w:pPr>
            <w:r>
              <w:rPr>
                <w:rFonts w:ascii="仿宋" w:hAnsi="仿宋" w:eastAsia="仿宋"/>
              </w:rPr>
              <w:t>香柚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Merge w:val="continue"/>
            <w:vAlign w:val="center"/>
          </w:tcPr>
          <w:p>
            <w:pPr>
              <w:pStyle w:val="8"/>
              <w:widowControl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2"/>
                <w:szCs w:val="18"/>
              </w:rPr>
            </w:pP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NY</w:t>
            </w:r>
            <w:r>
              <w:rPr>
                <w:rFonts w:ascii="仿宋" w:hAnsi="仿宋" w:eastAsia="仿宋"/>
              </w:rPr>
              <w:t xml:space="preserve">/T 1264-2007 </w:t>
            </w:r>
          </w:p>
        </w:tc>
        <w:tc>
          <w:tcPr>
            <w:tcW w:w="3594" w:type="dxa"/>
            <w:vAlign w:val="center"/>
          </w:tcPr>
          <w:p>
            <w:pPr>
              <w:pStyle w:val="8"/>
              <w:widowControl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2"/>
                <w:szCs w:val="18"/>
              </w:rPr>
            </w:pPr>
            <w:r>
              <w:rPr>
                <w:rFonts w:ascii="仿宋" w:hAnsi="仿宋" w:eastAsia="仿宋"/>
              </w:rPr>
              <w:t>溪蜜柚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Merge w:val="continue"/>
            <w:vAlign w:val="center"/>
          </w:tcPr>
          <w:p>
            <w:pPr>
              <w:pStyle w:val="8"/>
              <w:widowControl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2"/>
                <w:szCs w:val="18"/>
              </w:rPr>
            </w:pP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NY</w:t>
            </w:r>
            <w:r>
              <w:rPr>
                <w:rFonts w:ascii="仿宋" w:hAnsi="仿宋" w:eastAsia="仿宋"/>
              </w:rPr>
              <w:t xml:space="preserve">/T 699-2003 </w:t>
            </w:r>
          </w:p>
        </w:tc>
        <w:tc>
          <w:tcPr>
            <w:tcW w:w="3594" w:type="dxa"/>
            <w:vAlign w:val="center"/>
          </w:tcPr>
          <w:p>
            <w:pPr>
              <w:pStyle w:val="8"/>
              <w:widowControl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2"/>
                <w:szCs w:val="18"/>
              </w:rPr>
            </w:pPr>
            <w:r>
              <w:rPr>
                <w:rFonts w:ascii="仿宋" w:hAnsi="仿宋" w:eastAsia="仿宋"/>
              </w:rPr>
              <w:t>梁平柚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Merge w:val="continue"/>
            <w:vAlign w:val="center"/>
          </w:tcPr>
          <w:p>
            <w:pPr>
              <w:pStyle w:val="8"/>
              <w:widowControl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2"/>
                <w:szCs w:val="18"/>
              </w:rPr>
            </w:pP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NY</w:t>
            </w:r>
            <w:r>
              <w:rPr>
                <w:rFonts w:ascii="仿宋" w:hAnsi="仿宋" w:eastAsia="仿宋"/>
              </w:rPr>
              <w:t xml:space="preserve">/T 1271-2007 </w:t>
            </w:r>
          </w:p>
        </w:tc>
        <w:tc>
          <w:tcPr>
            <w:tcW w:w="3594" w:type="dxa"/>
            <w:vAlign w:val="center"/>
          </w:tcPr>
          <w:p>
            <w:pPr>
              <w:pStyle w:val="8"/>
              <w:widowControl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2"/>
                <w:szCs w:val="18"/>
              </w:rPr>
            </w:pPr>
            <w:r>
              <w:rPr>
                <w:rFonts w:ascii="仿宋" w:hAnsi="仿宋" w:eastAsia="仿宋"/>
              </w:rPr>
              <w:t>丰都红心柚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Merge w:val="continue"/>
            <w:vAlign w:val="center"/>
          </w:tcPr>
          <w:p>
            <w:pPr>
              <w:pStyle w:val="8"/>
              <w:widowControl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2"/>
                <w:szCs w:val="18"/>
              </w:rPr>
            </w:pP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NY/T</w:t>
            </w:r>
            <w:r>
              <w:rPr>
                <w:rFonts w:ascii="仿宋" w:hAnsi="仿宋" w:eastAsia="仿宋"/>
              </w:rPr>
              <w:t xml:space="preserve"> 698-2003 </w:t>
            </w:r>
          </w:p>
        </w:tc>
        <w:tc>
          <w:tcPr>
            <w:tcW w:w="3594" w:type="dxa"/>
            <w:vAlign w:val="center"/>
          </w:tcPr>
          <w:p>
            <w:pPr>
              <w:pStyle w:val="8"/>
              <w:widowControl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2"/>
                <w:szCs w:val="18"/>
              </w:rPr>
            </w:pPr>
            <w:r>
              <w:rPr>
                <w:rFonts w:ascii="仿宋" w:hAnsi="仿宋" w:eastAsia="仿宋"/>
              </w:rPr>
              <w:t>垫江白柚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Merge w:val="continue"/>
            <w:vAlign w:val="center"/>
          </w:tcPr>
          <w:p>
            <w:pPr>
              <w:pStyle w:val="8"/>
              <w:widowControl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2"/>
                <w:szCs w:val="18"/>
              </w:rPr>
            </w:pP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NY</w:t>
            </w:r>
            <w:r>
              <w:rPr>
                <w:rFonts w:ascii="仿宋" w:hAnsi="仿宋" w:eastAsia="仿宋"/>
              </w:rPr>
              <w:t xml:space="preserve">/T 1270-2007 </w:t>
            </w:r>
          </w:p>
        </w:tc>
        <w:tc>
          <w:tcPr>
            <w:tcW w:w="3594" w:type="dxa"/>
            <w:vAlign w:val="center"/>
          </w:tcPr>
          <w:p>
            <w:pPr>
              <w:pStyle w:val="8"/>
              <w:widowControl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2"/>
                <w:szCs w:val="18"/>
              </w:rPr>
            </w:pPr>
            <w:r>
              <w:rPr>
                <w:rFonts w:ascii="仿宋" w:hAnsi="仿宋" w:eastAsia="仿宋"/>
              </w:rPr>
              <w:t>五布柚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Merge w:val="restart"/>
            <w:vAlign w:val="center"/>
          </w:tcPr>
          <w:p>
            <w:pPr>
              <w:pStyle w:val="8"/>
              <w:widowControl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2"/>
                <w:szCs w:val="18"/>
              </w:rPr>
            </w:pPr>
            <w:r>
              <w:rPr>
                <w:rFonts w:ascii="仿宋" w:hAnsi="仿宋" w:eastAsia="仿宋" w:cs="仿宋"/>
                <w:sz w:val="22"/>
                <w:szCs w:val="18"/>
              </w:rPr>
              <w:t>地方标准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DB</w:t>
            </w:r>
            <w:r>
              <w:rPr>
                <w:rFonts w:ascii="仿宋" w:hAnsi="仿宋" w:eastAsia="仿宋"/>
              </w:rPr>
              <w:t xml:space="preserve">36/T 243-2019 </w:t>
            </w:r>
          </w:p>
        </w:tc>
        <w:tc>
          <w:tcPr>
            <w:tcW w:w="3594" w:type="dxa"/>
            <w:vAlign w:val="center"/>
          </w:tcPr>
          <w:p>
            <w:pPr>
              <w:pStyle w:val="8"/>
              <w:widowControl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2"/>
                <w:szCs w:val="18"/>
              </w:rPr>
            </w:pPr>
            <w:r>
              <w:rPr>
                <w:rFonts w:ascii="仿宋" w:hAnsi="仿宋" w:eastAsia="仿宋"/>
              </w:rPr>
              <w:t>地理标志产品 南康甜柚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Merge w:val="continue"/>
            <w:vAlign w:val="center"/>
          </w:tcPr>
          <w:p>
            <w:pPr>
              <w:pStyle w:val="8"/>
              <w:widowControl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2"/>
                <w:szCs w:val="18"/>
              </w:rPr>
            </w:pP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DB36/T 1057-2018 </w:t>
            </w:r>
          </w:p>
        </w:tc>
        <w:tc>
          <w:tcPr>
            <w:tcW w:w="3594" w:type="dxa"/>
            <w:vAlign w:val="center"/>
          </w:tcPr>
          <w:p>
            <w:pPr>
              <w:pStyle w:val="8"/>
              <w:widowControl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2"/>
                <w:szCs w:val="18"/>
              </w:rPr>
            </w:pPr>
            <w:r>
              <w:rPr>
                <w:rFonts w:ascii="仿宋" w:hAnsi="仿宋" w:eastAsia="仿宋"/>
              </w:rPr>
              <w:t>地理标志产品 广丰马家柚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Merge w:val="continue"/>
            <w:vAlign w:val="center"/>
          </w:tcPr>
          <w:p>
            <w:pPr>
              <w:pStyle w:val="8"/>
              <w:widowControl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2"/>
                <w:szCs w:val="18"/>
              </w:rPr>
            </w:pP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DB</w:t>
            </w:r>
            <w:r>
              <w:rPr>
                <w:rFonts w:ascii="仿宋" w:hAnsi="仿宋" w:eastAsia="仿宋"/>
              </w:rPr>
              <w:t xml:space="preserve">36/T 810-2020 </w:t>
            </w:r>
          </w:p>
        </w:tc>
        <w:tc>
          <w:tcPr>
            <w:tcW w:w="3594" w:type="dxa"/>
            <w:vAlign w:val="center"/>
          </w:tcPr>
          <w:p>
            <w:pPr>
              <w:pStyle w:val="8"/>
              <w:widowControl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2"/>
                <w:szCs w:val="18"/>
              </w:rPr>
            </w:pPr>
            <w:r>
              <w:rPr>
                <w:rFonts w:ascii="仿宋" w:hAnsi="仿宋" w:eastAsia="仿宋"/>
              </w:rPr>
              <w:t>井冈蜜柚商品果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Merge w:val="continue"/>
            <w:vAlign w:val="center"/>
          </w:tcPr>
          <w:p>
            <w:pPr>
              <w:pStyle w:val="8"/>
              <w:widowControl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2"/>
                <w:szCs w:val="18"/>
              </w:rPr>
            </w:pP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DB</w:t>
            </w:r>
            <w:r>
              <w:rPr>
                <w:rFonts w:ascii="仿宋" w:hAnsi="仿宋" w:eastAsia="仿宋"/>
              </w:rPr>
              <w:t>36/T 1417-2021</w:t>
            </w:r>
          </w:p>
        </w:tc>
        <w:tc>
          <w:tcPr>
            <w:tcW w:w="3594" w:type="dxa"/>
            <w:vAlign w:val="center"/>
          </w:tcPr>
          <w:p>
            <w:pPr>
              <w:pStyle w:val="8"/>
              <w:widowControl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2"/>
                <w:szCs w:val="18"/>
              </w:rPr>
            </w:pPr>
            <w:r>
              <w:rPr>
                <w:rFonts w:ascii="仿宋" w:hAnsi="仿宋" w:eastAsia="仿宋" w:cs="仿宋"/>
                <w:sz w:val="22"/>
                <w:szCs w:val="18"/>
              </w:rPr>
              <w:t>地理</w:t>
            </w:r>
            <w:r>
              <w:rPr>
                <w:rFonts w:hint="default" w:ascii="仿宋" w:hAnsi="仿宋" w:eastAsia="仿宋" w:cs="仿宋"/>
                <w:sz w:val="22"/>
                <w:szCs w:val="18"/>
              </w:rPr>
              <w:t>标志产品</w:t>
            </w:r>
            <w:r>
              <w:rPr>
                <w:rFonts w:ascii="仿宋" w:hAnsi="仿宋" w:eastAsia="仿宋" w:cs="仿宋"/>
                <w:sz w:val="22"/>
                <w:szCs w:val="18"/>
              </w:rPr>
              <w:t xml:space="preserve"> 会昌桔柚</w:t>
            </w:r>
          </w:p>
        </w:tc>
      </w:tr>
    </w:tbl>
    <w:p>
      <w:pPr>
        <w:pStyle w:val="8"/>
        <w:numPr>
          <w:ilvl w:val="0"/>
          <w:numId w:val="2"/>
        </w:numPr>
        <w:spacing w:line="360" w:lineRule="auto"/>
        <w:ind w:firstLine="0" w:firstLineChars="0"/>
        <w:rPr>
          <w:rFonts w:hint="default" w:ascii="黑体" w:hAnsi="黑体" w:eastAsia="黑体" w:cs="黑体"/>
          <w:sz w:val="32"/>
          <w:szCs w:val="28"/>
        </w:rPr>
      </w:pPr>
      <w:r>
        <w:rPr>
          <w:rFonts w:ascii="黑体" w:hAnsi="黑体" w:eastAsia="黑体" w:cs="黑体"/>
          <w:sz w:val="32"/>
          <w:szCs w:val="28"/>
        </w:rPr>
        <w:t>标准水平说明</w:t>
      </w:r>
    </w:p>
    <w:p>
      <w:pPr>
        <w:pStyle w:val="8"/>
        <w:spacing w:line="360" w:lineRule="auto"/>
        <w:ind w:firstLine="640" w:firstLineChars="0"/>
        <w:rPr>
          <w:rFonts w:hint="default" w:ascii="仿宋" w:hAnsi="仿宋" w:eastAsia="仿宋" w:cs="仿宋"/>
          <w:sz w:val="32"/>
          <w:szCs w:val="28"/>
        </w:rPr>
      </w:pPr>
      <w:r>
        <w:rPr>
          <w:rFonts w:ascii="仿宋" w:hAnsi="仿宋" w:eastAsia="仿宋" w:cs="仿宋"/>
          <w:sz w:val="32"/>
          <w:szCs w:val="28"/>
        </w:rPr>
        <w:t>本标准遵循DB36/T 1138-2019《“江西绿色生态”品牌评价要求》的要求，从资源节约、环境保护、生态协同、质量引领四个一级指标入手，设计对应的二级指标。</w:t>
      </w:r>
    </w:p>
    <w:p>
      <w:pPr>
        <w:pStyle w:val="8"/>
        <w:numPr>
          <w:ilvl w:val="0"/>
          <w:numId w:val="3"/>
        </w:numPr>
        <w:spacing w:line="360" w:lineRule="auto"/>
        <w:ind w:firstLine="640"/>
        <w:rPr>
          <w:rFonts w:hint="default" w:ascii="仿宋" w:hAnsi="仿宋" w:eastAsia="仿宋" w:cs="仿宋"/>
          <w:sz w:val="32"/>
          <w:szCs w:val="28"/>
        </w:rPr>
      </w:pPr>
      <w:r>
        <w:rPr>
          <w:rFonts w:ascii="仿宋" w:hAnsi="仿宋" w:eastAsia="仿宋" w:cs="仿宋"/>
          <w:sz w:val="32"/>
          <w:szCs w:val="28"/>
        </w:rPr>
        <w:t>资源节约</w:t>
      </w:r>
    </w:p>
    <w:p>
      <w:pPr>
        <w:pStyle w:val="8"/>
        <w:spacing w:line="360" w:lineRule="auto"/>
        <w:ind w:firstLine="0" w:firstLineChars="0"/>
        <w:rPr>
          <w:rFonts w:hint="default" w:ascii="仿宋" w:hAnsi="仿宋" w:eastAsia="仿宋" w:cs="仿宋"/>
          <w:sz w:val="32"/>
          <w:szCs w:val="40"/>
        </w:rPr>
      </w:pPr>
      <w:r>
        <w:rPr>
          <w:rFonts w:ascii="仿宋" w:hAnsi="仿宋" w:eastAsia="仿宋" w:cs="仿宋"/>
          <w:sz w:val="32"/>
          <w:szCs w:val="28"/>
        </w:rPr>
        <w:t xml:space="preserve">   </w:t>
      </w:r>
      <w:r>
        <w:rPr>
          <w:rFonts w:ascii="仿宋" w:hAnsi="仿宋" w:eastAsia="仿宋" w:cs="仿宋"/>
          <w:sz w:val="32"/>
          <w:szCs w:val="40"/>
        </w:rPr>
        <w:t>应采取节地栽培、节水灌溉等措施，提高农用地和水资源利用率，农药、肥料使用应符合NY/T 393、NY/T 394的要求并制定减量施用计划，应按照GB/T 34805的要求对枯枝落叶、落果（含劣质果）等农业废弃物进行资源化综合利用，包装应符合NY/T 658的要求，包装减量化并符合GB 23350的要求。</w:t>
      </w:r>
    </w:p>
    <w:p>
      <w:pPr>
        <w:pStyle w:val="8"/>
        <w:spacing w:line="360" w:lineRule="auto"/>
        <w:ind w:firstLine="0" w:firstLineChars="0"/>
        <w:rPr>
          <w:rFonts w:hint="default" w:ascii="仿宋" w:hAnsi="仿宋" w:eastAsia="仿宋" w:cs="仿宋"/>
          <w:sz w:val="32"/>
          <w:szCs w:val="40"/>
        </w:rPr>
      </w:pPr>
      <w:r>
        <w:rPr>
          <w:rFonts w:ascii="仿宋" w:hAnsi="仿宋" w:eastAsia="仿宋" w:cs="仿宋"/>
          <w:sz w:val="32"/>
          <w:szCs w:val="40"/>
        </w:rPr>
        <w:t xml:space="preserve">    （二）环境保护</w:t>
      </w:r>
    </w:p>
    <w:p>
      <w:pPr>
        <w:pStyle w:val="8"/>
        <w:spacing w:line="360" w:lineRule="auto"/>
        <w:ind w:firstLine="640" w:firstLineChars="0"/>
        <w:rPr>
          <w:rFonts w:hint="default" w:ascii="仿宋" w:hAnsi="仿宋" w:eastAsia="仿宋" w:cs="仿宋"/>
          <w:sz w:val="32"/>
          <w:szCs w:val="40"/>
        </w:rPr>
      </w:pPr>
      <w:r>
        <w:rPr>
          <w:rFonts w:ascii="仿宋" w:hAnsi="仿宋" w:eastAsia="仿宋" w:cs="仿宋"/>
          <w:sz w:val="32"/>
          <w:szCs w:val="40"/>
        </w:rPr>
        <w:t>病虫草害应采用绿色防控技术，采用生物防治和物理防治，选用高效低毒残留化学药剂，不得使用农业农村部规定的果树禁用农药，肥料质量应符合GB 38400的要求，宜施用有机肥料或生物肥料，按照GB/T 42550开展农业生产资料包装废弃物处置和回收利用。</w:t>
      </w:r>
    </w:p>
    <w:p>
      <w:pPr>
        <w:pStyle w:val="8"/>
        <w:spacing w:line="360" w:lineRule="auto"/>
        <w:ind w:left="420" w:leftChars="200" w:firstLine="0" w:firstLineChars="0"/>
        <w:rPr>
          <w:rFonts w:hint="default" w:ascii="仿宋" w:hAnsi="仿宋" w:eastAsia="仿宋" w:cs="仿宋"/>
          <w:sz w:val="32"/>
          <w:szCs w:val="40"/>
        </w:rPr>
      </w:pPr>
      <w:r>
        <w:rPr>
          <w:rFonts w:ascii="仿宋" w:hAnsi="仿宋" w:eastAsia="仿宋" w:cs="仿宋"/>
          <w:sz w:val="32"/>
          <w:szCs w:val="40"/>
        </w:rPr>
        <w:t>（三）生态协同</w:t>
      </w:r>
    </w:p>
    <w:p>
      <w:pPr>
        <w:pStyle w:val="8"/>
        <w:spacing w:line="360" w:lineRule="auto"/>
        <w:ind w:firstLine="640" w:firstLineChars="0"/>
        <w:rPr>
          <w:rFonts w:hint="default" w:ascii="仿宋" w:hAnsi="仿宋" w:eastAsia="仿宋" w:cs="仿宋"/>
          <w:sz w:val="32"/>
          <w:szCs w:val="40"/>
        </w:rPr>
      </w:pPr>
      <w:r>
        <w:rPr>
          <w:rFonts w:ascii="仿宋" w:hAnsi="仿宋" w:eastAsia="仿宋" w:cs="仿宋"/>
          <w:sz w:val="32"/>
          <w:szCs w:val="40"/>
        </w:rPr>
        <w:t>科学规划，生态建园，不破坏原有生物栖息地，维持生物多样性，与其他生产区域设置有效的缓冲带或物理屏障，防止生产基地受到污染。</w:t>
      </w:r>
    </w:p>
    <w:p>
      <w:pPr>
        <w:pStyle w:val="8"/>
        <w:spacing w:line="360" w:lineRule="auto"/>
        <w:ind w:firstLine="640" w:firstLineChars="0"/>
        <w:rPr>
          <w:rFonts w:hint="default" w:ascii="仿宋" w:hAnsi="仿宋" w:eastAsia="仿宋" w:cs="仿宋"/>
          <w:sz w:val="32"/>
          <w:szCs w:val="40"/>
        </w:rPr>
      </w:pPr>
      <w:r>
        <w:rPr>
          <w:rFonts w:ascii="仿宋" w:hAnsi="仿宋" w:eastAsia="仿宋" w:cs="仿宋"/>
          <w:sz w:val="32"/>
          <w:szCs w:val="40"/>
        </w:rPr>
        <w:t>（四）质量引领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“江西绿色生态 春香柚”产品质量指标水平说明：</w:t>
      </w:r>
    </w:p>
    <w:p>
      <w:pPr>
        <w:pStyle w:val="9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理化指标：可滴定</w:t>
      </w:r>
      <w:r>
        <w:rPr>
          <w:rFonts w:hint="default" w:ascii="仿宋" w:hAnsi="仿宋" w:eastAsia="仿宋" w:cs="仿宋"/>
          <w:sz w:val="32"/>
          <w:szCs w:val="32"/>
        </w:rPr>
        <w:t>酸和维生素C含量符合NY/T 426</w:t>
      </w:r>
      <w:r>
        <w:rPr>
          <w:rFonts w:ascii="仿宋" w:hAnsi="仿宋" w:eastAsia="仿宋" w:cs="仿宋"/>
          <w:sz w:val="32"/>
          <w:szCs w:val="32"/>
        </w:rPr>
        <w:t>《绿色</w:t>
      </w:r>
      <w:r>
        <w:rPr>
          <w:rFonts w:hint="default" w:ascii="仿宋" w:hAnsi="仿宋" w:eastAsia="仿宋" w:cs="仿宋"/>
          <w:sz w:val="32"/>
          <w:szCs w:val="32"/>
        </w:rPr>
        <w:t>食品</w:t>
      </w:r>
      <w:r>
        <w:rPr>
          <w:rFonts w:ascii="仿宋" w:hAnsi="仿宋" w:eastAsia="仿宋" w:cs="仿宋"/>
          <w:sz w:val="32"/>
          <w:szCs w:val="32"/>
        </w:rPr>
        <w:t xml:space="preserve"> 柑橘类</w:t>
      </w:r>
      <w:r>
        <w:rPr>
          <w:rFonts w:hint="default" w:ascii="仿宋" w:hAnsi="仿宋" w:eastAsia="仿宋" w:cs="仿宋"/>
          <w:sz w:val="32"/>
          <w:szCs w:val="32"/>
        </w:rPr>
        <w:t>水果</w:t>
      </w:r>
      <w:r>
        <w:rPr>
          <w:rFonts w:ascii="仿宋" w:hAnsi="仿宋" w:eastAsia="仿宋" w:cs="仿宋"/>
          <w:sz w:val="32"/>
          <w:szCs w:val="32"/>
        </w:rPr>
        <w:t>》的</w:t>
      </w:r>
      <w:r>
        <w:rPr>
          <w:rFonts w:hint="default" w:ascii="仿宋" w:hAnsi="仿宋" w:eastAsia="仿宋" w:cs="仿宋"/>
          <w:sz w:val="32"/>
          <w:szCs w:val="32"/>
        </w:rPr>
        <w:t>规定</w:t>
      </w: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pStyle w:val="9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安全卫生指标：符合NY/T </w:t>
      </w:r>
      <w:r>
        <w:rPr>
          <w:rFonts w:hint="default" w:ascii="仿宋" w:hAnsi="仿宋" w:eastAsia="仿宋" w:cs="仿宋"/>
          <w:sz w:val="32"/>
          <w:szCs w:val="32"/>
        </w:rPr>
        <w:t>426</w:t>
      </w:r>
      <w:r>
        <w:rPr>
          <w:rFonts w:ascii="仿宋" w:hAnsi="仿宋" w:eastAsia="仿宋" w:cs="仿宋"/>
          <w:sz w:val="32"/>
          <w:szCs w:val="32"/>
        </w:rPr>
        <w:t>《绿色食品 柑橘类</w:t>
      </w:r>
      <w:r>
        <w:rPr>
          <w:rFonts w:hint="default" w:ascii="仿宋" w:hAnsi="仿宋" w:eastAsia="仿宋" w:cs="仿宋"/>
          <w:sz w:val="32"/>
          <w:szCs w:val="32"/>
        </w:rPr>
        <w:t>水果</w:t>
      </w:r>
      <w:r>
        <w:rPr>
          <w:rFonts w:ascii="仿宋" w:hAnsi="仿宋" w:eastAsia="仿宋" w:cs="仿宋"/>
          <w:sz w:val="32"/>
          <w:szCs w:val="32"/>
        </w:rPr>
        <w:t>》的规定。</w:t>
      </w:r>
    </w:p>
    <w:p>
      <w:pPr>
        <w:ind w:firstLine="643" w:firstLineChars="200"/>
        <w:jc w:val="center"/>
        <w:rPr>
          <w:rFonts w:ascii="仿宋" w:hAnsi="仿宋" w:eastAsia="仿宋" w:cs="仿宋"/>
          <w:b/>
          <w:bCs/>
          <w:sz w:val="32"/>
          <w:szCs w:val="40"/>
        </w:rPr>
      </w:pPr>
    </w:p>
    <w:p>
      <w:pPr>
        <w:ind w:firstLine="643" w:firstLineChars="200"/>
        <w:jc w:val="center"/>
        <w:rPr>
          <w:rFonts w:ascii="仿宋" w:hAnsi="仿宋" w:eastAsia="仿宋" w:cs="仿宋"/>
          <w:b/>
          <w:bCs/>
          <w:sz w:val="32"/>
          <w:szCs w:val="40"/>
        </w:rPr>
      </w:pPr>
    </w:p>
    <w:p>
      <w:pPr>
        <w:ind w:firstLine="643" w:firstLineChars="200"/>
        <w:jc w:val="center"/>
        <w:rPr>
          <w:rFonts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理化指标和安全卫生指标</w:t>
      </w:r>
    </w:p>
    <w:tbl>
      <w:tblPr>
        <w:tblStyle w:val="6"/>
        <w:tblW w:w="5191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2333"/>
        <w:gridCol w:w="1551"/>
        <w:gridCol w:w="1759"/>
        <w:gridCol w:w="17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818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360"/>
              <w:jc w:val="both"/>
              <w:rPr>
                <w:rFonts w:hint="default" w:hAnsi="宋体"/>
                <w:szCs w:val="18"/>
              </w:rPr>
            </w:pPr>
            <w:r>
              <w:rPr>
                <w:rFonts w:hAnsi="宋体"/>
                <w:szCs w:val="18"/>
              </w:rPr>
              <w:t>指标</w:t>
            </w:r>
          </w:p>
        </w:tc>
        <w:tc>
          <w:tcPr>
            <w:tcW w:w="1318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360"/>
              <w:rPr>
                <w:rFonts w:hint="default" w:hAnsi="宋体"/>
                <w:szCs w:val="18"/>
              </w:rPr>
            </w:pPr>
            <w:r>
              <w:rPr>
                <w:rFonts w:hAnsi="宋体"/>
                <w:szCs w:val="18"/>
              </w:rPr>
              <w:t>检测</w:t>
            </w:r>
            <w:r>
              <w:rPr>
                <w:rFonts w:hint="default" w:hAnsi="宋体"/>
                <w:szCs w:val="18"/>
              </w:rPr>
              <w:t>项目</w:t>
            </w:r>
          </w:p>
        </w:tc>
        <w:tc>
          <w:tcPr>
            <w:tcW w:w="875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360"/>
              <w:rPr>
                <w:rFonts w:hint="default" w:hAnsi="宋体"/>
                <w:szCs w:val="18"/>
              </w:rPr>
            </w:pPr>
            <w:r>
              <w:rPr>
                <w:rFonts w:hAnsi="宋体"/>
                <w:szCs w:val="18"/>
              </w:rPr>
              <w:t>本标准</w:t>
            </w:r>
          </w:p>
        </w:tc>
        <w:tc>
          <w:tcPr>
            <w:tcW w:w="994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ind w:firstLine="360"/>
              <w:rPr>
                <w:rFonts w:hint="default" w:hAnsi="宋体"/>
              </w:rPr>
            </w:pPr>
            <w:r>
              <w:rPr>
                <w:rFonts w:hAnsi="宋体"/>
              </w:rPr>
              <w:t>国行标</w:t>
            </w:r>
          </w:p>
        </w:tc>
        <w:tc>
          <w:tcPr>
            <w:tcW w:w="993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10"/>
              <w:ind w:firstLine="360"/>
              <w:rPr>
                <w:rFonts w:hint="default" w:hAnsi="宋体"/>
              </w:rPr>
            </w:pPr>
            <w:r>
              <w:rPr>
                <w:rFonts w:hAnsi="宋体"/>
              </w:rPr>
              <w:t>指标</w:t>
            </w:r>
            <w:r>
              <w:rPr>
                <w:rFonts w:hint="default" w:hAnsi="宋体"/>
              </w:rPr>
              <w:t>来源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81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理化指标</w:t>
            </w:r>
          </w:p>
        </w:tc>
        <w:tc>
          <w:tcPr>
            <w:tcW w:w="1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360"/>
              <w:jc w:val="both"/>
              <w:rPr>
                <w:rFonts w:hint="default" w:hAnsi="宋体"/>
                <w:szCs w:val="18"/>
              </w:rPr>
            </w:pPr>
            <w:r>
              <w:rPr>
                <w:rFonts w:hAnsi="宋体"/>
                <w:szCs w:val="18"/>
              </w:rPr>
              <w:t>可溶性固形物，%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540" w:firstLineChars="300"/>
              <w:jc w:val="both"/>
              <w:rPr>
                <w:rFonts w:hint="default" w:hAnsi="宋体"/>
                <w:szCs w:val="18"/>
              </w:rPr>
            </w:pPr>
            <w:r>
              <w:rPr>
                <w:rFonts w:hAnsi="宋体"/>
                <w:szCs w:val="18"/>
              </w:rPr>
              <w:t>8～13</w:t>
            </w:r>
          </w:p>
        </w:tc>
        <w:tc>
          <w:tcPr>
            <w:tcW w:w="994" w:type="pc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0"/>
              <w:ind w:firstLine="0" w:firstLineChars="0"/>
              <w:jc w:val="both"/>
              <w:rPr>
                <w:rFonts w:hint="default" w:hAnsi="宋体"/>
              </w:rPr>
            </w:pPr>
            <w:r>
              <w:rPr>
                <w:rFonts w:hAnsi="宋体"/>
              </w:rPr>
              <w:t>≥11.0（NY/T</w:t>
            </w:r>
            <w:r>
              <w:rPr>
                <w:rFonts w:hint="default" w:hAnsi="宋体"/>
              </w:rPr>
              <w:t xml:space="preserve"> 426</w:t>
            </w:r>
            <w:r>
              <w:rPr>
                <w:rFonts w:hAnsi="宋体"/>
              </w:rPr>
              <w:t>）</w:t>
            </w:r>
          </w:p>
        </w:tc>
        <w:tc>
          <w:tcPr>
            <w:tcW w:w="99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0"/>
              <w:ind w:firstLine="0" w:firstLineChars="0"/>
              <w:jc w:val="both"/>
              <w:rPr>
                <w:rFonts w:hint="default" w:hAnsi="宋体"/>
              </w:rPr>
            </w:pPr>
            <w:r>
              <w:rPr>
                <w:rFonts w:hAnsi="宋体"/>
              </w:rPr>
              <w:t>NY</w:t>
            </w:r>
            <w:r>
              <w:rPr>
                <w:rFonts w:hint="default" w:hAnsi="宋体"/>
              </w:rPr>
              <w:t xml:space="preserve">/T 426 </w:t>
            </w:r>
            <w:r>
              <w:rPr>
                <w:rFonts w:hAnsi="宋体"/>
              </w:rPr>
              <w:t>《绿色</w:t>
            </w:r>
            <w:r>
              <w:rPr>
                <w:rFonts w:hint="default" w:hAnsi="宋体"/>
              </w:rPr>
              <w:t>食品</w:t>
            </w:r>
            <w:r>
              <w:rPr>
                <w:rFonts w:hAnsi="宋体"/>
              </w:rPr>
              <w:t xml:space="preserve"> 柑橘类</w:t>
            </w:r>
            <w:r>
              <w:rPr>
                <w:rFonts w:hint="default" w:hAnsi="宋体"/>
              </w:rPr>
              <w:t>水果</w:t>
            </w:r>
            <w:r>
              <w:rPr>
                <w:rFonts w:hAnsi="宋体"/>
              </w:rPr>
              <w:t>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8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hAnsi="宋体"/>
                <w:sz w:val="18"/>
                <w:szCs w:val="18"/>
              </w:rPr>
            </w:pPr>
          </w:p>
        </w:tc>
        <w:tc>
          <w:tcPr>
            <w:tcW w:w="1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360"/>
              <w:rPr>
                <w:rFonts w:hint="default" w:hAnsi="宋体"/>
              </w:rPr>
            </w:pPr>
            <w:r>
              <w:rPr>
                <w:rFonts w:hAnsi="宋体"/>
              </w:rPr>
              <w:t>可滴定酸，g/100mL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540" w:firstLineChars="300"/>
              <w:jc w:val="both"/>
              <w:rPr>
                <w:rFonts w:hint="default" w:hAnsi="宋体"/>
              </w:rPr>
            </w:pPr>
            <w:r>
              <w:rPr>
                <w:rFonts w:hAnsi="宋体"/>
              </w:rPr>
              <w:t>≤1.0</w:t>
            </w:r>
          </w:p>
        </w:tc>
        <w:tc>
          <w:tcPr>
            <w:tcW w:w="994" w:type="pct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0"/>
              <w:ind w:firstLine="0" w:firstLineChars="0"/>
              <w:jc w:val="both"/>
              <w:rPr>
                <w:rFonts w:hint="default" w:hAnsi="宋体"/>
              </w:rPr>
            </w:pPr>
            <w:r>
              <w:rPr>
                <w:rFonts w:hAnsi="宋体"/>
              </w:rPr>
              <w:t>≤1.0（NY</w:t>
            </w:r>
            <w:r>
              <w:rPr>
                <w:rFonts w:hint="default" w:hAnsi="宋体"/>
              </w:rPr>
              <w:t>/T 426</w:t>
            </w:r>
            <w:r>
              <w:rPr>
                <w:rFonts w:hAnsi="宋体"/>
              </w:rPr>
              <w:t>）</w:t>
            </w:r>
          </w:p>
        </w:tc>
        <w:tc>
          <w:tcPr>
            <w:tcW w:w="993" w:type="pct"/>
            <w:vMerge w:val="continue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pStyle w:val="10"/>
              <w:ind w:firstLine="360"/>
              <w:rPr>
                <w:rFonts w:hint="default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81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hAnsi="宋体"/>
                <w:sz w:val="18"/>
                <w:szCs w:val="18"/>
              </w:rPr>
            </w:pPr>
          </w:p>
        </w:tc>
        <w:tc>
          <w:tcPr>
            <w:tcW w:w="1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360"/>
              <w:rPr>
                <w:rFonts w:hint="default" w:hAnsi="宋体"/>
              </w:rPr>
            </w:pPr>
            <w:r>
              <w:rPr>
                <w:rFonts w:hAnsi="宋体"/>
              </w:rPr>
              <w:t>维生素C，mg/100g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540" w:firstLineChars="300"/>
              <w:jc w:val="both"/>
              <w:rPr>
                <w:rFonts w:hint="default" w:hAnsi="宋体"/>
              </w:rPr>
            </w:pPr>
            <w:r>
              <w:rPr>
                <w:rFonts w:hAnsi="宋体"/>
              </w:rPr>
              <w:t>≥20.0</w:t>
            </w:r>
          </w:p>
        </w:tc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0"/>
              <w:ind w:firstLine="0" w:firstLineChars="0"/>
              <w:jc w:val="both"/>
              <w:rPr>
                <w:rFonts w:hint="default" w:hAnsi="宋体"/>
              </w:rPr>
            </w:pPr>
            <w:r>
              <w:rPr>
                <w:rFonts w:hAnsi="宋体"/>
              </w:rPr>
              <w:t>≥20.0（NY</w:t>
            </w:r>
            <w:r>
              <w:rPr>
                <w:rFonts w:hint="default" w:hAnsi="宋体"/>
              </w:rPr>
              <w:t>/T 426</w:t>
            </w:r>
            <w:r>
              <w:rPr>
                <w:rFonts w:hAnsi="宋体"/>
              </w:rPr>
              <w:t>）</w:t>
            </w:r>
          </w:p>
        </w:tc>
        <w:tc>
          <w:tcPr>
            <w:tcW w:w="99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pStyle w:val="10"/>
              <w:ind w:firstLine="360"/>
              <w:rPr>
                <w:rFonts w:hint="default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81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安全卫生指标</w:t>
            </w:r>
          </w:p>
        </w:tc>
        <w:tc>
          <w:tcPr>
            <w:tcW w:w="21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360"/>
              <w:rPr>
                <w:rFonts w:hint="default" w:hAnsi="宋体"/>
              </w:rPr>
            </w:pPr>
            <w:r>
              <w:rPr>
                <w:rFonts w:hAnsi="宋体"/>
              </w:rPr>
              <w:t>污染物限量应符合GB 2762和NY/T 426的要求</w:t>
            </w:r>
          </w:p>
        </w:tc>
        <w:tc>
          <w:tcPr>
            <w:tcW w:w="994" w:type="pc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0"/>
              <w:ind w:firstLine="360"/>
              <w:rPr>
                <w:rFonts w:hint="default" w:hAnsi="宋体"/>
              </w:rPr>
            </w:pPr>
            <w:r>
              <w:rPr>
                <w:rFonts w:hAnsi="宋体"/>
              </w:rPr>
              <w:t>-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0"/>
              <w:ind w:firstLine="360"/>
              <w:rPr>
                <w:rFonts w:hint="default" w:hAnsi="宋体"/>
              </w:rPr>
            </w:pPr>
            <w:r>
              <w:rPr>
                <w:rFonts w:hAnsi="宋体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81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hAnsi="宋体"/>
                <w:sz w:val="18"/>
                <w:szCs w:val="18"/>
              </w:rPr>
            </w:pPr>
          </w:p>
        </w:tc>
        <w:tc>
          <w:tcPr>
            <w:tcW w:w="21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360"/>
              <w:rPr>
                <w:rFonts w:hint="default" w:hAnsi="宋体"/>
              </w:rPr>
            </w:pPr>
            <w:r>
              <w:rPr>
                <w:rFonts w:hAnsi="宋体"/>
              </w:rPr>
              <w:t>农药残留限量应符合GB 2763和NY/T 426的要求</w:t>
            </w:r>
          </w:p>
        </w:tc>
        <w:tc>
          <w:tcPr>
            <w:tcW w:w="994" w:type="pct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0"/>
              <w:ind w:firstLine="360"/>
              <w:rPr>
                <w:rFonts w:hint="default" w:hAnsi="宋体"/>
              </w:rPr>
            </w:pPr>
            <w:r>
              <w:rPr>
                <w:rFonts w:hAnsi="宋体"/>
              </w:rPr>
              <w:t>-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0"/>
              <w:ind w:firstLine="360"/>
              <w:rPr>
                <w:rFonts w:hint="default" w:hAnsi="宋体"/>
              </w:rPr>
            </w:pPr>
            <w:r>
              <w:rPr>
                <w:rFonts w:hAnsi="宋体"/>
              </w:rPr>
              <w:t>-</w:t>
            </w:r>
          </w:p>
        </w:tc>
      </w:tr>
    </w:tbl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40"/>
        </w:rPr>
      </w:pPr>
    </w:p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180019"/>
    <w:multiLevelType w:val="multilevel"/>
    <w:tmpl w:val="18180019"/>
    <w:lvl w:ilvl="0" w:tentative="0">
      <w:start w:val="1"/>
      <w:numFmt w:val="none"/>
      <w:pStyle w:val="9"/>
      <w:lvlText w:val="%1——"/>
      <w:lvlJc w:val="left"/>
      <w:pPr>
        <w:tabs>
          <w:tab w:val="left" w:pos="851"/>
        </w:tabs>
        <w:ind w:left="851" w:hanging="426"/>
      </w:pPr>
      <w:rPr>
        <w:rFonts w:hint="default" w:ascii="Times New Roman" w:hAnsi="Times New Roman" w:eastAsia="宋体" w:cs="Times New Roman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851"/>
        </w:tabs>
        <w:ind w:left="1270" w:hanging="419"/>
      </w:pPr>
      <w:rPr>
        <w:rFonts w:hint="default" w:ascii="Symbol" w:hAnsi="Symbol" w:eastAsia="宋体" w:cs="Symbol"/>
        <w:sz w:val="21"/>
      </w:rPr>
    </w:lvl>
    <w:lvl w:ilvl="2" w:tentative="0">
      <w:start w:val="1"/>
      <w:numFmt w:val="bullet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 w:cs="Symbol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upp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．"/>
      <w:lvlJc w:val="left"/>
      <w:pPr>
        <w:ind w:left="0" w:firstLine="402"/>
      </w:pPr>
      <w:rPr>
        <w:rFonts w:hint="eastAsia"/>
      </w:rPr>
    </w:lvl>
  </w:abstractNum>
  <w:abstractNum w:abstractNumId="1">
    <w:nsid w:val="28F6A525"/>
    <w:multiLevelType w:val="singleLevel"/>
    <w:tmpl w:val="28F6A5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2E3BBD8"/>
    <w:multiLevelType w:val="singleLevel"/>
    <w:tmpl w:val="62E3BBD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YmEzNWZiN2UzNmM3OWE1YTM4ZDVlNzliZmJhZTIifQ=="/>
  </w:docVars>
  <w:rsids>
    <w:rsidRoot w:val="72D17C16"/>
    <w:rsid w:val="000A02F2"/>
    <w:rsid w:val="00102066"/>
    <w:rsid w:val="00110134"/>
    <w:rsid w:val="00156218"/>
    <w:rsid w:val="002669C5"/>
    <w:rsid w:val="002A1E4A"/>
    <w:rsid w:val="002B0A8E"/>
    <w:rsid w:val="00392ABD"/>
    <w:rsid w:val="003B7046"/>
    <w:rsid w:val="004B68CA"/>
    <w:rsid w:val="00532B99"/>
    <w:rsid w:val="005954C1"/>
    <w:rsid w:val="00674A82"/>
    <w:rsid w:val="00776632"/>
    <w:rsid w:val="007E5F41"/>
    <w:rsid w:val="007E6236"/>
    <w:rsid w:val="00826B73"/>
    <w:rsid w:val="00844EE5"/>
    <w:rsid w:val="00935F54"/>
    <w:rsid w:val="00964AF4"/>
    <w:rsid w:val="00985DE0"/>
    <w:rsid w:val="00AB20E1"/>
    <w:rsid w:val="00BC6E44"/>
    <w:rsid w:val="00C83BA6"/>
    <w:rsid w:val="00CE00DD"/>
    <w:rsid w:val="00D65BAE"/>
    <w:rsid w:val="00E95341"/>
    <w:rsid w:val="00ED108D"/>
    <w:rsid w:val="00EE5E81"/>
    <w:rsid w:val="00F16EAB"/>
    <w:rsid w:val="00F72093"/>
    <w:rsid w:val="00FF7B90"/>
    <w:rsid w:val="01295426"/>
    <w:rsid w:val="0185183C"/>
    <w:rsid w:val="023F7D78"/>
    <w:rsid w:val="037D28A2"/>
    <w:rsid w:val="0402733C"/>
    <w:rsid w:val="04FC6CDE"/>
    <w:rsid w:val="054619CB"/>
    <w:rsid w:val="05A67D41"/>
    <w:rsid w:val="069F5521"/>
    <w:rsid w:val="06C667F7"/>
    <w:rsid w:val="06D72484"/>
    <w:rsid w:val="091C404B"/>
    <w:rsid w:val="093142C5"/>
    <w:rsid w:val="0A0C0C28"/>
    <w:rsid w:val="0A7948CF"/>
    <w:rsid w:val="0A9B534A"/>
    <w:rsid w:val="0B6E2A52"/>
    <w:rsid w:val="0C7F4812"/>
    <w:rsid w:val="0CC429F8"/>
    <w:rsid w:val="0D3E2CC8"/>
    <w:rsid w:val="0E6F6175"/>
    <w:rsid w:val="0F60256C"/>
    <w:rsid w:val="106346DC"/>
    <w:rsid w:val="12AC3958"/>
    <w:rsid w:val="13E211B4"/>
    <w:rsid w:val="15381DF5"/>
    <w:rsid w:val="15E22B9A"/>
    <w:rsid w:val="162B0C6C"/>
    <w:rsid w:val="164E0A05"/>
    <w:rsid w:val="167E1C5E"/>
    <w:rsid w:val="17464255"/>
    <w:rsid w:val="18A40C3E"/>
    <w:rsid w:val="19180CC4"/>
    <w:rsid w:val="19823668"/>
    <w:rsid w:val="199E715E"/>
    <w:rsid w:val="19BE4772"/>
    <w:rsid w:val="1B0864F2"/>
    <w:rsid w:val="1B614ED7"/>
    <w:rsid w:val="1B9C22DF"/>
    <w:rsid w:val="1B9D4AF4"/>
    <w:rsid w:val="1E667A5D"/>
    <w:rsid w:val="20CD6F3A"/>
    <w:rsid w:val="233A3AEB"/>
    <w:rsid w:val="23983773"/>
    <w:rsid w:val="23A43B72"/>
    <w:rsid w:val="24024DB5"/>
    <w:rsid w:val="25D21D21"/>
    <w:rsid w:val="27E930AE"/>
    <w:rsid w:val="28293344"/>
    <w:rsid w:val="29497CAB"/>
    <w:rsid w:val="2963716A"/>
    <w:rsid w:val="2B1B2528"/>
    <w:rsid w:val="2B6C5822"/>
    <w:rsid w:val="2D36779A"/>
    <w:rsid w:val="2D8C3E52"/>
    <w:rsid w:val="2DA837E5"/>
    <w:rsid w:val="2E152C45"/>
    <w:rsid w:val="2E562E43"/>
    <w:rsid w:val="2E8C1B36"/>
    <w:rsid w:val="2EE55603"/>
    <w:rsid w:val="2F503401"/>
    <w:rsid w:val="2F6E24A7"/>
    <w:rsid w:val="33C558E6"/>
    <w:rsid w:val="34D34AF8"/>
    <w:rsid w:val="34F81C5B"/>
    <w:rsid w:val="35CA77BD"/>
    <w:rsid w:val="372D055C"/>
    <w:rsid w:val="38307D9F"/>
    <w:rsid w:val="38BA6192"/>
    <w:rsid w:val="3954793A"/>
    <w:rsid w:val="395704CB"/>
    <w:rsid w:val="3AEA6CE3"/>
    <w:rsid w:val="3BCF46F7"/>
    <w:rsid w:val="3BF8490D"/>
    <w:rsid w:val="3D191896"/>
    <w:rsid w:val="3D367F87"/>
    <w:rsid w:val="3ECD4F08"/>
    <w:rsid w:val="3FB870EC"/>
    <w:rsid w:val="400D3523"/>
    <w:rsid w:val="401D6391"/>
    <w:rsid w:val="42502735"/>
    <w:rsid w:val="43F718D7"/>
    <w:rsid w:val="4470141D"/>
    <w:rsid w:val="455D64DA"/>
    <w:rsid w:val="456B41DA"/>
    <w:rsid w:val="46776031"/>
    <w:rsid w:val="46FA4136"/>
    <w:rsid w:val="471A6F38"/>
    <w:rsid w:val="476D1E93"/>
    <w:rsid w:val="4770518B"/>
    <w:rsid w:val="47CB3C69"/>
    <w:rsid w:val="49FE4113"/>
    <w:rsid w:val="4A8643C2"/>
    <w:rsid w:val="4C8451AE"/>
    <w:rsid w:val="4D157B9C"/>
    <w:rsid w:val="4D3450B3"/>
    <w:rsid w:val="4D4D696D"/>
    <w:rsid w:val="4D6165BE"/>
    <w:rsid w:val="50C5567F"/>
    <w:rsid w:val="51732F86"/>
    <w:rsid w:val="51BB0805"/>
    <w:rsid w:val="52C833AE"/>
    <w:rsid w:val="52FD4493"/>
    <w:rsid w:val="531A1A51"/>
    <w:rsid w:val="53222C5D"/>
    <w:rsid w:val="53BD10AA"/>
    <w:rsid w:val="54E41BD1"/>
    <w:rsid w:val="562557D7"/>
    <w:rsid w:val="567D2D1E"/>
    <w:rsid w:val="56A26A6F"/>
    <w:rsid w:val="56FE00DC"/>
    <w:rsid w:val="582A092A"/>
    <w:rsid w:val="58571B6D"/>
    <w:rsid w:val="5A117FBD"/>
    <w:rsid w:val="5A1F3535"/>
    <w:rsid w:val="5CD042D9"/>
    <w:rsid w:val="5D5D3C01"/>
    <w:rsid w:val="5DA056D9"/>
    <w:rsid w:val="5DFC2C15"/>
    <w:rsid w:val="5DFD5C40"/>
    <w:rsid w:val="5E346813"/>
    <w:rsid w:val="5E472DB3"/>
    <w:rsid w:val="5EED50AB"/>
    <w:rsid w:val="604102EF"/>
    <w:rsid w:val="62897240"/>
    <w:rsid w:val="632E3D99"/>
    <w:rsid w:val="63C6685A"/>
    <w:rsid w:val="665372B3"/>
    <w:rsid w:val="674D17AB"/>
    <w:rsid w:val="674D61EE"/>
    <w:rsid w:val="677E10F1"/>
    <w:rsid w:val="6A1C31A6"/>
    <w:rsid w:val="6C3F5DB4"/>
    <w:rsid w:val="6DDD2B82"/>
    <w:rsid w:val="6F084A97"/>
    <w:rsid w:val="6F753967"/>
    <w:rsid w:val="70E51F56"/>
    <w:rsid w:val="726834BC"/>
    <w:rsid w:val="72D17C16"/>
    <w:rsid w:val="73D74B7E"/>
    <w:rsid w:val="75E43103"/>
    <w:rsid w:val="779E4C0D"/>
    <w:rsid w:val="78371EF2"/>
    <w:rsid w:val="7891121C"/>
    <w:rsid w:val="7A53344C"/>
    <w:rsid w:val="7B5550A5"/>
    <w:rsid w:val="7C815521"/>
    <w:rsid w:val="7E070FF3"/>
    <w:rsid w:val="7EDE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table" w:styleId="6">
    <w:name w:val="Table Grid"/>
    <w:basedOn w:val="5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8">
    <w:name w:val="标准文件_段"/>
    <w:link w:val="13"/>
    <w:autoRedefine/>
    <w:qFormat/>
    <w:uiPriority w:val="0"/>
    <w:pPr>
      <w:ind w:firstLine="960" w:firstLineChars="200"/>
      <w:jc w:val="both"/>
    </w:pPr>
    <w:rPr>
      <w:rFonts w:hint="eastAsia" w:ascii="宋体" w:hAnsi="Times New Roman" w:eastAsia="宋体" w:cs="宋体"/>
      <w:sz w:val="21"/>
      <w:lang w:val="en-US" w:eastAsia="zh-CN" w:bidi="ar-SA"/>
    </w:rPr>
  </w:style>
  <w:style w:type="paragraph" w:customStyle="1" w:styleId="9">
    <w:name w:val="标准文件_一级项"/>
    <w:next w:val="8"/>
    <w:autoRedefine/>
    <w:qFormat/>
    <w:uiPriority w:val="0"/>
    <w:pPr>
      <w:numPr>
        <w:ilvl w:val="0"/>
        <w:numId w:val="1"/>
      </w:numPr>
    </w:pPr>
    <w:rPr>
      <w:rFonts w:hint="eastAsia" w:ascii="宋体" w:hAnsi="Times New Roman" w:eastAsia="宋体" w:cs="宋体"/>
      <w:sz w:val="21"/>
      <w:lang w:val="en-US" w:eastAsia="zh-CN" w:bidi="ar-SA"/>
    </w:rPr>
  </w:style>
  <w:style w:type="paragraph" w:customStyle="1" w:styleId="10">
    <w:name w:val="标准文件_表格"/>
    <w:basedOn w:val="8"/>
    <w:autoRedefine/>
    <w:qFormat/>
    <w:uiPriority w:val="0"/>
    <w:pPr>
      <w:jc w:val="center"/>
    </w:pPr>
    <w:rPr>
      <w:sz w:val="18"/>
    </w:rPr>
  </w:style>
  <w:style w:type="character" w:customStyle="1" w:styleId="11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准文件_段 Char"/>
    <w:link w:val="8"/>
    <w:autoRedefine/>
    <w:qFormat/>
    <w:uiPriority w:val="0"/>
    <w:rPr>
      <w:rFonts w:ascii="宋体" w:cs="宋体"/>
      <w:sz w:val="21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258</Words>
  <Characters>1473</Characters>
  <Lines>12</Lines>
  <Paragraphs>3</Paragraphs>
  <TotalTime>304</TotalTime>
  <ScaleCrop>false</ScaleCrop>
  <LinksUpToDate>false</LinksUpToDate>
  <CharactersWithSpaces>1728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2023-04-27T04:56:00Z</dcterms:created>
  <dc:creator>魏波</dc:creator>
  <cp:lastModifiedBy>魏波</cp:lastModifiedBy>
  <dcterms:modified xsi:type="dcterms:W3CDTF">2024-03-19T09:15:35Z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827908D6470E41A7B4D7C85A5BDDC94B_11</vt:lpwstr>
  </property>
</Properties>
</file>